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header8.xml" ContentType="application/vnd.openxmlformats-officedocument.wordprocessingml.header+xml"/>
  <Override PartName="/word/footer7.xml" ContentType="application/vnd.openxmlformats-officedocument.wordprocessingml.foot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header11.xml" ContentType="application/vnd.openxmlformats-officedocument.wordprocessingml.header+xml"/>
  <Override PartName="/word/footer10.xml" ContentType="application/vnd.openxmlformats-officedocument.wordprocessingml.foot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header14.xml" ContentType="application/vnd.openxmlformats-officedocument.wordprocessingml.header+xml"/>
  <Override PartName="/word/footer13.xml" ContentType="application/vnd.openxmlformats-officedocument.wordprocessingml.footer+xml"/>
  <Override PartName="/word/footer14.xml" ContentType="application/vnd.openxmlformats-officedocument.wordprocessingml.footer+xml"/>
  <Override PartName="/word/header15.xml" ContentType="application/vnd.openxmlformats-officedocument.wordprocessingml.header+xml"/>
  <Override PartName="/word/footer15.xml" ContentType="application/vnd.openxmlformats-officedocument.wordprocessingml.footer+xml"/>
  <Override PartName="/word/header16.xml" ContentType="application/vnd.openxmlformats-officedocument.wordprocessingml.header+xml"/>
  <Override PartName="/word/header17.xml" ContentType="application/vnd.openxmlformats-officedocument.wordprocessingml.header+xml"/>
  <Override PartName="/word/footer16.xml" ContentType="application/vnd.openxmlformats-officedocument.wordprocessingml.footer+xml"/>
  <Override PartName="/word/footer17.xml" ContentType="application/vnd.openxmlformats-officedocument.wordprocessingml.footer+xml"/>
  <Override PartName="/word/header18.xml" ContentType="application/vnd.openxmlformats-officedocument.wordprocessingml.header+xml"/>
  <Override PartName="/word/footer18.xml" ContentType="application/vnd.openxmlformats-officedocument.wordprocessingml.footer+xml"/>
  <Override PartName="/word/header19.xml" ContentType="application/vnd.openxmlformats-officedocument.wordprocessingml.header+xml"/>
  <Override PartName="/word/header20.xml" ContentType="application/vnd.openxmlformats-officedocument.wordprocessingml.header+xml"/>
  <Override PartName="/word/footer19.xml" ContentType="application/vnd.openxmlformats-officedocument.wordprocessingml.footer+xml"/>
  <Override PartName="/word/footer20.xml" ContentType="application/vnd.openxmlformats-officedocument.wordprocessingml.footer+xml"/>
  <Override PartName="/word/header21.xml" ContentType="application/vnd.openxmlformats-officedocument.wordprocessingml.header+xml"/>
  <Override PartName="/word/footer2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8309B" w:rsidRDefault="009D0949">
      <w:pPr>
        <w:spacing w:after="308" w:line="259" w:lineRule="auto"/>
        <w:ind w:left="85" w:right="0" w:firstLine="0"/>
        <w:jc w:val="center"/>
      </w:pPr>
      <w:bookmarkStart w:id="0" w:name="_GoBack"/>
      <w:bookmarkEnd w:id="0"/>
      <w:r>
        <w:rPr>
          <w:b/>
          <w:sz w:val="40"/>
        </w:rPr>
        <w:t xml:space="preserve"> </w:t>
      </w:r>
    </w:p>
    <w:p w:rsidR="00E8309B" w:rsidRDefault="009D0949">
      <w:pPr>
        <w:spacing w:after="155" w:line="259" w:lineRule="auto"/>
        <w:ind w:left="127" w:right="0" w:firstLine="0"/>
        <w:jc w:val="center"/>
      </w:pPr>
      <w:r>
        <w:rPr>
          <w:b/>
          <w:sz w:val="56"/>
        </w:rPr>
        <w:t xml:space="preserve"> </w:t>
      </w:r>
    </w:p>
    <w:p w:rsidR="00E8309B" w:rsidRDefault="009D0949">
      <w:pPr>
        <w:spacing w:after="155" w:line="259" w:lineRule="auto"/>
        <w:ind w:left="127" w:right="0" w:firstLine="0"/>
        <w:jc w:val="center"/>
      </w:pPr>
      <w:r>
        <w:rPr>
          <w:b/>
          <w:sz w:val="56"/>
        </w:rPr>
        <w:t xml:space="preserve"> </w:t>
      </w:r>
    </w:p>
    <w:p w:rsidR="00E8309B" w:rsidRDefault="009D0949">
      <w:pPr>
        <w:spacing w:after="158" w:line="259" w:lineRule="auto"/>
        <w:ind w:left="127" w:right="0" w:firstLine="0"/>
        <w:jc w:val="center"/>
      </w:pPr>
      <w:r>
        <w:rPr>
          <w:b/>
          <w:sz w:val="56"/>
        </w:rPr>
        <w:t xml:space="preserve"> </w:t>
      </w:r>
    </w:p>
    <w:p w:rsidR="00E8309B" w:rsidRDefault="009D0949">
      <w:pPr>
        <w:spacing w:after="155" w:line="259" w:lineRule="auto"/>
        <w:ind w:left="127" w:right="0" w:firstLine="0"/>
        <w:jc w:val="center"/>
      </w:pPr>
      <w:r>
        <w:rPr>
          <w:b/>
          <w:sz w:val="56"/>
        </w:rPr>
        <w:t xml:space="preserve"> </w:t>
      </w:r>
    </w:p>
    <w:p w:rsidR="00E8309B" w:rsidRDefault="009D0949">
      <w:pPr>
        <w:spacing w:after="42" w:line="259" w:lineRule="auto"/>
        <w:ind w:left="127" w:right="0" w:firstLine="0"/>
        <w:jc w:val="center"/>
      </w:pPr>
      <w:r>
        <w:rPr>
          <w:b/>
          <w:sz w:val="56"/>
        </w:rPr>
        <w:t xml:space="preserve"> </w:t>
      </w:r>
    </w:p>
    <w:p w:rsidR="00E8309B" w:rsidRDefault="009D0949">
      <w:pPr>
        <w:spacing w:after="301" w:line="259" w:lineRule="auto"/>
        <w:ind w:left="368" w:right="0"/>
        <w:jc w:val="left"/>
      </w:pPr>
      <w:r>
        <w:rPr>
          <w:b/>
          <w:sz w:val="44"/>
        </w:rPr>
        <w:t xml:space="preserve">ПРОГРАМ ЕКОНОМСКИХ РЕФОРМИ </w:t>
      </w:r>
    </w:p>
    <w:p w:rsidR="00E8309B" w:rsidRDefault="009D0949">
      <w:pPr>
        <w:spacing w:after="202" w:line="259" w:lineRule="auto"/>
        <w:ind w:left="264" w:right="0"/>
        <w:jc w:val="left"/>
      </w:pPr>
      <w:r>
        <w:rPr>
          <w:b/>
          <w:sz w:val="44"/>
        </w:rPr>
        <w:t xml:space="preserve">ЗА ПЕРИОД ОД 2021. ДО 2023. ГОДИНЕ </w:t>
      </w:r>
    </w:p>
    <w:p w:rsidR="00E8309B" w:rsidRDefault="009D0949">
      <w:pPr>
        <w:spacing w:after="158" w:line="259" w:lineRule="auto"/>
        <w:ind w:left="0" w:right="0" w:firstLine="0"/>
        <w:jc w:val="left"/>
      </w:pPr>
      <w:r>
        <w:rPr>
          <w:b/>
          <w:sz w:val="26"/>
        </w:rPr>
        <w:t xml:space="preserve"> </w:t>
      </w:r>
    </w:p>
    <w:p w:rsidR="00E8309B" w:rsidRDefault="009D0949">
      <w:pPr>
        <w:spacing w:after="158" w:line="259" w:lineRule="auto"/>
        <w:ind w:left="0" w:right="0" w:firstLine="0"/>
        <w:jc w:val="left"/>
      </w:pPr>
      <w:r>
        <w:rPr>
          <w:b/>
          <w:sz w:val="26"/>
        </w:rPr>
        <w:t xml:space="preserve"> </w:t>
      </w:r>
    </w:p>
    <w:p w:rsidR="00E8309B" w:rsidRDefault="009D0949">
      <w:pPr>
        <w:spacing w:after="160" w:line="259" w:lineRule="auto"/>
        <w:ind w:left="0" w:right="0" w:firstLine="0"/>
        <w:jc w:val="left"/>
      </w:pPr>
      <w:r>
        <w:rPr>
          <w:b/>
          <w:sz w:val="26"/>
        </w:rPr>
        <w:t xml:space="preserve"> </w:t>
      </w:r>
    </w:p>
    <w:p w:rsidR="00E8309B" w:rsidRDefault="009D0949">
      <w:pPr>
        <w:spacing w:after="158" w:line="259" w:lineRule="auto"/>
        <w:ind w:left="0" w:right="0" w:firstLine="0"/>
        <w:jc w:val="left"/>
      </w:pPr>
      <w:r>
        <w:rPr>
          <w:b/>
          <w:sz w:val="26"/>
        </w:rPr>
        <w:t xml:space="preserve"> </w:t>
      </w:r>
    </w:p>
    <w:p w:rsidR="00E8309B" w:rsidRDefault="009D0949">
      <w:pPr>
        <w:spacing w:after="158" w:line="259" w:lineRule="auto"/>
        <w:ind w:left="0" w:right="0" w:firstLine="0"/>
        <w:jc w:val="left"/>
      </w:pPr>
      <w:r>
        <w:rPr>
          <w:b/>
          <w:sz w:val="26"/>
        </w:rPr>
        <w:t xml:space="preserve"> </w:t>
      </w:r>
    </w:p>
    <w:p w:rsidR="00E8309B" w:rsidRDefault="009D0949">
      <w:pPr>
        <w:spacing w:after="158" w:line="259" w:lineRule="auto"/>
        <w:ind w:left="0" w:right="0" w:firstLine="0"/>
        <w:jc w:val="left"/>
      </w:pPr>
      <w:r>
        <w:rPr>
          <w:b/>
          <w:sz w:val="26"/>
        </w:rPr>
        <w:t xml:space="preserve"> </w:t>
      </w:r>
    </w:p>
    <w:p w:rsidR="00E8309B" w:rsidRDefault="009D0949">
      <w:pPr>
        <w:spacing w:after="158" w:line="259" w:lineRule="auto"/>
        <w:ind w:left="0" w:right="0" w:firstLine="0"/>
        <w:jc w:val="left"/>
      </w:pPr>
      <w:r>
        <w:rPr>
          <w:b/>
          <w:sz w:val="26"/>
        </w:rPr>
        <w:t xml:space="preserve"> </w:t>
      </w:r>
    </w:p>
    <w:p w:rsidR="00E8309B" w:rsidRDefault="009D0949">
      <w:pPr>
        <w:spacing w:after="159" w:line="259" w:lineRule="auto"/>
        <w:ind w:left="0" w:right="0" w:firstLine="0"/>
        <w:jc w:val="left"/>
      </w:pPr>
      <w:r>
        <w:rPr>
          <w:b/>
          <w:sz w:val="26"/>
        </w:rPr>
        <w:t xml:space="preserve"> </w:t>
      </w:r>
    </w:p>
    <w:p w:rsidR="00E8309B" w:rsidRDefault="009D0949">
      <w:pPr>
        <w:spacing w:after="158" w:line="259" w:lineRule="auto"/>
        <w:ind w:left="0" w:right="0" w:firstLine="0"/>
        <w:jc w:val="left"/>
      </w:pPr>
      <w:r>
        <w:rPr>
          <w:b/>
          <w:sz w:val="26"/>
        </w:rPr>
        <w:t xml:space="preserve"> </w:t>
      </w:r>
    </w:p>
    <w:p w:rsidR="00E8309B" w:rsidRDefault="009D0949">
      <w:pPr>
        <w:spacing w:after="158" w:line="259" w:lineRule="auto"/>
        <w:ind w:left="0" w:right="0" w:firstLine="0"/>
        <w:jc w:val="left"/>
      </w:pPr>
      <w:r>
        <w:rPr>
          <w:b/>
          <w:sz w:val="26"/>
        </w:rPr>
        <w:t xml:space="preserve"> </w:t>
      </w:r>
    </w:p>
    <w:p w:rsidR="00E8309B" w:rsidRDefault="009D0949">
      <w:pPr>
        <w:spacing w:after="189" w:line="259" w:lineRule="auto"/>
        <w:ind w:left="0" w:right="0" w:firstLine="0"/>
        <w:jc w:val="left"/>
      </w:pPr>
      <w:r>
        <w:rPr>
          <w:b/>
          <w:sz w:val="26"/>
        </w:rPr>
        <w:t xml:space="preserve"> </w:t>
      </w:r>
    </w:p>
    <w:p w:rsidR="00E8309B" w:rsidRDefault="009D0949">
      <w:pPr>
        <w:spacing w:after="177" w:line="259" w:lineRule="auto"/>
        <w:ind w:right="34"/>
        <w:jc w:val="center"/>
      </w:pPr>
      <w:r>
        <w:rPr>
          <w:b/>
        </w:rPr>
        <w:t xml:space="preserve">Београд, јануара 2021. године </w:t>
      </w:r>
    </w:p>
    <w:p w:rsidR="00E8309B" w:rsidRDefault="009D0949">
      <w:pPr>
        <w:spacing w:after="0" w:line="259" w:lineRule="auto"/>
        <w:ind w:left="0" w:right="0" w:firstLine="0"/>
        <w:jc w:val="left"/>
      </w:pPr>
      <w:r>
        <w:rPr>
          <w:b/>
          <w:sz w:val="26"/>
        </w:rPr>
        <w:t xml:space="preserve"> </w:t>
      </w:r>
      <w:r>
        <w:rPr>
          <w:b/>
          <w:sz w:val="26"/>
        </w:rPr>
        <w:tab/>
        <w:t xml:space="preserve"> </w:t>
      </w:r>
    </w:p>
    <w:p w:rsidR="00E8309B" w:rsidRDefault="009D0949">
      <w:pPr>
        <w:spacing w:after="457" w:line="259" w:lineRule="auto"/>
        <w:ind w:left="0" w:right="0" w:firstLine="0"/>
        <w:jc w:val="left"/>
      </w:pPr>
      <w:r>
        <w:rPr>
          <w:b/>
          <w:sz w:val="16"/>
        </w:rPr>
        <w:t xml:space="preserve"> </w:t>
      </w:r>
    </w:p>
    <w:p w:rsidR="00E8309B" w:rsidRDefault="009D0949">
      <w:pPr>
        <w:spacing w:after="0" w:line="259" w:lineRule="auto"/>
        <w:ind w:left="0" w:right="0" w:firstLine="0"/>
        <w:jc w:val="left"/>
      </w:pPr>
      <w:r>
        <w:rPr>
          <w:color w:val="2E74B5"/>
          <w:sz w:val="26"/>
        </w:rPr>
        <w:t xml:space="preserve">САДРЖАЈ </w:t>
      </w:r>
    </w:p>
    <w:p w:rsidR="00E8309B" w:rsidRDefault="009D0949">
      <w:pPr>
        <w:spacing w:after="117" w:line="259" w:lineRule="auto"/>
        <w:ind w:left="0" w:right="0" w:firstLine="0"/>
        <w:jc w:val="left"/>
      </w:pPr>
      <w:r>
        <w:rPr>
          <w:sz w:val="22"/>
        </w:rPr>
        <w:t xml:space="preserve"> </w:t>
      </w:r>
    </w:p>
    <w:p w:rsidR="00E8309B" w:rsidRDefault="009D0949">
      <w:pPr>
        <w:numPr>
          <w:ilvl w:val="0"/>
          <w:numId w:val="1"/>
        </w:numPr>
        <w:spacing w:after="126" w:line="269" w:lineRule="auto"/>
        <w:ind w:right="0" w:hanging="221"/>
        <w:jc w:val="left"/>
      </w:pPr>
      <w:r>
        <w:rPr>
          <w:sz w:val="20"/>
        </w:rPr>
        <w:t>ОПШТИ ОКВИР И ГЛАВНИ ЦИЉЕВИ И СМЕРНИЦЕ ЕКОНОМСКЕ ПОЛИТИКЕ</w:t>
      </w:r>
      <w:r>
        <w:rPr>
          <w:rFonts w:ascii="Calibri" w:eastAsia="Calibri" w:hAnsi="Calibri" w:cs="Calibri"/>
          <w:sz w:val="20"/>
        </w:rPr>
        <w:t xml:space="preserve"> _________ 4</w:t>
      </w:r>
      <w:r>
        <w:rPr>
          <w:rFonts w:ascii="Calibri" w:eastAsia="Calibri" w:hAnsi="Calibri" w:cs="Calibri"/>
          <w:sz w:val="22"/>
        </w:rPr>
        <w:t xml:space="preserve"> </w:t>
      </w:r>
    </w:p>
    <w:p w:rsidR="00E8309B" w:rsidRDefault="009D0949">
      <w:pPr>
        <w:numPr>
          <w:ilvl w:val="0"/>
          <w:numId w:val="1"/>
        </w:numPr>
        <w:spacing w:after="134" w:line="259" w:lineRule="auto"/>
        <w:ind w:right="0" w:hanging="221"/>
        <w:jc w:val="left"/>
      </w:pPr>
      <w:r>
        <w:rPr>
          <w:sz w:val="20"/>
        </w:rPr>
        <w:t>СПРОВОЂЕЊЕ ПРЕПОРУКА</w:t>
      </w:r>
      <w:r>
        <w:rPr>
          <w:rFonts w:ascii="Calibri" w:eastAsia="Calibri" w:hAnsi="Calibri" w:cs="Calibri"/>
          <w:sz w:val="20"/>
        </w:rPr>
        <w:t xml:space="preserve"> ____________________________________________________________ 5</w:t>
      </w:r>
      <w:r>
        <w:rPr>
          <w:rFonts w:ascii="Calibri" w:eastAsia="Calibri" w:hAnsi="Calibri" w:cs="Calibri"/>
          <w:sz w:val="22"/>
        </w:rPr>
        <w:t xml:space="preserve"> </w:t>
      </w:r>
    </w:p>
    <w:p w:rsidR="00E8309B" w:rsidRDefault="009D0949">
      <w:pPr>
        <w:numPr>
          <w:ilvl w:val="0"/>
          <w:numId w:val="1"/>
        </w:numPr>
        <w:spacing w:after="110" w:line="259" w:lineRule="auto"/>
        <w:ind w:right="0" w:hanging="221"/>
        <w:jc w:val="left"/>
      </w:pPr>
      <w:r>
        <w:rPr>
          <w:sz w:val="20"/>
        </w:rPr>
        <w:t>СРЕДЊОРОЧНИ МАКРОЕКОНОМСКИ ОКВИР</w:t>
      </w:r>
      <w:r>
        <w:rPr>
          <w:rFonts w:ascii="Calibri" w:eastAsia="Calibri" w:hAnsi="Calibri" w:cs="Calibri"/>
          <w:sz w:val="20"/>
        </w:rPr>
        <w:t xml:space="preserve"> _________________________________________ 24</w:t>
      </w:r>
      <w:r>
        <w:rPr>
          <w:rFonts w:ascii="Calibri" w:eastAsia="Calibri" w:hAnsi="Calibri" w:cs="Calibri"/>
          <w:sz w:val="22"/>
        </w:rPr>
        <w:t xml:space="preserve"> </w:t>
      </w:r>
    </w:p>
    <w:p w:rsidR="00E8309B" w:rsidRDefault="009D0949">
      <w:pPr>
        <w:numPr>
          <w:ilvl w:val="1"/>
          <w:numId w:val="1"/>
        </w:numPr>
        <w:spacing w:after="97" w:line="259" w:lineRule="auto"/>
        <w:ind w:right="0" w:hanging="352"/>
        <w:jc w:val="left"/>
      </w:pPr>
      <w:r>
        <w:rPr>
          <w:rFonts w:ascii="Cambria" w:eastAsia="Cambria" w:hAnsi="Cambria" w:cs="Cambria"/>
          <w:sz w:val="20"/>
        </w:rPr>
        <w:t>ПРОЦЕНЕ МЕЂУНАРОДНОГ ЕКОНОМСКОГ ОКРУЖЕЊА ______________________________________ 24</w:t>
      </w:r>
      <w:r>
        <w:rPr>
          <w:rFonts w:ascii="Calibri" w:eastAsia="Calibri" w:hAnsi="Calibri" w:cs="Calibri"/>
          <w:sz w:val="22"/>
        </w:rPr>
        <w:t xml:space="preserve"> </w:t>
      </w:r>
    </w:p>
    <w:p w:rsidR="00E8309B" w:rsidRDefault="009D0949">
      <w:pPr>
        <w:numPr>
          <w:ilvl w:val="1"/>
          <w:numId w:val="1"/>
        </w:numPr>
        <w:spacing w:after="97" w:line="259" w:lineRule="auto"/>
        <w:ind w:right="0" w:hanging="352"/>
        <w:jc w:val="left"/>
      </w:pPr>
      <w:r>
        <w:rPr>
          <w:rFonts w:ascii="Cambria" w:eastAsia="Cambria" w:hAnsi="Cambria" w:cs="Cambria"/>
          <w:sz w:val="20"/>
        </w:rPr>
        <w:t>ТЕКУЋА ЕКОНОМСКА КРЕТАЊА И ИЗГЛЕДИ ЗА 2020. ГОДИНУ _____________________________ 27</w:t>
      </w:r>
      <w:r>
        <w:rPr>
          <w:rFonts w:ascii="Calibri" w:eastAsia="Calibri" w:hAnsi="Calibri" w:cs="Calibri"/>
          <w:sz w:val="22"/>
        </w:rPr>
        <w:t xml:space="preserve"> </w:t>
      </w:r>
    </w:p>
    <w:p w:rsidR="00E8309B" w:rsidRDefault="009D0949">
      <w:pPr>
        <w:numPr>
          <w:ilvl w:val="1"/>
          <w:numId w:val="1"/>
        </w:numPr>
        <w:spacing w:after="97" w:line="259" w:lineRule="auto"/>
        <w:ind w:right="0" w:hanging="352"/>
        <w:jc w:val="left"/>
      </w:pPr>
      <w:r>
        <w:rPr>
          <w:rFonts w:ascii="Cambria" w:eastAsia="Cambria" w:hAnsi="Cambria" w:cs="Cambria"/>
          <w:sz w:val="20"/>
        </w:rPr>
        <w:t>СРЕДЊОРОЧНИ МАКРОЕКОНОМСКИ СЦЕНАРИО ______________________________________________ 37</w:t>
      </w:r>
      <w:r>
        <w:rPr>
          <w:rFonts w:ascii="Calibri" w:eastAsia="Calibri" w:hAnsi="Calibri" w:cs="Calibri"/>
          <w:sz w:val="22"/>
        </w:rPr>
        <w:t xml:space="preserve"> </w:t>
      </w:r>
    </w:p>
    <w:p w:rsidR="00E8309B" w:rsidRDefault="009D0949">
      <w:pPr>
        <w:numPr>
          <w:ilvl w:val="1"/>
          <w:numId w:val="1"/>
        </w:numPr>
        <w:spacing w:after="97" w:line="259" w:lineRule="auto"/>
        <w:ind w:right="0" w:hanging="352"/>
        <w:jc w:val="left"/>
      </w:pPr>
      <w:r>
        <w:rPr>
          <w:rFonts w:ascii="Cambria" w:eastAsia="Cambria" w:hAnsi="Cambria" w:cs="Cambria"/>
          <w:sz w:val="20"/>
        </w:rPr>
        <w:t>АЛТЕРНАТИВНИ СЦЕНАРИО И РИЗИЦИ _____________________________________________________</w:t>
      </w:r>
      <w:r>
        <w:rPr>
          <w:rFonts w:ascii="Cambria" w:eastAsia="Cambria" w:hAnsi="Cambria" w:cs="Cambria"/>
          <w:sz w:val="20"/>
        </w:rPr>
        <w:t>____ 44</w:t>
      </w:r>
      <w:r>
        <w:rPr>
          <w:rFonts w:ascii="Calibri" w:eastAsia="Calibri" w:hAnsi="Calibri" w:cs="Calibri"/>
          <w:sz w:val="22"/>
        </w:rPr>
        <w:t xml:space="preserve"> </w:t>
      </w:r>
    </w:p>
    <w:p w:rsidR="00E8309B" w:rsidRDefault="009D0949">
      <w:pPr>
        <w:numPr>
          <w:ilvl w:val="0"/>
          <w:numId w:val="1"/>
        </w:numPr>
        <w:spacing w:after="115" w:line="269" w:lineRule="auto"/>
        <w:ind w:right="0" w:hanging="221"/>
        <w:jc w:val="left"/>
      </w:pPr>
      <w:r>
        <w:rPr>
          <w:sz w:val="20"/>
        </w:rPr>
        <w:lastRenderedPageBreak/>
        <w:t>ФИСКАЛНИ ОКВИР ЗА ПЕРИОД ОД 2021. ДО 2023. ГОДИНЕ</w:t>
      </w:r>
      <w:r>
        <w:rPr>
          <w:rFonts w:ascii="Calibri" w:eastAsia="Calibri" w:hAnsi="Calibri" w:cs="Calibri"/>
          <w:sz w:val="20"/>
        </w:rPr>
        <w:t xml:space="preserve"> ___________________________ 45</w:t>
      </w:r>
      <w:r>
        <w:rPr>
          <w:rFonts w:ascii="Calibri" w:eastAsia="Calibri" w:hAnsi="Calibri" w:cs="Calibri"/>
          <w:sz w:val="22"/>
        </w:rPr>
        <w:t xml:space="preserve"> </w:t>
      </w:r>
    </w:p>
    <w:p w:rsidR="00E8309B" w:rsidRDefault="009D0949">
      <w:pPr>
        <w:numPr>
          <w:ilvl w:val="1"/>
          <w:numId w:val="1"/>
        </w:numPr>
        <w:spacing w:after="97" w:line="259" w:lineRule="auto"/>
        <w:ind w:right="0" w:hanging="352"/>
        <w:jc w:val="left"/>
      </w:pPr>
      <w:r>
        <w:rPr>
          <w:rFonts w:ascii="Cambria" w:eastAsia="Cambria" w:hAnsi="Cambria" w:cs="Cambria"/>
          <w:sz w:val="20"/>
        </w:rPr>
        <w:t>СТРАТЕГИЈА ЈАВНЕ ПОЛИТИКЕ И СРЕДЊОРОЧНИ ЦИЉЕВИ _________________________________ 45</w:t>
      </w:r>
      <w:r>
        <w:rPr>
          <w:rFonts w:ascii="Calibri" w:eastAsia="Calibri" w:hAnsi="Calibri" w:cs="Calibri"/>
          <w:sz w:val="22"/>
        </w:rPr>
        <w:t xml:space="preserve"> </w:t>
      </w:r>
    </w:p>
    <w:p w:rsidR="00E8309B" w:rsidRDefault="009D0949">
      <w:pPr>
        <w:numPr>
          <w:ilvl w:val="1"/>
          <w:numId w:val="1"/>
        </w:numPr>
        <w:spacing w:after="97" w:line="259" w:lineRule="auto"/>
        <w:ind w:right="0" w:hanging="352"/>
        <w:jc w:val="left"/>
      </w:pPr>
      <w:r>
        <w:rPr>
          <w:sz w:val="20"/>
        </w:rPr>
        <w:t>ИЗВРШЕЊЕ БУЏЕТА У 2020. ГОДИНИ</w:t>
      </w:r>
      <w:r>
        <w:rPr>
          <w:rFonts w:ascii="Cambria" w:eastAsia="Cambria" w:hAnsi="Cambria" w:cs="Cambria"/>
          <w:sz w:val="20"/>
        </w:rPr>
        <w:t xml:space="preserve"> _________________________________________________</w:t>
      </w:r>
      <w:r>
        <w:rPr>
          <w:rFonts w:ascii="Cambria" w:eastAsia="Cambria" w:hAnsi="Cambria" w:cs="Cambria"/>
          <w:sz w:val="20"/>
        </w:rPr>
        <w:t>_________ 46</w:t>
      </w:r>
      <w:r>
        <w:rPr>
          <w:rFonts w:ascii="Calibri" w:eastAsia="Calibri" w:hAnsi="Calibri" w:cs="Calibri"/>
          <w:sz w:val="22"/>
        </w:rPr>
        <w:t xml:space="preserve"> </w:t>
      </w:r>
    </w:p>
    <w:p w:rsidR="00E8309B" w:rsidRDefault="009D0949">
      <w:pPr>
        <w:numPr>
          <w:ilvl w:val="1"/>
          <w:numId w:val="1"/>
        </w:numPr>
        <w:spacing w:after="94" w:line="269" w:lineRule="auto"/>
        <w:ind w:right="0" w:hanging="352"/>
        <w:jc w:val="left"/>
      </w:pPr>
      <w:r>
        <w:rPr>
          <w:sz w:val="20"/>
        </w:rPr>
        <w:t>ФИСКАЛНЕ ПРОЈЕКЦИЈЕ У ПЕРИОДУ 2021–2023. ГОДИНЕ</w:t>
      </w:r>
      <w:r>
        <w:rPr>
          <w:rFonts w:ascii="Cambria" w:eastAsia="Cambria" w:hAnsi="Cambria" w:cs="Cambria"/>
          <w:sz w:val="20"/>
        </w:rPr>
        <w:t xml:space="preserve"> ________________________________ 56</w:t>
      </w:r>
      <w:r>
        <w:rPr>
          <w:rFonts w:ascii="Calibri" w:eastAsia="Calibri" w:hAnsi="Calibri" w:cs="Calibri"/>
          <w:sz w:val="22"/>
        </w:rPr>
        <w:t xml:space="preserve"> </w:t>
      </w:r>
    </w:p>
    <w:p w:rsidR="00E8309B" w:rsidRDefault="009D0949">
      <w:pPr>
        <w:numPr>
          <w:ilvl w:val="1"/>
          <w:numId w:val="1"/>
        </w:numPr>
        <w:spacing w:after="97" w:line="259" w:lineRule="auto"/>
        <w:ind w:right="0" w:hanging="352"/>
        <w:jc w:val="left"/>
      </w:pPr>
      <w:r>
        <w:rPr>
          <w:sz w:val="20"/>
        </w:rPr>
        <w:t>ЦИКЛИЧНО ПРИЛАГОЂЕНИ ФИСКАЛНИ БИЛАНС</w:t>
      </w:r>
      <w:r>
        <w:rPr>
          <w:rFonts w:ascii="Cambria" w:eastAsia="Cambria" w:hAnsi="Cambria" w:cs="Cambria"/>
          <w:sz w:val="20"/>
        </w:rPr>
        <w:t xml:space="preserve"> _________________________________________ 62</w:t>
      </w:r>
      <w:r>
        <w:rPr>
          <w:rFonts w:ascii="Calibri" w:eastAsia="Calibri" w:hAnsi="Calibri" w:cs="Calibri"/>
          <w:sz w:val="22"/>
        </w:rPr>
        <w:t xml:space="preserve"> </w:t>
      </w:r>
    </w:p>
    <w:p w:rsidR="00E8309B" w:rsidRDefault="009D0949">
      <w:pPr>
        <w:numPr>
          <w:ilvl w:val="1"/>
          <w:numId w:val="1"/>
        </w:numPr>
        <w:spacing w:after="118" w:line="259" w:lineRule="auto"/>
        <w:ind w:right="0" w:hanging="352"/>
        <w:jc w:val="left"/>
      </w:pPr>
      <w:r>
        <w:rPr>
          <w:sz w:val="20"/>
        </w:rPr>
        <w:t>УПРАВЉАЊЕ ЈАВНИМ ДУГОМ</w:t>
      </w:r>
      <w:r>
        <w:rPr>
          <w:rFonts w:ascii="Cambria" w:eastAsia="Cambria" w:hAnsi="Cambria" w:cs="Cambria"/>
          <w:sz w:val="20"/>
        </w:rPr>
        <w:t xml:space="preserve"> __________________________________________________________________ 65</w:t>
      </w:r>
      <w:r>
        <w:rPr>
          <w:rFonts w:ascii="Calibri" w:eastAsia="Calibri" w:hAnsi="Calibri" w:cs="Calibri"/>
          <w:sz w:val="22"/>
        </w:rPr>
        <w:t xml:space="preserve"> </w:t>
      </w:r>
    </w:p>
    <w:p w:rsidR="00E8309B" w:rsidRDefault="009D0949">
      <w:pPr>
        <w:numPr>
          <w:ilvl w:val="1"/>
          <w:numId w:val="1"/>
        </w:numPr>
        <w:spacing w:after="92" w:line="269" w:lineRule="auto"/>
        <w:ind w:right="0" w:hanging="352"/>
        <w:jc w:val="left"/>
      </w:pPr>
      <w:r>
        <w:rPr>
          <w:sz w:val="20"/>
        </w:rPr>
        <w:t>АНАЛИЗА ОСЕТЉИВОСТИ И ПОРЕЂЕЊЕ СА ПРЕТХОДНИМ ПРОГРАМОМ</w:t>
      </w:r>
      <w:r>
        <w:rPr>
          <w:rFonts w:ascii="Cambria" w:eastAsia="Cambria" w:hAnsi="Cambria" w:cs="Cambria"/>
          <w:sz w:val="20"/>
        </w:rPr>
        <w:t xml:space="preserve"> ___________ 68</w:t>
      </w:r>
      <w:r>
        <w:rPr>
          <w:rFonts w:ascii="Calibri" w:eastAsia="Calibri" w:hAnsi="Calibri" w:cs="Calibri"/>
          <w:sz w:val="22"/>
        </w:rPr>
        <w:t xml:space="preserve"> </w:t>
      </w:r>
    </w:p>
    <w:p w:rsidR="00E8309B" w:rsidRDefault="009D0949">
      <w:pPr>
        <w:numPr>
          <w:ilvl w:val="1"/>
          <w:numId w:val="1"/>
        </w:numPr>
        <w:spacing w:after="97" w:line="259" w:lineRule="auto"/>
        <w:ind w:right="0" w:hanging="352"/>
        <w:jc w:val="left"/>
      </w:pPr>
      <w:r>
        <w:rPr>
          <w:sz w:val="20"/>
        </w:rPr>
        <w:t>КВАЛИТЕТ ЈАВНИХ ФИНАНСИЈА</w:t>
      </w:r>
      <w:r>
        <w:rPr>
          <w:rFonts w:ascii="Cambria" w:eastAsia="Cambria" w:hAnsi="Cambria" w:cs="Cambria"/>
          <w:sz w:val="20"/>
        </w:rPr>
        <w:t xml:space="preserve"> ______________________________________________________________ 76</w:t>
      </w:r>
      <w:r>
        <w:rPr>
          <w:rFonts w:ascii="Calibri" w:eastAsia="Calibri" w:hAnsi="Calibri" w:cs="Calibri"/>
          <w:sz w:val="22"/>
        </w:rPr>
        <w:t xml:space="preserve"> </w:t>
      </w:r>
    </w:p>
    <w:p w:rsidR="00E8309B" w:rsidRDefault="009D0949">
      <w:pPr>
        <w:numPr>
          <w:ilvl w:val="1"/>
          <w:numId w:val="1"/>
        </w:numPr>
        <w:spacing w:after="97" w:line="259" w:lineRule="auto"/>
        <w:ind w:right="0" w:hanging="352"/>
        <w:jc w:val="left"/>
      </w:pPr>
      <w:r>
        <w:rPr>
          <w:sz w:val="20"/>
        </w:rPr>
        <w:t>ФИСКАЛНО УПРАВЉАЊЕ И</w:t>
      </w:r>
      <w:r>
        <w:rPr>
          <w:sz w:val="20"/>
        </w:rPr>
        <w:t xml:space="preserve"> БУЏЕТСКИ ОКВИРИ</w:t>
      </w:r>
      <w:r>
        <w:rPr>
          <w:rFonts w:ascii="Cambria" w:eastAsia="Cambria" w:hAnsi="Cambria" w:cs="Cambria"/>
          <w:sz w:val="20"/>
        </w:rPr>
        <w:t>___________________________________________ 80</w:t>
      </w:r>
      <w:r>
        <w:rPr>
          <w:rFonts w:ascii="Calibri" w:eastAsia="Calibri" w:hAnsi="Calibri" w:cs="Calibri"/>
          <w:sz w:val="22"/>
        </w:rPr>
        <w:t xml:space="preserve"> </w:t>
      </w:r>
    </w:p>
    <w:p w:rsidR="00E8309B" w:rsidRDefault="009D0949">
      <w:pPr>
        <w:numPr>
          <w:ilvl w:val="0"/>
          <w:numId w:val="1"/>
        </w:numPr>
        <w:spacing w:after="115" w:line="269" w:lineRule="auto"/>
        <w:ind w:right="0" w:hanging="221"/>
        <w:jc w:val="left"/>
      </w:pPr>
      <w:r>
        <w:rPr>
          <w:sz w:val="20"/>
        </w:rPr>
        <w:t>СТРУКТУРНЕ РЕФОРМЕ У ПЕРИОДУ 2021-2023. ГОДИНЕ</w:t>
      </w:r>
      <w:r>
        <w:rPr>
          <w:rFonts w:ascii="Calibri" w:eastAsia="Calibri" w:hAnsi="Calibri" w:cs="Calibri"/>
          <w:sz w:val="20"/>
        </w:rPr>
        <w:t xml:space="preserve"> ______________________________ 81</w:t>
      </w:r>
      <w:r>
        <w:rPr>
          <w:rFonts w:ascii="Calibri" w:eastAsia="Calibri" w:hAnsi="Calibri" w:cs="Calibri"/>
          <w:sz w:val="22"/>
        </w:rPr>
        <w:t xml:space="preserve"> </w:t>
      </w:r>
    </w:p>
    <w:p w:rsidR="00E8309B" w:rsidRDefault="009D0949">
      <w:pPr>
        <w:numPr>
          <w:ilvl w:val="1"/>
          <w:numId w:val="1"/>
        </w:numPr>
        <w:spacing w:after="97" w:line="259" w:lineRule="auto"/>
        <w:ind w:right="0" w:hanging="352"/>
        <w:jc w:val="left"/>
      </w:pPr>
      <w:r>
        <w:rPr>
          <w:rFonts w:ascii="Cambria" w:eastAsia="Cambria" w:hAnsi="Cambria" w:cs="Cambria"/>
          <w:sz w:val="20"/>
        </w:rPr>
        <w:t>ИДЕНТИФИКАЦИЈА КЉУЧНИХ ПРЕПРЕКА ЗА КОНКУРЕНТНОСТ И ИНКЛУЗИВНИ РАСТ 81</w:t>
      </w:r>
      <w:r>
        <w:rPr>
          <w:rFonts w:ascii="Calibri" w:eastAsia="Calibri" w:hAnsi="Calibri" w:cs="Calibri"/>
          <w:sz w:val="22"/>
        </w:rPr>
        <w:t xml:space="preserve"> </w:t>
      </w:r>
    </w:p>
    <w:p w:rsidR="00E8309B" w:rsidRDefault="009D0949">
      <w:pPr>
        <w:numPr>
          <w:ilvl w:val="1"/>
          <w:numId w:val="1"/>
        </w:numPr>
        <w:spacing w:after="97" w:line="259" w:lineRule="auto"/>
        <w:ind w:right="0" w:hanging="352"/>
        <w:jc w:val="left"/>
      </w:pPr>
      <w:r>
        <w:rPr>
          <w:rFonts w:ascii="Cambria" w:eastAsia="Cambria" w:hAnsi="Cambria" w:cs="Cambria"/>
          <w:sz w:val="20"/>
        </w:rPr>
        <w:t>РЕЗИМЕ СТРУКТУРНИХ РЕФОРМИ ____________</w:t>
      </w:r>
      <w:r>
        <w:rPr>
          <w:rFonts w:ascii="Cambria" w:eastAsia="Cambria" w:hAnsi="Cambria" w:cs="Cambria"/>
          <w:sz w:val="20"/>
        </w:rPr>
        <w:t>___________________________________________________ 83</w:t>
      </w:r>
      <w:r>
        <w:rPr>
          <w:rFonts w:ascii="Calibri" w:eastAsia="Calibri" w:hAnsi="Calibri" w:cs="Calibri"/>
          <w:sz w:val="22"/>
        </w:rPr>
        <w:t xml:space="preserve"> </w:t>
      </w:r>
    </w:p>
    <w:p w:rsidR="00E8309B" w:rsidRDefault="009D0949">
      <w:pPr>
        <w:numPr>
          <w:ilvl w:val="1"/>
          <w:numId w:val="1"/>
        </w:numPr>
        <w:spacing w:after="97" w:line="259" w:lineRule="auto"/>
        <w:ind w:right="0" w:hanging="352"/>
        <w:jc w:val="left"/>
      </w:pPr>
      <w:r>
        <w:rPr>
          <w:rFonts w:ascii="Cambria" w:eastAsia="Cambria" w:hAnsi="Cambria" w:cs="Cambria"/>
          <w:sz w:val="20"/>
        </w:rPr>
        <w:t>АНАЛИЗА ПО ОБЛАСТИМА И СТРУКТУРНЕ РЕФОРМЕ_________________________________________ 90</w:t>
      </w:r>
      <w:r>
        <w:rPr>
          <w:rFonts w:ascii="Calibri" w:eastAsia="Calibri" w:hAnsi="Calibri" w:cs="Calibri"/>
          <w:sz w:val="22"/>
        </w:rPr>
        <w:t xml:space="preserve"> </w:t>
      </w:r>
    </w:p>
    <w:p w:rsidR="00E8309B" w:rsidRDefault="009D0949">
      <w:pPr>
        <w:numPr>
          <w:ilvl w:val="2"/>
          <w:numId w:val="1"/>
        </w:numPr>
        <w:spacing w:after="115" w:line="259" w:lineRule="auto"/>
        <w:ind w:right="0" w:hanging="501"/>
        <w:jc w:val="left"/>
      </w:pPr>
      <w:r>
        <w:rPr>
          <w:sz w:val="20"/>
          <w:shd w:val="clear" w:color="auto" w:fill="D9D9D9"/>
        </w:rPr>
        <w:t>Област РЕФОРМА ТРЖИШТА ЕНЕРГИЈЕ И ТРАНСПОРТА</w:t>
      </w:r>
      <w:r>
        <w:rPr>
          <w:rFonts w:ascii="Calibri" w:eastAsia="Calibri" w:hAnsi="Calibri" w:cs="Calibri"/>
          <w:sz w:val="20"/>
        </w:rPr>
        <w:t xml:space="preserve"> ________________________________ 90</w:t>
      </w:r>
      <w:r>
        <w:rPr>
          <w:rFonts w:ascii="Calibri" w:eastAsia="Calibri" w:hAnsi="Calibri" w:cs="Calibri"/>
          <w:sz w:val="22"/>
        </w:rPr>
        <w:t xml:space="preserve"> </w:t>
      </w:r>
    </w:p>
    <w:p w:rsidR="00E8309B" w:rsidRDefault="009D0949">
      <w:pPr>
        <w:numPr>
          <w:ilvl w:val="2"/>
          <w:numId w:val="1"/>
        </w:numPr>
        <w:spacing w:after="115" w:line="259" w:lineRule="auto"/>
        <w:ind w:right="0" w:hanging="501"/>
        <w:jc w:val="left"/>
      </w:pPr>
      <w:r>
        <w:rPr>
          <w:sz w:val="20"/>
          <w:shd w:val="clear" w:color="auto" w:fill="D9D9D9"/>
        </w:rPr>
        <w:t>Област ПОЉОПРИВРЕДА, ИНДУСТРИЈА</w:t>
      </w:r>
      <w:r>
        <w:rPr>
          <w:sz w:val="20"/>
          <w:shd w:val="clear" w:color="auto" w:fill="D9D9D9"/>
        </w:rPr>
        <w:t xml:space="preserve"> И УСЛУГЕ</w:t>
      </w:r>
      <w:r>
        <w:rPr>
          <w:rFonts w:ascii="Calibri" w:eastAsia="Calibri" w:hAnsi="Calibri" w:cs="Calibri"/>
          <w:sz w:val="20"/>
        </w:rPr>
        <w:t xml:space="preserve"> _____________________________________ 103</w:t>
      </w:r>
      <w:r>
        <w:rPr>
          <w:rFonts w:ascii="Calibri" w:eastAsia="Calibri" w:hAnsi="Calibri" w:cs="Calibri"/>
          <w:sz w:val="22"/>
        </w:rPr>
        <w:t xml:space="preserve"> </w:t>
      </w:r>
    </w:p>
    <w:p w:rsidR="00E8309B" w:rsidRDefault="009D0949">
      <w:pPr>
        <w:numPr>
          <w:ilvl w:val="2"/>
          <w:numId w:val="1"/>
        </w:numPr>
        <w:spacing w:after="115" w:line="259" w:lineRule="auto"/>
        <w:ind w:right="0" w:hanging="501"/>
        <w:jc w:val="left"/>
      </w:pPr>
      <w:r>
        <w:rPr>
          <w:sz w:val="20"/>
          <w:shd w:val="clear" w:color="auto" w:fill="D9D9D9"/>
        </w:rPr>
        <w:t>Област ПОСЛОВНИ АМБИЈЕНТ И БОРБА ПРОТИВ СИВЕ ЕКОНОМИЈЕ</w:t>
      </w:r>
      <w:r>
        <w:rPr>
          <w:rFonts w:ascii="Calibri" w:eastAsia="Calibri" w:hAnsi="Calibri" w:cs="Calibri"/>
          <w:sz w:val="20"/>
        </w:rPr>
        <w:t xml:space="preserve"> ___________________ 124</w:t>
      </w:r>
      <w:r>
        <w:rPr>
          <w:rFonts w:ascii="Calibri" w:eastAsia="Calibri" w:hAnsi="Calibri" w:cs="Calibri"/>
          <w:sz w:val="22"/>
        </w:rPr>
        <w:t xml:space="preserve"> </w:t>
      </w:r>
    </w:p>
    <w:p w:rsidR="00E8309B" w:rsidRDefault="009D0949">
      <w:pPr>
        <w:numPr>
          <w:ilvl w:val="2"/>
          <w:numId w:val="1"/>
        </w:numPr>
        <w:spacing w:after="115" w:line="259" w:lineRule="auto"/>
        <w:ind w:right="0" w:hanging="501"/>
        <w:jc w:val="left"/>
      </w:pPr>
      <w:r>
        <w:rPr>
          <w:sz w:val="20"/>
          <w:shd w:val="clear" w:color="auto" w:fill="D9D9D9"/>
        </w:rPr>
        <w:t>Област ИСТРАЖИВАЊЕ, РАЗВОЈ И ИНОВАЦИЈЕ И ДИГИТАЛНА ТРАНСФОРМАЦИЈА</w:t>
      </w:r>
      <w:r>
        <w:rPr>
          <w:rFonts w:ascii="Calibri" w:eastAsia="Calibri" w:hAnsi="Calibri" w:cs="Calibri"/>
          <w:sz w:val="20"/>
        </w:rPr>
        <w:t xml:space="preserve"> _____ 139</w:t>
      </w:r>
      <w:r>
        <w:rPr>
          <w:rFonts w:ascii="Calibri" w:eastAsia="Calibri" w:hAnsi="Calibri" w:cs="Calibri"/>
          <w:sz w:val="22"/>
        </w:rPr>
        <w:t xml:space="preserve"> </w:t>
      </w:r>
    </w:p>
    <w:p w:rsidR="00E8309B" w:rsidRDefault="009D0949">
      <w:pPr>
        <w:numPr>
          <w:ilvl w:val="2"/>
          <w:numId w:val="1"/>
        </w:numPr>
        <w:spacing w:after="115" w:line="259" w:lineRule="auto"/>
        <w:ind w:right="0" w:hanging="501"/>
        <w:jc w:val="left"/>
      </w:pPr>
      <w:r>
        <w:rPr>
          <w:sz w:val="20"/>
          <w:shd w:val="clear" w:color="auto" w:fill="D9D9D9"/>
        </w:rPr>
        <w:t>Област РЕФОРМЕ У ОБЛАСТИ ЕКОНОМСКИХ ИНТЕГРАЦИЈА</w:t>
      </w:r>
      <w:r>
        <w:rPr>
          <w:rFonts w:ascii="Calibri" w:eastAsia="Calibri" w:hAnsi="Calibri" w:cs="Calibri"/>
          <w:sz w:val="20"/>
        </w:rPr>
        <w:t xml:space="preserve"> ___________________________ 153</w:t>
      </w:r>
      <w:r>
        <w:rPr>
          <w:rFonts w:ascii="Calibri" w:eastAsia="Calibri" w:hAnsi="Calibri" w:cs="Calibri"/>
          <w:sz w:val="22"/>
        </w:rPr>
        <w:t xml:space="preserve"> </w:t>
      </w:r>
    </w:p>
    <w:p w:rsidR="00E8309B" w:rsidRDefault="009D0949">
      <w:pPr>
        <w:numPr>
          <w:ilvl w:val="2"/>
          <w:numId w:val="1"/>
        </w:numPr>
        <w:spacing w:after="110" w:line="259" w:lineRule="auto"/>
        <w:ind w:right="0" w:hanging="501"/>
        <w:jc w:val="left"/>
      </w:pPr>
      <w:r>
        <w:rPr>
          <w:sz w:val="20"/>
          <w:shd w:val="clear" w:color="auto" w:fill="D9D9D9"/>
        </w:rPr>
        <w:t>Област ОБРАЗОВАЊЕ И ВЕШТИНЕ</w:t>
      </w:r>
      <w:r>
        <w:rPr>
          <w:rFonts w:ascii="Calibri" w:eastAsia="Calibri" w:hAnsi="Calibri" w:cs="Calibri"/>
          <w:sz w:val="20"/>
        </w:rPr>
        <w:t xml:space="preserve"> ____________________________________________________ 161</w:t>
      </w:r>
      <w:r>
        <w:rPr>
          <w:rFonts w:ascii="Calibri" w:eastAsia="Calibri" w:hAnsi="Calibri" w:cs="Calibri"/>
          <w:sz w:val="22"/>
        </w:rPr>
        <w:t xml:space="preserve"> </w:t>
      </w:r>
    </w:p>
    <w:p w:rsidR="00E8309B" w:rsidRDefault="009D0949">
      <w:pPr>
        <w:numPr>
          <w:ilvl w:val="2"/>
          <w:numId w:val="1"/>
        </w:numPr>
        <w:spacing w:after="110" w:line="259" w:lineRule="auto"/>
        <w:ind w:right="0" w:hanging="501"/>
        <w:jc w:val="left"/>
      </w:pPr>
      <w:r>
        <w:rPr>
          <w:sz w:val="20"/>
          <w:shd w:val="clear" w:color="auto" w:fill="D9D9D9"/>
        </w:rPr>
        <w:t>Област ЗАПОШЉАВАЊЕ И ТРЖИШТЕ РАДА</w:t>
      </w:r>
      <w:r>
        <w:rPr>
          <w:rFonts w:ascii="Calibri" w:eastAsia="Calibri" w:hAnsi="Calibri" w:cs="Calibri"/>
          <w:sz w:val="20"/>
        </w:rPr>
        <w:t xml:space="preserve"> ___________________________________________ 170</w:t>
      </w:r>
      <w:r>
        <w:rPr>
          <w:rFonts w:ascii="Calibri" w:eastAsia="Calibri" w:hAnsi="Calibri" w:cs="Calibri"/>
          <w:sz w:val="22"/>
        </w:rPr>
        <w:t xml:space="preserve"> </w:t>
      </w:r>
    </w:p>
    <w:p w:rsidR="00E8309B" w:rsidRDefault="009D0949">
      <w:pPr>
        <w:numPr>
          <w:ilvl w:val="2"/>
          <w:numId w:val="1"/>
        </w:numPr>
        <w:spacing w:after="115" w:line="259" w:lineRule="auto"/>
        <w:ind w:right="0" w:hanging="501"/>
        <w:jc w:val="left"/>
      </w:pPr>
      <w:r>
        <w:rPr>
          <w:sz w:val="20"/>
          <w:shd w:val="clear" w:color="auto" w:fill="D9D9D9"/>
        </w:rPr>
        <w:t>Област СОЦИЈАЛНА ЗАШТИТА И ИНКЛУЗИЈА, УКЉУЧУЈУЋИ ЗДРАВСТВЕНУ ЗАШТИТУ</w:t>
      </w:r>
      <w:r>
        <w:rPr>
          <w:rFonts w:ascii="Calibri" w:eastAsia="Calibri" w:hAnsi="Calibri" w:cs="Calibri"/>
          <w:sz w:val="20"/>
        </w:rPr>
        <w:t xml:space="preserve"> _ 175</w:t>
      </w:r>
      <w:r>
        <w:rPr>
          <w:rFonts w:ascii="Calibri" w:eastAsia="Calibri" w:hAnsi="Calibri" w:cs="Calibri"/>
          <w:sz w:val="22"/>
        </w:rPr>
        <w:t xml:space="preserve"> </w:t>
      </w:r>
    </w:p>
    <w:p w:rsidR="00E8309B" w:rsidRDefault="009D0949">
      <w:pPr>
        <w:numPr>
          <w:ilvl w:val="0"/>
          <w:numId w:val="1"/>
        </w:numPr>
        <w:spacing w:after="131" w:line="269" w:lineRule="auto"/>
        <w:ind w:right="0" w:hanging="221"/>
        <w:jc w:val="left"/>
      </w:pPr>
      <w:r>
        <w:rPr>
          <w:sz w:val="20"/>
        </w:rPr>
        <w:t>ТРОШКОВИ И ФИНАНСИРАЊЕ СТРУКТУРНИХ РЕФОРМИ</w:t>
      </w:r>
      <w:r>
        <w:rPr>
          <w:rFonts w:ascii="Calibri" w:eastAsia="Calibri" w:hAnsi="Calibri" w:cs="Calibri"/>
          <w:sz w:val="20"/>
        </w:rPr>
        <w:t xml:space="preserve"> ___________________________ 183</w:t>
      </w:r>
      <w:r>
        <w:rPr>
          <w:rFonts w:ascii="Calibri" w:eastAsia="Calibri" w:hAnsi="Calibri" w:cs="Calibri"/>
          <w:sz w:val="22"/>
        </w:rPr>
        <w:t xml:space="preserve"> </w:t>
      </w:r>
    </w:p>
    <w:p w:rsidR="00E8309B" w:rsidRDefault="009D0949">
      <w:pPr>
        <w:numPr>
          <w:ilvl w:val="0"/>
          <w:numId w:val="1"/>
        </w:numPr>
        <w:spacing w:after="127" w:line="269" w:lineRule="auto"/>
        <w:ind w:right="0" w:hanging="221"/>
        <w:jc w:val="left"/>
      </w:pPr>
      <w:r>
        <w:rPr>
          <w:sz w:val="20"/>
        </w:rPr>
        <w:t>ИНСТИТУЦИОНАЛНА ПИТАЊА И УКЉУЧИВАЊЕ ЗАИНТЕРЕСОВАНИХ СТРАНА</w:t>
      </w:r>
      <w:r>
        <w:rPr>
          <w:rFonts w:ascii="Calibri" w:eastAsia="Calibri" w:hAnsi="Calibri" w:cs="Calibri"/>
          <w:sz w:val="20"/>
        </w:rPr>
        <w:t xml:space="preserve"> ___ 183</w:t>
      </w:r>
      <w:r>
        <w:rPr>
          <w:rFonts w:ascii="Calibri" w:eastAsia="Calibri" w:hAnsi="Calibri" w:cs="Calibri"/>
          <w:sz w:val="22"/>
        </w:rPr>
        <w:t xml:space="preserve"> </w:t>
      </w:r>
    </w:p>
    <w:p w:rsidR="00E8309B" w:rsidRDefault="009D0949">
      <w:pPr>
        <w:numPr>
          <w:ilvl w:val="0"/>
          <w:numId w:val="1"/>
        </w:numPr>
        <w:spacing w:after="110" w:line="259" w:lineRule="auto"/>
        <w:ind w:right="0" w:hanging="221"/>
        <w:jc w:val="left"/>
      </w:pPr>
      <w:r>
        <w:rPr>
          <w:sz w:val="20"/>
        </w:rPr>
        <w:t>ПРИЛОЗИ</w:t>
      </w:r>
      <w:r>
        <w:rPr>
          <w:rFonts w:ascii="Calibri" w:eastAsia="Calibri" w:hAnsi="Calibri" w:cs="Calibri"/>
          <w:sz w:val="20"/>
        </w:rPr>
        <w:t xml:space="preserve"> ____________________________</w:t>
      </w:r>
      <w:r>
        <w:rPr>
          <w:rFonts w:ascii="Calibri" w:eastAsia="Calibri" w:hAnsi="Calibri" w:cs="Calibri"/>
          <w:sz w:val="20"/>
        </w:rPr>
        <w:t>_________________________________________________ 186</w:t>
      </w:r>
      <w:r>
        <w:rPr>
          <w:rFonts w:ascii="Calibri" w:eastAsia="Calibri" w:hAnsi="Calibri" w:cs="Calibri"/>
          <w:sz w:val="22"/>
        </w:rPr>
        <w:t xml:space="preserve"> </w:t>
      </w:r>
    </w:p>
    <w:p w:rsidR="00E8309B" w:rsidRDefault="009D0949">
      <w:pPr>
        <w:spacing w:after="110" w:line="259" w:lineRule="auto"/>
        <w:ind w:left="396" w:right="0"/>
        <w:jc w:val="left"/>
      </w:pPr>
      <w:r>
        <w:rPr>
          <w:sz w:val="20"/>
        </w:rPr>
        <w:t>Табела 1: Макроекономски оквир</w:t>
      </w:r>
      <w:r>
        <w:rPr>
          <w:rFonts w:ascii="Calibri" w:eastAsia="Calibri" w:hAnsi="Calibri" w:cs="Calibri"/>
          <w:sz w:val="20"/>
        </w:rPr>
        <w:t xml:space="preserve"> _____________________________________________________________ 186</w:t>
      </w:r>
      <w:r>
        <w:rPr>
          <w:rFonts w:ascii="Calibri" w:eastAsia="Calibri" w:hAnsi="Calibri" w:cs="Calibri"/>
          <w:sz w:val="22"/>
        </w:rPr>
        <w:t xml:space="preserve"> </w:t>
      </w:r>
    </w:p>
    <w:p w:rsidR="00E8309B" w:rsidRDefault="009D0949">
      <w:pPr>
        <w:spacing w:after="110" w:line="259" w:lineRule="auto"/>
        <w:ind w:left="396" w:right="0"/>
        <w:jc w:val="left"/>
      </w:pPr>
      <w:r>
        <w:rPr>
          <w:sz w:val="20"/>
        </w:rPr>
        <w:t>Табела 2: Буџетски изгледи општег нивоа државе</w:t>
      </w:r>
      <w:r>
        <w:rPr>
          <w:rFonts w:ascii="Calibri" w:eastAsia="Calibri" w:hAnsi="Calibri" w:cs="Calibri"/>
          <w:sz w:val="20"/>
        </w:rPr>
        <w:t xml:space="preserve"> _______________________________________________ 195</w:t>
      </w:r>
      <w:r>
        <w:rPr>
          <w:rFonts w:ascii="Calibri" w:eastAsia="Calibri" w:hAnsi="Calibri" w:cs="Calibri"/>
          <w:sz w:val="22"/>
        </w:rPr>
        <w:t xml:space="preserve"> </w:t>
      </w:r>
    </w:p>
    <w:p w:rsidR="00E8309B" w:rsidRDefault="009D0949">
      <w:pPr>
        <w:spacing w:after="104" w:line="269" w:lineRule="auto"/>
        <w:ind w:left="411" w:right="0"/>
        <w:jc w:val="left"/>
      </w:pPr>
      <w:r>
        <w:rPr>
          <w:sz w:val="20"/>
        </w:rPr>
        <w:t>Tаб</w:t>
      </w:r>
      <w:r>
        <w:rPr>
          <w:sz w:val="20"/>
        </w:rPr>
        <w:t>ела 3: Расходи општег нивоа државе по функцијама (у млрд РСД)</w:t>
      </w:r>
      <w:r>
        <w:rPr>
          <w:rFonts w:ascii="Calibri" w:eastAsia="Calibri" w:hAnsi="Calibri" w:cs="Calibri"/>
          <w:sz w:val="20"/>
        </w:rPr>
        <w:t xml:space="preserve"> ______________________________ 200</w:t>
      </w:r>
      <w:r>
        <w:rPr>
          <w:rFonts w:ascii="Calibri" w:eastAsia="Calibri" w:hAnsi="Calibri" w:cs="Calibri"/>
          <w:sz w:val="22"/>
        </w:rPr>
        <w:t xml:space="preserve"> </w:t>
      </w:r>
    </w:p>
    <w:p w:rsidR="00E8309B" w:rsidRDefault="009D0949">
      <w:pPr>
        <w:spacing w:after="110" w:line="259" w:lineRule="auto"/>
        <w:ind w:left="396" w:right="0"/>
        <w:jc w:val="left"/>
      </w:pPr>
      <w:r>
        <w:rPr>
          <w:sz w:val="20"/>
        </w:rPr>
        <w:t>Табела 4: Кретање дуга општег нивоа државе</w:t>
      </w:r>
      <w:r>
        <w:rPr>
          <w:rFonts w:ascii="Calibri" w:eastAsia="Calibri" w:hAnsi="Calibri" w:cs="Calibri"/>
          <w:sz w:val="20"/>
        </w:rPr>
        <w:t>___________________________________________________ 201</w:t>
      </w:r>
      <w:r>
        <w:rPr>
          <w:rFonts w:ascii="Calibri" w:eastAsia="Calibri" w:hAnsi="Calibri" w:cs="Calibri"/>
          <w:sz w:val="22"/>
        </w:rPr>
        <w:t xml:space="preserve"> </w:t>
      </w:r>
    </w:p>
    <w:p w:rsidR="00E8309B" w:rsidRDefault="009D0949">
      <w:pPr>
        <w:spacing w:after="110" w:line="259" w:lineRule="auto"/>
        <w:ind w:left="396" w:right="0"/>
        <w:jc w:val="left"/>
      </w:pPr>
      <w:r>
        <w:rPr>
          <w:sz w:val="20"/>
        </w:rPr>
        <w:t>Табела 5: Циклична кретања</w:t>
      </w:r>
      <w:r>
        <w:rPr>
          <w:rFonts w:ascii="Calibri" w:eastAsia="Calibri" w:hAnsi="Calibri" w:cs="Calibri"/>
          <w:sz w:val="20"/>
        </w:rPr>
        <w:t xml:space="preserve"> ________________________________</w:t>
      </w:r>
      <w:r>
        <w:rPr>
          <w:rFonts w:ascii="Calibri" w:eastAsia="Calibri" w:hAnsi="Calibri" w:cs="Calibri"/>
          <w:sz w:val="20"/>
        </w:rPr>
        <w:t>_________________________________ 203</w:t>
      </w:r>
      <w:r>
        <w:rPr>
          <w:rFonts w:ascii="Calibri" w:eastAsia="Calibri" w:hAnsi="Calibri" w:cs="Calibri"/>
          <w:sz w:val="22"/>
        </w:rPr>
        <w:t xml:space="preserve"> </w:t>
      </w:r>
      <w:r>
        <w:rPr>
          <w:sz w:val="20"/>
        </w:rPr>
        <w:t>Табела 6: Одступање од претходног Програма</w:t>
      </w:r>
      <w:r>
        <w:rPr>
          <w:rFonts w:ascii="Calibri" w:eastAsia="Calibri" w:hAnsi="Calibri" w:cs="Calibri"/>
          <w:sz w:val="20"/>
        </w:rPr>
        <w:t xml:space="preserve"> __________________________________________________ 204</w:t>
      </w:r>
      <w:r>
        <w:rPr>
          <w:rFonts w:ascii="Calibri" w:eastAsia="Calibri" w:hAnsi="Calibri" w:cs="Calibri"/>
          <w:sz w:val="22"/>
        </w:rPr>
        <w:t xml:space="preserve"> </w:t>
      </w:r>
    </w:p>
    <w:p w:rsidR="00E8309B" w:rsidRDefault="009D0949">
      <w:pPr>
        <w:spacing w:after="77" w:line="259" w:lineRule="auto"/>
        <w:ind w:left="396" w:right="0"/>
        <w:jc w:val="left"/>
      </w:pPr>
      <w:r>
        <w:rPr>
          <w:sz w:val="20"/>
        </w:rPr>
        <w:t>Табела 7: Дугорочна одрживост јавних финансија</w:t>
      </w:r>
      <w:r>
        <w:rPr>
          <w:rFonts w:ascii="Calibri" w:eastAsia="Calibri" w:hAnsi="Calibri" w:cs="Calibri"/>
          <w:sz w:val="20"/>
        </w:rPr>
        <w:t xml:space="preserve"> _______________________________________________ 205</w:t>
      </w:r>
      <w:r>
        <w:rPr>
          <w:rFonts w:ascii="Calibri" w:eastAsia="Calibri" w:hAnsi="Calibri" w:cs="Calibri"/>
          <w:sz w:val="22"/>
        </w:rPr>
        <w:t xml:space="preserve"> </w:t>
      </w:r>
    </w:p>
    <w:p w:rsidR="00E8309B" w:rsidRDefault="009D0949">
      <w:pPr>
        <w:spacing w:after="34" w:line="269" w:lineRule="auto"/>
        <w:ind w:left="411" w:right="0"/>
        <w:jc w:val="left"/>
      </w:pPr>
      <w:r>
        <w:rPr>
          <w:sz w:val="20"/>
        </w:rPr>
        <w:lastRenderedPageBreak/>
        <w:t xml:space="preserve">Табела 8: Основне претпоставке о екстерном економском окружењу на ком се заснива програмски оквир </w:t>
      </w:r>
    </w:p>
    <w:p w:rsidR="00E8309B" w:rsidRDefault="009D0949">
      <w:pPr>
        <w:spacing w:after="110" w:line="259" w:lineRule="auto"/>
        <w:ind w:left="396" w:right="0"/>
        <w:jc w:val="left"/>
      </w:pPr>
      <w:r>
        <w:rPr>
          <w:sz w:val="20"/>
        </w:rPr>
        <w:t>[1]</w:t>
      </w:r>
      <w:r>
        <w:rPr>
          <w:rFonts w:ascii="Calibri" w:eastAsia="Calibri" w:hAnsi="Calibri" w:cs="Calibri"/>
          <w:sz w:val="20"/>
        </w:rPr>
        <w:t xml:space="preserve"> ________________________________________________________________________________________ 208</w:t>
      </w:r>
      <w:r>
        <w:rPr>
          <w:rFonts w:ascii="Calibri" w:eastAsia="Calibri" w:hAnsi="Calibri" w:cs="Calibri"/>
          <w:sz w:val="22"/>
        </w:rPr>
        <w:t xml:space="preserve"> </w:t>
      </w:r>
    </w:p>
    <w:p w:rsidR="00E8309B" w:rsidRDefault="009D0949">
      <w:pPr>
        <w:spacing w:after="101" w:line="269" w:lineRule="auto"/>
        <w:ind w:left="411" w:right="0"/>
        <w:jc w:val="left"/>
      </w:pPr>
      <w:r>
        <w:rPr>
          <w:sz w:val="20"/>
        </w:rPr>
        <w:t>Табела 9: Изабрани индикатори запослености и социјалне поли</w:t>
      </w:r>
      <w:r>
        <w:rPr>
          <w:sz w:val="20"/>
        </w:rPr>
        <w:t>тике</w:t>
      </w:r>
      <w:r>
        <w:rPr>
          <w:rFonts w:ascii="Calibri" w:eastAsia="Calibri" w:hAnsi="Calibri" w:cs="Calibri"/>
          <w:sz w:val="20"/>
        </w:rPr>
        <w:t xml:space="preserve"> _______________________________ 209</w:t>
      </w:r>
      <w:r>
        <w:rPr>
          <w:rFonts w:ascii="Calibri" w:eastAsia="Calibri" w:hAnsi="Calibri" w:cs="Calibri"/>
          <w:sz w:val="22"/>
        </w:rPr>
        <w:t xml:space="preserve"> </w:t>
      </w:r>
    </w:p>
    <w:p w:rsidR="00E8309B" w:rsidRDefault="009D0949">
      <w:pPr>
        <w:spacing w:after="110" w:line="259" w:lineRule="auto"/>
        <w:ind w:left="396" w:right="0"/>
        <w:jc w:val="left"/>
      </w:pPr>
      <w:r>
        <w:rPr>
          <w:sz w:val="20"/>
        </w:rPr>
        <w:t>Табела 10: Ефекти структурних реформи на буџет</w:t>
      </w:r>
      <w:r>
        <w:rPr>
          <w:rFonts w:ascii="Calibri" w:eastAsia="Calibri" w:hAnsi="Calibri" w:cs="Calibri"/>
          <w:sz w:val="20"/>
        </w:rPr>
        <w:t xml:space="preserve"> ______________________________________________ 210</w:t>
      </w:r>
      <w:r>
        <w:rPr>
          <w:rFonts w:ascii="Calibri" w:eastAsia="Calibri" w:hAnsi="Calibri" w:cs="Calibri"/>
          <w:sz w:val="22"/>
        </w:rPr>
        <w:t xml:space="preserve"> </w:t>
      </w:r>
    </w:p>
    <w:p w:rsidR="00E8309B" w:rsidRDefault="009D0949">
      <w:pPr>
        <w:spacing w:after="115" w:line="269" w:lineRule="auto"/>
        <w:ind w:left="411" w:right="0"/>
        <w:jc w:val="left"/>
      </w:pPr>
      <w:r>
        <w:rPr>
          <w:sz w:val="20"/>
        </w:rPr>
        <w:t>Табела 11: Извештај о спровођењу структурних реформи из ЕРП за 2020.-2022. годину</w:t>
      </w:r>
      <w:r>
        <w:rPr>
          <w:rFonts w:ascii="Calibri" w:eastAsia="Calibri" w:hAnsi="Calibri" w:cs="Calibri"/>
          <w:sz w:val="20"/>
        </w:rPr>
        <w:t xml:space="preserve"> ______________ 219</w:t>
      </w:r>
      <w:r>
        <w:rPr>
          <w:rFonts w:ascii="Calibri" w:eastAsia="Calibri" w:hAnsi="Calibri" w:cs="Calibri"/>
          <w:sz w:val="22"/>
        </w:rPr>
        <w:t xml:space="preserve"> </w:t>
      </w:r>
    </w:p>
    <w:p w:rsidR="00E8309B" w:rsidRDefault="009D0949">
      <w:pPr>
        <w:spacing w:after="116" w:line="269" w:lineRule="auto"/>
        <w:ind w:left="411" w:right="0"/>
        <w:jc w:val="left"/>
      </w:pPr>
      <w:r>
        <w:rPr>
          <w:sz w:val="20"/>
        </w:rPr>
        <w:t>Прилог 1: Доп</w:t>
      </w:r>
      <w:r>
        <w:rPr>
          <w:sz w:val="20"/>
        </w:rPr>
        <w:t>ринос представника цивилног друштва за ЕРП 2021-2023</w:t>
      </w:r>
      <w:r>
        <w:rPr>
          <w:rFonts w:ascii="Calibri" w:eastAsia="Calibri" w:hAnsi="Calibri" w:cs="Calibri"/>
          <w:sz w:val="20"/>
        </w:rPr>
        <w:t xml:space="preserve"> ____________________________ 247</w:t>
      </w:r>
      <w:r>
        <w:rPr>
          <w:rFonts w:ascii="Calibri" w:eastAsia="Calibri" w:hAnsi="Calibri" w:cs="Calibri"/>
          <w:sz w:val="22"/>
        </w:rPr>
        <w:t xml:space="preserve"> </w:t>
      </w:r>
    </w:p>
    <w:p w:rsidR="00E8309B" w:rsidRDefault="009D0949">
      <w:pPr>
        <w:spacing w:after="87" w:line="269" w:lineRule="auto"/>
        <w:ind w:left="411" w:right="0"/>
        <w:jc w:val="left"/>
      </w:pPr>
      <w:r>
        <w:rPr>
          <w:sz w:val="20"/>
        </w:rPr>
        <w:t>Прилог 2: Списак институција које учествују у изради ЕРП 2021-2023</w:t>
      </w:r>
      <w:r>
        <w:rPr>
          <w:rFonts w:ascii="Calibri" w:eastAsia="Calibri" w:hAnsi="Calibri" w:cs="Calibri"/>
          <w:sz w:val="20"/>
        </w:rPr>
        <w:t xml:space="preserve"> _____________________________ 271</w:t>
      </w:r>
      <w:r>
        <w:rPr>
          <w:rFonts w:ascii="Calibri" w:eastAsia="Calibri" w:hAnsi="Calibri" w:cs="Calibri"/>
          <w:sz w:val="22"/>
        </w:rPr>
        <w:t xml:space="preserve"> </w:t>
      </w:r>
    </w:p>
    <w:p w:rsidR="00E8309B" w:rsidRDefault="009D0949">
      <w:pPr>
        <w:spacing w:after="142" w:line="259" w:lineRule="auto"/>
        <w:ind w:left="0" w:right="0" w:firstLine="0"/>
        <w:jc w:val="left"/>
      </w:pPr>
      <w:r>
        <w:rPr>
          <w:sz w:val="22"/>
        </w:rPr>
        <w:t xml:space="preserve"> </w:t>
      </w:r>
    </w:p>
    <w:p w:rsidR="00E8309B" w:rsidRDefault="009D0949">
      <w:pPr>
        <w:spacing w:after="158" w:line="259" w:lineRule="auto"/>
        <w:ind w:left="0" w:right="0" w:firstLine="0"/>
        <w:jc w:val="left"/>
      </w:pPr>
      <w:r>
        <w:rPr>
          <w:b/>
          <w:sz w:val="26"/>
        </w:rPr>
        <w:t xml:space="preserve"> </w:t>
      </w:r>
    </w:p>
    <w:p w:rsidR="00E8309B" w:rsidRDefault="009D0949">
      <w:pPr>
        <w:spacing w:after="0" w:line="259" w:lineRule="auto"/>
        <w:ind w:left="0" w:right="0" w:firstLine="0"/>
        <w:jc w:val="left"/>
      </w:pPr>
      <w:r>
        <w:rPr>
          <w:b/>
          <w:sz w:val="26"/>
        </w:rPr>
        <w:t xml:space="preserve"> </w:t>
      </w:r>
      <w:r>
        <w:rPr>
          <w:b/>
          <w:sz w:val="26"/>
        </w:rPr>
        <w:tab/>
        <w:t xml:space="preserve"> </w:t>
      </w:r>
      <w:r>
        <w:br w:type="page"/>
      </w:r>
    </w:p>
    <w:p w:rsidR="00E8309B" w:rsidRDefault="009D0949">
      <w:pPr>
        <w:pStyle w:val="Heading1"/>
        <w:spacing w:after="13"/>
        <w:ind w:left="-5"/>
      </w:pPr>
      <w:r>
        <w:lastRenderedPageBreak/>
        <w:t xml:space="preserve">ОПШТИ ОКВИР И ГЛАВНИ ЦИЉЕВИ И СМЕРНИЦЕ ЕКОНОМСКЕ ПОЛИТИКЕ </w:t>
      </w:r>
    </w:p>
    <w:p w:rsidR="00E8309B" w:rsidRDefault="009D0949">
      <w:pPr>
        <w:spacing w:after="0" w:line="259" w:lineRule="auto"/>
        <w:ind w:left="0" w:right="0" w:firstLine="0"/>
        <w:jc w:val="left"/>
      </w:pPr>
      <w:r>
        <w:t xml:space="preserve"> </w:t>
      </w:r>
    </w:p>
    <w:p w:rsidR="00E8309B" w:rsidRDefault="009D0949">
      <w:pPr>
        <w:spacing w:after="104"/>
        <w:ind w:left="-5" w:right="17"/>
      </w:pPr>
      <w:r>
        <w:t>Свет се у 2020. години суочио са тешким економским последицама глобалне здравствене кризе изазване пандемијом коронавируса. Од марта 2020. године када је потврђен први случај вируса у Републици Србији на снази су епидемиолошке мере различитог степена ог</w:t>
      </w:r>
      <w:r>
        <w:t xml:space="preserve">раничења. Од потпуног „затварањаˮ у првих месец и по дана пандемије, до релативно нормалног функционисања економије уз придржавање мера превенције у циљу успоравања ширења пандемије. </w:t>
      </w:r>
    </w:p>
    <w:p w:rsidR="00E8309B" w:rsidRDefault="009D0949">
      <w:pPr>
        <w:spacing w:after="101"/>
        <w:ind w:left="-5" w:right="17"/>
      </w:pPr>
      <w:r>
        <w:t>Република Србија је правовремено одговорила на изазове које је пред екон</w:t>
      </w:r>
      <w:r>
        <w:t>омску, пре свега фискалну политику поставила здравствена криза. Први и најважнији задатак државне касе било је довољно и неометано финансирање борбе за очување здравља и живота људи. Здравствени систем који је на првој линији одбране има сву потребну подрш</w:t>
      </w:r>
      <w:r>
        <w:t>ку кроз неометано финансирање и обезбеђење потребних додатних средстава. Додатно финансирање обезбеђено је за набавку потрошног материјала, медицинске опреме и др. Започета је и изградња две потпуно нове Ковид болнице у циљу обезбеђивања потребног капаците</w:t>
      </w:r>
      <w:r>
        <w:t xml:space="preserve">та за пацијенте чије стање захтева болничко лечење. </w:t>
      </w:r>
    </w:p>
    <w:p w:rsidR="00E8309B" w:rsidRDefault="009D0949">
      <w:pPr>
        <w:spacing w:after="103"/>
        <w:ind w:left="-5" w:right="17"/>
      </w:pPr>
      <w:r>
        <w:t>Основни циљеви постављени усвојеним Програмом економских мера за подршку привреди Србије испуњени су. Очувани су привредни капацитети и пружена подршка у одржавању ликвидности привреде у току трајања ови</w:t>
      </w:r>
      <w:r>
        <w:t>х ванредних околности. То је био други, не мање важан, задатак јавних финансија. Захваљујући макроекономској и фискалној стабилности постигнутој у претходном периоду Република Србија имала је довољно простора да монетарним и фискалним мерама помогне привре</w:t>
      </w:r>
      <w:r>
        <w:t>ди у ублажавању негативних ефеката пандемије коронавируса. Фискалном политиком предвиђен је свеобухватан пакет мера којим је пружена помоћ привреди и чији су се позитивни ефекти одразили на макроекономске показатеље (незапосленост, мањи пад привредне актив</w:t>
      </w:r>
      <w:r>
        <w:t xml:space="preserve">ности и др). Планирана вредност укупног пакета мера помоћи привреди и становништву процењена је на 12,5% бруто домаћег производа (у даљем тексту: БДП). </w:t>
      </w:r>
    </w:p>
    <w:p w:rsidR="00E8309B" w:rsidRDefault="009D0949">
      <w:pPr>
        <w:spacing w:after="104"/>
        <w:ind w:left="-5" w:right="17"/>
      </w:pPr>
      <w:r>
        <w:t xml:space="preserve">У средњем року предвиђа се постепена стабилизација јавних финансија и усмеравање фискалног простора на </w:t>
      </w:r>
      <w:r>
        <w:t>раст јавних инвестиција у циљу опоравка и раста привреде. Основни сценарио економских кретања представљен овим документом претпоставља окончање здравствене кризе и економски опоравак. Под тим претпоставкама средњорочна путања дефицита је опадајућа и прибли</w:t>
      </w:r>
      <w:r>
        <w:t>жна одрживом нивоу на крају посматраног периода. Изузетно, повећано учешће јавног дуга у БДП у 2020. години, имајући у виду пројектоване фискалне резултате, од 2021. године и на даље се смањује и враћа у одрживе оквире. Искуство у претходном периоду нам по</w:t>
      </w:r>
      <w:r>
        <w:t>казује да су стабилне јавне финансије нужне не само као претпоставка одрживог раста, већ пре свега, као предуслов адекватне реакције државе у ванредним околностима попут ове изазване пандемијом коронавируса. Расположив фискални простор у наредном средњороч</w:t>
      </w:r>
      <w:r>
        <w:t xml:space="preserve">ном периоду усмерава се на јавне инвестиције уз благо повећање њиховог удела у БДП, а затим и одржања достигнутог нивоа јавних улагања. Јавне инвестиције кључан су фактор бржег опоравка привреде и стварања основа за динамичан привредни раст. </w:t>
      </w:r>
    </w:p>
    <w:p w:rsidR="00E8309B" w:rsidRDefault="009D0949">
      <w:pPr>
        <w:spacing w:after="104"/>
        <w:ind w:left="-5" w:right="17"/>
      </w:pPr>
      <w:r>
        <w:t>Макроекономск</w:t>
      </w:r>
      <w:r>
        <w:t xml:space="preserve">и и фискални ризици по представљени основни сценарио су значајни и преовлађујуће негативни. Присутне су неизвесности у вези са током и трајањем пандемије, начином и брзином којом ће се привреде опорављати, потребе за додатном помоћи привреди, као и бројне </w:t>
      </w:r>
      <w:r>
        <w:t xml:space="preserve">обавезе које могу проистећи из имплицитних и експлицитних гаранција државе датих као подршка привреди у току пандемије. </w:t>
      </w:r>
    </w:p>
    <w:p w:rsidR="00E8309B" w:rsidRDefault="009D0949">
      <w:pPr>
        <w:spacing w:after="0" w:line="259" w:lineRule="auto"/>
        <w:ind w:left="755" w:right="0" w:firstLine="0"/>
        <w:jc w:val="center"/>
      </w:pPr>
      <w:r>
        <w:rPr>
          <w:i/>
        </w:rPr>
        <w:lastRenderedPageBreak/>
        <w:t xml:space="preserve"> </w:t>
      </w:r>
    </w:p>
    <w:p w:rsidR="00E8309B" w:rsidRDefault="009D0949">
      <w:pPr>
        <w:spacing w:after="0" w:line="259" w:lineRule="auto"/>
        <w:ind w:left="0" w:right="0" w:firstLine="0"/>
        <w:jc w:val="left"/>
      </w:pPr>
      <w:r>
        <w:t xml:space="preserve"> </w:t>
      </w:r>
      <w:r>
        <w:tab/>
        <w:t xml:space="preserve"> </w:t>
      </w:r>
    </w:p>
    <w:p w:rsidR="00E8309B" w:rsidRDefault="009D0949">
      <w:pPr>
        <w:pStyle w:val="Heading1"/>
        <w:ind w:left="270" w:hanging="285"/>
      </w:pPr>
      <w:r>
        <w:t xml:space="preserve">СПРОВОЂЕЊЕ ПРЕПОРУКА </w:t>
      </w:r>
    </w:p>
    <w:p w:rsidR="00E8309B" w:rsidRDefault="009D0949">
      <w:pPr>
        <w:spacing w:after="155"/>
        <w:ind w:left="-5" w:right="17"/>
      </w:pPr>
      <w:r>
        <w:t xml:space="preserve">Испуњење Препоруке (policy guidance – PG) за појединачне политике као део Заједничких закључака, у вези са </w:t>
      </w:r>
      <w:r>
        <w:t>Програмом економских реформи (ЕРП) 2020-2022, који су усвојени на састанку ECOFIN Савета, одржаном 19. маја 2020. године у Бриселу, у оквиру „Економског и финансијског дијалога између ЕУ и Западног Балкана и Турске“, рефлектују се у бројним реформским мера</w:t>
      </w:r>
      <w:r>
        <w:t xml:space="preserve">ма и активностима Владе Републике Србије. </w:t>
      </w:r>
    </w:p>
    <w:p w:rsidR="00E8309B" w:rsidRDefault="009D0949">
      <w:pPr>
        <w:spacing w:after="19" w:line="271" w:lineRule="auto"/>
        <w:ind w:left="-5" w:right="9"/>
      </w:pPr>
      <w:r>
        <w:rPr>
          <w:b/>
        </w:rPr>
        <w:t xml:space="preserve">2.1. Испуњење Препорука ЕКОФИН Савета из маја 2020. за Републику Србију </w:t>
      </w:r>
    </w:p>
    <w:p w:rsidR="00E8309B" w:rsidRDefault="009D0949">
      <w:pPr>
        <w:numPr>
          <w:ilvl w:val="0"/>
          <w:numId w:val="2"/>
        </w:numPr>
        <w:shd w:val="clear" w:color="auto" w:fill="D9D9D9"/>
        <w:spacing w:after="73" w:line="268" w:lineRule="auto"/>
        <w:ind w:left="-5" w:right="15"/>
      </w:pPr>
      <w:r>
        <w:rPr>
          <w:i/>
        </w:rPr>
        <w:t>Дозволити да се помоћу аутоматских фискалних стабилизатора умањи економски пад изазван кризом и да се додатно ублажи утицај на раст и запошљавање одговарајућим дискреционим фискалним мерама. Да би се ојачала средњорочна одрживост јавних финансија, укључити</w:t>
      </w:r>
      <w:r>
        <w:rPr>
          <w:i/>
        </w:rPr>
        <w:t xml:space="preserve"> укупну потрошњу на зараде у проценат БДП-а, истовремено омогућавајући адекватно повећање трошкова за здравство током кризе, такође предузимањем конкретних корака ка спровођењу одговарајуће осмишљене реформе система плата у јавном сектору. Усвојити веродос</w:t>
      </w:r>
      <w:r>
        <w:rPr>
          <w:i/>
        </w:rPr>
        <w:t xml:space="preserve">тојан и обавезујући систем фискалних правила који подржава фискалну одрживост. </w:t>
      </w:r>
    </w:p>
    <w:p w:rsidR="00E8309B" w:rsidRDefault="009D0949">
      <w:pPr>
        <w:spacing w:after="102"/>
        <w:ind w:left="-5" w:right="17"/>
      </w:pPr>
      <w:r>
        <w:t xml:space="preserve">У вези са ограничавањем потрошње на зараде – усвајање новог Закона о платама државних службеника и намештеника, као и измена и допуна каталога радних места у јавним службама и </w:t>
      </w:r>
      <w:r>
        <w:t xml:space="preserve">другим организацијама у јавном сектору, је одложено и очекује се током 2021. године. Очекујемо да ће нови систем ступити на снагу и бити у примени од 2022. године. Општи оквир за запошљавање у јавном сектору уређен је Законом о буџетском систему, којим је </w:t>
      </w:r>
      <w:r>
        <w:t xml:space="preserve">предвиђено да Комисија даје сагласност за ново запошљавање. Планирано је да се овај постојећи оквир замени новим системом који би се заснивао на кадровским плановима институција. Систем тренутно препознаје кадровско планирање у државним органима, органима </w:t>
      </w:r>
      <w:r>
        <w:t xml:space="preserve">АП и ЈЛС и у здравству. Нови систем треба да обезбеди средњорочно кадровско планирање и у другим јавним службама (просвета, социјална заштита, итд), као и усклађивање са буџетским ограничењима. Током преласка на нови систем, и током 2021. године, Комисија </w:t>
      </w:r>
      <w:r>
        <w:t>за запошљавање ће наставити да даје сагласност за запошљавање у оквиру буџетских ограничења институција, уколико број новозапослених пређе 70%</w:t>
      </w:r>
      <w:r>
        <w:rPr>
          <w:vertAlign w:val="superscript"/>
        </w:rPr>
        <w:footnoteReference w:id="1"/>
      </w:r>
      <w:r>
        <w:t xml:space="preserve">.  </w:t>
      </w:r>
    </w:p>
    <w:p w:rsidR="00E8309B" w:rsidRDefault="009D0949">
      <w:pPr>
        <w:spacing w:after="102"/>
        <w:ind w:left="-5" w:right="17"/>
      </w:pPr>
      <w:r>
        <w:t>Што се тиче фискалних правила - због кризе изазване пандемијом вируса Ковид-19 одложено је усвајање нових фис</w:t>
      </w:r>
      <w:r>
        <w:t>калних правила. Као део шире ревизије Закона о буџетском систему, током 2021. биће усвојено фискално правило које дефинише ниво дефицита и којим се обезбеђује да ниво јавног дуга буде постављен на силазну путању. Ове измене редизајнираће општа и посебна фи</w:t>
      </w:r>
      <w:r>
        <w:t xml:space="preserve">скална правила, укључујући посебне мере у случају њиховог непоштовања.  </w:t>
      </w:r>
    </w:p>
    <w:p w:rsidR="00E8309B" w:rsidRDefault="009D0949">
      <w:pPr>
        <w:numPr>
          <w:ilvl w:val="0"/>
          <w:numId w:val="2"/>
        </w:numPr>
        <w:shd w:val="clear" w:color="auto" w:fill="D9D9D9"/>
        <w:spacing w:after="73" w:line="268" w:lineRule="auto"/>
        <w:ind w:left="-5" w:right="15"/>
      </w:pPr>
      <w:r>
        <w:rPr>
          <w:i/>
        </w:rPr>
        <w:t>За подршку економском опоравку, додатно повећати капиталну потрошњу која повећава раст као удео у БДП-у у 2020. и средњорочно. Повећати транспарентност фискалног утицаја јавних предуз</w:t>
      </w:r>
      <w:r>
        <w:rPr>
          <w:i/>
        </w:rPr>
        <w:t xml:space="preserve">ећа јачањем анализе фискалних ризика и објављивањем кварталних извештаја о финансијским резултатима предузећа у државном власништву. Да би се смањили фискални ризици, побољшати управљање предузећима у државном власништву, укључујући даље реструктурирање. </w:t>
      </w:r>
    </w:p>
    <w:p w:rsidR="00E8309B" w:rsidRDefault="009D0949">
      <w:pPr>
        <w:spacing w:after="97"/>
        <w:ind w:left="-5" w:right="17"/>
      </w:pPr>
      <w:r>
        <w:lastRenderedPageBreak/>
        <w:t>Капитални расходи</w:t>
      </w:r>
      <w:r>
        <w:rPr>
          <w:vertAlign w:val="superscript"/>
        </w:rPr>
        <w:footnoteReference w:id="2"/>
      </w:r>
      <w:r>
        <w:t xml:space="preserve"> достижу, за сада рекордан ниво, од 5,2% БДП у 2020. години. Расположив фискални простор у наредном средњорочном периоду биће усмерен на јавне инвестиције уз благо повећање њиховог удела у БДП, а затим и одржања достигнутог нивоа јавних у</w:t>
      </w:r>
      <w:r>
        <w:t xml:space="preserve">лагања.  </w:t>
      </w:r>
    </w:p>
    <w:p w:rsidR="00E8309B" w:rsidRDefault="009D0949">
      <w:pPr>
        <w:spacing w:after="125"/>
        <w:ind w:left="-5" w:right="17"/>
      </w:pPr>
      <w:r>
        <w:t>Група за праћење фискалних ризика везаних за пословање јавног сектора („Група“) функционише у оквиру Сектора за праћење фискалних ризика Министарства финансија („СПФР“). Група је одговорна за праћење 35 стратешки важних предузећа у државном власн</w:t>
      </w:r>
      <w:r>
        <w:t>иштву („државних предузећа“), као и финансијских институција у већинском државном власништву. Делокруг послова Групе укључује анализу и одобравање годишњих програма пословања, анализу тромесечних и годишњих финансијских извештаја, допунског финансирања и и</w:t>
      </w:r>
      <w:r>
        <w:t>звештаја о извршеној ревизији. Група прати финансијски учинак и извршење тромесечних и годишњих планова кроз прилагођене финансијске моделе, такође прати релевантне кључне показатеље учинка и заказује редовне пословне састанке са највишим руководством и фи</w:t>
      </w:r>
      <w:r>
        <w:t>нансијским руководиоцима државних предузећа. Поред тога, Група анализира и прати обавезе покривене државним гаранцијама издатим у име државних предузећа, као и ниво субвенција које додељује држава. Група припрема и доставља руководству Министарства финанси</w:t>
      </w:r>
      <w:r>
        <w:t xml:space="preserve">ја тромесечне финансијске извештаје који приказују финансијску позицију, анализу финансијских показатеља и збирни извештај о учинку државних предузећа  </w:t>
      </w:r>
    </w:p>
    <w:p w:rsidR="00E8309B" w:rsidRDefault="009D0949">
      <w:pPr>
        <w:ind w:left="-5" w:right="17"/>
      </w:pPr>
      <w:r>
        <w:t>Група је такође усвојила практичан приступ за поједина државна предузећа у случају да се препозна потен</w:t>
      </w:r>
      <w:r>
        <w:t>цијални фискални ризик за државу. Овај приступ подразумева честе посете (нпр. 2-3 пута недељно), прикупљање информација и анализу података о одређеном државном предузећу, развијање прилагођених финансијских модела за праћење месечног финансијског учинка ка</w:t>
      </w:r>
      <w:r>
        <w:t xml:space="preserve">да је то потребно, обављање финансијске анализе пословања на лицу места ако је то неопходно, као и разговоре са највишим руководством и остале мере опреза у вези са било којим потенцијално забрињавајућим развојем догађаја у вези с пословањем. </w:t>
      </w:r>
    </w:p>
    <w:p w:rsidR="00E8309B" w:rsidRDefault="009D0949">
      <w:pPr>
        <w:spacing w:after="104"/>
        <w:ind w:left="-5" w:right="17"/>
      </w:pPr>
      <w:r>
        <w:t>Група се так</w:t>
      </w:r>
      <w:r>
        <w:t xml:space="preserve">ође бави анализом спровођења ревизије годишњег програма пословања државних предузећа за 2020. годину у светлу пандемије и вероватних негативних последица на њихов финансијски учинак. Група је иницирала реструктурирање, прилагођавање пројектованог буџета и </w:t>
      </w:r>
      <w:r>
        <w:t>структуре трошкова инсистирајући на томе да свако државно предузеће ревидира структуру трошкова за 2020. годину и смањи предвиђене оперативне трошкове као и планове капиталних издатака. Спровођењем препорука укупна пројектована комбинована финансијска уште</w:t>
      </w:r>
      <w:r>
        <w:t>да државних предузећа износила је 290 милиона евра оперативних трошкова и 256 милиона евра капиталних издатака. Поред тога, Група је била задужена за спровођење предлога за смањење трошкова за неколико кључних компанија у већинском државном власништву у од</w:t>
      </w:r>
      <w:r>
        <w:t xml:space="preserve">брамбеној индустрији и компанија из портфеља Министарства економије. Мере реструктурирања резултирале су заједничком уштедом од око 500 милиона евра оперативних трошкова и око 71 милион евра капиталних издатака. </w:t>
      </w:r>
    </w:p>
    <w:p w:rsidR="00E8309B" w:rsidRDefault="009D0949">
      <w:pPr>
        <w:spacing w:after="133"/>
        <w:ind w:left="-5" w:right="17"/>
      </w:pPr>
      <w:r>
        <w:t>Структурне реформе јавних и државних предуз</w:t>
      </w:r>
      <w:r>
        <w:t>ећа допринеће значајно умањењу фискалних ризика</w:t>
      </w:r>
      <w:r>
        <w:rPr>
          <w:vertAlign w:val="superscript"/>
        </w:rPr>
        <w:footnoteReference w:id="3"/>
      </w:r>
      <w:r>
        <w:t xml:space="preserve">. </w:t>
      </w:r>
    </w:p>
    <w:p w:rsidR="00E8309B" w:rsidRDefault="009D0949">
      <w:pPr>
        <w:numPr>
          <w:ilvl w:val="0"/>
          <w:numId w:val="3"/>
        </w:numPr>
        <w:shd w:val="clear" w:color="auto" w:fill="D9D9D9"/>
        <w:spacing w:after="27" w:line="268" w:lineRule="auto"/>
        <w:ind w:left="-5" w:right="15"/>
      </w:pPr>
      <w:r>
        <w:rPr>
          <w:i/>
        </w:rPr>
        <w:t>Пажљиво пратити изазове у вези са финансијском стабилношћу који настају као последица пандемије вируса корона и по потреби предузети одговарајуће мере. Даље имплементирати мере укључене у стратегију за про</w:t>
      </w:r>
      <w:r>
        <w:rPr>
          <w:i/>
        </w:rPr>
        <w:t xml:space="preserve">блематичне кредите за период 20182020. године и пратећи акциони план, укључујући и оне усмерене на спречавање акумулирања нових </w:t>
      </w:r>
      <w:r>
        <w:rPr>
          <w:i/>
        </w:rPr>
        <w:lastRenderedPageBreak/>
        <w:t>проблематичних кредита као што су реформе стечајног оквира. Додатно повећати употребу локалне валуте подстицањем развоја секунда</w:t>
      </w:r>
      <w:r>
        <w:rPr>
          <w:i/>
        </w:rPr>
        <w:t>рних тржишта за државне и корпоративне динарске хартије од вредности, те подржати употребу хеџинг инструмената</w:t>
      </w:r>
      <w:r>
        <w:t xml:space="preserve">. </w:t>
      </w:r>
    </w:p>
    <w:p w:rsidR="00E8309B" w:rsidRDefault="009D0949">
      <w:pPr>
        <w:spacing w:after="104"/>
        <w:ind w:left="-5" w:right="17"/>
      </w:pPr>
      <w:r>
        <w:t>Народна банка Србије пажљиво прати и благовремено реагује на повећану глобалну неизвесност изазвану пандемијом вируса Ковид-19 како би сачувала</w:t>
      </w:r>
      <w:r>
        <w:t xml:space="preserve"> ценовну и финансијску стабилност и умањила негативне ефекте пандемије на реални сектор. Најважније мере монетарне политике које су предузете су: </w:t>
      </w:r>
    </w:p>
    <w:p w:rsidR="00E8309B" w:rsidRDefault="009D0949">
      <w:pPr>
        <w:numPr>
          <w:ilvl w:val="1"/>
          <w:numId w:val="3"/>
        </w:numPr>
        <w:ind w:right="17" w:hanging="360"/>
      </w:pPr>
      <w:r>
        <w:t xml:space="preserve">референтна каматна стопа смањена за 1,25 пп у односу на ниво пре пандемије; </w:t>
      </w:r>
    </w:p>
    <w:p w:rsidR="00E8309B" w:rsidRDefault="009D0949">
      <w:pPr>
        <w:numPr>
          <w:ilvl w:val="1"/>
          <w:numId w:val="3"/>
        </w:numPr>
        <w:ind w:right="17" w:hanging="360"/>
      </w:pPr>
      <w:r>
        <w:t>обезбеђивање додатне динарске и девизне ликвидности банкама по повољним условима (додатне своп аукције куповине девиза, репо аукције динарских државних хартија од вредности, привремена промена принципа реализације на редовним своп аукцијама тако да своп ку</w:t>
      </w:r>
      <w:r>
        <w:t xml:space="preserve">повина и своп продаја девиза више није морала бити једнака); </w:t>
      </w:r>
    </w:p>
    <w:p w:rsidR="00E8309B" w:rsidRDefault="009D0949">
      <w:pPr>
        <w:numPr>
          <w:ilvl w:val="1"/>
          <w:numId w:val="3"/>
        </w:numPr>
        <w:ind w:right="17" w:hanging="360"/>
      </w:pPr>
      <w:r>
        <w:t xml:space="preserve">интервенције на девизном тржишту, које су очувале релативну стабилност курса динара према евру и на тај начин пружиле подршку за очување финансијске стабилности; </w:t>
      </w:r>
    </w:p>
    <w:p w:rsidR="00E8309B" w:rsidRDefault="009D0949">
      <w:pPr>
        <w:numPr>
          <w:ilvl w:val="1"/>
          <w:numId w:val="3"/>
        </w:numPr>
        <w:ind w:right="17" w:hanging="360"/>
      </w:pPr>
      <w:r>
        <w:t>трајна куповина динарских држав</w:t>
      </w:r>
      <w:r>
        <w:t xml:space="preserve">них хартија од вредности од банака, што је значајно допринело одржавању стабилности на секундарном тржишту ових хартија од вредности; </w:t>
      </w:r>
    </w:p>
    <w:p w:rsidR="00E8309B" w:rsidRDefault="009D0949">
      <w:pPr>
        <w:numPr>
          <w:ilvl w:val="1"/>
          <w:numId w:val="3"/>
        </w:numPr>
        <w:ind w:right="17" w:hanging="360"/>
      </w:pPr>
      <w:r>
        <w:t xml:space="preserve">укључивање динарских корпоративних обвезница на листу хартија од вредности које се прихватају као колатерал у спровођењу </w:t>
      </w:r>
      <w:r>
        <w:t xml:space="preserve">монетарних операција, подржавајући на тај начин привреду и омогућавајући развој тржишта корпоративних хартија од вредности; </w:t>
      </w:r>
      <w:r>
        <w:rPr>
          <w:rFonts w:ascii="Verdana" w:eastAsia="Verdana" w:hAnsi="Verdana" w:cs="Verdana"/>
        </w:rPr>
        <w:t>-</w:t>
      </w:r>
      <w:r>
        <w:rPr>
          <w:rFonts w:ascii="Arial" w:eastAsia="Arial" w:hAnsi="Arial" w:cs="Arial"/>
        </w:rPr>
        <w:t xml:space="preserve"> </w:t>
      </w:r>
      <w:r>
        <w:t>подстицаји банкама да одобравају динарске кредите из гарантне шеме Републике Србије по каматним стопама за најмање 0,50 пп нижим о</w:t>
      </w:r>
      <w:r>
        <w:t>д максималне стопе дефинисане шемом (1М БЕЛИБОР + 2,5 пп). На део издвојене динарске обавезне резерве у висини износа ових кредита, Народна банка Србије ће плаћати тзв. стопу ремунерације по каматној стопи која је за 0,50 п.п. виша од стандардне стопе рему</w:t>
      </w:r>
      <w:r>
        <w:t xml:space="preserve">нерације (која тренутно износи 0,10%). </w:t>
      </w:r>
    </w:p>
    <w:p w:rsidR="00E8309B" w:rsidRDefault="009D0949">
      <w:pPr>
        <w:spacing w:after="105"/>
        <w:ind w:left="-5" w:right="17"/>
      </w:pPr>
      <w:r>
        <w:t xml:space="preserve">Народна банка Србије је такође усвојила додатне мере за ублажавање негативног ефекта пандемије на реални сектор како би очувала финансијску стабилност: </w:t>
      </w:r>
    </w:p>
    <w:p w:rsidR="00E8309B" w:rsidRDefault="009D0949">
      <w:pPr>
        <w:numPr>
          <w:ilvl w:val="1"/>
          <w:numId w:val="3"/>
        </w:numPr>
        <w:ind w:right="17" w:hanging="360"/>
      </w:pPr>
      <w:r>
        <w:t>прописивање првог мораторијума на кредите и обавезе по основу л</w:t>
      </w:r>
      <w:r>
        <w:t>изинга за клијенте који су то желели (физичка лица, привредна друштва, предузетници и пољопривредници) у марту до 90 дана, а потом и другог за обавезе</w:t>
      </w:r>
      <w:r>
        <w:rPr>
          <w:rFonts w:ascii="Calibri" w:eastAsia="Calibri" w:hAnsi="Calibri" w:cs="Calibri"/>
          <w:sz w:val="22"/>
        </w:rPr>
        <w:t xml:space="preserve"> </w:t>
      </w:r>
      <w:r>
        <w:t xml:space="preserve">које доспевају у периоду од 1. августа 2020. године закључно са 30. септембром 2020. године, као и обавеза које су доспеле у јулу, а дужник их није измирио. </w:t>
      </w:r>
    </w:p>
    <w:p w:rsidR="00E8309B" w:rsidRDefault="009D0949">
      <w:pPr>
        <w:numPr>
          <w:ilvl w:val="1"/>
          <w:numId w:val="3"/>
        </w:numPr>
        <w:ind w:right="17" w:hanging="360"/>
      </w:pPr>
      <w:r>
        <w:t>усвајање сета прописа који ће олакшати отплату одређених кредита одобрених грађанима путем којих с</w:t>
      </w:r>
      <w:r>
        <w:t>е банке подстичу да нуде дужницима рефинансирање или да мењају датум доспећа последњих рата потрошачких, готовинских и других кредита (који није стамбени кредит или минус по текућем рачуну) који су одобрени до 18. марта 2020. Грађанима је на овај начин омо</w:t>
      </w:r>
      <w:r>
        <w:t xml:space="preserve">гућено продужење рокова отплате кредита за две године у односу на тренутно важећи режим отплате ових кредита; </w:t>
      </w:r>
    </w:p>
    <w:p w:rsidR="00E8309B" w:rsidRDefault="009D0949">
      <w:pPr>
        <w:numPr>
          <w:ilvl w:val="1"/>
          <w:numId w:val="3"/>
        </w:numPr>
        <w:ind w:right="17" w:hanging="360"/>
      </w:pPr>
      <w:r>
        <w:t>усвајање сета прописа за олакшавање приступа стамбеним кредитима прописивањем нижег минималног степена комплетности зграде, пружајући тако подршк</w:t>
      </w:r>
      <w:r>
        <w:t xml:space="preserve">у грађевинској индустрији; омогућавање продужења рокова отплате стамбених кредита за највише пет година и; </w:t>
      </w:r>
    </w:p>
    <w:p w:rsidR="00E8309B" w:rsidRDefault="009D0949">
      <w:pPr>
        <w:numPr>
          <w:ilvl w:val="1"/>
          <w:numId w:val="3"/>
        </w:numPr>
        <w:spacing w:after="105"/>
        <w:ind w:right="17" w:hanging="360"/>
      </w:pPr>
      <w:r>
        <w:t xml:space="preserve">привремено олакшање поступка одобравања краткорочних динарских кредита за домаћинство до одређеног износа </w:t>
      </w:r>
    </w:p>
    <w:p w:rsidR="00E8309B" w:rsidRDefault="009D0949">
      <w:pPr>
        <w:numPr>
          <w:ilvl w:val="1"/>
          <w:numId w:val="3"/>
        </w:numPr>
        <w:spacing w:after="83" w:line="269" w:lineRule="auto"/>
        <w:ind w:right="17" w:hanging="360"/>
      </w:pPr>
      <w:r>
        <w:lastRenderedPageBreak/>
        <w:t>у децембру 2020. године су омогућене и но</w:t>
      </w:r>
      <w:r>
        <w:t xml:space="preserve">ве олакшице за дужнике банака и давалаца финансијског лизинга који су погођени пандемијом Ковид-19 у виду одобравања грејс периода од шест месеци за кредите и сличне производе. </w:t>
      </w:r>
    </w:p>
    <w:p w:rsidR="00E8309B" w:rsidRDefault="009D0949">
      <w:pPr>
        <w:ind w:left="-5" w:right="17"/>
      </w:pPr>
      <w:r>
        <w:t>Народна банка Србије ће наставити да предузима мере и активности усмерене на п</w:t>
      </w:r>
      <w:r>
        <w:t>овећање динаризације, које су дефинисане Меморандумом о стратегији динаризације који су Народна банка Србије и Влада потписале крајем 2018. Одржана ценовна и укупна макроекономска стабилност, уз додатне мере за подстицање динаризације, резултирале су порас</w:t>
      </w:r>
      <w:r>
        <w:t>том степена динаризације кредита и депозита на највиши ниво до сада - 36,8% односно 38,6% у октобру, при чему је динарска штедња грађана порасла за 22% у 2018. години, 30% у 2019. години и додатних 13% у првих десет месеци 2020. НБС ће наставити да промови</w:t>
      </w:r>
      <w:r>
        <w:t>ше употребу инструмената заштите од ризика девизног курса, али и од других ризика, редовним ажурирањем веб странице НБС у одељку о девизном хеџингу, саветујући банке да унапреде понуду инструмената заштите и више напора уложе у едукацију клијената, пре све</w:t>
      </w:r>
      <w:r>
        <w:t xml:space="preserve">га из корпоративног сектора. </w:t>
      </w:r>
    </w:p>
    <w:p w:rsidR="00E8309B" w:rsidRDefault="009D0949">
      <w:pPr>
        <w:numPr>
          <w:ilvl w:val="0"/>
          <w:numId w:val="3"/>
        </w:numPr>
        <w:shd w:val="clear" w:color="auto" w:fill="D9D9D9"/>
        <w:spacing w:after="73" w:line="268" w:lineRule="auto"/>
        <w:ind w:left="-5" w:right="15"/>
      </w:pPr>
      <w:r>
        <w:rPr>
          <w:i/>
        </w:rPr>
        <w:t xml:space="preserve">У циљу ублажавања економских последица пандемије </w:t>
      </w:r>
      <w:r>
        <w:t>Ковид</w:t>
      </w:r>
      <w:r>
        <w:rPr>
          <w:i/>
        </w:rPr>
        <w:t>-19 и подстицања економског опоравка, обезбедити ефикасну, транспарентну и недискриминаторну подршку предузећима која су погођена кризом, посебно микро, малим и средњим пре</w:t>
      </w:r>
      <w:r>
        <w:rPr>
          <w:i/>
        </w:rPr>
        <w:t xml:space="preserve">дузећима и самозапосленима.  </w:t>
      </w:r>
    </w:p>
    <w:p w:rsidR="00E8309B" w:rsidRDefault="009D0949">
      <w:pPr>
        <w:spacing w:after="86"/>
        <w:ind w:left="-5" w:right="17"/>
      </w:pPr>
      <w:r>
        <w:t>За подршку привреди</w:t>
      </w:r>
      <w:r>
        <w:rPr>
          <w:vertAlign w:val="superscript"/>
        </w:rPr>
        <w:footnoteReference w:id="4"/>
      </w:r>
      <w:r>
        <w:t xml:space="preserve"> и становништву ради смањивања негативних ефеката проузрокованих пандемијом Ковид-19 издвојено је укупно 690,3 млрд. динара (12,5% БДП). Поред мера пореске политике и директне подршке приватном сектору, укљ</w:t>
      </w:r>
      <w:r>
        <w:t xml:space="preserve">учене су и мере за очување ликвидности приватног сектора и остале мере (мораторијум на исплату дивиденди и фискални подстицаји – исплата 100 евра свим пунолетним грађанима). </w:t>
      </w:r>
    </w:p>
    <w:p w:rsidR="00E8309B" w:rsidRDefault="009D0949">
      <w:pPr>
        <w:ind w:left="-5" w:right="17"/>
      </w:pPr>
      <w:r>
        <w:t>У циљу ублажавања економских последица пандемије Ковид-19 и очувања стабилности ф</w:t>
      </w:r>
      <w:r>
        <w:t>инансијског и привредног система, Република Србија преко Фонда за развој Републике Србије спроводи Програм финансијске подршке привредним субјектима за одржавање ликвидности и обртна средства у отежаним економским условима услед пандемије Ковид–19 (у даљем</w:t>
      </w:r>
      <w:r>
        <w:t xml:space="preserve"> тексту: Програм). Програм за доделу кредита за одржавање ликвидности и обртна средстава односи се на предузетнике и компаније из сегмента микро, малих и средњих предузећа по закону о рачуноводству, као и на задруге тј. привредне субјекте овог сектора прои</w:t>
      </w:r>
      <w:r>
        <w:t xml:space="preserve">зводне, услужне, трговинске и пољопривредне делатности, као и привредне субјекте из области туризма, угоститељства и путничког саобраћаја, регистроване у релевантном регистру. </w:t>
      </w:r>
    </w:p>
    <w:p w:rsidR="00E8309B" w:rsidRDefault="009D0949">
      <w:pPr>
        <w:ind w:left="-5" w:right="17"/>
      </w:pPr>
      <w:r>
        <w:t>Основни циљеви Програма су да се у условима отежаног пословања изазваног пандем</w:t>
      </w:r>
      <w:r>
        <w:t xml:space="preserve">ијом вируса Ковид–19 обезбеди: </w:t>
      </w:r>
    </w:p>
    <w:p w:rsidR="00E8309B" w:rsidRDefault="009D0949">
      <w:pPr>
        <w:numPr>
          <w:ilvl w:val="1"/>
          <w:numId w:val="3"/>
        </w:numPr>
        <w:ind w:right="17" w:hanging="360"/>
      </w:pPr>
      <w:r>
        <w:t xml:space="preserve">Подршка привредним субјектима за набавку обртних средстава; </w:t>
      </w:r>
    </w:p>
    <w:p w:rsidR="00E8309B" w:rsidRDefault="009D0949">
      <w:pPr>
        <w:numPr>
          <w:ilvl w:val="1"/>
          <w:numId w:val="3"/>
        </w:numPr>
        <w:ind w:right="17" w:hanging="360"/>
      </w:pPr>
      <w:r>
        <w:t xml:space="preserve">Подршка привредним субјектима за одржавање текуће ликвидности у циљу редовног измиривања обавеза према пословним партнерима, запосленима и држави. </w:t>
      </w:r>
    </w:p>
    <w:p w:rsidR="00E8309B" w:rsidRDefault="009D0949">
      <w:pPr>
        <w:spacing w:after="86"/>
        <w:ind w:left="-5" w:right="17"/>
      </w:pPr>
      <w:r>
        <w:t xml:space="preserve">Закључно са 20. октобром 2020. године, одобрено је 1692 захтева у износу од 10.028.163.208,99 динара. </w:t>
      </w:r>
    </w:p>
    <w:p w:rsidR="00E8309B" w:rsidRDefault="009D0949">
      <w:pPr>
        <w:ind w:left="-5" w:right="17"/>
      </w:pPr>
      <w:r>
        <w:t>На основу Уредбе о фискалним погодностима и директним давањима привредним субјектима у приватном сектору и новчаној помоћи грађанима у циљу ублажавања ек</w:t>
      </w:r>
      <w:r>
        <w:t xml:space="preserve">ономских последица </w:t>
      </w:r>
      <w:r>
        <w:lastRenderedPageBreak/>
        <w:t xml:space="preserve">насталих услед болести Ковид-19  („Сл. гласник РС“, бр. 54/20 и 60/20) за период март-мај исплаћено је укупно 93.783.504.934,38 динара. </w:t>
      </w:r>
    </w:p>
    <w:p w:rsidR="00E8309B" w:rsidRDefault="009D0949">
      <w:pPr>
        <w:ind w:left="-5" w:right="17"/>
      </w:pPr>
      <w:r>
        <w:t>Право да користе директна давања прописана Уредбом имали су привредни субјекти у приватном сектору п</w:t>
      </w:r>
      <w:r>
        <w:t xml:space="preserve">од условом да почев од 15. марта 2020. године, па до дана ступања на снагу Уредбе нису смањивали број запослених за више од 10% и уколико су били основани и регистровани код надлежног органа или организације, пре 15. марта 2020. године. </w:t>
      </w:r>
    </w:p>
    <w:p w:rsidR="00E8309B" w:rsidRDefault="009D0949">
      <w:pPr>
        <w:ind w:left="-5" w:right="17"/>
      </w:pPr>
      <w:r>
        <w:t>Директна давања пр</w:t>
      </w:r>
      <w:r>
        <w:t>ивредним субјектима у складу са Уредбом односе се на право на уплату бесповратних новчаних средстава из буџета у износу који се добија као производ броја запослених и износа основне минималне зараде за март 2020. године, за обрачунске периоде март, април и</w:t>
      </w:r>
      <w:r>
        <w:t xml:space="preserve"> мај 2020. године, а правно лице које је разврстано као велико правно лице могло је да оствари право на уплату бесповратних новчаних средстава у износу који се добија као производ износа 50% основне минималне нето зараде за март 2020. године и броја запосл</w:t>
      </w:r>
      <w:r>
        <w:t xml:space="preserve">ених за које је донето решење о прекиду рада на основу члана 116 Закона о раду („Сл. гласник РС, бр. 24/05,..и 95/18), односно на основу члана 117 Закона о раду. </w:t>
      </w:r>
    </w:p>
    <w:p w:rsidR="00E8309B" w:rsidRDefault="009D0949">
      <w:pPr>
        <w:ind w:left="-5" w:right="17"/>
      </w:pPr>
      <w:r>
        <w:t>На основу Закључка Владе о сагласности да привредним субјектима у августу и септембру исплати</w:t>
      </w:r>
      <w:r>
        <w:t xml:space="preserve"> директна давања из буџета Републике Србије у висини 60% директних давања из Буџета Републике Србије, која су им исплаћена у јулу 2020. године („Сл. гласник РС“, бр. 104/20 и 106/20) исплаћено је за август и септембар 2020. године укупно 37.320.000.000,00 </w:t>
      </w:r>
      <w:r>
        <w:t xml:space="preserve">динара. </w:t>
      </w:r>
    </w:p>
    <w:p w:rsidR="00E8309B" w:rsidRDefault="009D0949">
      <w:pPr>
        <w:ind w:left="-5" w:right="17"/>
      </w:pPr>
      <w:r>
        <w:t xml:space="preserve">Закључком Владе погодност директних давања продужена је и у августу и септембру 2020. године, али не у висини основне минималне нето зараде, већ у висини од 60% директних давања из буџета Републике Србије која су им исплаћена у јулу 2020. године. </w:t>
      </w:r>
    </w:p>
    <w:p w:rsidR="00E8309B" w:rsidRDefault="009D0949">
      <w:pPr>
        <w:ind w:left="-5" w:right="17"/>
      </w:pPr>
      <w:r>
        <w:t>Такође, овим закључком дата је могућност остварења права на директна давања и привредним субјектима који су регистровани и након 15. марта 2020. године закључно са 20. јулом 2020. године у висини од 120% основне минималне нето зараде за март 2020. године.</w:t>
      </w:r>
      <w:r>
        <w:t xml:space="preserve"> </w:t>
      </w:r>
    </w:p>
    <w:p w:rsidR="00E8309B" w:rsidRDefault="009D0949">
      <w:pPr>
        <w:ind w:left="-5" w:right="17"/>
      </w:pPr>
      <w:r>
        <w:t>Секторском подршком Влада помаже угоститељској привреди, пре свега хотелској индустрији, средствима која се додељују у износу 350 евра по индивидуалном лежају и 150 евра по смештајној јединици, а право остварују категоризовани хотели који се налазе у при</w:t>
      </w:r>
      <w:r>
        <w:t xml:space="preserve">ватном власништву. </w:t>
      </w:r>
    </w:p>
    <w:p w:rsidR="00E8309B" w:rsidRDefault="009D0949">
      <w:pPr>
        <w:spacing w:after="147"/>
        <w:ind w:left="-5" w:right="17"/>
      </w:pPr>
      <w:r>
        <w:t>Имајући у виду ситуацију насталу проглашењем ванредног стања у Републици Србији, а како би се омогућило ублажавање економских и финансијских последица насталих услед пандемије болести Ковид-19, поред поменутог програма преко Фонда за ра</w:t>
      </w:r>
      <w:r>
        <w:t>звој Републике Србије, донета је и Уредба о утврђивању гарантне шеме као мера подршке привреди за ублажавање последица пандемије болести Ковид-19 („Сл. гласник РС”, бр. 57/20, 62/20-др. пропис и 65/20-др. пропис). У децембру 2020. донет је Закон о утврђива</w:t>
      </w:r>
      <w:r>
        <w:t xml:space="preserve">њу гарантне шеме као мера подршке привреди за ублажавање последица пандемије болести Ковид-19 („Сл. гласник РС”, бр. 153/20) чијим ступањем на снагу је престало важење горе поменуте уредбе. </w:t>
      </w:r>
    </w:p>
    <w:p w:rsidR="00E8309B" w:rsidRDefault="009D0949">
      <w:pPr>
        <w:ind w:left="-5" w:right="17"/>
      </w:pPr>
      <w:r>
        <w:t>Овим Законом је конституисано утврђивање националне гарантне шеме</w:t>
      </w:r>
      <w:r>
        <w:t xml:space="preserve">. Повећање ликвидности привредних субјеката кроз механизам гарантовања Републике Србије за кредите које банке одобравају привредним субјектима за финансирање ликвидности и обртних средстава јесте мера која у себи сублимира изузетно важан и нужан механизам </w:t>
      </w:r>
      <w:r>
        <w:t>ефеката за сва лица са седиштем у Републици Србији укључујући и пољопривредна газдинства, која су регистрована у Агенцији за привредне регистре Републике Србије и класификована као предузетник, или микро, мало и средње привредно друштво у складу са законом</w:t>
      </w:r>
      <w:r>
        <w:t xml:space="preserve"> којим се уређује рачуноводство, а чија је ликвидност предуслов функционисања привреде Републике Србије. </w:t>
      </w:r>
    </w:p>
    <w:p w:rsidR="00E8309B" w:rsidRDefault="009D0949">
      <w:pPr>
        <w:ind w:left="-5" w:right="17"/>
      </w:pPr>
      <w:r>
        <w:t>У складу са гарантном шемом, банке могу до 30. јуна 2021. закључити уговор о кредиту а до 31.јула 2021. плaсирaти кредите у изнoсу дo две милијарде eв</w:t>
      </w:r>
      <w:r>
        <w:t xml:space="preserve">рa, при чему је износ од једне </w:t>
      </w:r>
      <w:r>
        <w:lastRenderedPageBreak/>
        <w:t>милијарде евра, односно износ иницијалног максималног осигураног портфолија по банкама утврђен сходно тржишном учешћу банке према извештају Народне банке Србије на дан 29. фебруар 2020. године. Нaкoн штo бaнкa дoстигнe 90% ис</w:t>
      </w:r>
      <w:r>
        <w:t>кoришћeнoсти мaксимaлнoг oсигурaнoг пoртфoлиja, бaнкa мoжe кoнкурисaти зa повећање његовог лимита из прeoстaлoг изнoсa срeдстaвa из гaрaнтнe шeмe пo истим услoвимa зa пoвeћaњe мaксимaлнoг oсигурaнoг пoртфoлиja нeoгрaничeн брoj путa, с тим дa свaки пojeдинa</w:t>
      </w:r>
      <w:r>
        <w:t xml:space="preserve">чни зaхтeв нe мoжe бити мaњи oд пeт милиoнa eврa нити вeћи oд 25 милиoнa eврa.  </w:t>
      </w:r>
    </w:p>
    <w:p w:rsidR="00E8309B" w:rsidRDefault="009D0949">
      <w:pPr>
        <w:ind w:left="-5" w:right="17"/>
      </w:pPr>
      <w:r>
        <w:t>Уговор о гаранцији Републике Србије за кредитирање привреде с циљем ублажавања негативних последица пандемије болести Ковид-19 са Републиком Србијом и Народном банком Србије д</w:t>
      </w:r>
      <w:r>
        <w:t xml:space="preserve">о сада је потписало 25 банака и Влада је одобрила око 30 захтева за повећање максималног осигураног портфолија. </w:t>
      </w:r>
    </w:p>
    <w:p w:rsidR="00E8309B" w:rsidRDefault="009D0949">
      <w:pPr>
        <w:spacing w:after="99"/>
        <w:ind w:left="-5" w:right="17"/>
      </w:pPr>
      <w:r>
        <w:t>Закон о утврђивању гарантне шеме као мера подршке привреди за ублажавање последица пандемије болести Ковид-19 ступио је на снагу 29. децембра 2</w:t>
      </w:r>
      <w:r>
        <w:t xml:space="preserve">020. године.  </w:t>
      </w:r>
    </w:p>
    <w:p w:rsidR="00E8309B" w:rsidRDefault="009D0949">
      <w:pPr>
        <w:shd w:val="clear" w:color="auto" w:fill="D9D9D9"/>
        <w:spacing w:after="27" w:line="268" w:lineRule="auto"/>
        <w:ind w:left="-5" w:right="15"/>
      </w:pPr>
      <w:r>
        <w:rPr>
          <w:i/>
        </w:rPr>
        <w:t xml:space="preserve">Проширити покривеност социјалном заштитом, и пружити подстицаје за предузећа и запослене у сектору сиве економије да се региструју и олакшати њихов прелазак у формалну економију. </w:t>
      </w:r>
    </w:p>
    <w:p w:rsidR="00E8309B" w:rsidRDefault="009D0949">
      <w:pPr>
        <w:spacing w:after="108"/>
        <w:ind w:left="-5" w:right="17"/>
      </w:pPr>
      <w:r>
        <w:t>Интензивираним радом инспекцијских служби, а након унапређења</w:t>
      </w:r>
      <w:r>
        <w:t xml:space="preserve"> радног законодавства и донесених мера у правцу пореског растерећења рада, наставиће се смањивање броја запослених у сивој зони и њихово превођење у контингент формално запослених. До краја новембра 2020. инспектори рада су затекли 5.712 лица на раду „на ц</w:t>
      </w:r>
      <w:r>
        <w:t xml:space="preserve">рно“, а што је за  54% мање него у истом периоду 2019. године, када је затечено 12.313 лица на раду „на црно“. Након предузетих мера инспектора рада, послодавци су засновали радни однос са 4.059 лица, односно са 71% лица од укупног броја лица затечених на </w:t>
      </w:r>
      <w:r>
        <w:t xml:space="preserve">раду „на црно“. Инспектори рада су у истом периоду, утврдили 325 нерегистрованих субјеката, а што је за 50% мање него у истом периоду 2019. године када je утврђен 651, при чему је код истих, поред физичког лица које врши нерегистровану делатност, затеченa </w:t>
      </w:r>
      <w:r>
        <w:t>још и 232 лице на раду „на црно“. Од укупног броја утврђених нерегистрованих субјеката, одмах након мера које су предузели инспектори рада, у одговарајући регистар се уписало њих 201, односно 61%, док се у истом периоду 2019. године у одговарајући регистар</w:t>
      </w:r>
      <w:r>
        <w:t xml:space="preserve"> уписало њих 400, односно 61%. </w:t>
      </w:r>
    </w:p>
    <w:p w:rsidR="00E8309B" w:rsidRDefault="009D0949">
      <w:pPr>
        <w:shd w:val="clear" w:color="auto" w:fill="D9D9D9"/>
        <w:spacing w:after="27" w:line="268" w:lineRule="auto"/>
        <w:ind w:left="-5" w:right="15"/>
      </w:pPr>
      <w:r>
        <w:rPr>
          <w:i/>
        </w:rPr>
        <w:t xml:space="preserve">Обухватити праћење и процену уведених мера, и додатно побољшати процес јавних консултација укључивањем предузећа и социјалних партнера у вези са усвајањем и применом свих нових закона који се односе на њихово пословање. </w:t>
      </w:r>
    </w:p>
    <w:p w:rsidR="00E8309B" w:rsidRDefault="009D0949">
      <w:pPr>
        <w:ind w:left="-5" w:right="17"/>
      </w:pPr>
      <w:r>
        <w:t>Про</w:t>
      </w:r>
      <w:r>
        <w:t>грам економских мера за смањивање негативних ефеката проузрокованих пандемијом вируса Ковид-19 и подршку привреди Републике Србије предвиђа свеобухватне мере (видети табелу Преглед пакета мера за подршку привреди и становништву, страна 46) у чију реализаци</w:t>
      </w:r>
      <w:r>
        <w:t xml:space="preserve">ју је укључено више државних органа. Због тога је неопходно да се координирају активности које се предузимају у циљу имплементације тог програма, што је и учињено образовањем Координационог тела за имплементацију предметног програма. У раду Координационог </w:t>
      </w:r>
      <w:r>
        <w:t xml:space="preserve">тела, поред чланова из министарстава и посебних организација, могу да учествују, по позиву, стручњаци из различитих области, као и представници других органа и организација, када се расправља о темама из њиховог делокруга. </w:t>
      </w:r>
    </w:p>
    <w:p w:rsidR="00E8309B" w:rsidRDefault="009D0949">
      <w:pPr>
        <w:ind w:left="-5" w:right="17"/>
      </w:pPr>
      <w:r>
        <w:t>Законски оквир за консултативни процес у Србији успешно се примењује у пракси и његове одредбе о консултативном поступку за прописе јасно су регулисане у следећим актима: Закон о планском систему РС, Закон о државној управи, Уредба о методологији управљања</w:t>
      </w:r>
      <w:r>
        <w:t xml:space="preserve"> јавним политикама, анализи ефеката јавних политика и прописа и садржају појединачних докумената јавних политика и Правилник о смерницама добре праксе за остваривање учешћа јавности у припреми нацрта закона и других прописа и аката. </w:t>
      </w:r>
    </w:p>
    <w:p w:rsidR="00E8309B" w:rsidRDefault="009D0949">
      <w:pPr>
        <w:ind w:left="-5" w:right="17"/>
      </w:pPr>
      <w:r>
        <w:lastRenderedPageBreak/>
        <w:t>У циљу даљег разјашњав</w:t>
      </w:r>
      <w:r>
        <w:t>ања свих одредби Закона о планском систему РС и пратеће Уредбе о методологији управљања јавним политикама, анализи ефеката јавних политика и прописа и садржају појединачних докумената јавних политика, припремљен је Нацрт приручника о консултацијама и коорд</w:t>
      </w:r>
      <w:r>
        <w:t xml:space="preserve">инацији јавних политика у оквиру ИПА 2015 Пројекта подршке реформи јавне управе. Очекује се да ће Приручник о консултацијама и координацији јавних политика ускоро бити примењив. </w:t>
      </w:r>
    </w:p>
    <w:p w:rsidR="00E8309B" w:rsidRDefault="009D0949">
      <w:pPr>
        <w:ind w:left="-5" w:right="17"/>
      </w:pPr>
      <w:r>
        <w:t>Републички секретаријат за јавне политике наглашава (РСЈП) предлагачима пропи</w:t>
      </w:r>
      <w:r>
        <w:t xml:space="preserve">са да целокупан процес консултација треба да се уради на начин који је у потпуности у складу са Законом о планском систему РС и пратећим подзаконским актима. Портал за е-партиципацију треба да се успостави, и када постане потпуно оперативан - користиће се </w:t>
      </w:r>
      <w:r>
        <w:t>као пратеће средство процеса консултација и јавне расправе о прописима и документима јавних политика, као и за обавештавање заинтересованих страна о организацији фокус група, округлих столова итд. Епартиципација ће омогућити праћење и контролу спровођења к</w:t>
      </w:r>
      <w:r>
        <w:t xml:space="preserve">онсултација и јавних расправа о документима јавних политика и прописима, као и контролу извештавања о спровођењу процеса консултација и јавне расправе. </w:t>
      </w:r>
    </w:p>
    <w:p w:rsidR="00E8309B" w:rsidRDefault="009D0949">
      <w:pPr>
        <w:ind w:left="-5" w:right="17"/>
      </w:pPr>
      <w:r>
        <w:t xml:space="preserve">РСЈП спроводи надзор процеса спровођења јавне расправе током процеса припреме прописа. Такође, РСЈП је </w:t>
      </w:r>
      <w:r>
        <w:t xml:space="preserve">за предлагаче припремио образац који садржи информације о спровођењу процеса јавне расправе током припреме нацрта прописа, чија примена је започета 2020.  </w:t>
      </w:r>
    </w:p>
    <w:p w:rsidR="00E8309B" w:rsidRDefault="009D0949">
      <w:pPr>
        <w:ind w:left="-5" w:right="17"/>
      </w:pPr>
      <w:r>
        <w:t xml:space="preserve">На предлог Канцеларије за сарадњу са цивилним друштвом, Влада Републике Србије је 30. јануара 2020. </w:t>
      </w:r>
      <w:r>
        <w:t xml:space="preserve">године Закључком 05 број: 011-722/2020 усвојила Смернице за укључивање организација цивилног друштва у радне групе за израду предлога докумената јавних политика и нацрта, односно предлога прописа („Сл. гласник РС“, бр. 8/20). </w:t>
      </w:r>
    </w:p>
    <w:p w:rsidR="00E8309B" w:rsidRDefault="009D0949">
      <w:pPr>
        <w:spacing w:after="0"/>
        <w:ind w:left="-5" w:right="17"/>
      </w:pPr>
      <w:r>
        <w:t xml:space="preserve">Сврха Смерница је да уреде и </w:t>
      </w:r>
      <w:r>
        <w:t xml:space="preserve">подстакну укључивање заинтересованих страна и циљних група, пре свега организација цивилног друштва, у радне групе које формирају органи државне управе и тиме обезбеде њихову партиципацију у што ранијој фази процеса одлучивања. </w:t>
      </w:r>
    </w:p>
    <w:p w:rsidR="00E8309B" w:rsidRDefault="009D0949">
      <w:pPr>
        <w:ind w:left="-5" w:right="17"/>
      </w:pPr>
      <w:r>
        <w:t>Засноване су на одредбама ч</w:t>
      </w:r>
      <w:r>
        <w:t>лана 34. став 7. Закона о планском систему („Сл. гласник РС“, бр. 30/18) које предвиђају могућност укључивања репрезентативних представника заинтересованих страна и циљних група које су учествовале у процесу консултација у рад радних група за израду докуме</w:t>
      </w:r>
      <w:r>
        <w:t xml:space="preserve">ната јавних политика. Наведене одредбе додатно су прецизиране чланом 43. став 1. Уредбе о методологији управљања јавним политикама, анализи ефеката јавних политика и прописа и садржају појединачних докумената јавних политика („Сл. гласник РС“, бр. 8/19) у </w:t>
      </w:r>
      <w:r>
        <w:t xml:space="preserve">складу са којим предлагач документа јавне политике, односно прописа у радну групу по правилу именује представнике циљних група и осталих заинтересованих страна, које су учествовале у процесу консултација, у циљу уважавања резултата консултација у поступку </w:t>
      </w:r>
      <w:r>
        <w:t xml:space="preserve">израде тог документа, односно прописа. </w:t>
      </w:r>
    </w:p>
    <w:p w:rsidR="00E8309B" w:rsidRDefault="009D0949">
      <w:pPr>
        <w:ind w:left="-5" w:right="17"/>
      </w:pPr>
      <w:r>
        <w:t>Канцеларија зa сaрaдњу сa цивилним друштвoм је током 2020. године објавила 10 јавних позива за учешће у јавним расправама и консултацијама које су спроведене у оквиру процеса припреме прописа и докумената јавних поли</w:t>
      </w:r>
      <w:r>
        <w:t>тика. Поменути позиви објављени су на интернет презентацији Канцеларије и за највећи број њих су се надлежни предлагачи обратили Канцеларији за подршку у њиховом дистрибуирању ка заинтересованој јавности, пре свега цивилном друштву. Како су током 2020. год</w:t>
      </w:r>
      <w:r>
        <w:t xml:space="preserve">ине расписани парламентарни избори као и услед проглашења пандемије Ковид -19, законодавна активност органа јавне управе је била смањена. </w:t>
      </w:r>
    </w:p>
    <w:p w:rsidR="00E8309B" w:rsidRDefault="009D0949">
      <w:pPr>
        <w:spacing w:after="102"/>
        <w:ind w:left="-5" w:right="17"/>
      </w:pPr>
      <w:r>
        <w:t xml:space="preserve">Кaнцeлaриja зa сaрaдњу сa цивилним друштвoм прeстaлa je сa рaдoм 26. oктoбрa 2020. гoдинe кaдa je усвojeн нoви Зaкoн </w:t>
      </w:r>
      <w:r>
        <w:t xml:space="preserve">o министaрствимa, a нaдлeжнoсти Кaнцeлaриje прeшлe су у нoвo фoрмирaнo Mинистaрствo зa људскa и мaњинскa прaвa и друштвeни диjaлoг. </w:t>
      </w:r>
    </w:p>
    <w:p w:rsidR="00E8309B" w:rsidRDefault="009D0949">
      <w:pPr>
        <w:shd w:val="clear" w:color="auto" w:fill="D9D9D9"/>
        <w:spacing w:after="24" w:line="268" w:lineRule="auto"/>
        <w:ind w:left="-5" w:right="15"/>
      </w:pPr>
      <w:r>
        <w:rPr>
          <w:i/>
        </w:rPr>
        <w:t>5. Осигурати међусекторску координацију унутар владе и државне управе како би се ефикасно одговорило на Ковид-19.</w:t>
      </w:r>
      <w:r>
        <w:t xml:space="preserve"> </w:t>
      </w:r>
    </w:p>
    <w:p w:rsidR="00E8309B" w:rsidRDefault="009D0949">
      <w:pPr>
        <w:spacing w:after="148"/>
        <w:ind w:left="-5" w:right="17"/>
      </w:pPr>
      <w:r>
        <w:lastRenderedPageBreak/>
        <w:t>Влада РС</w:t>
      </w:r>
      <w:r>
        <w:t xml:space="preserve"> је образовала Кризни штаб за отклањање насталих и спречавање могућих штетних последица заразне болести Ковид-19 по привреду. Задатак Кризног штаба је да прати стање, усмерава и усклађује поступање и активности надлежних ограна, организација и служби које </w:t>
      </w:r>
      <w:r>
        <w:t xml:space="preserve">су усмерене на отклањање насталих и спречавање могућих штетних последица заразне болести Ковид-19 по привреду, као и да Влади и надлежним органима предлаже предузимање мера из њихове надлежности. </w:t>
      </w:r>
    </w:p>
    <w:p w:rsidR="00E8309B" w:rsidRDefault="009D0949">
      <w:pPr>
        <w:shd w:val="clear" w:color="auto" w:fill="D9D9D9"/>
        <w:spacing w:after="73" w:line="268" w:lineRule="auto"/>
        <w:ind w:left="-5" w:right="15"/>
      </w:pPr>
      <w:r>
        <w:rPr>
          <w:i/>
        </w:rPr>
        <w:t>Предузети мере за очување запослености, укључујући краткоро</w:t>
      </w:r>
      <w:r>
        <w:rPr>
          <w:i/>
        </w:rPr>
        <w:t xml:space="preserve">чне шеме рада, и осигурати повећано пружање ефикасних активних мера на тржишту рада за незапослене. Омогућити адекватне шеме надокнаде за незапослене отпуштене раднике како би се ублажио социјални утицај економске кризе. </w:t>
      </w:r>
    </w:p>
    <w:p w:rsidR="00E8309B" w:rsidRDefault="009D0949">
      <w:pPr>
        <w:ind w:left="-5" w:right="17"/>
      </w:pPr>
      <w:r>
        <w:t>Национална служба за запошљавање (</w:t>
      </w:r>
      <w:r>
        <w:t>НСЗ) је 28. фебруара 2020. године расписала јавне позиве за реализацију мера активне политике запошљавања и у току је њихова реализација. У периоду јануар–септембар 2020. године, укупно 46.432 незапослених лица (од чега 25.015 жена) са евиденције НСЗ укључ</w:t>
      </w:r>
      <w:r>
        <w:t>ено је у мере активне политике запошљавања. У мере активног тражења посла укључено је 32.095 незапослених, у програме додатног образовања и обука 4.305 незапослених, у програме субвенција за запошљавање 5.726 незапослених, док је програмом јавних радова об</w:t>
      </w:r>
      <w:r>
        <w:t xml:space="preserve">ухваћено 4.306 незапослених. Након учешћа у мери запослило се 20.584 лица (10.643 жена), а остварени ефекат на запошљавање је 44,33%. </w:t>
      </w:r>
    </w:p>
    <w:p w:rsidR="00E8309B" w:rsidRDefault="009D0949">
      <w:pPr>
        <w:ind w:left="-5" w:right="17"/>
      </w:pPr>
      <w:r>
        <w:t>Влада Републике Србије је 13. августа 2020. године усвојила Уредбу о Програму подстицања запошљавања младих „Моја прва пл</w:t>
      </w:r>
      <w:r>
        <w:t>ата“. Програмом се финансира оспособљавање код послодавца, 10.000 незапослених младих до 30 година живота, са средњим и високим образовањем, а у циљу стицања првог радног искуства и повећања прилика за њихово конкурентније иступање на тржишту рада и запошљ</w:t>
      </w:r>
      <w:r>
        <w:t>авање. НСЗ је 17. августа 2020. године расписала јавни позив за реализацију Програма подстицања запошљавања младих „Моја прва плата“, када је почело и  пријављивање заинтересованих послодаваца путем портала „Моја прва плата“, које је трајало до 25.09.2020.</w:t>
      </w:r>
      <w:r>
        <w:t xml:space="preserve"> године. Број послодаваца којима је одобрено да се на њихове позиције пријављују кандидати износи 8.025. Број позиција на које је одобрено да се незапослени пријављују износи 14.325. Овим позицијама обухваћено је 22.808 извршилачких места. Пријављивање нез</w:t>
      </w:r>
      <w:r>
        <w:t>апослених заинтересованих за укључивање у програм је реализовано у периоду од 08.10.2020. године до 08.11.2020. године, такође путем портала „Моја прва плата“. Процес избора кандидата од стране послодаваца започео је упоредо и трајао је до 18.11.2020. годи</w:t>
      </w:r>
      <w:r>
        <w:t>не. Коначна листа послодаваца из приватног сектора са бројем одобрених извршилаца за сваког послодавца објављена је на порталу „Моја прва плата“ 26.11.2020. године. Закључивање уговора између НСЗ, послодавца и незапосленог, којим се уређују међусобна права</w:t>
      </w:r>
      <w:r>
        <w:t xml:space="preserve"> и обавезе, вршиће се у периоду од 28.11.2020. године до 14.12.2020. године. Укупан број незапослених регистрованих на порталу „Моја прва плата“, који испуњавају услове и конкурисали су на неке од оглашених позиција, је 17.081 лица. Број послодаваца код ко</w:t>
      </w:r>
      <w:r>
        <w:t>јих су лица конкурисала износи 7.524. Послодавци из приватног сектора су изабрали 7.352 лица која су прихватила оспособљавање на конкретним радним местима. Након завршетка активности са послодавцима из приватног сектора, за преостали број планираних кандид</w:t>
      </w:r>
      <w:r>
        <w:t xml:space="preserve">ата постоји могућност укључивања код послодаваца из јавног сектора.  </w:t>
      </w:r>
    </w:p>
    <w:p w:rsidR="00E8309B" w:rsidRDefault="009D0949">
      <w:pPr>
        <w:spacing w:after="102"/>
        <w:ind w:left="-5" w:right="17"/>
      </w:pPr>
      <w:r>
        <w:t xml:space="preserve">Обавезно осигурање за случај незапослености је део система обавезног социјалног осигурања грађана којим се обезбеђују права за случај незапослености на начелима обавезности, узајамности и солидарности. Право на новчану накнаду има незапослено лице које је </w:t>
      </w:r>
      <w:r>
        <w:t>било обавезно осигурано за случај незапослености најмање 12 месеци непрекидно или са прекидима у последњих 18 месеци. Непрекидним осигурањем сматра се и прекид осигурања краћи од 30 дана. НСЗ омогућила је лицима која траже запослење да електронским путем и</w:t>
      </w:r>
      <w:r>
        <w:t xml:space="preserve">ли путем поште подносе захтеве за остваривање права на новчану накнаду за случај незапослености </w:t>
      </w:r>
      <w:r>
        <w:lastRenderedPageBreak/>
        <w:t>надлежним филијалама. У периоду од почетка Ковид-19 кризе (март-новембар 2020. године) до сада укупно је исплаћено 7,2 млрд. динара за новчане накнаде за случај</w:t>
      </w:r>
      <w:r>
        <w:t xml:space="preserve"> незапослености. </w:t>
      </w:r>
    </w:p>
    <w:p w:rsidR="00E8309B" w:rsidRDefault="009D0949">
      <w:pPr>
        <w:shd w:val="clear" w:color="auto" w:fill="D9D9D9"/>
        <w:spacing w:after="24" w:line="268" w:lineRule="auto"/>
        <w:ind w:left="-5" w:right="15"/>
      </w:pPr>
      <w:r>
        <w:rPr>
          <w:i/>
        </w:rPr>
        <w:t xml:space="preserve">6. Појачати социјалне трансфере како би се осигурала адекватна подршка за приходе људима који су у ризику од сиромаштва и социјалне искључености. </w:t>
      </w:r>
    </w:p>
    <w:p w:rsidR="00E8309B" w:rsidRDefault="009D0949">
      <w:pPr>
        <w:ind w:left="-5" w:right="17"/>
      </w:pPr>
      <w:r>
        <w:t>Kако повећање социјалних трансфера и проширење обухвата корисника социјалне заштите овим тр</w:t>
      </w:r>
      <w:r>
        <w:t>ансферима непосредно зависи од расположивих буџетских могућности, потребно је претходно утврдити обим и расподелу права и услуга дефинисаних законом, како би се сагледали сви постојећи социјални трансфери које појединци и породице остварују узимајући у обз</w:t>
      </w:r>
      <w:r>
        <w:t xml:space="preserve">ир њихово кумулатвно деловање на социјални статус. Наиме, право на новчану социјалну помоћ често је нека врста ''пасоша'' за остваривање других права (нпр. право на бенефиције у плаћању комуналних услуга, бесплатни уџбеници, стипендије за ученике, накнада </w:t>
      </w:r>
      <w:r>
        <w:t xml:space="preserve">трошкова боравка у предшколској установи, бесплатни оброци у народној кухињи и др.).  </w:t>
      </w:r>
    </w:p>
    <w:p w:rsidR="00E8309B" w:rsidRDefault="009D0949">
      <w:pPr>
        <w:ind w:left="-5" w:right="17"/>
      </w:pPr>
      <w:r>
        <w:t>Због тога је неопходно увођење интегрисаног система социјалних карата као документованог начина мерења социоекономске моћи корисника социјалне заштите, предвиђено структ</w:t>
      </w:r>
      <w:r>
        <w:t xml:space="preserve">урном реформом 23. Унапређење адекватности квалитета и таргетираности мера социјалне заштите. То ће омогућити праведнију расподелу средстава намењених за социјалну заштиту. Повезивањем више база података стећи ће се увид у број оних којима је помоћ заиста </w:t>
      </w:r>
      <w:r>
        <w:t>потребна сагледавајући при том укупна давања која се исплаћују како из републичког буџета тако и из буџета ЈЛС (новчана социјална помоћ, додатак за помоћ и негу другог лица, дечји додатак, родитељски додатак, остваривање права на бесплатан оброк у народној</w:t>
      </w:r>
      <w:r>
        <w:t xml:space="preserve"> кухињи, права на умањење комуналних рачуна, различита давања у натури, права на накнаду трошкова боравка деце у предшколској установи, бесплатне уџбенике, једнократне новчане помоћи, право на различите бесплатне услуге социјалне заштите у заједници и др.)</w:t>
      </w:r>
      <w:r>
        <w:t xml:space="preserve">.  </w:t>
      </w:r>
    </w:p>
    <w:p w:rsidR="00E8309B" w:rsidRDefault="009D0949">
      <w:pPr>
        <w:spacing w:after="102"/>
        <w:ind w:left="-5" w:right="17"/>
      </w:pPr>
      <w:r>
        <w:t xml:space="preserve">До сада је завршена прва фаза развоја Регистра социјална карта која подразумева интерно повезивање подсистема података на нивоу Министарства и израђен је Нацрт закона о социјалној карти. Након усвајања Закона биће спроведено </w:t>
      </w:r>
      <w:r>
        <w:t xml:space="preserve">и повезивање екстерних евиденција. </w:t>
      </w:r>
    </w:p>
    <w:p w:rsidR="00E8309B" w:rsidRDefault="009D0949">
      <w:pPr>
        <w:spacing w:after="96" w:line="259" w:lineRule="auto"/>
        <w:ind w:left="0" w:right="0" w:firstLine="0"/>
        <w:jc w:val="left"/>
      </w:pPr>
      <w:r>
        <w:t xml:space="preserve"> </w:t>
      </w:r>
    </w:p>
    <w:p w:rsidR="00E8309B" w:rsidRDefault="009D0949">
      <w:pPr>
        <w:spacing w:after="0" w:line="259" w:lineRule="auto"/>
        <w:ind w:left="0" w:right="0" w:firstLine="0"/>
        <w:jc w:val="left"/>
      </w:pPr>
      <w:r>
        <w:t xml:space="preserve"> </w:t>
      </w:r>
    </w:p>
    <w:p w:rsidR="00E8309B" w:rsidRDefault="009D0949">
      <w:pPr>
        <w:shd w:val="clear" w:color="auto" w:fill="D9D9D9"/>
        <w:spacing w:after="73" w:line="268" w:lineRule="auto"/>
        <w:ind w:left="-5" w:right="15"/>
      </w:pPr>
      <w:r>
        <w:rPr>
          <w:i/>
        </w:rPr>
        <w:t xml:space="preserve">Знатно смањити пореску стопу за оне који примају мале плате како би се обезбедиле плате довољне за живот и подстакла формализација запошљавања.  </w:t>
      </w:r>
    </w:p>
    <w:p w:rsidR="00E8309B" w:rsidRDefault="009D0949">
      <w:pPr>
        <w:spacing w:after="102"/>
        <w:ind w:left="-5" w:right="17"/>
      </w:pPr>
      <w:r>
        <w:t>Минимална цена рада за период јануар-децембар 2021. године је повећана</w:t>
      </w:r>
      <w:r>
        <w:t xml:space="preserve"> и износи 183,93 динара (нето) по радном сату. Одлуку је Влада усвојила у септембру 2020. године. Усвојеним Законом о порезу на доходак грађана (децембра 2020. године) повећан је неопорезиви износ зараде са 16.300 на 18.300 динара месечно (за 2.000 РСД), ч</w:t>
      </w:r>
      <w:r>
        <w:t xml:space="preserve">име је смањено пореско оптерећење. </w:t>
      </w:r>
    </w:p>
    <w:p w:rsidR="00E8309B" w:rsidRDefault="009D0949">
      <w:pPr>
        <w:shd w:val="clear" w:color="auto" w:fill="D9D9D9"/>
        <w:spacing w:after="73" w:line="268" w:lineRule="auto"/>
        <w:ind w:left="-5" w:right="15"/>
      </w:pPr>
      <w:r>
        <w:rPr>
          <w:i/>
        </w:rPr>
        <w:t xml:space="preserve">Осигурати одговарајуће и одрживо финансирање за јачање сектора здравствене заштите с циљем побољшања приступа квалитетној јавној здравственој заштити за све грађане. </w:t>
      </w:r>
    </w:p>
    <w:p w:rsidR="00E8309B" w:rsidRDefault="009D0949">
      <w:pPr>
        <w:ind w:left="-5" w:right="17"/>
      </w:pPr>
      <w:r>
        <w:t>Здравствена заштита је уставно право регулисано закон</w:t>
      </w:r>
      <w:r>
        <w:t xml:space="preserve">има Републике Србије.  </w:t>
      </w:r>
    </w:p>
    <w:p w:rsidR="00E8309B" w:rsidRDefault="009D0949">
      <w:pPr>
        <w:ind w:left="-5" w:right="17"/>
      </w:pPr>
      <w:r>
        <w:t>Средства за финансирање права из обавезног здравственог осигурања, као и за рад и развој здравственог система обезбеђују се из доприноса за обавезно здравствено осигурање и из других извора, у складу са законом, и представљају прихо</w:t>
      </w:r>
      <w:r>
        <w:t>д Репубчиког фонда за здравствено осигурање. Да би се постигло адекватно и одрживо финансирање здравственог система у целини, Република Србија из буџета обезбеђује средства за различите намене, за здравствену заштиту особа оболелих од ретких болести, за на</w:t>
      </w:r>
      <w:r>
        <w:t xml:space="preserve">кнаду зараде у случају привремене спречености за рад због болести или компликација у вези са одржавањем трудноће, за здравствену заштиту лица која се сматрају осигуранима према члану 16. став 1. Закона о </w:t>
      </w:r>
      <w:r>
        <w:lastRenderedPageBreak/>
        <w:t>здравственом осигурању, за подршку активностима Банк</w:t>
      </w:r>
      <w:r>
        <w:t xml:space="preserve">е репродуктивних ћелија, као и за смањену стопу за доприносе за здравствено осигурање. </w:t>
      </w:r>
    </w:p>
    <w:p w:rsidR="00E8309B" w:rsidRDefault="009D0949">
      <w:pPr>
        <w:ind w:left="-5" w:right="17"/>
      </w:pPr>
      <w:r>
        <w:t>Република Србија је благовремено реаговала и предузела низ мера и активности које су допринеле адекватном и одрживом финансирању здравственог сектора у новонасталој сит</w:t>
      </w:r>
      <w:r>
        <w:t xml:space="preserve">уацији изазваној глобалном пандемијом корона вируса Ковид-19. Набавка неопходне опреме и лекова је завршена, уз то изграђене су и нове лабораторије и болнице како би се свим грађанима пружила квалитетна здравствена заштита. </w:t>
      </w:r>
    </w:p>
    <w:p w:rsidR="00E8309B" w:rsidRDefault="009D0949">
      <w:pPr>
        <w:ind w:left="-5" w:right="17"/>
      </w:pPr>
      <w:r>
        <w:t xml:space="preserve">Јачање здравственог сектора са </w:t>
      </w:r>
      <w:r>
        <w:t xml:space="preserve">циљем побољшања приступа квалитетној јавној здравственој заштити за све грађане један је од приоритетних задатака Владе Републике Србије. </w:t>
      </w:r>
    </w:p>
    <w:p w:rsidR="00E8309B" w:rsidRDefault="009D0949">
      <w:pPr>
        <w:spacing w:after="36" w:line="259" w:lineRule="auto"/>
        <w:ind w:left="271" w:right="0" w:firstLine="0"/>
        <w:jc w:val="left"/>
      </w:pPr>
      <w:r>
        <w:t xml:space="preserve"> </w:t>
      </w:r>
    </w:p>
    <w:p w:rsidR="00E8309B" w:rsidRDefault="009D0949">
      <w:pPr>
        <w:spacing w:after="88" w:line="259" w:lineRule="auto"/>
        <w:ind w:left="271" w:right="0" w:firstLine="0"/>
        <w:jc w:val="left"/>
      </w:pPr>
      <w:r>
        <w:t xml:space="preserve"> </w:t>
      </w:r>
    </w:p>
    <w:p w:rsidR="00E8309B" w:rsidRDefault="009D0949">
      <w:pPr>
        <w:spacing w:after="0" w:line="271" w:lineRule="auto"/>
        <w:ind w:left="-5" w:right="9"/>
      </w:pPr>
      <w:r>
        <w:rPr>
          <w:b/>
        </w:rPr>
        <w:t xml:space="preserve">2.2. Испуњење Препорука ЕКОФИН Савета из маја 2019. за Републику Србију </w:t>
      </w:r>
    </w:p>
    <w:tbl>
      <w:tblPr>
        <w:tblStyle w:val="TableGrid"/>
        <w:tblW w:w="10346" w:type="dxa"/>
        <w:tblInd w:w="-351" w:type="dxa"/>
        <w:tblCellMar>
          <w:top w:w="12" w:type="dxa"/>
          <w:left w:w="108" w:type="dxa"/>
          <w:bottom w:w="0" w:type="dxa"/>
          <w:right w:w="53" w:type="dxa"/>
        </w:tblCellMar>
        <w:tblLook w:val="04A0" w:firstRow="1" w:lastRow="0" w:firstColumn="1" w:lastColumn="0" w:noHBand="0" w:noVBand="1"/>
      </w:tblPr>
      <w:tblGrid>
        <w:gridCol w:w="2831"/>
        <w:gridCol w:w="3828"/>
        <w:gridCol w:w="3687"/>
      </w:tblGrid>
      <w:tr w:rsidR="00E8309B">
        <w:trPr>
          <w:trHeight w:val="890"/>
        </w:trPr>
        <w:tc>
          <w:tcPr>
            <w:tcW w:w="2831"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79" w:lineRule="auto"/>
              <w:ind w:left="113" w:right="0" w:firstLine="0"/>
            </w:pPr>
            <w:r>
              <w:rPr>
                <w:sz w:val="22"/>
                <w:u w:val="single" w:color="000000"/>
              </w:rPr>
              <w:t>ПРЕПОРУКА ЕКОФИН</w:t>
            </w:r>
            <w:r>
              <w:rPr>
                <w:sz w:val="22"/>
              </w:rPr>
              <w:t xml:space="preserve"> </w:t>
            </w:r>
            <w:r>
              <w:rPr>
                <w:sz w:val="22"/>
                <w:u w:val="single" w:color="000000"/>
              </w:rPr>
              <w:t>Савета из маја 2019.</w:t>
            </w:r>
            <w:r>
              <w:rPr>
                <w:sz w:val="22"/>
              </w:rPr>
              <w:t xml:space="preserve"> </w:t>
            </w:r>
          </w:p>
          <w:p w:rsidR="00E8309B" w:rsidRDefault="009D0949">
            <w:pPr>
              <w:spacing w:after="0" w:line="259" w:lineRule="auto"/>
              <w:ind w:left="113" w:right="0" w:firstLine="0"/>
              <w:jc w:val="left"/>
            </w:pPr>
            <w:r>
              <w:rPr>
                <w:sz w:val="22"/>
                <w:u w:val="single" w:color="000000"/>
              </w:rPr>
              <w:t>године</w:t>
            </w:r>
            <w:r>
              <w:rPr>
                <w:sz w:val="22"/>
              </w:rPr>
              <w:t xml:space="preserve"> </w:t>
            </w:r>
          </w:p>
        </w:tc>
        <w:tc>
          <w:tcPr>
            <w:tcW w:w="3828"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113" w:right="0" w:firstLine="0"/>
              <w:jc w:val="left"/>
            </w:pPr>
            <w:r>
              <w:rPr>
                <w:sz w:val="22"/>
                <w:u w:val="single" w:color="000000"/>
              </w:rPr>
              <w:t>ИЗВЕШТАЈИ О СПРОВОЂЕЊУ</w:t>
            </w:r>
            <w:r>
              <w:rPr>
                <w:sz w:val="22"/>
              </w:rPr>
              <w:t xml:space="preserve"> </w:t>
            </w:r>
            <w:r>
              <w:rPr>
                <w:sz w:val="22"/>
                <w:u w:val="single" w:color="000000"/>
              </w:rPr>
              <w:t>ПРЕПОРУКА У ЕРП 2020-2022</w:t>
            </w:r>
            <w:r>
              <w:rPr>
                <w:sz w:val="22"/>
              </w:rPr>
              <w:t xml:space="preserve"> </w:t>
            </w:r>
          </w:p>
        </w:tc>
        <w:tc>
          <w:tcPr>
            <w:tcW w:w="3687"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79" w:lineRule="auto"/>
              <w:ind w:left="113" w:right="0" w:firstLine="0"/>
              <w:jc w:val="left"/>
            </w:pPr>
            <w:r>
              <w:rPr>
                <w:sz w:val="22"/>
                <w:u w:val="single" w:color="000000"/>
              </w:rPr>
              <w:t>ДОПУНА ИЗВЕШТАЈА О</w:t>
            </w:r>
            <w:r>
              <w:rPr>
                <w:sz w:val="22"/>
              </w:rPr>
              <w:t xml:space="preserve"> </w:t>
            </w:r>
            <w:r>
              <w:rPr>
                <w:sz w:val="22"/>
                <w:u w:val="single" w:color="000000"/>
              </w:rPr>
              <w:t>СПРОВОЂЕЊУ ПРЕПОРУКА У</w:t>
            </w:r>
            <w:r>
              <w:rPr>
                <w:sz w:val="22"/>
              </w:rPr>
              <w:t xml:space="preserve"> </w:t>
            </w:r>
          </w:p>
          <w:p w:rsidR="00E8309B" w:rsidRDefault="009D0949">
            <w:pPr>
              <w:spacing w:after="0" w:line="259" w:lineRule="auto"/>
              <w:ind w:left="113" w:right="0" w:firstLine="0"/>
              <w:jc w:val="left"/>
            </w:pPr>
            <w:r>
              <w:rPr>
                <w:sz w:val="22"/>
                <w:u w:val="single" w:color="000000"/>
              </w:rPr>
              <w:t>ЕРП 2021-2023</w:t>
            </w:r>
            <w:r>
              <w:rPr>
                <w:sz w:val="22"/>
              </w:rPr>
              <w:t xml:space="preserve"> </w:t>
            </w:r>
          </w:p>
        </w:tc>
      </w:tr>
      <w:tr w:rsidR="00E8309B">
        <w:trPr>
          <w:trHeight w:val="382"/>
        </w:trPr>
        <w:tc>
          <w:tcPr>
            <w:tcW w:w="2831"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113" w:right="0" w:firstLine="0"/>
              <w:jc w:val="left"/>
            </w:pPr>
            <w:r>
              <w:rPr>
                <w:b/>
                <w:sz w:val="22"/>
                <w:u w:val="single" w:color="000000"/>
              </w:rPr>
              <w:t>Препорука 1:</w:t>
            </w:r>
            <w:r>
              <w:rPr>
                <w:b/>
                <w:sz w:val="22"/>
              </w:rPr>
              <w:t xml:space="preserve"> </w:t>
            </w:r>
            <w:r>
              <w:rPr>
                <w:b/>
              </w:rPr>
              <w:t xml:space="preserve"> </w:t>
            </w:r>
          </w:p>
        </w:tc>
        <w:tc>
          <w:tcPr>
            <w:tcW w:w="3828"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113" w:right="0" w:firstLine="0"/>
              <w:jc w:val="left"/>
            </w:pPr>
            <w:r>
              <w:rPr>
                <w:b/>
                <w:sz w:val="22"/>
              </w:rPr>
              <w:t xml:space="preserve"> </w:t>
            </w:r>
          </w:p>
        </w:tc>
        <w:tc>
          <w:tcPr>
            <w:tcW w:w="3687"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113" w:right="0" w:firstLine="0"/>
              <w:jc w:val="left"/>
            </w:pPr>
            <w:r>
              <w:rPr>
                <w:b/>
                <w:sz w:val="22"/>
              </w:rPr>
              <w:t xml:space="preserve"> </w:t>
            </w:r>
          </w:p>
        </w:tc>
      </w:tr>
      <w:tr w:rsidR="00E8309B">
        <w:trPr>
          <w:trHeight w:val="4311"/>
        </w:trPr>
        <w:tc>
          <w:tcPr>
            <w:tcW w:w="2831"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113" w:right="167" w:firstLine="0"/>
            </w:pPr>
            <w:r>
              <w:rPr>
                <w:b/>
                <w:sz w:val="22"/>
              </w:rPr>
              <w:t xml:space="preserve">Одржавати идентификовани средњорочни буџетски циљ близу равнотеже. </w:t>
            </w:r>
          </w:p>
        </w:tc>
        <w:tc>
          <w:tcPr>
            <w:tcW w:w="3828" w:type="dxa"/>
            <w:tcBorders>
              <w:top w:val="single" w:sz="4" w:space="0" w:color="000000"/>
              <w:left w:val="single" w:sz="4" w:space="0" w:color="000000"/>
              <w:bottom w:val="single" w:sz="4" w:space="0" w:color="000000"/>
              <w:right w:val="single" w:sz="4" w:space="0" w:color="000000"/>
            </w:tcBorders>
          </w:tcPr>
          <w:p w:rsidR="00E8309B" w:rsidRDefault="009D0949">
            <w:pPr>
              <w:spacing w:after="122" w:line="241" w:lineRule="auto"/>
              <w:ind w:left="0" w:right="53" w:firstLine="0"/>
            </w:pPr>
            <w:r>
              <w:rPr>
                <w:sz w:val="22"/>
              </w:rPr>
              <w:t>Средњорочни фискални оквир предвиђа дефицит од 0,5% БДП, на годишњем нивоу током целокупног периода, као и смањење учешћа дуга опште државе на ниво испод 50%. Ови циљеви ће бити постигнути ограничењем раста расходне стране буџета, нарочито највећих категор</w:t>
            </w:r>
            <w:r>
              <w:rPr>
                <w:sz w:val="22"/>
              </w:rPr>
              <w:t xml:space="preserve">ија као што су плате и пензије. Укупни расходи опште државе ће расти спорије од номиналног раста БДП. </w:t>
            </w:r>
          </w:p>
          <w:p w:rsidR="00E8309B" w:rsidRDefault="009D0949">
            <w:pPr>
              <w:spacing w:after="0" w:line="259" w:lineRule="auto"/>
              <w:ind w:left="113" w:right="0" w:firstLine="0"/>
              <w:jc w:val="left"/>
            </w:pPr>
            <w:r>
              <w:rPr>
                <w:b/>
                <w:sz w:val="22"/>
              </w:rPr>
              <w:t xml:space="preserve"> </w:t>
            </w:r>
          </w:p>
        </w:tc>
        <w:tc>
          <w:tcPr>
            <w:tcW w:w="3687"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55" w:firstLine="0"/>
            </w:pPr>
            <w:r>
              <w:rPr>
                <w:sz w:val="22"/>
              </w:rPr>
              <w:t>Фискални дефицит се у 2020. години очекује на нивоу од 8,9% БДП, док ће дуг опште државе износити 59% БДП. Једнократно повећање дуга и дефицита је неиз</w:t>
            </w:r>
            <w:r>
              <w:rPr>
                <w:sz w:val="22"/>
              </w:rPr>
              <w:t>бежна последица интервентних мера у циљу неутралисања ефеката кризе. У наредном средњорочном периоду економска и фискална политика зависиће од развоја пандемије и успеха на пољу борбе против ње. Циљеви фискалне политике свакако су усмерени на одржање фиска</w:t>
            </w:r>
            <w:r>
              <w:rPr>
                <w:sz w:val="22"/>
              </w:rPr>
              <w:t xml:space="preserve">лне стабилности и смањење учешћа јавног дуга у БДП. Средњорочни фискални оквир предвиђа постепено смањење дефицита опште државе на </w:t>
            </w:r>
          </w:p>
        </w:tc>
      </w:tr>
    </w:tbl>
    <w:p w:rsidR="00E8309B" w:rsidRDefault="00E8309B">
      <w:pPr>
        <w:spacing w:after="0" w:line="259" w:lineRule="auto"/>
        <w:ind w:left="-1133" w:right="10799" w:firstLine="0"/>
        <w:jc w:val="left"/>
      </w:pPr>
    </w:p>
    <w:tbl>
      <w:tblPr>
        <w:tblStyle w:val="TableGrid"/>
        <w:tblW w:w="10346" w:type="dxa"/>
        <w:tblInd w:w="-351" w:type="dxa"/>
        <w:tblCellMar>
          <w:top w:w="12" w:type="dxa"/>
          <w:left w:w="108" w:type="dxa"/>
          <w:bottom w:w="0" w:type="dxa"/>
          <w:right w:w="50" w:type="dxa"/>
        </w:tblCellMar>
        <w:tblLook w:val="04A0" w:firstRow="1" w:lastRow="0" w:firstColumn="1" w:lastColumn="0" w:noHBand="0" w:noVBand="1"/>
      </w:tblPr>
      <w:tblGrid>
        <w:gridCol w:w="2831"/>
        <w:gridCol w:w="3828"/>
        <w:gridCol w:w="3687"/>
      </w:tblGrid>
      <w:tr w:rsidR="00E8309B">
        <w:trPr>
          <w:trHeight w:val="891"/>
        </w:trPr>
        <w:tc>
          <w:tcPr>
            <w:tcW w:w="2831"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77" w:lineRule="auto"/>
              <w:ind w:left="113" w:right="0" w:firstLine="0"/>
            </w:pPr>
            <w:r>
              <w:rPr>
                <w:sz w:val="22"/>
                <w:u w:val="single" w:color="000000"/>
              </w:rPr>
              <w:t>ПРЕПОРУКА ЕКОФИН</w:t>
            </w:r>
            <w:r>
              <w:rPr>
                <w:sz w:val="22"/>
              </w:rPr>
              <w:t xml:space="preserve"> </w:t>
            </w:r>
            <w:r>
              <w:rPr>
                <w:sz w:val="22"/>
                <w:u w:val="single" w:color="000000"/>
              </w:rPr>
              <w:t>Савета из маја 2019.</w:t>
            </w:r>
            <w:r>
              <w:rPr>
                <w:sz w:val="22"/>
              </w:rPr>
              <w:t xml:space="preserve"> </w:t>
            </w:r>
          </w:p>
          <w:p w:rsidR="00E8309B" w:rsidRDefault="009D0949">
            <w:pPr>
              <w:spacing w:after="0" w:line="259" w:lineRule="auto"/>
              <w:ind w:left="113" w:right="0" w:firstLine="0"/>
              <w:jc w:val="left"/>
            </w:pPr>
            <w:r>
              <w:rPr>
                <w:sz w:val="22"/>
                <w:u w:val="single" w:color="000000"/>
              </w:rPr>
              <w:t>године</w:t>
            </w:r>
            <w:r>
              <w:rPr>
                <w:sz w:val="22"/>
              </w:rPr>
              <w:t xml:space="preserve"> </w:t>
            </w:r>
          </w:p>
        </w:tc>
        <w:tc>
          <w:tcPr>
            <w:tcW w:w="3828"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113" w:right="0" w:firstLine="0"/>
              <w:jc w:val="left"/>
            </w:pPr>
            <w:r>
              <w:rPr>
                <w:sz w:val="22"/>
                <w:u w:val="single" w:color="000000"/>
              </w:rPr>
              <w:t>ИЗВЕШТАЈИ О СПРОВОЂЕЊУ</w:t>
            </w:r>
            <w:r>
              <w:rPr>
                <w:sz w:val="22"/>
              </w:rPr>
              <w:t xml:space="preserve"> </w:t>
            </w:r>
            <w:r>
              <w:rPr>
                <w:sz w:val="22"/>
                <w:u w:val="single" w:color="000000"/>
              </w:rPr>
              <w:t>ПРЕПОРУКА У ЕРП 2020-2022</w:t>
            </w:r>
            <w:r>
              <w:rPr>
                <w:sz w:val="22"/>
              </w:rPr>
              <w:t xml:space="preserve"> </w:t>
            </w:r>
          </w:p>
        </w:tc>
        <w:tc>
          <w:tcPr>
            <w:tcW w:w="3687"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77" w:lineRule="auto"/>
              <w:ind w:left="113" w:right="0" w:firstLine="0"/>
              <w:jc w:val="left"/>
            </w:pPr>
            <w:r>
              <w:rPr>
                <w:sz w:val="22"/>
                <w:u w:val="single" w:color="000000"/>
              </w:rPr>
              <w:t>ДОПУНА ИЗВЕШТАЈА О</w:t>
            </w:r>
            <w:r>
              <w:rPr>
                <w:sz w:val="22"/>
              </w:rPr>
              <w:t xml:space="preserve"> </w:t>
            </w:r>
            <w:r>
              <w:rPr>
                <w:sz w:val="22"/>
                <w:u w:val="single" w:color="000000"/>
              </w:rPr>
              <w:t>СПРОВОЂЕЊУ ПРЕПОРУКА У</w:t>
            </w:r>
            <w:r>
              <w:rPr>
                <w:sz w:val="22"/>
              </w:rPr>
              <w:t xml:space="preserve"> </w:t>
            </w:r>
          </w:p>
          <w:p w:rsidR="00E8309B" w:rsidRDefault="009D0949">
            <w:pPr>
              <w:spacing w:after="0" w:line="259" w:lineRule="auto"/>
              <w:ind w:left="113" w:right="0" w:firstLine="0"/>
              <w:jc w:val="left"/>
            </w:pPr>
            <w:r>
              <w:rPr>
                <w:sz w:val="22"/>
                <w:u w:val="single" w:color="000000"/>
              </w:rPr>
              <w:t>ЕРП 2021-2023</w:t>
            </w:r>
            <w:r>
              <w:rPr>
                <w:sz w:val="22"/>
              </w:rPr>
              <w:t xml:space="preserve"> </w:t>
            </w:r>
          </w:p>
        </w:tc>
      </w:tr>
      <w:tr w:rsidR="00E8309B">
        <w:trPr>
          <w:trHeight w:val="2659"/>
        </w:trPr>
        <w:tc>
          <w:tcPr>
            <w:tcW w:w="2831" w:type="dxa"/>
            <w:tcBorders>
              <w:top w:val="single" w:sz="4" w:space="0" w:color="000000"/>
              <w:left w:val="single" w:sz="4" w:space="0" w:color="000000"/>
              <w:bottom w:val="single" w:sz="4" w:space="0" w:color="000000"/>
              <w:right w:val="single" w:sz="4" w:space="0" w:color="000000"/>
            </w:tcBorders>
          </w:tcPr>
          <w:p w:rsidR="00E8309B" w:rsidRDefault="00E8309B">
            <w:pPr>
              <w:spacing w:after="160" w:line="259" w:lineRule="auto"/>
              <w:ind w:left="0" w:right="0" w:firstLine="0"/>
              <w:jc w:val="left"/>
            </w:pPr>
          </w:p>
        </w:tc>
        <w:tc>
          <w:tcPr>
            <w:tcW w:w="3828" w:type="dxa"/>
            <w:tcBorders>
              <w:top w:val="single" w:sz="4" w:space="0" w:color="000000"/>
              <w:left w:val="single" w:sz="4" w:space="0" w:color="000000"/>
              <w:bottom w:val="single" w:sz="4" w:space="0" w:color="000000"/>
              <w:right w:val="single" w:sz="4" w:space="0" w:color="000000"/>
            </w:tcBorders>
          </w:tcPr>
          <w:p w:rsidR="00E8309B" w:rsidRDefault="00E8309B">
            <w:pPr>
              <w:spacing w:after="160" w:line="259" w:lineRule="auto"/>
              <w:ind w:left="0" w:right="0" w:firstLine="0"/>
              <w:jc w:val="left"/>
            </w:pPr>
          </w:p>
        </w:tc>
        <w:tc>
          <w:tcPr>
            <w:tcW w:w="3687"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57" w:firstLine="0"/>
            </w:pPr>
            <w:r>
              <w:rPr>
                <w:sz w:val="22"/>
              </w:rPr>
              <w:t xml:space="preserve">ниво од 1,0% БДП до 2023. године и пад учешћа јавног дуга на 56,0% БДП. </w:t>
            </w:r>
            <w:r>
              <w:rPr>
                <w:sz w:val="22"/>
              </w:rPr>
              <w:t xml:space="preserve">Фискална политика ће у наредном периоду бити фокусирана на наставак смањења укупног пореског оптерећења, а на расходној страни приоритет ће имати инфраструктурни и капитални пројекти, те политика пензија и плата. </w:t>
            </w:r>
          </w:p>
        </w:tc>
      </w:tr>
      <w:tr w:rsidR="00E8309B">
        <w:trPr>
          <w:trHeight w:val="5696"/>
        </w:trPr>
        <w:tc>
          <w:tcPr>
            <w:tcW w:w="2831"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0" w:firstLine="0"/>
              <w:jc w:val="left"/>
            </w:pPr>
            <w:r>
              <w:rPr>
                <w:b/>
                <w:sz w:val="22"/>
              </w:rPr>
              <w:lastRenderedPageBreak/>
              <w:t>Задржати укупну потрошњу на плате и пензије у односу на БДП.</w:t>
            </w:r>
            <w:r>
              <w:rPr>
                <w:b/>
              </w:rPr>
              <w:t xml:space="preserve"> </w:t>
            </w:r>
          </w:p>
        </w:tc>
        <w:tc>
          <w:tcPr>
            <w:tcW w:w="3828" w:type="dxa"/>
            <w:tcBorders>
              <w:top w:val="single" w:sz="4" w:space="0" w:color="000000"/>
              <w:left w:val="single" w:sz="4" w:space="0" w:color="000000"/>
              <w:bottom w:val="single" w:sz="4" w:space="0" w:color="000000"/>
              <w:right w:val="single" w:sz="4" w:space="0" w:color="000000"/>
            </w:tcBorders>
          </w:tcPr>
          <w:p w:rsidR="00E8309B" w:rsidRDefault="009D0949">
            <w:pPr>
              <w:spacing w:after="112" w:line="244" w:lineRule="auto"/>
              <w:ind w:left="0" w:right="56" w:firstLine="0"/>
            </w:pPr>
            <w:r>
              <w:rPr>
                <w:sz w:val="22"/>
              </w:rPr>
              <w:t>Наредне три године плате ће бити на нивоу од 9,5% БДП што је исто као 2019. године. Пензије ће од 2021. године бити индексиране по швајцарској формули, која ће дугорочно обезбедити номинални рас</w:t>
            </w:r>
            <w:r>
              <w:rPr>
                <w:sz w:val="22"/>
              </w:rPr>
              <w:t xml:space="preserve">т од 5-6% на годишњем нивоу. </w:t>
            </w:r>
          </w:p>
          <w:p w:rsidR="00E8309B" w:rsidRDefault="009D0949">
            <w:pPr>
              <w:spacing w:after="0" w:line="259" w:lineRule="auto"/>
              <w:ind w:left="0" w:right="57" w:firstLine="0"/>
            </w:pPr>
            <w:r>
              <w:rPr>
                <w:sz w:val="22"/>
              </w:rPr>
              <w:t>На страни прихода, план је да се настави са смањењем пореског оптерећења, посебно стопа  пореза на доходак и доприноса за социјално осигурање.</w:t>
            </w:r>
            <w:r>
              <w:t xml:space="preserve"> </w:t>
            </w:r>
          </w:p>
        </w:tc>
        <w:tc>
          <w:tcPr>
            <w:tcW w:w="3687" w:type="dxa"/>
            <w:tcBorders>
              <w:top w:val="single" w:sz="4" w:space="0" w:color="000000"/>
              <w:left w:val="single" w:sz="4" w:space="0" w:color="000000"/>
              <w:bottom w:val="single" w:sz="4" w:space="0" w:color="000000"/>
              <w:right w:val="single" w:sz="4" w:space="0" w:color="000000"/>
            </w:tcBorders>
          </w:tcPr>
          <w:p w:rsidR="00E8309B" w:rsidRDefault="009D0949">
            <w:pPr>
              <w:spacing w:after="36" w:line="242" w:lineRule="auto"/>
              <w:ind w:left="0" w:right="58" w:firstLine="0"/>
            </w:pPr>
            <w:r>
              <w:rPr>
                <w:sz w:val="22"/>
              </w:rPr>
              <w:t xml:space="preserve">Криза изазвана пандемијом утицала је на раст на расходној страни што је довело до </w:t>
            </w:r>
            <w:r>
              <w:rPr>
                <w:sz w:val="22"/>
              </w:rPr>
              <w:t>високог, додуше једнократног, скока учешћа расходне стране буџета у БДП. Такав случај је и са расходима за запослене који су достигли ниво од 10,4% БДП у 2020, највише захваљујући ванредном повећању зарада запосленима у систему здравства, као и повећаним а</w:t>
            </w:r>
            <w:r>
              <w:rPr>
                <w:sz w:val="22"/>
              </w:rPr>
              <w:t>нгажовањем запослених у борби против пандемије. У наредном периоду зараде ће се повећавати умерено, уз контролу и смањење њиховог учешћа у БДП, тако да до 2023.</w:t>
            </w:r>
            <w:r>
              <w:t xml:space="preserve"> </w:t>
            </w:r>
            <w:r>
              <w:rPr>
                <w:sz w:val="22"/>
              </w:rPr>
              <w:t>године достигну ниво од 9,6% БДП.</w:t>
            </w:r>
            <w:r>
              <w:t xml:space="preserve"> </w:t>
            </w:r>
          </w:p>
          <w:p w:rsidR="00E8309B" w:rsidRDefault="009D0949">
            <w:pPr>
              <w:spacing w:after="0" w:line="259" w:lineRule="auto"/>
              <w:ind w:left="0" w:right="59" w:firstLine="0"/>
            </w:pPr>
            <w:r>
              <w:rPr>
                <w:sz w:val="22"/>
              </w:rPr>
              <w:t>Пензије се од 2021. године индексирају по швајцарској формул</w:t>
            </w:r>
            <w:r>
              <w:rPr>
                <w:sz w:val="22"/>
              </w:rPr>
              <w:t xml:space="preserve">и, која ће дугорочно обезбедити номинални раст од 5-6% на годишњем нивоу. </w:t>
            </w:r>
          </w:p>
        </w:tc>
      </w:tr>
      <w:tr w:rsidR="00E8309B">
        <w:trPr>
          <w:trHeight w:val="2794"/>
        </w:trPr>
        <w:tc>
          <w:tcPr>
            <w:tcW w:w="2831"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113" w:right="169" w:firstLine="0"/>
            </w:pPr>
            <w:r>
              <w:rPr>
                <w:b/>
                <w:sz w:val="22"/>
              </w:rPr>
              <w:t xml:space="preserve">Спровести реформу система плата у јавном сектору у оквиру буџета за 2020. годину, која обухвата и запослене у сектору безбедности. </w:t>
            </w:r>
          </w:p>
        </w:tc>
        <w:tc>
          <w:tcPr>
            <w:tcW w:w="3828"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57" w:firstLine="0"/>
            </w:pPr>
            <w:r>
              <w:rPr>
                <w:sz w:val="22"/>
              </w:rPr>
              <w:t xml:space="preserve">Нови систем плата за све запослене у јавном сектору биће успостављен током 2020. године и спреман за имплементацију у  2021. години. У циљу припреме за то, планирано је усвајање уредбе којом се одређују коефицијенти у новом систему плата. </w:t>
            </w:r>
          </w:p>
        </w:tc>
        <w:tc>
          <w:tcPr>
            <w:tcW w:w="3687"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113" w:right="170" w:firstLine="0"/>
            </w:pPr>
            <w:r>
              <w:rPr>
                <w:sz w:val="22"/>
              </w:rPr>
              <w:t>Усвајање новог з</w:t>
            </w:r>
            <w:r>
              <w:rPr>
                <w:sz w:val="22"/>
              </w:rPr>
              <w:t>акона о платама државних службеника и намештеника, као и измена и допуна каталога радних места у јавним службама и другим организацијама у јавном сектору, је одложено због пандемије и очекује се током 2021. године. И даље очекујемо да ће нови систем ступит</w:t>
            </w:r>
            <w:r>
              <w:rPr>
                <w:sz w:val="22"/>
              </w:rPr>
              <w:t xml:space="preserve">и на снагу и бити у примени од 2022. године. </w:t>
            </w:r>
          </w:p>
        </w:tc>
      </w:tr>
      <w:tr w:rsidR="00E8309B">
        <w:trPr>
          <w:trHeight w:val="382"/>
        </w:trPr>
        <w:tc>
          <w:tcPr>
            <w:tcW w:w="2831"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113" w:right="0" w:firstLine="0"/>
              <w:jc w:val="left"/>
            </w:pPr>
            <w:r>
              <w:rPr>
                <w:b/>
                <w:sz w:val="22"/>
                <w:u w:val="single" w:color="000000"/>
              </w:rPr>
              <w:t>Препорука 2:</w:t>
            </w:r>
            <w:r>
              <w:rPr>
                <w:b/>
                <w:sz w:val="22"/>
              </w:rPr>
              <w:t xml:space="preserve">  </w:t>
            </w:r>
          </w:p>
        </w:tc>
        <w:tc>
          <w:tcPr>
            <w:tcW w:w="3828"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113" w:right="0" w:firstLine="0"/>
              <w:jc w:val="left"/>
            </w:pPr>
            <w:r>
              <w:rPr>
                <w:b/>
                <w:sz w:val="22"/>
              </w:rPr>
              <w:t xml:space="preserve"> </w:t>
            </w:r>
          </w:p>
        </w:tc>
        <w:tc>
          <w:tcPr>
            <w:tcW w:w="3687"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113" w:right="0" w:firstLine="0"/>
              <w:jc w:val="left"/>
            </w:pPr>
            <w:r>
              <w:rPr>
                <w:b/>
                <w:sz w:val="22"/>
              </w:rPr>
              <w:t xml:space="preserve"> </w:t>
            </w:r>
          </w:p>
        </w:tc>
      </w:tr>
      <w:tr w:rsidR="00E8309B">
        <w:trPr>
          <w:trHeight w:val="2036"/>
        </w:trPr>
        <w:tc>
          <w:tcPr>
            <w:tcW w:w="2831"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56" w:firstLine="0"/>
            </w:pPr>
            <w:r>
              <w:rPr>
                <w:b/>
                <w:sz w:val="22"/>
              </w:rPr>
              <w:t xml:space="preserve">Повећати капиталну потрошњу државе која подржава дугорочни раст као удео у БДП-у у 2019. години, и током средњорочног периода. </w:t>
            </w:r>
          </w:p>
        </w:tc>
        <w:tc>
          <w:tcPr>
            <w:tcW w:w="3828"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57" w:firstLine="0"/>
            </w:pPr>
            <w:r>
              <w:rPr>
                <w:sz w:val="22"/>
              </w:rPr>
              <w:t xml:space="preserve">Средњорочни фискални оквир предвиђа повећање капиталне потрошње у односу на БДП на 4,7% у 2022. у поређењу са 4,4% у 2019. години. Првобитно је планирани ниво издатака  у 2019. години био 4,2% </w:t>
            </w:r>
          </w:p>
        </w:tc>
        <w:tc>
          <w:tcPr>
            <w:tcW w:w="3687"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0" w:firstLine="0"/>
              <w:jc w:val="left"/>
            </w:pPr>
            <w:r>
              <w:rPr>
                <w:sz w:val="22"/>
              </w:rPr>
              <w:t xml:space="preserve">Капитални расходи су повећани на </w:t>
            </w:r>
          </w:p>
          <w:p w:rsidR="00E8309B" w:rsidRDefault="009D0949">
            <w:pPr>
              <w:spacing w:after="0" w:line="259" w:lineRule="auto"/>
              <w:ind w:left="0" w:right="59" w:firstLine="0"/>
            </w:pPr>
            <w:r>
              <w:rPr>
                <w:sz w:val="22"/>
              </w:rPr>
              <w:t>4,9% БДП у 2019. години захв</w:t>
            </w:r>
            <w:r>
              <w:rPr>
                <w:sz w:val="22"/>
              </w:rPr>
              <w:t xml:space="preserve">аљујући отпочињању новог циклуса инфраструктурних пројеката, а у 2020. години се очекује достизање нивоа од 5,2% БДП, упркос проблемима које је проузроковала пандемија. У </w:t>
            </w:r>
          </w:p>
        </w:tc>
      </w:tr>
    </w:tbl>
    <w:p w:rsidR="00E8309B" w:rsidRDefault="00E8309B">
      <w:pPr>
        <w:spacing w:after="0" w:line="259" w:lineRule="auto"/>
        <w:ind w:left="-1133" w:right="10799" w:firstLine="0"/>
        <w:jc w:val="left"/>
      </w:pPr>
    </w:p>
    <w:tbl>
      <w:tblPr>
        <w:tblStyle w:val="TableGrid"/>
        <w:tblW w:w="10346" w:type="dxa"/>
        <w:tblInd w:w="-351" w:type="dxa"/>
        <w:tblCellMar>
          <w:top w:w="50" w:type="dxa"/>
          <w:left w:w="108" w:type="dxa"/>
          <w:bottom w:w="0" w:type="dxa"/>
          <w:right w:w="53" w:type="dxa"/>
        </w:tblCellMar>
        <w:tblLook w:val="04A0" w:firstRow="1" w:lastRow="0" w:firstColumn="1" w:lastColumn="0" w:noHBand="0" w:noVBand="1"/>
      </w:tblPr>
      <w:tblGrid>
        <w:gridCol w:w="2831"/>
        <w:gridCol w:w="3828"/>
        <w:gridCol w:w="3687"/>
      </w:tblGrid>
      <w:tr w:rsidR="00E8309B">
        <w:trPr>
          <w:trHeight w:val="891"/>
        </w:trPr>
        <w:tc>
          <w:tcPr>
            <w:tcW w:w="2831"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77" w:lineRule="auto"/>
              <w:ind w:left="113" w:right="0" w:firstLine="0"/>
            </w:pPr>
            <w:r>
              <w:rPr>
                <w:sz w:val="22"/>
                <w:u w:val="single" w:color="000000"/>
              </w:rPr>
              <w:t>ПРЕПОРУКА ЕКОФИН</w:t>
            </w:r>
            <w:r>
              <w:rPr>
                <w:sz w:val="22"/>
              </w:rPr>
              <w:t xml:space="preserve"> </w:t>
            </w:r>
            <w:r>
              <w:rPr>
                <w:sz w:val="22"/>
                <w:u w:val="single" w:color="000000"/>
              </w:rPr>
              <w:t>Савета из маја 2019.</w:t>
            </w:r>
            <w:r>
              <w:rPr>
                <w:sz w:val="22"/>
              </w:rPr>
              <w:t xml:space="preserve"> </w:t>
            </w:r>
          </w:p>
          <w:p w:rsidR="00E8309B" w:rsidRDefault="009D0949">
            <w:pPr>
              <w:spacing w:after="0" w:line="259" w:lineRule="auto"/>
              <w:ind w:left="113" w:right="0" w:firstLine="0"/>
              <w:jc w:val="left"/>
            </w:pPr>
            <w:r>
              <w:rPr>
                <w:sz w:val="22"/>
                <w:u w:val="single" w:color="000000"/>
              </w:rPr>
              <w:t>године</w:t>
            </w:r>
            <w:r>
              <w:rPr>
                <w:sz w:val="22"/>
              </w:rPr>
              <w:t xml:space="preserve"> </w:t>
            </w:r>
          </w:p>
        </w:tc>
        <w:tc>
          <w:tcPr>
            <w:tcW w:w="3828"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113" w:right="0" w:firstLine="0"/>
              <w:jc w:val="left"/>
            </w:pPr>
            <w:r>
              <w:rPr>
                <w:sz w:val="22"/>
                <w:u w:val="single" w:color="000000"/>
              </w:rPr>
              <w:t>ИЗВЕШТАЈИ О СПРОВОЂЕЊУ</w:t>
            </w:r>
            <w:r>
              <w:rPr>
                <w:sz w:val="22"/>
              </w:rPr>
              <w:t xml:space="preserve"> </w:t>
            </w:r>
            <w:r>
              <w:rPr>
                <w:sz w:val="22"/>
                <w:u w:val="single" w:color="000000"/>
              </w:rPr>
              <w:t xml:space="preserve">ПРЕПОРУКА </w:t>
            </w:r>
            <w:r>
              <w:rPr>
                <w:sz w:val="22"/>
                <w:u w:val="single" w:color="000000"/>
              </w:rPr>
              <w:t>У ЕРП 2020-2022</w:t>
            </w:r>
            <w:r>
              <w:rPr>
                <w:sz w:val="22"/>
              </w:rPr>
              <w:t xml:space="preserve"> </w:t>
            </w:r>
          </w:p>
        </w:tc>
        <w:tc>
          <w:tcPr>
            <w:tcW w:w="3687"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77" w:lineRule="auto"/>
              <w:ind w:left="113" w:right="0" w:firstLine="0"/>
              <w:jc w:val="left"/>
            </w:pPr>
            <w:r>
              <w:rPr>
                <w:sz w:val="22"/>
                <w:u w:val="single" w:color="000000"/>
              </w:rPr>
              <w:t>ДОПУНА ИЗВЕШТАЈА О</w:t>
            </w:r>
            <w:r>
              <w:rPr>
                <w:sz w:val="22"/>
              </w:rPr>
              <w:t xml:space="preserve"> </w:t>
            </w:r>
            <w:r>
              <w:rPr>
                <w:sz w:val="22"/>
                <w:u w:val="single" w:color="000000"/>
              </w:rPr>
              <w:t>СПРОВОЂЕЊУ ПРЕПОРУКА У</w:t>
            </w:r>
            <w:r>
              <w:rPr>
                <w:sz w:val="22"/>
              </w:rPr>
              <w:t xml:space="preserve"> </w:t>
            </w:r>
          </w:p>
          <w:p w:rsidR="00E8309B" w:rsidRDefault="009D0949">
            <w:pPr>
              <w:spacing w:after="0" w:line="259" w:lineRule="auto"/>
              <w:ind w:left="113" w:right="0" w:firstLine="0"/>
              <w:jc w:val="left"/>
            </w:pPr>
            <w:r>
              <w:rPr>
                <w:sz w:val="22"/>
                <w:u w:val="single" w:color="000000"/>
              </w:rPr>
              <w:t>ЕРП 2021-2023</w:t>
            </w:r>
            <w:r>
              <w:rPr>
                <w:sz w:val="22"/>
              </w:rPr>
              <w:t xml:space="preserve"> </w:t>
            </w:r>
          </w:p>
        </w:tc>
      </w:tr>
      <w:tr w:rsidR="00E8309B">
        <w:trPr>
          <w:trHeight w:val="888"/>
        </w:trPr>
        <w:tc>
          <w:tcPr>
            <w:tcW w:w="2831" w:type="dxa"/>
            <w:tcBorders>
              <w:top w:val="single" w:sz="4" w:space="0" w:color="000000"/>
              <w:left w:val="single" w:sz="4" w:space="0" w:color="000000"/>
              <w:bottom w:val="single" w:sz="4" w:space="0" w:color="000000"/>
              <w:right w:val="single" w:sz="4" w:space="0" w:color="000000"/>
            </w:tcBorders>
          </w:tcPr>
          <w:p w:rsidR="00E8309B" w:rsidRDefault="00E8309B">
            <w:pPr>
              <w:spacing w:after="160" w:line="259" w:lineRule="auto"/>
              <w:ind w:left="0" w:right="0" w:firstLine="0"/>
              <w:jc w:val="left"/>
            </w:pPr>
          </w:p>
        </w:tc>
        <w:tc>
          <w:tcPr>
            <w:tcW w:w="3828"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0" w:firstLine="0"/>
              <w:jc w:val="left"/>
            </w:pPr>
            <w:r>
              <w:rPr>
                <w:sz w:val="22"/>
              </w:rPr>
              <w:t xml:space="preserve">БДП, у поређењу са 3,9% БДП у 2018. години.  </w:t>
            </w:r>
          </w:p>
        </w:tc>
        <w:tc>
          <w:tcPr>
            <w:tcW w:w="3687"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55" w:firstLine="0"/>
            </w:pPr>
            <w:r>
              <w:rPr>
                <w:sz w:val="22"/>
              </w:rPr>
              <w:t xml:space="preserve">наредном средњорочном периоду очекује се даљи раст улагања у јавну инфраструктуру. </w:t>
            </w:r>
          </w:p>
        </w:tc>
      </w:tr>
      <w:tr w:rsidR="00E8309B">
        <w:trPr>
          <w:trHeight w:val="9494"/>
        </w:trPr>
        <w:tc>
          <w:tcPr>
            <w:tcW w:w="2831"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55" w:firstLine="0"/>
            </w:pPr>
            <w:r>
              <w:rPr>
                <w:b/>
                <w:sz w:val="22"/>
              </w:rPr>
              <w:lastRenderedPageBreak/>
              <w:t xml:space="preserve">Развити јединствени механизам за одређивање приоритета и праћење свих инвестиција без обзира на извор финансирања. </w:t>
            </w:r>
          </w:p>
        </w:tc>
        <w:tc>
          <w:tcPr>
            <w:tcW w:w="3828"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42" w:lineRule="auto"/>
              <w:ind w:left="0" w:right="52" w:firstLine="0"/>
            </w:pPr>
            <w:r>
              <w:rPr>
                <w:sz w:val="22"/>
              </w:rPr>
              <w:t>У 2019. усвојена је јединствена методологија / систем за управљање планирањем и спровођењем капиталних пројеката, а затим је у јулу 2019. Вл</w:t>
            </w:r>
            <w:r>
              <w:rPr>
                <w:sz w:val="22"/>
              </w:rPr>
              <w:t>ада усвојила нову Уредбу о управљању капиталним пројектима која ступа на снагу  јануара 2020. године и примењује се на све капиталне пројекте независно од извора финансирања. Током априла 2019. године, Влада Републике Србије је основала и Комисију за капит</w:t>
            </w:r>
            <w:r>
              <w:rPr>
                <w:sz w:val="22"/>
              </w:rPr>
              <w:t xml:space="preserve">алне инвестиције, као кључног доносиоца одлука за капиталне пројекте, како је и предвиђено новом Уредбом о управљању капиталним пројектима. Комисија за капиталне инвестиције се састоји од представника девет министарстава, и њом председава председник Владе </w:t>
            </w:r>
            <w:r>
              <w:rPr>
                <w:sz w:val="22"/>
              </w:rPr>
              <w:t xml:space="preserve">Србије. </w:t>
            </w:r>
          </w:p>
          <w:p w:rsidR="00E8309B" w:rsidRDefault="009D0949">
            <w:pPr>
              <w:spacing w:after="0" w:line="259" w:lineRule="auto"/>
              <w:ind w:left="0" w:right="51" w:firstLine="0"/>
            </w:pPr>
            <w:r>
              <w:rPr>
                <w:sz w:val="22"/>
              </w:rPr>
              <w:t>Министарство финансија је основало нову Групу за оцену и праћење капиталних пројеката, објавило седам нових Правилника предвиђених Уредбом о управљању капиталним инвестицијама који детаљније уређују механизме предвиђене Уредбом, организовало обуке и радион</w:t>
            </w:r>
            <w:r>
              <w:rPr>
                <w:sz w:val="22"/>
              </w:rPr>
              <w:t xml:space="preserve">ице за будуће кориснике капиталних пројеката и приступило изради конкурсне документације за израду Информационог система за управљање капиталним пројектима. </w:t>
            </w:r>
          </w:p>
        </w:tc>
        <w:tc>
          <w:tcPr>
            <w:tcW w:w="3687" w:type="dxa"/>
            <w:tcBorders>
              <w:top w:val="single" w:sz="4" w:space="0" w:color="000000"/>
              <w:left w:val="single" w:sz="4" w:space="0" w:color="000000"/>
              <w:bottom w:val="single" w:sz="4" w:space="0" w:color="000000"/>
              <w:right w:val="single" w:sz="4" w:space="0" w:color="000000"/>
            </w:tcBorders>
          </w:tcPr>
          <w:p w:rsidR="00E8309B" w:rsidRDefault="009D0949">
            <w:pPr>
              <w:spacing w:after="56" w:line="241" w:lineRule="auto"/>
              <w:ind w:left="0" w:right="53" w:firstLine="0"/>
            </w:pPr>
            <w:r>
              <w:rPr>
                <w:sz w:val="22"/>
              </w:rPr>
              <w:t>На основу Уредбе о управљању капиталним пројектима, од стране министра финансија донети су правилн</w:t>
            </w:r>
            <w:r>
              <w:rPr>
                <w:sz w:val="22"/>
              </w:rPr>
              <w:t>ици, и то: Правилник о праћењу имплементације капиталних пројеката, Правилник о начину израде параметара финансијске и економске анализе у оквиру студије изводљивости и претходне студије изводљивости, Правилник о садржају базе капиталних пројеката, Правилн</w:t>
            </w:r>
            <w:r>
              <w:rPr>
                <w:sz w:val="22"/>
              </w:rPr>
              <w:t xml:space="preserve">ик о студији изводљивости и претходној студији изводљивости, Правилник о поступку рационализације капиталних пројеката, Правилник о поступку укључивања капиталних пројеката у буџет и Правилник о инвестиционој документацији (са обрасцима који чине саставни </w:t>
            </w:r>
            <w:r>
              <w:rPr>
                <w:sz w:val="22"/>
              </w:rPr>
              <w:t xml:space="preserve">део овог правилник и пружају Групи потребне податке о стратешкој, економској и финансијској релевантности пројеката као и начину и роковима њихове имплементације). </w:t>
            </w:r>
          </w:p>
          <w:p w:rsidR="00E8309B" w:rsidRDefault="009D0949">
            <w:pPr>
              <w:spacing w:after="0" w:line="259" w:lineRule="auto"/>
              <w:ind w:left="0" w:right="55" w:firstLine="0"/>
            </w:pPr>
            <w:r>
              <w:rPr>
                <w:sz w:val="22"/>
              </w:rPr>
              <w:t>Систем управљања јавним инвестицијама укључује интегрисану базу података о инвестиционим пр</w:t>
            </w:r>
            <w:r>
              <w:rPr>
                <w:sz w:val="22"/>
              </w:rPr>
              <w:t>ојектима, која је тренутно у развоју и успостављену јединствену листу приоритетних пројеката (</w:t>
            </w:r>
            <w:r>
              <w:rPr>
                <w:i/>
                <w:sz w:val="22"/>
              </w:rPr>
              <w:t>Single Project Pipeline</w:t>
            </w:r>
            <w:r>
              <w:rPr>
                <w:sz w:val="22"/>
              </w:rPr>
              <w:t xml:space="preserve">), како би систем почео с функционисањем током 2021. године, а постао потпуно функционалан током 2022. године. </w:t>
            </w:r>
          </w:p>
        </w:tc>
      </w:tr>
      <w:tr w:rsidR="00E8309B">
        <w:trPr>
          <w:trHeight w:val="3209"/>
        </w:trPr>
        <w:tc>
          <w:tcPr>
            <w:tcW w:w="2831"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113" w:right="167" w:firstLine="0"/>
            </w:pPr>
            <w:r>
              <w:rPr>
                <w:b/>
                <w:sz w:val="22"/>
              </w:rPr>
              <w:t>Јачати оквир фискалне одго</w:t>
            </w:r>
            <w:r>
              <w:rPr>
                <w:b/>
                <w:sz w:val="22"/>
              </w:rPr>
              <w:t xml:space="preserve">ворности кроз побољшање система фискалних правила, повећавајући његов кредибилитет и чинећи га више обавезујућим и способним да учврсти фискалну политику. </w:t>
            </w:r>
          </w:p>
        </w:tc>
        <w:tc>
          <w:tcPr>
            <w:tcW w:w="3828"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54" w:firstLine="0"/>
            </w:pPr>
            <w:r>
              <w:rPr>
                <w:sz w:val="22"/>
              </w:rPr>
              <w:t xml:space="preserve">Очекује се да </w:t>
            </w:r>
            <w:r>
              <w:rPr>
                <w:sz w:val="22"/>
              </w:rPr>
              <w:t xml:space="preserve">ће фискална правила у потпуности бити утврђена 2020. године са почетком примене у 2021. години. Министарство финансија је основало Радну групу задужену за измене Закона о буџетском систему, у коме је садржана регулатива о фискалним правилима. Први корак у </w:t>
            </w:r>
            <w:r>
              <w:rPr>
                <w:sz w:val="22"/>
              </w:rPr>
              <w:t xml:space="preserve">редизајнирању фискалних правила било је регулисање  новог начина индексације пензија. Фискална </w:t>
            </w:r>
          </w:p>
        </w:tc>
        <w:tc>
          <w:tcPr>
            <w:tcW w:w="3687"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45" w:lineRule="auto"/>
              <w:ind w:left="0" w:right="53" w:firstLine="0"/>
            </w:pPr>
            <w:r>
              <w:rPr>
                <w:sz w:val="22"/>
              </w:rPr>
              <w:t xml:space="preserve">Због кризе изазване пандемијом вируса Ковид-19 одложено је усвајање новог сета фискалног правила. Као део шире ревизије Закона о буџетском систему, током 2021. </w:t>
            </w:r>
            <w:r>
              <w:rPr>
                <w:sz w:val="22"/>
              </w:rPr>
              <w:t xml:space="preserve">године, посебан акценат биће стављен на измену општих правила која се односе на јавни дуг и дефицит опште државе, те посебних правила везаних за одрживи ниво расхода за плате и пензије. </w:t>
            </w:r>
          </w:p>
          <w:p w:rsidR="00E8309B" w:rsidRDefault="009D0949">
            <w:pPr>
              <w:spacing w:after="0" w:line="259" w:lineRule="auto"/>
              <w:ind w:left="113" w:right="0" w:firstLine="0"/>
              <w:jc w:val="left"/>
            </w:pPr>
            <w:r>
              <w:rPr>
                <w:b/>
                <w:sz w:val="22"/>
              </w:rPr>
              <w:t xml:space="preserve"> </w:t>
            </w:r>
          </w:p>
        </w:tc>
      </w:tr>
    </w:tbl>
    <w:p w:rsidR="00E8309B" w:rsidRDefault="00E8309B">
      <w:pPr>
        <w:spacing w:after="0" w:line="259" w:lineRule="auto"/>
        <w:ind w:left="-1133" w:right="10799" w:firstLine="0"/>
        <w:jc w:val="left"/>
      </w:pPr>
    </w:p>
    <w:tbl>
      <w:tblPr>
        <w:tblStyle w:val="TableGrid"/>
        <w:tblW w:w="10346" w:type="dxa"/>
        <w:tblInd w:w="-351" w:type="dxa"/>
        <w:tblCellMar>
          <w:top w:w="12" w:type="dxa"/>
          <w:left w:w="108" w:type="dxa"/>
          <w:bottom w:w="0" w:type="dxa"/>
          <w:right w:w="53" w:type="dxa"/>
        </w:tblCellMar>
        <w:tblLook w:val="04A0" w:firstRow="1" w:lastRow="0" w:firstColumn="1" w:lastColumn="0" w:noHBand="0" w:noVBand="1"/>
      </w:tblPr>
      <w:tblGrid>
        <w:gridCol w:w="2831"/>
        <w:gridCol w:w="3828"/>
        <w:gridCol w:w="3687"/>
      </w:tblGrid>
      <w:tr w:rsidR="00E8309B">
        <w:trPr>
          <w:trHeight w:val="891"/>
        </w:trPr>
        <w:tc>
          <w:tcPr>
            <w:tcW w:w="2831"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77" w:lineRule="auto"/>
              <w:ind w:left="113" w:right="0" w:firstLine="0"/>
            </w:pPr>
            <w:r>
              <w:rPr>
                <w:sz w:val="22"/>
                <w:u w:val="single" w:color="000000"/>
              </w:rPr>
              <w:t>ПРЕПОРУКА ЕКОФИН</w:t>
            </w:r>
            <w:r>
              <w:rPr>
                <w:sz w:val="22"/>
              </w:rPr>
              <w:t xml:space="preserve"> </w:t>
            </w:r>
            <w:r>
              <w:rPr>
                <w:sz w:val="22"/>
                <w:u w:val="single" w:color="000000"/>
              </w:rPr>
              <w:t>Савета из маја 2019.</w:t>
            </w:r>
            <w:r>
              <w:rPr>
                <w:sz w:val="22"/>
              </w:rPr>
              <w:t xml:space="preserve"> </w:t>
            </w:r>
          </w:p>
          <w:p w:rsidR="00E8309B" w:rsidRDefault="009D0949">
            <w:pPr>
              <w:spacing w:after="0" w:line="259" w:lineRule="auto"/>
              <w:ind w:left="113" w:right="0" w:firstLine="0"/>
              <w:jc w:val="left"/>
            </w:pPr>
            <w:r>
              <w:rPr>
                <w:sz w:val="22"/>
                <w:u w:val="single" w:color="000000"/>
              </w:rPr>
              <w:t>године</w:t>
            </w:r>
            <w:r>
              <w:rPr>
                <w:sz w:val="22"/>
              </w:rPr>
              <w:t xml:space="preserve"> </w:t>
            </w:r>
          </w:p>
        </w:tc>
        <w:tc>
          <w:tcPr>
            <w:tcW w:w="3828"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113" w:right="0" w:firstLine="0"/>
              <w:jc w:val="left"/>
            </w:pPr>
            <w:r>
              <w:rPr>
                <w:sz w:val="22"/>
                <w:u w:val="single" w:color="000000"/>
              </w:rPr>
              <w:t>ИЗВЕШТАЈИ О СПРОВОЂЕЊУ</w:t>
            </w:r>
            <w:r>
              <w:rPr>
                <w:sz w:val="22"/>
              </w:rPr>
              <w:t xml:space="preserve"> </w:t>
            </w:r>
            <w:r>
              <w:rPr>
                <w:sz w:val="22"/>
                <w:u w:val="single" w:color="000000"/>
              </w:rPr>
              <w:t>ПРЕПОРУКА У ЕРП 2020-2022</w:t>
            </w:r>
            <w:r>
              <w:rPr>
                <w:sz w:val="22"/>
              </w:rPr>
              <w:t xml:space="preserve"> </w:t>
            </w:r>
          </w:p>
        </w:tc>
        <w:tc>
          <w:tcPr>
            <w:tcW w:w="3687"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77" w:lineRule="auto"/>
              <w:ind w:left="113" w:right="0" w:firstLine="0"/>
              <w:jc w:val="left"/>
            </w:pPr>
            <w:r>
              <w:rPr>
                <w:sz w:val="22"/>
                <w:u w:val="single" w:color="000000"/>
              </w:rPr>
              <w:t>ДОПУНА ИЗВЕШТАЈА О</w:t>
            </w:r>
            <w:r>
              <w:rPr>
                <w:sz w:val="22"/>
              </w:rPr>
              <w:t xml:space="preserve"> </w:t>
            </w:r>
            <w:r>
              <w:rPr>
                <w:sz w:val="22"/>
                <w:u w:val="single" w:color="000000"/>
              </w:rPr>
              <w:t>СПРОВОЂЕЊУ ПРЕПОРУКА У</w:t>
            </w:r>
            <w:r>
              <w:rPr>
                <w:sz w:val="22"/>
              </w:rPr>
              <w:t xml:space="preserve"> </w:t>
            </w:r>
          </w:p>
          <w:p w:rsidR="00E8309B" w:rsidRDefault="009D0949">
            <w:pPr>
              <w:spacing w:after="0" w:line="259" w:lineRule="auto"/>
              <w:ind w:left="113" w:right="0" w:firstLine="0"/>
              <w:jc w:val="left"/>
            </w:pPr>
            <w:r>
              <w:rPr>
                <w:sz w:val="22"/>
                <w:u w:val="single" w:color="000000"/>
              </w:rPr>
              <w:t>ЕРП 2021-2023</w:t>
            </w:r>
            <w:r>
              <w:rPr>
                <w:sz w:val="22"/>
              </w:rPr>
              <w:t xml:space="preserve"> </w:t>
            </w:r>
          </w:p>
        </w:tc>
      </w:tr>
      <w:tr w:rsidR="00E8309B">
        <w:trPr>
          <w:trHeight w:val="1584"/>
        </w:trPr>
        <w:tc>
          <w:tcPr>
            <w:tcW w:w="2831" w:type="dxa"/>
            <w:tcBorders>
              <w:top w:val="single" w:sz="4" w:space="0" w:color="000000"/>
              <w:left w:val="single" w:sz="4" w:space="0" w:color="000000"/>
              <w:bottom w:val="single" w:sz="4" w:space="0" w:color="000000"/>
              <w:right w:val="single" w:sz="4" w:space="0" w:color="000000"/>
            </w:tcBorders>
          </w:tcPr>
          <w:p w:rsidR="00E8309B" w:rsidRDefault="00E8309B">
            <w:pPr>
              <w:spacing w:after="160" w:line="259" w:lineRule="auto"/>
              <w:ind w:left="0" w:right="0" w:firstLine="0"/>
              <w:jc w:val="left"/>
            </w:pPr>
          </w:p>
        </w:tc>
        <w:tc>
          <w:tcPr>
            <w:tcW w:w="3828"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55" w:firstLine="0"/>
            </w:pPr>
            <w:r>
              <w:rPr>
                <w:sz w:val="22"/>
              </w:rPr>
              <w:t xml:space="preserve">правила ће дефинисати ниво и динамику јавног дуга и фискалног резултата, али и дефинисати раст нивоа плата у јавном сектору и пензија. </w:t>
            </w:r>
          </w:p>
        </w:tc>
        <w:tc>
          <w:tcPr>
            <w:tcW w:w="3687" w:type="dxa"/>
            <w:tcBorders>
              <w:top w:val="single" w:sz="4" w:space="0" w:color="000000"/>
              <w:left w:val="single" w:sz="4" w:space="0" w:color="000000"/>
              <w:bottom w:val="single" w:sz="4" w:space="0" w:color="000000"/>
              <w:right w:val="single" w:sz="4" w:space="0" w:color="000000"/>
            </w:tcBorders>
          </w:tcPr>
          <w:p w:rsidR="00E8309B" w:rsidRDefault="00E8309B">
            <w:pPr>
              <w:spacing w:after="160" w:line="259" w:lineRule="auto"/>
              <w:ind w:left="0" w:right="0" w:firstLine="0"/>
              <w:jc w:val="left"/>
            </w:pPr>
          </w:p>
        </w:tc>
      </w:tr>
      <w:tr w:rsidR="00E8309B">
        <w:trPr>
          <w:trHeight w:val="384"/>
        </w:trPr>
        <w:tc>
          <w:tcPr>
            <w:tcW w:w="2831"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113" w:right="0" w:firstLine="0"/>
              <w:jc w:val="left"/>
            </w:pPr>
            <w:r>
              <w:rPr>
                <w:b/>
                <w:sz w:val="22"/>
                <w:u w:val="single" w:color="000000"/>
              </w:rPr>
              <w:t>Препорука 3:</w:t>
            </w:r>
            <w:r>
              <w:rPr>
                <w:sz w:val="22"/>
              </w:rPr>
              <w:t xml:space="preserve"> </w:t>
            </w:r>
          </w:p>
        </w:tc>
        <w:tc>
          <w:tcPr>
            <w:tcW w:w="3828"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113" w:right="0" w:firstLine="0"/>
              <w:jc w:val="left"/>
            </w:pPr>
            <w:r>
              <w:rPr>
                <w:b/>
                <w:sz w:val="22"/>
              </w:rPr>
              <w:t xml:space="preserve"> </w:t>
            </w:r>
          </w:p>
        </w:tc>
        <w:tc>
          <w:tcPr>
            <w:tcW w:w="3687"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113" w:right="0" w:firstLine="0"/>
              <w:jc w:val="left"/>
            </w:pPr>
            <w:r>
              <w:rPr>
                <w:b/>
                <w:sz w:val="22"/>
              </w:rPr>
              <w:t xml:space="preserve"> </w:t>
            </w:r>
          </w:p>
        </w:tc>
      </w:tr>
      <w:tr w:rsidR="00E8309B">
        <w:trPr>
          <w:trHeight w:val="11649"/>
        </w:trPr>
        <w:tc>
          <w:tcPr>
            <w:tcW w:w="2831"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55" w:firstLine="0"/>
            </w:pPr>
            <w:r>
              <w:rPr>
                <w:b/>
                <w:sz w:val="22"/>
              </w:rPr>
              <w:t xml:space="preserve">Наставити са промовисањем употребе локалне валуте, између осталог, кроз подстицање развоја међубанкарских тржишта и секундарних тржишта за државне хартије од вредности, и разматрањем додатних начина за побољшање дугорочног финансирања банака у динарским и </w:t>
            </w:r>
            <w:r>
              <w:rPr>
                <w:b/>
                <w:sz w:val="22"/>
              </w:rPr>
              <w:t>хеџинг инструментима.</w:t>
            </w:r>
            <w:r>
              <w:rPr>
                <w:sz w:val="22"/>
              </w:rPr>
              <w:t xml:space="preserve"> </w:t>
            </w:r>
          </w:p>
        </w:tc>
        <w:tc>
          <w:tcPr>
            <w:tcW w:w="3828"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45" w:lineRule="auto"/>
              <w:ind w:left="0" w:right="54" w:firstLine="0"/>
            </w:pPr>
            <w:r>
              <w:rPr>
                <w:sz w:val="22"/>
              </w:rPr>
              <w:t xml:space="preserve">Народна банка Србије ће наставити да користи своје мере за подршку процесу динаризације. У децембру 2018. године Народна банка Србије и Влада Републике Србије потписали су нови Меморандум о стратегији </w:t>
            </w:r>
          </w:p>
          <w:p w:rsidR="00E8309B" w:rsidRDefault="009D0949">
            <w:pPr>
              <w:spacing w:after="37" w:line="238" w:lineRule="auto"/>
              <w:ind w:left="0" w:right="0" w:firstLine="0"/>
              <w:jc w:val="left"/>
            </w:pPr>
            <w:r>
              <w:rPr>
                <w:sz w:val="22"/>
              </w:rPr>
              <w:t xml:space="preserve">динаризације, </w:t>
            </w:r>
            <w:hyperlink r:id="rId7">
              <w:r>
                <w:rPr>
                  <w:color w:val="0000FF"/>
                  <w:sz w:val="22"/>
                </w:rPr>
                <w:t xml:space="preserve">https://www.nbs.rs/internet/english/30/ </w:t>
              </w:r>
            </w:hyperlink>
            <w:hyperlink r:id="rId8">
              <w:r>
                <w:rPr>
                  <w:color w:val="0000FF"/>
                  <w:sz w:val="22"/>
                </w:rPr>
                <w:t>Memorandum_Dinarisation_Strategy_</w:t>
              </w:r>
              <w:r>
                <w:rPr>
                  <w:color w:val="0000FF"/>
                  <w:sz w:val="22"/>
                </w:rPr>
                <w:t>2</w:t>
              </w:r>
            </w:hyperlink>
          </w:p>
          <w:p w:rsidR="00E8309B" w:rsidRDefault="009D0949">
            <w:pPr>
              <w:spacing w:after="0" w:line="251" w:lineRule="auto"/>
              <w:ind w:left="0" w:right="51" w:firstLine="0"/>
            </w:pPr>
            <w:hyperlink r:id="rId9">
              <w:r>
                <w:rPr>
                  <w:color w:val="0000FF"/>
                  <w:sz w:val="22"/>
                </w:rPr>
                <w:t>018.pdf</w:t>
              </w:r>
            </w:hyperlink>
            <w:hyperlink r:id="rId10">
              <w:r>
                <w:rPr>
                  <w:sz w:val="22"/>
                </w:rPr>
                <w:t>,</w:t>
              </w:r>
            </w:hyperlink>
            <w:r>
              <w:rPr>
                <w:sz w:val="22"/>
              </w:rPr>
              <w:t xml:space="preserve"> потврђујући тиме стратешку посвећеност даљем </w:t>
            </w:r>
            <w:r>
              <w:rPr>
                <w:sz w:val="22"/>
              </w:rPr>
              <w:t xml:space="preserve">повећању употребе домаће валуте у финансијском систему Србије.  </w:t>
            </w:r>
          </w:p>
          <w:p w:rsidR="00E8309B" w:rsidRDefault="009D0949">
            <w:pPr>
              <w:spacing w:after="0" w:line="237" w:lineRule="auto"/>
              <w:ind w:left="0" w:right="54" w:firstLine="0"/>
            </w:pPr>
            <w:r>
              <w:rPr>
                <w:sz w:val="22"/>
              </w:rPr>
              <w:t>У циљу промовисања штедње у динарима, Народна банка Србије редовно објављује различите анализе и информације, указујући на користи од штедње у домаћој валути. Општа стабилност доводи до пораста динарске штедње за 22% у 2018. години и oко 30% у 2019. Додатн</w:t>
            </w:r>
            <w:r>
              <w:rPr>
                <w:sz w:val="22"/>
              </w:rPr>
              <w:t xml:space="preserve">о, у циљу подстицања већег одобравања кредита привреди у динарима, </w:t>
            </w:r>
          </w:p>
          <w:p w:rsidR="00E8309B" w:rsidRDefault="009D0949">
            <w:pPr>
              <w:spacing w:after="0" w:line="248" w:lineRule="auto"/>
              <w:ind w:left="0" w:right="53" w:firstLine="0"/>
            </w:pPr>
            <w:r>
              <w:rPr>
                <w:sz w:val="22"/>
              </w:rPr>
              <w:t>Народна банка Србије је крајем 2019. усвојила прописе којима се уводи максималан проценат за нове девизно индексиране ненаменске и неинвестиционе кредите и кредите у страној валути одобрен</w:t>
            </w:r>
            <w:r>
              <w:rPr>
                <w:sz w:val="22"/>
              </w:rPr>
              <w:t>е привреди. Паралелно, за чисто динарске пласмане одобрене малим и средњим предузећима и предузетницима (МСПП) банке ће издвајати мање капитала за покриће ризика него по основу нединарских и девизно индексираних пласмана, чиме се, кроз повољније услове, да</w:t>
            </w:r>
            <w:r>
              <w:rPr>
                <w:sz w:val="22"/>
              </w:rPr>
              <w:t xml:space="preserve">је додатна подршка за динарско кредитирање МСПП. </w:t>
            </w:r>
          </w:p>
          <w:p w:rsidR="00E8309B" w:rsidRDefault="009D0949">
            <w:pPr>
              <w:spacing w:after="0" w:line="259" w:lineRule="auto"/>
              <w:ind w:left="0" w:right="53" w:firstLine="0"/>
            </w:pPr>
            <w:r>
              <w:rPr>
                <w:sz w:val="22"/>
              </w:rPr>
              <w:t>Наставиће се са побољшавањем валутне структуре јавног дуга у корист динара и издавањем дугорочних референтних динарских хартија од вредности, проширивањем базе инвеститора и промовисањем секундарног тржишта</w:t>
            </w:r>
            <w:r>
              <w:rPr>
                <w:sz w:val="22"/>
              </w:rPr>
              <w:t xml:space="preserve"> тих хартија, а </w:t>
            </w:r>
          </w:p>
        </w:tc>
        <w:tc>
          <w:tcPr>
            <w:tcW w:w="3687" w:type="dxa"/>
            <w:tcBorders>
              <w:top w:val="single" w:sz="4" w:space="0" w:color="000000"/>
              <w:left w:val="single" w:sz="4" w:space="0" w:color="000000"/>
              <w:bottom w:val="single" w:sz="4" w:space="0" w:color="000000"/>
              <w:right w:val="single" w:sz="4" w:space="0" w:color="000000"/>
            </w:tcBorders>
          </w:tcPr>
          <w:p w:rsidR="00E8309B" w:rsidRDefault="009D0949">
            <w:pPr>
              <w:spacing w:after="51" w:line="244" w:lineRule="auto"/>
              <w:ind w:left="0" w:right="56" w:firstLine="0"/>
            </w:pPr>
            <w:r>
              <w:rPr>
                <w:sz w:val="22"/>
              </w:rPr>
              <w:t xml:space="preserve">Због ванредне здравствене ситуације проузроковане пандемијом у мају и новембру 2020. године, Народна банка Србије је усвојила прописе којима је одложена примена мера које регулишу одобравање кредита у страној валути и девизно индексираних </w:t>
            </w:r>
            <w:r>
              <w:rPr>
                <w:sz w:val="22"/>
              </w:rPr>
              <w:t>кредита усвојених у децембру 2019. године. Одобравање више динарских кредита у односу на евроиндексиране кредите привреди у оквиру гарантне шеме, чему доприноси у Народна банка Србије прилагођавањем система обавезне резерве, резултирало је растом степена д</w:t>
            </w:r>
            <w:r>
              <w:rPr>
                <w:sz w:val="22"/>
              </w:rPr>
              <w:t xml:space="preserve">инаризације кредита привреди и становништву на највиши ниво до сада, од 36,8%.  </w:t>
            </w:r>
          </w:p>
          <w:p w:rsidR="00E8309B" w:rsidRDefault="009D0949">
            <w:pPr>
              <w:spacing w:after="48" w:line="250" w:lineRule="auto"/>
              <w:ind w:left="0" w:right="56" w:firstLine="0"/>
            </w:pPr>
            <w:r>
              <w:rPr>
                <w:sz w:val="22"/>
              </w:rPr>
              <w:t xml:space="preserve">Народна банка Србије континуирано промовише употребу инструмената за заштиту од ризика промене девизног курса.  </w:t>
            </w:r>
          </w:p>
          <w:p w:rsidR="00E8309B" w:rsidRDefault="009D0949">
            <w:pPr>
              <w:spacing w:after="0" w:line="259" w:lineRule="auto"/>
              <w:ind w:left="0" w:right="55" w:firstLine="0"/>
            </w:pPr>
            <w:r>
              <w:rPr>
                <w:sz w:val="22"/>
              </w:rPr>
              <w:t>Редовно се ажурира веб страница Народне банке Србије у делу по</w:t>
            </w:r>
            <w:r>
              <w:rPr>
                <w:sz w:val="22"/>
              </w:rPr>
              <w:t xml:space="preserve">свећеном девизном хеџингу, укључујући списак банака и линкова за понуде хеџинг инструмената, и саветују се банке да унапреде понуду хеџинг инструмената и улажу више напора у едукацију својих клијената, пре свега из корпоративног сектора. </w:t>
            </w:r>
          </w:p>
        </w:tc>
      </w:tr>
    </w:tbl>
    <w:p w:rsidR="00E8309B" w:rsidRDefault="00E8309B">
      <w:pPr>
        <w:spacing w:after="0" w:line="259" w:lineRule="auto"/>
        <w:ind w:left="-1133" w:right="10799" w:firstLine="0"/>
        <w:jc w:val="left"/>
      </w:pPr>
    </w:p>
    <w:tbl>
      <w:tblPr>
        <w:tblStyle w:val="TableGrid"/>
        <w:tblW w:w="10346" w:type="dxa"/>
        <w:tblInd w:w="-351" w:type="dxa"/>
        <w:tblCellMar>
          <w:top w:w="51" w:type="dxa"/>
          <w:left w:w="108" w:type="dxa"/>
          <w:bottom w:w="0" w:type="dxa"/>
          <w:right w:w="53" w:type="dxa"/>
        </w:tblCellMar>
        <w:tblLook w:val="04A0" w:firstRow="1" w:lastRow="0" w:firstColumn="1" w:lastColumn="0" w:noHBand="0" w:noVBand="1"/>
      </w:tblPr>
      <w:tblGrid>
        <w:gridCol w:w="2831"/>
        <w:gridCol w:w="3828"/>
        <w:gridCol w:w="3687"/>
      </w:tblGrid>
      <w:tr w:rsidR="00E8309B">
        <w:trPr>
          <w:trHeight w:val="891"/>
        </w:trPr>
        <w:tc>
          <w:tcPr>
            <w:tcW w:w="2831"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77" w:lineRule="auto"/>
              <w:ind w:left="113" w:right="0" w:firstLine="0"/>
            </w:pPr>
            <w:r>
              <w:rPr>
                <w:sz w:val="22"/>
                <w:u w:val="single" w:color="000000"/>
              </w:rPr>
              <w:lastRenderedPageBreak/>
              <w:t>ПРЕПОРУКА ЕКОФИН</w:t>
            </w:r>
            <w:r>
              <w:rPr>
                <w:sz w:val="22"/>
              </w:rPr>
              <w:t xml:space="preserve"> </w:t>
            </w:r>
            <w:r>
              <w:rPr>
                <w:sz w:val="22"/>
                <w:u w:val="single" w:color="000000"/>
              </w:rPr>
              <w:t>Савета из маја 2019.</w:t>
            </w:r>
            <w:r>
              <w:rPr>
                <w:sz w:val="22"/>
              </w:rPr>
              <w:t xml:space="preserve"> </w:t>
            </w:r>
          </w:p>
          <w:p w:rsidR="00E8309B" w:rsidRDefault="009D0949">
            <w:pPr>
              <w:spacing w:after="0" w:line="259" w:lineRule="auto"/>
              <w:ind w:left="113" w:right="0" w:firstLine="0"/>
              <w:jc w:val="left"/>
            </w:pPr>
            <w:r>
              <w:rPr>
                <w:sz w:val="22"/>
                <w:u w:val="single" w:color="000000"/>
              </w:rPr>
              <w:t>године</w:t>
            </w:r>
            <w:r>
              <w:rPr>
                <w:sz w:val="22"/>
              </w:rPr>
              <w:t xml:space="preserve"> </w:t>
            </w:r>
          </w:p>
        </w:tc>
        <w:tc>
          <w:tcPr>
            <w:tcW w:w="3828"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113" w:right="0" w:firstLine="0"/>
              <w:jc w:val="left"/>
            </w:pPr>
            <w:r>
              <w:rPr>
                <w:sz w:val="22"/>
                <w:u w:val="single" w:color="000000"/>
              </w:rPr>
              <w:t>ИЗВЕШТАЈИ О СПРОВОЂЕЊУ</w:t>
            </w:r>
            <w:r>
              <w:rPr>
                <w:sz w:val="22"/>
              </w:rPr>
              <w:t xml:space="preserve"> </w:t>
            </w:r>
            <w:r>
              <w:rPr>
                <w:sz w:val="22"/>
                <w:u w:val="single" w:color="000000"/>
              </w:rPr>
              <w:t>ПРЕПОРУКА У ЕРП 2020-2022</w:t>
            </w:r>
            <w:r>
              <w:rPr>
                <w:sz w:val="22"/>
              </w:rPr>
              <w:t xml:space="preserve"> </w:t>
            </w:r>
          </w:p>
        </w:tc>
        <w:tc>
          <w:tcPr>
            <w:tcW w:w="3687"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77" w:lineRule="auto"/>
              <w:ind w:left="113" w:right="0" w:firstLine="0"/>
              <w:jc w:val="left"/>
            </w:pPr>
            <w:r>
              <w:rPr>
                <w:sz w:val="22"/>
                <w:u w:val="single" w:color="000000"/>
              </w:rPr>
              <w:t>ДОПУНА ИЗВЕШТАЈА О</w:t>
            </w:r>
            <w:r>
              <w:rPr>
                <w:sz w:val="22"/>
              </w:rPr>
              <w:t xml:space="preserve"> </w:t>
            </w:r>
            <w:r>
              <w:rPr>
                <w:sz w:val="22"/>
                <w:u w:val="single" w:color="000000"/>
              </w:rPr>
              <w:t>СПРОВОЂЕЊУ ПРЕПОРУКА У</w:t>
            </w:r>
            <w:r>
              <w:rPr>
                <w:sz w:val="22"/>
              </w:rPr>
              <w:t xml:space="preserve"> </w:t>
            </w:r>
          </w:p>
          <w:p w:rsidR="00E8309B" w:rsidRDefault="009D0949">
            <w:pPr>
              <w:spacing w:after="0" w:line="259" w:lineRule="auto"/>
              <w:ind w:left="113" w:right="0" w:firstLine="0"/>
              <w:jc w:val="left"/>
            </w:pPr>
            <w:r>
              <w:rPr>
                <w:sz w:val="22"/>
                <w:u w:val="single" w:color="000000"/>
              </w:rPr>
              <w:t>ЕРП 2021-2023</w:t>
            </w:r>
            <w:r>
              <w:rPr>
                <w:sz w:val="22"/>
              </w:rPr>
              <w:t xml:space="preserve"> </w:t>
            </w:r>
          </w:p>
        </w:tc>
      </w:tr>
      <w:tr w:rsidR="00E8309B">
        <w:trPr>
          <w:trHeight w:val="2033"/>
        </w:trPr>
        <w:tc>
          <w:tcPr>
            <w:tcW w:w="2831" w:type="dxa"/>
            <w:tcBorders>
              <w:top w:val="single" w:sz="4" w:space="0" w:color="000000"/>
              <w:left w:val="single" w:sz="4" w:space="0" w:color="000000"/>
              <w:bottom w:val="single" w:sz="4" w:space="0" w:color="000000"/>
              <w:right w:val="single" w:sz="4" w:space="0" w:color="000000"/>
            </w:tcBorders>
          </w:tcPr>
          <w:p w:rsidR="00E8309B" w:rsidRDefault="00E8309B">
            <w:pPr>
              <w:spacing w:after="160" w:line="259" w:lineRule="auto"/>
              <w:ind w:left="0" w:right="0" w:firstLine="0"/>
              <w:jc w:val="left"/>
            </w:pPr>
          </w:p>
        </w:tc>
        <w:tc>
          <w:tcPr>
            <w:tcW w:w="3828"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53" w:firstLine="0"/>
            </w:pPr>
            <w:r>
              <w:rPr>
                <w:sz w:val="22"/>
              </w:rPr>
              <w:t xml:space="preserve">наставиће се и са активностима на њиховом укључивању у међународни индекс обвезница (JP Morgan GB Index). У току је процес успостављања система примарних дилера и омогућавања клиринга и салдирања динарских хартија од вредности (ХоВ) код Euroclear-a. </w:t>
            </w:r>
          </w:p>
        </w:tc>
        <w:tc>
          <w:tcPr>
            <w:tcW w:w="3687" w:type="dxa"/>
            <w:tcBorders>
              <w:top w:val="single" w:sz="4" w:space="0" w:color="000000"/>
              <w:left w:val="single" w:sz="4" w:space="0" w:color="000000"/>
              <w:bottom w:val="single" w:sz="4" w:space="0" w:color="000000"/>
              <w:right w:val="single" w:sz="4" w:space="0" w:color="000000"/>
            </w:tcBorders>
          </w:tcPr>
          <w:p w:rsidR="00E8309B" w:rsidRDefault="00E8309B">
            <w:pPr>
              <w:spacing w:after="160" w:line="259" w:lineRule="auto"/>
              <w:ind w:left="0" w:right="0" w:firstLine="0"/>
              <w:jc w:val="left"/>
            </w:pPr>
          </w:p>
        </w:tc>
      </w:tr>
      <w:tr w:rsidR="00E8309B">
        <w:trPr>
          <w:trHeight w:val="10552"/>
        </w:trPr>
        <w:tc>
          <w:tcPr>
            <w:tcW w:w="2831" w:type="dxa"/>
            <w:tcBorders>
              <w:top w:val="single" w:sz="4" w:space="0" w:color="000000"/>
              <w:left w:val="single" w:sz="4" w:space="0" w:color="000000"/>
              <w:bottom w:val="single" w:sz="4" w:space="0" w:color="000000"/>
              <w:right w:val="single" w:sz="4" w:space="0" w:color="000000"/>
            </w:tcBorders>
          </w:tcPr>
          <w:p w:rsidR="00E8309B" w:rsidRDefault="009D0949">
            <w:pPr>
              <w:spacing w:after="1" w:line="237" w:lineRule="auto"/>
              <w:ind w:left="0" w:right="55" w:firstLine="0"/>
            </w:pPr>
            <w:r>
              <w:rPr>
                <w:b/>
                <w:sz w:val="22"/>
              </w:rPr>
              <w:t xml:space="preserve">Спровести мере које чине део недавно усвојеног програма за решавање проблематичних кредита (НПЛ) као и пратећег акционог плана, укључујући и оне усмерене на даље </w:t>
            </w:r>
          </w:p>
          <w:p w:rsidR="00E8309B" w:rsidRDefault="009D0949">
            <w:pPr>
              <w:spacing w:after="0" w:line="259" w:lineRule="auto"/>
              <w:ind w:left="0" w:right="0" w:firstLine="0"/>
              <w:jc w:val="left"/>
            </w:pPr>
            <w:r>
              <w:rPr>
                <w:b/>
                <w:sz w:val="22"/>
              </w:rPr>
              <w:t xml:space="preserve">решавање </w:t>
            </w:r>
          </w:p>
          <w:p w:rsidR="00E8309B" w:rsidRDefault="009D0949">
            <w:pPr>
              <w:spacing w:after="0" w:line="259" w:lineRule="auto"/>
              <w:ind w:left="0" w:right="55" w:firstLine="0"/>
            </w:pPr>
            <w:r>
              <w:rPr>
                <w:b/>
                <w:sz w:val="22"/>
              </w:rPr>
              <w:t>проблематичних кредита у државним банкама и владиним агенцијама.</w:t>
            </w:r>
            <w:r>
              <w:rPr>
                <w:sz w:val="22"/>
              </w:rPr>
              <w:t xml:space="preserve"> </w:t>
            </w:r>
          </w:p>
        </w:tc>
        <w:tc>
          <w:tcPr>
            <w:tcW w:w="3828"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44" w:lineRule="auto"/>
              <w:ind w:left="0" w:right="53" w:firstLine="0"/>
            </w:pPr>
            <w:r>
              <w:rPr>
                <w:sz w:val="22"/>
              </w:rPr>
              <w:t>Примена мера проп</w:t>
            </w:r>
            <w:r>
              <w:rPr>
                <w:sz w:val="22"/>
              </w:rPr>
              <w:t xml:space="preserve">исаних Програмом решавања проблематичних кредита и пратећим акционим планом напредује несметано и у складу са предвиђеним временским роковима. У 2019. години су завршене / отпочете следеће активности: </w:t>
            </w:r>
          </w:p>
          <w:p w:rsidR="00E8309B" w:rsidRDefault="009D0949">
            <w:pPr>
              <w:spacing w:after="0" w:line="259" w:lineRule="auto"/>
              <w:ind w:left="0" w:right="52" w:firstLine="0"/>
            </w:pPr>
            <w:r>
              <w:rPr>
                <w:sz w:val="22"/>
              </w:rPr>
              <w:t>У јуну 2019. Агенција за осигурање депозита (АОД), под</w:t>
            </w:r>
            <w:r>
              <w:rPr>
                <w:sz w:val="22"/>
              </w:rPr>
              <w:t>ржана од стране Министарства финансија (МФ), успешно је завршила продају такозваног „Пилот портфеља“ потраживања којима Агенција управља у име и у корист Републике Србије и финансијских институција у банкроту, у номиналном износу од 242 милиона евра. Ово ј</w:t>
            </w:r>
            <w:r>
              <w:rPr>
                <w:sz w:val="22"/>
              </w:rPr>
              <w:t>е прва трансакција која омогућава припрему такозваног „Великог портфеља“. У септембру 2019. године, АОД, подржана од стране МФ, најавила је продају портфеља потраживања у номиналном износу од 1,82 милијарде евра, у складу са Програмом решавања проблематичн</w:t>
            </w:r>
            <w:r>
              <w:rPr>
                <w:sz w:val="22"/>
              </w:rPr>
              <w:t>их кредита. Рок за завршетак ове мере је други квартал 2020. Започети су радови и на још две мере прописане Програмом за решавање проблематичних кредита, на развоју Студије корпоративне задужености и спречавање акумулације проблематичних кредита и успостав</w:t>
            </w:r>
            <w:r>
              <w:rPr>
                <w:sz w:val="22"/>
              </w:rPr>
              <w:t xml:space="preserve">љању Интернет портала за онлајн аукције стечајне имовине, за које се планира да буду завршене у првом кварталу 2020. године. </w:t>
            </w:r>
          </w:p>
        </w:tc>
        <w:tc>
          <w:tcPr>
            <w:tcW w:w="3687" w:type="dxa"/>
            <w:tcBorders>
              <w:top w:val="single" w:sz="4" w:space="0" w:color="000000"/>
              <w:left w:val="single" w:sz="4" w:space="0" w:color="000000"/>
              <w:bottom w:val="single" w:sz="4" w:space="0" w:color="000000"/>
              <w:right w:val="single" w:sz="4" w:space="0" w:color="000000"/>
            </w:tcBorders>
          </w:tcPr>
          <w:p w:rsidR="00E8309B" w:rsidRDefault="009D0949">
            <w:pPr>
              <w:spacing w:after="40" w:line="239" w:lineRule="auto"/>
              <w:ind w:left="0" w:right="0" w:firstLine="0"/>
            </w:pPr>
            <w:r>
              <w:rPr>
                <w:sz w:val="22"/>
              </w:rPr>
              <w:t xml:space="preserve">Примена мера прописаних Програмом за решавање </w:t>
            </w:r>
          </w:p>
          <w:p w:rsidR="00E8309B" w:rsidRDefault="009D0949">
            <w:pPr>
              <w:spacing w:after="166" w:line="251" w:lineRule="auto"/>
              <w:ind w:left="0" w:right="54" w:firstLine="0"/>
            </w:pPr>
            <w:r>
              <w:rPr>
                <w:sz w:val="22"/>
              </w:rPr>
              <w:t>проблематичних кредита за 2018.</w:t>
            </w:r>
            <w:r>
              <w:rPr>
                <w:sz w:val="22"/>
              </w:rPr>
              <w:t xml:space="preserve">2020. годину и пратећим акционим планом, напредује измењеном динамиком у складу са пандемијом Ковид-19, и у 2020. години су завршене / отпочете следеће активности: </w:t>
            </w:r>
          </w:p>
          <w:p w:rsidR="00E8309B" w:rsidRDefault="009D0949">
            <w:pPr>
              <w:numPr>
                <w:ilvl w:val="0"/>
                <w:numId w:val="60"/>
              </w:numPr>
              <w:spacing w:after="61" w:line="237" w:lineRule="auto"/>
              <w:ind w:right="170" w:hanging="360"/>
            </w:pPr>
            <w:r>
              <w:rPr>
                <w:sz w:val="22"/>
              </w:rPr>
              <w:t>У фебруару 2020. године успешно је завршен рад на припреми студије о корпоративној задужено</w:t>
            </w:r>
            <w:r>
              <w:rPr>
                <w:sz w:val="22"/>
              </w:rPr>
              <w:t xml:space="preserve">сти и превенцији настанка проблематичних кредита реалног сектора у Републици Србији у сарадњи са KPMG и FinSAC. </w:t>
            </w:r>
          </w:p>
          <w:p w:rsidR="00E8309B" w:rsidRDefault="009D0949">
            <w:pPr>
              <w:numPr>
                <w:ilvl w:val="0"/>
                <w:numId w:val="60"/>
              </w:numPr>
              <w:spacing w:after="49" w:line="249" w:lineRule="auto"/>
              <w:ind w:right="170" w:hanging="360"/>
            </w:pPr>
            <w:r>
              <w:rPr>
                <w:sz w:val="22"/>
              </w:rPr>
              <w:t xml:space="preserve">У складу са објавом продаје такозваног „Великог портфеља“ АОД, подржана од стране МФ, предузете су све потребне активности и процес је отпочет </w:t>
            </w:r>
            <w:r>
              <w:rPr>
                <w:sz w:val="22"/>
              </w:rPr>
              <w:t xml:space="preserve">у складу са роковима. Избијањем пандемије, и у складу са захтевима инвеститора који су прошли у другу фазу процесa, а због немогућности спровођења “Due Dilligence” процеса, рокови за подношење обавезујућих понуда померени су на 07. септембар 2020. године. </w:t>
            </w:r>
            <w:r>
              <w:rPr>
                <w:sz w:val="22"/>
              </w:rPr>
              <w:t xml:space="preserve">Нови рок за завршетак ове мере је први квартал 2021. године. </w:t>
            </w:r>
          </w:p>
          <w:p w:rsidR="00E8309B" w:rsidRDefault="009D0949">
            <w:pPr>
              <w:numPr>
                <w:ilvl w:val="0"/>
                <w:numId w:val="60"/>
              </w:numPr>
              <w:spacing w:after="0" w:line="259" w:lineRule="auto"/>
              <w:ind w:right="170" w:hanging="360"/>
            </w:pPr>
            <w:r>
              <w:rPr>
                <w:sz w:val="22"/>
              </w:rPr>
              <w:t xml:space="preserve">Активности на успостављању Интернет портала за онлајн аукције стечајне имовине су такође у току, уз одлагања проузрокована пандемијом. </w:t>
            </w:r>
          </w:p>
        </w:tc>
      </w:tr>
    </w:tbl>
    <w:p w:rsidR="00E8309B" w:rsidRDefault="00E8309B">
      <w:pPr>
        <w:spacing w:after="0" w:line="259" w:lineRule="auto"/>
        <w:ind w:left="-1133" w:right="10799" w:firstLine="0"/>
        <w:jc w:val="left"/>
      </w:pPr>
    </w:p>
    <w:tbl>
      <w:tblPr>
        <w:tblStyle w:val="TableGrid"/>
        <w:tblW w:w="10346" w:type="dxa"/>
        <w:tblInd w:w="-351" w:type="dxa"/>
        <w:tblCellMar>
          <w:top w:w="7" w:type="dxa"/>
          <w:left w:w="108" w:type="dxa"/>
          <w:bottom w:w="0" w:type="dxa"/>
          <w:right w:w="53" w:type="dxa"/>
        </w:tblCellMar>
        <w:tblLook w:val="04A0" w:firstRow="1" w:lastRow="0" w:firstColumn="1" w:lastColumn="0" w:noHBand="0" w:noVBand="1"/>
      </w:tblPr>
      <w:tblGrid>
        <w:gridCol w:w="2831"/>
        <w:gridCol w:w="3828"/>
        <w:gridCol w:w="3687"/>
      </w:tblGrid>
      <w:tr w:rsidR="00E8309B">
        <w:trPr>
          <w:trHeight w:val="891"/>
        </w:trPr>
        <w:tc>
          <w:tcPr>
            <w:tcW w:w="2831"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77" w:lineRule="auto"/>
              <w:ind w:left="113" w:right="0" w:firstLine="0"/>
            </w:pPr>
            <w:r>
              <w:rPr>
                <w:sz w:val="22"/>
                <w:u w:val="single" w:color="000000"/>
              </w:rPr>
              <w:lastRenderedPageBreak/>
              <w:t>ПРЕПОРУКА ЕКОФИН</w:t>
            </w:r>
            <w:r>
              <w:rPr>
                <w:sz w:val="22"/>
              </w:rPr>
              <w:t xml:space="preserve"> </w:t>
            </w:r>
            <w:r>
              <w:rPr>
                <w:sz w:val="22"/>
                <w:u w:val="single" w:color="000000"/>
              </w:rPr>
              <w:t>Савета из маја 2019.</w:t>
            </w:r>
            <w:r>
              <w:rPr>
                <w:sz w:val="22"/>
              </w:rPr>
              <w:t xml:space="preserve"> </w:t>
            </w:r>
          </w:p>
          <w:p w:rsidR="00E8309B" w:rsidRDefault="009D0949">
            <w:pPr>
              <w:spacing w:after="0" w:line="259" w:lineRule="auto"/>
              <w:ind w:left="113" w:right="0" w:firstLine="0"/>
              <w:jc w:val="left"/>
            </w:pPr>
            <w:r>
              <w:rPr>
                <w:sz w:val="22"/>
                <w:u w:val="single" w:color="000000"/>
              </w:rPr>
              <w:t>године</w:t>
            </w:r>
            <w:r>
              <w:rPr>
                <w:sz w:val="22"/>
              </w:rPr>
              <w:t xml:space="preserve"> </w:t>
            </w:r>
          </w:p>
        </w:tc>
        <w:tc>
          <w:tcPr>
            <w:tcW w:w="3828"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113" w:right="0" w:firstLine="0"/>
              <w:jc w:val="left"/>
            </w:pPr>
            <w:r>
              <w:rPr>
                <w:sz w:val="22"/>
                <w:u w:val="single" w:color="000000"/>
              </w:rPr>
              <w:t>ИЗВЕШТАЈИ О СПРОВОЂЕЊУ</w:t>
            </w:r>
            <w:r>
              <w:rPr>
                <w:sz w:val="22"/>
              </w:rPr>
              <w:t xml:space="preserve"> </w:t>
            </w:r>
            <w:r>
              <w:rPr>
                <w:sz w:val="22"/>
                <w:u w:val="single" w:color="000000"/>
              </w:rPr>
              <w:t>ПРЕПОРУКА У ЕРП 2020-2022</w:t>
            </w:r>
            <w:r>
              <w:rPr>
                <w:sz w:val="22"/>
              </w:rPr>
              <w:t xml:space="preserve"> </w:t>
            </w:r>
          </w:p>
        </w:tc>
        <w:tc>
          <w:tcPr>
            <w:tcW w:w="3687"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77" w:lineRule="auto"/>
              <w:ind w:left="113" w:right="0" w:firstLine="0"/>
              <w:jc w:val="left"/>
            </w:pPr>
            <w:r>
              <w:rPr>
                <w:sz w:val="22"/>
                <w:u w:val="single" w:color="000000"/>
              </w:rPr>
              <w:t>ДОПУНА ИЗВЕШТАЈА О</w:t>
            </w:r>
            <w:r>
              <w:rPr>
                <w:sz w:val="22"/>
              </w:rPr>
              <w:t xml:space="preserve"> </w:t>
            </w:r>
            <w:r>
              <w:rPr>
                <w:sz w:val="22"/>
                <w:u w:val="single" w:color="000000"/>
              </w:rPr>
              <w:t>СПРОВОЂЕЊУ ПРЕПОРУКА У</w:t>
            </w:r>
            <w:r>
              <w:rPr>
                <w:sz w:val="22"/>
              </w:rPr>
              <w:t xml:space="preserve"> </w:t>
            </w:r>
          </w:p>
          <w:p w:rsidR="00E8309B" w:rsidRDefault="009D0949">
            <w:pPr>
              <w:spacing w:after="0" w:line="259" w:lineRule="auto"/>
              <w:ind w:left="113" w:right="0" w:firstLine="0"/>
              <w:jc w:val="left"/>
            </w:pPr>
            <w:r>
              <w:rPr>
                <w:sz w:val="22"/>
                <w:u w:val="single" w:color="000000"/>
              </w:rPr>
              <w:t>ЕРП 2021-2023</w:t>
            </w:r>
            <w:r>
              <w:rPr>
                <w:sz w:val="22"/>
              </w:rPr>
              <w:t xml:space="preserve"> </w:t>
            </w:r>
          </w:p>
        </w:tc>
      </w:tr>
      <w:tr w:rsidR="00E8309B">
        <w:trPr>
          <w:trHeight w:val="8360"/>
        </w:trPr>
        <w:tc>
          <w:tcPr>
            <w:tcW w:w="2831" w:type="dxa"/>
            <w:tcBorders>
              <w:top w:val="single" w:sz="4" w:space="0" w:color="000000"/>
              <w:left w:val="single" w:sz="4" w:space="0" w:color="000000"/>
              <w:bottom w:val="single" w:sz="4" w:space="0" w:color="000000"/>
              <w:right w:val="single" w:sz="4" w:space="0" w:color="000000"/>
            </w:tcBorders>
          </w:tcPr>
          <w:p w:rsidR="00E8309B" w:rsidRDefault="009D0949">
            <w:pPr>
              <w:spacing w:after="2" w:line="236" w:lineRule="auto"/>
              <w:ind w:left="0" w:right="0" w:firstLine="0"/>
            </w:pPr>
            <w:r>
              <w:rPr>
                <w:b/>
                <w:sz w:val="22"/>
              </w:rPr>
              <w:t xml:space="preserve">Финализирати процес приватизације и </w:t>
            </w:r>
          </w:p>
          <w:p w:rsidR="00E8309B" w:rsidRDefault="009D0949">
            <w:pPr>
              <w:spacing w:after="0" w:line="259" w:lineRule="auto"/>
              <w:ind w:left="0" w:right="57" w:firstLine="0"/>
            </w:pPr>
            <w:r>
              <w:rPr>
                <w:b/>
                <w:sz w:val="22"/>
              </w:rPr>
              <w:t xml:space="preserve">реструктурирања преосталих банака у државном власништву. </w:t>
            </w:r>
          </w:p>
        </w:tc>
        <w:tc>
          <w:tcPr>
            <w:tcW w:w="3828"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0" w:lineRule="auto"/>
              <w:ind w:left="0" w:right="54" w:firstLine="0"/>
            </w:pPr>
            <w:r>
              <w:rPr>
                <w:sz w:val="22"/>
              </w:rPr>
              <w:t xml:space="preserve">Процес приватизације Комерцијалне банке је у току, а очекује се да буде окончан средином фебруара 2020. године.  </w:t>
            </w:r>
          </w:p>
          <w:p w:rsidR="00E8309B" w:rsidRDefault="009D0949">
            <w:pPr>
              <w:spacing w:after="2" w:line="236" w:lineRule="auto"/>
              <w:ind w:left="0" w:right="0" w:firstLine="0"/>
            </w:pPr>
            <w:r>
              <w:rPr>
                <w:sz w:val="22"/>
              </w:rPr>
              <w:t xml:space="preserve">У складу са Стратегијом Владе Републике Србије за државне банке, </w:t>
            </w:r>
          </w:p>
          <w:p w:rsidR="00E8309B" w:rsidRDefault="009D0949">
            <w:pPr>
              <w:spacing w:after="0" w:line="244" w:lineRule="auto"/>
              <w:ind w:left="0" w:right="52" w:firstLine="0"/>
            </w:pPr>
            <w:r>
              <w:rPr>
                <w:sz w:val="22"/>
              </w:rPr>
              <w:t>21. јануара 2019. године основана је Радна група за трансформацију Српске ба</w:t>
            </w:r>
            <w:r>
              <w:rPr>
                <w:sz w:val="22"/>
              </w:rPr>
              <w:t xml:space="preserve">нке у специјализовану финансијску институцију за пружање свих врста финансијских услуга и подршку одбрамбеној индустрији Републике Србије. </w:t>
            </w:r>
          </w:p>
          <w:p w:rsidR="00E8309B" w:rsidRDefault="009D0949">
            <w:pPr>
              <w:spacing w:after="0" w:line="244" w:lineRule="auto"/>
              <w:ind w:left="0" w:right="53" w:firstLine="0"/>
            </w:pPr>
            <w:r>
              <w:rPr>
                <w:sz w:val="22"/>
              </w:rPr>
              <w:t>Припрема предлога о обиму пословања, специфичностима почетног капитала, улозима постојећих акционара, докапитализаци</w:t>
            </w:r>
            <w:r>
              <w:rPr>
                <w:sz w:val="22"/>
              </w:rPr>
              <w:t xml:space="preserve">је, готовинској и безготовинској имовини је у току, јер све то треба уредити законом.  </w:t>
            </w:r>
          </w:p>
          <w:p w:rsidR="00E8309B" w:rsidRDefault="009D0949">
            <w:pPr>
              <w:spacing w:after="0" w:line="237" w:lineRule="auto"/>
              <w:ind w:left="0" w:right="53" w:firstLine="0"/>
            </w:pPr>
            <w:r>
              <w:rPr>
                <w:sz w:val="22"/>
              </w:rPr>
              <w:t>Банка Поштанска штедионица а.д. Београд је у процесу примене нове стратегије, са главним фокусом на (i) комерцијалнo преусмеравање банке на банкарство са становништвом,</w:t>
            </w:r>
            <w:r>
              <w:rPr>
                <w:sz w:val="22"/>
              </w:rPr>
              <w:t xml:space="preserve"> предузетнике, микро предузећа и мала предузећа, (ii) побољшање унутрашње организације банке, корпоративног управљања и управљања ризиком, (iii) унапређење ИТ инфраструктуре и (iv) </w:t>
            </w:r>
          </w:p>
          <w:p w:rsidR="00E8309B" w:rsidRDefault="009D0949">
            <w:pPr>
              <w:spacing w:after="0" w:line="259" w:lineRule="auto"/>
              <w:ind w:left="0" w:right="54" w:firstLine="0"/>
            </w:pPr>
            <w:r>
              <w:rPr>
                <w:sz w:val="22"/>
              </w:rPr>
              <w:t xml:space="preserve">Стратегија пословања Банке Поштанска штедионица за период 2020-2022. </w:t>
            </w:r>
          </w:p>
        </w:tc>
        <w:tc>
          <w:tcPr>
            <w:tcW w:w="3687"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7" w:lineRule="auto"/>
              <w:ind w:left="0" w:right="0" w:firstLine="0"/>
              <w:jc w:val="left"/>
            </w:pPr>
            <w:r>
              <w:rPr>
                <w:sz w:val="22"/>
              </w:rPr>
              <w:t xml:space="preserve">Процес приватизације Комерцијалне банке је окончан 30. децембра 2020. године. </w:t>
            </w:r>
          </w:p>
          <w:p w:rsidR="00E8309B" w:rsidRDefault="009D0949">
            <w:pPr>
              <w:spacing w:after="20" w:line="259" w:lineRule="auto"/>
              <w:ind w:left="0" w:right="0" w:firstLine="0"/>
              <w:jc w:val="left"/>
            </w:pPr>
            <w:r>
              <w:rPr>
                <w:sz w:val="22"/>
              </w:rPr>
              <w:t xml:space="preserve"> </w:t>
            </w:r>
          </w:p>
          <w:p w:rsidR="00E8309B" w:rsidRDefault="009D0949">
            <w:pPr>
              <w:spacing w:after="139" w:line="259" w:lineRule="auto"/>
              <w:ind w:left="0" w:right="0" w:firstLine="0"/>
              <w:jc w:val="left"/>
            </w:pPr>
            <w:r>
              <w:rPr>
                <w:sz w:val="22"/>
              </w:rPr>
              <w:t xml:space="preserve">Све наведено за: </w:t>
            </w:r>
          </w:p>
          <w:p w:rsidR="00E8309B" w:rsidRDefault="009D0949">
            <w:pPr>
              <w:numPr>
                <w:ilvl w:val="0"/>
                <w:numId w:val="61"/>
              </w:numPr>
              <w:spacing w:after="29" w:line="259" w:lineRule="auto"/>
              <w:ind w:right="31" w:hanging="360"/>
              <w:jc w:val="left"/>
            </w:pPr>
            <w:r>
              <w:rPr>
                <w:sz w:val="22"/>
              </w:rPr>
              <w:t xml:space="preserve">Српску банку а.д. Београд </w:t>
            </w:r>
          </w:p>
          <w:p w:rsidR="00E8309B" w:rsidRDefault="009D0949">
            <w:pPr>
              <w:numPr>
                <w:ilvl w:val="0"/>
                <w:numId w:val="61"/>
              </w:numPr>
              <w:spacing w:after="23" w:line="259" w:lineRule="auto"/>
              <w:ind w:right="31" w:hanging="360"/>
              <w:jc w:val="left"/>
            </w:pPr>
            <w:r>
              <w:rPr>
                <w:sz w:val="22"/>
              </w:rPr>
              <w:t xml:space="preserve">Банку Поштанска штедионица </w:t>
            </w:r>
          </w:p>
          <w:p w:rsidR="00E8309B" w:rsidRDefault="009D0949">
            <w:pPr>
              <w:spacing w:after="0" w:line="259" w:lineRule="auto"/>
              <w:ind w:left="475" w:right="0" w:firstLine="0"/>
              <w:jc w:val="left"/>
            </w:pPr>
            <w:r>
              <w:rPr>
                <w:sz w:val="22"/>
              </w:rPr>
              <w:t xml:space="preserve">а.д. Београд </w:t>
            </w:r>
          </w:p>
          <w:p w:rsidR="00E8309B" w:rsidRDefault="009D0949">
            <w:pPr>
              <w:spacing w:after="0" w:line="259" w:lineRule="auto"/>
              <w:ind w:left="0" w:right="0" w:firstLine="0"/>
            </w:pPr>
            <w:r>
              <w:rPr>
                <w:sz w:val="22"/>
              </w:rPr>
              <w:t xml:space="preserve">спровођење је у току у складу са изнетим закључцима и препорукама. </w:t>
            </w:r>
          </w:p>
        </w:tc>
      </w:tr>
      <w:tr w:rsidR="00E8309B">
        <w:trPr>
          <w:trHeight w:val="382"/>
        </w:trPr>
        <w:tc>
          <w:tcPr>
            <w:tcW w:w="2831"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113" w:right="0" w:firstLine="0"/>
              <w:jc w:val="left"/>
            </w:pPr>
            <w:r>
              <w:rPr>
                <w:b/>
                <w:sz w:val="22"/>
                <w:u w:val="single" w:color="000000"/>
              </w:rPr>
              <w:t>Препорука 4:</w:t>
            </w:r>
            <w:r>
              <w:rPr>
                <w:b/>
                <w:sz w:val="22"/>
              </w:rPr>
              <w:t xml:space="preserve"> </w:t>
            </w:r>
          </w:p>
        </w:tc>
        <w:tc>
          <w:tcPr>
            <w:tcW w:w="3828"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113" w:right="0" w:firstLine="0"/>
              <w:jc w:val="left"/>
            </w:pPr>
            <w:r>
              <w:rPr>
                <w:sz w:val="22"/>
              </w:rPr>
              <w:t xml:space="preserve"> </w:t>
            </w:r>
          </w:p>
        </w:tc>
        <w:tc>
          <w:tcPr>
            <w:tcW w:w="3687"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113" w:right="0" w:firstLine="0"/>
              <w:jc w:val="left"/>
            </w:pPr>
            <w:r>
              <w:rPr>
                <w:sz w:val="22"/>
              </w:rPr>
              <w:t xml:space="preserve"> </w:t>
            </w:r>
          </w:p>
        </w:tc>
      </w:tr>
      <w:tr w:rsidR="00E8309B">
        <w:trPr>
          <w:trHeight w:val="4878"/>
        </w:trPr>
        <w:tc>
          <w:tcPr>
            <w:tcW w:w="2831"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55" w:firstLine="0"/>
            </w:pPr>
            <w:r>
              <w:rPr>
                <w:b/>
                <w:sz w:val="22"/>
              </w:rPr>
              <w:lastRenderedPageBreak/>
              <w:t xml:space="preserve">Користити резултате спроведених активности паметне специјализације како би се финализирала нова индустријска стратегија. </w:t>
            </w:r>
          </w:p>
        </w:tc>
        <w:tc>
          <w:tcPr>
            <w:tcW w:w="3828"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40" w:lineRule="auto"/>
              <w:ind w:left="0" w:right="52" w:firstLine="0"/>
            </w:pPr>
            <w:r>
              <w:rPr>
                <w:sz w:val="22"/>
              </w:rPr>
              <w:t>У мају 2019. године основана је Радна група за израду Стратегије индустријске политике Републике Србије за период 2021-2030. и за изра</w:t>
            </w:r>
            <w:r>
              <w:rPr>
                <w:sz w:val="22"/>
              </w:rPr>
              <w:t>ду Стратегије истраживања и иновација за паметну специјализацију (на чијем челу је представник кабинета председника Владе, док су два заменика помоћник министра у Министарству привреде задужен за рад на Стратегији индустријске политике и државни секретар у</w:t>
            </w:r>
            <w:r>
              <w:rPr>
                <w:sz w:val="22"/>
              </w:rPr>
              <w:t xml:space="preserve"> Министарству просвете, науке и технолошког развоја задужен за Стратегију паметне специјализације). </w:t>
            </w:r>
          </w:p>
          <w:p w:rsidR="00E8309B" w:rsidRDefault="009D0949">
            <w:pPr>
              <w:spacing w:after="0" w:line="259" w:lineRule="auto"/>
              <w:ind w:left="0" w:right="54" w:firstLine="0"/>
            </w:pPr>
            <w:r>
              <w:rPr>
                <w:sz w:val="22"/>
              </w:rPr>
              <w:t xml:space="preserve">Као део припреме Стратегије индустријске политике, у мају и јуну 2019. године широм Србије одржано је 13 јавно-приватних дијалога на којима </w:t>
            </w:r>
          </w:p>
        </w:tc>
        <w:tc>
          <w:tcPr>
            <w:tcW w:w="3687" w:type="dxa"/>
            <w:tcBorders>
              <w:top w:val="single" w:sz="4" w:space="0" w:color="000000"/>
              <w:left w:val="single" w:sz="4" w:space="0" w:color="000000"/>
              <w:bottom w:val="single" w:sz="4" w:space="0" w:color="000000"/>
              <w:right w:val="single" w:sz="4" w:space="0" w:color="000000"/>
            </w:tcBorders>
          </w:tcPr>
          <w:p w:rsidR="00E8309B" w:rsidRDefault="009D0949">
            <w:pPr>
              <w:spacing w:after="48" w:line="250" w:lineRule="auto"/>
              <w:ind w:left="0" w:right="53" w:firstLine="0"/>
            </w:pPr>
            <w:r>
              <w:rPr>
                <w:sz w:val="22"/>
              </w:rPr>
              <w:t>Влада Републик</w:t>
            </w:r>
            <w:r>
              <w:rPr>
                <w:sz w:val="22"/>
              </w:rPr>
              <w:t xml:space="preserve">е Србије је 5. марта 2020. године усвојила Стратегију индустријске политике Републике Србије од 2021. до 2030. године, која је објављена у Службеном гласнику РС број 35/20.  </w:t>
            </w:r>
          </w:p>
          <w:p w:rsidR="00E8309B" w:rsidRDefault="009D0949">
            <w:pPr>
              <w:spacing w:after="0" w:line="259" w:lineRule="auto"/>
              <w:ind w:left="0" w:right="56" w:firstLine="0"/>
            </w:pPr>
            <w:r>
              <w:rPr>
                <w:sz w:val="22"/>
              </w:rPr>
              <w:t>Министарство привреде са свим релевантним заинтересованим странама ради на Акционом плану за спровођење наведене стратегије. Акциони план ће бити усвојен за период 2021-2023. годинe и дефинисаће конкретне мере и активности које треба предузети како би се с</w:t>
            </w:r>
            <w:r>
              <w:rPr>
                <w:sz w:val="22"/>
              </w:rPr>
              <w:t xml:space="preserve">творили услови за постизање циљева у новим околностима, након пандемије COVID-19. Такође, Акциони план ће укључити и активности које ће </w:t>
            </w:r>
          </w:p>
        </w:tc>
      </w:tr>
    </w:tbl>
    <w:p w:rsidR="00E8309B" w:rsidRDefault="00E8309B">
      <w:pPr>
        <w:spacing w:after="0" w:line="259" w:lineRule="auto"/>
        <w:ind w:left="-1133" w:right="10799" w:firstLine="0"/>
        <w:jc w:val="left"/>
      </w:pPr>
    </w:p>
    <w:tbl>
      <w:tblPr>
        <w:tblStyle w:val="TableGrid"/>
        <w:tblW w:w="10346" w:type="dxa"/>
        <w:tblInd w:w="-351" w:type="dxa"/>
        <w:tblCellMar>
          <w:top w:w="7" w:type="dxa"/>
          <w:left w:w="0" w:type="dxa"/>
          <w:bottom w:w="0" w:type="dxa"/>
          <w:right w:w="0" w:type="dxa"/>
        </w:tblCellMar>
        <w:tblLook w:val="04A0" w:firstRow="1" w:lastRow="0" w:firstColumn="1" w:lastColumn="0" w:noHBand="0" w:noVBand="1"/>
      </w:tblPr>
      <w:tblGrid>
        <w:gridCol w:w="2719"/>
        <w:gridCol w:w="3656"/>
        <w:gridCol w:w="1574"/>
        <w:gridCol w:w="935"/>
        <w:gridCol w:w="434"/>
        <w:gridCol w:w="1028"/>
      </w:tblGrid>
      <w:tr w:rsidR="00E8309B">
        <w:trPr>
          <w:trHeight w:val="891"/>
        </w:trPr>
        <w:tc>
          <w:tcPr>
            <w:tcW w:w="2831"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77" w:lineRule="auto"/>
              <w:ind w:left="221" w:right="0" w:firstLine="0"/>
            </w:pPr>
            <w:r>
              <w:rPr>
                <w:sz w:val="22"/>
                <w:u w:val="single" w:color="000000"/>
              </w:rPr>
              <w:t>ПРЕПОРУКА ЕКОФИН</w:t>
            </w:r>
            <w:r>
              <w:rPr>
                <w:sz w:val="22"/>
              </w:rPr>
              <w:t xml:space="preserve"> </w:t>
            </w:r>
            <w:r>
              <w:rPr>
                <w:sz w:val="22"/>
                <w:u w:val="single" w:color="000000"/>
              </w:rPr>
              <w:t>Савета из маја 2019.</w:t>
            </w:r>
            <w:r>
              <w:rPr>
                <w:sz w:val="22"/>
              </w:rPr>
              <w:t xml:space="preserve"> </w:t>
            </w:r>
          </w:p>
          <w:p w:rsidR="00E8309B" w:rsidRDefault="009D0949">
            <w:pPr>
              <w:spacing w:after="0" w:line="259" w:lineRule="auto"/>
              <w:ind w:left="221" w:right="0" w:firstLine="0"/>
              <w:jc w:val="left"/>
            </w:pPr>
            <w:r>
              <w:rPr>
                <w:sz w:val="22"/>
                <w:u w:val="single" w:color="000000"/>
              </w:rPr>
              <w:t>године</w:t>
            </w:r>
            <w:r>
              <w:rPr>
                <w:sz w:val="22"/>
              </w:rPr>
              <w:t xml:space="preserve"> </w:t>
            </w:r>
          </w:p>
        </w:tc>
        <w:tc>
          <w:tcPr>
            <w:tcW w:w="3828"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221" w:right="0" w:firstLine="0"/>
              <w:jc w:val="left"/>
            </w:pPr>
            <w:r>
              <w:rPr>
                <w:sz w:val="22"/>
                <w:u w:val="single" w:color="000000"/>
              </w:rPr>
              <w:t>ИЗВЕШТАЈИ О СПРОВОЂЕЊУ</w:t>
            </w:r>
            <w:r>
              <w:rPr>
                <w:sz w:val="22"/>
              </w:rPr>
              <w:t xml:space="preserve"> </w:t>
            </w:r>
            <w:r>
              <w:rPr>
                <w:sz w:val="22"/>
                <w:u w:val="single" w:color="000000"/>
              </w:rPr>
              <w:t>ПРЕПОРУКА У ЕРП 2020-2022</w:t>
            </w:r>
            <w:r>
              <w:rPr>
                <w:sz w:val="22"/>
              </w:rPr>
              <w:t xml:space="preserve"> </w:t>
            </w:r>
          </w:p>
        </w:tc>
        <w:tc>
          <w:tcPr>
            <w:tcW w:w="3687" w:type="dxa"/>
            <w:gridSpan w:val="4"/>
            <w:tcBorders>
              <w:top w:val="single" w:sz="4" w:space="0" w:color="000000"/>
              <w:left w:val="single" w:sz="4" w:space="0" w:color="000000"/>
              <w:bottom w:val="single" w:sz="4" w:space="0" w:color="000000"/>
              <w:right w:val="single" w:sz="4" w:space="0" w:color="000000"/>
            </w:tcBorders>
          </w:tcPr>
          <w:p w:rsidR="00E8309B" w:rsidRDefault="009D0949">
            <w:pPr>
              <w:spacing w:after="0" w:line="277" w:lineRule="auto"/>
              <w:ind w:left="221" w:right="0" w:firstLine="0"/>
              <w:jc w:val="left"/>
            </w:pPr>
            <w:r>
              <w:rPr>
                <w:sz w:val="22"/>
                <w:u w:val="single" w:color="000000"/>
              </w:rPr>
              <w:t>ДОПУНА ИЗВЕШТАЈА О</w:t>
            </w:r>
            <w:r>
              <w:rPr>
                <w:sz w:val="22"/>
              </w:rPr>
              <w:t xml:space="preserve"> </w:t>
            </w:r>
            <w:r>
              <w:rPr>
                <w:sz w:val="22"/>
                <w:u w:val="single" w:color="000000"/>
              </w:rPr>
              <w:t>СПРОВОЂЕЊУ ПРЕПОРУКА У</w:t>
            </w:r>
            <w:r>
              <w:rPr>
                <w:sz w:val="22"/>
              </w:rPr>
              <w:t xml:space="preserve"> </w:t>
            </w:r>
          </w:p>
          <w:p w:rsidR="00E8309B" w:rsidRDefault="009D0949">
            <w:pPr>
              <w:spacing w:after="0" w:line="259" w:lineRule="auto"/>
              <w:ind w:left="221" w:right="0" w:firstLine="0"/>
              <w:jc w:val="left"/>
            </w:pPr>
            <w:r>
              <w:rPr>
                <w:sz w:val="22"/>
                <w:u w:val="single" w:color="000000"/>
              </w:rPr>
              <w:t>ЕРП 2021-2023</w:t>
            </w:r>
            <w:r>
              <w:rPr>
                <w:sz w:val="22"/>
              </w:rPr>
              <w:t xml:space="preserve"> </w:t>
            </w:r>
          </w:p>
        </w:tc>
      </w:tr>
      <w:tr w:rsidR="00E8309B">
        <w:trPr>
          <w:trHeight w:val="10890"/>
        </w:trPr>
        <w:tc>
          <w:tcPr>
            <w:tcW w:w="2831" w:type="dxa"/>
            <w:tcBorders>
              <w:top w:val="single" w:sz="4" w:space="0" w:color="000000"/>
              <w:left w:val="single" w:sz="4" w:space="0" w:color="000000"/>
              <w:bottom w:val="single" w:sz="4" w:space="0" w:color="000000"/>
              <w:right w:val="single" w:sz="4" w:space="0" w:color="000000"/>
            </w:tcBorders>
          </w:tcPr>
          <w:p w:rsidR="00E8309B" w:rsidRDefault="00E8309B">
            <w:pPr>
              <w:spacing w:after="160" w:line="259" w:lineRule="auto"/>
              <w:ind w:left="0" w:right="0" w:firstLine="0"/>
              <w:jc w:val="left"/>
            </w:pPr>
          </w:p>
        </w:tc>
        <w:tc>
          <w:tcPr>
            <w:tcW w:w="3828"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42" w:lineRule="auto"/>
              <w:ind w:left="108" w:right="104" w:firstLine="0"/>
            </w:pPr>
            <w:r>
              <w:rPr>
                <w:sz w:val="22"/>
              </w:rPr>
              <w:t>је учествовало 363 субјекта - предузећа, привредна удружења, представници науке, владине институције и представници градова. Сачињен је извештај о спровођењу ових форума, који ће, по завршетку дијагностичке фазе, сл</w:t>
            </w:r>
            <w:r>
              <w:rPr>
                <w:sz w:val="22"/>
              </w:rPr>
              <w:t xml:space="preserve">ужити као основа за дефинисање стратешких циљева и иницијатива за сваку од области Стратегије.  </w:t>
            </w:r>
          </w:p>
          <w:p w:rsidR="00E8309B" w:rsidRDefault="009D0949">
            <w:pPr>
              <w:spacing w:after="0" w:line="264" w:lineRule="auto"/>
              <w:ind w:left="108" w:right="104" w:firstLine="0"/>
            </w:pPr>
            <w:r>
              <w:rPr>
                <w:sz w:val="22"/>
              </w:rPr>
              <w:t>Имајући у виду да је у оквиру израде Стратегије паметне специјализације завршен јавно-приватни дијалог, размењени су извештаји са оба јавно</w:t>
            </w:r>
            <w:r>
              <w:rPr>
                <w:sz w:val="22"/>
              </w:rPr>
              <w:t xml:space="preserve">приватна дијалога, и  уврштени као материјал при изради Стратегије индустријског развоја.  </w:t>
            </w:r>
          </w:p>
          <w:p w:rsidR="00E8309B" w:rsidRDefault="009D0949">
            <w:pPr>
              <w:spacing w:after="0" w:line="254" w:lineRule="auto"/>
              <w:ind w:left="108" w:right="106" w:firstLine="0"/>
            </w:pPr>
            <w:r>
              <w:rPr>
                <w:sz w:val="22"/>
              </w:rPr>
              <w:t>17. септембра 2019. године одржан је завршни јавно-приватни дијалог у овој фази израде индустријске стратегије, на коме су презентовани налази јавноприватних дијало</w:t>
            </w:r>
            <w:r>
              <w:rPr>
                <w:sz w:val="22"/>
              </w:rPr>
              <w:t xml:space="preserve">га одржаних током маја и јуна 2019. године и размењена мишљења свих заинтересованих страна. </w:t>
            </w:r>
          </w:p>
          <w:p w:rsidR="00E8309B" w:rsidRDefault="009D0949">
            <w:pPr>
              <w:spacing w:after="0" w:line="259" w:lineRule="auto"/>
              <w:ind w:left="108" w:right="103" w:firstLine="0"/>
            </w:pPr>
            <w:r>
              <w:rPr>
                <w:sz w:val="22"/>
              </w:rPr>
              <w:t>У децембру 2019. године израђен је Предлог стратегије индустријске политике Републике Србије од 2021. до 2030. године који је стављен на јавну расправу од 13. деце</w:t>
            </w:r>
            <w:r>
              <w:rPr>
                <w:sz w:val="22"/>
              </w:rPr>
              <w:t>мбра 2019. године до 3. јануара 2020. године. Наведени предлог стратегије садржи визију, општи циљ и посебне циљеве са сетом мера у оквиру шест хоризонталних области интервенција. Планирано је да Влада, током јануара 2020. године, усвоји Предлог стратегије</w:t>
            </w:r>
            <w:r>
              <w:rPr>
                <w:sz w:val="22"/>
              </w:rPr>
              <w:t xml:space="preserve"> индустријске политике Републике Србије од 2021. до 2030. године док је, до краја другог квартала 2020. године планирана финализација Акционог плана са имплеметнационим механизмом. </w:t>
            </w:r>
          </w:p>
        </w:tc>
        <w:tc>
          <w:tcPr>
            <w:tcW w:w="1145" w:type="dxa"/>
            <w:tcBorders>
              <w:top w:val="single" w:sz="4" w:space="0" w:color="000000"/>
              <w:left w:val="single" w:sz="4" w:space="0" w:color="000000"/>
              <w:bottom w:val="single" w:sz="4" w:space="0" w:color="000000"/>
              <w:right w:val="nil"/>
            </w:tcBorders>
          </w:tcPr>
          <w:p w:rsidR="00E8309B" w:rsidRDefault="009D0949">
            <w:pPr>
              <w:spacing w:after="739" w:line="295" w:lineRule="auto"/>
              <w:ind w:left="0" w:right="-620" w:firstLine="0"/>
              <w:jc w:val="right"/>
            </w:pPr>
            <w:r>
              <w:rPr>
                <w:sz w:val="22"/>
              </w:rPr>
              <w:t>специјализације. Током децембра</w:t>
            </w:r>
          </w:p>
          <w:p w:rsidR="00E8309B" w:rsidRDefault="009D0949">
            <w:pPr>
              <w:spacing w:after="0" w:line="259" w:lineRule="auto"/>
              <w:ind w:left="108" w:right="0" w:firstLine="0"/>
              <w:jc w:val="left"/>
            </w:pPr>
            <w:r>
              <w:rPr>
                <w:sz w:val="22"/>
              </w:rPr>
              <w:t xml:space="preserve">године. </w:t>
            </w:r>
          </w:p>
        </w:tc>
        <w:tc>
          <w:tcPr>
            <w:tcW w:w="1005" w:type="dxa"/>
            <w:tcBorders>
              <w:top w:val="single" w:sz="4" w:space="0" w:color="000000"/>
              <w:left w:val="nil"/>
              <w:bottom w:val="single" w:sz="4" w:space="0" w:color="000000"/>
              <w:right w:val="nil"/>
            </w:tcBorders>
          </w:tcPr>
          <w:p w:rsidR="00E8309B" w:rsidRDefault="009D0949">
            <w:pPr>
              <w:spacing w:after="0" w:line="259" w:lineRule="auto"/>
              <w:ind w:left="-1037" w:right="-1428" w:firstLine="0"/>
              <w:jc w:val="left"/>
            </w:pPr>
            <w:r>
              <w:rPr>
                <w:sz w:val="22"/>
              </w:rPr>
              <w:t xml:space="preserve">подржати налазе процеса паметне </w:t>
            </w:r>
          </w:p>
          <w:p w:rsidR="00E8309B" w:rsidRDefault="009D0949">
            <w:pPr>
              <w:spacing w:after="38" w:line="259" w:lineRule="auto"/>
              <w:ind w:left="117" w:right="0" w:firstLine="0"/>
              <w:jc w:val="center"/>
            </w:pPr>
            <w:r>
              <w:rPr>
                <w:sz w:val="22"/>
              </w:rPr>
              <w:t xml:space="preserve"> </w:t>
            </w:r>
          </w:p>
          <w:p w:rsidR="00E8309B" w:rsidRDefault="009D0949">
            <w:pPr>
              <w:spacing w:after="0" w:line="259" w:lineRule="auto"/>
              <w:ind w:left="290" w:right="0" w:firstLine="0"/>
              <w:jc w:val="center"/>
            </w:pPr>
            <w:r>
              <w:rPr>
                <w:sz w:val="22"/>
              </w:rPr>
              <w:t xml:space="preserve"> </w:t>
            </w:r>
          </w:p>
          <w:p w:rsidR="00E8309B" w:rsidRDefault="009D0949">
            <w:pPr>
              <w:spacing w:after="0" w:line="259" w:lineRule="auto"/>
              <w:ind w:left="-1037" w:right="-1427" w:firstLine="0"/>
            </w:pPr>
            <w:r>
              <w:rPr>
                <w:sz w:val="22"/>
              </w:rPr>
              <w:t xml:space="preserve">одржана јавна расправа о предлогу акционог плана, док се његово усвајање очекује почетком 2021. </w:t>
            </w:r>
          </w:p>
        </w:tc>
        <w:tc>
          <w:tcPr>
            <w:tcW w:w="456" w:type="dxa"/>
            <w:tcBorders>
              <w:top w:val="single" w:sz="4" w:space="0" w:color="000000"/>
              <w:left w:val="nil"/>
              <w:bottom w:val="single" w:sz="4" w:space="0" w:color="000000"/>
              <w:right w:val="nil"/>
            </w:tcBorders>
          </w:tcPr>
          <w:p w:rsidR="00E8309B" w:rsidRDefault="009D0949">
            <w:pPr>
              <w:spacing w:after="0" w:line="259" w:lineRule="auto"/>
              <w:ind w:left="-212" w:right="0" w:firstLine="0"/>
              <w:jc w:val="left"/>
            </w:pPr>
            <w:r>
              <w:rPr>
                <w:sz w:val="22"/>
              </w:rPr>
              <w:t>2020</w:t>
            </w:r>
          </w:p>
        </w:tc>
        <w:tc>
          <w:tcPr>
            <w:tcW w:w="1082" w:type="dxa"/>
            <w:tcBorders>
              <w:top w:val="single" w:sz="4" w:space="0" w:color="000000"/>
              <w:left w:val="nil"/>
              <w:bottom w:val="single" w:sz="4" w:space="0" w:color="000000"/>
              <w:right w:val="single" w:sz="4" w:space="0" w:color="000000"/>
            </w:tcBorders>
          </w:tcPr>
          <w:p w:rsidR="00E8309B" w:rsidRDefault="009D0949">
            <w:pPr>
              <w:spacing w:after="0" w:line="259" w:lineRule="auto"/>
              <w:ind w:left="-226" w:right="108" w:firstLine="0"/>
              <w:jc w:val="right"/>
            </w:pPr>
            <w:r>
              <w:rPr>
                <w:sz w:val="22"/>
              </w:rPr>
              <w:t xml:space="preserve">. године је </w:t>
            </w:r>
          </w:p>
        </w:tc>
      </w:tr>
      <w:tr w:rsidR="00E8309B">
        <w:trPr>
          <w:trHeight w:val="1526"/>
        </w:trPr>
        <w:tc>
          <w:tcPr>
            <w:tcW w:w="2831"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108" w:right="0" w:firstLine="0"/>
              <w:jc w:val="left"/>
            </w:pPr>
            <w:r>
              <w:rPr>
                <w:b/>
                <w:sz w:val="22"/>
              </w:rPr>
              <w:t xml:space="preserve">Усвојити посебне законе о </w:t>
            </w:r>
          </w:p>
          <w:p w:rsidR="00E8309B" w:rsidRDefault="009D0949">
            <w:pPr>
              <w:spacing w:after="0" w:line="259" w:lineRule="auto"/>
              <w:ind w:left="108" w:right="0" w:firstLine="0"/>
              <w:jc w:val="left"/>
            </w:pPr>
            <w:r>
              <w:rPr>
                <w:b/>
                <w:sz w:val="22"/>
              </w:rPr>
              <w:t xml:space="preserve">алтернативним инвестиционим фондовима. </w:t>
            </w:r>
          </w:p>
        </w:tc>
        <w:tc>
          <w:tcPr>
            <w:tcW w:w="3828"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108" w:right="107" w:firstLine="0"/>
            </w:pPr>
            <w:r>
              <w:rPr>
                <w:sz w:val="22"/>
              </w:rPr>
              <w:t xml:space="preserve">Скупштина Републике Србије усвојила је на седници 10. октобра 2019. године Закон о отвореним инвестиционим фондовима са јавном понудом и Закон о алтернативним инвестиционим фондовима. </w:t>
            </w:r>
          </w:p>
        </w:tc>
        <w:tc>
          <w:tcPr>
            <w:tcW w:w="1145" w:type="dxa"/>
            <w:tcBorders>
              <w:top w:val="single" w:sz="4" w:space="0" w:color="000000"/>
              <w:left w:val="single" w:sz="4" w:space="0" w:color="000000"/>
              <w:bottom w:val="single" w:sz="4" w:space="0" w:color="000000"/>
              <w:right w:val="nil"/>
            </w:tcBorders>
          </w:tcPr>
          <w:p w:rsidR="00E8309B" w:rsidRDefault="009D0949">
            <w:pPr>
              <w:spacing w:after="0" w:line="259" w:lineRule="auto"/>
              <w:ind w:left="108" w:right="0" w:firstLine="0"/>
              <w:jc w:val="left"/>
            </w:pPr>
            <w:r>
              <w:rPr>
                <w:sz w:val="22"/>
              </w:rPr>
              <w:t xml:space="preserve"> </w:t>
            </w:r>
          </w:p>
        </w:tc>
        <w:tc>
          <w:tcPr>
            <w:tcW w:w="1005" w:type="dxa"/>
            <w:tcBorders>
              <w:top w:val="single" w:sz="4" w:space="0" w:color="000000"/>
              <w:left w:val="nil"/>
              <w:bottom w:val="single" w:sz="4" w:space="0" w:color="000000"/>
              <w:right w:val="nil"/>
            </w:tcBorders>
          </w:tcPr>
          <w:p w:rsidR="00E8309B" w:rsidRDefault="00E8309B">
            <w:pPr>
              <w:spacing w:after="160" w:line="259" w:lineRule="auto"/>
              <w:ind w:left="0" w:right="0" w:firstLine="0"/>
              <w:jc w:val="left"/>
            </w:pPr>
          </w:p>
        </w:tc>
        <w:tc>
          <w:tcPr>
            <w:tcW w:w="456" w:type="dxa"/>
            <w:tcBorders>
              <w:top w:val="single" w:sz="4" w:space="0" w:color="000000"/>
              <w:left w:val="nil"/>
              <w:bottom w:val="single" w:sz="4" w:space="0" w:color="000000"/>
              <w:right w:val="nil"/>
            </w:tcBorders>
          </w:tcPr>
          <w:p w:rsidR="00E8309B" w:rsidRDefault="00E8309B">
            <w:pPr>
              <w:spacing w:after="160" w:line="259" w:lineRule="auto"/>
              <w:ind w:left="0" w:right="0" w:firstLine="0"/>
              <w:jc w:val="left"/>
            </w:pPr>
          </w:p>
        </w:tc>
        <w:tc>
          <w:tcPr>
            <w:tcW w:w="1082" w:type="dxa"/>
            <w:tcBorders>
              <w:top w:val="single" w:sz="4" w:space="0" w:color="000000"/>
              <w:left w:val="nil"/>
              <w:bottom w:val="single" w:sz="4" w:space="0" w:color="000000"/>
              <w:right w:val="single" w:sz="4" w:space="0" w:color="000000"/>
            </w:tcBorders>
          </w:tcPr>
          <w:p w:rsidR="00E8309B" w:rsidRDefault="00E8309B">
            <w:pPr>
              <w:spacing w:after="160" w:line="259" w:lineRule="auto"/>
              <w:ind w:left="0" w:right="0" w:firstLine="0"/>
              <w:jc w:val="left"/>
            </w:pPr>
          </w:p>
        </w:tc>
      </w:tr>
      <w:tr w:rsidR="00E8309B">
        <w:trPr>
          <w:trHeight w:val="1023"/>
        </w:trPr>
        <w:tc>
          <w:tcPr>
            <w:tcW w:w="2831"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108" w:right="107" w:firstLine="0"/>
            </w:pPr>
            <w:r>
              <w:rPr>
                <w:b/>
                <w:sz w:val="22"/>
              </w:rPr>
              <w:lastRenderedPageBreak/>
              <w:t xml:space="preserve">Обезбедити да се предузећа и сви социјални партнери правовремено консултују о свим </w:t>
            </w:r>
          </w:p>
        </w:tc>
        <w:tc>
          <w:tcPr>
            <w:tcW w:w="3828"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108" w:right="107" w:firstLine="0"/>
            </w:pPr>
            <w:r>
              <w:rPr>
                <w:sz w:val="22"/>
              </w:rPr>
              <w:t xml:space="preserve">Република Србија је током 2019. године значајно унапредила законодавни оквир којим се уређују и обезбеђују услови за активно учешће </w:t>
            </w:r>
          </w:p>
        </w:tc>
        <w:tc>
          <w:tcPr>
            <w:tcW w:w="3687" w:type="dxa"/>
            <w:gridSpan w:val="4"/>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108" w:right="108" w:firstLine="0"/>
            </w:pPr>
            <w:r>
              <w:rPr>
                <w:sz w:val="22"/>
              </w:rPr>
              <w:t>Видети прилог о испуњењу препорука ЕКОФИН Савета из маја 2020. године за Републику Србију, препорука 4, део „</w:t>
            </w:r>
            <w:r>
              <w:rPr>
                <w:i/>
                <w:sz w:val="22"/>
              </w:rPr>
              <w:t xml:space="preserve">додатно </w:t>
            </w:r>
          </w:p>
        </w:tc>
      </w:tr>
    </w:tbl>
    <w:p w:rsidR="00E8309B" w:rsidRDefault="00E8309B">
      <w:pPr>
        <w:spacing w:after="0" w:line="259" w:lineRule="auto"/>
        <w:ind w:left="-1133" w:right="10799" w:firstLine="0"/>
        <w:jc w:val="left"/>
      </w:pPr>
    </w:p>
    <w:tbl>
      <w:tblPr>
        <w:tblStyle w:val="TableGrid"/>
        <w:tblW w:w="10346" w:type="dxa"/>
        <w:tblInd w:w="-351" w:type="dxa"/>
        <w:tblCellMar>
          <w:top w:w="51" w:type="dxa"/>
          <w:left w:w="108" w:type="dxa"/>
          <w:bottom w:w="0" w:type="dxa"/>
          <w:right w:w="53" w:type="dxa"/>
        </w:tblCellMar>
        <w:tblLook w:val="04A0" w:firstRow="1" w:lastRow="0" w:firstColumn="1" w:lastColumn="0" w:noHBand="0" w:noVBand="1"/>
      </w:tblPr>
      <w:tblGrid>
        <w:gridCol w:w="2831"/>
        <w:gridCol w:w="3828"/>
        <w:gridCol w:w="3687"/>
      </w:tblGrid>
      <w:tr w:rsidR="00E8309B">
        <w:trPr>
          <w:trHeight w:val="891"/>
        </w:trPr>
        <w:tc>
          <w:tcPr>
            <w:tcW w:w="2831"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77" w:lineRule="auto"/>
              <w:ind w:left="113" w:right="0" w:firstLine="0"/>
            </w:pPr>
            <w:r>
              <w:rPr>
                <w:sz w:val="22"/>
                <w:u w:val="single" w:color="000000"/>
              </w:rPr>
              <w:t>ПРЕПОРУКА ЕКОФИН</w:t>
            </w:r>
            <w:r>
              <w:rPr>
                <w:sz w:val="22"/>
              </w:rPr>
              <w:t xml:space="preserve"> </w:t>
            </w:r>
            <w:r>
              <w:rPr>
                <w:sz w:val="22"/>
                <w:u w:val="single" w:color="000000"/>
              </w:rPr>
              <w:t>Савета из маја 2019.</w:t>
            </w:r>
            <w:r>
              <w:rPr>
                <w:sz w:val="22"/>
              </w:rPr>
              <w:t xml:space="preserve"> </w:t>
            </w:r>
          </w:p>
          <w:p w:rsidR="00E8309B" w:rsidRDefault="009D0949">
            <w:pPr>
              <w:spacing w:after="0" w:line="259" w:lineRule="auto"/>
              <w:ind w:left="113" w:right="0" w:firstLine="0"/>
              <w:jc w:val="left"/>
            </w:pPr>
            <w:r>
              <w:rPr>
                <w:sz w:val="22"/>
                <w:u w:val="single" w:color="000000"/>
              </w:rPr>
              <w:t>године</w:t>
            </w:r>
            <w:r>
              <w:rPr>
                <w:sz w:val="22"/>
              </w:rPr>
              <w:t xml:space="preserve"> </w:t>
            </w:r>
          </w:p>
        </w:tc>
        <w:tc>
          <w:tcPr>
            <w:tcW w:w="3828"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113" w:right="0" w:firstLine="0"/>
              <w:jc w:val="left"/>
            </w:pPr>
            <w:r>
              <w:rPr>
                <w:sz w:val="22"/>
                <w:u w:val="single" w:color="000000"/>
              </w:rPr>
              <w:t>ИЗВЕШТАЈИ О СПРОВОЂЕЊУ</w:t>
            </w:r>
            <w:r>
              <w:rPr>
                <w:sz w:val="22"/>
              </w:rPr>
              <w:t xml:space="preserve"> </w:t>
            </w:r>
            <w:r>
              <w:rPr>
                <w:sz w:val="22"/>
                <w:u w:val="single" w:color="000000"/>
              </w:rPr>
              <w:t>ПРЕПОРУКА У ЕРП 2020-2022</w:t>
            </w:r>
            <w:r>
              <w:rPr>
                <w:sz w:val="22"/>
              </w:rPr>
              <w:t xml:space="preserve"> </w:t>
            </w:r>
          </w:p>
        </w:tc>
        <w:tc>
          <w:tcPr>
            <w:tcW w:w="3687"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77" w:lineRule="auto"/>
              <w:ind w:left="113" w:right="0" w:firstLine="0"/>
              <w:jc w:val="left"/>
            </w:pPr>
            <w:r>
              <w:rPr>
                <w:sz w:val="22"/>
                <w:u w:val="single" w:color="000000"/>
              </w:rPr>
              <w:t>ДОПУНА ИЗВЕШТАЈА О</w:t>
            </w:r>
            <w:r>
              <w:rPr>
                <w:sz w:val="22"/>
              </w:rPr>
              <w:t xml:space="preserve"> </w:t>
            </w:r>
            <w:r>
              <w:rPr>
                <w:sz w:val="22"/>
                <w:u w:val="single" w:color="000000"/>
              </w:rPr>
              <w:t>СПРОВОЂЕЊУ ПРЕПОРУКА</w:t>
            </w:r>
            <w:r>
              <w:rPr>
                <w:sz w:val="22"/>
                <w:u w:val="single" w:color="000000"/>
              </w:rPr>
              <w:t xml:space="preserve"> У</w:t>
            </w:r>
            <w:r>
              <w:rPr>
                <w:sz w:val="22"/>
              </w:rPr>
              <w:t xml:space="preserve"> </w:t>
            </w:r>
          </w:p>
          <w:p w:rsidR="00E8309B" w:rsidRDefault="009D0949">
            <w:pPr>
              <w:spacing w:after="0" w:line="259" w:lineRule="auto"/>
              <w:ind w:left="113" w:right="0" w:firstLine="0"/>
              <w:jc w:val="left"/>
            </w:pPr>
            <w:r>
              <w:rPr>
                <w:sz w:val="22"/>
                <w:u w:val="single" w:color="000000"/>
              </w:rPr>
              <w:t>ЕРП 2021-2023</w:t>
            </w:r>
            <w:r>
              <w:rPr>
                <w:sz w:val="22"/>
              </w:rPr>
              <w:t xml:space="preserve"> </w:t>
            </w:r>
          </w:p>
        </w:tc>
      </w:tr>
      <w:tr w:rsidR="00E8309B">
        <w:trPr>
          <w:trHeight w:val="13672"/>
        </w:trPr>
        <w:tc>
          <w:tcPr>
            <w:tcW w:w="2831"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54" w:firstLine="0"/>
            </w:pPr>
            <w:r>
              <w:rPr>
                <w:b/>
                <w:sz w:val="22"/>
              </w:rPr>
              <w:lastRenderedPageBreak/>
              <w:t xml:space="preserve">нацртима нових закона који се односе на њихово пословање. </w:t>
            </w:r>
          </w:p>
        </w:tc>
        <w:tc>
          <w:tcPr>
            <w:tcW w:w="3828"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40" w:lineRule="auto"/>
              <w:ind w:left="0" w:right="52" w:firstLine="0"/>
            </w:pPr>
            <w:r>
              <w:rPr>
                <w:sz w:val="22"/>
              </w:rPr>
              <w:t>јавности, како грађана тако и представника привреде и цивилног друштва, у доношењу прописа и докумената јавних политика. Након доношења Закона о планском систему и измена и допу</w:t>
            </w:r>
            <w:r>
              <w:rPr>
                <w:sz w:val="22"/>
              </w:rPr>
              <w:t>на члана 77. Закона о државној управи 2018. године, у претходној години донета су одговарајућа подзаконска акта уз наведене законе којима су створени услови за учешће јавности у процесима одлучивања од најраније фазе. У складу са наведеним прописима, орган</w:t>
            </w:r>
            <w:r>
              <w:rPr>
                <w:sz w:val="22"/>
              </w:rPr>
              <w:t xml:space="preserve">и државне управе управе дужни су да објављују почетак рада на новим прописима и спроводе  </w:t>
            </w:r>
            <w:r>
              <w:rPr>
                <w:i/>
                <w:sz w:val="22"/>
              </w:rPr>
              <w:t>ex ante</w:t>
            </w:r>
            <w:r>
              <w:rPr>
                <w:sz w:val="22"/>
              </w:rPr>
              <w:t xml:space="preserve"> анализе које треба да укажу на кључне проблеме и потенцијална решења, као и да у ове процесе укључе јавност кроз процес консултација. Поред консултација које </w:t>
            </w:r>
            <w:r>
              <w:rPr>
                <w:sz w:val="22"/>
              </w:rPr>
              <w:t>се могу спроводити у ранијим фазама припреме прописа, успостављени законодавни оквир предвиђа и обавезу спровођења јавних расправа за нацрте прописа, односно предлоге докумената јавних политика, које представљају завршну фазу у којој се јавност може укључи</w:t>
            </w:r>
            <w:r>
              <w:rPr>
                <w:sz w:val="22"/>
              </w:rPr>
              <w:t xml:space="preserve">ти у овим процесима. Поређења ради, пре измена правног оквира који су иницирани од стране актуелне Владе, обавеза органа државне управе у погледу укључивања јавности приликом израде прописа постојала је само за одређене категорије закона и то у виду јавне </w:t>
            </w:r>
            <w:r>
              <w:rPr>
                <w:sz w:val="22"/>
              </w:rPr>
              <w:t xml:space="preserve">расправе (у складу са чланом 41. Пословника Владе), али не и у ранијим фазама, док у случају припреме докумената јавне политике није постојала никаква обавезност да јавност буде консултована. </w:t>
            </w:r>
          </w:p>
          <w:p w:rsidR="00E8309B" w:rsidRDefault="009D0949">
            <w:pPr>
              <w:spacing w:after="0" w:line="259" w:lineRule="auto"/>
              <w:ind w:left="0" w:right="54" w:firstLine="0"/>
            </w:pPr>
            <w:r>
              <w:rPr>
                <w:sz w:val="22"/>
              </w:rPr>
              <w:t>Током 2019. године, посредством Канцеларије за сарадњу са цивил</w:t>
            </w:r>
            <w:r>
              <w:rPr>
                <w:sz w:val="22"/>
              </w:rPr>
              <w:t>ним друштвом упућена су 44 позива за консултације и јавне расправе које су спроведене у оквиру процеса припреме прописа и докумената јавних политика, што представља значај помак с обзиром да је за 2018. годину број наведених позива износио 31. Поменути поз</w:t>
            </w:r>
            <w:r>
              <w:rPr>
                <w:sz w:val="22"/>
              </w:rPr>
              <w:t xml:space="preserve">иви објављени су на интернет презентацији Канцеларије и за највећи број њих су се надлежни </w:t>
            </w:r>
          </w:p>
        </w:tc>
        <w:tc>
          <w:tcPr>
            <w:tcW w:w="3687"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57" w:firstLine="0"/>
            </w:pPr>
            <w:r>
              <w:rPr>
                <w:i/>
                <w:sz w:val="22"/>
              </w:rPr>
              <w:t>побољшати процес јавних консултација укључивањем предузећа и социјалних партнера у вези са усвајањем и применом свих нових закона који се односе на њихово пословање</w:t>
            </w:r>
            <w:r>
              <w:rPr>
                <w:sz w:val="22"/>
              </w:rPr>
              <w:t xml:space="preserve">.“ </w:t>
            </w:r>
          </w:p>
        </w:tc>
      </w:tr>
    </w:tbl>
    <w:p w:rsidR="00E8309B" w:rsidRDefault="00E8309B">
      <w:pPr>
        <w:spacing w:after="0" w:line="259" w:lineRule="auto"/>
        <w:ind w:left="-1133" w:right="10799" w:firstLine="0"/>
        <w:jc w:val="left"/>
      </w:pPr>
    </w:p>
    <w:tbl>
      <w:tblPr>
        <w:tblStyle w:val="TableGrid"/>
        <w:tblW w:w="10346" w:type="dxa"/>
        <w:tblInd w:w="-351" w:type="dxa"/>
        <w:tblCellMar>
          <w:top w:w="7" w:type="dxa"/>
          <w:left w:w="108" w:type="dxa"/>
          <w:bottom w:w="0" w:type="dxa"/>
          <w:right w:w="54" w:type="dxa"/>
        </w:tblCellMar>
        <w:tblLook w:val="04A0" w:firstRow="1" w:lastRow="0" w:firstColumn="1" w:lastColumn="0" w:noHBand="0" w:noVBand="1"/>
      </w:tblPr>
      <w:tblGrid>
        <w:gridCol w:w="2831"/>
        <w:gridCol w:w="3828"/>
        <w:gridCol w:w="3687"/>
      </w:tblGrid>
      <w:tr w:rsidR="00E8309B">
        <w:trPr>
          <w:trHeight w:val="891"/>
        </w:trPr>
        <w:tc>
          <w:tcPr>
            <w:tcW w:w="2831"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77" w:lineRule="auto"/>
              <w:ind w:left="113" w:right="0" w:firstLine="0"/>
            </w:pPr>
            <w:r>
              <w:rPr>
                <w:sz w:val="22"/>
                <w:u w:val="single" w:color="000000"/>
              </w:rPr>
              <w:lastRenderedPageBreak/>
              <w:t>ПРЕПОРУКА ЕКОФИН</w:t>
            </w:r>
            <w:r>
              <w:rPr>
                <w:sz w:val="22"/>
              </w:rPr>
              <w:t xml:space="preserve"> </w:t>
            </w:r>
            <w:r>
              <w:rPr>
                <w:sz w:val="22"/>
                <w:u w:val="single" w:color="000000"/>
              </w:rPr>
              <w:t>Савета из маја 2019.</w:t>
            </w:r>
            <w:r>
              <w:rPr>
                <w:sz w:val="22"/>
              </w:rPr>
              <w:t xml:space="preserve"> </w:t>
            </w:r>
          </w:p>
          <w:p w:rsidR="00E8309B" w:rsidRDefault="009D0949">
            <w:pPr>
              <w:spacing w:after="0" w:line="259" w:lineRule="auto"/>
              <w:ind w:left="113" w:right="0" w:firstLine="0"/>
              <w:jc w:val="left"/>
            </w:pPr>
            <w:r>
              <w:rPr>
                <w:sz w:val="22"/>
                <w:u w:val="single" w:color="000000"/>
              </w:rPr>
              <w:t>године</w:t>
            </w:r>
            <w:r>
              <w:rPr>
                <w:sz w:val="22"/>
              </w:rPr>
              <w:t xml:space="preserve"> </w:t>
            </w:r>
          </w:p>
        </w:tc>
        <w:tc>
          <w:tcPr>
            <w:tcW w:w="3828"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113" w:right="0" w:firstLine="0"/>
              <w:jc w:val="left"/>
            </w:pPr>
            <w:r>
              <w:rPr>
                <w:sz w:val="22"/>
                <w:u w:val="single" w:color="000000"/>
              </w:rPr>
              <w:t>ИЗВЕШТАЈИ О СПРОВОЂЕЊУ</w:t>
            </w:r>
            <w:r>
              <w:rPr>
                <w:sz w:val="22"/>
              </w:rPr>
              <w:t xml:space="preserve"> </w:t>
            </w:r>
            <w:r>
              <w:rPr>
                <w:sz w:val="22"/>
                <w:u w:val="single" w:color="000000"/>
              </w:rPr>
              <w:t>ПРЕПОРУКА У ЕРП 2020-2022</w:t>
            </w:r>
            <w:r>
              <w:rPr>
                <w:sz w:val="22"/>
              </w:rPr>
              <w:t xml:space="preserve"> </w:t>
            </w:r>
          </w:p>
        </w:tc>
        <w:tc>
          <w:tcPr>
            <w:tcW w:w="3687"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77" w:lineRule="auto"/>
              <w:ind w:left="113" w:right="0" w:firstLine="0"/>
              <w:jc w:val="left"/>
            </w:pPr>
            <w:r>
              <w:rPr>
                <w:sz w:val="22"/>
                <w:u w:val="single" w:color="000000"/>
              </w:rPr>
              <w:t>ДОПУНА ИЗВЕШТАЈА О</w:t>
            </w:r>
            <w:r>
              <w:rPr>
                <w:sz w:val="22"/>
              </w:rPr>
              <w:t xml:space="preserve"> </w:t>
            </w:r>
            <w:r>
              <w:rPr>
                <w:sz w:val="22"/>
                <w:u w:val="single" w:color="000000"/>
              </w:rPr>
              <w:t>СПРОВОЂЕЊУ ПРЕПОРУКА У</w:t>
            </w:r>
            <w:r>
              <w:rPr>
                <w:sz w:val="22"/>
              </w:rPr>
              <w:t xml:space="preserve"> </w:t>
            </w:r>
          </w:p>
          <w:p w:rsidR="00E8309B" w:rsidRDefault="009D0949">
            <w:pPr>
              <w:spacing w:after="0" w:line="259" w:lineRule="auto"/>
              <w:ind w:left="113" w:right="0" w:firstLine="0"/>
              <w:jc w:val="left"/>
            </w:pPr>
            <w:r>
              <w:rPr>
                <w:sz w:val="22"/>
                <w:u w:val="single" w:color="000000"/>
              </w:rPr>
              <w:t>ЕРП 2021-2023</w:t>
            </w:r>
            <w:r>
              <w:rPr>
                <w:sz w:val="22"/>
              </w:rPr>
              <w:t xml:space="preserve"> </w:t>
            </w:r>
          </w:p>
        </w:tc>
      </w:tr>
      <w:tr w:rsidR="00E8309B">
        <w:trPr>
          <w:trHeight w:val="1022"/>
        </w:trPr>
        <w:tc>
          <w:tcPr>
            <w:tcW w:w="2831" w:type="dxa"/>
            <w:tcBorders>
              <w:top w:val="single" w:sz="4" w:space="0" w:color="000000"/>
              <w:left w:val="single" w:sz="4" w:space="0" w:color="000000"/>
              <w:bottom w:val="single" w:sz="4" w:space="0" w:color="000000"/>
              <w:right w:val="single" w:sz="4" w:space="0" w:color="000000"/>
            </w:tcBorders>
          </w:tcPr>
          <w:p w:rsidR="00E8309B" w:rsidRDefault="00E8309B">
            <w:pPr>
              <w:spacing w:after="160" w:line="259" w:lineRule="auto"/>
              <w:ind w:left="0" w:right="0" w:firstLine="0"/>
              <w:jc w:val="left"/>
            </w:pPr>
          </w:p>
        </w:tc>
        <w:tc>
          <w:tcPr>
            <w:tcW w:w="3828"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53" w:firstLine="0"/>
            </w:pPr>
            <w:r>
              <w:rPr>
                <w:sz w:val="22"/>
              </w:rPr>
              <w:t xml:space="preserve">предлагачи обратили Канцеларији за подршку у њиховом дистрибуирању ка заинтересованој јавности, пре свега цивилном друштву. </w:t>
            </w:r>
          </w:p>
        </w:tc>
        <w:tc>
          <w:tcPr>
            <w:tcW w:w="3687" w:type="dxa"/>
            <w:tcBorders>
              <w:top w:val="single" w:sz="4" w:space="0" w:color="000000"/>
              <w:left w:val="single" w:sz="4" w:space="0" w:color="000000"/>
              <w:bottom w:val="single" w:sz="4" w:space="0" w:color="000000"/>
              <w:right w:val="single" w:sz="4" w:space="0" w:color="000000"/>
            </w:tcBorders>
          </w:tcPr>
          <w:p w:rsidR="00E8309B" w:rsidRDefault="00E8309B">
            <w:pPr>
              <w:spacing w:after="160" w:line="259" w:lineRule="auto"/>
              <w:ind w:left="0" w:right="0" w:firstLine="0"/>
              <w:jc w:val="left"/>
            </w:pPr>
          </w:p>
        </w:tc>
      </w:tr>
      <w:tr w:rsidR="00E8309B">
        <w:trPr>
          <w:trHeight w:val="382"/>
        </w:trPr>
        <w:tc>
          <w:tcPr>
            <w:tcW w:w="2831"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113" w:right="0" w:firstLine="0"/>
              <w:jc w:val="left"/>
            </w:pPr>
            <w:r>
              <w:rPr>
                <w:b/>
                <w:sz w:val="22"/>
                <w:u w:val="single" w:color="000000"/>
              </w:rPr>
              <w:t>Препорука 5:</w:t>
            </w:r>
            <w:r>
              <w:rPr>
                <w:b/>
                <w:sz w:val="22"/>
              </w:rPr>
              <w:t xml:space="preserve"> </w:t>
            </w:r>
          </w:p>
        </w:tc>
        <w:tc>
          <w:tcPr>
            <w:tcW w:w="3828"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113" w:right="0" w:firstLine="0"/>
              <w:jc w:val="left"/>
            </w:pPr>
            <w:r>
              <w:rPr>
                <w:sz w:val="22"/>
              </w:rPr>
              <w:t xml:space="preserve"> </w:t>
            </w:r>
          </w:p>
        </w:tc>
        <w:tc>
          <w:tcPr>
            <w:tcW w:w="3687"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113" w:right="0" w:firstLine="0"/>
              <w:jc w:val="left"/>
            </w:pPr>
            <w:r>
              <w:rPr>
                <w:sz w:val="22"/>
              </w:rPr>
              <w:t xml:space="preserve"> </w:t>
            </w:r>
          </w:p>
        </w:tc>
      </w:tr>
      <w:tr w:rsidR="00E8309B">
        <w:trPr>
          <w:trHeight w:val="9119"/>
        </w:trPr>
        <w:tc>
          <w:tcPr>
            <w:tcW w:w="2831"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53" w:firstLine="0"/>
            </w:pPr>
            <w:r>
              <w:rPr>
                <w:b/>
                <w:sz w:val="22"/>
              </w:rPr>
              <w:t xml:space="preserve">Постепено усклађивати тарифе електричне енергије како би одражавале стварне трошкове, укључујући трошкове неопходног одржавања и инвестиција за унапређење енергетске мреже и испуњавање еколошких стандарда и климатских циљева. </w:t>
            </w:r>
          </w:p>
        </w:tc>
        <w:tc>
          <w:tcPr>
            <w:tcW w:w="3828" w:type="dxa"/>
            <w:tcBorders>
              <w:top w:val="single" w:sz="4" w:space="0" w:color="000000"/>
              <w:left w:val="single" w:sz="4" w:space="0" w:color="000000"/>
              <w:bottom w:val="single" w:sz="4" w:space="0" w:color="000000"/>
              <w:right w:val="single" w:sz="4" w:space="0" w:color="000000"/>
            </w:tcBorders>
          </w:tcPr>
          <w:p w:rsidR="00E8309B" w:rsidRDefault="009D0949">
            <w:pPr>
              <w:spacing w:after="2" w:line="237" w:lineRule="auto"/>
              <w:ind w:left="113" w:right="165" w:firstLine="0"/>
            </w:pPr>
            <w:r>
              <w:rPr>
                <w:sz w:val="22"/>
              </w:rPr>
              <w:t>Важећа методологија за одређи</w:t>
            </w:r>
            <w:r>
              <w:rPr>
                <w:sz w:val="22"/>
              </w:rPr>
              <w:t>вање цене приступа систему за пренос и дистрибуцију електричне енергије већ предвиђа да се цена приступа преносном и дистрибутивном систему електричне енергије одређује тако да обезбеди надокнаду оправданих трошкова пословања, као и одговарајући поврат ефи</w:t>
            </w:r>
            <w:r>
              <w:rPr>
                <w:sz w:val="22"/>
              </w:rPr>
              <w:t xml:space="preserve">касно уложених средстава у области преноса и дистрибуције електричне енергије и управљања дистрибутивним системом како би се обезбедила краткорочна и дугорочна сигурност снабдевања, односно одрживи развој система. У оквиру надлежности и активности </w:t>
            </w:r>
          </w:p>
          <w:p w:rsidR="00E8309B" w:rsidRDefault="009D0949">
            <w:pPr>
              <w:spacing w:after="0" w:line="259" w:lineRule="auto"/>
              <w:ind w:left="113" w:right="165" w:firstLine="0"/>
            </w:pPr>
            <w:r>
              <w:rPr>
                <w:sz w:val="22"/>
              </w:rPr>
              <w:t>Агенциј</w:t>
            </w:r>
            <w:r>
              <w:rPr>
                <w:sz w:val="22"/>
              </w:rPr>
              <w:t>е за енергетику Републике Србије, као регулаторног тела, јесте да на основу објективног сагледавања свих елемената који утичу на цену приступа систему за пренос и дистрибуцију електричне енергије, одлучује о потреби корекције утврђене цене приступа систему</w:t>
            </w:r>
            <w:r>
              <w:rPr>
                <w:sz w:val="22"/>
              </w:rPr>
              <w:t>. Просечна цена електричне енергије за купце који имају право на гарантовану снабдевање по регулисаним ценама (домаћинства и мали купци) је 7,3 динара/кWh, без пореза и накнада, и за 3,9% је виша од тренутне просечне цене. Нова цена за гарантовано снабдева</w:t>
            </w:r>
            <w:r>
              <w:rPr>
                <w:sz w:val="22"/>
              </w:rPr>
              <w:t xml:space="preserve">ње се примењује од 1. децембра 2019. </w:t>
            </w:r>
          </w:p>
        </w:tc>
        <w:tc>
          <w:tcPr>
            <w:tcW w:w="3687" w:type="dxa"/>
            <w:tcBorders>
              <w:top w:val="single" w:sz="4" w:space="0" w:color="000000"/>
              <w:left w:val="single" w:sz="4" w:space="0" w:color="000000"/>
              <w:bottom w:val="single" w:sz="4" w:space="0" w:color="000000"/>
              <w:right w:val="single" w:sz="4" w:space="0" w:color="000000"/>
            </w:tcBorders>
          </w:tcPr>
          <w:p w:rsidR="00E8309B" w:rsidRDefault="009D0949">
            <w:pPr>
              <w:spacing w:after="81" w:line="259" w:lineRule="auto"/>
              <w:ind w:left="0" w:right="0" w:firstLine="0"/>
              <w:jc w:val="left"/>
            </w:pPr>
            <w:r>
              <w:rPr>
                <w:sz w:val="22"/>
              </w:rPr>
              <w:t xml:space="preserve">Препорука је спроведена. </w:t>
            </w:r>
          </w:p>
          <w:p w:rsidR="00E8309B" w:rsidRDefault="009D0949">
            <w:pPr>
              <w:spacing w:after="55" w:line="241" w:lineRule="auto"/>
              <w:ind w:left="0" w:right="53" w:firstLine="0"/>
            </w:pPr>
            <w:r>
              <w:rPr>
                <w:sz w:val="22"/>
              </w:rPr>
              <w:t xml:space="preserve">Повећане </w:t>
            </w:r>
            <w:r>
              <w:rPr>
                <w:sz w:val="22"/>
              </w:rPr>
              <w:t>су: цена приступа и коришћења преносног система за 10%, цена приступа и коришћења дистрибутивног система за 5,5% и цена електричне енергије за гарантовано снабдевање за 3,4 % (које у потпуности покрива повећање цене приступа систему преноса и дистрибуције)</w:t>
            </w:r>
            <w:r>
              <w:rPr>
                <w:sz w:val="22"/>
              </w:rPr>
              <w:t xml:space="preserve">. Нове цене ће се примењивати почев од 1. фебруара 2021. године. </w:t>
            </w:r>
          </w:p>
          <w:p w:rsidR="00E8309B" w:rsidRDefault="009D0949">
            <w:pPr>
              <w:spacing w:after="53" w:line="245" w:lineRule="auto"/>
              <w:ind w:left="0" w:right="56" w:firstLine="0"/>
            </w:pPr>
            <w:r>
              <w:rPr>
                <w:sz w:val="22"/>
              </w:rPr>
              <w:t xml:space="preserve">Просечна цена електричне енергије за купце који имају право на гарантовано снабдевање по регулисаним ценама (домаћинства и мали купци), без пореза и такси износиће 7,867 дин/kWh. </w:t>
            </w:r>
          </w:p>
          <w:p w:rsidR="00E8309B" w:rsidRDefault="009D0949">
            <w:pPr>
              <w:spacing w:after="50" w:line="248" w:lineRule="auto"/>
              <w:ind w:left="0" w:right="54" w:firstLine="0"/>
            </w:pPr>
            <w:r>
              <w:rPr>
                <w:sz w:val="22"/>
              </w:rPr>
              <w:t xml:space="preserve">Такође, Влада РС је 18.12.2020. године усвојила Уредбу o висини посебне накнаде за подстицај повлашћених произвођача електричне енергије у 2021. години, којом је висина ове накнаде повећана на 0,437 дин/kWh. </w:t>
            </w:r>
          </w:p>
          <w:p w:rsidR="00E8309B" w:rsidRDefault="009D0949">
            <w:pPr>
              <w:spacing w:after="0" w:line="259" w:lineRule="auto"/>
              <w:ind w:left="0" w:right="54" w:firstLine="0"/>
            </w:pPr>
            <w:r>
              <w:rPr>
                <w:sz w:val="22"/>
              </w:rPr>
              <w:t>Повећање цене електричне енергије за гарантован</w:t>
            </w:r>
            <w:r>
              <w:rPr>
                <w:sz w:val="22"/>
              </w:rPr>
              <w:t>о снабдевање и накнаде за подстицај повлашћених произвођача електричне енергије условиће укупно повећање рачуна просечног купца на гарантованом снабдевању за 7,9%.</w:t>
            </w:r>
            <w:r>
              <w:t xml:space="preserve"> </w:t>
            </w:r>
          </w:p>
        </w:tc>
      </w:tr>
      <w:tr w:rsidR="00E8309B">
        <w:trPr>
          <w:trHeight w:val="3046"/>
        </w:trPr>
        <w:tc>
          <w:tcPr>
            <w:tcW w:w="2831" w:type="dxa"/>
            <w:tcBorders>
              <w:top w:val="single" w:sz="4" w:space="0" w:color="000000"/>
              <w:left w:val="single" w:sz="4" w:space="0" w:color="000000"/>
              <w:bottom w:val="single" w:sz="4" w:space="0" w:color="000000"/>
              <w:right w:val="single" w:sz="4" w:space="0" w:color="000000"/>
            </w:tcBorders>
          </w:tcPr>
          <w:p w:rsidR="00E8309B" w:rsidRDefault="009D0949">
            <w:pPr>
              <w:spacing w:after="31" w:line="251" w:lineRule="auto"/>
              <w:ind w:left="0" w:right="8" w:firstLine="0"/>
              <w:jc w:val="left"/>
            </w:pPr>
            <w:r>
              <w:rPr>
                <w:b/>
                <w:sz w:val="22"/>
              </w:rPr>
              <w:lastRenderedPageBreak/>
              <w:t xml:space="preserve">Финализирати раздвајање енергетских предузећа у државном власништву: </w:t>
            </w:r>
          </w:p>
          <w:p w:rsidR="00E8309B" w:rsidRDefault="009D0949">
            <w:pPr>
              <w:spacing w:after="0" w:line="238" w:lineRule="auto"/>
              <w:ind w:left="0" w:right="0" w:firstLine="0"/>
              <w:jc w:val="left"/>
            </w:pPr>
            <w:r>
              <w:rPr>
                <w:b/>
                <w:sz w:val="22"/>
              </w:rPr>
              <w:t>- у потпуности спров</w:t>
            </w:r>
            <w:r>
              <w:rPr>
                <w:b/>
                <w:sz w:val="22"/>
              </w:rPr>
              <w:t xml:space="preserve">ести дуго одлагано раздвајање Србијагаса и </w:t>
            </w:r>
          </w:p>
          <w:p w:rsidR="00E8309B" w:rsidRDefault="009D0949">
            <w:pPr>
              <w:spacing w:after="22" w:line="259" w:lineRule="auto"/>
              <w:ind w:left="0" w:right="0" w:firstLine="0"/>
              <w:jc w:val="left"/>
            </w:pPr>
            <w:r>
              <w:rPr>
                <w:b/>
                <w:sz w:val="22"/>
              </w:rPr>
              <w:t xml:space="preserve">Електромреже Србије </w:t>
            </w:r>
          </w:p>
          <w:p w:rsidR="00E8309B" w:rsidRDefault="009D0949">
            <w:pPr>
              <w:spacing w:after="0" w:line="259" w:lineRule="auto"/>
              <w:ind w:left="0" w:right="1191" w:firstLine="0"/>
              <w:jc w:val="left"/>
            </w:pPr>
            <w:r>
              <w:rPr>
                <w:b/>
                <w:sz w:val="22"/>
              </w:rPr>
              <w:t xml:space="preserve">(ЕМС), - довршити функционално раздвајање </w:t>
            </w:r>
          </w:p>
        </w:tc>
        <w:tc>
          <w:tcPr>
            <w:tcW w:w="3828"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53" w:firstLine="0"/>
            </w:pPr>
            <w:r>
              <w:rPr>
                <w:b/>
                <w:sz w:val="22"/>
              </w:rPr>
              <w:t>Функционално раздвајање оператора преносног система електричне енергије (ЕМС) је завршено. АД ЕМС је сертификован, као оператор преносног система, од стране Агенције за енергетику Републике Србије, још од 2017. године, у складу са одредбама Закона о енерге</w:t>
            </w:r>
            <w:r>
              <w:rPr>
                <w:b/>
                <w:sz w:val="22"/>
              </w:rPr>
              <w:t xml:space="preserve">тици. </w:t>
            </w:r>
            <w:r>
              <w:rPr>
                <w:sz w:val="22"/>
              </w:rPr>
              <w:t xml:space="preserve">Правно раздвајање енергетских предузећа у области електричне енергије је окончано. Завршено је </w:t>
            </w:r>
          </w:p>
        </w:tc>
        <w:tc>
          <w:tcPr>
            <w:tcW w:w="3687" w:type="dxa"/>
            <w:tcBorders>
              <w:top w:val="single" w:sz="4" w:space="0" w:color="000000"/>
              <w:left w:val="single" w:sz="4" w:space="0" w:color="000000"/>
              <w:bottom w:val="single" w:sz="4" w:space="0" w:color="000000"/>
              <w:right w:val="single" w:sz="4" w:space="0" w:color="000000"/>
            </w:tcBorders>
          </w:tcPr>
          <w:p w:rsidR="00E8309B" w:rsidRDefault="009D0949">
            <w:pPr>
              <w:spacing w:after="38" w:line="259" w:lineRule="auto"/>
              <w:ind w:left="0" w:right="0" w:firstLine="0"/>
              <w:jc w:val="left"/>
            </w:pPr>
            <w:r>
              <w:rPr>
                <w:sz w:val="22"/>
              </w:rPr>
              <w:t xml:space="preserve">Спровођење препоруке је у току. </w:t>
            </w:r>
          </w:p>
          <w:p w:rsidR="00E8309B" w:rsidRDefault="009D0949">
            <w:pPr>
              <w:spacing w:after="0" w:line="259" w:lineRule="auto"/>
              <w:ind w:left="0" w:right="53" w:firstLine="0"/>
            </w:pPr>
            <w:r>
              <w:rPr>
                <w:sz w:val="22"/>
              </w:rPr>
              <w:t xml:space="preserve">Функционално раздвајање АД Електромрежа Србије оператора преносног система електричне енергије (ЕМС) је завршено. АД ЕМС </w:t>
            </w:r>
            <w:r>
              <w:rPr>
                <w:sz w:val="22"/>
              </w:rPr>
              <w:t xml:space="preserve">је сертификован, као оператор преносног система., од стране Агенције за енергетику Републике Србије, још од 2017. године, у складу са одредбама Закона о енергетици. </w:t>
            </w:r>
          </w:p>
        </w:tc>
      </w:tr>
    </w:tbl>
    <w:p w:rsidR="00E8309B" w:rsidRDefault="00E8309B">
      <w:pPr>
        <w:spacing w:after="0" w:line="259" w:lineRule="auto"/>
        <w:ind w:left="-1133" w:right="10799" w:firstLine="0"/>
        <w:jc w:val="left"/>
      </w:pPr>
    </w:p>
    <w:tbl>
      <w:tblPr>
        <w:tblStyle w:val="TableGrid"/>
        <w:tblW w:w="10346" w:type="dxa"/>
        <w:tblInd w:w="-351" w:type="dxa"/>
        <w:tblCellMar>
          <w:top w:w="51" w:type="dxa"/>
          <w:left w:w="108" w:type="dxa"/>
          <w:bottom w:w="0" w:type="dxa"/>
          <w:right w:w="53" w:type="dxa"/>
        </w:tblCellMar>
        <w:tblLook w:val="04A0" w:firstRow="1" w:lastRow="0" w:firstColumn="1" w:lastColumn="0" w:noHBand="0" w:noVBand="1"/>
      </w:tblPr>
      <w:tblGrid>
        <w:gridCol w:w="2831"/>
        <w:gridCol w:w="3828"/>
        <w:gridCol w:w="3687"/>
      </w:tblGrid>
      <w:tr w:rsidR="00E8309B">
        <w:trPr>
          <w:trHeight w:val="891"/>
        </w:trPr>
        <w:tc>
          <w:tcPr>
            <w:tcW w:w="2831"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77" w:lineRule="auto"/>
              <w:ind w:left="113" w:right="0" w:firstLine="0"/>
            </w:pPr>
            <w:r>
              <w:rPr>
                <w:sz w:val="22"/>
                <w:u w:val="single" w:color="000000"/>
              </w:rPr>
              <w:t>ПРЕПОРУКА ЕКОФИН</w:t>
            </w:r>
            <w:r>
              <w:rPr>
                <w:sz w:val="22"/>
              </w:rPr>
              <w:t xml:space="preserve"> </w:t>
            </w:r>
            <w:r>
              <w:rPr>
                <w:sz w:val="22"/>
                <w:u w:val="single" w:color="000000"/>
              </w:rPr>
              <w:t>Савета из маја 2019.</w:t>
            </w:r>
            <w:r>
              <w:rPr>
                <w:sz w:val="22"/>
              </w:rPr>
              <w:t xml:space="preserve"> </w:t>
            </w:r>
          </w:p>
          <w:p w:rsidR="00E8309B" w:rsidRDefault="009D0949">
            <w:pPr>
              <w:spacing w:after="0" w:line="259" w:lineRule="auto"/>
              <w:ind w:left="113" w:right="0" w:firstLine="0"/>
              <w:jc w:val="left"/>
            </w:pPr>
            <w:r>
              <w:rPr>
                <w:sz w:val="22"/>
                <w:u w:val="single" w:color="000000"/>
              </w:rPr>
              <w:t>године</w:t>
            </w:r>
            <w:r>
              <w:rPr>
                <w:sz w:val="22"/>
              </w:rPr>
              <w:t xml:space="preserve"> </w:t>
            </w:r>
          </w:p>
        </w:tc>
        <w:tc>
          <w:tcPr>
            <w:tcW w:w="3828"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113" w:right="0" w:firstLine="0"/>
              <w:jc w:val="left"/>
            </w:pPr>
            <w:r>
              <w:rPr>
                <w:sz w:val="22"/>
                <w:u w:val="single" w:color="000000"/>
              </w:rPr>
              <w:t>ИЗВЕШТАЈИ О СПРОВОЂЕЊУ</w:t>
            </w:r>
            <w:r>
              <w:rPr>
                <w:sz w:val="22"/>
              </w:rPr>
              <w:t xml:space="preserve"> </w:t>
            </w:r>
            <w:r>
              <w:rPr>
                <w:sz w:val="22"/>
                <w:u w:val="single" w:color="000000"/>
              </w:rPr>
              <w:t xml:space="preserve">ПРЕПОРУКА </w:t>
            </w:r>
            <w:r>
              <w:rPr>
                <w:sz w:val="22"/>
                <w:u w:val="single" w:color="000000"/>
              </w:rPr>
              <w:t>У ЕРП 2020-2022</w:t>
            </w:r>
            <w:r>
              <w:rPr>
                <w:sz w:val="22"/>
              </w:rPr>
              <w:t xml:space="preserve"> </w:t>
            </w:r>
          </w:p>
        </w:tc>
        <w:tc>
          <w:tcPr>
            <w:tcW w:w="3687"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77" w:lineRule="auto"/>
              <w:ind w:left="113" w:right="0" w:firstLine="0"/>
              <w:jc w:val="left"/>
            </w:pPr>
            <w:r>
              <w:rPr>
                <w:sz w:val="22"/>
                <w:u w:val="single" w:color="000000"/>
              </w:rPr>
              <w:t>ДОПУНА ИЗВЕШТАЈА О</w:t>
            </w:r>
            <w:r>
              <w:rPr>
                <w:sz w:val="22"/>
              </w:rPr>
              <w:t xml:space="preserve"> </w:t>
            </w:r>
            <w:r>
              <w:rPr>
                <w:sz w:val="22"/>
                <w:u w:val="single" w:color="000000"/>
              </w:rPr>
              <w:t>СПРОВОЂЕЊУ ПРЕПОРУКА У</w:t>
            </w:r>
            <w:r>
              <w:rPr>
                <w:sz w:val="22"/>
              </w:rPr>
              <w:t xml:space="preserve"> </w:t>
            </w:r>
          </w:p>
          <w:p w:rsidR="00E8309B" w:rsidRDefault="009D0949">
            <w:pPr>
              <w:spacing w:after="0" w:line="259" w:lineRule="auto"/>
              <w:ind w:left="113" w:right="0" w:firstLine="0"/>
              <w:jc w:val="left"/>
            </w:pPr>
            <w:r>
              <w:rPr>
                <w:sz w:val="22"/>
                <w:u w:val="single" w:color="000000"/>
              </w:rPr>
              <w:t>ЕРП 2021-2023</w:t>
            </w:r>
            <w:r>
              <w:rPr>
                <w:sz w:val="22"/>
              </w:rPr>
              <w:t xml:space="preserve"> </w:t>
            </w:r>
          </w:p>
        </w:tc>
      </w:tr>
      <w:tr w:rsidR="00E8309B">
        <w:trPr>
          <w:trHeight w:val="10384"/>
        </w:trPr>
        <w:tc>
          <w:tcPr>
            <w:tcW w:w="2831"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0" w:firstLine="0"/>
              <w:jc w:val="left"/>
            </w:pPr>
            <w:r>
              <w:rPr>
                <w:b/>
                <w:sz w:val="22"/>
              </w:rPr>
              <w:lastRenderedPageBreak/>
              <w:t xml:space="preserve">Електропривреде Србије (ЕПС-а) на одговарајући начин, </w:t>
            </w:r>
          </w:p>
        </w:tc>
        <w:tc>
          <w:tcPr>
            <w:tcW w:w="3828"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41" w:lineRule="auto"/>
              <w:ind w:left="0" w:right="54" w:firstLine="0"/>
            </w:pPr>
            <w:r>
              <w:rPr>
                <w:sz w:val="22"/>
              </w:rPr>
              <w:t>правно раздвајање ЈП ЕПС и ОДС ЕПС Дистрибуција, а што се тиче функционалног раздвајања ЈП ЕПС је донео статут, а оснивачки акт ОДС ЕПС Дистрибуција је усклађен и усвојен. Када Влада Републике Србије да сагласност на овај документ, и када он ступи на снагу</w:t>
            </w:r>
            <w:r>
              <w:rPr>
                <w:sz w:val="22"/>
              </w:rPr>
              <w:t xml:space="preserve">, створиће се услови за потпуно правно и функционално раздвајање оператера дистрибутивног система. </w:t>
            </w:r>
          </w:p>
          <w:p w:rsidR="00E8309B" w:rsidRDefault="009D0949">
            <w:pPr>
              <w:spacing w:after="0" w:line="237" w:lineRule="auto"/>
              <w:ind w:left="0" w:right="54" w:firstLine="0"/>
            </w:pPr>
            <w:r>
              <w:rPr>
                <w:sz w:val="22"/>
              </w:rPr>
              <w:t>ЈП СРБИЈАГАС је у протеклом периоду наставио континуиране активности на спровођењу раздвајања енергетских делатности у смислу стварања пословно финансијских</w:t>
            </w:r>
            <w:r>
              <w:rPr>
                <w:sz w:val="22"/>
              </w:rPr>
              <w:t xml:space="preserve"> и техничких предуслова за функционално и одрживо функционисање раздвојених енергетских субјеката у условима отвореног тржишта, све у складу са одлукама и препорукама </w:t>
            </w:r>
          </w:p>
          <w:p w:rsidR="00E8309B" w:rsidRDefault="009D0949">
            <w:pPr>
              <w:spacing w:after="0" w:line="248" w:lineRule="auto"/>
              <w:ind w:left="0" w:right="54" w:firstLine="0"/>
            </w:pPr>
            <w:r>
              <w:rPr>
                <w:sz w:val="22"/>
              </w:rPr>
              <w:t>Међународног Монетарног Фонда и Светске банке, Закључцима ИПА 2013 консултанта за технич</w:t>
            </w:r>
            <w:r>
              <w:rPr>
                <w:sz w:val="22"/>
              </w:rPr>
              <w:t xml:space="preserve">ку помоћ, као и Секретаријата Енергетске заједнице (захтев за системом телеметрије). </w:t>
            </w:r>
          </w:p>
          <w:p w:rsidR="00E8309B" w:rsidRDefault="009D0949">
            <w:pPr>
              <w:spacing w:after="0" w:line="259" w:lineRule="auto"/>
              <w:ind w:left="0" w:right="51" w:firstLine="0"/>
            </w:pPr>
            <w:r>
              <w:rPr>
                <w:sz w:val="22"/>
              </w:rPr>
              <w:t>У том смислу, ЈП СРБИЈАГАС је у поступку набавке система телеметрије и потребне мерне платформе. У сарадњи са Министарством рударства и енергетике, Министарством за европ</w:t>
            </w:r>
            <w:r>
              <w:rPr>
                <w:sz w:val="22"/>
              </w:rPr>
              <w:t>ске интеграције и Делегацијом ЕУ у Србији, кроз механизам неалоцираних ИПА средстава,  у току су разговори о могућности обезбеђивања финансирања интервенције: "Metering equipment for TSO Srbijagas“ и "Code Operation Platform“ из неалоцираних ИПА средстава.</w:t>
            </w:r>
            <w:r>
              <w:rPr>
                <w:sz w:val="22"/>
              </w:rPr>
              <w:t xml:space="preserve"> </w:t>
            </w:r>
          </w:p>
        </w:tc>
        <w:tc>
          <w:tcPr>
            <w:tcW w:w="3687" w:type="dxa"/>
            <w:tcBorders>
              <w:top w:val="single" w:sz="4" w:space="0" w:color="000000"/>
              <w:left w:val="single" w:sz="4" w:space="0" w:color="000000"/>
              <w:bottom w:val="single" w:sz="4" w:space="0" w:color="000000"/>
              <w:right w:val="single" w:sz="4" w:space="0" w:color="000000"/>
            </w:tcBorders>
          </w:tcPr>
          <w:p w:rsidR="00E8309B" w:rsidRDefault="009D0949">
            <w:pPr>
              <w:spacing w:after="38" w:line="257" w:lineRule="auto"/>
              <w:ind w:left="0" w:right="57" w:firstLine="0"/>
            </w:pPr>
            <w:r>
              <w:rPr>
                <w:sz w:val="22"/>
              </w:rPr>
              <w:t xml:space="preserve">Правно раздвајање енергетских предузећа у области електричне енергије је окончано.  </w:t>
            </w:r>
          </w:p>
          <w:p w:rsidR="00E8309B" w:rsidRDefault="009D0949">
            <w:pPr>
              <w:spacing w:after="0" w:line="238" w:lineRule="auto"/>
              <w:ind w:left="0" w:right="55" w:firstLine="0"/>
            </w:pPr>
            <w:r>
              <w:rPr>
                <w:sz w:val="22"/>
              </w:rPr>
              <w:t xml:space="preserve">Поступак раздвајања ЈП ЕПС и ОДС ЕПС је у току и одвијаће се у складу са закључком Владе од 17. децембра 2020. године, прихваћеним Планом за спровођење активности у циљу реорганизације „ЕПС Дистрибуције“, Београд. </w:t>
            </w:r>
          </w:p>
          <w:p w:rsidR="00E8309B" w:rsidRDefault="009D0949">
            <w:pPr>
              <w:spacing w:after="53" w:line="245" w:lineRule="auto"/>
              <w:ind w:left="0" w:right="54" w:firstLine="0"/>
            </w:pPr>
            <w:r>
              <w:rPr>
                <w:sz w:val="22"/>
              </w:rPr>
              <w:t xml:space="preserve">Реализацијом овог плана ће се обезбедити </w:t>
            </w:r>
            <w:r>
              <w:rPr>
                <w:sz w:val="22"/>
              </w:rPr>
              <w:t xml:space="preserve">независност ОДС у погледу правне форме, организације и одлучивања од ЈП ЕПС и потпуно усклађивање рада са одредбама Закона о енергетици. </w:t>
            </w:r>
          </w:p>
          <w:p w:rsidR="00E8309B" w:rsidRDefault="009D0949">
            <w:pPr>
              <w:spacing w:after="0" w:line="259" w:lineRule="auto"/>
              <w:ind w:left="0" w:right="54" w:firstLine="0"/>
            </w:pPr>
            <w:r>
              <w:rPr>
                <w:sz w:val="22"/>
              </w:rPr>
              <w:t>Закључком од 10. децембра 2020. године Влада је прихватила Извештај о спроведеним активностима у циљу реорганизације Ј</w:t>
            </w:r>
            <w:r>
              <w:rPr>
                <w:sz w:val="22"/>
              </w:rPr>
              <w:t>П „Србијагас” Нови Сад и План за спровођењe активности у циљу реорганизације ЈП „Србијагас” Нови Сад. Наведеним Планом предвиђено је да се поступак реорганизације ЈП Србијагас и његов прелазак у акционарско друштво заврши до маја 2021. године.</w:t>
            </w:r>
            <w:r>
              <w:rPr>
                <w:b/>
                <w:sz w:val="22"/>
              </w:rPr>
              <w:t xml:space="preserve"> </w:t>
            </w:r>
          </w:p>
        </w:tc>
      </w:tr>
      <w:tr w:rsidR="00E8309B">
        <w:trPr>
          <w:trHeight w:val="3106"/>
        </w:trPr>
        <w:tc>
          <w:tcPr>
            <w:tcW w:w="2831"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0" w:firstLine="0"/>
              <w:jc w:val="left"/>
            </w:pPr>
            <w:r>
              <w:rPr>
                <w:b/>
                <w:sz w:val="22"/>
              </w:rPr>
              <w:t>- омогућит</w:t>
            </w:r>
            <w:r>
              <w:rPr>
                <w:b/>
                <w:sz w:val="22"/>
              </w:rPr>
              <w:t xml:space="preserve">и трећој страни приступ </w:t>
            </w:r>
            <w:r>
              <w:rPr>
                <w:b/>
                <w:sz w:val="22"/>
              </w:rPr>
              <w:tab/>
              <w:t xml:space="preserve">гасној инфраструктури. </w:t>
            </w:r>
          </w:p>
        </w:tc>
        <w:tc>
          <w:tcPr>
            <w:tcW w:w="3828"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38" w:lineRule="auto"/>
              <w:ind w:left="0" w:right="55" w:firstLine="0"/>
            </w:pPr>
            <w:r>
              <w:rPr>
                <w:sz w:val="22"/>
              </w:rPr>
              <w:t xml:space="preserve">Од 1. октобра 2019. године, оператер транспортног система „Транспортгас Србија“ ради самостално са више од </w:t>
            </w:r>
          </w:p>
          <w:p w:rsidR="00E8309B" w:rsidRDefault="009D0949">
            <w:pPr>
              <w:spacing w:after="0" w:line="259" w:lineRule="auto"/>
              <w:ind w:left="0" w:right="52" w:firstLine="0"/>
            </w:pPr>
            <w:r>
              <w:rPr>
                <w:sz w:val="22"/>
              </w:rPr>
              <w:t xml:space="preserve">250 запослених. Оператер транспортног система „Транспортгас Србија“ извршио је дислокацију запослених који обављају послове транспорта и управљања транспортним системом на нову локацију, односно на локацију седишта компаније. </w:t>
            </w:r>
          </w:p>
        </w:tc>
        <w:tc>
          <w:tcPr>
            <w:tcW w:w="3687" w:type="dxa"/>
            <w:tcBorders>
              <w:top w:val="single" w:sz="4" w:space="0" w:color="000000"/>
              <w:left w:val="single" w:sz="4" w:space="0" w:color="000000"/>
              <w:bottom w:val="single" w:sz="4" w:space="0" w:color="000000"/>
              <w:right w:val="single" w:sz="4" w:space="0" w:color="000000"/>
            </w:tcBorders>
          </w:tcPr>
          <w:p w:rsidR="00E8309B" w:rsidRDefault="009D0949">
            <w:pPr>
              <w:spacing w:after="96" w:line="243" w:lineRule="auto"/>
              <w:ind w:left="0" w:right="56" w:firstLine="0"/>
            </w:pPr>
            <w:r>
              <w:rPr>
                <w:sz w:val="22"/>
              </w:rPr>
              <w:t>Закључком од 10. децембра 202</w:t>
            </w:r>
            <w:r>
              <w:rPr>
                <w:sz w:val="22"/>
              </w:rPr>
              <w:t xml:space="preserve">0. године Влада је прихватила Извештај о спроведеним активностима у циљу реорганизације ЈП „Србијагас” Нови Сад и План за спровођењe активности у циљу реорганизације ЈП „Србијагас” Нови Сад. </w:t>
            </w:r>
          </w:p>
          <w:p w:rsidR="00E8309B" w:rsidRDefault="009D0949">
            <w:pPr>
              <w:spacing w:after="0" w:line="259" w:lineRule="auto"/>
              <w:ind w:left="0" w:right="55" w:firstLine="0"/>
            </w:pPr>
            <w:r>
              <w:rPr>
                <w:sz w:val="22"/>
              </w:rPr>
              <w:t>Наведеним Планом предвиђено је до маја 2021. године „Транспортга</w:t>
            </w:r>
            <w:r>
              <w:rPr>
                <w:sz w:val="22"/>
              </w:rPr>
              <w:t xml:space="preserve">с Србија“ угради мерне уређаје на преосталим излазима из </w:t>
            </w:r>
          </w:p>
        </w:tc>
      </w:tr>
    </w:tbl>
    <w:p w:rsidR="00E8309B" w:rsidRDefault="00E8309B">
      <w:pPr>
        <w:spacing w:after="0" w:line="259" w:lineRule="auto"/>
        <w:ind w:left="-1133" w:right="10799" w:firstLine="0"/>
        <w:jc w:val="left"/>
      </w:pPr>
    </w:p>
    <w:tbl>
      <w:tblPr>
        <w:tblStyle w:val="TableGrid"/>
        <w:tblW w:w="10346" w:type="dxa"/>
        <w:tblInd w:w="-351" w:type="dxa"/>
        <w:tblCellMar>
          <w:top w:w="7" w:type="dxa"/>
          <w:left w:w="0" w:type="dxa"/>
          <w:bottom w:w="0" w:type="dxa"/>
          <w:right w:w="0" w:type="dxa"/>
        </w:tblCellMar>
        <w:tblLook w:val="04A0" w:firstRow="1" w:lastRow="0" w:firstColumn="1" w:lastColumn="0" w:noHBand="0" w:noVBand="1"/>
      </w:tblPr>
      <w:tblGrid>
        <w:gridCol w:w="1768"/>
        <w:gridCol w:w="756"/>
        <w:gridCol w:w="307"/>
        <w:gridCol w:w="3828"/>
        <w:gridCol w:w="3687"/>
      </w:tblGrid>
      <w:tr w:rsidR="00E8309B">
        <w:trPr>
          <w:trHeight w:val="891"/>
        </w:trPr>
        <w:tc>
          <w:tcPr>
            <w:tcW w:w="2831" w:type="dxa"/>
            <w:gridSpan w:val="3"/>
            <w:tcBorders>
              <w:top w:val="single" w:sz="4" w:space="0" w:color="000000"/>
              <w:left w:val="single" w:sz="4" w:space="0" w:color="000000"/>
              <w:bottom w:val="single" w:sz="4" w:space="0" w:color="000000"/>
              <w:right w:val="single" w:sz="4" w:space="0" w:color="000000"/>
            </w:tcBorders>
          </w:tcPr>
          <w:p w:rsidR="00E8309B" w:rsidRDefault="009D0949">
            <w:pPr>
              <w:spacing w:after="0" w:line="277" w:lineRule="auto"/>
              <w:ind w:left="221" w:right="0" w:firstLine="0"/>
            </w:pPr>
            <w:r>
              <w:rPr>
                <w:sz w:val="22"/>
                <w:u w:val="single" w:color="000000"/>
              </w:rPr>
              <w:lastRenderedPageBreak/>
              <w:t>ПРЕПОРУКА ЕКОФИН</w:t>
            </w:r>
            <w:r>
              <w:rPr>
                <w:sz w:val="22"/>
              </w:rPr>
              <w:t xml:space="preserve"> </w:t>
            </w:r>
            <w:r>
              <w:rPr>
                <w:sz w:val="22"/>
                <w:u w:val="single" w:color="000000"/>
              </w:rPr>
              <w:t>Савета из маја 2019.</w:t>
            </w:r>
            <w:r>
              <w:rPr>
                <w:sz w:val="22"/>
              </w:rPr>
              <w:t xml:space="preserve"> </w:t>
            </w:r>
          </w:p>
          <w:p w:rsidR="00E8309B" w:rsidRDefault="009D0949">
            <w:pPr>
              <w:spacing w:after="0" w:line="259" w:lineRule="auto"/>
              <w:ind w:left="221" w:right="0" w:firstLine="0"/>
              <w:jc w:val="left"/>
            </w:pPr>
            <w:r>
              <w:rPr>
                <w:sz w:val="22"/>
                <w:u w:val="single" w:color="000000"/>
              </w:rPr>
              <w:t>године</w:t>
            </w:r>
            <w:r>
              <w:rPr>
                <w:sz w:val="22"/>
              </w:rPr>
              <w:t xml:space="preserve"> </w:t>
            </w:r>
          </w:p>
        </w:tc>
        <w:tc>
          <w:tcPr>
            <w:tcW w:w="3828"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221" w:right="0" w:firstLine="0"/>
              <w:jc w:val="left"/>
            </w:pPr>
            <w:r>
              <w:rPr>
                <w:sz w:val="22"/>
                <w:u w:val="single" w:color="000000"/>
              </w:rPr>
              <w:t>ИЗВЕШТАЈИ О СПРОВОЂЕЊУ</w:t>
            </w:r>
            <w:r>
              <w:rPr>
                <w:sz w:val="22"/>
              </w:rPr>
              <w:t xml:space="preserve"> </w:t>
            </w:r>
            <w:r>
              <w:rPr>
                <w:sz w:val="22"/>
                <w:u w:val="single" w:color="000000"/>
              </w:rPr>
              <w:t>ПРЕПОРУКА У ЕРП 2020-2022</w:t>
            </w:r>
            <w:r>
              <w:rPr>
                <w:sz w:val="22"/>
              </w:rPr>
              <w:t xml:space="preserve"> </w:t>
            </w:r>
          </w:p>
        </w:tc>
        <w:tc>
          <w:tcPr>
            <w:tcW w:w="3687"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77" w:lineRule="auto"/>
              <w:ind w:left="221" w:right="0" w:firstLine="0"/>
              <w:jc w:val="left"/>
            </w:pPr>
            <w:r>
              <w:rPr>
                <w:sz w:val="22"/>
                <w:u w:val="single" w:color="000000"/>
              </w:rPr>
              <w:t>ДОПУНА ИЗВЕШТАЈА О</w:t>
            </w:r>
            <w:r>
              <w:rPr>
                <w:sz w:val="22"/>
              </w:rPr>
              <w:t xml:space="preserve"> </w:t>
            </w:r>
            <w:r>
              <w:rPr>
                <w:sz w:val="22"/>
                <w:u w:val="single" w:color="000000"/>
              </w:rPr>
              <w:t>СПРОВОЂЕЊУ ПРЕПОРУКА У</w:t>
            </w:r>
            <w:r>
              <w:rPr>
                <w:sz w:val="22"/>
              </w:rPr>
              <w:t xml:space="preserve"> </w:t>
            </w:r>
          </w:p>
          <w:p w:rsidR="00E8309B" w:rsidRDefault="009D0949">
            <w:pPr>
              <w:spacing w:after="0" w:line="259" w:lineRule="auto"/>
              <w:ind w:left="221" w:right="0" w:firstLine="0"/>
              <w:jc w:val="left"/>
            </w:pPr>
            <w:r>
              <w:rPr>
                <w:sz w:val="22"/>
                <w:u w:val="single" w:color="000000"/>
              </w:rPr>
              <w:t>ЕРП 2021-2023</w:t>
            </w:r>
            <w:r>
              <w:rPr>
                <w:sz w:val="22"/>
              </w:rPr>
              <w:t xml:space="preserve"> </w:t>
            </w:r>
          </w:p>
        </w:tc>
      </w:tr>
      <w:tr w:rsidR="00E8309B">
        <w:trPr>
          <w:trHeight w:val="3553"/>
        </w:trPr>
        <w:tc>
          <w:tcPr>
            <w:tcW w:w="1768" w:type="dxa"/>
            <w:tcBorders>
              <w:top w:val="single" w:sz="4" w:space="0" w:color="000000"/>
              <w:left w:val="single" w:sz="4" w:space="0" w:color="000000"/>
              <w:bottom w:val="single" w:sz="4" w:space="0" w:color="000000"/>
              <w:right w:val="nil"/>
            </w:tcBorders>
          </w:tcPr>
          <w:p w:rsidR="00E8309B" w:rsidRDefault="00E8309B">
            <w:pPr>
              <w:spacing w:after="160" w:line="259" w:lineRule="auto"/>
              <w:ind w:left="0" w:right="0" w:firstLine="0"/>
              <w:jc w:val="left"/>
            </w:pPr>
          </w:p>
        </w:tc>
        <w:tc>
          <w:tcPr>
            <w:tcW w:w="1062" w:type="dxa"/>
            <w:gridSpan w:val="2"/>
            <w:tcBorders>
              <w:top w:val="single" w:sz="4" w:space="0" w:color="000000"/>
              <w:left w:val="nil"/>
              <w:bottom w:val="single" w:sz="4" w:space="0" w:color="000000"/>
              <w:right w:val="single" w:sz="4" w:space="0" w:color="000000"/>
            </w:tcBorders>
          </w:tcPr>
          <w:p w:rsidR="00E8309B" w:rsidRDefault="00E8309B">
            <w:pPr>
              <w:spacing w:after="160" w:line="259" w:lineRule="auto"/>
              <w:ind w:left="0" w:right="0" w:firstLine="0"/>
              <w:jc w:val="left"/>
            </w:pPr>
          </w:p>
        </w:tc>
        <w:tc>
          <w:tcPr>
            <w:tcW w:w="3828"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45" w:lineRule="auto"/>
              <w:ind w:left="108" w:right="107" w:firstLine="0"/>
            </w:pPr>
            <w:r>
              <w:rPr>
                <w:sz w:val="22"/>
              </w:rPr>
              <w:t>У току је регулисање пословних односа између ЈП „Србијагас“ и „Транспортгас Србија“. Потписан је Уговор о закупу капацитета на годишњем и месечном нивоу, као и Уговор о закупу којим се уређује закуп имовине ради обављања делатности транспортног система при</w:t>
            </w:r>
            <w:r>
              <w:rPr>
                <w:sz w:val="22"/>
              </w:rPr>
              <w:t xml:space="preserve">родног гаса. У припреми је Уговор о испоруци природног гаса за потребе транспортног система. </w:t>
            </w:r>
          </w:p>
          <w:p w:rsidR="00E8309B" w:rsidRDefault="009D0949">
            <w:pPr>
              <w:spacing w:after="0" w:line="259" w:lineRule="auto"/>
              <w:ind w:left="108" w:right="107" w:firstLine="0"/>
            </w:pPr>
            <w:r>
              <w:rPr>
                <w:sz w:val="22"/>
              </w:rPr>
              <w:t xml:space="preserve">Предстоји даље усаглашавање и припрема низа аката потребних за оперативни рад нових компанија. </w:t>
            </w:r>
          </w:p>
        </w:tc>
        <w:tc>
          <w:tcPr>
            <w:tcW w:w="3687"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108" w:right="110" w:firstLine="0"/>
            </w:pPr>
            <w:r>
              <w:rPr>
                <w:sz w:val="22"/>
              </w:rPr>
              <w:t>транспортног система и објави јавни позив за закуп капацитета у по</w:t>
            </w:r>
            <w:r>
              <w:rPr>
                <w:sz w:val="22"/>
              </w:rPr>
              <w:t xml:space="preserve">тпуности усклади свој рад са Законом о енергетици. </w:t>
            </w:r>
          </w:p>
        </w:tc>
      </w:tr>
      <w:tr w:rsidR="00E8309B">
        <w:trPr>
          <w:trHeight w:val="382"/>
        </w:trPr>
        <w:tc>
          <w:tcPr>
            <w:tcW w:w="1768" w:type="dxa"/>
            <w:tcBorders>
              <w:top w:val="single" w:sz="4" w:space="0" w:color="000000"/>
              <w:left w:val="single" w:sz="4" w:space="0" w:color="000000"/>
              <w:bottom w:val="single" w:sz="4" w:space="0" w:color="000000"/>
              <w:right w:val="nil"/>
            </w:tcBorders>
          </w:tcPr>
          <w:p w:rsidR="00E8309B" w:rsidRDefault="009D0949">
            <w:pPr>
              <w:spacing w:after="0" w:line="259" w:lineRule="auto"/>
              <w:ind w:left="9" w:right="0" w:firstLine="0"/>
              <w:jc w:val="center"/>
            </w:pPr>
            <w:r>
              <w:rPr>
                <w:b/>
                <w:sz w:val="22"/>
                <w:u w:val="single" w:color="000000"/>
              </w:rPr>
              <w:t>Препорука 6:</w:t>
            </w:r>
            <w:r>
              <w:rPr>
                <w:b/>
                <w:sz w:val="22"/>
              </w:rPr>
              <w:t xml:space="preserve"> </w:t>
            </w:r>
          </w:p>
        </w:tc>
        <w:tc>
          <w:tcPr>
            <w:tcW w:w="1062" w:type="dxa"/>
            <w:gridSpan w:val="2"/>
            <w:tcBorders>
              <w:top w:val="single" w:sz="4" w:space="0" w:color="000000"/>
              <w:left w:val="nil"/>
              <w:bottom w:val="single" w:sz="4" w:space="0" w:color="000000"/>
              <w:right w:val="single" w:sz="4" w:space="0" w:color="000000"/>
            </w:tcBorders>
          </w:tcPr>
          <w:p w:rsidR="00E8309B" w:rsidRDefault="00E8309B">
            <w:pPr>
              <w:spacing w:after="160" w:line="259" w:lineRule="auto"/>
              <w:ind w:left="0" w:right="0" w:firstLine="0"/>
              <w:jc w:val="left"/>
            </w:pPr>
          </w:p>
        </w:tc>
        <w:tc>
          <w:tcPr>
            <w:tcW w:w="3828"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221" w:right="0" w:firstLine="0"/>
              <w:jc w:val="left"/>
            </w:pPr>
            <w:r>
              <w:rPr>
                <w:sz w:val="22"/>
              </w:rPr>
              <w:t xml:space="preserve"> </w:t>
            </w:r>
          </w:p>
        </w:tc>
        <w:tc>
          <w:tcPr>
            <w:tcW w:w="3687"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221" w:right="0" w:firstLine="0"/>
              <w:jc w:val="left"/>
            </w:pPr>
            <w:r>
              <w:rPr>
                <w:sz w:val="22"/>
              </w:rPr>
              <w:t xml:space="preserve"> </w:t>
            </w:r>
          </w:p>
        </w:tc>
      </w:tr>
      <w:tr w:rsidR="00E8309B">
        <w:trPr>
          <w:trHeight w:val="7527"/>
        </w:trPr>
        <w:tc>
          <w:tcPr>
            <w:tcW w:w="2524" w:type="dxa"/>
            <w:gridSpan w:val="2"/>
            <w:tcBorders>
              <w:top w:val="single" w:sz="4" w:space="0" w:color="000000"/>
              <w:left w:val="single" w:sz="4" w:space="0" w:color="000000"/>
              <w:bottom w:val="single" w:sz="4" w:space="0" w:color="000000"/>
              <w:right w:val="nil"/>
            </w:tcBorders>
          </w:tcPr>
          <w:p w:rsidR="00E8309B" w:rsidRDefault="009D0949">
            <w:pPr>
              <w:spacing w:after="0" w:line="259" w:lineRule="auto"/>
              <w:ind w:left="108" w:right="-200" w:firstLine="0"/>
            </w:pPr>
            <w:r>
              <w:rPr>
                <w:b/>
                <w:sz w:val="22"/>
              </w:rPr>
              <w:t xml:space="preserve">Значајно повећати финансирање спровођење активних мера на тржишту рада прилагођених потребама незапослених, посебно жена, младих, укључујући и оне који су високо квалификовани. </w:t>
            </w:r>
          </w:p>
        </w:tc>
        <w:tc>
          <w:tcPr>
            <w:tcW w:w="307" w:type="dxa"/>
            <w:tcBorders>
              <w:top w:val="single" w:sz="4" w:space="0" w:color="000000"/>
              <w:left w:val="nil"/>
              <w:bottom w:val="single" w:sz="4" w:space="0" w:color="000000"/>
              <w:right w:val="single" w:sz="4" w:space="0" w:color="000000"/>
            </w:tcBorders>
          </w:tcPr>
          <w:p w:rsidR="00E8309B" w:rsidRDefault="009D0949">
            <w:pPr>
              <w:spacing w:after="0" w:line="259" w:lineRule="auto"/>
              <w:ind w:left="73" w:right="0" w:firstLine="0"/>
            </w:pPr>
            <w:r>
              <w:rPr>
                <w:b/>
                <w:sz w:val="22"/>
              </w:rPr>
              <w:t xml:space="preserve">и </w:t>
            </w:r>
          </w:p>
        </w:tc>
        <w:tc>
          <w:tcPr>
            <w:tcW w:w="3828"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108" w:right="104" w:firstLine="0"/>
            </w:pPr>
            <w:r>
              <w:rPr>
                <w:sz w:val="22"/>
              </w:rPr>
              <w:t>У 2018. години за спровођење мера активне политике запошљавања издвојено је 3,65 милијарди динара, а у 2019. години износ опредељених средстава је увећан и износио је 4 милијарде динара. У Буџетском фонду за професионалну рехабилитацију и запошљавање особа</w:t>
            </w:r>
            <w:r>
              <w:rPr>
                <w:sz w:val="22"/>
              </w:rPr>
              <w:t xml:space="preserve"> са инвалидитетом опредељен је исти износ од 550 милиона динара у обе године. У 2020. години, за спровођење мера активне политике запошљавања пројектован је износ од 3,7 милијарде динара, као и 550 милиона динара из Буџетског фонда за професионалну рехабил</w:t>
            </w:r>
            <w:r>
              <w:rPr>
                <w:sz w:val="22"/>
              </w:rPr>
              <w:t xml:space="preserve">итацију и запошљавање особа са инвалидитетом, што представља смањење у односу на претходне године. </w:t>
            </w:r>
          </w:p>
        </w:tc>
        <w:tc>
          <w:tcPr>
            <w:tcW w:w="3687"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43" w:lineRule="auto"/>
              <w:ind w:left="108" w:right="109" w:firstLine="0"/>
            </w:pPr>
            <w:r>
              <w:rPr>
                <w:sz w:val="22"/>
              </w:rPr>
              <w:t>Програм „Моја прва плата“ спроводи се у сарадњи Владе Републике Србије, Министарства за рад, запошљавање, борачка и социјална питања, Националне службе за з</w:t>
            </w:r>
            <w:r>
              <w:rPr>
                <w:sz w:val="22"/>
              </w:rPr>
              <w:t xml:space="preserve">апошљавање и Привредне коморе Србије, а на основу Уредбе о Програму подстицања запошљавања </w:t>
            </w:r>
          </w:p>
          <w:p w:rsidR="00E8309B" w:rsidRDefault="009D0949">
            <w:pPr>
              <w:spacing w:after="94" w:line="247" w:lineRule="auto"/>
              <w:ind w:left="108" w:right="108" w:firstLine="0"/>
            </w:pPr>
            <w:r>
              <w:rPr>
                <w:sz w:val="22"/>
              </w:rPr>
              <w:t xml:space="preserve">„Моја прва плата“ коју је на предлог МРЗБСП усвојила Влада РС. За реализацију програма обезбеђена су додатна средства у износу од две милијарде динара. </w:t>
            </w:r>
          </w:p>
          <w:p w:rsidR="00E8309B" w:rsidRDefault="009D0949">
            <w:pPr>
              <w:spacing w:after="54" w:line="242" w:lineRule="auto"/>
              <w:ind w:left="108" w:right="107" w:firstLine="0"/>
            </w:pPr>
            <w:r>
              <w:rPr>
                <w:sz w:val="22"/>
              </w:rPr>
              <w:t>Програмом с</w:t>
            </w:r>
            <w:r>
              <w:rPr>
                <w:sz w:val="22"/>
              </w:rPr>
              <w:t xml:space="preserve">е финансира оспособљавање код послодавца, 10.000 незапослених младих до 30 година живота, са средњим и високим образовањем, а у циљу стицања првог радног искуства и повећања прилика за њихово конкурентније иступање на  тржишту рада и запошљавање. </w:t>
            </w:r>
          </w:p>
          <w:p w:rsidR="00E8309B" w:rsidRDefault="009D0949">
            <w:pPr>
              <w:spacing w:after="0" w:line="259" w:lineRule="auto"/>
              <w:ind w:left="108" w:right="108" w:firstLine="0"/>
            </w:pPr>
            <w:r>
              <w:rPr>
                <w:sz w:val="22"/>
              </w:rPr>
              <w:t>За више информација видети прилог о испуњењу препорука ЕКОФИН Савета из маја 2020. године за Републику Србију, препорука 5, део „</w:t>
            </w:r>
            <w:r>
              <w:rPr>
                <w:i/>
                <w:sz w:val="22"/>
              </w:rPr>
              <w:t>осигурати повећано пружање ефикасних активних мера на тржишту рада за незапослене“.</w:t>
            </w:r>
            <w:r>
              <w:rPr>
                <w:sz w:val="22"/>
              </w:rPr>
              <w:t xml:space="preserve"> </w:t>
            </w:r>
          </w:p>
        </w:tc>
      </w:tr>
      <w:tr w:rsidR="00E8309B">
        <w:trPr>
          <w:trHeight w:val="2036"/>
        </w:trPr>
        <w:tc>
          <w:tcPr>
            <w:tcW w:w="2524" w:type="dxa"/>
            <w:gridSpan w:val="2"/>
            <w:tcBorders>
              <w:top w:val="single" w:sz="4" w:space="0" w:color="000000"/>
              <w:left w:val="single" w:sz="4" w:space="0" w:color="000000"/>
              <w:bottom w:val="single" w:sz="4" w:space="0" w:color="000000"/>
              <w:right w:val="nil"/>
            </w:tcBorders>
          </w:tcPr>
          <w:p w:rsidR="00E8309B" w:rsidRDefault="009D0949">
            <w:pPr>
              <w:spacing w:after="0" w:line="259" w:lineRule="auto"/>
              <w:ind w:left="108" w:right="0" w:firstLine="0"/>
              <w:jc w:val="left"/>
            </w:pPr>
            <w:r>
              <w:rPr>
                <w:b/>
                <w:sz w:val="22"/>
              </w:rPr>
              <w:lastRenderedPageBreak/>
              <w:t xml:space="preserve">Усвојити </w:t>
            </w:r>
            <w:r>
              <w:rPr>
                <w:b/>
                <w:sz w:val="22"/>
              </w:rPr>
              <w:tab/>
              <w:t xml:space="preserve">мере подстицање формализације </w:t>
            </w:r>
            <w:r>
              <w:rPr>
                <w:b/>
                <w:sz w:val="22"/>
              </w:rPr>
              <w:tab/>
            </w:r>
            <w:r>
              <w:rPr>
                <w:b/>
                <w:sz w:val="22"/>
              </w:rPr>
              <w:t xml:space="preserve">рада непољопривредним секторима. </w:t>
            </w:r>
          </w:p>
        </w:tc>
        <w:tc>
          <w:tcPr>
            <w:tcW w:w="307" w:type="dxa"/>
            <w:tcBorders>
              <w:top w:val="single" w:sz="4" w:space="0" w:color="000000"/>
              <w:left w:val="nil"/>
              <w:bottom w:val="single" w:sz="4" w:space="0" w:color="000000"/>
              <w:right w:val="single" w:sz="4" w:space="0" w:color="000000"/>
            </w:tcBorders>
          </w:tcPr>
          <w:p w:rsidR="00E8309B" w:rsidRDefault="009D0949">
            <w:pPr>
              <w:spacing w:after="0" w:line="259" w:lineRule="auto"/>
              <w:ind w:left="87" w:right="0" w:hanging="87"/>
              <w:jc w:val="left"/>
            </w:pPr>
            <w:r>
              <w:rPr>
                <w:b/>
                <w:sz w:val="22"/>
              </w:rPr>
              <w:t xml:space="preserve">за у </w:t>
            </w:r>
          </w:p>
        </w:tc>
        <w:tc>
          <w:tcPr>
            <w:tcW w:w="3828"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108" w:right="106" w:firstLine="0"/>
            </w:pPr>
            <w:r>
              <w:rPr>
                <w:sz w:val="22"/>
              </w:rPr>
              <w:t xml:space="preserve">Национални програм за сузбијање сиве економије у Србији 2019. и 2020. години и пратећи Акциони план предвиђају ширење обухвата Закона о поједностављеном запошљавању у сезонским активностима и на друге делатности - </w:t>
            </w:r>
            <w:r>
              <w:rPr>
                <w:sz w:val="22"/>
              </w:rPr>
              <w:t xml:space="preserve">услуге подршке у кући. Циљ је поједноставити задатке особља </w:t>
            </w:r>
          </w:p>
        </w:tc>
        <w:tc>
          <w:tcPr>
            <w:tcW w:w="3687"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108" w:right="109" w:firstLine="0"/>
            </w:pPr>
            <w:r>
              <w:rPr>
                <w:sz w:val="22"/>
              </w:rPr>
              <w:t xml:space="preserve">Формирана је Радна група за допуну Закона о поједностављеном радном ангажовању на сезонским пословима у одређеним делатностима, и то: грађевинарство, угоститељство и помоћ у кући. </w:t>
            </w:r>
          </w:p>
        </w:tc>
      </w:tr>
      <w:tr w:rsidR="00E8309B">
        <w:trPr>
          <w:trHeight w:val="891"/>
        </w:trPr>
        <w:tc>
          <w:tcPr>
            <w:tcW w:w="2831" w:type="dxa"/>
            <w:gridSpan w:val="3"/>
            <w:tcBorders>
              <w:top w:val="single" w:sz="4" w:space="0" w:color="000000"/>
              <w:left w:val="single" w:sz="4" w:space="0" w:color="000000"/>
              <w:bottom w:val="single" w:sz="4" w:space="0" w:color="000000"/>
              <w:right w:val="single" w:sz="4" w:space="0" w:color="000000"/>
            </w:tcBorders>
          </w:tcPr>
          <w:p w:rsidR="00E8309B" w:rsidRDefault="009D0949">
            <w:pPr>
              <w:spacing w:after="0" w:line="277" w:lineRule="auto"/>
              <w:ind w:left="113" w:right="0" w:firstLine="0"/>
            </w:pPr>
            <w:r>
              <w:rPr>
                <w:sz w:val="22"/>
                <w:u w:val="single" w:color="000000"/>
              </w:rPr>
              <w:t>ПРЕПОРУКА ЕКО</w:t>
            </w:r>
            <w:r>
              <w:rPr>
                <w:sz w:val="22"/>
                <w:u w:val="single" w:color="000000"/>
              </w:rPr>
              <w:t>ФИН</w:t>
            </w:r>
            <w:r>
              <w:rPr>
                <w:sz w:val="22"/>
              </w:rPr>
              <w:t xml:space="preserve"> </w:t>
            </w:r>
            <w:r>
              <w:rPr>
                <w:sz w:val="22"/>
                <w:u w:val="single" w:color="000000"/>
              </w:rPr>
              <w:t>Савета из маја 2019.</w:t>
            </w:r>
            <w:r>
              <w:rPr>
                <w:sz w:val="22"/>
              </w:rPr>
              <w:t xml:space="preserve"> </w:t>
            </w:r>
          </w:p>
          <w:p w:rsidR="00E8309B" w:rsidRDefault="009D0949">
            <w:pPr>
              <w:spacing w:after="0" w:line="259" w:lineRule="auto"/>
              <w:ind w:left="113" w:right="0" w:firstLine="0"/>
              <w:jc w:val="left"/>
            </w:pPr>
            <w:r>
              <w:rPr>
                <w:sz w:val="22"/>
                <w:u w:val="single" w:color="000000"/>
              </w:rPr>
              <w:t>године</w:t>
            </w:r>
            <w:r>
              <w:rPr>
                <w:sz w:val="22"/>
              </w:rPr>
              <w:t xml:space="preserve"> </w:t>
            </w:r>
          </w:p>
        </w:tc>
        <w:tc>
          <w:tcPr>
            <w:tcW w:w="3828"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113" w:right="0" w:firstLine="0"/>
              <w:jc w:val="left"/>
            </w:pPr>
            <w:r>
              <w:rPr>
                <w:sz w:val="22"/>
                <w:u w:val="single" w:color="000000"/>
              </w:rPr>
              <w:t>ИЗВЕШТАЈИ О СПРОВОЂЕЊУ</w:t>
            </w:r>
            <w:r>
              <w:rPr>
                <w:sz w:val="22"/>
              </w:rPr>
              <w:t xml:space="preserve"> </w:t>
            </w:r>
            <w:r>
              <w:rPr>
                <w:sz w:val="22"/>
                <w:u w:val="single" w:color="000000"/>
              </w:rPr>
              <w:t>ПРЕПОРУКА У ЕРП 2020-2022</w:t>
            </w:r>
            <w:r>
              <w:rPr>
                <w:sz w:val="22"/>
              </w:rPr>
              <w:t xml:space="preserve"> </w:t>
            </w:r>
          </w:p>
        </w:tc>
        <w:tc>
          <w:tcPr>
            <w:tcW w:w="3687"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77" w:lineRule="auto"/>
              <w:ind w:left="113" w:right="0" w:firstLine="0"/>
              <w:jc w:val="left"/>
            </w:pPr>
            <w:r>
              <w:rPr>
                <w:sz w:val="22"/>
                <w:u w:val="single" w:color="000000"/>
              </w:rPr>
              <w:t>ДОПУНА ИЗВЕШТАЈА О</w:t>
            </w:r>
            <w:r>
              <w:rPr>
                <w:sz w:val="22"/>
              </w:rPr>
              <w:t xml:space="preserve"> </w:t>
            </w:r>
            <w:r>
              <w:rPr>
                <w:sz w:val="22"/>
                <w:u w:val="single" w:color="000000"/>
              </w:rPr>
              <w:t>СПРОВОЂЕЊУ ПРЕПОРУКА У</w:t>
            </w:r>
            <w:r>
              <w:rPr>
                <w:sz w:val="22"/>
              </w:rPr>
              <w:t xml:space="preserve"> </w:t>
            </w:r>
          </w:p>
          <w:p w:rsidR="00E8309B" w:rsidRDefault="009D0949">
            <w:pPr>
              <w:spacing w:after="0" w:line="259" w:lineRule="auto"/>
              <w:ind w:left="113" w:right="0" w:firstLine="0"/>
              <w:jc w:val="left"/>
            </w:pPr>
            <w:r>
              <w:rPr>
                <w:sz w:val="22"/>
                <w:u w:val="single" w:color="000000"/>
              </w:rPr>
              <w:t>ЕРП 2021-2023</w:t>
            </w:r>
            <w:r>
              <w:rPr>
                <w:sz w:val="22"/>
              </w:rPr>
              <w:t xml:space="preserve"> </w:t>
            </w:r>
          </w:p>
        </w:tc>
      </w:tr>
      <w:tr w:rsidR="00E8309B">
        <w:trPr>
          <w:trHeight w:val="2287"/>
        </w:trPr>
        <w:tc>
          <w:tcPr>
            <w:tcW w:w="2831" w:type="dxa"/>
            <w:gridSpan w:val="3"/>
            <w:tcBorders>
              <w:top w:val="single" w:sz="4" w:space="0" w:color="000000"/>
              <w:left w:val="single" w:sz="4" w:space="0" w:color="000000"/>
              <w:bottom w:val="single" w:sz="4" w:space="0" w:color="000000"/>
              <w:right w:val="single" w:sz="4" w:space="0" w:color="000000"/>
            </w:tcBorders>
          </w:tcPr>
          <w:p w:rsidR="00E8309B" w:rsidRDefault="00E8309B">
            <w:pPr>
              <w:spacing w:after="160" w:line="259" w:lineRule="auto"/>
              <w:ind w:left="0" w:right="0" w:firstLine="0"/>
              <w:jc w:val="left"/>
            </w:pPr>
          </w:p>
        </w:tc>
        <w:tc>
          <w:tcPr>
            <w:tcW w:w="3828"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54" w:firstLine="0"/>
            </w:pPr>
            <w:r>
              <w:rPr>
                <w:sz w:val="22"/>
              </w:rPr>
              <w:t xml:space="preserve">за помоћ у </w:t>
            </w:r>
            <w:r>
              <w:rPr>
                <w:sz w:val="22"/>
              </w:rPr>
              <w:t>кући који су ограниченог трајања, како би се укључили у легалне токове и како би се поједноставило плаћање пореза и доприноса, и начин ангажовања, као и осигурала права запослених у складу са међународним стандардима (рок имплементације: трећи квартал 2020</w:t>
            </w:r>
            <w:r>
              <w:rPr>
                <w:sz w:val="22"/>
              </w:rPr>
              <w:t xml:space="preserve">. године). </w:t>
            </w:r>
          </w:p>
        </w:tc>
        <w:tc>
          <w:tcPr>
            <w:tcW w:w="3687" w:type="dxa"/>
            <w:tcBorders>
              <w:top w:val="single" w:sz="4" w:space="0" w:color="000000"/>
              <w:left w:val="single" w:sz="4" w:space="0" w:color="000000"/>
              <w:bottom w:val="single" w:sz="4" w:space="0" w:color="000000"/>
              <w:right w:val="single" w:sz="4" w:space="0" w:color="000000"/>
            </w:tcBorders>
          </w:tcPr>
          <w:p w:rsidR="00E8309B" w:rsidRDefault="00E8309B">
            <w:pPr>
              <w:spacing w:after="160" w:line="259" w:lineRule="auto"/>
              <w:ind w:left="0" w:right="0" w:firstLine="0"/>
              <w:jc w:val="left"/>
            </w:pPr>
          </w:p>
        </w:tc>
      </w:tr>
      <w:tr w:rsidR="00E8309B">
        <w:trPr>
          <w:trHeight w:val="5324"/>
        </w:trPr>
        <w:tc>
          <w:tcPr>
            <w:tcW w:w="2831" w:type="dxa"/>
            <w:gridSpan w:val="3"/>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0" w:firstLine="0"/>
              <w:jc w:val="left"/>
            </w:pPr>
            <w:r>
              <w:rPr>
                <w:b/>
                <w:sz w:val="22"/>
              </w:rPr>
              <w:t xml:space="preserve">Смањити </w:t>
            </w:r>
            <w:r>
              <w:rPr>
                <w:b/>
                <w:sz w:val="22"/>
              </w:rPr>
              <w:tab/>
              <w:t xml:space="preserve">високе трошкове рада (non-wage labour cost) за послове који се налазе у нижим нивоима </w:t>
            </w:r>
            <w:r>
              <w:rPr>
                <w:b/>
                <w:sz w:val="22"/>
              </w:rPr>
              <w:tab/>
              <w:t xml:space="preserve">дистрибуције плата. </w:t>
            </w:r>
          </w:p>
        </w:tc>
        <w:tc>
          <w:tcPr>
            <w:tcW w:w="3828"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51" w:firstLine="0"/>
            </w:pPr>
            <w:r>
              <w:rPr>
                <w:sz w:val="22"/>
              </w:rPr>
              <w:t xml:space="preserve">Минимална цена рада за период јануар - </w:t>
            </w:r>
            <w:r>
              <w:rPr>
                <w:sz w:val="22"/>
              </w:rPr>
              <w:t>децембар 2020. године је повећана и износи 172,54 динара (нето) по радном сату. Одлуку је Влада усвојила у септембру 2019. године. Предложене измене и допуне Закона о порезу на доходак грађана и Закона о доприносима за обавезно социјално осигурање (који је</w:t>
            </w:r>
            <w:r>
              <w:rPr>
                <w:sz w:val="22"/>
              </w:rPr>
              <w:t xml:space="preserve"> Влада усвојила 31. октобра 2019. године) односе се на: повећање неопорезивог износа зарада са 15.300 на 16.300 динара месечно (то значи да се основица пореза на доходак и износ пореза по тој основи смањују, чиме се постиже мање фискално оптерећење дохотка</w:t>
            </w:r>
            <w:r>
              <w:rPr>
                <w:sz w:val="22"/>
              </w:rPr>
              <w:t xml:space="preserve"> који су остваривали појединци на основу рада) и стопе доприноса за обавезно пензијско и инвалидско осигурање, са 26% на 25,5%, а биће на снази од почетка 2020. године.  </w:t>
            </w:r>
          </w:p>
        </w:tc>
        <w:tc>
          <w:tcPr>
            <w:tcW w:w="3687" w:type="dxa"/>
            <w:tcBorders>
              <w:top w:val="single" w:sz="4" w:space="0" w:color="000000"/>
              <w:left w:val="single" w:sz="4" w:space="0" w:color="000000"/>
              <w:bottom w:val="single" w:sz="4" w:space="0" w:color="000000"/>
              <w:right w:val="single" w:sz="4" w:space="0" w:color="000000"/>
            </w:tcBorders>
          </w:tcPr>
          <w:p w:rsidR="00E8309B" w:rsidRDefault="009D0949">
            <w:pPr>
              <w:spacing w:after="26" w:line="243" w:lineRule="auto"/>
              <w:ind w:left="0" w:right="57" w:firstLine="0"/>
            </w:pPr>
            <w:r>
              <w:rPr>
                <w:sz w:val="22"/>
              </w:rPr>
              <w:t>Минимална цена рада за период јануар-децембар 2021. године је повећана и износи 183,9</w:t>
            </w:r>
            <w:r>
              <w:rPr>
                <w:sz w:val="22"/>
              </w:rPr>
              <w:t xml:space="preserve">3 динара (нето) по радном сату. Одлуку је Влада усвојила у септембру 2020. године. Усвојеним Законом о изменама и допунама Закона о порезу на доходак грађана (децембра </w:t>
            </w:r>
          </w:p>
          <w:p w:rsidR="00E8309B" w:rsidRDefault="009D0949">
            <w:pPr>
              <w:spacing w:after="0" w:line="259" w:lineRule="auto"/>
              <w:ind w:left="0" w:right="57" w:firstLine="0"/>
            </w:pPr>
            <w:r>
              <w:rPr>
                <w:sz w:val="22"/>
              </w:rPr>
              <w:t xml:space="preserve">2020. године) повећан је неопорезиви износ зараде са 16.300 на 18.300 динара месечно. </w:t>
            </w:r>
          </w:p>
        </w:tc>
      </w:tr>
    </w:tbl>
    <w:p w:rsidR="00E8309B" w:rsidRDefault="009D0949">
      <w:pPr>
        <w:spacing w:after="107" w:line="259" w:lineRule="auto"/>
        <w:ind w:left="0" w:right="0" w:firstLine="0"/>
        <w:jc w:val="left"/>
      </w:pPr>
      <w:r>
        <w:rPr>
          <w:rFonts w:ascii="Calibri" w:eastAsia="Calibri" w:hAnsi="Calibri" w:cs="Calibri"/>
          <w:sz w:val="22"/>
        </w:rPr>
        <w:t xml:space="preserve"> </w:t>
      </w:r>
    </w:p>
    <w:p w:rsidR="00E8309B" w:rsidRDefault="009D0949">
      <w:pPr>
        <w:spacing w:after="173" w:line="259" w:lineRule="auto"/>
        <w:ind w:left="0" w:right="0" w:firstLine="0"/>
        <w:jc w:val="left"/>
      </w:pPr>
      <w:r>
        <w:t xml:space="preserve"> </w:t>
      </w:r>
    </w:p>
    <w:p w:rsidR="00E8309B" w:rsidRDefault="009D0949">
      <w:pPr>
        <w:pStyle w:val="Heading1"/>
        <w:spacing w:after="0"/>
        <w:ind w:left="270" w:hanging="285"/>
      </w:pPr>
      <w:r>
        <w:t xml:space="preserve">СРЕДЊОРОЧНИ МАКРОЕКОНОМСКИ ОКВИР </w:t>
      </w:r>
    </w:p>
    <w:p w:rsidR="00E8309B" w:rsidRDefault="009D0949">
      <w:pPr>
        <w:spacing w:after="30" w:line="259" w:lineRule="auto"/>
        <w:ind w:left="0" w:right="0" w:firstLine="0"/>
        <w:jc w:val="left"/>
      </w:pPr>
      <w:r>
        <w:t xml:space="preserve"> </w:t>
      </w:r>
    </w:p>
    <w:p w:rsidR="00E8309B" w:rsidRDefault="009D0949">
      <w:pPr>
        <w:pStyle w:val="Heading2"/>
        <w:ind w:left="405" w:right="9" w:hanging="420"/>
      </w:pPr>
      <w:r>
        <w:t xml:space="preserve">ПРОЦЕНЕ МЕЂУНАРОДНОГ ЕКОНОМСКОГ ОКРУЖЕЊА </w:t>
      </w:r>
    </w:p>
    <w:p w:rsidR="00E8309B" w:rsidRDefault="009D0949">
      <w:pPr>
        <w:ind w:left="-5" w:right="17"/>
      </w:pPr>
      <w:r>
        <w:t>Глобална економија захваћена је најразорнијом кризом јавног здравља и у најдубљој је рецесији у последњих неколико деценија. Пандемија вируса која је однела преко милион живота и последична економска криза која је захватила свет, заједнички су изазов са ко</w:t>
      </w:r>
      <w:r>
        <w:t xml:space="preserve">јим су суочене готово све земље. Најновије пројекције ипак указују на нешто бољу ситуацију од </w:t>
      </w:r>
      <w:r>
        <w:lastRenderedPageBreak/>
        <w:t>претходно очекиване: пораст броја тестирања, ефикаснија терапија, бржи развој вакцине, јачање међународне солидарности, брже отварање економија и опоравак након п</w:t>
      </w:r>
      <w:r>
        <w:t>ериода „закључавањаˮ довели су до тога да су предвиђања о предстојећој рецесији нешто блажа. Ревизија навише за 2020. годину је потпомогнута и резултатима из другог квартала, који нису били толико негативни као што се првобитно очекивало, као и јачим расто</w:t>
      </w:r>
      <w:r>
        <w:t>м Кине, те назнакама бржег опоравка током трећег квартала. Макроекономски резултати би били осетно слабији да није било фискалних, монетарних и регулаторних реакција које су биле значајне, брзе и без преседана, а чиме је спречена финансијска катастрофа. Ме</w:t>
      </w:r>
      <w:r>
        <w:t>ђународне финансијске институције очекују да глобални економски опоравак буде дуг и неуједначен, док ће поновно ширење вируса и увођења рестриктивних епидемиолошких мера, успорити повратак економске активности на преткризни ниво. Већина земаља се суочава с</w:t>
      </w:r>
      <w:r>
        <w:t>а неуобичајено високим негативном ризицима који проистичу из даљег тока и трајања пандемије и одговора на њу. Основни изазови биће очување постојећих производних капацитета и спровођење структурних промена усмерених на креирање снажнијег, праведнијег и одр</w:t>
      </w:r>
      <w:r>
        <w:t>живијег раста. Приоритет друштвеног и економског система јесте правовремено обезбеђење ресурса за функционисање здравственог система и ограничавање економске штете. Да би се то остварило, неопходна је значајна међународна сарадња и подршка здравственим сис</w:t>
      </w:r>
      <w:r>
        <w:t>темима, финансијска потпора теже погођеним земљама, подршка државама које су у процесу нормализације након сузбијања вируса, али и примена политика и економских мера које се тичу решавања јавног и корпоративног дуга чији се раст очекује у будућности. Глоба</w:t>
      </w:r>
      <w:r>
        <w:t xml:space="preserve">лна сарадња је неопходна и поводом дугорочног проблема климатских промена и евентуалних будућих здравствених криза. </w:t>
      </w:r>
    </w:p>
    <w:p w:rsidR="00E8309B" w:rsidRDefault="009D0949">
      <w:pPr>
        <w:ind w:left="-5" w:right="17"/>
      </w:pPr>
      <w:r>
        <w:t>Према анализама Међународног монетарног фонда (у даљем тексту: ММФ), глобална економија се опоравља од шока изазваног „Великим закључавањем</w:t>
      </w:r>
      <w:r>
        <w:t>ˮ. У складу са тим, коригована је процена глобалног привредног раста у 2020. години на -4,4%, што представља ревизију навише за 0,8 п.п. у односу на јунских -5,2%, али је то и даље лошији резултат од оног који је био очекиван у априлу (-3,3%). Побољшање из</w:t>
      </w:r>
      <w:r>
        <w:t>гледа за 2020. годину неминовно се услед базног ефекта одразило и на ревизију наниже пројекције глобалног економског раста у 2021. години за 0,2 п.п. на 5,2%. Иако је, после почетне фазе пандемије, од маја на глобалном нивоу уследило постепено ублажавање з</w:t>
      </w:r>
      <w:r>
        <w:t>дравствених мера и опоравак економске активности, и даље је присутан висок степен неизвесности у погледу брзине опоравка светске привреде, што се одражава на кретања на међународном робном и финансијском тржишту. Актуелне пројекције поред изазова кризе ука</w:t>
      </w:r>
      <w:r>
        <w:t>зују и на одређене разлоге за оптимизам услед бржег опоравка развијених земаља и Кине, али је ипак очекивани повратак глобалне економије на пре-пандемијске нивое и даље неизвестан и склон високим ризицима. Негативни ризици по остварење пројекције су значај</w:t>
      </w:r>
      <w:r>
        <w:t>ни и углавном су везани за поновну појаву вируса у областима које су га „прележалеˮ. Спорији развој вакцине од очекиваног или њен неуједначен приступ би такође могли утицати на спорије сузбијање вируса. Прерано укидање мера подршке због кризе изазване панд</w:t>
      </w:r>
      <w:r>
        <w:t xml:space="preserve">емијом или њихова неефикасна примена, такође представљају ризик, који би уз неповољније услове финансирања могао довести до пада ликвидности, а дугорочно и несолвентности. Са друге стране, блажа рецесија од првобитно предвиђене, наставак примене фискалних </w:t>
      </w:r>
      <w:r>
        <w:t xml:space="preserve">мера и у 2021. години и бржи раст продуктивности би допринели убрзању глобалног опоравка и нормализацији економске активности. </w:t>
      </w:r>
    </w:p>
    <w:p w:rsidR="00E8309B" w:rsidRDefault="009D0949">
      <w:pPr>
        <w:ind w:left="-5" w:right="17"/>
      </w:pPr>
      <w:r>
        <w:t>Ревизија глобалног економског раста навише за 2020. годину углавном је резултат боље економске ситуације у развијеним земљама, у</w:t>
      </w:r>
      <w:r>
        <w:t xml:space="preserve"> којима се пад БДП процењује на 5,8% уместо претходно очекиваних 8,0%. Привреда САД ће у 2020. години забележити контракцију од 4,3%, што је готово дупло мањи пад него што се очекивало у јуну, а изгледи су побољшани и за еврозону упркос оштром паду који се</w:t>
      </w:r>
      <w:r>
        <w:t xml:space="preserve"> и даље очекује. С друге стране, изгледи за земље у успону су остали готово непромењени. Изгледи за азијске земље у развоју (без Кине) су и даље </w:t>
      </w:r>
      <w:r>
        <w:lastRenderedPageBreak/>
        <w:t>неизвесни, будући да се велике економије попут Индије и Индонезије и даље боре да обуздају ширење вируса. Позит</w:t>
      </w:r>
      <w:r>
        <w:t>ивне изгледе за Кину потврђују процене да ће кумулативни раст БДП у периоду 2020–2021. износити око 10%, будући да се попуштање здравствених мера и нормализација економских токова одвијала брже од очекиване, те је привредни раст забележен већ у другом квар</w:t>
      </w:r>
      <w:r>
        <w:t>талу. Иако су предвиђања за Русију коригована навише, ова земља се и даље суочава са дубоким падом од 4,1% у 2020, а очекивања за наредни средњорочни период су слична као и код других земаља, те се очекује благо слабљење економске активности. Многе земље Л</w:t>
      </w:r>
      <w:r>
        <w:t xml:space="preserve">атинске Америке тешко су погођене пандемијом и суочавају се са озбиљним смањењем економске активности. Велики пад очекује се и у земљама Блиског Истока и Централне Азије као и земљама извозницама нафте у подсахарској Африци које су додатно погођене ниским </w:t>
      </w:r>
      <w:r>
        <w:t xml:space="preserve">ценама нафте и грађанским сукобима. </w:t>
      </w:r>
    </w:p>
    <w:p w:rsidR="00E8309B" w:rsidRDefault="009D0949">
      <w:pPr>
        <w:ind w:left="-5" w:right="17"/>
      </w:pPr>
      <w:r>
        <w:t xml:space="preserve">Према јесењим проценама Европске комисије (у даљем тексту: ЕК) економска активност у еврозони је снажно погођена ограничењима наметнутим услед пандемије. Након пада БДП у 2020. години од 7,8%, привредни раст ће у 2021. </w:t>
      </w:r>
      <w:r>
        <w:t>убрзати на 4,2% услед ниске базе претходне године, а затим ће се стабилизовати на 3% у 2022. години. Пројекције су неуобичајено несигурне уз претпоставку да ће одређене заштитне мере бити на снази током посматраног средњорочног периода. Додатна несигурност</w:t>
      </w:r>
      <w:r>
        <w:t xml:space="preserve"> долази и од неизвесног трговинског односа између Уједињеног Краљевства и Европске уније (у даљем тексту: ЕУ). Дубина рецесије у 2020. и брзина опоравка у средњорочном периоду се веома разликују по земљама чланицама, а услед неједнаке јачине пандемије и ст</w:t>
      </w:r>
      <w:r>
        <w:t xml:space="preserve">епена строгости мера заштите, али и различитих привредних структура и мера економске подршке. </w:t>
      </w:r>
    </w:p>
    <w:p w:rsidR="00E8309B" w:rsidRDefault="009D0949">
      <w:pPr>
        <w:spacing w:after="91"/>
        <w:ind w:left="-5" w:right="17"/>
      </w:pPr>
      <w:r>
        <w:t>Економске последице пандемије нису ограничене само на Европу. Глобална економија стрмоглавила се у до сада невиђену рецесију током прве половине 2020. Значајне макроекономске мере подршке ублажиле су негативан утицај и заједно са попуштањем ограничавајућих</w:t>
      </w:r>
      <w:r>
        <w:t xml:space="preserve"> мера омогућиле одређен опоравак током лета. Одређене мере заштите биће на снази и током 2021, након чега ће уследити њихово постепено попуштање. Последично, глобални раст (без ЕУ) ће у 2020. пасти за 3,75%, што је лошији резултат него током Светске финанс</w:t>
      </w:r>
      <w:r>
        <w:t xml:space="preserve">ијске кризе. Подржан цикличним опоравком приватне потрошње и акомодативним макроекономским мерама, пројектовани раст светске економије без ЕУ биће 4,75% у 2021. и 3,75% у 2022. години. </w:t>
      </w:r>
    </w:p>
    <w:p w:rsidR="00E8309B" w:rsidRDefault="009D0949">
      <w:pPr>
        <w:ind w:left="-5" w:right="17"/>
      </w:pPr>
      <w:r>
        <w:t xml:space="preserve">Пројекција раста еврозоне за 2021. годину ревидирана је наниже за 2,1 </w:t>
      </w:r>
      <w:r>
        <w:t>п.п. у односу на мајску, услед поновног убрзања пандемије. Посебно су значајне ревизије пројекција раста БДП Немачке на 3,5% и Италије на 4,1% у 2021. години, у поређењу са пролећним пројекцијама, које су износиле 5,9% и 6,5%, респективно. Нижи раст од пре</w:t>
      </w:r>
      <w:r>
        <w:t>тходно очекиваног у Немачкој може се објаснити нижим падом у 2020. и споријим опоравком следеће године услед другог таласа пандемије. Упркос обимном пакету подршке, италијанска привреда ће у 2020. успорити за готово 10%, што је нешто лошије од претходно оч</w:t>
      </w:r>
      <w:r>
        <w:t xml:space="preserve">екиваног, а раст у 2021. биће нешто спорији услед недавног новог разбуктавања пандемије и новог пооштравања заштитних мера. </w:t>
      </w:r>
    </w:p>
    <w:p w:rsidR="00E8309B" w:rsidRDefault="009D0949">
      <w:pPr>
        <w:ind w:left="-5" w:right="17"/>
      </w:pPr>
      <w:r>
        <w:t>У наредном периоду се очекује стагнација референтне каматне стопе и наставак акомодативне монетарне политике Европске централне бан</w:t>
      </w:r>
      <w:r>
        <w:t xml:space="preserve">ке (у даљем тексту: ЕЦБ), са фокусом на куповину хартија од вредности који је као хитна мера подршке током пандемије уведен у марту. </w:t>
      </w:r>
    </w:p>
    <w:p w:rsidR="00E8309B" w:rsidRDefault="009D0949">
      <w:pPr>
        <w:spacing w:after="6"/>
        <w:ind w:left="-5" w:right="17"/>
      </w:pPr>
      <w:r>
        <w:t xml:space="preserve">Табела 1. Макроекономске пројекције за подручје еврозоне, промене у односу на претходну годину, % </w:t>
      </w:r>
    </w:p>
    <w:tbl>
      <w:tblPr>
        <w:tblStyle w:val="TableGrid"/>
        <w:tblW w:w="9624" w:type="dxa"/>
        <w:tblInd w:w="-15" w:type="dxa"/>
        <w:tblCellMar>
          <w:top w:w="0" w:type="dxa"/>
          <w:left w:w="0" w:type="dxa"/>
          <w:bottom w:w="0" w:type="dxa"/>
          <w:right w:w="61" w:type="dxa"/>
        </w:tblCellMar>
        <w:tblLook w:val="04A0" w:firstRow="1" w:lastRow="0" w:firstColumn="1" w:lastColumn="0" w:noHBand="0" w:noVBand="1"/>
      </w:tblPr>
      <w:tblGrid>
        <w:gridCol w:w="4167"/>
        <w:gridCol w:w="785"/>
        <w:gridCol w:w="773"/>
        <w:gridCol w:w="564"/>
        <w:gridCol w:w="1069"/>
        <w:gridCol w:w="598"/>
        <w:gridCol w:w="1068"/>
        <w:gridCol w:w="600"/>
      </w:tblGrid>
      <w:tr w:rsidR="00E8309B">
        <w:trPr>
          <w:trHeight w:val="642"/>
        </w:trPr>
        <w:tc>
          <w:tcPr>
            <w:tcW w:w="4167" w:type="dxa"/>
            <w:tcBorders>
              <w:top w:val="single" w:sz="4" w:space="0" w:color="000000"/>
              <w:left w:val="nil"/>
              <w:bottom w:val="single" w:sz="8" w:space="0" w:color="002060"/>
              <w:right w:val="nil"/>
            </w:tcBorders>
            <w:vAlign w:val="center"/>
          </w:tcPr>
          <w:p w:rsidR="00E8309B" w:rsidRDefault="009D0949">
            <w:pPr>
              <w:spacing w:after="0" w:line="259" w:lineRule="auto"/>
              <w:ind w:left="0" w:right="99" w:firstLine="0"/>
              <w:jc w:val="center"/>
            </w:pPr>
            <w:r>
              <w:rPr>
                <w:sz w:val="18"/>
              </w:rPr>
              <w:t xml:space="preserve">  </w:t>
            </w:r>
          </w:p>
        </w:tc>
        <w:tc>
          <w:tcPr>
            <w:tcW w:w="785" w:type="dxa"/>
            <w:tcBorders>
              <w:top w:val="single" w:sz="8" w:space="0" w:color="002060"/>
              <w:left w:val="nil"/>
              <w:bottom w:val="single" w:sz="8" w:space="0" w:color="002060"/>
              <w:right w:val="nil"/>
            </w:tcBorders>
            <w:vAlign w:val="center"/>
          </w:tcPr>
          <w:p w:rsidR="00E8309B" w:rsidRDefault="009D0949">
            <w:pPr>
              <w:spacing w:after="0" w:line="259" w:lineRule="auto"/>
              <w:ind w:left="158" w:right="0" w:firstLine="0"/>
              <w:jc w:val="left"/>
            </w:pPr>
            <w:r>
              <w:rPr>
                <w:sz w:val="18"/>
              </w:rPr>
              <w:t xml:space="preserve">  </w:t>
            </w:r>
          </w:p>
        </w:tc>
        <w:tc>
          <w:tcPr>
            <w:tcW w:w="1337" w:type="dxa"/>
            <w:gridSpan w:val="2"/>
            <w:tcBorders>
              <w:top w:val="single" w:sz="8" w:space="0" w:color="002060"/>
              <w:left w:val="nil"/>
              <w:bottom w:val="single" w:sz="8" w:space="0" w:color="002060"/>
              <w:right w:val="single" w:sz="8" w:space="0" w:color="000000"/>
            </w:tcBorders>
            <w:vAlign w:val="center"/>
          </w:tcPr>
          <w:p w:rsidR="00E8309B" w:rsidRDefault="009D0949">
            <w:pPr>
              <w:spacing w:after="0" w:line="259" w:lineRule="auto"/>
              <w:ind w:left="158" w:right="0" w:firstLine="50"/>
              <w:jc w:val="left"/>
            </w:pPr>
            <w:r>
              <w:rPr>
                <w:sz w:val="18"/>
              </w:rPr>
              <w:t>Тренутна пројекци</w:t>
            </w:r>
            <w:r>
              <w:rPr>
                <w:sz w:val="18"/>
              </w:rPr>
              <w:t xml:space="preserve">ја </w:t>
            </w:r>
          </w:p>
        </w:tc>
        <w:tc>
          <w:tcPr>
            <w:tcW w:w="1666" w:type="dxa"/>
            <w:gridSpan w:val="2"/>
            <w:tcBorders>
              <w:top w:val="single" w:sz="8" w:space="0" w:color="000000"/>
              <w:left w:val="single" w:sz="8" w:space="0" w:color="000000"/>
              <w:bottom w:val="single" w:sz="8" w:space="0" w:color="002060"/>
              <w:right w:val="single" w:sz="8" w:space="0" w:color="000000"/>
            </w:tcBorders>
          </w:tcPr>
          <w:p w:rsidR="00E8309B" w:rsidRDefault="009D0949">
            <w:pPr>
              <w:spacing w:after="0" w:line="259" w:lineRule="auto"/>
              <w:ind w:left="60" w:right="0" w:firstLine="0"/>
              <w:jc w:val="center"/>
            </w:pPr>
            <w:r>
              <w:rPr>
                <w:sz w:val="18"/>
              </w:rPr>
              <w:t xml:space="preserve">Претходна </w:t>
            </w:r>
          </w:p>
          <w:p w:rsidR="00E8309B" w:rsidRDefault="009D0949">
            <w:pPr>
              <w:spacing w:after="0" w:line="259" w:lineRule="auto"/>
              <w:ind w:left="7" w:right="0" w:firstLine="0"/>
              <w:jc w:val="center"/>
            </w:pPr>
            <w:r>
              <w:rPr>
                <w:sz w:val="18"/>
              </w:rPr>
              <w:t xml:space="preserve">(пролећна) пројекција </w:t>
            </w:r>
          </w:p>
        </w:tc>
        <w:tc>
          <w:tcPr>
            <w:tcW w:w="1668" w:type="dxa"/>
            <w:gridSpan w:val="2"/>
            <w:tcBorders>
              <w:top w:val="single" w:sz="8" w:space="0" w:color="002060"/>
              <w:left w:val="single" w:sz="8" w:space="0" w:color="000000"/>
              <w:bottom w:val="single" w:sz="8" w:space="0" w:color="002060"/>
              <w:right w:val="nil"/>
            </w:tcBorders>
          </w:tcPr>
          <w:p w:rsidR="00E8309B" w:rsidRDefault="009D0949">
            <w:pPr>
              <w:spacing w:after="0" w:line="259" w:lineRule="auto"/>
              <w:ind w:left="59" w:right="0" w:firstLine="0"/>
              <w:jc w:val="center"/>
            </w:pPr>
            <w:r>
              <w:rPr>
                <w:sz w:val="18"/>
              </w:rPr>
              <w:t xml:space="preserve">Претходна </w:t>
            </w:r>
          </w:p>
          <w:p w:rsidR="00E8309B" w:rsidRDefault="009D0949">
            <w:pPr>
              <w:spacing w:after="0" w:line="259" w:lineRule="auto"/>
              <w:ind w:left="72" w:right="0" w:firstLine="0"/>
              <w:jc w:val="center"/>
            </w:pPr>
            <w:r>
              <w:rPr>
                <w:sz w:val="18"/>
              </w:rPr>
              <w:t xml:space="preserve">(јесења) пројекција* </w:t>
            </w:r>
          </w:p>
        </w:tc>
      </w:tr>
      <w:tr w:rsidR="00E8309B">
        <w:trPr>
          <w:trHeight w:val="305"/>
        </w:trPr>
        <w:tc>
          <w:tcPr>
            <w:tcW w:w="4167" w:type="dxa"/>
            <w:vMerge w:val="restart"/>
            <w:tcBorders>
              <w:top w:val="single" w:sz="8" w:space="0" w:color="002060"/>
              <w:left w:val="nil"/>
              <w:bottom w:val="nil"/>
              <w:right w:val="nil"/>
            </w:tcBorders>
          </w:tcPr>
          <w:p w:rsidR="00E8309B" w:rsidRDefault="009D0949">
            <w:pPr>
              <w:spacing w:after="169" w:line="259" w:lineRule="auto"/>
              <w:ind w:left="0" w:right="96" w:firstLine="0"/>
              <w:jc w:val="center"/>
            </w:pPr>
            <w:r>
              <w:rPr>
                <w:sz w:val="18"/>
              </w:rPr>
              <w:t xml:space="preserve"> </w:t>
            </w:r>
          </w:p>
          <w:p w:rsidR="00E8309B" w:rsidRDefault="009D0949">
            <w:pPr>
              <w:spacing w:after="0" w:line="259" w:lineRule="auto"/>
              <w:ind w:left="303" w:right="0" w:firstLine="0"/>
              <w:jc w:val="left"/>
            </w:pPr>
            <w:r>
              <w:rPr>
                <w:sz w:val="18"/>
              </w:rPr>
              <w:t xml:space="preserve">БДП </w:t>
            </w:r>
          </w:p>
        </w:tc>
        <w:tc>
          <w:tcPr>
            <w:tcW w:w="785" w:type="dxa"/>
            <w:tcBorders>
              <w:top w:val="single" w:sz="8" w:space="0" w:color="002060"/>
              <w:left w:val="nil"/>
              <w:bottom w:val="single" w:sz="8" w:space="0" w:color="002060"/>
              <w:right w:val="nil"/>
            </w:tcBorders>
          </w:tcPr>
          <w:p w:rsidR="00E8309B" w:rsidRDefault="009D0949">
            <w:pPr>
              <w:spacing w:after="0" w:line="259" w:lineRule="auto"/>
              <w:ind w:left="0" w:right="0" w:firstLine="0"/>
              <w:jc w:val="left"/>
            </w:pPr>
            <w:r>
              <w:rPr>
                <w:sz w:val="18"/>
              </w:rPr>
              <w:t xml:space="preserve">2020 </w:t>
            </w:r>
          </w:p>
        </w:tc>
        <w:tc>
          <w:tcPr>
            <w:tcW w:w="773" w:type="dxa"/>
            <w:tcBorders>
              <w:top w:val="single" w:sz="8" w:space="0" w:color="002060"/>
              <w:left w:val="nil"/>
              <w:bottom w:val="single" w:sz="8" w:space="0" w:color="002060"/>
              <w:right w:val="nil"/>
            </w:tcBorders>
          </w:tcPr>
          <w:p w:rsidR="00E8309B" w:rsidRDefault="009D0949">
            <w:pPr>
              <w:spacing w:after="0" w:line="259" w:lineRule="auto"/>
              <w:ind w:left="0" w:right="0" w:firstLine="0"/>
              <w:jc w:val="left"/>
            </w:pPr>
            <w:r>
              <w:rPr>
                <w:sz w:val="18"/>
              </w:rPr>
              <w:t xml:space="preserve">2021 </w:t>
            </w:r>
          </w:p>
        </w:tc>
        <w:tc>
          <w:tcPr>
            <w:tcW w:w="564" w:type="dxa"/>
            <w:tcBorders>
              <w:top w:val="single" w:sz="8" w:space="0" w:color="002060"/>
              <w:left w:val="nil"/>
              <w:bottom w:val="single" w:sz="8" w:space="0" w:color="002060"/>
              <w:right w:val="single" w:sz="8" w:space="0" w:color="000000"/>
            </w:tcBorders>
          </w:tcPr>
          <w:p w:rsidR="00E8309B" w:rsidRDefault="009D0949">
            <w:pPr>
              <w:spacing w:after="0" w:line="259" w:lineRule="auto"/>
              <w:ind w:left="0" w:right="0" w:firstLine="0"/>
              <w:jc w:val="left"/>
            </w:pPr>
            <w:r>
              <w:rPr>
                <w:sz w:val="18"/>
              </w:rPr>
              <w:t xml:space="preserve">2022 </w:t>
            </w:r>
          </w:p>
        </w:tc>
        <w:tc>
          <w:tcPr>
            <w:tcW w:w="1069" w:type="dxa"/>
            <w:tcBorders>
              <w:top w:val="single" w:sz="8" w:space="0" w:color="002060"/>
              <w:left w:val="single" w:sz="8" w:space="0" w:color="000000"/>
              <w:bottom w:val="single" w:sz="8" w:space="0" w:color="002060"/>
              <w:right w:val="nil"/>
            </w:tcBorders>
          </w:tcPr>
          <w:p w:rsidR="00E8309B" w:rsidRDefault="009D0949">
            <w:pPr>
              <w:spacing w:after="0" w:line="259" w:lineRule="auto"/>
              <w:ind w:left="235" w:right="0" w:firstLine="0"/>
              <w:jc w:val="left"/>
            </w:pPr>
            <w:r>
              <w:rPr>
                <w:sz w:val="18"/>
              </w:rPr>
              <w:t xml:space="preserve">2020 </w:t>
            </w:r>
          </w:p>
        </w:tc>
        <w:tc>
          <w:tcPr>
            <w:tcW w:w="598" w:type="dxa"/>
            <w:tcBorders>
              <w:top w:val="single" w:sz="8" w:space="0" w:color="002060"/>
              <w:left w:val="nil"/>
              <w:bottom w:val="single" w:sz="8" w:space="0" w:color="002060"/>
              <w:right w:val="single" w:sz="8" w:space="0" w:color="000000"/>
            </w:tcBorders>
          </w:tcPr>
          <w:p w:rsidR="00E8309B" w:rsidRDefault="009D0949">
            <w:pPr>
              <w:spacing w:after="0" w:line="259" w:lineRule="auto"/>
              <w:ind w:left="0" w:right="0" w:firstLine="0"/>
              <w:jc w:val="left"/>
            </w:pPr>
            <w:r>
              <w:rPr>
                <w:sz w:val="18"/>
              </w:rPr>
              <w:t xml:space="preserve">2021 </w:t>
            </w:r>
          </w:p>
        </w:tc>
        <w:tc>
          <w:tcPr>
            <w:tcW w:w="1068" w:type="dxa"/>
            <w:tcBorders>
              <w:top w:val="single" w:sz="8" w:space="0" w:color="002060"/>
              <w:left w:val="single" w:sz="8" w:space="0" w:color="000000"/>
              <w:bottom w:val="single" w:sz="8" w:space="0" w:color="002060"/>
              <w:right w:val="nil"/>
            </w:tcBorders>
          </w:tcPr>
          <w:p w:rsidR="00E8309B" w:rsidRDefault="009D0949">
            <w:pPr>
              <w:spacing w:after="0" w:line="259" w:lineRule="auto"/>
              <w:ind w:left="235" w:right="0" w:firstLine="0"/>
              <w:jc w:val="left"/>
            </w:pPr>
            <w:r>
              <w:rPr>
                <w:sz w:val="18"/>
              </w:rPr>
              <w:t xml:space="preserve">2020 </w:t>
            </w:r>
          </w:p>
        </w:tc>
        <w:tc>
          <w:tcPr>
            <w:tcW w:w="600" w:type="dxa"/>
            <w:tcBorders>
              <w:top w:val="single" w:sz="8" w:space="0" w:color="002060"/>
              <w:left w:val="nil"/>
              <w:bottom w:val="single" w:sz="8" w:space="0" w:color="002060"/>
              <w:right w:val="nil"/>
            </w:tcBorders>
          </w:tcPr>
          <w:p w:rsidR="00E8309B" w:rsidRDefault="009D0949">
            <w:pPr>
              <w:spacing w:after="0" w:line="259" w:lineRule="auto"/>
              <w:ind w:left="0" w:right="0" w:firstLine="0"/>
              <w:jc w:val="left"/>
            </w:pPr>
            <w:r>
              <w:rPr>
                <w:sz w:val="18"/>
              </w:rPr>
              <w:t xml:space="preserve">2021 </w:t>
            </w:r>
          </w:p>
        </w:tc>
      </w:tr>
      <w:tr w:rsidR="00E8309B">
        <w:trPr>
          <w:trHeight w:val="293"/>
        </w:trPr>
        <w:tc>
          <w:tcPr>
            <w:tcW w:w="0" w:type="auto"/>
            <w:vMerge/>
            <w:tcBorders>
              <w:top w:val="nil"/>
              <w:left w:val="nil"/>
              <w:bottom w:val="nil"/>
              <w:right w:val="nil"/>
            </w:tcBorders>
          </w:tcPr>
          <w:p w:rsidR="00E8309B" w:rsidRDefault="00E8309B">
            <w:pPr>
              <w:spacing w:after="160" w:line="259" w:lineRule="auto"/>
              <w:ind w:left="0" w:right="0" w:firstLine="0"/>
              <w:jc w:val="left"/>
            </w:pPr>
          </w:p>
        </w:tc>
        <w:tc>
          <w:tcPr>
            <w:tcW w:w="785" w:type="dxa"/>
            <w:tcBorders>
              <w:top w:val="single" w:sz="8" w:space="0" w:color="002060"/>
              <w:left w:val="nil"/>
              <w:bottom w:val="nil"/>
              <w:right w:val="nil"/>
            </w:tcBorders>
          </w:tcPr>
          <w:p w:rsidR="00E8309B" w:rsidRDefault="009D0949">
            <w:pPr>
              <w:spacing w:after="0" w:line="259" w:lineRule="auto"/>
              <w:ind w:left="185" w:right="0" w:firstLine="0"/>
              <w:jc w:val="left"/>
            </w:pPr>
            <w:r>
              <w:rPr>
                <w:sz w:val="18"/>
              </w:rPr>
              <w:t xml:space="preserve">-7,8 </w:t>
            </w:r>
          </w:p>
        </w:tc>
        <w:tc>
          <w:tcPr>
            <w:tcW w:w="773" w:type="dxa"/>
            <w:tcBorders>
              <w:top w:val="single" w:sz="8" w:space="0" w:color="002060"/>
              <w:left w:val="nil"/>
              <w:bottom w:val="nil"/>
              <w:right w:val="nil"/>
            </w:tcBorders>
          </w:tcPr>
          <w:p w:rsidR="00E8309B" w:rsidRDefault="009D0949">
            <w:pPr>
              <w:spacing w:after="0" w:line="259" w:lineRule="auto"/>
              <w:ind w:left="0" w:right="20" w:firstLine="0"/>
              <w:jc w:val="center"/>
            </w:pPr>
            <w:r>
              <w:rPr>
                <w:sz w:val="18"/>
              </w:rPr>
              <w:t xml:space="preserve">4,2 </w:t>
            </w:r>
          </w:p>
        </w:tc>
        <w:tc>
          <w:tcPr>
            <w:tcW w:w="564" w:type="dxa"/>
            <w:tcBorders>
              <w:top w:val="single" w:sz="8" w:space="0" w:color="002060"/>
              <w:left w:val="nil"/>
              <w:bottom w:val="nil"/>
              <w:right w:val="single" w:sz="8" w:space="0" w:color="000000"/>
            </w:tcBorders>
          </w:tcPr>
          <w:p w:rsidR="00E8309B" w:rsidRDefault="009D0949">
            <w:pPr>
              <w:spacing w:after="0" w:line="259" w:lineRule="auto"/>
              <w:ind w:left="0" w:right="44" w:firstLine="0"/>
              <w:jc w:val="right"/>
            </w:pPr>
            <w:r>
              <w:rPr>
                <w:sz w:val="18"/>
              </w:rPr>
              <w:t xml:space="preserve">3,0 </w:t>
            </w:r>
          </w:p>
        </w:tc>
        <w:tc>
          <w:tcPr>
            <w:tcW w:w="1069" w:type="dxa"/>
            <w:tcBorders>
              <w:top w:val="single" w:sz="8" w:space="0" w:color="002060"/>
              <w:left w:val="single" w:sz="8" w:space="0" w:color="000000"/>
              <w:bottom w:val="nil"/>
              <w:right w:val="nil"/>
            </w:tcBorders>
          </w:tcPr>
          <w:p w:rsidR="00E8309B" w:rsidRDefault="009D0949">
            <w:pPr>
              <w:spacing w:after="0" w:line="259" w:lineRule="auto"/>
              <w:ind w:left="157" w:right="0" w:firstLine="0"/>
              <w:jc w:val="center"/>
            </w:pPr>
            <w:r>
              <w:rPr>
                <w:sz w:val="18"/>
              </w:rPr>
              <w:t xml:space="preserve">-7,7 </w:t>
            </w:r>
          </w:p>
        </w:tc>
        <w:tc>
          <w:tcPr>
            <w:tcW w:w="598" w:type="dxa"/>
            <w:tcBorders>
              <w:top w:val="single" w:sz="8" w:space="0" w:color="002060"/>
              <w:left w:val="nil"/>
              <w:bottom w:val="nil"/>
              <w:right w:val="single" w:sz="8" w:space="0" w:color="000000"/>
            </w:tcBorders>
          </w:tcPr>
          <w:p w:rsidR="00E8309B" w:rsidRDefault="009D0949">
            <w:pPr>
              <w:spacing w:after="0" w:line="259" w:lineRule="auto"/>
              <w:ind w:left="0" w:right="47" w:firstLine="0"/>
              <w:jc w:val="right"/>
            </w:pPr>
            <w:r>
              <w:rPr>
                <w:sz w:val="18"/>
              </w:rPr>
              <w:t xml:space="preserve">6,3 </w:t>
            </w:r>
          </w:p>
        </w:tc>
        <w:tc>
          <w:tcPr>
            <w:tcW w:w="1068" w:type="dxa"/>
            <w:tcBorders>
              <w:top w:val="single" w:sz="8" w:space="0" w:color="002060"/>
              <w:left w:val="single" w:sz="8" w:space="0" w:color="000000"/>
              <w:bottom w:val="nil"/>
              <w:right w:val="nil"/>
            </w:tcBorders>
          </w:tcPr>
          <w:p w:rsidR="00E8309B" w:rsidRDefault="009D0949">
            <w:pPr>
              <w:spacing w:after="0" w:line="259" w:lineRule="auto"/>
              <w:ind w:left="217" w:right="0" w:firstLine="0"/>
              <w:jc w:val="center"/>
            </w:pPr>
            <w:r>
              <w:rPr>
                <w:sz w:val="18"/>
              </w:rPr>
              <w:t xml:space="preserve">1,2 </w:t>
            </w:r>
          </w:p>
        </w:tc>
        <w:tc>
          <w:tcPr>
            <w:tcW w:w="600" w:type="dxa"/>
            <w:tcBorders>
              <w:top w:val="single" w:sz="8" w:space="0" w:color="002060"/>
              <w:left w:val="nil"/>
              <w:bottom w:val="nil"/>
              <w:right w:val="nil"/>
            </w:tcBorders>
          </w:tcPr>
          <w:p w:rsidR="00E8309B" w:rsidRDefault="009D0949">
            <w:pPr>
              <w:spacing w:after="0" w:line="259" w:lineRule="auto"/>
              <w:ind w:left="0" w:right="49" w:firstLine="0"/>
              <w:jc w:val="right"/>
            </w:pPr>
            <w:r>
              <w:rPr>
                <w:sz w:val="18"/>
              </w:rPr>
              <w:t xml:space="preserve">1,2 </w:t>
            </w:r>
          </w:p>
        </w:tc>
      </w:tr>
      <w:tr w:rsidR="00E8309B">
        <w:trPr>
          <w:trHeight w:val="284"/>
        </w:trPr>
        <w:tc>
          <w:tcPr>
            <w:tcW w:w="4167" w:type="dxa"/>
            <w:tcBorders>
              <w:top w:val="nil"/>
              <w:left w:val="nil"/>
              <w:bottom w:val="nil"/>
              <w:right w:val="nil"/>
            </w:tcBorders>
          </w:tcPr>
          <w:p w:rsidR="00E8309B" w:rsidRDefault="009D0949">
            <w:pPr>
              <w:spacing w:after="0" w:line="259" w:lineRule="auto"/>
              <w:ind w:left="483" w:right="0" w:firstLine="0"/>
              <w:jc w:val="left"/>
            </w:pPr>
            <w:r>
              <w:rPr>
                <w:sz w:val="18"/>
              </w:rPr>
              <w:t xml:space="preserve">Лична потрошња </w:t>
            </w:r>
          </w:p>
        </w:tc>
        <w:tc>
          <w:tcPr>
            <w:tcW w:w="785" w:type="dxa"/>
            <w:tcBorders>
              <w:top w:val="nil"/>
              <w:left w:val="nil"/>
              <w:bottom w:val="nil"/>
              <w:right w:val="nil"/>
            </w:tcBorders>
          </w:tcPr>
          <w:p w:rsidR="00E8309B" w:rsidRDefault="009D0949">
            <w:pPr>
              <w:spacing w:after="0" w:line="259" w:lineRule="auto"/>
              <w:ind w:left="185" w:right="0" w:firstLine="0"/>
              <w:jc w:val="left"/>
            </w:pPr>
            <w:r>
              <w:rPr>
                <w:sz w:val="18"/>
              </w:rPr>
              <w:t xml:space="preserve">-8,7 </w:t>
            </w:r>
          </w:p>
        </w:tc>
        <w:tc>
          <w:tcPr>
            <w:tcW w:w="773" w:type="dxa"/>
            <w:tcBorders>
              <w:top w:val="nil"/>
              <w:left w:val="nil"/>
              <w:bottom w:val="nil"/>
              <w:right w:val="nil"/>
            </w:tcBorders>
          </w:tcPr>
          <w:p w:rsidR="00E8309B" w:rsidRDefault="009D0949">
            <w:pPr>
              <w:spacing w:after="0" w:line="259" w:lineRule="auto"/>
              <w:ind w:left="0" w:right="20" w:firstLine="0"/>
              <w:jc w:val="center"/>
            </w:pPr>
            <w:r>
              <w:rPr>
                <w:sz w:val="18"/>
              </w:rPr>
              <w:t xml:space="preserve">4,3 </w:t>
            </w:r>
          </w:p>
        </w:tc>
        <w:tc>
          <w:tcPr>
            <w:tcW w:w="564" w:type="dxa"/>
            <w:tcBorders>
              <w:top w:val="nil"/>
              <w:left w:val="nil"/>
              <w:bottom w:val="nil"/>
              <w:right w:val="single" w:sz="8" w:space="0" w:color="000000"/>
            </w:tcBorders>
          </w:tcPr>
          <w:p w:rsidR="00E8309B" w:rsidRDefault="009D0949">
            <w:pPr>
              <w:spacing w:after="0" w:line="259" w:lineRule="auto"/>
              <w:ind w:left="0" w:right="44" w:firstLine="0"/>
              <w:jc w:val="right"/>
            </w:pPr>
            <w:r>
              <w:rPr>
                <w:sz w:val="18"/>
              </w:rPr>
              <w:t xml:space="preserve">3,3 </w:t>
            </w:r>
          </w:p>
        </w:tc>
        <w:tc>
          <w:tcPr>
            <w:tcW w:w="1069" w:type="dxa"/>
            <w:tcBorders>
              <w:top w:val="nil"/>
              <w:left w:val="single" w:sz="8" w:space="0" w:color="000000"/>
              <w:bottom w:val="nil"/>
              <w:right w:val="nil"/>
            </w:tcBorders>
          </w:tcPr>
          <w:p w:rsidR="00E8309B" w:rsidRDefault="009D0949">
            <w:pPr>
              <w:spacing w:after="0" w:line="259" w:lineRule="auto"/>
              <w:ind w:left="157" w:right="0" w:firstLine="0"/>
              <w:jc w:val="center"/>
            </w:pPr>
            <w:r>
              <w:rPr>
                <w:sz w:val="18"/>
              </w:rPr>
              <w:t xml:space="preserve">-9,0 </w:t>
            </w:r>
          </w:p>
        </w:tc>
        <w:tc>
          <w:tcPr>
            <w:tcW w:w="598" w:type="dxa"/>
            <w:tcBorders>
              <w:top w:val="nil"/>
              <w:left w:val="nil"/>
              <w:bottom w:val="nil"/>
              <w:right w:val="single" w:sz="8" w:space="0" w:color="000000"/>
            </w:tcBorders>
          </w:tcPr>
          <w:p w:rsidR="00E8309B" w:rsidRDefault="009D0949">
            <w:pPr>
              <w:spacing w:after="0" w:line="259" w:lineRule="auto"/>
              <w:ind w:left="0" w:right="47" w:firstLine="0"/>
              <w:jc w:val="right"/>
            </w:pPr>
            <w:r>
              <w:rPr>
                <w:sz w:val="18"/>
              </w:rPr>
              <w:t xml:space="preserve">7,1 </w:t>
            </w:r>
          </w:p>
        </w:tc>
        <w:tc>
          <w:tcPr>
            <w:tcW w:w="1068" w:type="dxa"/>
            <w:tcBorders>
              <w:top w:val="nil"/>
              <w:left w:val="single" w:sz="8" w:space="0" w:color="000000"/>
              <w:bottom w:val="nil"/>
              <w:right w:val="nil"/>
            </w:tcBorders>
          </w:tcPr>
          <w:p w:rsidR="00E8309B" w:rsidRDefault="009D0949">
            <w:pPr>
              <w:spacing w:after="0" w:line="259" w:lineRule="auto"/>
              <w:ind w:left="217" w:right="0" w:firstLine="0"/>
              <w:jc w:val="center"/>
            </w:pPr>
            <w:r>
              <w:rPr>
                <w:sz w:val="18"/>
              </w:rPr>
              <w:t xml:space="preserve">1,2 </w:t>
            </w:r>
          </w:p>
        </w:tc>
        <w:tc>
          <w:tcPr>
            <w:tcW w:w="600" w:type="dxa"/>
            <w:tcBorders>
              <w:top w:val="nil"/>
              <w:left w:val="nil"/>
              <w:bottom w:val="nil"/>
              <w:right w:val="nil"/>
            </w:tcBorders>
          </w:tcPr>
          <w:p w:rsidR="00E8309B" w:rsidRDefault="009D0949">
            <w:pPr>
              <w:spacing w:after="0" w:line="259" w:lineRule="auto"/>
              <w:ind w:left="0" w:right="49" w:firstLine="0"/>
              <w:jc w:val="right"/>
            </w:pPr>
            <w:r>
              <w:rPr>
                <w:sz w:val="18"/>
              </w:rPr>
              <w:t xml:space="preserve">1,2 </w:t>
            </w:r>
          </w:p>
        </w:tc>
      </w:tr>
      <w:tr w:rsidR="00E8309B">
        <w:trPr>
          <w:trHeight w:val="283"/>
        </w:trPr>
        <w:tc>
          <w:tcPr>
            <w:tcW w:w="4167" w:type="dxa"/>
            <w:tcBorders>
              <w:top w:val="nil"/>
              <w:left w:val="nil"/>
              <w:bottom w:val="nil"/>
              <w:right w:val="nil"/>
            </w:tcBorders>
          </w:tcPr>
          <w:p w:rsidR="00E8309B" w:rsidRDefault="009D0949">
            <w:pPr>
              <w:spacing w:after="0" w:line="259" w:lineRule="auto"/>
              <w:ind w:left="483" w:right="0" w:firstLine="0"/>
              <w:jc w:val="left"/>
            </w:pPr>
            <w:r>
              <w:rPr>
                <w:sz w:val="18"/>
              </w:rPr>
              <w:lastRenderedPageBreak/>
              <w:t xml:space="preserve">Државна потрошња </w:t>
            </w:r>
          </w:p>
        </w:tc>
        <w:tc>
          <w:tcPr>
            <w:tcW w:w="785" w:type="dxa"/>
            <w:tcBorders>
              <w:top w:val="nil"/>
              <w:left w:val="nil"/>
              <w:bottom w:val="nil"/>
              <w:right w:val="nil"/>
            </w:tcBorders>
          </w:tcPr>
          <w:p w:rsidR="00E8309B" w:rsidRDefault="009D0949">
            <w:pPr>
              <w:spacing w:after="0" w:line="259" w:lineRule="auto"/>
              <w:ind w:left="0" w:right="9" w:firstLine="0"/>
              <w:jc w:val="center"/>
            </w:pPr>
            <w:r>
              <w:rPr>
                <w:sz w:val="18"/>
              </w:rPr>
              <w:t xml:space="preserve">1,9 </w:t>
            </w:r>
          </w:p>
        </w:tc>
        <w:tc>
          <w:tcPr>
            <w:tcW w:w="773" w:type="dxa"/>
            <w:tcBorders>
              <w:top w:val="nil"/>
              <w:left w:val="nil"/>
              <w:bottom w:val="nil"/>
              <w:right w:val="nil"/>
            </w:tcBorders>
          </w:tcPr>
          <w:p w:rsidR="00E8309B" w:rsidRDefault="009D0949">
            <w:pPr>
              <w:spacing w:after="0" w:line="259" w:lineRule="auto"/>
              <w:ind w:left="0" w:right="20" w:firstLine="0"/>
              <w:jc w:val="center"/>
            </w:pPr>
            <w:r>
              <w:rPr>
                <w:sz w:val="18"/>
              </w:rPr>
              <w:t xml:space="preserve">2,3 </w:t>
            </w:r>
          </w:p>
        </w:tc>
        <w:tc>
          <w:tcPr>
            <w:tcW w:w="564" w:type="dxa"/>
            <w:tcBorders>
              <w:top w:val="nil"/>
              <w:left w:val="nil"/>
              <w:bottom w:val="nil"/>
              <w:right w:val="single" w:sz="8" w:space="0" w:color="000000"/>
            </w:tcBorders>
          </w:tcPr>
          <w:p w:rsidR="00E8309B" w:rsidRDefault="009D0949">
            <w:pPr>
              <w:spacing w:after="0" w:line="259" w:lineRule="auto"/>
              <w:ind w:left="0" w:right="44" w:firstLine="0"/>
              <w:jc w:val="right"/>
            </w:pPr>
            <w:r>
              <w:rPr>
                <w:sz w:val="18"/>
              </w:rPr>
              <w:t xml:space="preserve">1,0 </w:t>
            </w:r>
          </w:p>
        </w:tc>
        <w:tc>
          <w:tcPr>
            <w:tcW w:w="1069" w:type="dxa"/>
            <w:tcBorders>
              <w:top w:val="nil"/>
              <w:left w:val="single" w:sz="8" w:space="0" w:color="000000"/>
              <w:bottom w:val="nil"/>
              <w:right w:val="nil"/>
            </w:tcBorders>
          </w:tcPr>
          <w:p w:rsidR="00E8309B" w:rsidRDefault="009D0949">
            <w:pPr>
              <w:spacing w:after="0" w:line="259" w:lineRule="auto"/>
              <w:ind w:left="217" w:right="0" w:firstLine="0"/>
              <w:jc w:val="center"/>
            </w:pPr>
            <w:r>
              <w:rPr>
                <w:sz w:val="18"/>
              </w:rPr>
              <w:t xml:space="preserve">3,2 </w:t>
            </w:r>
          </w:p>
        </w:tc>
        <w:tc>
          <w:tcPr>
            <w:tcW w:w="598" w:type="dxa"/>
            <w:tcBorders>
              <w:top w:val="nil"/>
              <w:left w:val="nil"/>
              <w:bottom w:val="nil"/>
              <w:right w:val="single" w:sz="8" w:space="0" w:color="000000"/>
            </w:tcBorders>
          </w:tcPr>
          <w:p w:rsidR="00E8309B" w:rsidRDefault="009D0949">
            <w:pPr>
              <w:spacing w:after="0" w:line="259" w:lineRule="auto"/>
              <w:ind w:left="0" w:right="47" w:firstLine="0"/>
              <w:jc w:val="right"/>
            </w:pPr>
            <w:r>
              <w:rPr>
                <w:sz w:val="18"/>
              </w:rPr>
              <w:t>0,6</w:t>
            </w:r>
            <w:r>
              <w:rPr>
                <w:sz w:val="18"/>
              </w:rPr>
              <w:t xml:space="preserve"> </w:t>
            </w:r>
          </w:p>
        </w:tc>
        <w:tc>
          <w:tcPr>
            <w:tcW w:w="1068" w:type="dxa"/>
            <w:tcBorders>
              <w:top w:val="nil"/>
              <w:left w:val="single" w:sz="8" w:space="0" w:color="000000"/>
              <w:bottom w:val="nil"/>
              <w:right w:val="nil"/>
            </w:tcBorders>
          </w:tcPr>
          <w:p w:rsidR="00E8309B" w:rsidRDefault="009D0949">
            <w:pPr>
              <w:spacing w:after="0" w:line="259" w:lineRule="auto"/>
              <w:ind w:left="217" w:right="0" w:firstLine="0"/>
              <w:jc w:val="center"/>
            </w:pPr>
            <w:r>
              <w:rPr>
                <w:sz w:val="18"/>
              </w:rPr>
              <w:t xml:space="preserve">1,5 </w:t>
            </w:r>
          </w:p>
        </w:tc>
        <w:tc>
          <w:tcPr>
            <w:tcW w:w="600" w:type="dxa"/>
            <w:tcBorders>
              <w:top w:val="nil"/>
              <w:left w:val="nil"/>
              <w:bottom w:val="nil"/>
              <w:right w:val="nil"/>
            </w:tcBorders>
          </w:tcPr>
          <w:p w:rsidR="00E8309B" w:rsidRDefault="009D0949">
            <w:pPr>
              <w:spacing w:after="0" w:line="259" w:lineRule="auto"/>
              <w:ind w:left="0" w:right="49" w:firstLine="0"/>
              <w:jc w:val="right"/>
            </w:pPr>
            <w:r>
              <w:rPr>
                <w:sz w:val="18"/>
              </w:rPr>
              <w:t xml:space="preserve">1,3 </w:t>
            </w:r>
          </w:p>
        </w:tc>
      </w:tr>
      <w:tr w:rsidR="00E8309B">
        <w:trPr>
          <w:trHeight w:val="285"/>
        </w:trPr>
        <w:tc>
          <w:tcPr>
            <w:tcW w:w="4167" w:type="dxa"/>
            <w:tcBorders>
              <w:top w:val="nil"/>
              <w:left w:val="nil"/>
              <w:bottom w:val="nil"/>
              <w:right w:val="nil"/>
            </w:tcBorders>
          </w:tcPr>
          <w:p w:rsidR="00E8309B" w:rsidRDefault="009D0949">
            <w:pPr>
              <w:spacing w:after="0" w:line="259" w:lineRule="auto"/>
              <w:ind w:left="483" w:right="0" w:firstLine="0"/>
              <w:jc w:val="left"/>
            </w:pPr>
            <w:r>
              <w:rPr>
                <w:sz w:val="18"/>
              </w:rPr>
              <w:t xml:space="preserve">Бруто инвестиције у основна средства </w:t>
            </w:r>
          </w:p>
        </w:tc>
        <w:tc>
          <w:tcPr>
            <w:tcW w:w="785" w:type="dxa"/>
            <w:tcBorders>
              <w:top w:val="nil"/>
              <w:left w:val="nil"/>
              <w:bottom w:val="nil"/>
              <w:right w:val="nil"/>
            </w:tcBorders>
          </w:tcPr>
          <w:p w:rsidR="00E8309B" w:rsidRDefault="009D0949">
            <w:pPr>
              <w:spacing w:after="0" w:line="259" w:lineRule="auto"/>
              <w:ind w:left="96" w:right="0" w:firstLine="0"/>
              <w:jc w:val="left"/>
            </w:pPr>
            <w:r>
              <w:rPr>
                <w:sz w:val="18"/>
              </w:rPr>
              <w:t xml:space="preserve">-11,2 </w:t>
            </w:r>
          </w:p>
        </w:tc>
        <w:tc>
          <w:tcPr>
            <w:tcW w:w="773" w:type="dxa"/>
            <w:tcBorders>
              <w:top w:val="nil"/>
              <w:left w:val="nil"/>
              <w:bottom w:val="nil"/>
              <w:right w:val="nil"/>
            </w:tcBorders>
          </w:tcPr>
          <w:p w:rsidR="00E8309B" w:rsidRDefault="009D0949">
            <w:pPr>
              <w:spacing w:after="0" w:line="259" w:lineRule="auto"/>
              <w:ind w:left="0" w:right="20" w:firstLine="0"/>
              <w:jc w:val="center"/>
            </w:pPr>
            <w:r>
              <w:rPr>
                <w:sz w:val="18"/>
              </w:rPr>
              <w:t xml:space="preserve">6,1 </w:t>
            </w:r>
          </w:p>
        </w:tc>
        <w:tc>
          <w:tcPr>
            <w:tcW w:w="564" w:type="dxa"/>
            <w:tcBorders>
              <w:top w:val="nil"/>
              <w:left w:val="nil"/>
              <w:bottom w:val="nil"/>
              <w:right w:val="single" w:sz="8" w:space="0" w:color="000000"/>
            </w:tcBorders>
          </w:tcPr>
          <w:p w:rsidR="00E8309B" w:rsidRDefault="009D0949">
            <w:pPr>
              <w:spacing w:after="0" w:line="259" w:lineRule="auto"/>
              <w:ind w:left="0" w:right="44" w:firstLine="0"/>
              <w:jc w:val="right"/>
            </w:pPr>
            <w:r>
              <w:rPr>
                <w:sz w:val="18"/>
              </w:rPr>
              <w:t xml:space="preserve">4,2 </w:t>
            </w:r>
          </w:p>
        </w:tc>
        <w:tc>
          <w:tcPr>
            <w:tcW w:w="1069" w:type="dxa"/>
            <w:tcBorders>
              <w:top w:val="nil"/>
              <w:left w:val="single" w:sz="8" w:space="0" w:color="000000"/>
              <w:bottom w:val="nil"/>
              <w:right w:val="nil"/>
            </w:tcBorders>
          </w:tcPr>
          <w:p w:rsidR="00E8309B" w:rsidRDefault="009D0949">
            <w:pPr>
              <w:spacing w:after="0" w:line="259" w:lineRule="auto"/>
              <w:ind w:left="68" w:right="0" w:firstLine="0"/>
              <w:jc w:val="center"/>
            </w:pPr>
            <w:r>
              <w:rPr>
                <w:sz w:val="18"/>
              </w:rPr>
              <w:t xml:space="preserve">-13,3 </w:t>
            </w:r>
          </w:p>
        </w:tc>
        <w:tc>
          <w:tcPr>
            <w:tcW w:w="598" w:type="dxa"/>
            <w:tcBorders>
              <w:top w:val="nil"/>
              <w:left w:val="nil"/>
              <w:bottom w:val="nil"/>
              <w:right w:val="single" w:sz="8" w:space="0" w:color="000000"/>
            </w:tcBorders>
          </w:tcPr>
          <w:p w:rsidR="00E8309B" w:rsidRDefault="009D0949">
            <w:pPr>
              <w:spacing w:after="0" w:line="259" w:lineRule="auto"/>
              <w:ind w:left="0" w:right="46" w:firstLine="0"/>
              <w:jc w:val="right"/>
            </w:pPr>
            <w:r>
              <w:rPr>
                <w:sz w:val="18"/>
              </w:rPr>
              <w:t xml:space="preserve">10,2 </w:t>
            </w:r>
          </w:p>
        </w:tc>
        <w:tc>
          <w:tcPr>
            <w:tcW w:w="1068" w:type="dxa"/>
            <w:tcBorders>
              <w:top w:val="nil"/>
              <w:left w:val="single" w:sz="8" w:space="0" w:color="000000"/>
              <w:bottom w:val="nil"/>
              <w:right w:val="nil"/>
            </w:tcBorders>
          </w:tcPr>
          <w:p w:rsidR="00E8309B" w:rsidRDefault="009D0949">
            <w:pPr>
              <w:spacing w:after="0" w:line="259" w:lineRule="auto"/>
              <w:ind w:left="217" w:right="0" w:firstLine="0"/>
              <w:jc w:val="center"/>
            </w:pPr>
            <w:r>
              <w:rPr>
                <w:sz w:val="18"/>
              </w:rPr>
              <w:t xml:space="preserve">2,0 </w:t>
            </w:r>
          </w:p>
        </w:tc>
        <w:tc>
          <w:tcPr>
            <w:tcW w:w="600" w:type="dxa"/>
            <w:tcBorders>
              <w:top w:val="nil"/>
              <w:left w:val="nil"/>
              <w:bottom w:val="nil"/>
              <w:right w:val="nil"/>
            </w:tcBorders>
          </w:tcPr>
          <w:p w:rsidR="00E8309B" w:rsidRDefault="009D0949">
            <w:pPr>
              <w:spacing w:after="0" w:line="259" w:lineRule="auto"/>
              <w:ind w:left="0" w:right="49" w:firstLine="0"/>
              <w:jc w:val="right"/>
            </w:pPr>
            <w:r>
              <w:rPr>
                <w:sz w:val="18"/>
              </w:rPr>
              <w:t xml:space="preserve">1,9 </w:t>
            </w:r>
          </w:p>
        </w:tc>
      </w:tr>
      <w:tr w:rsidR="00E8309B">
        <w:trPr>
          <w:trHeight w:val="284"/>
        </w:trPr>
        <w:tc>
          <w:tcPr>
            <w:tcW w:w="4167" w:type="dxa"/>
            <w:tcBorders>
              <w:top w:val="nil"/>
              <w:left w:val="nil"/>
              <w:bottom w:val="nil"/>
              <w:right w:val="nil"/>
            </w:tcBorders>
          </w:tcPr>
          <w:p w:rsidR="00E8309B" w:rsidRDefault="009D0949">
            <w:pPr>
              <w:spacing w:after="0" w:line="259" w:lineRule="auto"/>
              <w:ind w:left="483" w:right="0" w:firstLine="0"/>
              <w:jc w:val="left"/>
            </w:pPr>
            <w:r>
              <w:rPr>
                <w:sz w:val="18"/>
              </w:rPr>
              <w:t xml:space="preserve">Извоз </w:t>
            </w:r>
          </w:p>
        </w:tc>
        <w:tc>
          <w:tcPr>
            <w:tcW w:w="785" w:type="dxa"/>
            <w:tcBorders>
              <w:top w:val="nil"/>
              <w:left w:val="nil"/>
              <w:bottom w:val="nil"/>
              <w:right w:val="nil"/>
            </w:tcBorders>
          </w:tcPr>
          <w:p w:rsidR="00E8309B" w:rsidRDefault="009D0949">
            <w:pPr>
              <w:spacing w:after="0" w:line="259" w:lineRule="auto"/>
              <w:ind w:left="96" w:right="0" w:firstLine="0"/>
              <w:jc w:val="left"/>
            </w:pPr>
            <w:r>
              <w:rPr>
                <w:sz w:val="18"/>
              </w:rPr>
              <w:t xml:space="preserve">-11,5 </w:t>
            </w:r>
          </w:p>
        </w:tc>
        <w:tc>
          <w:tcPr>
            <w:tcW w:w="773" w:type="dxa"/>
            <w:tcBorders>
              <w:top w:val="nil"/>
              <w:left w:val="nil"/>
              <w:bottom w:val="nil"/>
              <w:right w:val="nil"/>
            </w:tcBorders>
          </w:tcPr>
          <w:p w:rsidR="00E8309B" w:rsidRDefault="009D0949">
            <w:pPr>
              <w:spacing w:after="0" w:line="259" w:lineRule="auto"/>
              <w:ind w:left="0" w:right="20" w:firstLine="0"/>
              <w:jc w:val="center"/>
            </w:pPr>
            <w:r>
              <w:rPr>
                <w:sz w:val="18"/>
              </w:rPr>
              <w:t xml:space="preserve">6,2 </w:t>
            </w:r>
          </w:p>
        </w:tc>
        <w:tc>
          <w:tcPr>
            <w:tcW w:w="564" w:type="dxa"/>
            <w:tcBorders>
              <w:top w:val="nil"/>
              <w:left w:val="nil"/>
              <w:bottom w:val="nil"/>
              <w:right w:val="single" w:sz="8" w:space="0" w:color="000000"/>
            </w:tcBorders>
          </w:tcPr>
          <w:p w:rsidR="00E8309B" w:rsidRDefault="009D0949">
            <w:pPr>
              <w:spacing w:after="0" w:line="259" w:lineRule="auto"/>
              <w:ind w:left="0" w:right="44" w:firstLine="0"/>
              <w:jc w:val="right"/>
            </w:pPr>
            <w:r>
              <w:rPr>
                <w:sz w:val="18"/>
              </w:rPr>
              <w:t xml:space="preserve">4,7 </w:t>
            </w:r>
          </w:p>
        </w:tc>
        <w:tc>
          <w:tcPr>
            <w:tcW w:w="1069" w:type="dxa"/>
            <w:tcBorders>
              <w:top w:val="nil"/>
              <w:left w:val="single" w:sz="8" w:space="0" w:color="000000"/>
              <w:bottom w:val="nil"/>
              <w:right w:val="nil"/>
            </w:tcBorders>
          </w:tcPr>
          <w:p w:rsidR="00E8309B" w:rsidRDefault="009D0949">
            <w:pPr>
              <w:spacing w:after="0" w:line="259" w:lineRule="auto"/>
              <w:ind w:left="68" w:right="0" w:firstLine="0"/>
              <w:jc w:val="center"/>
            </w:pPr>
            <w:r>
              <w:rPr>
                <w:sz w:val="18"/>
              </w:rPr>
              <w:t xml:space="preserve">-12,9 </w:t>
            </w:r>
          </w:p>
        </w:tc>
        <w:tc>
          <w:tcPr>
            <w:tcW w:w="598" w:type="dxa"/>
            <w:tcBorders>
              <w:top w:val="nil"/>
              <w:left w:val="nil"/>
              <w:bottom w:val="nil"/>
              <w:right w:val="single" w:sz="8" w:space="0" w:color="000000"/>
            </w:tcBorders>
          </w:tcPr>
          <w:p w:rsidR="00E8309B" w:rsidRDefault="009D0949">
            <w:pPr>
              <w:spacing w:after="0" w:line="259" w:lineRule="auto"/>
              <w:ind w:left="0" w:right="47" w:firstLine="0"/>
              <w:jc w:val="right"/>
            </w:pPr>
            <w:r>
              <w:rPr>
                <w:sz w:val="18"/>
              </w:rPr>
              <w:t xml:space="preserve">9,5 </w:t>
            </w:r>
          </w:p>
        </w:tc>
        <w:tc>
          <w:tcPr>
            <w:tcW w:w="1068" w:type="dxa"/>
            <w:tcBorders>
              <w:top w:val="nil"/>
              <w:left w:val="single" w:sz="8" w:space="0" w:color="000000"/>
              <w:bottom w:val="nil"/>
              <w:right w:val="nil"/>
            </w:tcBorders>
          </w:tcPr>
          <w:p w:rsidR="00E8309B" w:rsidRDefault="009D0949">
            <w:pPr>
              <w:spacing w:after="0" w:line="259" w:lineRule="auto"/>
              <w:ind w:left="217" w:right="0" w:firstLine="0"/>
              <w:jc w:val="center"/>
            </w:pPr>
            <w:r>
              <w:rPr>
                <w:sz w:val="18"/>
              </w:rPr>
              <w:t xml:space="preserve">2,1 </w:t>
            </w:r>
          </w:p>
        </w:tc>
        <w:tc>
          <w:tcPr>
            <w:tcW w:w="600" w:type="dxa"/>
            <w:tcBorders>
              <w:top w:val="nil"/>
              <w:left w:val="nil"/>
              <w:bottom w:val="nil"/>
              <w:right w:val="nil"/>
            </w:tcBorders>
          </w:tcPr>
          <w:p w:rsidR="00E8309B" w:rsidRDefault="009D0949">
            <w:pPr>
              <w:spacing w:after="0" w:line="259" w:lineRule="auto"/>
              <w:ind w:left="0" w:right="49" w:firstLine="0"/>
              <w:jc w:val="right"/>
            </w:pPr>
            <w:r>
              <w:rPr>
                <w:sz w:val="18"/>
              </w:rPr>
              <w:t xml:space="preserve">2,3 </w:t>
            </w:r>
          </w:p>
        </w:tc>
      </w:tr>
      <w:tr w:rsidR="00E8309B">
        <w:trPr>
          <w:trHeight w:val="283"/>
        </w:trPr>
        <w:tc>
          <w:tcPr>
            <w:tcW w:w="4167" w:type="dxa"/>
            <w:tcBorders>
              <w:top w:val="nil"/>
              <w:left w:val="nil"/>
              <w:bottom w:val="nil"/>
              <w:right w:val="nil"/>
            </w:tcBorders>
          </w:tcPr>
          <w:p w:rsidR="00E8309B" w:rsidRDefault="009D0949">
            <w:pPr>
              <w:spacing w:after="0" w:line="259" w:lineRule="auto"/>
              <w:ind w:left="483" w:right="0" w:firstLine="0"/>
              <w:jc w:val="left"/>
            </w:pPr>
            <w:r>
              <w:rPr>
                <w:sz w:val="18"/>
              </w:rPr>
              <w:t xml:space="preserve">Увоз </w:t>
            </w:r>
          </w:p>
        </w:tc>
        <w:tc>
          <w:tcPr>
            <w:tcW w:w="785" w:type="dxa"/>
            <w:tcBorders>
              <w:top w:val="nil"/>
              <w:left w:val="nil"/>
              <w:bottom w:val="nil"/>
              <w:right w:val="nil"/>
            </w:tcBorders>
          </w:tcPr>
          <w:p w:rsidR="00E8309B" w:rsidRDefault="009D0949">
            <w:pPr>
              <w:spacing w:after="0" w:line="259" w:lineRule="auto"/>
              <w:ind w:left="96" w:right="0" w:firstLine="0"/>
              <w:jc w:val="left"/>
            </w:pPr>
            <w:r>
              <w:rPr>
                <w:sz w:val="18"/>
              </w:rPr>
              <w:t xml:space="preserve">-10,1 </w:t>
            </w:r>
          </w:p>
        </w:tc>
        <w:tc>
          <w:tcPr>
            <w:tcW w:w="773" w:type="dxa"/>
            <w:tcBorders>
              <w:top w:val="nil"/>
              <w:left w:val="nil"/>
              <w:bottom w:val="nil"/>
              <w:right w:val="nil"/>
            </w:tcBorders>
          </w:tcPr>
          <w:p w:rsidR="00E8309B" w:rsidRDefault="009D0949">
            <w:pPr>
              <w:spacing w:after="0" w:line="259" w:lineRule="auto"/>
              <w:ind w:left="0" w:right="20" w:firstLine="0"/>
              <w:jc w:val="center"/>
            </w:pPr>
            <w:r>
              <w:rPr>
                <w:sz w:val="18"/>
              </w:rPr>
              <w:t xml:space="preserve">6,0 </w:t>
            </w:r>
          </w:p>
        </w:tc>
        <w:tc>
          <w:tcPr>
            <w:tcW w:w="564" w:type="dxa"/>
            <w:tcBorders>
              <w:top w:val="nil"/>
              <w:left w:val="nil"/>
              <w:bottom w:val="nil"/>
              <w:right w:val="single" w:sz="8" w:space="0" w:color="000000"/>
            </w:tcBorders>
          </w:tcPr>
          <w:p w:rsidR="00E8309B" w:rsidRDefault="009D0949">
            <w:pPr>
              <w:spacing w:after="0" w:line="259" w:lineRule="auto"/>
              <w:ind w:left="0" w:right="44" w:firstLine="0"/>
              <w:jc w:val="right"/>
            </w:pPr>
            <w:r>
              <w:rPr>
                <w:sz w:val="18"/>
              </w:rPr>
              <w:t xml:space="preserve">4,7 </w:t>
            </w:r>
          </w:p>
        </w:tc>
        <w:tc>
          <w:tcPr>
            <w:tcW w:w="1069" w:type="dxa"/>
            <w:tcBorders>
              <w:top w:val="nil"/>
              <w:left w:val="single" w:sz="8" w:space="0" w:color="000000"/>
              <w:bottom w:val="nil"/>
              <w:right w:val="nil"/>
            </w:tcBorders>
          </w:tcPr>
          <w:p w:rsidR="00E8309B" w:rsidRDefault="009D0949">
            <w:pPr>
              <w:spacing w:after="0" w:line="259" w:lineRule="auto"/>
              <w:ind w:left="68" w:right="0" w:firstLine="0"/>
              <w:jc w:val="center"/>
            </w:pPr>
            <w:r>
              <w:rPr>
                <w:sz w:val="18"/>
              </w:rPr>
              <w:t xml:space="preserve">-12,9 </w:t>
            </w:r>
          </w:p>
        </w:tc>
        <w:tc>
          <w:tcPr>
            <w:tcW w:w="598" w:type="dxa"/>
            <w:tcBorders>
              <w:top w:val="nil"/>
              <w:left w:val="nil"/>
              <w:bottom w:val="nil"/>
              <w:right w:val="single" w:sz="8" w:space="0" w:color="000000"/>
            </w:tcBorders>
          </w:tcPr>
          <w:p w:rsidR="00E8309B" w:rsidRDefault="009D0949">
            <w:pPr>
              <w:spacing w:after="0" w:line="259" w:lineRule="auto"/>
              <w:ind w:left="0" w:right="47" w:firstLine="0"/>
              <w:jc w:val="right"/>
            </w:pPr>
            <w:r>
              <w:rPr>
                <w:sz w:val="18"/>
              </w:rPr>
              <w:t xml:space="preserve">9,7 </w:t>
            </w:r>
          </w:p>
        </w:tc>
        <w:tc>
          <w:tcPr>
            <w:tcW w:w="1068" w:type="dxa"/>
            <w:tcBorders>
              <w:top w:val="nil"/>
              <w:left w:val="single" w:sz="8" w:space="0" w:color="000000"/>
              <w:bottom w:val="nil"/>
              <w:right w:val="nil"/>
            </w:tcBorders>
          </w:tcPr>
          <w:p w:rsidR="00E8309B" w:rsidRDefault="009D0949">
            <w:pPr>
              <w:spacing w:after="0" w:line="259" w:lineRule="auto"/>
              <w:ind w:left="217" w:right="0" w:firstLine="0"/>
              <w:jc w:val="center"/>
            </w:pPr>
            <w:r>
              <w:rPr>
                <w:sz w:val="18"/>
              </w:rPr>
              <w:t xml:space="preserve">2,6 </w:t>
            </w:r>
          </w:p>
        </w:tc>
        <w:tc>
          <w:tcPr>
            <w:tcW w:w="600" w:type="dxa"/>
            <w:tcBorders>
              <w:top w:val="nil"/>
              <w:left w:val="nil"/>
              <w:bottom w:val="nil"/>
              <w:right w:val="nil"/>
            </w:tcBorders>
          </w:tcPr>
          <w:p w:rsidR="00E8309B" w:rsidRDefault="009D0949">
            <w:pPr>
              <w:spacing w:after="0" w:line="259" w:lineRule="auto"/>
              <w:ind w:left="0" w:right="49" w:firstLine="0"/>
              <w:jc w:val="right"/>
            </w:pPr>
            <w:r>
              <w:rPr>
                <w:sz w:val="18"/>
              </w:rPr>
              <w:t xml:space="preserve">2,7 </w:t>
            </w:r>
          </w:p>
        </w:tc>
      </w:tr>
      <w:tr w:rsidR="00E8309B">
        <w:trPr>
          <w:trHeight w:val="284"/>
        </w:trPr>
        <w:tc>
          <w:tcPr>
            <w:tcW w:w="4167" w:type="dxa"/>
            <w:tcBorders>
              <w:top w:val="nil"/>
              <w:left w:val="nil"/>
              <w:bottom w:val="nil"/>
              <w:right w:val="nil"/>
            </w:tcBorders>
          </w:tcPr>
          <w:p w:rsidR="00E8309B" w:rsidRDefault="009D0949">
            <w:pPr>
              <w:spacing w:after="0" w:line="259" w:lineRule="auto"/>
              <w:ind w:left="303" w:right="0" w:firstLine="0"/>
              <w:jc w:val="left"/>
            </w:pPr>
            <w:r>
              <w:rPr>
                <w:sz w:val="18"/>
              </w:rPr>
              <w:t xml:space="preserve">Запосленост </w:t>
            </w:r>
          </w:p>
        </w:tc>
        <w:tc>
          <w:tcPr>
            <w:tcW w:w="785" w:type="dxa"/>
            <w:tcBorders>
              <w:top w:val="nil"/>
              <w:left w:val="nil"/>
              <w:bottom w:val="nil"/>
              <w:right w:val="nil"/>
            </w:tcBorders>
          </w:tcPr>
          <w:p w:rsidR="00E8309B" w:rsidRDefault="009D0949">
            <w:pPr>
              <w:spacing w:after="0" w:line="259" w:lineRule="auto"/>
              <w:ind w:left="185" w:right="0" w:firstLine="0"/>
              <w:jc w:val="left"/>
            </w:pPr>
            <w:r>
              <w:rPr>
                <w:sz w:val="18"/>
              </w:rPr>
              <w:t xml:space="preserve">-5,3 </w:t>
            </w:r>
          </w:p>
        </w:tc>
        <w:tc>
          <w:tcPr>
            <w:tcW w:w="773" w:type="dxa"/>
            <w:tcBorders>
              <w:top w:val="nil"/>
              <w:left w:val="nil"/>
              <w:bottom w:val="nil"/>
              <w:right w:val="nil"/>
            </w:tcBorders>
          </w:tcPr>
          <w:p w:rsidR="00E8309B" w:rsidRDefault="009D0949">
            <w:pPr>
              <w:spacing w:after="0" w:line="259" w:lineRule="auto"/>
              <w:ind w:left="0" w:right="20" w:firstLine="0"/>
              <w:jc w:val="center"/>
            </w:pPr>
            <w:r>
              <w:rPr>
                <w:sz w:val="18"/>
              </w:rPr>
              <w:t xml:space="preserve">2,5 </w:t>
            </w:r>
          </w:p>
        </w:tc>
        <w:tc>
          <w:tcPr>
            <w:tcW w:w="564" w:type="dxa"/>
            <w:tcBorders>
              <w:top w:val="nil"/>
              <w:left w:val="nil"/>
              <w:bottom w:val="nil"/>
              <w:right w:val="single" w:sz="8" w:space="0" w:color="000000"/>
            </w:tcBorders>
          </w:tcPr>
          <w:p w:rsidR="00E8309B" w:rsidRDefault="009D0949">
            <w:pPr>
              <w:spacing w:after="0" w:line="259" w:lineRule="auto"/>
              <w:ind w:left="0" w:right="44" w:firstLine="0"/>
              <w:jc w:val="right"/>
            </w:pPr>
            <w:r>
              <w:rPr>
                <w:sz w:val="18"/>
              </w:rPr>
              <w:t xml:space="preserve">1,6 </w:t>
            </w:r>
          </w:p>
        </w:tc>
        <w:tc>
          <w:tcPr>
            <w:tcW w:w="1069" w:type="dxa"/>
            <w:tcBorders>
              <w:top w:val="nil"/>
              <w:left w:val="single" w:sz="8" w:space="0" w:color="000000"/>
              <w:bottom w:val="nil"/>
              <w:right w:val="nil"/>
            </w:tcBorders>
          </w:tcPr>
          <w:p w:rsidR="00E8309B" w:rsidRDefault="009D0949">
            <w:pPr>
              <w:spacing w:after="0" w:line="259" w:lineRule="auto"/>
              <w:ind w:left="157" w:right="0" w:firstLine="0"/>
              <w:jc w:val="center"/>
            </w:pPr>
            <w:r>
              <w:rPr>
                <w:sz w:val="18"/>
              </w:rPr>
              <w:t xml:space="preserve">-4,7 </w:t>
            </w:r>
          </w:p>
        </w:tc>
        <w:tc>
          <w:tcPr>
            <w:tcW w:w="598" w:type="dxa"/>
            <w:tcBorders>
              <w:top w:val="nil"/>
              <w:left w:val="nil"/>
              <w:bottom w:val="nil"/>
              <w:right w:val="single" w:sz="8" w:space="0" w:color="000000"/>
            </w:tcBorders>
          </w:tcPr>
          <w:p w:rsidR="00E8309B" w:rsidRDefault="009D0949">
            <w:pPr>
              <w:spacing w:after="0" w:line="259" w:lineRule="auto"/>
              <w:ind w:left="0" w:right="47" w:firstLine="0"/>
              <w:jc w:val="right"/>
            </w:pPr>
            <w:r>
              <w:rPr>
                <w:sz w:val="18"/>
              </w:rPr>
              <w:t xml:space="preserve">3,9 </w:t>
            </w:r>
          </w:p>
        </w:tc>
        <w:tc>
          <w:tcPr>
            <w:tcW w:w="1068" w:type="dxa"/>
            <w:tcBorders>
              <w:top w:val="nil"/>
              <w:left w:val="single" w:sz="8" w:space="0" w:color="000000"/>
              <w:bottom w:val="nil"/>
              <w:right w:val="nil"/>
            </w:tcBorders>
          </w:tcPr>
          <w:p w:rsidR="00E8309B" w:rsidRDefault="009D0949">
            <w:pPr>
              <w:spacing w:after="0" w:line="259" w:lineRule="auto"/>
              <w:ind w:left="217" w:right="0" w:firstLine="0"/>
              <w:jc w:val="center"/>
            </w:pPr>
            <w:r>
              <w:rPr>
                <w:sz w:val="18"/>
              </w:rPr>
              <w:t xml:space="preserve">0,5 </w:t>
            </w:r>
          </w:p>
        </w:tc>
        <w:tc>
          <w:tcPr>
            <w:tcW w:w="600" w:type="dxa"/>
            <w:tcBorders>
              <w:top w:val="nil"/>
              <w:left w:val="nil"/>
              <w:bottom w:val="nil"/>
              <w:right w:val="nil"/>
            </w:tcBorders>
          </w:tcPr>
          <w:p w:rsidR="00E8309B" w:rsidRDefault="009D0949">
            <w:pPr>
              <w:spacing w:after="0" w:line="259" w:lineRule="auto"/>
              <w:ind w:left="0" w:right="49" w:firstLine="0"/>
              <w:jc w:val="right"/>
            </w:pPr>
            <w:r>
              <w:rPr>
                <w:sz w:val="18"/>
              </w:rPr>
              <w:t xml:space="preserve">0,5 </w:t>
            </w:r>
          </w:p>
        </w:tc>
      </w:tr>
      <w:tr w:rsidR="00E8309B">
        <w:trPr>
          <w:trHeight w:val="284"/>
        </w:trPr>
        <w:tc>
          <w:tcPr>
            <w:tcW w:w="4167" w:type="dxa"/>
            <w:tcBorders>
              <w:top w:val="nil"/>
              <w:left w:val="nil"/>
              <w:bottom w:val="nil"/>
              <w:right w:val="nil"/>
            </w:tcBorders>
          </w:tcPr>
          <w:p w:rsidR="00E8309B" w:rsidRDefault="009D0949">
            <w:pPr>
              <w:spacing w:after="0" w:line="259" w:lineRule="auto"/>
              <w:ind w:left="0" w:right="54" w:firstLine="0"/>
              <w:jc w:val="center"/>
            </w:pPr>
            <w:r>
              <w:rPr>
                <w:sz w:val="18"/>
              </w:rPr>
              <w:t xml:space="preserve">Стопа незапослености, проценат радне снаге </w:t>
            </w:r>
          </w:p>
        </w:tc>
        <w:tc>
          <w:tcPr>
            <w:tcW w:w="785" w:type="dxa"/>
            <w:tcBorders>
              <w:top w:val="nil"/>
              <w:left w:val="nil"/>
              <w:bottom w:val="nil"/>
              <w:right w:val="nil"/>
            </w:tcBorders>
          </w:tcPr>
          <w:p w:rsidR="00E8309B" w:rsidRDefault="009D0949">
            <w:pPr>
              <w:spacing w:after="0" w:line="259" w:lineRule="auto"/>
              <w:ind w:left="0" w:right="9" w:firstLine="0"/>
              <w:jc w:val="center"/>
            </w:pPr>
            <w:r>
              <w:rPr>
                <w:sz w:val="18"/>
              </w:rPr>
              <w:t xml:space="preserve">8,3 </w:t>
            </w:r>
          </w:p>
        </w:tc>
        <w:tc>
          <w:tcPr>
            <w:tcW w:w="773" w:type="dxa"/>
            <w:tcBorders>
              <w:top w:val="nil"/>
              <w:left w:val="nil"/>
              <w:bottom w:val="nil"/>
              <w:right w:val="nil"/>
            </w:tcBorders>
          </w:tcPr>
          <w:p w:rsidR="00E8309B" w:rsidRDefault="009D0949">
            <w:pPr>
              <w:spacing w:after="0" w:line="259" w:lineRule="auto"/>
              <w:ind w:left="0" w:right="20" w:firstLine="0"/>
              <w:jc w:val="center"/>
            </w:pPr>
            <w:r>
              <w:rPr>
                <w:sz w:val="18"/>
              </w:rPr>
              <w:t xml:space="preserve">9,4 </w:t>
            </w:r>
          </w:p>
        </w:tc>
        <w:tc>
          <w:tcPr>
            <w:tcW w:w="564" w:type="dxa"/>
            <w:tcBorders>
              <w:top w:val="nil"/>
              <w:left w:val="nil"/>
              <w:bottom w:val="nil"/>
              <w:right w:val="single" w:sz="8" w:space="0" w:color="000000"/>
            </w:tcBorders>
          </w:tcPr>
          <w:p w:rsidR="00E8309B" w:rsidRDefault="009D0949">
            <w:pPr>
              <w:spacing w:after="0" w:line="259" w:lineRule="auto"/>
              <w:ind w:left="0" w:right="44" w:firstLine="0"/>
              <w:jc w:val="right"/>
            </w:pPr>
            <w:r>
              <w:rPr>
                <w:sz w:val="18"/>
              </w:rPr>
              <w:t xml:space="preserve">8,9 </w:t>
            </w:r>
          </w:p>
        </w:tc>
        <w:tc>
          <w:tcPr>
            <w:tcW w:w="1069" w:type="dxa"/>
            <w:tcBorders>
              <w:top w:val="nil"/>
              <w:left w:val="single" w:sz="8" w:space="0" w:color="000000"/>
              <w:bottom w:val="nil"/>
              <w:right w:val="nil"/>
            </w:tcBorders>
          </w:tcPr>
          <w:p w:rsidR="00E8309B" w:rsidRDefault="009D0949">
            <w:pPr>
              <w:spacing w:after="0" w:line="259" w:lineRule="auto"/>
              <w:ind w:left="217" w:right="0" w:firstLine="0"/>
              <w:jc w:val="center"/>
            </w:pPr>
            <w:r>
              <w:rPr>
                <w:sz w:val="18"/>
              </w:rPr>
              <w:t xml:space="preserve">9,6 </w:t>
            </w:r>
          </w:p>
        </w:tc>
        <w:tc>
          <w:tcPr>
            <w:tcW w:w="598" w:type="dxa"/>
            <w:tcBorders>
              <w:top w:val="nil"/>
              <w:left w:val="nil"/>
              <w:bottom w:val="nil"/>
              <w:right w:val="single" w:sz="8" w:space="0" w:color="000000"/>
            </w:tcBorders>
          </w:tcPr>
          <w:p w:rsidR="00E8309B" w:rsidRDefault="009D0949">
            <w:pPr>
              <w:spacing w:after="0" w:line="259" w:lineRule="auto"/>
              <w:ind w:left="0" w:right="47" w:firstLine="0"/>
              <w:jc w:val="right"/>
            </w:pPr>
            <w:r>
              <w:rPr>
                <w:sz w:val="18"/>
              </w:rPr>
              <w:t xml:space="preserve">8,6 </w:t>
            </w:r>
          </w:p>
        </w:tc>
        <w:tc>
          <w:tcPr>
            <w:tcW w:w="1068" w:type="dxa"/>
            <w:tcBorders>
              <w:top w:val="nil"/>
              <w:left w:val="single" w:sz="8" w:space="0" w:color="000000"/>
              <w:bottom w:val="nil"/>
              <w:right w:val="nil"/>
            </w:tcBorders>
          </w:tcPr>
          <w:p w:rsidR="00E8309B" w:rsidRDefault="009D0949">
            <w:pPr>
              <w:spacing w:after="0" w:line="259" w:lineRule="auto"/>
              <w:ind w:left="217" w:right="0" w:firstLine="0"/>
              <w:jc w:val="center"/>
            </w:pPr>
            <w:r>
              <w:rPr>
                <w:sz w:val="18"/>
              </w:rPr>
              <w:t xml:space="preserve">7,4 </w:t>
            </w:r>
          </w:p>
        </w:tc>
        <w:tc>
          <w:tcPr>
            <w:tcW w:w="600" w:type="dxa"/>
            <w:tcBorders>
              <w:top w:val="nil"/>
              <w:left w:val="nil"/>
              <w:bottom w:val="nil"/>
              <w:right w:val="nil"/>
            </w:tcBorders>
          </w:tcPr>
          <w:p w:rsidR="00E8309B" w:rsidRDefault="009D0949">
            <w:pPr>
              <w:spacing w:after="0" w:line="259" w:lineRule="auto"/>
              <w:ind w:left="0" w:right="49" w:firstLine="0"/>
              <w:jc w:val="right"/>
            </w:pPr>
            <w:r>
              <w:rPr>
                <w:sz w:val="18"/>
              </w:rPr>
              <w:t xml:space="preserve">7,3 </w:t>
            </w:r>
          </w:p>
        </w:tc>
      </w:tr>
      <w:tr w:rsidR="00E8309B">
        <w:trPr>
          <w:trHeight w:val="283"/>
        </w:trPr>
        <w:tc>
          <w:tcPr>
            <w:tcW w:w="4167" w:type="dxa"/>
            <w:tcBorders>
              <w:top w:val="nil"/>
              <w:left w:val="nil"/>
              <w:bottom w:val="nil"/>
              <w:right w:val="nil"/>
            </w:tcBorders>
          </w:tcPr>
          <w:p w:rsidR="00E8309B" w:rsidRDefault="009D0949">
            <w:pPr>
              <w:spacing w:after="0" w:line="259" w:lineRule="auto"/>
              <w:ind w:left="303" w:right="0" w:firstLine="0"/>
              <w:jc w:val="left"/>
            </w:pPr>
            <w:r>
              <w:rPr>
                <w:sz w:val="18"/>
              </w:rPr>
              <w:t xml:space="preserve">Инфлација </w:t>
            </w:r>
          </w:p>
        </w:tc>
        <w:tc>
          <w:tcPr>
            <w:tcW w:w="785" w:type="dxa"/>
            <w:tcBorders>
              <w:top w:val="nil"/>
              <w:left w:val="nil"/>
              <w:bottom w:val="nil"/>
              <w:right w:val="nil"/>
            </w:tcBorders>
          </w:tcPr>
          <w:p w:rsidR="00E8309B" w:rsidRDefault="009D0949">
            <w:pPr>
              <w:spacing w:after="0" w:line="259" w:lineRule="auto"/>
              <w:ind w:left="0" w:right="9" w:firstLine="0"/>
              <w:jc w:val="center"/>
            </w:pPr>
            <w:r>
              <w:rPr>
                <w:sz w:val="18"/>
              </w:rPr>
              <w:t xml:space="preserve">0,3 </w:t>
            </w:r>
          </w:p>
        </w:tc>
        <w:tc>
          <w:tcPr>
            <w:tcW w:w="773" w:type="dxa"/>
            <w:tcBorders>
              <w:top w:val="nil"/>
              <w:left w:val="nil"/>
              <w:bottom w:val="nil"/>
              <w:right w:val="nil"/>
            </w:tcBorders>
          </w:tcPr>
          <w:p w:rsidR="00E8309B" w:rsidRDefault="009D0949">
            <w:pPr>
              <w:spacing w:after="0" w:line="259" w:lineRule="auto"/>
              <w:ind w:left="0" w:right="20" w:firstLine="0"/>
              <w:jc w:val="center"/>
            </w:pPr>
            <w:r>
              <w:rPr>
                <w:sz w:val="18"/>
              </w:rPr>
              <w:t xml:space="preserve">1,1 </w:t>
            </w:r>
          </w:p>
        </w:tc>
        <w:tc>
          <w:tcPr>
            <w:tcW w:w="564" w:type="dxa"/>
            <w:tcBorders>
              <w:top w:val="nil"/>
              <w:left w:val="nil"/>
              <w:bottom w:val="nil"/>
              <w:right w:val="single" w:sz="8" w:space="0" w:color="000000"/>
            </w:tcBorders>
          </w:tcPr>
          <w:p w:rsidR="00E8309B" w:rsidRDefault="009D0949">
            <w:pPr>
              <w:spacing w:after="0" w:line="259" w:lineRule="auto"/>
              <w:ind w:left="0" w:right="44" w:firstLine="0"/>
              <w:jc w:val="right"/>
            </w:pPr>
            <w:r>
              <w:rPr>
                <w:sz w:val="18"/>
              </w:rPr>
              <w:t xml:space="preserve">1,3 </w:t>
            </w:r>
          </w:p>
        </w:tc>
        <w:tc>
          <w:tcPr>
            <w:tcW w:w="1069" w:type="dxa"/>
            <w:tcBorders>
              <w:top w:val="nil"/>
              <w:left w:val="single" w:sz="8" w:space="0" w:color="000000"/>
              <w:bottom w:val="nil"/>
              <w:right w:val="nil"/>
            </w:tcBorders>
          </w:tcPr>
          <w:p w:rsidR="00E8309B" w:rsidRDefault="009D0949">
            <w:pPr>
              <w:spacing w:after="0" w:line="259" w:lineRule="auto"/>
              <w:ind w:left="217" w:right="0" w:firstLine="0"/>
              <w:jc w:val="center"/>
            </w:pPr>
            <w:r>
              <w:rPr>
                <w:sz w:val="18"/>
              </w:rPr>
              <w:t xml:space="preserve">0,2 </w:t>
            </w:r>
          </w:p>
        </w:tc>
        <w:tc>
          <w:tcPr>
            <w:tcW w:w="598" w:type="dxa"/>
            <w:tcBorders>
              <w:top w:val="nil"/>
              <w:left w:val="nil"/>
              <w:bottom w:val="nil"/>
              <w:right w:val="single" w:sz="8" w:space="0" w:color="000000"/>
            </w:tcBorders>
          </w:tcPr>
          <w:p w:rsidR="00E8309B" w:rsidRDefault="009D0949">
            <w:pPr>
              <w:spacing w:after="0" w:line="259" w:lineRule="auto"/>
              <w:ind w:left="0" w:right="47" w:firstLine="0"/>
              <w:jc w:val="right"/>
            </w:pPr>
            <w:r>
              <w:rPr>
                <w:sz w:val="18"/>
              </w:rPr>
              <w:t xml:space="preserve">1,1 </w:t>
            </w:r>
          </w:p>
        </w:tc>
        <w:tc>
          <w:tcPr>
            <w:tcW w:w="1068" w:type="dxa"/>
            <w:tcBorders>
              <w:top w:val="nil"/>
              <w:left w:val="single" w:sz="8" w:space="0" w:color="000000"/>
              <w:bottom w:val="nil"/>
              <w:right w:val="nil"/>
            </w:tcBorders>
          </w:tcPr>
          <w:p w:rsidR="00E8309B" w:rsidRDefault="009D0949">
            <w:pPr>
              <w:spacing w:after="0" w:line="259" w:lineRule="auto"/>
              <w:ind w:left="217" w:right="0" w:firstLine="0"/>
              <w:jc w:val="center"/>
            </w:pPr>
            <w:r>
              <w:rPr>
                <w:sz w:val="18"/>
              </w:rPr>
              <w:t xml:space="preserve">1,2 </w:t>
            </w:r>
          </w:p>
        </w:tc>
        <w:tc>
          <w:tcPr>
            <w:tcW w:w="600" w:type="dxa"/>
            <w:tcBorders>
              <w:top w:val="nil"/>
              <w:left w:val="nil"/>
              <w:bottom w:val="nil"/>
              <w:right w:val="nil"/>
            </w:tcBorders>
          </w:tcPr>
          <w:p w:rsidR="00E8309B" w:rsidRDefault="009D0949">
            <w:pPr>
              <w:spacing w:after="0" w:line="259" w:lineRule="auto"/>
              <w:ind w:left="0" w:right="49" w:firstLine="0"/>
              <w:jc w:val="right"/>
            </w:pPr>
            <w:r>
              <w:rPr>
                <w:sz w:val="18"/>
              </w:rPr>
              <w:t xml:space="preserve">1,3 </w:t>
            </w:r>
          </w:p>
        </w:tc>
      </w:tr>
      <w:tr w:rsidR="00E8309B">
        <w:trPr>
          <w:trHeight w:val="284"/>
        </w:trPr>
        <w:tc>
          <w:tcPr>
            <w:tcW w:w="4167" w:type="dxa"/>
            <w:tcBorders>
              <w:top w:val="nil"/>
              <w:left w:val="nil"/>
              <w:bottom w:val="nil"/>
              <w:right w:val="nil"/>
            </w:tcBorders>
          </w:tcPr>
          <w:p w:rsidR="00E8309B" w:rsidRDefault="009D0949">
            <w:pPr>
              <w:spacing w:after="0" w:line="259" w:lineRule="auto"/>
              <w:ind w:left="303" w:right="0" w:firstLine="0"/>
              <w:jc w:val="left"/>
            </w:pPr>
            <w:r>
              <w:rPr>
                <w:sz w:val="18"/>
              </w:rPr>
              <w:t xml:space="preserve">Јединични трошкови рада </w:t>
            </w:r>
          </w:p>
        </w:tc>
        <w:tc>
          <w:tcPr>
            <w:tcW w:w="785" w:type="dxa"/>
            <w:tcBorders>
              <w:top w:val="nil"/>
              <w:left w:val="nil"/>
              <w:bottom w:val="nil"/>
              <w:right w:val="nil"/>
            </w:tcBorders>
          </w:tcPr>
          <w:p w:rsidR="00E8309B" w:rsidRDefault="009D0949">
            <w:pPr>
              <w:spacing w:after="0" w:line="259" w:lineRule="auto"/>
              <w:ind w:left="0" w:right="9" w:firstLine="0"/>
              <w:jc w:val="center"/>
            </w:pPr>
            <w:r>
              <w:rPr>
                <w:sz w:val="18"/>
              </w:rPr>
              <w:t xml:space="preserve">4,2 </w:t>
            </w:r>
          </w:p>
        </w:tc>
        <w:tc>
          <w:tcPr>
            <w:tcW w:w="773" w:type="dxa"/>
            <w:tcBorders>
              <w:top w:val="nil"/>
              <w:left w:val="nil"/>
              <w:bottom w:val="nil"/>
              <w:right w:val="nil"/>
            </w:tcBorders>
          </w:tcPr>
          <w:p w:rsidR="00E8309B" w:rsidRDefault="009D0949">
            <w:pPr>
              <w:spacing w:after="0" w:line="259" w:lineRule="auto"/>
              <w:ind w:left="173" w:right="0" w:firstLine="0"/>
              <w:jc w:val="left"/>
            </w:pPr>
            <w:r>
              <w:rPr>
                <w:sz w:val="18"/>
              </w:rPr>
              <w:t xml:space="preserve">-0,5 </w:t>
            </w:r>
          </w:p>
        </w:tc>
        <w:tc>
          <w:tcPr>
            <w:tcW w:w="564" w:type="dxa"/>
            <w:tcBorders>
              <w:top w:val="nil"/>
              <w:left w:val="nil"/>
              <w:bottom w:val="nil"/>
              <w:right w:val="single" w:sz="8" w:space="0" w:color="000000"/>
            </w:tcBorders>
          </w:tcPr>
          <w:p w:rsidR="00E8309B" w:rsidRDefault="009D0949">
            <w:pPr>
              <w:spacing w:after="0" w:line="259" w:lineRule="auto"/>
              <w:ind w:left="0" w:right="44" w:firstLine="0"/>
              <w:jc w:val="right"/>
            </w:pPr>
            <w:r>
              <w:rPr>
                <w:sz w:val="18"/>
              </w:rPr>
              <w:t xml:space="preserve">0,0 </w:t>
            </w:r>
          </w:p>
        </w:tc>
        <w:tc>
          <w:tcPr>
            <w:tcW w:w="1069" w:type="dxa"/>
            <w:tcBorders>
              <w:top w:val="nil"/>
              <w:left w:val="single" w:sz="8" w:space="0" w:color="000000"/>
              <w:bottom w:val="nil"/>
              <w:right w:val="nil"/>
            </w:tcBorders>
          </w:tcPr>
          <w:p w:rsidR="00E8309B" w:rsidRDefault="009D0949">
            <w:pPr>
              <w:spacing w:after="0" w:line="259" w:lineRule="auto"/>
              <w:ind w:left="217" w:right="0" w:firstLine="0"/>
              <w:jc w:val="center"/>
            </w:pPr>
            <w:r>
              <w:rPr>
                <w:sz w:val="18"/>
              </w:rPr>
              <w:t xml:space="preserve">4,3 </w:t>
            </w:r>
          </w:p>
        </w:tc>
        <w:tc>
          <w:tcPr>
            <w:tcW w:w="598" w:type="dxa"/>
            <w:tcBorders>
              <w:top w:val="nil"/>
              <w:left w:val="nil"/>
              <w:bottom w:val="nil"/>
              <w:right w:val="single" w:sz="8" w:space="0" w:color="000000"/>
            </w:tcBorders>
          </w:tcPr>
          <w:p w:rsidR="00E8309B" w:rsidRDefault="009D0949">
            <w:pPr>
              <w:spacing w:after="0" w:line="259" w:lineRule="auto"/>
              <w:ind w:left="0" w:right="47" w:firstLine="0"/>
              <w:jc w:val="right"/>
            </w:pPr>
            <w:r>
              <w:rPr>
                <w:sz w:val="18"/>
              </w:rPr>
              <w:t xml:space="preserve">-1,9 </w:t>
            </w:r>
          </w:p>
        </w:tc>
        <w:tc>
          <w:tcPr>
            <w:tcW w:w="1068" w:type="dxa"/>
            <w:tcBorders>
              <w:top w:val="nil"/>
              <w:left w:val="single" w:sz="8" w:space="0" w:color="000000"/>
              <w:bottom w:val="nil"/>
              <w:right w:val="nil"/>
            </w:tcBorders>
          </w:tcPr>
          <w:p w:rsidR="00E8309B" w:rsidRDefault="009D0949">
            <w:pPr>
              <w:spacing w:after="0" w:line="259" w:lineRule="auto"/>
              <w:ind w:left="217" w:right="0" w:firstLine="0"/>
              <w:jc w:val="center"/>
            </w:pPr>
            <w:r>
              <w:rPr>
                <w:sz w:val="18"/>
              </w:rPr>
              <w:t xml:space="preserve">1,4 </w:t>
            </w:r>
          </w:p>
        </w:tc>
        <w:tc>
          <w:tcPr>
            <w:tcW w:w="600" w:type="dxa"/>
            <w:tcBorders>
              <w:top w:val="nil"/>
              <w:left w:val="nil"/>
              <w:bottom w:val="nil"/>
              <w:right w:val="nil"/>
            </w:tcBorders>
          </w:tcPr>
          <w:p w:rsidR="00E8309B" w:rsidRDefault="009D0949">
            <w:pPr>
              <w:spacing w:after="0" w:line="259" w:lineRule="auto"/>
              <w:ind w:left="0" w:right="49" w:firstLine="0"/>
              <w:jc w:val="right"/>
            </w:pPr>
            <w:r>
              <w:rPr>
                <w:sz w:val="18"/>
              </w:rPr>
              <w:t xml:space="preserve">1,4 </w:t>
            </w:r>
          </w:p>
        </w:tc>
      </w:tr>
      <w:tr w:rsidR="00E8309B">
        <w:trPr>
          <w:trHeight w:val="284"/>
        </w:trPr>
        <w:tc>
          <w:tcPr>
            <w:tcW w:w="4167" w:type="dxa"/>
            <w:tcBorders>
              <w:top w:val="nil"/>
              <w:left w:val="nil"/>
              <w:bottom w:val="nil"/>
              <w:right w:val="nil"/>
            </w:tcBorders>
          </w:tcPr>
          <w:p w:rsidR="00E8309B" w:rsidRDefault="009D0949">
            <w:pPr>
              <w:spacing w:after="0" w:line="259" w:lineRule="auto"/>
              <w:ind w:left="303" w:right="0" w:firstLine="0"/>
              <w:jc w:val="left"/>
            </w:pPr>
            <w:r>
              <w:rPr>
                <w:sz w:val="18"/>
              </w:rPr>
              <w:t xml:space="preserve">Фискални резултат опште државе, % БДП </w:t>
            </w:r>
          </w:p>
        </w:tc>
        <w:tc>
          <w:tcPr>
            <w:tcW w:w="785" w:type="dxa"/>
            <w:tcBorders>
              <w:top w:val="nil"/>
              <w:left w:val="nil"/>
              <w:bottom w:val="nil"/>
              <w:right w:val="nil"/>
            </w:tcBorders>
          </w:tcPr>
          <w:p w:rsidR="00E8309B" w:rsidRDefault="009D0949">
            <w:pPr>
              <w:spacing w:after="0" w:line="259" w:lineRule="auto"/>
              <w:ind w:left="185" w:right="0" w:firstLine="0"/>
              <w:jc w:val="left"/>
            </w:pPr>
            <w:r>
              <w:rPr>
                <w:sz w:val="18"/>
              </w:rPr>
              <w:t xml:space="preserve">-8,8 </w:t>
            </w:r>
          </w:p>
        </w:tc>
        <w:tc>
          <w:tcPr>
            <w:tcW w:w="773" w:type="dxa"/>
            <w:tcBorders>
              <w:top w:val="nil"/>
              <w:left w:val="nil"/>
              <w:bottom w:val="nil"/>
              <w:right w:val="nil"/>
            </w:tcBorders>
          </w:tcPr>
          <w:p w:rsidR="00E8309B" w:rsidRDefault="009D0949">
            <w:pPr>
              <w:spacing w:after="0" w:line="259" w:lineRule="auto"/>
              <w:ind w:left="173" w:right="0" w:firstLine="0"/>
              <w:jc w:val="left"/>
            </w:pPr>
            <w:r>
              <w:rPr>
                <w:sz w:val="18"/>
              </w:rPr>
              <w:t xml:space="preserve">-6,4 </w:t>
            </w:r>
          </w:p>
        </w:tc>
        <w:tc>
          <w:tcPr>
            <w:tcW w:w="564" w:type="dxa"/>
            <w:tcBorders>
              <w:top w:val="nil"/>
              <w:left w:val="nil"/>
              <w:bottom w:val="nil"/>
              <w:right w:val="single" w:sz="8" w:space="0" w:color="000000"/>
            </w:tcBorders>
          </w:tcPr>
          <w:p w:rsidR="00E8309B" w:rsidRDefault="009D0949">
            <w:pPr>
              <w:spacing w:after="0" w:line="259" w:lineRule="auto"/>
              <w:ind w:left="0" w:right="44" w:firstLine="0"/>
              <w:jc w:val="right"/>
            </w:pPr>
            <w:r>
              <w:rPr>
                <w:sz w:val="18"/>
              </w:rPr>
              <w:t xml:space="preserve">-4,7 </w:t>
            </w:r>
          </w:p>
        </w:tc>
        <w:tc>
          <w:tcPr>
            <w:tcW w:w="1069" w:type="dxa"/>
            <w:tcBorders>
              <w:top w:val="nil"/>
              <w:left w:val="single" w:sz="8" w:space="0" w:color="000000"/>
              <w:bottom w:val="nil"/>
              <w:right w:val="nil"/>
            </w:tcBorders>
          </w:tcPr>
          <w:p w:rsidR="00E8309B" w:rsidRDefault="009D0949">
            <w:pPr>
              <w:spacing w:after="0" w:line="259" w:lineRule="auto"/>
              <w:ind w:left="157" w:right="0" w:firstLine="0"/>
              <w:jc w:val="center"/>
            </w:pPr>
            <w:r>
              <w:rPr>
                <w:sz w:val="18"/>
              </w:rPr>
              <w:t xml:space="preserve">-8,5 </w:t>
            </w:r>
          </w:p>
        </w:tc>
        <w:tc>
          <w:tcPr>
            <w:tcW w:w="598" w:type="dxa"/>
            <w:tcBorders>
              <w:top w:val="nil"/>
              <w:left w:val="nil"/>
              <w:bottom w:val="nil"/>
              <w:right w:val="single" w:sz="8" w:space="0" w:color="000000"/>
            </w:tcBorders>
          </w:tcPr>
          <w:p w:rsidR="00E8309B" w:rsidRDefault="009D0949">
            <w:pPr>
              <w:spacing w:after="0" w:line="259" w:lineRule="auto"/>
              <w:ind w:left="0" w:right="47" w:firstLine="0"/>
              <w:jc w:val="right"/>
            </w:pPr>
            <w:r>
              <w:rPr>
                <w:sz w:val="18"/>
              </w:rPr>
              <w:t>-</w:t>
            </w:r>
            <w:r>
              <w:rPr>
                <w:sz w:val="18"/>
              </w:rPr>
              <w:t xml:space="preserve">3,5 </w:t>
            </w:r>
          </w:p>
        </w:tc>
        <w:tc>
          <w:tcPr>
            <w:tcW w:w="1068" w:type="dxa"/>
            <w:tcBorders>
              <w:top w:val="nil"/>
              <w:left w:val="single" w:sz="8" w:space="0" w:color="000000"/>
              <w:bottom w:val="nil"/>
              <w:right w:val="nil"/>
            </w:tcBorders>
          </w:tcPr>
          <w:p w:rsidR="00E8309B" w:rsidRDefault="009D0949">
            <w:pPr>
              <w:spacing w:after="0" w:line="259" w:lineRule="auto"/>
              <w:ind w:left="157" w:right="0" w:firstLine="0"/>
              <w:jc w:val="center"/>
            </w:pPr>
            <w:r>
              <w:rPr>
                <w:sz w:val="18"/>
              </w:rPr>
              <w:t xml:space="preserve">-0,9 </w:t>
            </w:r>
          </w:p>
        </w:tc>
        <w:tc>
          <w:tcPr>
            <w:tcW w:w="600" w:type="dxa"/>
            <w:tcBorders>
              <w:top w:val="nil"/>
              <w:left w:val="nil"/>
              <w:bottom w:val="nil"/>
              <w:right w:val="nil"/>
            </w:tcBorders>
          </w:tcPr>
          <w:p w:rsidR="00E8309B" w:rsidRDefault="009D0949">
            <w:pPr>
              <w:spacing w:after="0" w:line="259" w:lineRule="auto"/>
              <w:ind w:left="0" w:right="49" w:firstLine="0"/>
              <w:jc w:val="right"/>
            </w:pPr>
            <w:r>
              <w:rPr>
                <w:sz w:val="18"/>
              </w:rPr>
              <w:t xml:space="preserve">-1,0 </w:t>
            </w:r>
          </w:p>
        </w:tc>
      </w:tr>
      <w:tr w:rsidR="00E8309B">
        <w:trPr>
          <w:trHeight w:val="283"/>
        </w:trPr>
        <w:tc>
          <w:tcPr>
            <w:tcW w:w="4167" w:type="dxa"/>
            <w:tcBorders>
              <w:top w:val="nil"/>
              <w:left w:val="nil"/>
              <w:bottom w:val="nil"/>
              <w:right w:val="nil"/>
            </w:tcBorders>
          </w:tcPr>
          <w:p w:rsidR="00E8309B" w:rsidRDefault="009D0949">
            <w:pPr>
              <w:spacing w:after="0" w:line="259" w:lineRule="auto"/>
              <w:ind w:left="303" w:right="0" w:firstLine="0"/>
              <w:jc w:val="left"/>
            </w:pPr>
            <w:r>
              <w:rPr>
                <w:sz w:val="18"/>
              </w:rPr>
              <w:t xml:space="preserve">Бруто дуг опште државе, % БДП </w:t>
            </w:r>
          </w:p>
        </w:tc>
        <w:tc>
          <w:tcPr>
            <w:tcW w:w="785" w:type="dxa"/>
            <w:tcBorders>
              <w:top w:val="nil"/>
              <w:left w:val="nil"/>
              <w:bottom w:val="nil"/>
              <w:right w:val="nil"/>
            </w:tcBorders>
          </w:tcPr>
          <w:p w:rsidR="00E8309B" w:rsidRDefault="009D0949">
            <w:pPr>
              <w:spacing w:after="0" w:line="259" w:lineRule="auto"/>
              <w:ind w:left="65" w:right="0" w:firstLine="0"/>
              <w:jc w:val="left"/>
            </w:pPr>
            <w:r>
              <w:rPr>
                <w:sz w:val="18"/>
              </w:rPr>
              <w:t xml:space="preserve">101,7 </w:t>
            </w:r>
          </w:p>
        </w:tc>
        <w:tc>
          <w:tcPr>
            <w:tcW w:w="773" w:type="dxa"/>
            <w:tcBorders>
              <w:top w:val="nil"/>
              <w:left w:val="nil"/>
              <w:bottom w:val="nil"/>
              <w:right w:val="nil"/>
            </w:tcBorders>
          </w:tcPr>
          <w:p w:rsidR="00E8309B" w:rsidRDefault="009D0949">
            <w:pPr>
              <w:spacing w:after="0" w:line="259" w:lineRule="auto"/>
              <w:ind w:left="53" w:right="0" w:firstLine="0"/>
              <w:jc w:val="left"/>
            </w:pPr>
            <w:r>
              <w:rPr>
                <w:sz w:val="18"/>
              </w:rPr>
              <w:t xml:space="preserve">102,3 </w:t>
            </w:r>
          </w:p>
        </w:tc>
        <w:tc>
          <w:tcPr>
            <w:tcW w:w="564" w:type="dxa"/>
            <w:tcBorders>
              <w:top w:val="nil"/>
              <w:left w:val="nil"/>
              <w:bottom w:val="nil"/>
              <w:right w:val="single" w:sz="8" w:space="0" w:color="000000"/>
            </w:tcBorders>
          </w:tcPr>
          <w:p w:rsidR="00E8309B" w:rsidRDefault="009D0949">
            <w:pPr>
              <w:spacing w:after="0" w:line="259" w:lineRule="auto"/>
              <w:ind w:left="53" w:right="0" w:firstLine="0"/>
            </w:pPr>
            <w:r>
              <w:rPr>
                <w:sz w:val="18"/>
              </w:rPr>
              <w:t xml:space="preserve">102,6 </w:t>
            </w:r>
          </w:p>
        </w:tc>
        <w:tc>
          <w:tcPr>
            <w:tcW w:w="1069" w:type="dxa"/>
            <w:tcBorders>
              <w:top w:val="nil"/>
              <w:left w:val="single" w:sz="8" w:space="0" w:color="000000"/>
              <w:bottom w:val="nil"/>
              <w:right w:val="nil"/>
            </w:tcBorders>
          </w:tcPr>
          <w:p w:rsidR="00E8309B" w:rsidRDefault="009D0949">
            <w:pPr>
              <w:spacing w:after="0" w:line="259" w:lineRule="auto"/>
              <w:ind w:left="37" w:right="0" w:firstLine="0"/>
              <w:jc w:val="center"/>
            </w:pPr>
            <w:r>
              <w:rPr>
                <w:sz w:val="18"/>
              </w:rPr>
              <w:t xml:space="preserve">102,7 </w:t>
            </w:r>
          </w:p>
        </w:tc>
        <w:tc>
          <w:tcPr>
            <w:tcW w:w="598" w:type="dxa"/>
            <w:tcBorders>
              <w:top w:val="nil"/>
              <w:left w:val="nil"/>
              <w:bottom w:val="nil"/>
              <w:right w:val="single" w:sz="8" w:space="0" w:color="000000"/>
            </w:tcBorders>
          </w:tcPr>
          <w:p w:rsidR="00E8309B" w:rsidRDefault="009D0949">
            <w:pPr>
              <w:spacing w:after="0" w:line="259" w:lineRule="auto"/>
              <w:ind w:left="0" w:right="46" w:firstLine="0"/>
              <w:jc w:val="right"/>
            </w:pPr>
            <w:r>
              <w:rPr>
                <w:sz w:val="18"/>
              </w:rPr>
              <w:t xml:space="preserve">98,8 </w:t>
            </w:r>
          </w:p>
        </w:tc>
        <w:tc>
          <w:tcPr>
            <w:tcW w:w="1068" w:type="dxa"/>
            <w:tcBorders>
              <w:top w:val="nil"/>
              <w:left w:val="single" w:sz="8" w:space="0" w:color="000000"/>
              <w:bottom w:val="nil"/>
              <w:right w:val="nil"/>
            </w:tcBorders>
          </w:tcPr>
          <w:p w:rsidR="00E8309B" w:rsidRDefault="009D0949">
            <w:pPr>
              <w:spacing w:after="0" w:line="259" w:lineRule="auto"/>
              <w:ind w:left="129" w:right="0" w:firstLine="0"/>
              <w:jc w:val="center"/>
            </w:pPr>
            <w:r>
              <w:rPr>
                <w:sz w:val="18"/>
              </w:rPr>
              <w:t xml:space="preserve">85,1 </w:t>
            </w:r>
          </w:p>
        </w:tc>
        <w:tc>
          <w:tcPr>
            <w:tcW w:w="600" w:type="dxa"/>
            <w:tcBorders>
              <w:top w:val="nil"/>
              <w:left w:val="nil"/>
              <w:bottom w:val="nil"/>
              <w:right w:val="nil"/>
            </w:tcBorders>
          </w:tcPr>
          <w:p w:rsidR="00E8309B" w:rsidRDefault="009D0949">
            <w:pPr>
              <w:spacing w:after="0" w:line="259" w:lineRule="auto"/>
              <w:ind w:left="0" w:right="49" w:firstLine="0"/>
              <w:jc w:val="right"/>
            </w:pPr>
            <w:r>
              <w:rPr>
                <w:sz w:val="18"/>
              </w:rPr>
              <w:t xml:space="preserve">84,1 </w:t>
            </w:r>
          </w:p>
        </w:tc>
      </w:tr>
      <w:tr w:rsidR="00E8309B">
        <w:trPr>
          <w:trHeight w:val="296"/>
        </w:trPr>
        <w:tc>
          <w:tcPr>
            <w:tcW w:w="4167" w:type="dxa"/>
            <w:tcBorders>
              <w:top w:val="nil"/>
              <w:left w:val="nil"/>
              <w:bottom w:val="single" w:sz="8" w:space="0" w:color="002060"/>
              <w:right w:val="nil"/>
            </w:tcBorders>
          </w:tcPr>
          <w:p w:rsidR="00E8309B" w:rsidRDefault="009D0949">
            <w:pPr>
              <w:spacing w:after="0" w:line="259" w:lineRule="auto"/>
              <w:ind w:left="303" w:right="0" w:firstLine="0"/>
              <w:jc w:val="left"/>
            </w:pPr>
            <w:r>
              <w:rPr>
                <w:sz w:val="18"/>
              </w:rPr>
              <w:t xml:space="preserve">Салдо текућег рачуна, % БДП </w:t>
            </w:r>
          </w:p>
        </w:tc>
        <w:tc>
          <w:tcPr>
            <w:tcW w:w="785" w:type="dxa"/>
            <w:tcBorders>
              <w:top w:val="nil"/>
              <w:left w:val="nil"/>
              <w:bottom w:val="single" w:sz="8" w:space="0" w:color="002060"/>
              <w:right w:val="nil"/>
            </w:tcBorders>
          </w:tcPr>
          <w:p w:rsidR="00E8309B" w:rsidRDefault="009D0949">
            <w:pPr>
              <w:spacing w:after="0" w:line="259" w:lineRule="auto"/>
              <w:ind w:left="0" w:right="9" w:firstLine="0"/>
              <w:jc w:val="center"/>
            </w:pPr>
            <w:r>
              <w:rPr>
                <w:sz w:val="18"/>
              </w:rPr>
              <w:t xml:space="preserve">2,6 </w:t>
            </w:r>
          </w:p>
        </w:tc>
        <w:tc>
          <w:tcPr>
            <w:tcW w:w="773" w:type="dxa"/>
            <w:tcBorders>
              <w:top w:val="nil"/>
              <w:left w:val="nil"/>
              <w:bottom w:val="single" w:sz="8" w:space="0" w:color="002060"/>
              <w:right w:val="nil"/>
            </w:tcBorders>
          </w:tcPr>
          <w:p w:rsidR="00E8309B" w:rsidRDefault="009D0949">
            <w:pPr>
              <w:spacing w:after="0" w:line="259" w:lineRule="auto"/>
              <w:ind w:left="0" w:right="20" w:firstLine="0"/>
              <w:jc w:val="center"/>
            </w:pPr>
            <w:r>
              <w:rPr>
                <w:sz w:val="18"/>
              </w:rPr>
              <w:t xml:space="preserve">2,6 </w:t>
            </w:r>
          </w:p>
        </w:tc>
        <w:tc>
          <w:tcPr>
            <w:tcW w:w="564" w:type="dxa"/>
            <w:tcBorders>
              <w:top w:val="nil"/>
              <w:left w:val="nil"/>
              <w:bottom w:val="single" w:sz="8" w:space="0" w:color="002060"/>
              <w:right w:val="single" w:sz="8" w:space="0" w:color="000000"/>
            </w:tcBorders>
          </w:tcPr>
          <w:p w:rsidR="00E8309B" w:rsidRDefault="009D0949">
            <w:pPr>
              <w:spacing w:after="0" w:line="259" w:lineRule="auto"/>
              <w:ind w:left="0" w:right="44" w:firstLine="0"/>
              <w:jc w:val="right"/>
            </w:pPr>
            <w:r>
              <w:rPr>
                <w:sz w:val="18"/>
              </w:rPr>
              <w:t xml:space="preserve">2,8 </w:t>
            </w:r>
          </w:p>
        </w:tc>
        <w:tc>
          <w:tcPr>
            <w:tcW w:w="1069" w:type="dxa"/>
            <w:tcBorders>
              <w:top w:val="nil"/>
              <w:left w:val="single" w:sz="8" w:space="0" w:color="000000"/>
              <w:bottom w:val="single" w:sz="8" w:space="0" w:color="000000"/>
              <w:right w:val="nil"/>
            </w:tcBorders>
          </w:tcPr>
          <w:p w:rsidR="00E8309B" w:rsidRDefault="009D0949">
            <w:pPr>
              <w:spacing w:after="0" w:line="259" w:lineRule="auto"/>
              <w:ind w:left="217" w:right="0" w:firstLine="0"/>
              <w:jc w:val="center"/>
            </w:pPr>
            <w:r>
              <w:rPr>
                <w:sz w:val="18"/>
              </w:rPr>
              <w:t xml:space="preserve">3,4 </w:t>
            </w:r>
          </w:p>
        </w:tc>
        <w:tc>
          <w:tcPr>
            <w:tcW w:w="598" w:type="dxa"/>
            <w:tcBorders>
              <w:top w:val="nil"/>
              <w:left w:val="nil"/>
              <w:bottom w:val="single" w:sz="8" w:space="0" w:color="000000"/>
              <w:right w:val="single" w:sz="8" w:space="0" w:color="000000"/>
            </w:tcBorders>
          </w:tcPr>
          <w:p w:rsidR="00E8309B" w:rsidRDefault="009D0949">
            <w:pPr>
              <w:spacing w:after="0" w:line="259" w:lineRule="auto"/>
              <w:ind w:left="0" w:right="47" w:firstLine="0"/>
              <w:jc w:val="right"/>
            </w:pPr>
            <w:r>
              <w:rPr>
                <w:sz w:val="18"/>
              </w:rPr>
              <w:t xml:space="preserve">3,6 </w:t>
            </w:r>
          </w:p>
        </w:tc>
        <w:tc>
          <w:tcPr>
            <w:tcW w:w="1068" w:type="dxa"/>
            <w:tcBorders>
              <w:top w:val="nil"/>
              <w:left w:val="single" w:sz="8" w:space="0" w:color="000000"/>
              <w:bottom w:val="single" w:sz="8" w:space="0" w:color="002060"/>
              <w:right w:val="nil"/>
            </w:tcBorders>
          </w:tcPr>
          <w:p w:rsidR="00E8309B" w:rsidRDefault="009D0949">
            <w:pPr>
              <w:spacing w:after="0" w:line="259" w:lineRule="auto"/>
              <w:ind w:left="217" w:right="0" w:firstLine="0"/>
              <w:jc w:val="center"/>
            </w:pPr>
            <w:r>
              <w:rPr>
                <w:sz w:val="18"/>
              </w:rPr>
              <w:t xml:space="preserve">3,2 </w:t>
            </w:r>
          </w:p>
        </w:tc>
        <w:tc>
          <w:tcPr>
            <w:tcW w:w="600" w:type="dxa"/>
            <w:tcBorders>
              <w:top w:val="nil"/>
              <w:left w:val="nil"/>
              <w:bottom w:val="single" w:sz="8" w:space="0" w:color="002060"/>
              <w:right w:val="nil"/>
            </w:tcBorders>
          </w:tcPr>
          <w:p w:rsidR="00E8309B" w:rsidRDefault="009D0949">
            <w:pPr>
              <w:spacing w:after="0" w:line="259" w:lineRule="auto"/>
              <w:ind w:left="0" w:right="49" w:firstLine="0"/>
              <w:jc w:val="right"/>
            </w:pPr>
            <w:r>
              <w:rPr>
                <w:sz w:val="18"/>
              </w:rPr>
              <w:t xml:space="preserve">3,1 </w:t>
            </w:r>
          </w:p>
        </w:tc>
      </w:tr>
    </w:tbl>
    <w:p w:rsidR="00E8309B" w:rsidRDefault="009D0949">
      <w:pPr>
        <w:spacing w:after="8" w:line="269" w:lineRule="auto"/>
        <w:ind w:left="-5" w:right="53"/>
        <w:jc w:val="left"/>
      </w:pPr>
      <w:r>
        <w:rPr>
          <w:sz w:val="16"/>
        </w:rPr>
        <w:t xml:space="preserve">Извор: ЕК, Јесење пројекције, новембар 2020. године </w:t>
      </w:r>
    </w:p>
    <w:p w:rsidR="00E8309B" w:rsidRDefault="009D0949">
      <w:pPr>
        <w:spacing w:after="170" w:line="269" w:lineRule="auto"/>
        <w:ind w:left="-5" w:right="53"/>
        <w:jc w:val="left"/>
      </w:pPr>
      <w:r>
        <w:rPr>
          <w:sz w:val="16"/>
        </w:rPr>
        <w:t xml:space="preserve">* ЕК, Јесење пројекције, новембар 2019. године </w:t>
      </w:r>
    </w:p>
    <w:p w:rsidR="00E8309B" w:rsidRDefault="009D0949">
      <w:pPr>
        <w:ind w:left="-5" w:right="17"/>
      </w:pPr>
      <w:r>
        <w:t>Пандемија je довела тржиште рада у ЕУ под велико оптерећење, међутим мере подршке попут шема скраћеног радног времена су донесене правовремено, тако да је удар био ограничен. Очекује се да ће стабилизацијом а</w:t>
      </w:r>
      <w:r>
        <w:t xml:space="preserve">ктивности најпре доћи до пораста радних сати, како се шеме скраћеног радног времена буду укидале, а након тога се може очекивати пораст запослености. Такође, реалокација запослених у области које су биле тешко погођене пандемијом је дуг процес, па се раст </w:t>
      </w:r>
      <w:r>
        <w:t xml:space="preserve">запослености очекује 2022. године. За 2020. годину се предвиђа стопа незапослености од 7,7% у ЕУ, која ће се након раста у 2021. години (8,6%), смањити на 8,0% у 2022. години, а сличне тенденције се очекују и у еврозони. </w:t>
      </w:r>
    </w:p>
    <w:p w:rsidR="00E8309B" w:rsidRDefault="009D0949">
      <w:pPr>
        <w:ind w:left="-5" w:right="17"/>
      </w:pPr>
      <w:r>
        <w:t>Значајан пад цена енергената довео</w:t>
      </w:r>
      <w:r>
        <w:t xml:space="preserve"> је до негативних инфлаторних кретања током августа и септембра. Базна инфлација је такође забележила значајан пад током лета, услед ниских цена туристичких услуга али и индустријских добара. Очекивана инфлација у еврозони за 2020. годину је 0,3%, док су з</w:t>
      </w:r>
      <w:r>
        <w:t xml:space="preserve">а наредне две године предвиђене стопе инфлације од 1,1% и 1,3%, респективно. </w:t>
      </w:r>
    </w:p>
    <w:p w:rsidR="00E8309B" w:rsidRDefault="009D0949">
      <w:pPr>
        <w:spacing w:after="90"/>
        <w:ind w:left="-5" w:right="17"/>
      </w:pPr>
      <w:r>
        <w:t xml:space="preserve">Фискална политика у 2020. години ће бити изразито експанзивна услед значајних фискалних мера помоћи у одбрани од пандемије, док за 2021. годину очекује да ће мере постепено бити </w:t>
      </w:r>
      <w:r>
        <w:t>укидане. Предвиђа се значајно повећање фискалног дефицита еврозоне на 8,8% у 2020. години, док се за наредне две године очекује постепено смањење услед деловања аутоматских стабилизатора и опоравка економске активности. У складу са очекиваним повећањем деф</w:t>
      </w:r>
      <w:r>
        <w:t xml:space="preserve">ицита, учешће укупног дуга у БДП ће порасти на скоро 102% у 2020. години, док се за наредне две године очекује кумулативни раст од по 1 п.п. </w:t>
      </w:r>
    </w:p>
    <w:p w:rsidR="00E8309B" w:rsidRDefault="009D0949">
      <w:pPr>
        <w:spacing w:after="279"/>
        <w:ind w:left="-5" w:right="17"/>
      </w:pPr>
      <w:r>
        <w:t xml:space="preserve">Присутан је повишен степен неизвесности у вези са даљим развојем пандемије као и последичних економских изгледа и </w:t>
      </w:r>
      <w:r>
        <w:t>примене одговарајућих политика. Негативни ризици обухватају могућност погоршања пандемије, што би следеће године захтевало строжије и дуже мере за њено обуздавање, а самим тим и одступање од основног сценарија пројекције раста у негативном смислу. Могуће ј</w:t>
      </w:r>
      <w:r>
        <w:t>е и да пандемија има разорније последице по економију ЕУ него што се очекује, а не треба искључити ни могућност шокова на финансијском тржишту како у еврозони, тако и у остатку ЕУ. Са друге стране, бржи развој у лечењу и превенцији заражених, као и благовр</w:t>
      </w:r>
      <w:r>
        <w:t>емена и широка примена ефикасне вакцине убрзали би релаксацију уведених ванредних мера, побољшали поверење у институције и позитивно утицали на нормализацију економске ситуације. Позитиван ризик представља и успешан споразум о трговини између ЕУ и УК, који</w:t>
      </w:r>
      <w:r>
        <w:t xml:space="preserve"> се очекује да ступи на снагу у 2021. години. </w:t>
      </w:r>
    </w:p>
    <w:p w:rsidR="00E8309B" w:rsidRDefault="009D0949">
      <w:pPr>
        <w:pStyle w:val="Heading2"/>
        <w:spacing w:after="127"/>
        <w:ind w:left="405" w:right="9" w:hanging="420"/>
      </w:pPr>
      <w:r>
        <w:t xml:space="preserve">ТЕКУЋА ЕКОНОМСКА КРЕТАЊА И ИЗГЛЕДИ ЗА 2020. ГОДИНУ </w:t>
      </w:r>
    </w:p>
    <w:p w:rsidR="00E8309B" w:rsidRDefault="009D0949">
      <w:pPr>
        <w:ind w:left="-5" w:right="17"/>
      </w:pPr>
      <w:r>
        <w:rPr>
          <w:b/>
        </w:rPr>
        <w:t>Реални сектор</w:t>
      </w:r>
      <w:r>
        <w:t>. Раст економске активности од 4,2% у 2019. години био је већи од иницијалне пројекције за 0,7 п.п. чиме се Србија нашла у малој групи европских</w:t>
      </w:r>
      <w:r>
        <w:t xml:space="preserve"> земаља чија је динамика привредне активности била боља од очекиване. Већа стопа од пројектоване резултат је </w:t>
      </w:r>
      <w:r>
        <w:lastRenderedPageBreak/>
        <w:t>материјализације позитивних ризика који су се односили на динамику пољопривредне производње и грађевинарство. Економски раст удружен са повољним ин</w:t>
      </w:r>
      <w:r>
        <w:t xml:space="preserve">вестиционим амбијентом утицао је позитивно на тржиште радне снаге уз остварену рекордно ниску стопу незапослености од 10,4% и реални раст просечне зараде од 8,5% у 2019. години. Инфлација током целе 2019. године била ниска и стабилна и углавном се кретала </w:t>
      </w:r>
      <w:r>
        <w:t>близу доње границе дозвољеног одступања од циља. Истовремено, остварен је изузетно висок нето прилив страних директних инвестиција (у даљем тексту: СДИ) од 3,6 млрд евра, који је био више него довољан за пуну покривеност дефицита текућег рачуна платног бил</w:t>
      </w:r>
      <w:r>
        <w:t xml:space="preserve">анса. </w:t>
      </w:r>
    </w:p>
    <w:p w:rsidR="00E8309B" w:rsidRDefault="009D0949">
      <w:pPr>
        <w:ind w:left="-5" w:right="17"/>
      </w:pPr>
      <w:r>
        <w:t>Према подацима Републичког завода за статистику (у даљем тексту: РЗС), раст БДП у првом кварталу 2020. године износио је 5,2% мг. и био је праћен позитивним кретањима у свим привредним секторима. Раст је био вођен услужним делатностима (4,7%), пре с</w:t>
      </w:r>
      <w:r>
        <w:t xml:space="preserve">вега као резултат раста у сектору информационо-комуникационих технологија, али и трговине, саобраћаја и туризма. Индустријска производња је забележила раст од 4,2%, док је повећање грађевинске активности од 20,9% резултат је наставка радова на реализацији </w:t>
      </w:r>
      <w:r>
        <w:t xml:space="preserve">инфраструктурних пројеката, као и активности приватне грађевинске оперативе. Посматрано са расходне стране, економски раст је био вођен домаћом тражњом, при чему су инвестиције са растом од 11,8% пружиле најзначајнији позитиван допринос расту БДП. Такође, </w:t>
      </w:r>
      <w:r>
        <w:t>економска активност је била подржана растом приватне потрошње услед побољшања на тржишту рада, као и растом државне потрошње. С друге стране, негативан допринос нето извоза (-3,0 п.п.) био је опредељен повећаним увозом средстава за рад и репроматеријала за</w:t>
      </w:r>
      <w:r>
        <w:t xml:space="preserve"> потребе привреде, али и нешто споријом динамиком извоза у марту. </w:t>
      </w:r>
    </w:p>
    <w:p w:rsidR="00E8309B" w:rsidRDefault="009D0949">
      <w:pPr>
        <w:ind w:left="-5" w:right="17"/>
      </w:pPr>
      <w:r>
        <w:t>Иако је раст економске активности био солидан током првог квартала, почетак благог успоравања привредне активности примећен је током марта као последица драматичних промена у међународном о</w:t>
      </w:r>
      <w:r>
        <w:t xml:space="preserve">кружењу изазваних пандемијом коронавируса. Економска активност наших најзначајнијих спољнотрговинских партнера врло брзо је попримила рецесиони карактер и почела се преливати на српску привреду. Поред тога примена здравствених мера у домаћим оквирима, као </w:t>
      </w:r>
      <w:r>
        <w:t>и увођење ванредног стања 15. марта 2020. године, додатно су утицали на привреду Србије, тако да је у априлу забележен снажан пад привредне активности од 13,4% мг. Први на удару били су сектори туризма, саобраћаја, рекреације и забаве будући да су предузет</w:t>
      </w:r>
      <w:r>
        <w:t>е мере здравствене заштите директно утицале на њих, али и предузећа из сектора прерађивачке индустрије. Посебно су биле погођене извозно оријентисане делатности попут аутомобилске и металске индустрије, производње електричне опреме, гуме и пластике, а знач</w:t>
      </w:r>
      <w:r>
        <w:t>ајни негативни ефекти испољили су се и код сектора микро и малих предузећа и предузетника. Са великим проблемима суочиле су се и компаније у делатностима са значајном увозном компонентом с обзиром на поремећене ланце снабдевања. Бројна предузећа су током о</w:t>
      </w:r>
      <w:r>
        <w:t xml:space="preserve">вог периода, ако не у потпуности обуставила производњу, онда макар значајно смањила активност. Поједине делатности прерађивачке индустрије на који је утицај спољних фактора нешто мањи, попут прехрамбене индустрије, су биле у нешто повољнијем положају, док </w:t>
      </w:r>
      <w:r>
        <w:t>су фармацеутска и делови хемијске индустрије услед повећане тражње значајно повећали производњу. Захваљујући постепеном „откључавањуˮ економије и поправљању епидемиолошке ситуације пад привреде у мају је међугодишње посматрано више него преполовљен, док се</w:t>
      </w:r>
      <w:r>
        <w:t xml:space="preserve"> у јуну економска активност у потпуности стабилизовала. </w:t>
      </w:r>
    </w:p>
    <w:p w:rsidR="00E8309B" w:rsidRDefault="009D0949">
      <w:pPr>
        <w:spacing w:after="90"/>
        <w:ind w:left="-5" w:right="17"/>
      </w:pPr>
      <w:r>
        <w:t xml:space="preserve">Према подацима РЗС, пад БДП у другом кварталу износио је 6,3% мг. Контракција привреде у другом кварталу у потпуности је последица ефектуирања примене здравствених мера услед пандемије коронавируса. </w:t>
      </w:r>
      <w:r>
        <w:t>Економски пакет подршке привреди и становништву значајно је допринео ублажавању овог шока и резултирао је мањим падом привреде, посебно у поређењу са другим европским економијама, а избегнуте су и турбуленције на тржишту радне снаге. Посматрано са производ</w:t>
      </w:r>
      <w:r>
        <w:t xml:space="preserve">не стране, доминантан негативан допринос стопи раста БДП у другом кварталу 2020. године дошао је од услужног сектора (-3,6 п.п.), услед пада у секторима </w:t>
      </w:r>
      <w:r>
        <w:lastRenderedPageBreak/>
        <w:t>трговине, саобраћаја и туризма, као и стручних и техничких услуга и делатности везане за уметност, заба</w:t>
      </w:r>
      <w:r>
        <w:t>ву и рекреацију. Истовремено индустријска производња са падом од 7,6% мг. негативно је допринела економском расту са 1,5 п.п, док је допринос грађевине био благо негативан. Повољни агрометеоролошки услови резултирали су растом пољопривредне производње од 4</w:t>
      </w:r>
      <w:r>
        <w:t>,7%, чиме је обезбеђен позитиван допринос стопи раста БДП од 0,3 п.п. Посматрано по агрегатима употребе БДП, у другом кварталу 2020. године ефекти пандемије највише су се одразили на приватну потрошњу која је негативно допринела стопи раста БДП са 5,8 п.п.</w:t>
      </w:r>
      <w:r>
        <w:t xml:space="preserve"> Иако су сачувани реални дохоци становништва пад личне потрошње домаћинстава последица је привременог одустајања потрошача од куповине трајних потрошних добара као и мањег коришћења туристичких, угоститељских и саобраћајних услуга. Инвестиције као компонен</w:t>
      </w:r>
      <w:r>
        <w:t>та БДП које су највише осетљиве на глобалну неизвесност оствариле су смањење од 12,9% мг. и утицале на пад БДП за 2,7 п.п. На ублажавање оштрог пада БДП током другог квартала утицали су повећани издаци за здравствену заштиту исказани кроз раст државне потр</w:t>
      </w:r>
      <w:r>
        <w:t xml:space="preserve">ошње за ове потребе. Шок у спољнотрговинској размени имао је за последицу значајан пад извозно-увозне активности, али је допринос нето извоза ипак био позитиван и износио је 1,3 п.п. </w:t>
      </w:r>
    </w:p>
    <w:p w:rsidR="00E8309B" w:rsidRDefault="009D0949">
      <w:pPr>
        <w:ind w:left="-5" w:right="17"/>
      </w:pPr>
      <w:r>
        <w:t>Постепен опоравак привредне активности потврђен је оствареним резултатим</w:t>
      </w:r>
      <w:r>
        <w:t>а у трећем кварталу, када је реални пад износио 1,4% мг. Ово представља добар резултат посебно ако се има у виду изузетно висока база из истог периода 2019. године. Индустријска производња се током трећег квартала у потпуности опоравила од шока изазваног п</w:t>
      </w:r>
      <w:r>
        <w:t>андемијом коронавируса и остварила је раст бруто додате вредности (у даљем тексту: БДВ) од 3,2%. Позитиван допринос дала је и пољопривредна производња која је забележила повећање од 4,5%, уз рекордне приносе појединих биљних култура. Међутим, позитивна кре</w:t>
      </w:r>
      <w:r>
        <w:t>тања у ова два сектора нису успела у потпуности да компензују негативан допринос који је дошао од грађевинарства и услуга. Изузетно висок прошлогодишњи раст у сектору грађевинарства деловао је, због базног ефекта, на међугодишњи пад у трећем кварталу 2020.</w:t>
      </w:r>
      <w:r>
        <w:t xml:space="preserve"> године од 18%. Умерен опоравак економске активности у сектору услуга није био довољан да се избегне благи пад од 1,9% мг. Посматрано по агрегатима употребе БДП, у трећем кварталу 2020. године све компонентне су и поред приметног опоравка имале негативан у</w:t>
      </w:r>
      <w:r>
        <w:t>тицај на БДП. Нето извоз је негативно допринео стопи раста БДП са 2,8 п.п, услед мањег пада увоза од извоза, а као последица бржег опоравка домаће привреде од опоравка спољнотрговинских партнера. Инвестиције су утицале на пад БДП за 1,3 п.п. Негативан је и</w:t>
      </w:r>
      <w:r>
        <w:t xml:space="preserve"> допринос приватне и државне потрошње и то за 0,7 п.п. и 0,2 п.п. респективно. Примена економског пакета мера за ублажавање негативних последица пандемије, бржи опоравак од очекиваног након укидања ванредног стања, уз рекордно добру пољопривредну сезону, у</w:t>
      </w:r>
      <w:r>
        <w:t xml:space="preserve">тицали су да реални пад БДП у прва три квартала буде свега 0,9% мг. </w:t>
      </w:r>
    </w:p>
    <w:p w:rsidR="00E8309B" w:rsidRDefault="009D0949">
      <w:pPr>
        <w:spacing w:after="91"/>
        <w:ind w:left="-5" w:right="17"/>
      </w:pPr>
      <w:r>
        <w:t>Високофреквентни индикатори економске активности такође указују на солидан опоравак привреде. Физички обим укупне индустријске производње бележи међугодишњи раст од јуна месеца, и у првих</w:t>
      </w:r>
      <w:r>
        <w:t xml:space="preserve"> десет месеци ниво индустријске производње је био већи за 0,3% мг, уз позитиван допринос електро-енергетског сектора и неутралан допринос прерађивачке индустрије. По отклањању сезонског и календарског ефекта, ниво укупне индустријске производње је у октобр</w:t>
      </w:r>
      <w:r>
        <w:t>у био за 1,4% већи у односу на преткризни ниво из фебруара 2020. године, иако се по делатностима бележе дивергентна кретања. Одређене области индустрије, пре свега оне које су доминантно извозно оријентисане биле су у већој мери погођене кризом, што се пре</w:t>
      </w:r>
      <w:r>
        <w:t xml:space="preserve"> свега односи на аутомобилску индустрију, производњу основних метала, индустрију гуме и пластике, као и производњу деривата нафте. Након априла, када је су негативни ефекти пандемије били најизраженији, са оправком спољне тражње ниво производње се у овом о</w:t>
      </w:r>
      <w:r>
        <w:t xml:space="preserve">бластима постепено повећавао, док је опоравку одређених делатности попут аутомобилске и гумарске индустрије допринело и активирање нових производних погона као резултат СДИ из претходног периода. С друге стране, код области код којих је </w:t>
      </w:r>
      <w:r>
        <w:lastRenderedPageBreak/>
        <w:t>домаћа тражња знача</w:t>
      </w:r>
      <w:r>
        <w:t>јнија и структура производње таква да се производе добра неопходна за задовољење основних животних потреба, попут прехрамбене индустрије, избегнута су рецесиона кретања, или је пак утицај кризе био далеко мањи. Такође, фармацеутска и хемијска индустрија ус</w:t>
      </w:r>
      <w:r>
        <w:t>лед повећаних потреба за средствима за здравствену заштиту услед пандемије бележе значајно повећање производње која у првих десет месеци износи 8,6% и 5,9%, респективно. Услужни сектор је део привреде који је због своје структуре највише погођен пандемијом</w:t>
      </w:r>
      <w:r>
        <w:t xml:space="preserve"> коронавируса. Иако су неке услужне делатности попут трговине и финансијског сектора наставили са позитивним кретањима, поједине делатности попут туризма, угоститељства, саобраћаја, уметности, забаве и рекреације забележиле су драматичан пад. Промет у трго</w:t>
      </w:r>
      <w:r>
        <w:t>вини на мало, након пада од 18,6% мг. у априлу, се већ у наредном месецу потпуно опоравио и наставио са позитивним кретањима, тако да је у периоду јануар–октобар 2020. године остварен реални раст од 5,2%. С друге стране, сектор туризма и угоститељства је п</w:t>
      </w:r>
      <w:r>
        <w:t>ретрпео огромне последице. Број ноћења страних туриста (1.187.915) је у првих једанаест месеци остварио пад од 67,9% мг, док је девизни прилив од туризма (957,8 милиона евра) мањи за 25,6% у односу на исти период 2019. године, уз реални пад промета у угост</w:t>
      </w:r>
      <w:r>
        <w:t xml:space="preserve">итељству од 23,5% у периоду јануар – октобар. Смањена спољна тражња услед мање привредне активности одразила се и на успоравање извоза ИКТ услуга. </w:t>
      </w:r>
    </w:p>
    <w:p w:rsidR="00E8309B" w:rsidRDefault="009D0949">
      <w:pPr>
        <w:spacing w:after="0"/>
        <w:ind w:left="-5" w:right="17"/>
      </w:pPr>
      <w:r>
        <w:rPr>
          <w:b/>
        </w:rPr>
        <w:t>Тржиште рада.</w:t>
      </w:r>
      <w:r>
        <w:t xml:space="preserve"> </w:t>
      </w:r>
      <w:r>
        <w:t>Ситуацију на тржишту рада карактеришу релативно повољна кретања упркос негативним ефектима пандемије коронавируса. Томе је у значајној мери допринео пакет економских мера Владе који је био конципиран пре свега тако да обезбеди одржавање производних капацит</w:t>
      </w:r>
      <w:r>
        <w:t xml:space="preserve">ета привреде, посебно у погледу очувања радних места. Са истим циљем у јулу је усвојен и правни оквир за спровођење другог пакета економских мера. Након спроведеног првог сета мера, а пролонгираног трајања сложене епидемиолошке ситуације </w:t>
      </w:r>
    </w:p>
    <w:p w:rsidR="00E8309B" w:rsidRDefault="009D0949">
      <w:pPr>
        <w:ind w:left="-5" w:right="17"/>
      </w:pPr>
      <w:r>
        <w:t>Влада је донела о</w:t>
      </w:r>
      <w:r>
        <w:t>длуку да се за још два месеца (у августу и септембру) обезбеди директна помоћ привредним субјектима у приватном сектору изузев правних лица која су разврстана као велика правна лица, у износу од 60% директних давања из буџета Републике Србије која су им ис</w:t>
      </w:r>
      <w:r>
        <w:t xml:space="preserve">плаћена у јулу 2020. године, те продужи одлагање плаћања пореза и доприноса на зараде за још један месец. И поред отежаних услова како на међународном, тако и на домаћем тржишту, у 2020. години се бележе повољна кретања на тржишту рада. Према подацима АРС </w:t>
      </w:r>
      <w:r>
        <w:t xml:space="preserve">стопа незапослености на међугодишњем нивоу је бележила смањење, тако у првом кварталу је смањена за 2,4 п.п, на 9,7%, у другом за 3,0 п.п, на рекордно низак ниво од 7,3%, а у трећем кварталу за 0,5 п.п. на 9,0%. Поред смањења стопе незапослености у трећем </w:t>
      </w:r>
      <w:r>
        <w:t>кварталу је дошло и до повећања стопе запослености за 0,2 п.п. на 49,9%. Такође, побољшања су уочљива и код других показатеља, тако код женског дела становништва, стопа незапослености је смањена за 1,4 п.п, на 9,4%, затим смањена је стопа дугорочне незапос</w:t>
      </w:r>
      <w:r>
        <w:t>лености за 0,4 п.п, на 4,8% и стопа неформалне запослености за 1,4 п.п. на 17,3%. Повољна кретања на тржишту радне снаге потврђују и подаци из ЦРОСО, према којима је у периоду јануар–октобар број запослених на међугодишњем нивоу повећан за 47,7 хиљада лица</w:t>
      </w:r>
      <w:r>
        <w:t>, односно за 2,3%. То је готово у потпуности резултат раста броја запослених у приватном сектору. Секторски посматрано прерађивачка индустрија предњачи по запошљавању са 16,0 хиљада новозапослених радника, а следе је грађевинарство са 10,1 хиљаду и информа</w:t>
      </w:r>
      <w:r>
        <w:t>циони сектор са 6,2 хиљаде. Такође, још једна потврда добрих резултата на тржишту рада су и подаци Националне службе за запошљавање (у даљем тексту: НСЗ), према којима је у периоду јануар–октобар 2020. године број незапослених лица смањен за 22,0 хиљаде, о</w:t>
      </w:r>
      <w:r>
        <w:t xml:space="preserve">дносно за 4,1%, мг. </w:t>
      </w:r>
    </w:p>
    <w:p w:rsidR="00E8309B" w:rsidRDefault="009D0949">
      <w:pPr>
        <w:spacing w:after="92"/>
        <w:ind w:left="-5" w:right="17"/>
      </w:pPr>
      <w:r>
        <w:t>Позитивна кретања зарада настављена су у 2020. години, услед примене пакета економских мера које је Влада у два наврата доносила ради сузбијања негативних ефеката пандемије коронавируса. Такође, на раст просечне зараде утицала је и одлука Владе крајем 2019</w:t>
      </w:r>
      <w:r>
        <w:t xml:space="preserve">. године о повећању плата у распону од осам процената у државној управи до 15 процената код медицинских сестара, али и одлуке о трајном повећању плата здравственим радницима за 10% </w:t>
      </w:r>
      <w:r>
        <w:lastRenderedPageBreak/>
        <w:t>почев од априла 2020. године. Поред овога на раст зарада утицала је и одлук</w:t>
      </w:r>
      <w:r>
        <w:t>а о повећању минималне цене рада на 172,54 по радном часу у 2020. са 155,3 динара колико је износила у 2019. години. Тако у периоду јануар–септембар просечна нето зарада номинално је повећана за 9,4%, а реално за 7,7%, мг. и износила је 59.286 динара. Реал</w:t>
      </w:r>
      <w:r>
        <w:t xml:space="preserve">ни раст зарада у јавном сектору је износио 9,4%, док је у приватном сектору остварен реални раст зарада од 6,9%. Секторски посматрано највећи допринос расту просечне зараде дали су здравство, трговина и прерађивачка индустрија. </w:t>
      </w:r>
    </w:p>
    <w:p w:rsidR="00E8309B" w:rsidRDefault="009D0949">
      <w:pPr>
        <w:spacing w:after="87"/>
        <w:ind w:left="-5" w:right="17"/>
      </w:pPr>
      <w:r>
        <w:rPr>
          <w:b/>
        </w:rPr>
        <w:t>Екстерни сектор.</w:t>
      </w:r>
      <w:r>
        <w:t xml:space="preserve"> Србија је </w:t>
      </w:r>
      <w:r>
        <w:t>у последњих осам година значајно смањила дефицит текућег рачуна платног биланса – са 10,9% БДП у 2012. на 6,9% БДП-а у 2019. године, а наставак његовог смањења на око 5,0% БДП-а пројектује се и за 2020. Тиме ће дефицит текућег рачуна осму годину за редом б</w:t>
      </w:r>
      <w:r>
        <w:t xml:space="preserve">ити испод границе која обезбеђује његову средњорочну одрживост (која износи највише 8% БДП-а), а шесту годину за редом ће бити у потпуности покривен нето приливом СДИ. </w:t>
      </w:r>
    </w:p>
    <w:p w:rsidR="00E8309B" w:rsidRDefault="009D0949">
      <w:pPr>
        <w:ind w:left="-5" w:right="17"/>
      </w:pPr>
      <w:r>
        <w:t>Током девет месеци 2020. текући дефицит је износио око 1,7 млрд евра (5,1% БДП-а) и у о</w:t>
      </w:r>
      <w:r>
        <w:t xml:space="preserve">дносу на исти период претходне године нижи је за 14,9% (300 млн евра), при чему је текући дефицит у првом тромесечју износио 956,6 млн евра (8,7% БДП-а), а у периоду април– септембар 2020. године 757,3 млн евра (3,3% БДП-а). Од избијања пандемије изазване </w:t>
      </w:r>
      <w:r>
        <w:t>вирусом Ковид-19, тј. у периоду април–септембар, текући дефицит се смањио за око 40% мг. На смањење текућег дефицита у овом периоду највише је утицало веће смањење увоза робе (за 1,1 млрд евра мг.) у односу на смањење извоза (за 0,8 млрд евра мг.), као и с</w:t>
      </w:r>
      <w:r>
        <w:t xml:space="preserve">мањење дефицита примарног дохотка (за 0,5 млрд евра мг.), док је једино смањење суфицита секундарног дохотка (за 0,3 млрд евра мг.) по основу нижег прилива дознака у условима глобалне кризе и смањене мобилности радне снаге деловало у супротном смеру. </w:t>
      </w:r>
    </w:p>
    <w:p w:rsidR="00E8309B" w:rsidRDefault="009D0949">
      <w:pPr>
        <w:ind w:left="-5" w:right="17"/>
      </w:pPr>
      <w:r>
        <w:t>Робн</w:t>
      </w:r>
      <w:r>
        <w:t>и извоз је у првом тромесечју 2020. забележио раст од 3,1% мг., након чега је у априлу и мају под утицајем избијања пандемије дошло до пада од око 28% и 25% мг., респективно. Ипак, захваљујући правовременим мерама у борби против вируса Ковид-19, инвестициј</w:t>
      </w:r>
      <w:r>
        <w:t>ама из претходног периода које су повећале извозну понуду и постепеном опоравку екстерне тражње, почев од јуна робни извоз се опоравља. У јуну, јулу и августу мг. пад извоза кретао се између 4% и 6%, док је у септембру дошло до раста извоза од 6,6% мг., чи</w:t>
      </w:r>
      <w:r>
        <w:t>ме се извоз практично вратио на просечан ниво забележен у првом тромесечју. Опоравку извоза допринос су дале и прерађивачка индустрија и пољопривреда. Посматрано по тржиштима, на опоравак робног извоза највећи утицај је имао раст извоза у земље ЕУ (у септе</w:t>
      </w:r>
      <w:r>
        <w:t xml:space="preserve">мбру повећан за готово 7% мг.). У периоду април–септембар увоз је под утицајем пандемије и нижих цена енергената смањен за 10,4% у односу на исти период 2019. године. </w:t>
      </w:r>
    </w:p>
    <w:p w:rsidR="00E8309B" w:rsidRDefault="009D0949">
      <w:pPr>
        <w:ind w:left="-5" w:right="17"/>
      </w:pPr>
      <w:r>
        <w:t>Носиоци извозне активности, која је током девет месеци 2020. смањена за 5,9%, били су ду</w:t>
      </w:r>
      <w:r>
        <w:t>вански производи (са позитивним доприносом расту извоза од 0,8 п.п.), пољопривредни производи (0,8 п.п.) и прехрамбени производи (0,4 п.п.). С друге стране током овог периода највећи негативан допринос извозу потекао је од извоза моторних возила и приколиц</w:t>
      </w:r>
      <w:r>
        <w:t xml:space="preserve">а (–2,6 п.п.), основних метала (–2,3 п.п.) и производа од гуме и пластике (–0,7 п.п.). Ипак, треба имати у виду да се од јула примећује опоравак извоза аутоиндустрије, што је резултат опоравка тражње за аутомобилима у зони евра. </w:t>
      </w:r>
    </w:p>
    <w:p w:rsidR="00E8309B" w:rsidRDefault="009D0949">
      <w:pPr>
        <w:ind w:left="-5" w:right="17"/>
      </w:pPr>
      <w:r>
        <w:t>Увоз робе у девет месеци с</w:t>
      </w:r>
      <w:r>
        <w:t>мањен је за 4,3% мг., као резултат смањења увоза средстава за репродукцију за 12,5% мг. услед смањене производње и нижих цена енергената, док је увоз средстава за рад и потрошних добара повећан за 8,6% мг. и 6,3% мг., респективно. Највећи допринос паду уво</w:t>
      </w:r>
      <w:r>
        <w:t>за у току девет месеци 2020. године, потекао је од смањеног увоза кокса и деривата нафте (допринос –2,1 п.п.), моторних возила и приколица (–1,6 п.п.), основних метала (–1,4 п.п.), руда метала (–1,3 п.п.) и сирове нафте и природног гаса (–1,0 п.п.). Раст у</w:t>
      </w:r>
      <w:r>
        <w:t xml:space="preserve">воза је </w:t>
      </w:r>
      <w:r>
        <w:lastRenderedPageBreak/>
        <w:t xml:space="preserve">остварен код металних производа, осим машина (1,0 п.п.), основних фармацеутских производа (0,8 п.п.) и прехрамбених производа (0,7 п.п.). </w:t>
      </w:r>
    </w:p>
    <w:p w:rsidR="00E8309B" w:rsidRDefault="009D0949">
      <w:pPr>
        <w:ind w:left="-5" w:right="17"/>
      </w:pPr>
      <w:r>
        <w:t>Имајући у виду структуру прекограничне трговине услугама, тј. да је Србија нето увозница услуга туризма и тра</w:t>
      </w:r>
      <w:r>
        <w:t>нспорта, суфицит по основу трговине услуга је током девет месеци 2020. повећан за 17,9% мг., вођен пре свега растом нето извоза ИКТ услуга (13% мг.). Дефицит на рачуну примарног дохотка смањен је за скоро две трећине (на 1,1 млрд евра) услед мањих одлива п</w:t>
      </w:r>
      <w:r>
        <w:t xml:space="preserve">о основу СДИ доходака, пре свега реинвестиране добити (за 75,2%, односно 500,6 млн евра мг.). Суфицит секундарног дохотка је због мањих прилива по основу дознака смањен за 14,8% мг. </w:t>
      </w:r>
    </w:p>
    <w:p w:rsidR="00E8309B" w:rsidRDefault="009D0949">
      <w:pPr>
        <w:spacing w:after="92"/>
        <w:ind w:left="-5" w:right="17"/>
      </w:pPr>
      <w:r>
        <w:t>На рачуну финансијских трансакција (без промене девизних резерви) у перио</w:t>
      </w:r>
      <w:r>
        <w:t>ду јануар– септембар 2020. забележен је нето прилив од 1,8 млрд евра, а највећи део овог прилива односио се на СДИ и портфолио инвестиције. Нето прилив по основу СДИ у девет месеци 2020. износио је 1,7 млрд евра (прилив у Србију је износио 1,8 млрд евра) и</w:t>
      </w:r>
      <w:r>
        <w:t xml:space="preserve"> у потпуности је покрио дефицит текућег рачуна (100,8%). У поређењу са истим периодом претходне године нето прилив СДИ је нижи 33,1%, при чему треба имати у виду да је претходна година била рекордна по приливима СДИ. Такође, значајан део смањења СДИ се одн</w:t>
      </w:r>
      <w:r>
        <w:t>оси на мању реинвестирану добит у односу на претходну годину, што је директна последица пандемије и повећане неизвесности у међународном окружењу. Према првим проценама за девет месеци, прилив по основу СДИ је остао пројектно диверсификован, а највише је б</w:t>
      </w:r>
      <w:r>
        <w:t>ио усмерен у разменљиве секторе (преко 60%), а посматрано по делатностима највише је уложено у прерађивачку индустрију (око 33%), саобраћај (око 18%) и грађевинарство (око 15%). Посматрано по земљама, највећи део СДИ потицао је из земаља ЕУ (око 64%), азиј</w:t>
      </w:r>
      <w:r>
        <w:t>ских земаља (24%) и европских земаља које нису чланице ЕУ (8%). По основу портфолио инвестиција у периоду јануар–септембар 2020. забележен је нето прилив од 1,3 млн евра, пре свега захваљујући успешној емисији еврообвезнице на иностраном тржишту која је из</w:t>
      </w:r>
      <w:r>
        <w:t>дата ради финансирања свеобухватних економских мера у борби с пандемијом. Током новембра Србија је на међународном тржишту емитовала нову десетогодишњу хартију од вредности у вредности од 1,2 млрд долара како би превремено отплатила доларску обвезницу која</w:t>
      </w:r>
      <w:r>
        <w:t xml:space="preserve"> доспева у септембру 2021. године, чиме је дуг емитован по купонској стопи од 7,25% замењен дугом по стопи од </w:t>
      </w:r>
      <w:r>
        <w:rPr>
          <w:i/>
        </w:rPr>
        <w:t>de-facto</w:t>
      </w:r>
      <w:r>
        <w:t xml:space="preserve"> 1,066% у еврима (јер је своп трансакцијом извршен хеџинг и дуг у доларима замењен дугом у еврима), што су најповољнији услови које је Срб</w:t>
      </w:r>
      <w:r>
        <w:t xml:space="preserve">ија постигла до сада. По основу финансијских кредита резиденти су се нето задужили према иностранству за 749 млн евра, при чему су се приватни сектор нето задужио за 874 млн евра, а јавни сектор нето раздужио за 125 млн евра. Девизне резерве Народне банке </w:t>
      </w:r>
      <w:r>
        <w:t>Србије (без међувалутних промена и промена цена активе) у овом периоду смањене су за 434,1 млн евра, али су остале знатно изнад нивоа који обезбеђује адекватну заштиту од екстерних потреса – покривају готово шест месеци увоза роба и услуга и 259,6% дуга</w:t>
      </w:r>
      <w:r>
        <w:rPr>
          <w:vertAlign w:val="superscript"/>
        </w:rPr>
        <w:footnoteReference w:id="5"/>
      </w:r>
      <w:r>
        <w:t xml:space="preserve"> к</w:t>
      </w:r>
      <w:r>
        <w:t xml:space="preserve">оји доспева у наредној години дана. </w:t>
      </w:r>
    </w:p>
    <w:p w:rsidR="00E8309B" w:rsidRDefault="009D0949">
      <w:pPr>
        <w:spacing w:after="91"/>
        <w:ind w:left="-5" w:right="17"/>
      </w:pPr>
      <w:r>
        <w:rPr>
          <w:b/>
        </w:rPr>
        <w:t>Девизни курс.</w:t>
      </w:r>
      <w:r>
        <w:t xml:space="preserve"> Током 2020. године преовладали су депрецијацијски притисци који су били пре свега последица ширења пандемије Ковид-19. Смањена економска активност на глобалном нивоу утицала је на раст тражње за девизама д</w:t>
      </w:r>
      <w:r>
        <w:t>омаћих предузећа, а повећана неизвесност на међународним финансијским тржиштима била је узрок повећане тражње за девизама страних портфолио инвеститора, и то пре свега крајем првог и почетком другог тромесечја. Захваљујући правовременим и одмереним реакциј</w:t>
      </w:r>
      <w:r>
        <w:t>ама Народне банке Србије (у даљем тексту: НБС) на девизном тржишту у виду продаје девиза, али и свеукупним мерама НБС и Владе у циљу ублажавања последица ширења пандемије, сачувана је макроекономска стабилност, укључујући и финансијску стабилност и релатив</w:t>
      </w:r>
      <w:r>
        <w:t xml:space="preserve">ну стабилност девизног тржишта. У појединим периодима бележени су и апрецијацијски притисци услед којих се НБС јављала не </w:t>
      </w:r>
      <w:r>
        <w:lastRenderedPageBreak/>
        <w:t>само на страни продаје, већ и на страни куповине девиза. НБС је у циљу ублажавања прекомерних краткорочних осцилација курса динара пре</w:t>
      </w:r>
      <w:r>
        <w:t xml:space="preserve">ма евру на девизном тржишту током десет месеци 2020. године нето продала 1.735 млн евра – продала 1.940 млн евра и купила 205 млн евра. Посматрано од почетка године, закључно са крајем новембра, вредност динара према евру готово је непромењена. </w:t>
      </w:r>
    </w:p>
    <w:p w:rsidR="00E8309B" w:rsidRDefault="009D0949">
      <w:pPr>
        <w:ind w:left="-5" w:right="17"/>
      </w:pPr>
      <w:r>
        <w:rPr>
          <w:b/>
        </w:rPr>
        <w:t>Инфлација</w:t>
      </w:r>
      <w:r>
        <w:t xml:space="preserve"> </w:t>
      </w:r>
      <w:r>
        <w:t xml:space="preserve">је у 2020. остала ниска и стабилна, упркос новонасталој кризи изазваној пандемијом вируса Ковид-19. На страни трошкова, инфлаторни притисци су остали ниски захваљујући обезбеђеној релативној стабилности девизног курса, нижим светским ценама нафте у односу </w:t>
      </w:r>
      <w:r>
        <w:t>на ниво пре пандемије, релативно ниским трошковима у производњи хране, као и пуној снабдевености тржишта робом. Ниски су остали и притисци на страни тражње, и поред наставка раста зарада и запослености у већини делатности, о чему сведочи кретање базне инфл</w:t>
      </w:r>
      <w:r>
        <w:t>ације (по искључењу цена хране, нафтних деривата, алкохола и цигарета) на ниском и стабилном нивоу (1,6% у просеку у 2020.). Ценовној стабилности на нивоу од око 2% седам година уназад доприносе и усидрена инфлациона очекивања која указују на повећан креди</w:t>
      </w:r>
      <w:r>
        <w:t xml:space="preserve">билитет монетарне политике. </w:t>
      </w:r>
    </w:p>
    <w:p w:rsidR="00E8309B" w:rsidRDefault="009D0949">
      <w:pPr>
        <w:spacing w:after="91"/>
        <w:ind w:left="-5" w:right="17"/>
      </w:pPr>
      <w:r>
        <w:t>У складу са очекивањима НБС, међугодишња инфлација је, након 2,0% у јануару, успорила и у марту, априлу и мају кретала се испод доње границе циља, да би се у јуну вратила у те границе. У јулу је инфлација наставила раст на 2,0%</w:t>
      </w:r>
      <w:r>
        <w:t xml:space="preserve"> мг., највише под утицајем смањења негативног доприноса цена нафтних деривата, да би с доласком нове пољопривредне сезоне у наредним месецима благо успорила – на 1,8% у септембру и октобру, у највећој мери под утицајем споријег раста цена воћа, али и остал</w:t>
      </w:r>
      <w:r>
        <w:t xml:space="preserve">е хране. </w:t>
      </w:r>
    </w:p>
    <w:p w:rsidR="00E8309B" w:rsidRDefault="009D0949">
      <w:pPr>
        <w:spacing w:after="22"/>
        <w:ind w:left="-5" w:right="17"/>
      </w:pPr>
      <w:r>
        <w:rPr>
          <w:b/>
        </w:rPr>
        <w:t>Кредитна активност и монетарна кретања.</w:t>
      </w:r>
      <w:r>
        <w:t xml:space="preserve"> Домаћа кредитна активност наставила је тренд стабилног раста током 2020. године и у условима кризе изазване пандемијом, подржана мерама НБС и Владе, при чему мг. раст кредита у Србији био највиши међу земља</w:t>
      </w:r>
      <w:r>
        <w:t>ма региона. Домаћи кредити бележили су и током 2020. године двоцифрен мг. раст, који је, по искључењу ефекта промене девизног курса</w:t>
      </w:r>
      <w:r>
        <w:rPr>
          <w:rFonts w:ascii="Calibri" w:eastAsia="Calibri" w:hAnsi="Calibri" w:cs="Calibri"/>
          <w:vertAlign w:val="superscript"/>
        </w:rPr>
        <w:footnoteReference w:id="6"/>
      </w:r>
      <w:r>
        <w:t>, у октобру износио 12,1% (наспрам 9,8% у децембру 2019. године), што је резултат одличне реализације кредита почетком годин</w:t>
      </w:r>
      <w:r>
        <w:t>е, ублажавања монетарне политике НБС, омогућеног застоја у отплати кредита и одобравања кредита из гарантне шеме</w:t>
      </w:r>
      <w:r>
        <w:rPr>
          <w:vertAlign w:val="superscript"/>
        </w:rPr>
        <w:footnoteReference w:id="7"/>
      </w:r>
      <w:r>
        <w:t>. Од почетка П2 2019. том расту у већој мери доприноси кредитирање привреде него кредитирање становништва, што је настављено и током 2020. годи</w:t>
      </w:r>
      <w:r>
        <w:t xml:space="preserve">не (6,1 п.п., наспрам 5,8 п.п. у октобру). </w:t>
      </w:r>
    </w:p>
    <w:p w:rsidR="00E8309B" w:rsidRDefault="009D0949">
      <w:pPr>
        <w:ind w:left="-5" w:right="17"/>
      </w:pPr>
      <w:r>
        <w:t>Резултати анкета о кредитној активности коју спроводи НБС показују да је перцепција ризика која је повећана са избијањем пандемије утицала на пооштравање кредитних стандарда привреди и становништву, док је тражња</w:t>
      </w:r>
      <w:r>
        <w:t xml:space="preserve"> за кредитима наставила да расте. </w:t>
      </w:r>
    </w:p>
    <w:p w:rsidR="00E8309B" w:rsidRDefault="009D0949">
      <w:pPr>
        <w:ind w:left="-5" w:right="17"/>
      </w:pPr>
      <w:r>
        <w:t>Значајан фактор олакшавања терета кризе представља гарантна шема Владе, усмерена на микропредузећа, мала и средња предузећа и предузетнике. Шема предвиђа одобравање 2 млрд евра кредита уз гаранцију државе до краја јануара</w:t>
      </w:r>
      <w:r>
        <w:t xml:space="preserve"> 2021, од чега је закључно са 31. децембром 2020. године одобрено 1,59 млрд евра. Више од половине кредита одобрених у оквиру гарантне шеме било је у динарима (57,6%), што је уз куповину динарских корпоративних обвезница и уобичајено високу динаризацију но</w:t>
      </w:r>
      <w:r>
        <w:t xml:space="preserve">воодобрених кредита становништву (70% у просеку у десет месеци 2020) утицало да учешће динарских пласмана у укупним пласманима достигне у октобру свој максимум од 36,8% (од тога је динаризација пласмана привреди порасла на 19,8%, а становништву на 56,3%). </w:t>
      </w:r>
    </w:p>
    <w:p w:rsidR="00E8309B" w:rsidRDefault="009D0949">
      <w:pPr>
        <w:ind w:left="-5" w:right="17"/>
      </w:pPr>
      <w:r>
        <w:lastRenderedPageBreak/>
        <w:t xml:space="preserve">Међугодишњи раст кредита привреди у октобру је износио 11,8% (наспрам 9,5% крајем 2019). Почетком године, тај раст је био претежно вођен инвестиционим кредитима, да би са растућим потребама за ликвидношћу у условима кризе изазване пандемијом и покретањем </w:t>
      </w:r>
      <w:r>
        <w:t>гарантне шеме државе, растао допринос кредита за обртна средства. У октобру мг. раст кредита за обртна средства је износио 22,9%, док су инвестициони кредити били виши за 10,5% мг., што указује да се у наредном периоду може очекивати раст инвестиција. Посм</w:t>
      </w:r>
      <w:r>
        <w:t>атрано по величини предузећа, кредити одобрени сегменту микро, малих и средњих предузећа чинили су 67,8% укупних кредита привреди у октобру, а њихов мг. раст износио је 10,6%. Раст кредита становништву у октобру је износио 12,6% мг. (наспрам 10,0% мг. крај</w:t>
      </w:r>
      <w:r>
        <w:t>ем 2019). Као и раније, раст је био вођен готовинским и стамбеним кредитима, који су у октобру били виши за 18,0% и 12,1%, респективно него пре годину дана. Поред тога, расту кредита становништву допринело је и кредитирање предузетника у оквиру гарантне ше</w:t>
      </w:r>
      <w:r>
        <w:t xml:space="preserve">ме. </w:t>
      </w:r>
    </w:p>
    <w:p w:rsidR="00E8309B" w:rsidRDefault="009D0949">
      <w:pPr>
        <w:ind w:left="-5" w:right="17"/>
      </w:pPr>
      <w:r>
        <w:t>Анализа кретања кредитне активности са аспекта утврђивања висине стопе контрацикличног заштитног слоја капитала са јуном 2020. указује на то да се, и поред раста, кредитна активност мерена учешћем укупних реалних кредита у реалном БДП-у налази испод с</w:t>
      </w:r>
      <w:r>
        <w:t>вог дугорочног тренда (–0,7 п.п.). С обзиром на то, НБС је у септембру 2020. године, одлучила да стопу контрацикличног заштитног слоја капитала задржи на нивоу од 0%. Иако је присутна тенденција смањења негативног јаза, анализирана кредитна активност по се</w:t>
      </w:r>
      <w:r>
        <w:t>кторима указује да, ни у сектору привреде ни у сектору становништва, није присутан прекомерни раст кредита и да се и даље налазе испод свог дугорочног тренда. То указује да и даље кредитна активност не представља ризик ни по ценовну ни по финансијску стаби</w:t>
      </w:r>
      <w:r>
        <w:t xml:space="preserve">лност. </w:t>
      </w:r>
    </w:p>
    <w:p w:rsidR="00E8309B" w:rsidRDefault="009D0949">
      <w:pPr>
        <w:ind w:left="-5" w:right="17"/>
      </w:pPr>
      <w:r>
        <w:t>Очекује се да ће на нивоу године укупни домаћи кредити бити повећани за око 10%, рачунато по програмском курсу, док се у 2021. години очекује да кредитна активност успори раст под утицајем ефекта високе базе, на коју се одражава и омогућен моратори</w:t>
      </w:r>
      <w:r>
        <w:t>јум током другог и већим делом током трећег тромесечја ове године, тако да ће према пројекцији НБС стопа раста укупних домаћих кредита износити око 6%. Такође, треба имати у виду да би од маја 2021. године требало да почну да доспевају кредити одобрени у о</w:t>
      </w:r>
      <w:r>
        <w:t xml:space="preserve">квиру гарантне шеме, док ће позитиван допринос кредитној активности дати повољни услови финансирања постигнути претходним ублажавањем монетарне политике НБС и ЕЦБ, као и очекивани економски опоравак након кризе. </w:t>
      </w:r>
    </w:p>
    <w:p w:rsidR="00E8309B" w:rsidRDefault="009D0949">
      <w:pPr>
        <w:spacing w:after="84"/>
        <w:ind w:left="-5" w:right="17"/>
      </w:pPr>
      <w:r>
        <w:t>Обиман пакет економске помоћи, укључујући и</w:t>
      </w:r>
      <w:r>
        <w:t xml:space="preserve"> мере и активности НБС као одговор на пандемију, у условима повећаних потреба за ликвидношћу, допринео је расту понуде новца у 2020. У октобру је мг. раст свих монетарних агрегата М1 (31,2%), М2 (29,4%) и М3 (16,3%) био виши него крајем 2019. Раст динарске</w:t>
      </w:r>
      <w:r>
        <w:t xml:space="preserve"> новчане масе био је пре свега вођен растом трансакционих депозита привреде и становништва. Динарска штедња становништва повећана је током 2020. за 10,5 млрд динара, чиме је достигла свој нови максимум од 89,5 млрд динара у октобру. Такво кретање штедње по</w:t>
      </w:r>
      <w:r>
        <w:t>казатељ је поверења становништва у банкарски систем и домаћу валуту, чији значај посебно долази до изражаја у условима растуће неизвесности услед пандемије. Поред тога, већој атрактивности динарске од девизне штедње доприносе и више каматне стопе, као и ње</w:t>
      </w:r>
      <w:r>
        <w:t>н повољнији порески третман. То је резултирало растом учешћа динарских депозита становништва са 8,8% крајем 2012. на 25,5% у октобру ове године, као и повећањем динаризације укупних депозита привреде и становништва са 19,1% на 38,6%. То потврђује и да Стра</w:t>
      </w:r>
      <w:r>
        <w:t>тегија динаризације донета 2012. и унапређена крајем 2018. даје позитивне резултате. Девизни депозити су у десет месеци 2020. повећани за 1.058,7 млн евра, највише захваљујући расту девизних депозита привреде (за 599,9 млн евра), чему су допринели и прилив</w:t>
      </w:r>
      <w:r>
        <w:t xml:space="preserve">и девиза по основу извоза, СДИ и задуживања предузећа у иностранству. Девизна штедња становништва порасла је за 441,0 млн евра, достигавши 10,9 млрд евра крајем октобра. </w:t>
      </w:r>
    </w:p>
    <w:p w:rsidR="00E8309B" w:rsidRDefault="009D0949">
      <w:pPr>
        <w:ind w:left="-5" w:right="17"/>
      </w:pPr>
      <w:r>
        <w:rPr>
          <w:b/>
        </w:rPr>
        <w:t>Финансијски сектор.</w:t>
      </w:r>
      <w:r>
        <w:t xml:space="preserve"> У структури финансијског система Србије није било значајнијих изм</w:t>
      </w:r>
      <w:r>
        <w:t xml:space="preserve">ена током 2020. године – банкарски сектор је и даље доминантан са учешћем преко 90% у укупној </w:t>
      </w:r>
      <w:r>
        <w:lastRenderedPageBreak/>
        <w:t>активи финансијског сектора. Закључно са 31. октобром 2020. године банкарски сектор Србије је чинило 26 банака, од којих је 19 у већинском власништву страних лица</w:t>
      </w:r>
      <w:r>
        <w:t xml:space="preserve"> (чланице банкарских група из 13 држава), 4 банке су у већинском власништву Републике Србије, док су 3 банке у већинском власништву домаћих правних лица. На тржишту доминирају банке у већинском власништву страних лица на које се односи 76,6% укупне билансн</w:t>
      </w:r>
      <w:r>
        <w:t>е активе, 82,6% укупних бруто кредита и 75,1% укупних депозита банкарског сектора. Посматрано појединачно по банкама, у банкарском сектору нема значајније концентрације у кључним билансним категоријама и тржишним сегментима, што указује на висок степен кон</w:t>
      </w:r>
      <w:r>
        <w:t xml:space="preserve">куренције међу банкама. </w:t>
      </w:r>
    </w:p>
    <w:p w:rsidR="00E8309B" w:rsidRDefault="009D0949">
      <w:pPr>
        <w:ind w:left="-5" w:right="17"/>
      </w:pPr>
      <w:r>
        <w:t xml:space="preserve">Билансна сума и капитал банкарског сектора Србије су на крају октобра 2020. године износили 4.516 млрд динара и 719 млрд динара, респективно. Солидне резерве капитала које су банке изградиле протеклих неколико година су их учиниле </w:t>
      </w:r>
      <w:r>
        <w:t>отпорнијим на негативне ефекте пандемије. Показатељ адекватности капитала за банкарски сектор је износио 22,3%, а показатељ левериџа (по „Базелу 3ˮ) 12,56% на крају трећег тромесечја 2020</w:t>
      </w:r>
      <w:r>
        <w:rPr>
          <w:vertAlign w:val="superscript"/>
        </w:rPr>
        <w:footnoteReference w:id="8"/>
      </w:r>
      <w:r>
        <w:t xml:space="preserve"> године, што све заједно потврђује високу солвентност банкарског сек</w:t>
      </w:r>
      <w:r>
        <w:t xml:space="preserve">тора. </w:t>
      </w:r>
    </w:p>
    <w:p w:rsidR="00E8309B" w:rsidRDefault="009D0949">
      <w:pPr>
        <w:ind w:left="-5" w:right="17"/>
      </w:pPr>
      <w:r>
        <w:t>Резерве ликвидности банкарског сектора у Србији су више него довољне за покриће потенцијалних потреба за ликвидним средствима, што потврђују кретање кључних показатеља ликвидности и рочна структура имовине и обавеза. Месечни показатељ ликвидности ко</w:t>
      </w:r>
      <w:r>
        <w:t>ји се обрачунава у складу с домаћим прописима је у октобру на нивоу банкарског сектора износио 2,11 (регулаторни минимум је 1,0) и био је изнад 2 током целе 2020. године. Ликвидна средства су чинила 36,46% укупне билансне активе и 49,98% укупних краткорочн</w:t>
      </w:r>
      <w:r>
        <w:t xml:space="preserve">их обавеза, док је показатељ покрића ликвидном активом (по „Базелу 3ˮ) износио 210,31% на крају октобра 2020. </w:t>
      </w:r>
    </w:p>
    <w:p w:rsidR="00E8309B" w:rsidRDefault="009D0949">
      <w:pPr>
        <w:ind w:left="-5" w:right="17"/>
      </w:pPr>
      <w:r>
        <w:t>Банкарски сектор је упркос пандемији успео да задржи задовољавајућу профитабилност и у 2020. Укупан нето добитак пре опорезивања остварен од почетка године до краја октобра износио је 45,8 млрд динара, уз показатеље профитабилности ROA од 1,28% и ROE 7,72%</w:t>
      </w:r>
      <w:r>
        <w:t xml:space="preserve">. </w:t>
      </w:r>
    </w:p>
    <w:p w:rsidR="00E8309B" w:rsidRDefault="009D0949">
      <w:pPr>
        <w:ind w:left="-5" w:right="17"/>
      </w:pPr>
      <w:r>
        <w:t>Иако је спровела све активности из свог Акционог плана за спровођење Стратегије за решавање проблематичних кредита, НБС је наставила да предузима регулаторне мере из своје надлежности и користи расположиве инструменте и механизме надзора у циљу подстица</w:t>
      </w:r>
      <w:r>
        <w:t xml:space="preserve">ња банака да ефикасније решавају проблематичне кредите и успоставе систем који ће спречити њихову поновну акумулацију. Такође, у складу с </w:t>
      </w:r>
      <w:r>
        <w:rPr>
          <w:b/>
          <w:i/>
        </w:rPr>
        <w:t>Одлуком о рачуноводственом отпису билансне активе банака</w:t>
      </w:r>
      <w:r>
        <w:t>, која се примењује од 30. септембра 2017. године, банке су ду</w:t>
      </w:r>
      <w:r>
        <w:t xml:space="preserve">жне да пренесу у ванбилансну евиденцију све проблематичне кредите који су у потпуности обезвређени. </w:t>
      </w:r>
    </w:p>
    <w:p w:rsidR="00E8309B" w:rsidRDefault="009D0949">
      <w:pPr>
        <w:ind w:left="-5" w:right="17"/>
      </w:pPr>
      <w:r>
        <w:t>Пет година након усвајања Стратегије, учешће проблематичних кредита у укупним бруто кредитима банкарског сектора је смањено за 18,8 п.п. на 3,45%, колико ј</w:t>
      </w:r>
      <w:r>
        <w:t>е износило на крају октобра 2020. године. Стање бруто проблематичних кредита је у истом периоду смањено за 77,75% (са 427,3 млрд динара на 95,1 млрд динара). Најзначајнији канали смањења проблематичних кредита су били директан отпис и уступања (продаја) по</w:t>
      </w:r>
      <w:r>
        <w:t>траживања. Од усвајања Стратегије закључно са октобром 2020. године, укупно смањење проблематичних кредита које се дугује директном отпису је износило 215,7 млрд динара и присутно је код свих банака. Укупан износ уступљених потраживања од момента увођења С</w:t>
      </w:r>
      <w:r>
        <w:t>тратегије износи 95,2 млрд динара</w:t>
      </w:r>
      <w:r>
        <w:rPr>
          <w:vertAlign w:val="superscript"/>
        </w:rPr>
        <w:footnoteReference w:id="9"/>
      </w:r>
      <w:r>
        <w:t>. Учешће проблематичних кредита у укупним кредитима привреди је на крају октобра 2020. године износило 3,61%, док је њихов удео у укупним кредитима физичким лицима био 3,57%. На крају октобра 2020. године 62,1% проблематич</w:t>
      </w:r>
      <w:r>
        <w:t xml:space="preserve">них кредита је било покривено исправкама вредности извршеним у складу са међународним рачуноводственим стандардима, што представља висок степен покривености. Позитивни ефекти прописаних </w:t>
      </w:r>
      <w:r>
        <w:lastRenderedPageBreak/>
        <w:t>мера</w:t>
      </w:r>
      <w:r>
        <w:rPr>
          <w:rFonts w:ascii="Calibri" w:eastAsia="Calibri" w:hAnsi="Calibri" w:cs="Calibri"/>
        </w:rPr>
        <w:t xml:space="preserve"> </w:t>
      </w:r>
      <w:r>
        <w:t>ради подстицања праксе одрживог кредитирања становништва усвојени</w:t>
      </w:r>
      <w:r>
        <w:t xml:space="preserve">х у децембру 2018. године огледају се у смањењу показатеља ризика концентрације на нивоу банкарског сектора за 11,05 п.п. у периоду јануар 2019. године – октобар 2020. године (са 25,19% на 14,14%). </w:t>
      </w:r>
    </w:p>
    <w:p w:rsidR="00E8309B" w:rsidRDefault="009D0949">
      <w:pPr>
        <w:ind w:left="-5" w:right="17"/>
      </w:pPr>
      <w:r>
        <w:t>НБС је предузела низ активности усмерених на подршку прив</w:t>
      </w:r>
      <w:r>
        <w:t xml:space="preserve">реди и грађанима Србије са циљем ублажавања негативних економских последица вируса Ковид-19, уз очување финансијске стабилности у ванредним околностима. </w:t>
      </w:r>
    </w:p>
    <w:p w:rsidR="00E8309B" w:rsidRDefault="009D0949">
      <w:pPr>
        <w:ind w:left="-5" w:right="17"/>
      </w:pPr>
      <w:r>
        <w:t>Имајући у виду неопходност очувања достигнутог нивоа и даљег јачања стабилности финансијског система у</w:t>
      </w:r>
      <w:r>
        <w:t xml:space="preserve"> условима потенцијалних ризика узрокованих ванредном здравственом ситуацијом у земљи, НБС је у марту 2020. године усвојила одлуке којима се прописује застој у отплати обавеза (мораторијум) за дужнике банака и даваоца финансијског лизинга који не може бити </w:t>
      </w:r>
      <w:r>
        <w:t xml:space="preserve">краћи од 90 дана. С обзиром на то да се ванредна здравствена ситуација наставила, НБС је у јулу усвојила одлуке којима је прописан додатни застој у отплати обавеза према банкама/даваоцима финансијског лизинга (додатни мораторијум) које доспевају у периоду </w:t>
      </w:r>
      <w:r>
        <w:t>од 1. августа 2020. године закључно са 30. септембром 2020. године, као и застој у отплати обавеза које су доспеле у јулу ове године, а дужник их није измирио. О важности и благовремености одлука сведочи чињеница да је око 90% клијената банака користило пр</w:t>
      </w:r>
      <w:r>
        <w:t xml:space="preserve">ви мораторијум, а око 82% додатни, други мораторијум. </w:t>
      </w:r>
    </w:p>
    <w:p w:rsidR="00E8309B" w:rsidRDefault="009D0949">
      <w:pPr>
        <w:spacing w:after="86"/>
        <w:ind w:left="-5" w:right="17"/>
      </w:pPr>
      <w:r>
        <w:t>У мају и новембру 2020. године, НБС је усвојила прописе у циљу одлагања примене мера које регулишу одобравање кредита у страној валути и девизно индексираних кредита усвојених у децембру 2019. године, због ванредне здравствене ситуације проузроковане панде</w:t>
      </w:r>
      <w:r>
        <w:t>мијом. На тај начин, одложена је за укупно годину дана примена мера којима се дестимулише одобравање нових, ненаменских и неинвестиционих, девизно индексираних кредита и кредита у страној валути привредним субјектима, предузетницима и пољопривредницима. Ус</w:t>
      </w:r>
      <w:r>
        <w:t>лед одлагања примене, за обрачун одбитне ставке су релевантни новоодобрени кредити индексирани девизном клаузулом и кредити у страној валути од 1. јула 2021. године, а не они који су одобрени почев од 1. јула 2020. године, како је иницијално било прописано</w:t>
      </w:r>
      <w:r>
        <w:t xml:space="preserve">. </w:t>
      </w:r>
    </w:p>
    <w:p w:rsidR="00E8309B" w:rsidRDefault="009D0949">
      <w:pPr>
        <w:ind w:left="-5" w:right="17"/>
      </w:pPr>
      <w:r>
        <w:t>Кад је реч о стамбеним кредитима, у јуну je донета</w:t>
      </w:r>
      <w:r>
        <w:rPr>
          <w:b/>
          <w:i/>
        </w:rPr>
        <w:t xml:space="preserve"> Одлука о допунама Одлуке о мерама за очување и јачање стабилности финансијског система</w:t>
      </w:r>
      <w:r>
        <w:t>, чиме су створене регулаторне претпоставке за издвајање мањег учешћа потребног за одобравање стамбених кредита купц</w:t>
      </w:r>
      <w:r>
        <w:t xml:space="preserve">има првог стана дефинисањем LtV показатеља на максимум 90%, односно да износ стамбеног кредита који је обезбеђен хипотеком на непокретности није већи од 90% вредности те непокретности (изузетак у односу на опште правило када је овај лимит 80%). </w:t>
      </w:r>
    </w:p>
    <w:p w:rsidR="00E8309B" w:rsidRDefault="009D0949">
      <w:pPr>
        <w:ind w:left="-5" w:right="17"/>
      </w:pPr>
      <w:r>
        <w:t>Поред наве</w:t>
      </w:r>
      <w:r>
        <w:t xml:space="preserve">деног, у јулу 2020. НБС је усвојила следеће одлуке у циљу олакшавања отплате одређених кредита одобрених грађанима до 18. марта 2020. године: </w:t>
      </w:r>
      <w:r>
        <w:rPr>
          <w:b/>
          <w:i/>
        </w:rPr>
        <w:t>Одлуку о допуни Одлуке о адекватности капитала банке</w:t>
      </w:r>
      <w:r>
        <w:t xml:space="preserve"> и </w:t>
      </w:r>
      <w:r>
        <w:rPr>
          <w:b/>
          <w:i/>
        </w:rPr>
        <w:t>Одлуку о измени и допуни Одлуке о управљању ризиком концент</w:t>
      </w:r>
      <w:r>
        <w:rPr>
          <w:b/>
          <w:i/>
        </w:rPr>
        <w:t xml:space="preserve">рације по основу изложености банке одређеним врстама производа. </w:t>
      </w:r>
      <w:r>
        <w:t xml:space="preserve">У складу са усвојеним прописима, банке су подстакнуте да дужницима понуде рефинансирање или промену датума доспећа последње рате потрошачких, готовинских и осталих кредита (који није стамбени </w:t>
      </w:r>
      <w:r>
        <w:t xml:space="preserve">кредит ни минус по текућем рачуну) одобрених до 18. марта 2020. и то на додатне две године дуже у односу на тренутно важећи режим рокова отплате ових кредита. </w:t>
      </w:r>
    </w:p>
    <w:p w:rsidR="00E8309B" w:rsidRDefault="009D0949">
      <w:pPr>
        <w:ind w:left="-5" w:right="17"/>
      </w:pPr>
      <w:r>
        <w:t>Коначно, крајем августа усвојена је и одлука која дефинише мере за олакшавање приступа финансира</w:t>
      </w:r>
      <w:r>
        <w:t xml:space="preserve">њу физичким лицима – </w:t>
      </w:r>
      <w:r>
        <w:rPr>
          <w:b/>
          <w:i/>
        </w:rPr>
        <w:t>Одлука о привременим мерама за банке у циљу олакшавања приступа финансирању физичким лицима.</w:t>
      </w:r>
      <w:r>
        <w:t xml:space="preserve"> Овом одлуком су прописана три сета мера које треба становништву да омогуће лакши приступ стамбеним кредитима. Прва мера има за циљ да поред ла</w:t>
      </w:r>
      <w:r>
        <w:t xml:space="preserve">кшег приступа стамбеним кредитима подржи и привреду, конкретније грађевинску индустрију, путем бржег обрта средстава – у претходном периоду минимални степен изграђености објекта чију је куповину било могуће финансирати стамбеним </w:t>
      </w:r>
      <w:r>
        <w:lastRenderedPageBreak/>
        <w:t>кредитима банака најчешће ј</w:t>
      </w:r>
      <w:r>
        <w:t>е износио 80%, а овом мером банке су подстакнуте да одобравају стамбене кредите не чекајући завршетак стамбеног објекта у целости или у највећој мери. Друга мера односи са на могућност продужетка рока отплате стамбених кредита на највише пет година, а трећ</w:t>
      </w:r>
      <w:r>
        <w:t xml:space="preserve">а на привремено олакшавање процедуре за приступ становништва краткорочним динарским кредитима до одређеног износа. </w:t>
      </w:r>
    </w:p>
    <w:p w:rsidR="00E8309B" w:rsidRDefault="009D0949">
      <w:pPr>
        <w:spacing w:after="143"/>
        <w:ind w:left="-5" w:right="17"/>
      </w:pPr>
      <w:r>
        <w:t>Имајући у виду сложеност утицаја ванредне здравствене ситуације у земљи на грађане и привреду, Народна банка Србије је 14. децембра 2020. го</w:t>
      </w:r>
      <w:r>
        <w:t xml:space="preserve">дине усвојила додатне мере које првенствено имају за циљ омогућавање олакшица дужницима (физичким лицима, привредним друштвима, пољопривредницима и предузетницима) који су погођени пандемијом COVID-19 и из тог разлога нису у могућности да измирују обавезе </w:t>
      </w:r>
      <w:r>
        <w:t>према банци или даваоцу финансијског лизинга, односно могу имати потешкоће у измиривању тих обавеза. Олакшице у отплати су омогућене за измиривање обавеза по основу кредита и сличних производа, а подразумевају одобравање грејс периода у трајању од шест мес</w:t>
      </w:r>
      <w:r>
        <w:t xml:space="preserve">еци уз одговарајуће продужавање рока отплате обавеза на начин да износ ануитета, односно месечне обавезе дужника по истеку грејс периода, а до краја новог рока отплате не буде већи у односу на тај износ у периоду пре примене олакшица. </w:t>
      </w:r>
    </w:p>
    <w:p w:rsidR="00E8309B" w:rsidRDefault="009D0949">
      <w:pPr>
        <w:spacing w:after="86"/>
        <w:ind w:left="-5" w:right="17"/>
      </w:pPr>
      <w:r>
        <w:t>Резултат свеобухватн</w:t>
      </w:r>
      <w:r>
        <w:t xml:space="preserve">е реформе правног оквира у области </w:t>
      </w:r>
      <w:r>
        <w:rPr>
          <w:b/>
        </w:rPr>
        <w:t>платних услуга</w:t>
      </w:r>
      <w:r>
        <w:t xml:space="preserve"> јесте стабилан, сигуран и поуздан рад платног система у земљи, као и чињеница да су савремене платне услуге лако доступне корисницима широм Републике Србије. Наведено је праћено и вишегодишњим и континуиран</w:t>
      </w:r>
      <w:r>
        <w:t>им растом броја корисника услуга електронског и мобилног банкарства, као и константним растом броја трансакција куповине робе и услуга путем интернета (</w:t>
      </w:r>
      <w:r>
        <w:rPr>
          <w:i/>
        </w:rPr>
        <w:t>е-commerce</w:t>
      </w:r>
      <w:r>
        <w:t>), што се показало нарочито значајним у време пандемије вируса Ковид-19. Наведени резултати пр</w:t>
      </w:r>
      <w:r>
        <w:t xml:space="preserve">едстављају одличну основу за даљи развој тржишта платних услуга и за активности које предстоје даљем усклађивању домаћег правног оквира с правним тековинама ЕУ. </w:t>
      </w:r>
    </w:p>
    <w:p w:rsidR="00E8309B" w:rsidRDefault="009D0949">
      <w:pPr>
        <w:ind w:left="-5" w:right="17"/>
      </w:pPr>
      <w:r>
        <w:t>НБС је подржала реформу правног оквира и успостављањем система за инстант плаћање –</w:t>
      </w:r>
      <w:r>
        <w:rPr>
          <w:rFonts w:ascii="Calibri" w:eastAsia="Calibri" w:hAnsi="Calibri" w:cs="Calibri"/>
        </w:rPr>
        <w:t xml:space="preserve"> </w:t>
      </w:r>
      <w:r>
        <w:t>IPS НБС си</w:t>
      </w:r>
      <w:r>
        <w:t>стема. Овим увођењем најсавременије технологије у области платних система, 2018. године створени су основи за још једноставније и брже извршавање платних трансакција, понуду нових дигиталних услуга и већу конкуренцију међу инструментима за безготовинска пл</w:t>
      </w:r>
      <w:r>
        <w:t>аћања. Посебан подстицај даљем развоју и популаризацији безготовинских плаћања у земљи и конкуренцији картичним плаћањима од почетка 2020. године даје и нов начин плаћања на продајним местима трговаца, „IPS скенирајˮ/„IPS покажиˮ, који су банке омогућиле к</w:t>
      </w:r>
      <w:r>
        <w:t>орисницима у апликацијама мобилног банкарства и којим је омогућено брзо и једноставно плаћање, уз тренутну доступност средстава на рачуну трговца. Олакшано је и плаћање рачуна издаваоцима великог броја рачуна, скенирањем НБС IPS QR кода на рачунима/фактура</w:t>
      </w:r>
      <w:r>
        <w:t>ма, код којих је могућност да платилац начини грешку у плаћању сведено на минимум. Корисницима се тако пружа погодност да у било које доба дана и без одласка у банку, плате своја дуговања, а то се показало нарочито добрим и корисним у време пандемије, када</w:t>
      </w:r>
      <w:r>
        <w:t xml:space="preserve"> је једна од најзначајнијих препорука за заштиту здравља одржавање физичке дистанце и избегавање места с великим бројем људи. Даљи развој и унапређење инфраструктуре платног система наставиће се и током 2021. године, када ће корисницима бити омогућене и ос</w:t>
      </w:r>
      <w:r>
        <w:t xml:space="preserve">тале функционалности IPS НБС система. </w:t>
      </w:r>
    </w:p>
    <w:p w:rsidR="00E8309B" w:rsidRDefault="009D0949">
      <w:pPr>
        <w:ind w:left="-5" w:right="17"/>
      </w:pPr>
      <w:r>
        <w:t>Уз уважавање глобалних трендова, у Републици Србији је по први пут усвојен Закон о дигиталној имовини („Службени гласник РС“, бр. 153/2020), којим се на свеобухватан начин уређује издавање дигиталне имовине, секундарн</w:t>
      </w:r>
      <w:r>
        <w:t xml:space="preserve">о трговање дигиталном имовином, пружање услуга повезаних с дигиталном имовином и надзор над пословањем лица која пружају те услуге. </w:t>
      </w:r>
    </w:p>
    <w:p w:rsidR="00E8309B" w:rsidRDefault="009D0949">
      <w:pPr>
        <w:spacing w:after="277"/>
        <w:ind w:left="-5" w:right="17"/>
      </w:pPr>
      <w:r>
        <w:t>У наредном периоду НБС ће окончати започете активности на изради нацрта закона којим ће се уредити групно финансирање (</w:t>
      </w:r>
      <w:r>
        <w:rPr>
          <w:i/>
        </w:rPr>
        <w:t>сrow</w:t>
      </w:r>
      <w:r>
        <w:rPr>
          <w:i/>
        </w:rPr>
        <w:t>dfunding</w:t>
      </w:r>
      <w:r>
        <w:t xml:space="preserve">) и послови алтернативног финансирања, који </w:t>
      </w:r>
      <w:r>
        <w:lastRenderedPageBreak/>
        <w:t>ће, уз уважавање карактеристика домаћег финансијског тржишта, бити усклађен и с релевантном уредбом ЕУ која је донета 2020. године. На тај начин ће бити пружена додатна подршка развоју малих и средњих пре</w:t>
      </w:r>
      <w:r>
        <w:t xml:space="preserve">дузећа и стартап компанија. </w:t>
      </w:r>
    </w:p>
    <w:p w:rsidR="00E8309B" w:rsidRDefault="009D0949">
      <w:pPr>
        <w:pStyle w:val="Heading2"/>
        <w:spacing w:after="199"/>
        <w:ind w:left="405" w:right="9" w:hanging="420"/>
      </w:pPr>
      <w:r>
        <w:t xml:space="preserve">СРЕДЊОРОЧНИ МАКРОЕКОНОМСКИ СЦЕНАРИО </w:t>
      </w:r>
    </w:p>
    <w:p w:rsidR="00E8309B" w:rsidRDefault="009D0949">
      <w:pPr>
        <w:spacing w:after="151"/>
        <w:ind w:left="-5" w:right="17"/>
      </w:pPr>
      <w:r>
        <w:t>Према средњорочној макроекономској пројекцији кумулативна стопа раста у периоду 2021– 2023. година износиће 14,6% и биће опредељена растом домаће тражње. Овај извор раста је детерминисан как</w:t>
      </w:r>
      <w:r>
        <w:t>о перманентним повећањем инвестиција тако и растом потрошње домаћинстава услед раста животног стандарда становништва. Просечно годишње, српска привреда ће расти по стопи од 4,7%. Повећање приватне потрошње пројектовано је по нижој стопи од убрзања привредн</w:t>
      </w:r>
      <w:r>
        <w:t>е активности и у просеку ће износити 3,7%. У првој години пројекције очекује се нешто већи раст потрошње домаћинства од просека, пре свега услед базног ефекта, а затим постепено успоравање раста. Ово повећање у себи не садржи нарушавајуће елементе, заснова</w:t>
      </w:r>
      <w:r>
        <w:t>но је на здравим изворима, пре свега на повећању запослености, али и повољном утицају ценовних и кредитних кретања на расположиви доходак. Очекује се стабилан раст инвестиција, у просеку од око 10% годишње, што ће постепено подизати њихово учешће у структу</w:t>
      </w:r>
      <w:r>
        <w:t>ри БДП које би на крају пројекцијског периода требало да износи близу 25%. Са опоравком спољне тражње и активирањем нових производних капацитета повећаваће се и обим спољнотрговинске размене. Поред тога, ефектуирање СДИ из претходног периода допринеће пове</w:t>
      </w:r>
      <w:r>
        <w:t>ћању конкуренције и утицати на ефикасност домаћих произвођача, док ће са друге стране бити активирани нови канали продаје и отворене нове тржишне нише. Извоз ће у просеку годишње расти по стопи од 9,3%, што је брже од очекиваног годишњег раста увоза који ћ</w:t>
      </w:r>
      <w:r>
        <w:t xml:space="preserve">е у просеку износити 8,3%. Оваква динамика спољнотрговинских токова побољшаће салдо текућег рачуна платног биланса у средњем року и обезбедити благо смањење платнобилансног дефицита са 6,9% у 2019. години на 4,6% у 2023. години. </w:t>
      </w:r>
    </w:p>
    <w:p w:rsidR="00E8309B" w:rsidRDefault="009D0949">
      <w:pPr>
        <w:spacing w:after="6"/>
        <w:ind w:left="-5" w:right="17"/>
      </w:pPr>
      <w:r>
        <w:t>Табела 2. Пројекција основ</w:t>
      </w:r>
      <w:r>
        <w:t xml:space="preserve">них макроекономских показатеља Републике Србије </w:t>
      </w:r>
    </w:p>
    <w:tbl>
      <w:tblPr>
        <w:tblStyle w:val="TableGrid"/>
        <w:tblW w:w="9599" w:type="dxa"/>
        <w:tblInd w:w="5" w:type="dxa"/>
        <w:tblCellMar>
          <w:top w:w="10" w:type="dxa"/>
          <w:left w:w="110" w:type="dxa"/>
          <w:bottom w:w="0" w:type="dxa"/>
          <w:right w:w="115" w:type="dxa"/>
        </w:tblCellMar>
        <w:tblLook w:val="04A0" w:firstRow="1" w:lastRow="0" w:firstColumn="1" w:lastColumn="0" w:noHBand="0" w:noVBand="1"/>
      </w:tblPr>
      <w:tblGrid>
        <w:gridCol w:w="4099"/>
        <w:gridCol w:w="1400"/>
        <w:gridCol w:w="1344"/>
        <w:gridCol w:w="1359"/>
        <w:gridCol w:w="1397"/>
      </w:tblGrid>
      <w:tr w:rsidR="00E8309B">
        <w:trPr>
          <w:trHeight w:val="247"/>
        </w:trPr>
        <w:tc>
          <w:tcPr>
            <w:tcW w:w="4100" w:type="dxa"/>
            <w:vMerge w:val="restart"/>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0" w:firstLine="0"/>
              <w:jc w:val="left"/>
            </w:pPr>
            <w:r>
              <w:rPr>
                <w:sz w:val="20"/>
              </w:rPr>
              <w:t xml:space="preserve"> </w:t>
            </w:r>
          </w:p>
          <w:p w:rsidR="00E8309B" w:rsidRDefault="009D0949">
            <w:pPr>
              <w:spacing w:after="0" w:line="259" w:lineRule="auto"/>
              <w:ind w:left="0" w:right="0" w:firstLine="0"/>
              <w:jc w:val="left"/>
            </w:pPr>
            <w:r>
              <w:rPr>
                <w:sz w:val="20"/>
              </w:rPr>
              <w:t xml:space="preserve"> </w:t>
            </w:r>
          </w:p>
        </w:tc>
        <w:tc>
          <w:tcPr>
            <w:tcW w:w="1400"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6" w:right="0" w:firstLine="0"/>
              <w:jc w:val="center"/>
            </w:pPr>
            <w:r>
              <w:rPr>
                <w:sz w:val="20"/>
              </w:rPr>
              <w:t xml:space="preserve">Процена </w:t>
            </w:r>
          </w:p>
        </w:tc>
        <w:tc>
          <w:tcPr>
            <w:tcW w:w="1344" w:type="dxa"/>
            <w:tcBorders>
              <w:top w:val="single" w:sz="4" w:space="0" w:color="000000"/>
              <w:left w:val="single" w:sz="4" w:space="0" w:color="000000"/>
              <w:bottom w:val="single" w:sz="4" w:space="0" w:color="000000"/>
              <w:right w:val="nil"/>
            </w:tcBorders>
          </w:tcPr>
          <w:p w:rsidR="00E8309B" w:rsidRDefault="00E8309B">
            <w:pPr>
              <w:spacing w:after="160" w:line="259" w:lineRule="auto"/>
              <w:ind w:left="0" w:right="0" w:firstLine="0"/>
              <w:jc w:val="left"/>
            </w:pPr>
          </w:p>
        </w:tc>
        <w:tc>
          <w:tcPr>
            <w:tcW w:w="1359" w:type="dxa"/>
            <w:tcBorders>
              <w:top w:val="single" w:sz="4" w:space="0" w:color="000000"/>
              <w:left w:val="nil"/>
              <w:bottom w:val="single" w:sz="4" w:space="0" w:color="000000"/>
              <w:right w:val="nil"/>
            </w:tcBorders>
          </w:tcPr>
          <w:p w:rsidR="00E8309B" w:rsidRDefault="009D0949">
            <w:pPr>
              <w:spacing w:after="0" w:line="259" w:lineRule="auto"/>
              <w:ind w:left="61" w:right="0" w:firstLine="0"/>
              <w:jc w:val="center"/>
            </w:pPr>
            <w:r>
              <w:rPr>
                <w:sz w:val="20"/>
              </w:rPr>
              <w:t xml:space="preserve">Пројекција </w:t>
            </w:r>
          </w:p>
        </w:tc>
        <w:tc>
          <w:tcPr>
            <w:tcW w:w="1397" w:type="dxa"/>
            <w:tcBorders>
              <w:top w:val="single" w:sz="4" w:space="0" w:color="000000"/>
              <w:left w:val="nil"/>
              <w:bottom w:val="single" w:sz="4" w:space="0" w:color="000000"/>
              <w:right w:val="single" w:sz="4" w:space="0" w:color="000000"/>
            </w:tcBorders>
          </w:tcPr>
          <w:p w:rsidR="00E8309B" w:rsidRDefault="00E8309B">
            <w:pPr>
              <w:spacing w:after="160" w:line="259" w:lineRule="auto"/>
              <w:ind w:left="0" w:right="0" w:firstLine="0"/>
              <w:jc w:val="left"/>
            </w:pPr>
          </w:p>
        </w:tc>
      </w:tr>
      <w:tr w:rsidR="00E8309B">
        <w:trPr>
          <w:trHeight w:val="240"/>
        </w:trPr>
        <w:tc>
          <w:tcPr>
            <w:tcW w:w="0" w:type="auto"/>
            <w:vMerge/>
            <w:tcBorders>
              <w:top w:val="nil"/>
              <w:left w:val="single" w:sz="4" w:space="0" w:color="000000"/>
              <w:bottom w:val="single" w:sz="4" w:space="0" w:color="000000"/>
              <w:right w:val="single" w:sz="4" w:space="0" w:color="000000"/>
            </w:tcBorders>
          </w:tcPr>
          <w:p w:rsidR="00E8309B" w:rsidRDefault="00E8309B">
            <w:pPr>
              <w:spacing w:after="160" w:line="259" w:lineRule="auto"/>
              <w:ind w:left="0" w:right="0" w:firstLine="0"/>
              <w:jc w:val="left"/>
            </w:pPr>
          </w:p>
        </w:tc>
        <w:tc>
          <w:tcPr>
            <w:tcW w:w="1400"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right="0" w:firstLine="0"/>
              <w:jc w:val="center"/>
            </w:pPr>
            <w:r>
              <w:rPr>
                <w:b/>
                <w:sz w:val="20"/>
              </w:rPr>
              <w:t xml:space="preserve">2020 </w:t>
            </w:r>
          </w:p>
        </w:tc>
        <w:tc>
          <w:tcPr>
            <w:tcW w:w="1344"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8" w:right="0" w:firstLine="0"/>
              <w:jc w:val="center"/>
            </w:pPr>
            <w:r>
              <w:rPr>
                <w:b/>
                <w:sz w:val="20"/>
              </w:rPr>
              <w:t xml:space="preserve">2021 </w:t>
            </w:r>
          </w:p>
        </w:tc>
        <w:tc>
          <w:tcPr>
            <w:tcW w:w="1359"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4" w:right="0" w:firstLine="0"/>
              <w:jc w:val="center"/>
            </w:pPr>
            <w:r>
              <w:rPr>
                <w:b/>
                <w:sz w:val="20"/>
              </w:rPr>
              <w:t xml:space="preserve">2022 </w:t>
            </w:r>
          </w:p>
        </w:tc>
        <w:tc>
          <w:tcPr>
            <w:tcW w:w="1397"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4" w:right="0" w:firstLine="0"/>
              <w:jc w:val="center"/>
            </w:pPr>
            <w:r>
              <w:rPr>
                <w:b/>
                <w:sz w:val="20"/>
              </w:rPr>
              <w:t xml:space="preserve">2023 </w:t>
            </w:r>
          </w:p>
        </w:tc>
      </w:tr>
      <w:tr w:rsidR="00E8309B">
        <w:trPr>
          <w:trHeight w:val="247"/>
        </w:trPr>
        <w:tc>
          <w:tcPr>
            <w:tcW w:w="4100"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0" w:firstLine="0"/>
              <w:jc w:val="left"/>
            </w:pPr>
            <w:r>
              <w:rPr>
                <w:b/>
                <w:sz w:val="20"/>
              </w:rPr>
              <w:t xml:space="preserve">БДП, млрд динара (текуће цене) </w:t>
            </w:r>
          </w:p>
        </w:tc>
        <w:tc>
          <w:tcPr>
            <w:tcW w:w="1400"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7" w:right="0" w:firstLine="0"/>
              <w:jc w:val="center"/>
            </w:pPr>
            <w:r>
              <w:rPr>
                <w:b/>
                <w:sz w:val="20"/>
              </w:rPr>
              <w:t xml:space="preserve">5.517,3 </w:t>
            </w:r>
          </w:p>
        </w:tc>
        <w:tc>
          <w:tcPr>
            <w:tcW w:w="1344"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5" w:right="0" w:firstLine="0"/>
              <w:jc w:val="center"/>
            </w:pPr>
            <w:r>
              <w:rPr>
                <w:b/>
                <w:sz w:val="20"/>
              </w:rPr>
              <w:t xml:space="preserve">5.997,7 </w:t>
            </w:r>
          </w:p>
        </w:tc>
        <w:tc>
          <w:tcPr>
            <w:tcW w:w="1359"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6" w:right="0" w:firstLine="0"/>
              <w:jc w:val="center"/>
            </w:pPr>
            <w:r>
              <w:rPr>
                <w:b/>
                <w:sz w:val="20"/>
              </w:rPr>
              <w:t xml:space="preserve">6.408,1 </w:t>
            </w:r>
          </w:p>
        </w:tc>
        <w:tc>
          <w:tcPr>
            <w:tcW w:w="1397"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5" w:right="0" w:firstLine="0"/>
              <w:jc w:val="center"/>
            </w:pPr>
            <w:r>
              <w:rPr>
                <w:b/>
                <w:sz w:val="20"/>
              </w:rPr>
              <w:t xml:space="preserve">6.871,3 </w:t>
            </w:r>
          </w:p>
        </w:tc>
      </w:tr>
      <w:tr w:rsidR="00E8309B">
        <w:trPr>
          <w:trHeight w:val="240"/>
        </w:trPr>
        <w:tc>
          <w:tcPr>
            <w:tcW w:w="4100"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0" w:firstLine="0"/>
              <w:jc w:val="left"/>
            </w:pPr>
            <w:r>
              <w:rPr>
                <w:sz w:val="20"/>
              </w:rPr>
              <w:t xml:space="preserve">Реални раст БДП, % </w:t>
            </w:r>
          </w:p>
        </w:tc>
        <w:tc>
          <w:tcPr>
            <w:tcW w:w="1400"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77" w:right="0" w:firstLine="0"/>
              <w:jc w:val="center"/>
            </w:pPr>
            <w:r>
              <w:rPr>
                <w:sz w:val="20"/>
              </w:rPr>
              <w:t xml:space="preserve">-1,0 </w:t>
            </w:r>
          </w:p>
        </w:tc>
        <w:tc>
          <w:tcPr>
            <w:tcW w:w="1344"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92" w:right="0" w:firstLine="0"/>
              <w:jc w:val="center"/>
            </w:pPr>
            <w:r>
              <w:rPr>
                <w:sz w:val="20"/>
              </w:rPr>
              <w:t xml:space="preserve">6,0 </w:t>
            </w:r>
          </w:p>
        </w:tc>
        <w:tc>
          <w:tcPr>
            <w:tcW w:w="1359"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107" w:right="0" w:firstLine="0"/>
              <w:jc w:val="center"/>
            </w:pPr>
            <w:r>
              <w:rPr>
                <w:sz w:val="20"/>
              </w:rPr>
              <w:t xml:space="preserve">4,0 </w:t>
            </w:r>
          </w:p>
        </w:tc>
        <w:tc>
          <w:tcPr>
            <w:tcW w:w="1397"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145" w:right="0" w:firstLine="0"/>
              <w:jc w:val="center"/>
            </w:pPr>
            <w:r>
              <w:rPr>
                <w:sz w:val="20"/>
              </w:rPr>
              <w:t xml:space="preserve">4,0 </w:t>
            </w:r>
          </w:p>
        </w:tc>
      </w:tr>
      <w:tr w:rsidR="00E8309B">
        <w:trPr>
          <w:trHeight w:val="240"/>
        </w:trPr>
        <w:tc>
          <w:tcPr>
            <w:tcW w:w="4100"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0" w:firstLine="0"/>
              <w:jc w:val="left"/>
            </w:pPr>
            <w:r>
              <w:rPr>
                <w:sz w:val="20"/>
              </w:rPr>
              <w:t xml:space="preserve">Дефлатор БДП, % </w:t>
            </w:r>
          </w:p>
        </w:tc>
        <w:tc>
          <w:tcPr>
            <w:tcW w:w="1400"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147" w:right="0" w:firstLine="0"/>
              <w:jc w:val="center"/>
            </w:pPr>
            <w:r>
              <w:rPr>
                <w:sz w:val="20"/>
              </w:rPr>
              <w:t xml:space="preserve">2,9 </w:t>
            </w:r>
          </w:p>
        </w:tc>
        <w:tc>
          <w:tcPr>
            <w:tcW w:w="1344"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92" w:right="0" w:firstLine="0"/>
              <w:jc w:val="center"/>
            </w:pPr>
            <w:r>
              <w:rPr>
                <w:sz w:val="20"/>
              </w:rPr>
              <w:t xml:space="preserve">2,6 </w:t>
            </w:r>
          </w:p>
        </w:tc>
        <w:tc>
          <w:tcPr>
            <w:tcW w:w="1359"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107" w:right="0" w:firstLine="0"/>
              <w:jc w:val="center"/>
            </w:pPr>
            <w:r>
              <w:rPr>
                <w:sz w:val="20"/>
              </w:rPr>
              <w:t xml:space="preserve">2,7 </w:t>
            </w:r>
          </w:p>
        </w:tc>
        <w:tc>
          <w:tcPr>
            <w:tcW w:w="1397"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145" w:right="0" w:firstLine="0"/>
              <w:jc w:val="center"/>
            </w:pPr>
            <w:r>
              <w:rPr>
                <w:sz w:val="20"/>
              </w:rPr>
              <w:t xml:space="preserve">3,1 </w:t>
            </w:r>
          </w:p>
        </w:tc>
      </w:tr>
      <w:tr w:rsidR="00E8309B">
        <w:trPr>
          <w:trHeight w:val="241"/>
        </w:trPr>
        <w:tc>
          <w:tcPr>
            <w:tcW w:w="4100" w:type="dxa"/>
            <w:tcBorders>
              <w:top w:val="single" w:sz="4" w:space="0" w:color="000000"/>
              <w:left w:val="single" w:sz="4" w:space="0" w:color="000000"/>
              <w:bottom w:val="single" w:sz="4" w:space="0" w:color="000000"/>
              <w:right w:val="nil"/>
            </w:tcBorders>
          </w:tcPr>
          <w:p w:rsidR="00E8309B" w:rsidRDefault="009D0949">
            <w:pPr>
              <w:spacing w:after="0" w:line="259" w:lineRule="auto"/>
              <w:ind w:left="0" w:right="0" w:firstLine="0"/>
              <w:jc w:val="left"/>
            </w:pPr>
            <w:r>
              <w:rPr>
                <w:i/>
                <w:sz w:val="20"/>
              </w:rPr>
              <w:t xml:space="preserve">Реални раст појединих компоненти БДП, % </w:t>
            </w:r>
          </w:p>
        </w:tc>
        <w:tc>
          <w:tcPr>
            <w:tcW w:w="1400" w:type="dxa"/>
            <w:tcBorders>
              <w:top w:val="single" w:sz="4" w:space="0" w:color="000000"/>
              <w:left w:val="nil"/>
              <w:bottom w:val="single" w:sz="4" w:space="0" w:color="000000"/>
              <w:right w:val="nil"/>
            </w:tcBorders>
          </w:tcPr>
          <w:p w:rsidR="00E8309B" w:rsidRDefault="00E8309B">
            <w:pPr>
              <w:spacing w:after="160" w:line="259" w:lineRule="auto"/>
              <w:ind w:left="0" w:right="0" w:firstLine="0"/>
              <w:jc w:val="left"/>
            </w:pPr>
          </w:p>
        </w:tc>
        <w:tc>
          <w:tcPr>
            <w:tcW w:w="1344" w:type="dxa"/>
            <w:tcBorders>
              <w:top w:val="single" w:sz="4" w:space="0" w:color="000000"/>
              <w:left w:val="nil"/>
              <w:bottom w:val="single" w:sz="4" w:space="0" w:color="000000"/>
              <w:right w:val="nil"/>
            </w:tcBorders>
          </w:tcPr>
          <w:p w:rsidR="00E8309B" w:rsidRDefault="00E8309B">
            <w:pPr>
              <w:spacing w:after="160" w:line="259" w:lineRule="auto"/>
              <w:ind w:left="0" w:right="0" w:firstLine="0"/>
              <w:jc w:val="left"/>
            </w:pPr>
          </w:p>
        </w:tc>
        <w:tc>
          <w:tcPr>
            <w:tcW w:w="1359" w:type="dxa"/>
            <w:tcBorders>
              <w:top w:val="single" w:sz="4" w:space="0" w:color="000000"/>
              <w:left w:val="nil"/>
              <w:bottom w:val="single" w:sz="4" w:space="0" w:color="000000"/>
              <w:right w:val="nil"/>
            </w:tcBorders>
          </w:tcPr>
          <w:p w:rsidR="00E8309B" w:rsidRDefault="00E8309B">
            <w:pPr>
              <w:spacing w:after="160" w:line="259" w:lineRule="auto"/>
              <w:ind w:left="0" w:right="0" w:firstLine="0"/>
              <w:jc w:val="left"/>
            </w:pPr>
          </w:p>
        </w:tc>
        <w:tc>
          <w:tcPr>
            <w:tcW w:w="1397" w:type="dxa"/>
            <w:tcBorders>
              <w:top w:val="single" w:sz="4" w:space="0" w:color="000000"/>
              <w:left w:val="nil"/>
              <w:bottom w:val="single" w:sz="4" w:space="0" w:color="000000"/>
              <w:right w:val="single" w:sz="4" w:space="0" w:color="000000"/>
            </w:tcBorders>
          </w:tcPr>
          <w:p w:rsidR="00E8309B" w:rsidRDefault="00E8309B">
            <w:pPr>
              <w:spacing w:after="160" w:line="259" w:lineRule="auto"/>
              <w:ind w:left="0" w:right="0" w:firstLine="0"/>
              <w:jc w:val="left"/>
            </w:pPr>
          </w:p>
        </w:tc>
      </w:tr>
      <w:tr w:rsidR="00E8309B">
        <w:trPr>
          <w:trHeight w:val="240"/>
        </w:trPr>
        <w:tc>
          <w:tcPr>
            <w:tcW w:w="4100"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0" w:firstLine="0"/>
              <w:jc w:val="left"/>
            </w:pPr>
            <w:r>
              <w:rPr>
                <w:sz w:val="20"/>
              </w:rPr>
              <w:t xml:space="preserve">   Лична потрошња </w:t>
            </w:r>
          </w:p>
        </w:tc>
        <w:tc>
          <w:tcPr>
            <w:tcW w:w="1400"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77" w:right="0" w:firstLine="0"/>
              <w:jc w:val="center"/>
            </w:pPr>
            <w:r>
              <w:rPr>
                <w:sz w:val="20"/>
              </w:rPr>
              <w:t xml:space="preserve">-1,9 </w:t>
            </w:r>
          </w:p>
        </w:tc>
        <w:tc>
          <w:tcPr>
            <w:tcW w:w="1344"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92" w:right="0" w:firstLine="0"/>
              <w:jc w:val="center"/>
            </w:pPr>
            <w:r>
              <w:rPr>
                <w:sz w:val="20"/>
              </w:rPr>
              <w:t xml:space="preserve">5,4 </w:t>
            </w:r>
          </w:p>
        </w:tc>
        <w:tc>
          <w:tcPr>
            <w:tcW w:w="1359"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107" w:right="0" w:firstLine="0"/>
              <w:jc w:val="center"/>
            </w:pPr>
            <w:r>
              <w:rPr>
                <w:sz w:val="20"/>
              </w:rPr>
              <w:t xml:space="preserve">2,8 </w:t>
            </w:r>
          </w:p>
        </w:tc>
        <w:tc>
          <w:tcPr>
            <w:tcW w:w="1397"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145" w:right="0" w:firstLine="0"/>
              <w:jc w:val="center"/>
            </w:pPr>
            <w:r>
              <w:rPr>
                <w:sz w:val="20"/>
              </w:rPr>
              <w:t xml:space="preserve">2,9 </w:t>
            </w:r>
          </w:p>
        </w:tc>
      </w:tr>
      <w:tr w:rsidR="00E8309B">
        <w:trPr>
          <w:trHeight w:val="240"/>
        </w:trPr>
        <w:tc>
          <w:tcPr>
            <w:tcW w:w="4100"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0" w:firstLine="0"/>
              <w:jc w:val="left"/>
            </w:pPr>
            <w:r>
              <w:rPr>
                <w:sz w:val="20"/>
              </w:rPr>
              <w:t xml:space="preserve">   Државна потрошња </w:t>
            </w:r>
          </w:p>
        </w:tc>
        <w:tc>
          <w:tcPr>
            <w:tcW w:w="1400"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147" w:right="0" w:firstLine="0"/>
              <w:jc w:val="center"/>
            </w:pPr>
            <w:r>
              <w:rPr>
                <w:sz w:val="20"/>
              </w:rPr>
              <w:t xml:space="preserve">5,8 </w:t>
            </w:r>
          </w:p>
        </w:tc>
        <w:tc>
          <w:tcPr>
            <w:tcW w:w="1344"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92" w:right="0" w:firstLine="0"/>
              <w:jc w:val="center"/>
            </w:pPr>
            <w:r>
              <w:rPr>
                <w:sz w:val="20"/>
              </w:rPr>
              <w:t xml:space="preserve">0,4 </w:t>
            </w:r>
          </w:p>
        </w:tc>
        <w:tc>
          <w:tcPr>
            <w:tcW w:w="1359"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107" w:right="0" w:firstLine="0"/>
              <w:jc w:val="center"/>
            </w:pPr>
            <w:r>
              <w:rPr>
                <w:sz w:val="20"/>
              </w:rPr>
              <w:t xml:space="preserve">2,5 </w:t>
            </w:r>
          </w:p>
        </w:tc>
        <w:tc>
          <w:tcPr>
            <w:tcW w:w="1397"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145" w:right="0" w:firstLine="0"/>
              <w:jc w:val="center"/>
            </w:pPr>
            <w:r>
              <w:rPr>
                <w:sz w:val="20"/>
              </w:rPr>
              <w:t xml:space="preserve">1,8 </w:t>
            </w:r>
          </w:p>
        </w:tc>
      </w:tr>
      <w:tr w:rsidR="00E8309B">
        <w:trPr>
          <w:trHeight w:val="247"/>
        </w:trPr>
        <w:tc>
          <w:tcPr>
            <w:tcW w:w="4100"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0" w:firstLine="0"/>
              <w:jc w:val="left"/>
            </w:pPr>
            <w:r>
              <w:rPr>
                <w:sz w:val="20"/>
              </w:rPr>
              <w:t xml:space="preserve">   Бруто инвестиције у основна средства </w:t>
            </w:r>
          </w:p>
        </w:tc>
        <w:tc>
          <w:tcPr>
            <w:tcW w:w="1400"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77" w:right="0" w:firstLine="0"/>
              <w:jc w:val="center"/>
            </w:pPr>
            <w:r>
              <w:rPr>
                <w:sz w:val="20"/>
              </w:rPr>
              <w:t xml:space="preserve">-4,8 </w:t>
            </w:r>
          </w:p>
        </w:tc>
        <w:tc>
          <w:tcPr>
            <w:tcW w:w="1344"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9" w:firstLine="0"/>
              <w:jc w:val="center"/>
            </w:pPr>
            <w:r>
              <w:rPr>
                <w:sz w:val="20"/>
              </w:rPr>
              <w:t xml:space="preserve">13,3 </w:t>
            </w:r>
          </w:p>
        </w:tc>
        <w:tc>
          <w:tcPr>
            <w:tcW w:w="1359"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107" w:right="0" w:firstLine="0"/>
              <w:jc w:val="center"/>
            </w:pPr>
            <w:r>
              <w:rPr>
                <w:sz w:val="20"/>
              </w:rPr>
              <w:t xml:space="preserve">7,1 </w:t>
            </w:r>
          </w:p>
        </w:tc>
        <w:tc>
          <w:tcPr>
            <w:tcW w:w="1397"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145" w:right="0" w:firstLine="0"/>
              <w:jc w:val="center"/>
            </w:pPr>
            <w:r>
              <w:rPr>
                <w:sz w:val="20"/>
              </w:rPr>
              <w:t xml:space="preserve">7,8 </w:t>
            </w:r>
          </w:p>
        </w:tc>
      </w:tr>
      <w:tr w:rsidR="00E8309B">
        <w:trPr>
          <w:trHeight w:val="240"/>
        </w:trPr>
        <w:tc>
          <w:tcPr>
            <w:tcW w:w="4100"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0" w:firstLine="0"/>
              <w:jc w:val="left"/>
            </w:pPr>
            <w:r>
              <w:rPr>
                <w:sz w:val="20"/>
              </w:rPr>
              <w:t xml:space="preserve">   Извоз робе и услуга </w:t>
            </w:r>
          </w:p>
        </w:tc>
        <w:tc>
          <w:tcPr>
            <w:tcW w:w="1400"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77" w:right="0" w:firstLine="0"/>
              <w:jc w:val="center"/>
            </w:pPr>
            <w:r>
              <w:rPr>
                <w:sz w:val="20"/>
              </w:rPr>
              <w:t xml:space="preserve">-6,9 </w:t>
            </w:r>
          </w:p>
        </w:tc>
        <w:tc>
          <w:tcPr>
            <w:tcW w:w="1344"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92" w:right="0" w:firstLine="0"/>
              <w:jc w:val="center"/>
            </w:pPr>
            <w:r>
              <w:rPr>
                <w:sz w:val="20"/>
              </w:rPr>
              <w:t xml:space="preserve">9,6 </w:t>
            </w:r>
          </w:p>
        </w:tc>
        <w:tc>
          <w:tcPr>
            <w:tcW w:w="1359"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107" w:right="0" w:firstLine="0"/>
              <w:jc w:val="center"/>
            </w:pPr>
            <w:r>
              <w:rPr>
                <w:sz w:val="20"/>
              </w:rPr>
              <w:t xml:space="preserve">9,1 </w:t>
            </w:r>
          </w:p>
        </w:tc>
        <w:tc>
          <w:tcPr>
            <w:tcW w:w="1397"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145" w:right="0" w:firstLine="0"/>
              <w:jc w:val="center"/>
            </w:pPr>
            <w:r>
              <w:rPr>
                <w:sz w:val="20"/>
              </w:rPr>
              <w:t xml:space="preserve">9,3 </w:t>
            </w:r>
          </w:p>
        </w:tc>
      </w:tr>
      <w:tr w:rsidR="00E8309B">
        <w:trPr>
          <w:trHeight w:val="240"/>
        </w:trPr>
        <w:tc>
          <w:tcPr>
            <w:tcW w:w="4100"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0" w:firstLine="0"/>
              <w:jc w:val="left"/>
            </w:pPr>
            <w:r>
              <w:rPr>
                <w:sz w:val="20"/>
              </w:rPr>
              <w:t xml:space="preserve">   </w:t>
            </w:r>
            <w:r>
              <w:rPr>
                <w:sz w:val="20"/>
              </w:rPr>
              <w:t xml:space="preserve">Увоз робе и услуга </w:t>
            </w:r>
          </w:p>
        </w:tc>
        <w:tc>
          <w:tcPr>
            <w:tcW w:w="1400"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77" w:right="0" w:firstLine="0"/>
              <w:jc w:val="center"/>
            </w:pPr>
            <w:r>
              <w:rPr>
                <w:sz w:val="20"/>
              </w:rPr>
              <w:t xml:space="preserve">-6,5 </w:t>
            </w:r>
          </w:p>
        </w:tc>
        <w:tc>
          <w:tcPr>
            <w:tcW w:w="1344"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92" w:right="0" w:firstLine="0"/>
              <w:jc w:val="center"/>
            </w:pPr>
            <w:r>
              <w:rPr>
                <w:sz w:val="20"/>
              </w:rPr>
              <w:t xml:space="preserve">9,3 </w:t>
            </w:r>
          </w:p>
        </w:tc>
        <w:tc>
          <w:tcPr>
            <w:tcW w:w="1359"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107" w:right="0" w:firstLine="0"/>
              <w:jc w:val="center"/>
            </w:pPr>
            <w:r>
              <w:rPr>
                <w:sz w:val="20"/>
              </w:rPr>
              <w:t xml:space="preserve">7,7 </w:t>
            </w:r>
          </w:p>
        </w:tc>
        <w:tc>
          <w:tcPr>
            <w:tcW w:w="1397"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145" w:right="0" w:firstLine="0"/>
              <w:jc w:val="center"/>
            </w:pPr>
            <w:r>
              <w:rPr>
                <w:sz w:val="20"/>
              </w:rPr>
              <w:t xml:space="preserve">7,8 </w:t>
            </w:r>
          </w:p>
        </w:tc>
      </w:tr>
      <w:tr w:rsidR="00E8309B">
        <w:trPr>
          <w:trHeight w:val="240"/>
        </w:trPr>
        <w:tc>
          <w:tcPr>
            <w:tcW w:w="4100"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0" w:firstLine="0"/>
              <w:jc w:val="left"/>
            </w:pPr>
            <w:r>
              <w:rPr>
                <w:sz w:val="20"/>
              </w:rPr>
              <w:t xml:space="preserve">Салдо робе и услуга, у еврима, % БДП </w:t>
            </w:r>
          </w:p>
        </w:tc>
        <w:tc>
          <w:tcPr>
            <w:tcW w:w="1400"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77" w:right="0" w:firstLine="0"/>
              <w:jc w:val="center"/>
            </w:pPr>
            <w:r>
              <w:rPr>
                <w:sz w:val="20"/>
              </w:rPr>
              <w:t xml:space="preserve">-8,5 </w:t>
            </w:r>
          </w:p>
        </w:tc>
        <w:tc>
          <w:tcPr>
            <w:tcW w:w="1344"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22" w:right="0" w:firstLine="0"/>
              <w:jc w:val="center"/>
            </w:pPr>
            <w:r>
              <w:rPr>
                <w:sz w:val="20"/>
              </w:rPr>
              <w:t xml:space="preserve">-8,9 </w:t>
            </w:r>
          </w:p>
        </w:tc>
        <w:tc>
          <w:tcPr>
            <w:tcW w:w="1359"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37" w:right="0" w:firstLine="0"/>
              <w:jc w:val="center"/>
            </w:pPr>
            <w:r>
              <w:rPr>
                <w:sz w:val="20"/>
              </w:rPr>
              <w:t xml:space="preserve">-8,6 </w:t>
            </w:r>
          </w:p>
        </w:tc>
        <w:tc>
          <w:tcPr>
            <w:tcW w:w="1397"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75" w:right="0" w:firstLine="0"/>
              <w:jc w:val="center"/>
            </w:pPr>
            <w:r>
              <w:rPr>
                <w:sz w:val="20"/>
              </w:rPr>
              <w:t xml:space="preserve">-8,0 </w:t>
            </w:r>
          </w:p>
        </w:tc>
      </w:tr>
      <w:tr w:rsidR="00E8309B">
        <w:trPr>
          <w:trHeight w:val="240"/>
        </w:trPr>
        <w:tc>
          <w:tcPr>
            <w:tcW w:w="4100"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0" w:firstLine="0"/>
              <w:jc w:val="left"/>
            </w:pPr>
            <w:r>
              <w:rPr>
                <w:sz w:val="20"/>
              </w:rPr>
              <w:t xml:space="preserve">Салдо текућег рачуна, у еврима, % БДП </w:t>
            </w:r>
          </w:p>
        </w:tc>
        <w:tc>
          <w:tcPr>
            <w:tcW w:w="1400"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78" w:right="0" w:firstLine="0"/>
              <w:jc w:val="center"/>
            </w:pPr>
            <w:r>
              <w:rPr>
                <w:sz w:val="20"/>
              </w:rPr>
              <w:t xml:space="preserve">-5,0 </w:t>
            </w:r>
          </w:p>
        </w:tc>
        <w:tc>
          <w:tcPr>
            <w:tcW w:w="1344"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23" w:right="0" w:firstLine="0"/>
              <w:jc w:val="center"/>
            </w:pPr>
            <w:r>
              <w:rPr>
                <w:sz w:val="20"/>
              </w:rPr>
              <w:t xml:space="preserve">-5,5 </w:t>
            </w:r>
          </w:p>
        </w:tc>
        <w:tc>
          <w:tcPr>
            <w:tcW w:w="1359"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38" w:right="0" w:firstLine="0"/>
              <w:jc w:val="center"/>
            </w:pPr>
            <w:r>
              <w:rPr>
                <w:sz w:val="20"/>
              </w:rPr>
              <w:t xml:space="preserve">-5,1 </w:t>
            </w:r>
          </w:p>
        </w:tc>
        <w:tc>
          <w:tcPr>
            <w:tcW w:w="1397"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76" w:right="0" w:firstLine="0"/>
              <w:jc w:val="center"/>
            </w:pPr>
            <w:r>
              <w:rPr>
                <w:sz w:val="20"/>
              </w:rPr>
              <w:t xml:space="preserve">-4,6 </w:t>
            </w:r>
          </w:p>
        </w:tc>
      </w:tr>
      <w:tr w:rsidR="00E8309B">
        <w:trPr>
          <w:trHeight w:val="240"/>
        </w:trPr>
        <w:tc>
          <w:tcPr>
            <w:tcW w:w="4100"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0" w:firstLine="0"/>
              <w:jc w:val="left"/>
            </w:pPr>
            <w:r>
              <w:rPr>
                <w:sz w:val="20"/>
              </w:rPr>
              <w:t xml:space="preserve">Инфлација, просек периода, % </w:t>
            </w:r>
          </w:p>
        </w:tc>
        <w:tc>
          <w:tcPr>
            <w:tcW w:w="1400" w:type="dxa"/>
            <w:tcBorders>
              <w:top w:val="single" w:sz="4" w:space="0" w:color="000000"/>
              <w:left w:val="single" w:sz="4" w:space="0" w:color="000000"/>
              <w:bottom w:val="single" w:sz="4" w:space="0" w:color="002060"/>
              <w:right w:val="single" w:sz="4" w:space="0" w:color="000000"/>
            </w:tcBorders>
          </w:tcPr>
          <w:p w:rsidR="00E8309B" w:rsidRDefault="009D0949">
            <w:pPr>
              <w:spacing w:after="0" w:line="259" w:lineRule="auto"/>
              <w:ind w:left="147" w:right="0" w:firstLine="0"/>
              <w:jc w:val="center"/>
            </w:pPr>
            <w:r>
              <w:rPr>
                <w:sz w:val="20"/>
              </w:rPr>
              <w:t xml:space="preserve">1,5 </w:t>
            </w:r>
          </w:p>
        </w:tc>
        <w:tc>
          <w:tcPr>
            <w:tcW w:w="1344" w:type="dxa"/>
            <w:tcBorders>
              <w:top w:val="single" w:sz="4" w:space="0" w:color="000000"/>
              <w:left w:val="single" w:sz="4" w:space="0" w:color="000000"/>
              <w:bottom w:val="single" w:sz="4" w:space="0" w:color="002060"/>
              <w:right w:val="single" w:sz="4" w:space="0" w:color="000000"/>
            </w:tcBorders>
          </w:tcPr>
          <w:p w:rsidR="00E8309B" w:rsidRDefault="009D0949">
            <w:pPr>
              <w:spacing w:after="0" w:line="259" w:lineRule="auto"/>
              <w:ind w:left="92" w:right="0" w:firstLine="0"/>
              <w:jc w:val="center"/>
            </w:pPr>
            <w:r>
              <w:rPr>
                <w:sz w:val="20"/>
              </w:rPr>
              <w:t xml:space="preserve">2,0 </w:t>
            </w:r>
          </w:p>
        </w:tc>
        <w:tc>
          <w:tcPr>
            <w:tcW w:w="1359" w:type="dxa"/>
            <w:tcBorders>
              <w:top w:val="single" w:sz="4" w:space="0" w:color="000000"/>
              <w:left w:val="single" w:sz="4" w:space="0" w:color="000000"/>
              <w:bottom w:val="single" w:sz="4" w:space="0" w:color="002060"/>
              <w:right w:val="single" w:sz="4" w:space="0" w:color="000000"/>
            </w:tcBorders>
          </w:tcPr>
          <w:p w:rsidR="00E8309B" w:rsidRDefault="009D0949">
            <w:pPr>
              <w:spacing w:after="0" w:line="259" w:lineRule="auto"/>
              <w:ind w:left="107" w:right="0" w:firstLine="0"/>
              <w:jc w:val="center"/>
            </w:pPr>
            <w:r>
              <w:rPr>
                <w:sz w:val="20"/>
              </w:rPr>
              <w:t xml:space="preserve">2,2 </w:t>
            </w:r>
          </w:p>
        </w:tc>
        <w:tc>
          <w:tcPr>
            <w:tcW w:w="1397" w:type="dxa"/>
            <w:tcBorders>
              <w:top w:val="single" w:sz="4" w:space="0" w:color="000000"/>
              <w:left w:val="single" w:sz="4" w:space="0" w:color="000000"/>
              <w:bottom w:val="single" w:sz="4" w:space="0" w:color="002060"/>
              <w:right w:val="single" w:sz="4" w:space="0" w:color="000000"/>
            </w:tcBorders>
          </w:tcPr>
          <w:p w:rsidR="00E8309B" w:rsidRDefault="009D0949">
            <w:pPr>
              <w:spacing w:after="0" w:line="259" w:lineRule="auto"/>
              <w:ind w:left="145" w:right="0" w:firstLine="0"/>
              <w:jc w:val="center"/>
            </w:pPr>
            <w:r>
              <w:rPr>
                <w:sz w:val="20"/>
              </w:rPr>
              <w:t xml:space="preserve">3,0 </w:t>
            </w:r>
          </w:p>
        </w:tc>
      </w:tr>
    </w:tbl>
    <w:p w:rsidR="00E8309B" w:rsidRDefault="009D0949">
      <w:pPr>
        <w:spacing w:after="170" w:line="269" w:lineRule="auto"/>
        <w:ind w:left="-5" w:right="53"/>
        <w:jc w:val="left"/>
      </w:pPr>
      <w:r>
        <w:rPr>
          <w:sz w:val="16"/>
        </w:rPr>
        <w:t xml:space="preserve">Извор: Министарство финансија </w:t>
      </w:r>
    </w:p>
    <w:p w:rsidR="00E8309B" w:rsidRDefault="009D0949">
      <w:pPr>
        <w:ind w:left="-5" w:right="17"/>
      </w:pPr>
      <w:r>
        <w:t>Посматрано на страни понуде, услужни сектор и индустрија ће задржати улогу доминантних извора раста и повећавати креирану БДВ у просеку годишње за 5,0% и 5,2%, респективно. Позитиван допринос ће доћи и од раста грађевинске активности који ће у просеку изно</w:t>
      </w:r>
      <w:r>
        <w:t xml:space="preserve">сити 9,6%. Достизање европских стандарда и подизање конкурентности у пољопривреди, испуњењем услова за отварање Поглавља 11 и кроз коришћење ИПАРД II програма ЕУ, смањиће варијабилност производње овог сектора изазвану агрометеоролошким условима. </w:t>
      </w:r>
    </w:p>
    <w:p w:rsidR="00E8309B" w:rsidRDefault="009D0949">
      <w:pPr>
        <w:ind w:left="-5" w:right="17"/>
      </w:pPr>
      <w:r>
        <w:lastRenderedPageBreak/>
        <w:t xml:space="preserve">Графикон </w:t>
      </w:r>
      <w:r>
        <w:t xml:space="preserve">1. Доприноси стопи реалног раста БДП, производни и расходни приступ, п.п. </w:t>
      </w:r>
    </w:p>
    <w:p w:rsidR="00E8309B" w:rsidRDefault="009D0949">
      <w:pPr>
        <w:spacing w:after="47" w:line="259" w:lineRule="auto"/>
        <w:ind w:left="0" w:right="391" w:firstLine="0"/>
        <w:jc w:val="right"/>
      </w:pPr>
      <w:r>
        <w:rPr>
          <w:rFonts w:ascii="Calibri" w:eastAsia="Calibri" w:hAnsi="Calibri" w:cs="Calibri"/>
          <w:noProof/>
          <w:sz w:val="22"/>
        </w:rPr>
        <mc:AlternateContent>
          <mc:Choice Requires="wpg">
            <w:drawing>
              <wp:inline distT="0" distB="0" distL="0" distR="0">
                <wp:extent cx="5857621" cy="2514219"/>
                <wp:effectExtent l="0" t="0" r="0" b="0"/>
                <wp:docPr id="661508" name="Group 661508"/>
                <wp:cNvGraphicFramePr/>
                <a:graphic xmlns:a="http://schemas.openxmlformats.org/drawingml/2006/main">
                  <a:graphicData uri="http://schemas.microsoft.com/office/word/2010/wordprocessingGroup">
                    <wpg:wgp>
                      <wpg:cNvGrpSpPr/>
                      <wpg:grpSpPr>
                        <a:xfrm>
                          <a:off x="0" y="0"/>
                          <a:ext cx="5857621" cy="2514219"/>
                          <a:chOff x="0" y="0"/>
                          <a:chExt cx="5857621" cy="2514219"/>
                        </a:xfrm>
                      </wpg:grpSpPr>
                      <pic:pic xmlns:pic="http://schemas.openxmlformats.org/drawingml/2006/picture">
                        <pic:nvPicPr>
                          <pic:cNvPr id="7146" name="Picture 7146"/>
                          <pic:cNvPicPr/>
                        </pic:nvPicPr>
                        <pic:blipFill>
                          <a:blip r:embed="rId11"/>
                          <a:stretch>
                            <a:fillRect/>
                          </a:stretch>
                        </pic:blipFill>
                        <pic:spPr>
                          <a:xfrm>
                            <a:off x="0" y="10160"/>
                            <a:ext cx="2923540" cy="2504059"/>
                          </a:xfrm>
                          <a:prstGeom prst="rect">
                            <a:avLst/>
                          </a:prstGeom>
                        </pic:spPr>
                      </pic:pic>
                      <pic:pic xmlns:pic="http://schemas.openxmlformats.org/drawingml/2006/picture">
                        <pic:nvPicPr>
                          <pic:cNvPr id="7148" name="Picture 7148"/>
                          <pic:cNvPicPr/>
                        </pic:nvPicPr>
                        <pic:blipFill>
                          <a:blip r:embed="rId12"/>
                          <a:stretch>
                            <a:fillRect/>
                          </a:stretch>
                        </pic:blipFill>
                        <pic:spPr>
                          <a:xfrm>
                            <a:off x="2923540" y="0"/>
                            <a:ext cx="2934081" cy="2510155"/>
                          </a:xfrm>
                          <a:prstGeom prst="rect">
                            <a:avLst/>
                          </a:prstGeom>
                        </pic:spPr>
                      </pic:pic>
                    </wpg:wgp>
                  </a:graphicData>
                </a:graphic>
              </wp:inline>
            </w:drawing>
          </mc:Choice>
          <mc:Fallback xmlns:a="http://schemas.openxmlformats.org/drawingml/2006/main">
            <w:pict>
              <v:group id="Group 661508" style="width:461.23pt;height:197.97pt;mso-position-horizontal-relative:char;mso-position-vertical-relative:line" coordsize="58576,25142">
                <v:shape id="Picture 7146" style="position:absolute;width:29235;height:25040;left:0;top:101;" filled="f">
                  <v:imagedata r:id="rId133"/>
                </v:shape>
                <v:shape id="Picture 7148" style="position:absolute;width:29340;height:25101;left:29235;top:0;" filled="f">
                  <v:imagedata r:id="rId134"/>
                </v:shape>
              </v:group>
            </w:pict>
          </mc:Fallback>
        </mc:AlternateContent>
      </w:r>
      <w:r>
        <w:rPr>
          <w:rFonts w:ascii="Calibri" w:eastAsia="Calibri" w:hAnsi="Calibri" w:cs="Calibri"/>
          <w:sz w:val="22"/>
        </w:rPr>
        <w:t xml:space="preserve"> </w:t>
      </w:r>
    </w:p>
    <w:p w:rsidR="00E8309B" w:rsidRDefault="009D0949">
      <w:pPr>
        <w:spacing w:after="151"/>
        <w:ind w:left="-5" w:right="17"/>
      </w:pPr>
      <w:r>
        <w:t>Влада и овим трогодишњим сценариом остаје посвећена очувању модела привредног раста који се заснива на инвестицијама и извозу, а који је подржан растом приватне потрошње на реалн</w:t>
      </w:r>
      <w:r>
        <w:t>им и здравим изворима. Удео бруто инвестиција у основна средства у БДП ће на крају 2023. године бити 24,6%, што је за око 2,1 п.п. већи у односу на преткризну 2019. годину, док ће се истовремено учешће извоза роба и услуга повећати за 1,9 п.п. Државна потр</w:t>
      </w:r>
      <w:r>
        <w:t xml:space="preserve">ошња ће након скока у 2020. години постепено смањивати своје учешће у БДП, тако да ће на крају пројекцијског периода бити приближна нивоу из 2019. године. Влада својим активностима и мерама покушава да оснажи инвестициону и извозну компоненту БДП. Убрзање </w:t>
      </w:r>
      <w:r>
        <w:t>свих административних процедура које прате ове активности, пореско растерећење привреде са циљем подизања њене конкурентности, потписивање споразума којима се обезбеђује очување постојећих и отварање нових ино тржишта, интензивније и ефикасније извођење ин</w:t>
      </w:r>
      <w:r>
        <w:t>фраструктурних радова су само неке од мера које треба да обезбеде здраве фундаменте за раст потенцијалног БДП. Доследност у очувању фискалне стабилности спречава генерисање неравнотежа и креирање неизвесности, а реформски процеси треба да обезбеде снажнију</w:t>
      </w:r>
      <w:r>
        <w:t xml:space="preserve"> позитивну динамику основних макроекономских варијабли. Дигитална трансформација и изградња дигиталног екосистема остаје стратешка оријентација Владе. Ефикаснији рад државне администрације, скраћивање процедура становништву и привреди са фокусом на дигитал</w:t>
      </w:r>
      <w:r>
        <w:t>изацију убрзаће конвергенцију наше привреде ка развијеним земљама. Нови систем фискализације и измене царинских прописа, смањиће учешће сиве економије у укупним привредним токовима, обезбедити афирмативно конкурентско надметање и побољшати економичност и е</w:t>
      </w:r>
      <w:r>
        <w:t xml:space="preserve">фикасност процедура. </w:t>
      </w:r>
    </w:p>
    <w:p w:rsidR="00E8309B" w:rsidRDefault="009D0949">
      <w:pPr>
        <w:spacing w:after="96"/>
        <w:ind w:left="-5" w:right="17"/>
      </w:pPr>
      <w:r>
        <w:t xml:space="preserve">Графикон 2. Доприноси фактора производње потенцијалној стопи раста </w:t>
      </w:r>
    </w:p>
    <w:p w:rsidR="00E8309B" w:rsidRDefault="009D0949">
      <w:pPr>
        <w:spacing w:after="0" w:line="259" w:lineRule="auto"/>
        <w:ind w:left="0" w:right="575" w:firstLine="0"/>
        <w:jc w:val="right"/>
      </w:pPr>
      <w:r>
        <w:rPr>
          <w:noProof/>
        </w:rPr>
        <w:drawing>
          <wp:inline distT="0" distB="0" distL="0" distR="0">
            <wp:extent cx="5730621" cy="2229485"/>
            <wp:effectExtent l="0" t="0" r="0" b="0"/>
            <wp:docPr id="7150" name="Picture 7150"/>
            <wp:cNvGraphicFramePr/>
            <a:graphic xmlns:a="http://schemas.openxmlformats.org/drawingml/2006/main">
              <a:graphicData uri="http://schemas.openxmlformats.org/drawingml/2006/picture">
                <pic:pic xmlns:pic="http://schemas.openxmlformats.org/drawingml/2006/picture">
                  <pic:nvPicPr>
                    <pic:cNvPr id="7150" name="Picture 7150"/>
                    <pic:cNvPicPr/>
                  </pic:nvPicPr>
                  <pic:blipFill>
                    <a:blip r:embed="rId135"/>
                    <a:stretch>
                      <a:fillRect/>
                    </a:stretch>
                  </pic:blipFill>
                  <pic:spPr>
                    <a:xfrm>
                      <a:off x="0" y="0"/>
                      <a:ext cx="5730621" cy="2229485"/>
                    </a:xfrm>
                    <a:prstGeom prst="rect">
                      <a:avLst/>
                    </a:prstGeom>
                  </pic:spPr>
                </pic:pic>
              </a:graphicData>
            </a:graphic>
          </wp:inline>
        </w:drawing>
      </w:r>
      <w:r>
        <w:t xml:space="preserve"> </w:t>
      </w:r>
    </w:p>
    <w:p w:rsidR="00E8309B" w:rsidRDefault="009D0949">
      <w:pPr>
        <w:spacing w:after="92"/>
        <w:ind w:left="-5" w:right="17"/>
      </w:pPr>
      <w:r>
        <w:lastRenderedPageBreak/>
        <w:t>Према централном сценарију, у средњорочном периоду се очекује убрзање раста потенцијалног БДП. Након повећања од 3,2% у 2020. години, потенцијални БДП ће се постепено повећавати и на крају пројекцијског периода достићи стопу од 4%. Успоренији раст потенциј</w:t>
      </w:r>
      <w:r>
        <w:t>алног БДП, од претходно очекиваног последица је негативних ефеката изазваних пандемијом коронавируса. Ипак, адекватном економском политиком сачувани су производни потенцијали привреде. Убрзање реализације капиталних пројеката и наставак започетог инвестици</w:t>
      </w:r>
      <w:r>
        <w:t>оног циклуса подржани, како стабилним приливом СДИ, тако и домаћим иновативним активностима, обезбедиће све снажнији допринос капитала и факторске продуктивности расту потенцијалног БДП. Дигитализација ће значајно убрзати ове процесе и додатно подићи ефика</w:t>
      </w:r>
      <w:r>
        <w:t xml:space="preserve">сност искоришћености расположивих капацитета. Повољна кретања на тржишту рада ће такође допринети расту потенцијалног БДП али споријим темпом него у претходном периоду. </w:t>
      </w:r>
    </w:p>
    <w:p w:rsidR="00E8309B" w:rsidRDefault="009D0949">
      <w:pPr>
        <w:spacing w:after="159"/>
        <w:ind w:left="-5" w:right="17"/>
      </w:pPr>
      <w:r>
        <w:rPr>
          <w:b/>
        </w:rPr>
        <w:t>Запосленост и зараде.</w:t>
      </w:r>
      <w:r>
        <w:t xml:space="preserve"> Пандемија коронавируса неминовно ће се одразити на тржиште радне</w:t>
      </w:r>
      <w:r>
        <w:t xml:space="preserve"> снаге. Међутим, правовремене мере креатора економске политике, у чијем је фокусу пре свега одржавање запослености, у значајној мери ублажавају негативне ефекте изазване пандемијом, те се у 2020. години не очекују значајније турбуленције на тржишту радне с</w:t>
      </w:r>
      <w:r>
        <w:t>наге, ни када је реч о броју запослених, нити по питању висине зарада. Иако је у другом кварталу остварена рекордно ниска стопа незапослености, пре свега услед смањења броја људи који су активно тражили посао, очекује се њено благо повећање до краја године</w:t>
      </w:r>
      <w:r>
        <w:t>, с тим да ће остати на годишњем нивоу испод 10%. Досадашња повољна кретања, посвећеност Владе повећању броја запослених, као једном од приоритетних циљева економске политике, као и очекивани привредни раст определило је пројекцију за средњорочни период. О</w:t>
      </w:r>
      <w:r>
        <w:t>чекује се наставак позитивних кретања, кроз побољшање свих индикатора тржишта рада, нарочито кроз даље смањивање стопе незапослености. Оваква очекивања резултат су континуираног рада на побољшавању услова на тржишту рада, унапређивању институција тржишта р</w:t>
      </w:r>
      <w:r>
        <w:t>ада, подстицању запошљавања и укључивања на тржиште рада теже запошљивих лица, као и подршке регионалној и локалној политици запошљавања. Такође, континуирано се ради на унапређивању радне снаге у погледу квалитета, као и на улагању у људски капитал, све у</w:t>
      </w:r>
      <w:r>
        <w:t xml:space="preserve"> циљу лакшег општег запошљавања, а нарочито у оном делу привреде који има већу додату вредност. Такође, интензивираним радом инспекцијских служби, а након унапређења радног законодавства и донесених мера у правцу пореског растерећења рада, наставиће се сма</w:t>
      </w:r>
      <w:r>
        <w:t xml:space="preserve">њивање броја запослених у сивој зони и њихово превођење у контингент формално запослених. Овим мерама ће услови рада, у погледу права и осигурања радника, бити побољшани, а позитиван ефекат ће се одразити и на приходе буџета. На крају средњорочног периода </w:t>
      </w:r>
      <w:r>
        <w:t>очекује се ефектуирање комплексних реформи образовног система и адекватан одговор на потребе привреде, док ће се активним мерама обука, преквалификација и подршке социјалном предузетништву олакшати доступност радних места социјално рањивим категоријама дру</w:t>
      </w:r>
      <w:r>
        <w:t xml:space="preserve">штва и тиме додатно обезбедити инклузивност привредног раста. У средњем року очекује се наставак раста просечних зарада. Ради економске одрживости, раст зарада у средњем и нарочито дужем року треба да буде заснован на расту продуктивности. То ће захтевати </w:t>
      </w:r>
      <w:r>
        <w:t xml:space="preserve">наставак креирања повољних услова за привредни раст, пре свега кроз раст потрошње и привлачење и раст приватних инвестиција. </w:t>
      </w:r>
    </w:p>
    <w:p w:rsidR="00E8309B" w:rsidRDefault="009D0949">
      <w:pPr>
        <w:spacing w:after="79" w:line="271" w:lineRule="auto"/>
        <w:ind w:left="-5" w:right="9"/>
      </w:pPr>
      <w:r>
        <w:rPr>
          <w:b/>
        </w:rPr>
        <w:t>Монетарна политика, политика девизног курса</w:t>
      </w:r>
      <w:r>
        <w:t xml:space="preserve"> </w:t>
      </w:r>
      <w:r>
        <w:rPr>
          <w:b/>
        </w:rPr>
        <w:t>и инфлација</w:t>
      </w:r>
      <w:r>
        <w:t xml:space="preserve"> </w:t>
      </w:r>
    </w:p>
    <w:p w:rsidR="00E8309B" w:rsidRDefault="009D0949">
      <w:pPr>
        <w:ind w:left="-5" w:right="17"/>
      </w:pPr>
      <w:r>
        <w:t>НБС од 2009. године примењује режим циљања инфлације као монетарну страте</w:t>
      </w:r>
      <w:r>
        <w:t>гију. Захваљујући постигнутој ценовној стабилности, усидрености инфлационих очекивања и знатном поправљању макроекономских показатеља и изгледа Србије за наредни период, а пре свега одрживом смањењу спољне и унутрашње неравнотеже, циљана стопа инфлације је</w:t>
      </w:r>
      <w:r>
        <w:t xml:space="preserve"> снижена од 2017. године </w:t>
      </w:r>
      <w:r>
        <w:rPr>
          <w:b/>
        </w:rPr>
        <w:t xml:space="preserve">на ниво од 3%±1,5 п.п. и на том нивоу је утврђена до краја 2023. </w:t>
      </w:r>
      <w:r>
        <w:rPr>
          <w:b/>
        </w:rPr>
        <w:lastRenderedPageBreak/>
        <w:t>године</w:t>
      </w:r>
      <w:r>
        <w:t>. Тиме је потврђена одлучност НБС и Владе да предузимају мере како би инфлација у средњем року остала ниска, стабилна и предвидива. Основни инструмент за постиз</w:t>
      </w:r>
      <w:r>
        <w:t>ање инфлационог циља јесте каматна стопа која се примењује у једнонедељним реверзним репо операцијама, док остали инструменти монетарне политике (операције на отвореном тржишту, кредитне и депозитне олакшице, обавезна резерва и интервенције на девизном трж</w:t>
      </w:r>
      <w:r>
        <w:t>ишту) имају помоћну улогу. Политика обавезних резерви формулисана је тако да се диференцијацијом стопе обавезне резерве, у зависности од валуте обавеза и рочности, стимулишу динарски и дугорочнији извори финансирања банака. За динарске изворе средстава уго</w:t>
      </w:r>
      <w:r>
        <w:t xml:space="preserve">ворене рочности до две године она тренутно износи 5%, а за изворе рочности преко две године 0%. Стопа обавезне резерве за девизне изворе банака за уговорену рочност од две године утврђена је на нивоу од 20%, а за рочности преко две године износи 13%. </w:t>
      </w:r>
    </w:p>
    <w:p w:rsidR="00E8309B" w:rsidRDefault="009D0949">
      <w:pPr>
        <w:ind w:left="-5" w:right="17"/>
      </w:pPr>
      <w:r>
        <w:t>Пери</w:t>
      </w:r>
      <w:r>
        <w:t xml:space="preserve">од пре избијања пандемије обележила су повољна макроекономска кретања на домаћем тржишту, док је неизвесност у међународном окружењу захтевала опрезност у вођењу монетарне политике. Висина референтне каматне стопе задржана је у јануару и фебруару 2020. на </w:t>
      </w:r>
      <w:r>
        <w:t>2,25%, што је био њен до тада најнижи ниво у режиму циљања инфлације. Поред присутне неизвесности у међународном окружењу, приликом доношења одлука о монетарној политици водило се рачуна и о чињеници да ће се ефекти претходног ублажавања монетарне политике</w:t>
      </w:r>
      <w:r>
        <w:t xml:space="preserve"> (смањење референтне каматне стопе током друге половине 2019. године за укупно 75 б.п.) испољити у наредном периоду. </w:t>
      </w:r>
    </w:p>
    <w:p w:rsidR="00E8309B" w:rsidRDefault="009D0949">
      <w:pPr>
        <w:ind w:left="-5" w:right="17"/>
      </w:pPr>
      <w:r>
        <w:t>НБС је била прва институција у земљи и једна од првих централних банака у региону која је на пандемију одговорила доношењем конкретних мер</w:t>
      </w:r>
      <w:r>
        <w:t>а. На ванредној седници 11. марта донета је одлука о смањењу референтне каматне стопе за 50 базних поена, на 1,75%, сужен је коридор основних каматних стопа, са ± 1,25% на ± 1,0% у односу на референтну каматну стопу и донете су и друге мере, како би се очу</w:t>
      </w:r>
      <w:r>
        <w:t>вали повољни услови финансирања за привреду и грађане. Процењујући да размере кризе у свету изазване вирусом корона захтевају додатну подршку монетарне политике, као и да ниски инфлаторни притисци то омогућавају, на седници у априлу и јуну НБС је референтн</w:t>
      </w:r>
      <w:r>
        <w:t>у каматну стопу снизила за по додатних 25 б.п., на ниво од 1,25%, а затим и у децембру на 1%, уз истовремено снижење коридора основних каматних стопа, са ± 1,0% на ± 0,9% у односу на референтну каматну стопу. Тиме је референтна стопа смањена за 1,25 процен</w:t>
      </w:r>
      <w:r>
        <w:t>тних поена у односу на ниво пре избијања пандемије, што је заједно са другим предузетим монетарним мерама и фискалним пакетом вредним око 12,5% БДП-а умањило негативне ефекте пандемије на економску активност и запосленост и обезбедило релативно брз опорава</w:t>
      </w:r>
      <w:r>
        <w:t>к привреде у наредним месецима. Притом, важно је нагласити да су елиминисање интерне и смањење екстерне неравнотеже захваљујући одговорном вођењу економске политике у претходном периоду допринели повећању отпорности привреде Србије на негативне утицаје екс</w:t>
      </w:r>
      <w:r>
        <w:t xml:space="preserve">терних шокова, чиме је омогућена успешна реализација обимних монетарних и фискалних мера, без угрожавања ценовне и финансијске стабилности. </w:t>
      </w:r>
    </w:p>
    <w:p w:rsidR="00E8309B" w:rsidRDefault="009D0949">
      <w:pPr>
        <w:ind w:left="-5" w:right="17"/>
      </w:pPr>
      <w:r>
        <w:t>Поред смањења основних каматних стопа, НБС је од избијања епидемије динарску ликвидност банака по повољним условима</w:t>
      </w:r>
      <w:r>
        <w:t xml:space="preserve"> превентивно подржавала путем директних репо операција куповине државних хартија од вредности и корпоративних обвезница и билатералних операција трајне куповине државних хартија од вредности и корпоративних обвезница на секундарном тржишту, организовањем д</w:t>
      </w:r>
      <w:r>
        <w:t>одатних девизних своп операција куповине девиза и привременом изменом начина обављања аукција своп куповине и своп продаје девиза (ради обезбеђења неопходне динарске и ликвидности у еврима по повољним каматним стопама), као и проширењем листе колатерала за</w:t>
      </w:r>
      <w:r>
        <w:t xml:space="preserve"> монетарне операције (укључење динарских корпоративних обвезница издатих од стране домаћих компанија, које испуњавају услове адекватног бонитета, емитованих до краја 2020. године, при чему је најдужа оригинална рочност десет година). Политиком обавезне рез</w:t>
      </w:r>
      <w:r>
        <w:t xml:space="preserve">ерве, НБС наставила је да стимулише динарске и дугорочне изворе финансирања, а од јула 2020. и кредитирање привреде у динарима подржавајући економске </w:t>
      </w:r>
      <w:r>
        <w:lastRenderedPageBreak/>
        <w:t>мере Владе без угрожавања ценовне стабилности, тако што плаћа вишу камату на издвојену динарску обавезну р</w:t>
      </w:r>
      <w:r>
        <w:t>езерву банкама које по повољним условима одобравају динарске кредите у складу са гарантном шемом Владе. Захваљујући правовременим и одмереним реакцијама НБС на девизном тржишту у виду продаје девиза у условима појачане неизвесности на међународном финансиј</w:t>
      </w:r>
      <w:r>
        <w:t xml:space="preserve">ском тржишту, одржана је релативна стабилност девизног курса. </w:t>
      </w:r>
    </w:p>
    <w:p w:rsidR="00E8309B" w:rsidRDefault="009D0949">
      <w:pPr>
        <w:ind w:left="-5" w:right="17"/>
      </w:pPr>
      <w:r>
        <w:t xml:space="preserve">Успостављена је и превентивна репо линија са ЕЦБ као додатна могућност за обезбеђење ликвидности у еврима у случају потребе. </w:t>
      </w:r>
    </w:p>
    <w:p w:rsidR="00E8309B" w:rsidRDefault="009D0949">
      <w:pPr>
        <w:ind w:left="-5" w:right="17"/>
      </w:pPr>
      <w:r>
        <w:t xml:space="preserve">НБС ће наставити пажљиво да прати кретање и утицај кључних фактора </w:t>
      </w:r>
      <w:r>
        <w:t>из домаћег и међународног окружења на инфлацију, финансијску стабилност и брзину економског опоравка. У том смислу континуирано ће процењивати да ли су све мере и даље оптимално комбиноване и да ли су одговарајућег обима, како би се пружила потребна подршк</w:t>
      </w:r>
      <w:r>
        <w:t xml:space="preserve">а опоравку економске активности, без угрожавања ценовне и финансијске стабилности. НБС, у координацији с Владом, спремна је да реагује и у наредном периоду у складу с развојем ситуације у погледу даљег тока пандемије код нас и у свету. </w:t>
      </w:r>
    </w:p>
    <w:p w:rsidR="00E8309B" w:rsidRDefault="009D0949">
      <w:pPr>
        <w:spacing w:after="92"/>
        <w:ind w:left="-5" w:right="17"/>
      </w:pPr>
      <w:r>
        <w:t>У складу са изабран</w:t>
      </w:r>
      <w:r>
        <w:t>ом монетарном стратегијом, НБС наставиће да спроводи режим руковођено пливајућег девизног курса. Интервенције на девизном тржишту спроводиће ради ублажавања прекомерних краткорочних осцилација курса динара према евру, очувања стабилности цена и финансијско</w:t>
      </w:r>
      <w:r>
        <w:t>г система и одржавања адекватног нивоа девизних резерви. Правовремене и одмерене реакције НБС на девизном тржишту и постигнута макроекономска стабилност уз повећану отпорност домаће економије на екстерне шокове, укључујући и шокове који произлазе из ефекат</w:t>
      </w:r>
      <w:r>
        <w:t xml:space="preserve">а пандемије Ковид-19, доприносиће одржавању релативне стабилности курса динара у средњем року. </w:t>
      </w:r>
    </w:p>
    <w:p w:rsidR="00E8309B" w:rsidRDefault="009D0949">
      <w:pPr>
        <w:spacing w:after="160"/>
        <w:ind w:left="-5" w:right="17"/>
      </w:pPr>
      <w:r>
        <w:rPr>
          <w:b/>
        </w:rPr>
        <w:t>Средњорочна пројекција инфлације.</w:t>
      </w:r>
      <w:r>
        <w:t xml:space="preserve"> Према новембарској централној пројекцији НБС, међугодишња инфлација ће се кретати у доњој половини циљаног распона, ближе доњо</w:t>
      </w:r>
      <w:r>
        <w:t>ј граници циља до краја 2021. године. Таквом кретању инфлације допринеће релативно ниска агрегатна тражња и инфлација у међународном окружењу, док ће ефекти пада светске цене нафте постепено ишчезнути. Након тога, с даљим растом економске активности и траж</w:t>
      </w:r>
      <w:r>
        <w:t xml:space="preserve">ње, који ће подржати експанзивне мере монетарне и фискалне политике, инфлација ће почети постепено да се креће ка централној вредности циља од 3%, али ће остати испод ње и у 2022. години. Неизвесност у погледу остварења пројекције инфлације у кратком року </w:t>
      </w:r>
      <w:r>
        <w:t xml:space="preserve">односи се пре свега на кретање цена воћа и поврћа. У средњем року, кључни ризици пројекције и даље потичу из међународног окружења, а односе се пре свега на брзину опоравка зоне евра, светске цене примарних производа, као и токове капитала према земљама у </w:t>
      </w:r>
      <w:r>
        <w:t xml:space="preserve">успону. Ризици за остварење пројекције делом се односе и на брзину опоравка домаће тражње и кретање домаћих регулисаних цена и цена хране, при чему су ризици остварења пројекције инфлације, заједно посматрано, симетрични. </w:t>
      </w:r>
    </w:p>
    <w:p w:rsidR="00E8309B" w:rsidRDefault="009D0949">
      <w:pPr>
        <w:spacing w:after="126" w:line="271" w:lineRule="auto"/>
        <w:ind w:left="-5" w:right="9"/>
      </w:pPr>
      <w:r>
        <w:rPr>
          <w:b/>
        </w:rPr>
        <w:t>Екстерни сектор и његова средњоро</w:t>
      </w:r>
      <w:r>
        <w:rPr>
          <w:b/>
        </w:rPr>
        <w:t xml:space="preserve">чна одрживост </w:t>
      </w:r>
    </w:p>
    <w:p w:rsidR="00E8309B" w:rsidRDefault="009D0949">
      <w:pPr>
        <w:ind w:left="-5" w:right="17"/>
      </w:pPr>
      <w:r>
        <w:t>Захваљујући приливу СДИ у извозно-оријентисане секторе, којем доприноси остварена макроекономска стабилност, као и стимулативније пословно окружење, у претходних неколико година повећана је диверсификованост извоза – и производно и географск</w:t>
      </w:r>
      <w:r>
        <w:t>и посматрано. На то указује смањење вредности Херфиндал–Хиршмановог индекса (</w:t>
      </w:r>
      <w:r>
        <w:rPr>
          <w:i/>
        </w:rPr>
        <w:t>HHI</w:t>
      </w:r>
      <w:r>
        <w:t>) по производима са 0,22 у 2013. на 0,20 у 2019, а по земљама партнерима са 0,26 на 0,23. Степен концентрације посматрано по производима у девет месеци ове године остао је непр</w:t>
      </w:r>
      <w:r>
        <w:t xml:space="preserve">омењен, а посматрано по земљама је додатно снижен на 0,22. Притом, треба имати у виду да се житарице извозе углавном преко Румуније, а моторна возила преко Италије, одакле се даље пласирају на друга тржишта, тако да је стварни степен концентрације извоза, </w:t>
      </w:r>
      <w:r>
        <w:t xml:space="preserve">посматрано по земљама, заправо мањи него што то сугерише овај индекс. </w:t>
      </w:r>
    </w:p>
    <w:p w:rsidR="00E8309B" w:rsidRDefault="009D0949">
      <w:pPr>
        <w:ind w:left="-5" w:right="17"/>
      </w:pPr>
      <w:r>
        <w:lastRenderedPageBreak/>
        <w:t xml:space="preserve">Посматрано према фазама прераде, у структури робног извоза највеће учешће у девет месеци 2020. имају производи средње фазе прераде (31,8%). На другом месту налазе се производи базирани </w:t>
      </w:r>
      <w:r>
        <w:t>на ресурсима са учешћем од 24,3%, затим производи ниже фазе прераде са учешћем од 21,1% (намештај, гвожђе и челик, производи од пластике, одећа), док су примарни производи чинили 14,2% укупног извоза. Учешће производа високе технологије (углавном електричн</w:t>
      </w:r>
      <w:r>
        <w:t xml:space="preserve">их машина) у укупном извозу износило је 6,5%, а 2,1% је учешће осталих производа (електрична енергија, неразврстано). </w:t>
      </w:r>
    </w:p>
    <w:p w:rsidR="00E8309B" w:rsidRDefault="009D0949">
      <w:pPr>
        <w:ind w:left="-5" w:right="17"/>
      </w:pPr>
      <w:r>
        <w:t xml:space="preserve">Када је реч о </w:t>
      </w:r>
      <w:r>
        <w:rPr>
          <w:b/>
          <w:i/>
        </w:rPr>
        <w:t>показатељима ценовне и трошковне конкурентности</w:t>
      </w:r>
      <w:r>
        <w:t>, важно је нагласити да је реални ефективни курс динара релативно непромењен</w:t>
      </w:r>
      <w:r>
        <w:t xml:space="preserve"> у дугом року. Након реалне депрецијације од 8,5% у периоду 2014–2016 (рачунато на бази потрошачких цена према корпи валута коју чине евро и долар</w:t>
      </w:r>
      <w:r>
        <w:rPr>
          <w:vertAlign w:val="superscript"/>
        </w:rPr>
        <w:footnoteReference w:id="10"/>
      </w:r>
      <w:r>
        <w:t>), динар је реално апрецирао за 7,1% у периоду 2017–2018, највише по основу повољних платнобилансних кретања,</w:t>
      </w:r>
      <w:r>
        <w:t xml:space="preserve"> да би у 2019, динар забележио благу реалну депрецијацију (од 0,2%). У периоду јануар–октобар 2020. динар је реално апрецирао, за 1,5% мг., пре свега по основу више инфлације него у зони евра, где се у претходних пар месеци бележи мг. пад цена услед пандем</w:t>
      </w:r>
      <w:r>
        <w:t>ије. Рачунат на бази јединичних трошкова рада, динар је према евру реално депрецирао за 8,1% у периоду 2014–2016, да би у периоду 2017– 2019, услед раста зарада у приватном сектору захваљујући расту економске активности, а делом и због номиналног јачања ди</w:t>
      </w:r>
      <w:r>
        <w:t>нара према евру, била забележена реална апрецијација од 17,8%. У условима пада економске активности под утицајем пандемије и наставка раста зарада захваљујући реакцији носилаца економске политике, уз истовремени пад економске активности и зарада у зони евр</w:t>
      </w:r>
      <w:r>
        <w:t xml:space="preserve">а, јединични трошкови рада у Србији су у три тромесечја 2020. више повећани него у зони евра, што је уз номинално јачање динара према евру за 0,3% мг., за последицу имало реалну апрецијацију од око 9% мг. Међутим, треба имати у виду да реална апрецијација </w:t>
      </w:r>
      <w:r>
        <w:t xml:space="preserve">динара рачуната на бази јединичних трошкова рада није за последицу имала смањење трошковне конкурентности, о чему сведочи нето прилив СДИ који је од 2017. закључно са септембром ове године износио готово 11 млрд евра. </w:t>
      </w:r>
    </w:p>
    <w:p w:rsidR="00E8309B" w:rsidRDefault="009D0949">
      <w:pPr>
        <w:spacing w:after="90"/>
        <w:ind w:left="-5" w:right="17"/>
      </w:pPr>
      <w:r>
        <w:rPr>
          <w:b/>
        </w:rPr>
        <w:t>Структурна конкурентност Србије</w:t>
      </w:r>
      <w:r>
        <w:t xml:space="preserve">, која има пресудан утицај на побољшање конкурентности привреде у дугом року, наставила је да се побољшава. Према последњој </w:t>
      </w:r>
      <w:r>
        <w:rPr>
          <w:i/>
        </w:rPr>
        <w:t>Doing Business</w:t>
      </w:r>
      <w:r>
        <w:t xml:space="preserve"> листи која је објављена у октобру 2019, Србија је напредовала за четири места, на 44. позицију међу 190 земаља, и при</w:t>
      </w:r>
      <w:r>
        <w:t>ближила се најбољој светској пракси за 1,8 поена (на 75,7 поена). У шест области су идентификоване регулаторне реформе које су омогућиле побољшање услова пословања: издавање грађевинских дозвола, увођење електричне енергије, заштита мањинских права инвести</w:t>
      </w:r>
      <w:r>
        <w:t xml:space="preserve">тора, плаћање пореза и спровођење уговора. </w:t>
      </w:r>
    </w:p>
    <w:p w:rsidR="00E8309B" w:rsidRDefault="009D0949">
      <w:pPr>
        <w:spacing w:after="84"/>
        <w:ind w:left="-5" w:right="17"/>
      </w:pPr>
      <w:r>
        <w:rPr>
          <w:b/>
        </w:rPr>
        <w:t>Међународна инвестициона позиција.</w:t>
      </w:r>
      <w:r>
        <w:t xml:space="preserve"> Са становишта међународне инвестиционе позиције (МИП), Србија је нето дужник у износу од 42 млрд евра (91% БДП-а) на крају јуна 2020, што је за 1,6 млрд евра више у односу на кр</w:t>
      </w:r>
      <w:r>
        <w:t>ај 2019. године. На повећање негативне МИП позиције највише је утицала емисија еврообвезнице на иностраном тржишту у мају, али и раст најпожељнијих улагања из иностранства – СДИ. У посматраном периоду, и јавни и приватни сектор су повећали негативну инвест</w:t>
      </w:r>
      <w:r>
        <w:t>ициону позицију према иностранству за 1 млрд евра и 0,6 млрд евра, респективно. На раст негативне инвестиционе позиције државе највећи утицај имало је поменуто издавање еврообвезнице, што је делимично ублажено растом девизних резерви. Позиција приватног се</w:t>
      </w:r>
      <w:r>
        <w:t xml:space="preserve">ктора као нето дужника је повећана због већег прилива СДИ (раст стања СДИ за 1,5 млрд евра у првој половини године), док је смањење нето дуга по основу трговинских кредита (за 1,1 млрд евра) утицало у супротном смеру. </w:t>
      </w:r>
      <w:r>
        <w:rPr>
          <w:b/>
        </w:rPr>
        <w:t xml:space="preserve">Посматрано по инструментима, на крају </w:t>
      </w:r>
      <w:r>
        <w:rPr>
          <w:b/>
        </w:rPr>
        <w:t xml:space="preserve">другог тромесечја 2020. око 88% нето МИП чиниле су СДИ, што указује на добру структуру МИП-а и мању рањивост на екстерне шокове и доприноси екстерној одрживости. </w:t>
      </w:r>
    </w:p>
    <w:p w:rsidR="00E8309B" w:rsidRDefault="009D0949">
      <w:pPr>
        <w:ind w:left="-5" w:right="17"/>
      </w:pPr>
      <w:r>
        <w:lastRenderedPageBreak/>
        <w:t>У структури пасиве МИП-</w:t>
      </w:r>
      <w:r>
        <w:t xml:space="preserve">а, учешће дужничких инструмената је износило 51,7%, од чега су међукомпанијски кредити чинили 18,5%. Готово половина </w:t>
      </w:r>
      <w:r>
        <w:rPr>
          <w:b/>
          <w:i/>
        </w:rPr>
        <w:t>спољног дуга</w:t>
      </w:r>
      <w:r>
        <w:t xml:space="preserve"> односи се на јавни сектор (48,6%) и он је у потпуности дугорочног карактера. У јавном спољном дугу доминирају три валуте – евр</w:t>
      </w:r>
      <w:r>
        <w:t>о (53,4%), долар (25,1%) и динари (11,6%). Истовремено, учешће евра и долара у девизним резервама износи 60% и 25%, респективно, тако да је валутна структура девизних резерви добро усклађена са валутном структуром јавног спољног дуга. Више од две трећине ј</w:t>
      </w:r>
      <w:r>
        <w:t xml:space="preserve">авног дуга уговорено је по фиксној каматној стопи (68,6%). </w:t>
      </w:r>
    </w:p>
    <w:p w:rsidR="00E8309B" w:rsidRDefault="009D0949">
      <w:pPr>
        <w:spacing w:after="78"/>
        <w:ind w:left="-5" w:right="17"/>
      </w:pPr>
      <w:r>
        <w:t>У структури спољног дуга приватног сектора највећи део односи се на дуг предузећа (73,7%). Преко 95% дуга предузећа деноминовано је у еврима, а чињеница да се преко 90% наплата извоза извршава у е</w:t>
      </w:r>
      <w:r>
        <w:t>врима, доприноси смањењу валутног ризика по основу спољног дуга предузећа. Посматрано према преосталој рочности, око 80% дуга предузећа је дугорочног карактера. Преко 70% спољног дуга банака уговорено је по варијабилној каматној стопи, док је 96% деноминов</w:t>
      </w:r>
      <w:r>
        <w:t xml:space="preserve">ано у еврима. Посматрано према преосталој рочности, око 50% спољног дуга банкарског сектора (уз изузеће депозита) је дугорочног карактера. </w:t>
      </w:r>
    </w:p>
    <w:p w:rsidR="00E8309B" w:rsidRDefault="009D0949">
      <w:pPr>
        <w:ind w:left="-5" w:right="17"/>
      </w:pPr>
      <w:r>
        <w:rPr>
          <w:b/>
        </w:rPr>
        <w:t>Средњорочна екстерна одрживост.</w:t>
      </w:r>
      <w:r>
        <w:t xml:space="preserve"> Очекује се да ће се дефицит текућег рачуна платног биланса у средњем року кретати ок</w:t>
      </w:r>
      <w:r>
        <w:t>о 4-5% БДП-а и бити у потпуности покривен нето приливом СДИ, што доприноси средњорочној екстерној одрживости. Очекује се наставак раста суфицита услуга, као и нормализација прилива по основу секундарних доходака који су традиционално били стабилни. Ниске к</w:t>
      </w:r>
      <w:r>
        <w:t>аматне стопе по којима су се резиденти задуживали, довешће до стабилизације одлива по основу примарних доходака. Процењује се да ће реалан раст извоза робе и услуга у годинама после 2021, у којој се због ниске базе очекују двоцифрене стопе раста извоза и у</w:t>
      </w:r>
      <w:r>
        <w:t xml:space="preserve">воза, у средњем року стабилизовати на око 7-8% годишње у просеку, што ће резултирати постепеним смањењем учешћа дефицита роба и услуга у БДП-у на око 8%. </w:t>
      </w:r>
    </w:p>
    <w:p w:rsidR="00E8309B" w:rsidRDefault="009D0949">
      <w:pPr>
        <w:spacing w:after="149"/>
        <w:ind w:left="-5" w:right="17"/>
      </w:pPr>
      <w:r>
        <w:t>Очекивана путања нето прилива СДИ утицаће на то да принос по основу њиховог власништва остане солидна</w:t>
      </w:r>
      <w:r>
        <w:t xml:space="preserve"> расходна ставка на рачуну примарног дохотка. С друге стране, имаћемо мањи одлив по основу камата на кредите и ХоВ, пре свега због финансирања по знатно повољнијим условима (као и превремених отплата раније насталог дуга са високим каматним стопама). На ра</w:t>
      </w:r>
      <w:r>
        <w:t xml:space="preserve">чуну секундарног дохотка и у средњем року се очекује стабилан прилив дознака од око  8-9% БДП-а. </w:t>
      </w:r>
    </w:p>
    <w:p w:rsidR="00E8309B" w:rsidRDefault="009D0949">
      <w:pPr>
        <w:ind w:left="-5" w:right="17"/>
      </w:pPr>
      <w:r>
        <w:t>У структури прилива капитала доминираће СДИ (око 5-6% БДП-а просечно годишње) за које се очекује да ће наставити да у потпуности покривају дефицит текућег рач</w:t>
      </w:r>
      <w:r>
        <w:t xml:space="preserve">уна. Такође, очекују се нето раздуживање по основу финансијских кредита јавног сектора и нето задуживање приватног сектора ради финансирања инвестиција и даљег економског развоја. </w:t>
      </w:r>
    </w:p>
    <w:p w:rsidR="00E8309B" w:rsidRDefault="009D0949">
      <w:pPr>
        <w:ind w:left="-5" w:right="17"/>
      </w:pPr>
      <w:r>
        <w:t>И у средњем року се очекује задржавање девизних резерви на адекватном нивоу</w:t>
      </w:r>
      <w:r>
        <w:t xml:space="preserve">. Процењује се да ће покривеност просечног месечног увоза девизним резервама износити преко 6 месеци, уз раст покривености краткорочног дуга (посматрано по преосталој рочности) девизним резервама. </w:t>
      </w:r>
    </w:p>
    <w:p w:rsidR="00E8309B" w:rsidRDefault="009D0949">
      <w:pPr>
        <w:ind w:left="-5" w:right="17"/>
      </w:pPr>
      <w:r>
        <w:t>Према оценама средњорочне одрживости екстерне позиције Срб</w:t>
      </w:r>
      <w:r>
        <w:t>ије дефицит текућег рачуна који стабилизује спољни дуг на постојећем нивоу креће се између 7% и 8% БДП-а, док дефицит текућег рачуна од око 6% БДП-а доводи до смањења спољног дуга. По свим сценаријима, осим историјског (базираног на десетогодишњим просецим</w:t>
      </w:r>
      <w:r>
        <w:t>а кључних макроекономских индикатора, што је период који је обележен значајним структурним променама у економији и не може служити као репер), након привременог повећања у 2020. години (до којег је дошло ради ублажавања економских последица насталих пандем</w:t>
      </w:r>
      <w:r>
        <w:t xml:space="preserve">ијом), у средњем року ће доћи до смањења спољног дуга Србије. Према основном сценарију, спољни дуг Србије би се на крају 2025. нашао на нивоу од око 50% БДП-а. Један од основних фактора који ће допринети овом смањењу је повећање степена отворености српске </w:t>
      </w:r>
      <w:r>
        <w:t xml:space="preserve">економије (мерено као проценат извоза и увоза роба и услуга у БДП-у) на преко 120% БДП-а. На повећање отворености српске </w:t>
      </w:r>
      <w:r>
        <w:lastRenderedPageBreak/>
        <w:t>економије и њену већу интеграцију у глобалне трговинске токове свакако је утицао и висок прилив СДИ, који је у периоду од 2013. закључн</w:t>
      </w:r>
      <w:r>
        <w:t>о са септембром 2020. износио око 19 млрд евра. С обзиром да је највећи део ових инвестиција био усмерен у разменљиве секторе, међу највећим извозницима Србије налазе се углавном компаније у страном власништву. Наставак ЕУ интеграција и отварање нових погл</w:t>
      </w:r>
      <w:r>
        <w:t>авља из области економске политике, заједно с билатералним споразумима о слободној трговини (нпр. са Русијом, Турском, Белорусијом и Казахстаном) и споразума са економским групацијама (ЦЕФТА, ЕФТА, Евроазијска економска унија) које Влада Србије закључује и</w:t>
      </w:r>
      <w:r>
        <w:t xml:space="preserve"> уз одржавање постигнуте макроекономске стабилности, довешће до даљег унапређења пословне климе, што ће омогућити већу међународну размену и наставак раста СДИ. </w:t>
      </w:r>
    </w:p>
    <w:p w:rsidR="00E8309B" w:rsidRDefault="009D0949">
      <w:pPr>
        <w:pStyle w:val="Heading2"/>
        <w:ind w:left="405" w:right="9" w:hanging="420"/>
      </w:pPr>
      <w:r>
        <w:t xml:space="preserve">АЛТЕРНАТИВНИ СЦЕНАРИО И РИЗИЦИ </w:t>
      </w:r>
    </w:p>
    <w:p w:rsidR="00E8309B" w:rsidRDefault="009D0949">
      <w:pPr>
        <w:ind w:left="-5" w:right="17"/>
      </w:pPr>
      <w:r>
        <w:t>Средњорочни сценарио кретања привредне активности Републике Ср</w:t>
      </w:r>
      <w:r>
        <w:t>бије праћен је бројним ризицима како из међународног окружења, тако и по основу домаћих фактора. Ризици макроекономског оквира јесу неуобичајено високи и проистичу из даљег тока и трајања пандемије и одговора на њу, нарочито након поновног заоштравања епид</w:t>
      </w:r>
      <w:r>
        <w:t>емиолошке ситуације у свету и код нас, те делимичног или потпуног затварања појединих земаља. Основним макроекономским сценаријем претпостављено је да ће утицај пандемије слабити током 2021. године како буде остварен напредак у проналажењу и употреби вакци</w:t>
      </w:r>
      <w:r>
        <w:t xml:space="preserve">не, ограничењу трансмисије вируса и ефикасније терапије у лечењу. У супротном, погоршање епидемиолошке ситуације и увођење додатних рестриктивних мера водило би даљим рецесионим трендовима. Опоравак еврозоне и региона централне и југоисточне Европе, наших </w:t>
      </w:r>
      <w:r>
        <w:t xml:space="preserve">најзначајнијих спољнотрговинских партнера, у наредном периоду ће зависити од ефикасности здравствених мера, али и од могућности коришћења и домета фискалних и монетарних подстицаја. </w:t>
      </w:r>
    </w:p>
    <w:p w:rsidR="00E8309B" w:rsidRDefault="009D0949">
      <w:pPr>
        <w:ind w:left="-5" w:right="17"/>
      </w:pPr>
      <w:r>
        <w:t>У кратком року, егзогени ризици су асиметрични наниже по основу више факт</w:t>
      </w:r>
      <w:r>
        <w:t>ора. Неизвесност на међународном робном и финансијском тржишту, трговинске тензије и урушено пословно поверење негативно би се одразили на токове капитала. Такође, успоравање екстерне тражње и застој у ланцима снабдевања утиче негативно на извозну активнос</w:t>
      </w:r>
      <w:r>
        <w:t>т, смањење прилива капитала у Србију, а тиме и на нижу индустријску производњу. Што се тиче робног тржишта, колабирање цена примарних производа може имати двојак утицај на привредни раст Србије. Кретање цене нафте изнад пројектованог негативно би се одрази</w:t>
      </w:r>
      <w:r>
        <w:t>ло на трошкове производње, али би и променило структуру потрошње домаћинстава повећањем удела увозних добара, што би удружено успорило привредни раст. Србија је задржала улогу нето извозника основних метала и поред смањења извоза, тако да би бржи раст њихо</w:t>
      </w:r>
      <w:r>
        <w:t>вих цена погодовао економској активности и донекле неутрализовао ефекте ЕУ мера. Ублажавању негативних ризика допринеће активирање нових и проширење постојећих извозних капацитета, повољнији односи робне размене, али и укидање такса од 100% на производе ко</w:t>
      </w:r>
      <w:r>
        <w:t xml:space="preserve">ји се испоручују на Косово и Метохију. </w:t>
      </w:r>
    </w:p>
    <w:p w:rsidR="00E8309B" w:rsidRDefault="009D0949">
      <w:pPr>
        <w:ind w:left="-5" w:right="17"/>
      </w:pPr>
      <w:r>
        <w:t>Ендогени ризици су идентификовани као израженији навише. Иако је погоршање епидемиолошке ситуације и привремено затварање економије током 2020. године утицало на уздржавање од потрошње, њен потпун опоравак се очекује</w:t>
      </w:r>
      <w:r>
        <w:t xml:space="preserve"> у 2021. години. С друге стране, пакет економских мера Владе и НБС очувао је расположиви доходак становништва и постојећа радна места, те обезбедио опоравак бржи од очекиваног. Ток пандемије ће определити кретања у услужном сектору, посебно у секторима сао</w:t>
      </w:r>
      <w:r>
        <w:t xml:space="preserve">браћаја, угоститељства и туризма. Штета проузрокована пандемијом у овим секторима може се прелити и на друге привредне гране. Остали фактори из домаћег окружења односе се на волатилност пољопривредне производње, ефикасност у реализацији јавних пројеката и </w:t>
      </w:r>
      <w:r>
        <w:t>динамику спровођења започетих реформи. Наставак структурних реформи и даља унапређења пословног амбијента требало би да допринесу бржем расту. И поред унапређења и модернизације сектора пољопривреде, производња главних биљних култура и даље је значајно зав</w:t>
      </w:r>
      <w:r>
        <w:t xml:space="preserve">исна од агрометеоролошких </w:t>
      </w:r>
      <w:r>
        <w:lastRenderedPageBreak/>
        <w:t xml:space="preserve">услова, што може довести до битних одступања од вишегодишње просечне пољопривредне производње на бази које се пројектује кретање овог сектора. У основном сценарију је претпостављен негативан допринос пољопривреде БДП с обзиром на </w:t>
      </w:r>
      <w:r>
        <w:t xml:space="preserve">овогодишњу одличну сезону. Раст грађевинарства у наредном периоду базиран је на трендним кретањима ове делатности, предикцијским индикаторима и најављеним инвестиционим улагањима државе. Динамика и ефикасност у спровођењу јавних пројеката, након попуштања </w:t>
      </w:r>
      <w:r>
        <w:t>здравствених мера, као и активности у сегменту изградње зграда и производних капацитета носе са собом симетричне ризике. Кретање индустријске производње у највећој мери опредељено је екстерним факторима. Ипак, електро-енергетски сегмент би могао да доприне</w:t>
      </w:r>
      <w:r>
        <w:t>се расту изнад очекивања, уколико реформски процеси буду интензивирани, а инвестициона улагања из претходног периода ефектуирана у долазећем периоду. Такође, реформа јавних предузећа основ је за подизање нивоа продуктивности и ефикасности, што би појефтини</w:t>
      </w:r>
      <w:r>
        <w:t xml:space="preserve">ло производне процесе, подигло конкурентност и проширило инвестиционе капацитете. Динамика спровођења ових реформи јасно се осликава на динамици укупног привредног раста утицајем у истом смеру, брже спровођење реформи носи бржи привредни раст и обратно. </w:t>
      </w:r>
    </w:p>
    <w:p w:rsidR="00E8309B" w:rsidRDefault="009D0949">
      <w:pPr>
        <w:spacing w:after="87"/>
        <w:ind w:left="-5" w:right="17"/>
      </w:pPr>
      <w:r>
        <w:t>И</w:t>
      </w:r>
      <w:r>
        <w:t>ако је неутралисањем унутрашњих и спољашњих неравнотежа у претходном периоду повећана резистентност српске привреде на екстерне шокове, не треба губити из вида да смо мала и отворена економија која им је значајно изложена. Повољна макроекономска перспектив</w:t>
      </w:r>
      <w:r>
        <w:t>а земље, унапређен пословни амбијент, задржавање повољних финансијских услова, наставак политике подстицања страних и домаћих улагања, као саставног дела политике улагања и планирани инвестициони пројекти државе умањиће неизвесност присутну у погледу спрем</w:t>
      </w:r>
      <w:r>
        <w:t xml:space="preserve">ности за инвестициона улагања и ширење производних капацитета. </w:t>
      </w:r>
    </w:p>
    <w:p w:rsidR="00E8309B" w:rsidRDefault="009D0949">
      <w:pPr>
        <w:spacing w:after="6"/>
        <w:ind w:left="-5" w:right="17"/>
      </w:pPr>
      <w:r>
        <w:t xml:space="preserve">Графикон 3. Пројекција кретања БДП, међугодишње стопе раста, % </w:t>
      </w:r>
    </w:p>
    <w:p w:rsidR="00E8309B" w:rsidRDefault="009D0949">
      <w:pPr>
        <w:spacing w:after="40" w:line="259" w:lineRule="auto"/>
        <w:ind w:left="0" w:right="575" w:firstLine="0"/>
        <w:jc w:val="right"/>
      </w:pPr>
      <w:r>
        <w:rPr>
          <w:noProof/>
        </w:rPr>
        <w:drawing>
          <wp:inline distT="0" distB="0" distL="0" distR="0">
            <wp:extent cx="5729859" cy="2135505"/>
            <wp:effectExtent l="0" t="0" r="0" b="0"/>
            <wp:docPr id="8151" name="Picture 8151"/>
            <wp:cNvGraphicFramePr/>
            <a:graphic xmlns:a="http://schemas.openxmlformats.org/drawingml/2006/main">
              <a:graphicData uri="http://schemas.openxmlformats.org/drawingml/2006/picture">
                <pic:pic xmlns:pic="http://schemas.openxmlformats.org/drawingml/2006/picture">
                  <pic:nvPicPr>
                    <pic:cNvPr id="8151" name="Picture 8151"/>
                    <pic:cNvPicPr/>
                  </pic:nvPicPr>
                  <pic:blipFill>
                    <a:blip r:embed="rId136"/>
                    <a:stretch>
                      <a:fillRect/>
                    </a:stretch>
                  </pic:blipFill>
                  <pic:spPr>
                    <a:xfrm>
                      <a:off x="0" y="0"/>
                      <a:ext cx="5729859" cy="2135505"/>
                    </a:xfrm>
                    <a:prstGeom prst="rect">
                      <a:avLst/>
                    </a:prstGeom>
                  </pic:spPr>
                </pic:pic>
              </a:graphicData>
            </a:graphic>
          </wp:inline>
        </w:drawing>
      </w:r>
      <w:r>
        <w:t xml:space="preserve"> </w:t>
      </w:r>
    </w:p>
    <w:p w:rsidR="00E8309B" w:rsidRDefault="009D0949">
      <w:pPr>
        <w:spacing w:after="150"/>
        <w:ind w:left="-5" w:right="17"/>
      </w:pPr>
      <w:r>
        <w:t xml:space="preserve">Алтернативни сценарио је креиран на бази идентификованих ендогених и егзогених ризика по остварење пројекције. У њега </w:t>
      </w:r>
      <w:r>
        <w:t>је уграђена потенцијална материјализација ризика који су везани за продужену неизвесност у погледу тока пандемије која би се манифестовала пре свега кроз спорији опоравак спољнотрговинске и инвестиционе активности. Оваква ситуација неминовно би се одразила</w:t>
      </w:r>
      <w:r>
        <w:t xml:space="preserve"> и на домаће тржиште рада а преко њега и на спорији раст личне потрошње од очекиваног нарочито током 2021. године. Оваква кретања имала би за последицу нижу стопу укупног привредног раста у средњорочном сценарију и то 3,2% у 2021. години, односно по 3,0% у</w:t>
      </w:r>
      <w:r>
        <w:t xml:space="preserve"> 2022. и 2023. години. </w:t>
      </w:r>
    </w:p>
    <w:p w:rsidR="00E8309B" w:rsidRDefault="009D0949">
      <w:pPr>
        <w:spacing w:after="6"/>
        <w:ind w:left="-5" w:right="17"/>
      </w:pPr>
      <w:r>
        <w:t xml:space="preserve">Табела 3. Алтернативни макроекономски сценарио </w:t>
      </w:r>
    </w:p>
    <w:tbl>
      <w:tblPr>
        <w:tblStyle w:val="TableGrid"/>
        <w:tblW w:w="9599" w:type="dxa"/>
        <w:tblInd w:w="5" w:type="dxa"/>
        <w:tblCellMar>
          <w:top w:w="10" w:type="dxa"/>
          <w:left w:w="110" w:type="dxa"/>
          <w:bottom w:w="0" w:type="dxa"/>
          <w:right w:w="56" w:type="dxa"/>
        </w:tblCellMar>
        <w:tblLook w:val="04A0" w:firstRow="1" w:lastRow="0" w:firstColumn="1" w:lastColumn="0" w:noHBand="0" w:noVBand="1"/>
      </w:tblPr>
      <w:tblGrid>
        <w:gridCol w:w="4099"/>
        <w:gridCol w:w="1400"/>
        <w:gridCol w:w="1344"/>
        <w:gridCol w:w="1359"/>
        <w:gridCol w:w="1397"/>
      </w:tblGrid>
      <w:tr w:rsidR="00E8309B">
        <w:trPr>
          <w:trHeight w:val="245"/>
        </w:trPr>
        <w:tc>
          <w:tcPr>
            <w:tcW w:w="4100" w:type="dxa"/>
            <w:vMerge w:val="restart"/>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0" w:firstLine="0"/>
              <w:jc w:val="left"/>
            </w:pPr>
            <w:r>
              <w:rPr>
                <w:sz w:val="20"/>
              </w:rPr>
              <w:t xml:space="preserve"> </w:t>
            </w:r>
          </w:p>
          <w:p w:rsidR="00E8309B" w:rsidRDefault="009D0949">
            <w:pPr>
              <w:spacing w:after="0" w:line="259" w:lineRule="auto"/>
              <w:ind w:left="0" w:right="0" w:firstLine="0"/>
              <w:jc w:val="left"/>
            </w:pPr>
            <w:r>
              <w:rPr>
                <w:sz w:val="20"/>
              </w:rPr>
              <w:t xml:space="preserve"> </w:t>
            </w:r>
          </w:p>
        </w:tc>
        <w:tc>
          <w:tcPr>
            <w:tcW w:w="1400"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53" w:firstLine="0"/>
              <w:jc w:val="right"/>
            </w:pPr>
            <w:r>
              <w:rPr>
                <w:sz w:val="20"/>
              </w:rPr>
              <w:t xml:space="preserve">Процена </w:t>
            </w:r>
          </w:p>
        </w:tc>
        <w:tc>
          <w:tcPr>
            <w:tcW w:w="1344" w:type="dxa"/>
            <w:tcBorders>
              <w:top w:val="single" w:sz="4" w:space="0" w:color="000000"/>
              <w:left w:val="single" w:sz="4" w:space="0" w:color="000000"/>
              <w:bottom w:val="single" w:sz="4" w:space="0" w:color="000000"/>
              <w:right w:val="nil"/>
            </w:tcBorders>
          </w:tcPr>
          <w:p w:rsidR="00E8309B" w:rsidRDefault="00E8309B">
            <w:pPr>
              <w:spacing w:after="160" w:line="259" w:lineRule="auto"/>
              <w:ind w:left="0" w:right="0" w:firstLine="0"/>
              <w:jc w:val="left"/>
            </w:pPr>
          </w:p>
        </w:tc>
        <w:tc>
          <w:tcPr>
            <w:tcW w:w="1359" w:type="dxa"/>
            <w:tcBorders>
              <w:top w:val="single" w:sz="4" w:space="0" w:color="000000"/>
              <w:left w:val="nil"/>
              <w:bottom w:val="single" w:sz="4" w:space="0" w:color="000000"/>
              <w:right w:val="nil"/>
            </w:tcBorders>
          </w:tcPr>
          <w:p w:rsidR="00E8309B" w:rsidRDefault="009D0949">
            <w:pPr>
              <w:spacing w:after="0" w:line="259" w:lineRule="auto"/>
              <w:ind w:left="1" w:right="0" w:firstLine="0"/>
              <w:jc w:val="center"/>
            </w:pPr>
            <w:r>
              <w:rPr>
                <w:sz w:val="20"/>
              </w:rPr>
              <w:t xml:space="preserve">Пројекција </w:t>
            </w:r>
          </w:p>
        </w:tc>
        <w:tc>
          <w:tcPr>
            <w:tcW w:w="1397" w:type="dxa"/>
            <w:tcBorders>
              <w:top w:val="single" w:sz="4" w:space="0" w:color="000000"/>
              <w:left w:val="nil"/>
              <w:bottom w:val="single" w:sz="4" w:space="0" w:color="000000"/>
              <w:right w:val="single" w:sz="4" w:space="0" w:color="000000"/>
            </w:tcBorders>
          </w:tcPr>
          <w:p w:rsidR="00E8309B" w:rsidRDefault="00E8309B">
            <w:pPr>
              <w:spacing w:after="160" w:line="259" w:lineRule="auto"/>
              <w:ind w:left="0" w:right="0" w:firstLine="0"/>
              <w:jc w:val="left"/>
            </w:pPr>
          </w:p>
        </w:tc>
      </w:tr>
      <w:tr w:rsidR="00E8309B">
        <w:trPr>
          <w:trHeight w:val="240"/>
        </w:trPr>
        <w:tc>
          <w:tcPr>
            <w:tcW w:w="0" w:type="auto"/>
            <w:vMerge/>
            <w:tcBorders>
              <w:top w:val="nil"/>
              <w:left w:val="single" w:sz="4" w:space="0" w:color="000000"/>
              <w:bottom w:val="single" w:sz="4" w:space="0" w:color="000000"/>
              <w:right w:val="single" w:sz="4" w:space="0" w:color="000000"/>
            </w:tcBorders>
          </w:tcPr>
          <w:p w:rsidR="00E8309B" w:rsidRDefault="00E8309B">
            <w:pPr>
              <w:spacing w:after="160" w:line="259" w:lineRule="auto"/>
              <w:ind w:left="0" w:right="0" w:firstLine="0"/>
              <w:jc w:val="left"/>
            </w:pPr>
          </w:p>
        </w:tc>
        <w:tc>
          <w:tcPr>
            <w:tcW w:w="1400"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49" w:firstLine="0"/>
              <w:jc w:val="right"/>
            </w:pPr>
            <w:r>
              <w:rPr>
                <w:b/>
                <w:sz w:val="20"/>
              </w:rPr>
              <w:t xml:space="preserve">2020 </w:t>
            </w:r>
          </w:p>
        </w:tc>
        <w:tc>
          <w:tcPr>
            <w:tcW w:w="1344"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51" w:firstLine="0"/>
              <w:jc w:val="right"/>
            </w:pPr>
            <w:r>
              <w:rPr>
                <w:b/>
                <w:sz w:val="20"/>
              </w:rPr>
              <w:t xml:space="preserve">2021 </w:t>
            </w:r>
          </w:p>
        </w:tc>
        <w:tc>
          <w:tcPr>
            <w:tcW w:w="1359"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51" w:firstLine="0"/>
              <w:jc w:val="right"/>
            </w:pPr>
            <w:r>
              <w:rPr>
                <w:b/>
                <w:sz w:val="20"/>
              </w:rPr>
              <w:t xml:space="preserve">2022 </w:t>
            </w:r>
          </w:p>
        </w:tc>
        <w:tc>
          <w:tcPr>
            <w:tcW w:w="1397"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51" w:firstLine="0"/>
              <w:jc w:val="right"/>
            </w:pPr>
            <w:r>
              <w:rPr>
                <w:b/>
                <w:sz w:val="20"/>
              </w:rPr>
              <w:t xml:space="preserve">2023 </w:t>
            </w:r>
          </w:p>
        </w:tc>
      </w:tr>
      <w:tr w:rsidR="00E8309B">
        <w:trPr>
          <w:trHeight w:val="247"/>
        </w:trPr>
        <w:tc>
          <w:tcPr>
            <w:tcW w:w="4100"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0" w:firstLine="0"/>
              <w:jc w:val="left"/>
            </w:pPr>
            <w:r>
              <w:rPr>
                <w:b/>
                <w:sz w:val="20"/>
              </w:rPr>
              <w:t xml:space="preserve">БДП, млрд динара (текуће цене) </w:t>
            </w:r>
          </w:p>
        </w:tc>
        <w:tc>
          <w:tcPr>
            <w:tcW w:w="1400"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49" w:firstLine="0"/>
              <w:jc w:val="right"/>
            </w:pPr>
            <w:r>
              <w:rPr>
                <w:b/>
                <w:sz w:val="20"/>
              </w:rPr>
              <w:t xml:space="preserve">5.517 </w:t>
            </w:r>
          </w:p>
        </w:tc>
        <w:tc>
          <w:tcPr>
            <w:tcW w:w="1344"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52" w:firstLine="0"/>
              <w:jc w:val="right"/>
            </w:pPr>
            <w:r>
              <w:rPr>
                <w:b/>
                <w:sz w:val="20"/>
              </w:rPr>
              <w:t xml:space="preserve">5.815 </w:t>
            </w:r>
          </w:p>
        </w:tc>
        <w:tc>
          <w:tcPr>
            <w:tcW w:w="1359"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52" w:firstLine="0"/>
              <w:jc w:val="right"/>
            </w:pPr>
            <w:r>
              <w:rPr>
                <w:b/>
                <w:sz w:val="20"/>
              </w:rPr>
              <w:t xml:space="preserve">6.141 </w:t>
            </w:r>
          </w:p>
        </w:tc>
        <w:tc>
          <w:tcPr>
            <w:tcW w:w="1397"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52" w:firstLine="0"/>
              <w:jc w:val="right"/>
            </w:pPr>
            <w:r>
              <w:rPr>
                <w:b/>
                <w:sz w:val="20"/>
              </w:rPr>
              <w:t xml:space="preserve">6.495 </w:t>
            </w:r>
          </w:p>
        </w:tc>
      </w:tr>
      <w:tr w:rsidR="00E8309B">
        <w:trPr>
          <w:trHeight w:val="240"/>
        </w:trPr>
        <w:tc>
          <w:tcPr>
            <w:tcW w:w="4100"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0" w:firstLine="0"/>
              <w:jc w:val="left"/>
            </w:pPr>
            <w:r>
              <w:rPr>
                <w:sz w:val="20"/>
              </w:rPr>
              <w:t xml:space="preserve">Реални раст БДП, % </w:t>
            </w:r>
          </w:p>
        </w:tc>
        <w:tc>
          <w:tcPr>
            <w:tcW w:w="1400"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51" w:firstLine="0"/>
              <w:jc w:val="right"/>
            </w:pPr>
            <w:r>
              <w:rPr>
                <w:sz w:val="20"/>
              </w:rPr>
              <w:t xml:space="preserve">-1,0 </w:t>
            </w:r>
          </w:p>
        </w:tc>
        <w:tc>
          <w:tcPr>
            <w:tcW w:w="1344"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51" w:firstLine="0"/>
              <w:jc w:val="right"/>
            </w:pPr>
            <w:r>
              <w:rPr>
                <w:sz w:val="20"/>
              </w:rPr>
              <w:t xml:space="preserve">3,2 </w:t>
            </w:r>
          </w:p>
        </w:tc>
        <w:tc>
          <w:tcPr>
            <w:tcW w:w="1359"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51" w:firstLine="0"/>
              <w:jc w:val="right"/>
            </w:pPr>
            <w:r>
              <w:rPr>
                <w:sz w:val="20"/>
              </w:rPr>
              <w:t xml:space="preserve">3,0 </w:t>
            </w:r>
          </w:p>
        </w:tc>
        <w:tc>
          <w:tcPr>
            <w:tcW w:w="1397"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51" w:firstLine="0"/>
              <w:jc w:val="right"/>
            </w:pPr>
            <w:r>
              <w:rPr>
                <w:sz w:val="20"/>
              </w:rPr>
              <w:t xml:space="preserve">3,0 </w:t>
            </w:r>
          </w:p>
        </w:tc>
      </w:tr>
      <w:tr w:rsidR="00E8309B">
        <w:trPr>
          <w:trHeight w:val="241"/>
        </w:trPr>
        <w:tc>
          <w:tcPr>
            <w:tcW w:w="4100"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0" w:firstLine="0"/>
              <w:jc w:val="left"/>
            </w:pPr>
            <w:r>
              <w:rPr>
                <w:sz w:val="20"/>
              </w:rPr>
              <w:lastRenderedPageBreak/>
              <w:t xml:space="preserve">Дефлатор БДП, % </w:t>
            </w:r>
          </w:p>
        </w:tc>
        <w:tc>
          <w:tcPr>
            <w:tcW w:w="1400"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49" w:firstLine="0"/>
              <w:jc w:val="right"/>
            </w:pPr>
            <w:r>
              <w:rPr>
                <w:sz w:val="20"/>
              </w:rPr>
              <w:t xml:space="preserve">2,9 </w:t>
            </w:r>
          </w:p>
        </w:tc>
        <w:tc>
          <w:tcPr>
            <w:tcW w:w="1344"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51" w:firstLine="0"/>
              <w:jc w:val="right"/>
            </w:pPr>
            <w:r>
              <w:rPr>
                <w:sz w:val="20"/>
              </w:rPr>
              <w:t xml:space="preserve">2,1 </w:t>
            </w:r>
          </w:p>
        </w:tc>
        <w:tc>
          <w:tcPr>
            <w:tcW w:w="1359"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51" w:firstLine="0"/>
              <w:jc w:val="right"/>
            </w:pPr>
            <w:r>
              <w:rPr>
                <w:sz w:val="20"/>
              </w:rPr>
              <w:t xml:space="preserve">2,5 </w:t>
            </w:r>
          </w:p>
        </w:tc>
        <w:tc>
          <w:tcPr>
            <w:tcW w:w="1397"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51" w:firstLine="0"/>
              <w:jc w:val="right"/>
            </w:pPr>
            <w:r>
              <w:rPr>
                <w:sz w:val="20"/>
              </w:rPr>
              <w:t xml:space="preserve">2,7 </w:t>
            </w:r>
          </w:p>
        </w:tc>
      </w:tr>
      <w:tr w:rsidR="00E8309B">
        <w:trPr>
          <w:trHeight w:val="240"/>
        </w:trPr>
        <w:tc>
          <w:tcPr>
            <w:tcW w:w="5499" w:type="dxa"/>
            <w:gridSpan w:val="2"/>
            <w:tcBorders>
              <w:top w:val="single" w:sz="4" w:space="0" w:color="000000"/>
              <w:left w:val="single" w:sz="4" w:space="0" w:color="000000"/>
              <w:bottom w:val="single" w:sz="4" w:space="0" w:color="000000"/>
              <w:right w:val="nil"/>
            </w:tcBorders>
          </w:tcPr>
          <w:p w:rsidR="00E8309B" w:rsidRDefault="009D0949">
            <w:pPr>
              <w:spacing w:after="0" w:line="259" w:lineRule="auto"/>
              <w:ind w:left="0" w:right="0" w:firstLine="0"/>
              <w:jc w:val="left"/>
            </w:pPr>
            <w:r>
              <w:rPr>
                <w:i/>
                <w:sz w:val="20"/>
              </w:rPr>
              <w:t xml:space="preserve">Реални раст појединих компоненти БДП, % </w:t>
            </w:r>
          </w:p>
        </w:tc>
        <w:tc>
          <w:tcPr>
            <w:tcW w:w="1344" w:type="dxa"/>
            <w:tcBorders>
              <w:top w:val="single" w:sz="4" w:space="0" w:color="000000"/>
              <w:left w:val="nil"/>
              <w:bottom w:val="single" w:sz="4" w:space="0" w:color="000000"/>
              <w:right w:val="nil"/>
            </w:tcBorders>
          </w:tcPr>
          <w:p w:rsidR="00E8309B" w:rsidRDefault="00E8309B">
            <w:pPr>
              <w:spacing w:after="160" w:line="259" w:lineRule="auto"/>
              <w:ind w:left="0" w:right="0" w:firstLine="0"/>
              <w:jc w:val="left"/>
            </w:pPr>
          </w:p>
        </w:tc>
        <w:tc>
          <w:tcPr>
            <w:tcW w:w="1359" w:type="dxa"/>
            <w:tcBorders>
              <w:top w:val="single" w:sz="4" w:space="0" w:color="000000"/>
              <w:left w:val="nil"/>
              <w:bottom w:val="single" w:sz="4" w:space="0" w:color="000000"/>
              <w:right w:val="nil"/>
            </w:tcBorders>
          </w:tcPr>
          <w:p w:rsidR="00E8309B" w:rsidRDefault="00E8309B">
            <w:pPr>
              <w:spacing w:after="160" w:line="259" w:lineRule="auto"/>
              <w:ind w:left="0" w:right="0" w:firstLine="0"/>
              <w:jc w:val="left"/>
            </w:pPr>
          </w:p>
        </w:tc>
        <w:tc>
          <w:tcPr>
            <w:tcW w:w="1397" w:type="dxa"/>
            <w:tcBorders>
              <w:top w:val="single" w:sz="4" w:space="0" w:color="000000"/>
              <w:left w:val="nil"/>
              <w:bottom w:val="single" w:sz="4" w:space="0" w:color="000000"/>
              <w:right w:val="single" w:sz="4" w:space="0" w:color="000000"/>
            </w:tcBorders>
          </w:tcPr>
          <w:p w:rsidR="00E8309B" w:rsidRDefault="00E8309B">
            <w:pPr>
              <w:spacing w:after="160" w:line="259" w:lineRule="auto"/>
              <w:ind w:left="0" w:right="0" w:firstLine="0"/>
              <w:jc w:val="left"/>
            </w:pPr>
          </w:p>
        </w:tc>
      </w:tr>
      <w:tr w:rsidR="00E8309B">
        <w:trPr>
          <w:trHeight w:val="240"/>
        </w:trPr>
        <w:tc>
          <w:tcPr>
            <w:tcW w:w="4100"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0" w:firstLine="0"/>
              <w:jc w:val="left"/>
            </w:pPr>
            <w:r>
              <w:rPr>
                <w:sz w:val="20"/>
              </w:rPr>
              <w:t xml:space="preserve">   Лична потрошња </w:t>
            </w:r>
          </w:p>
        </w:tc>
        <w:tc>
          <w:tcPr>
            <w:tcW w:w="1400"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51" w:firstLine="0"/>
              <w:jc w:val="right"/>
            </w:pPr>
            <w:r>
              <w:rPr>
                <w:sz w:val="20"/>
              </w:rPr>
              <w:t xml:space="preserve">-1,9 </w:t>
            </w:r>
          </w:p>
        </w:tc>
        <w:tc>
          <w:tcPr>
            <w:tcW w:w="1344"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51" w:firstLine="0"/>
              <w:jc w:val="right"/>
            </w:pPr>
            <w:r>
              <w:rPr>
                <w:sz w:val="20"/>
              </w:rPr>
              <w:t xml:space="preserve">3,9 </w:t>
            </w:r>
          </w:p>
        </w:tc>
        <w:tc>
          <w:tcPr>
            <w:tcW w:w="1359"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51" w:firstLine="0"/>
              <w:jc w:val="right"/>
            </w:pPr>
            <w:r>
              <w:rPr>
                <w:sz w:val="20"/>
              </w:rPr>
              <w:t xml:space="preserve">2,2 </w:t>
            </w:r>
          </w:p>
        </w:tc>
        <w:tc>
          <w:tcPr>
            <w:tcW w:w="1397"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51" w:firstLine="0"/>
              <w:jc w:val="right"/>
            </w:pPr>
            <w:r>
              <w:rPr>
                <w:sz w:val="20"/>
              </w:rPr>
              <w:t xml:space="preserve">2,3 </w:t>
            </w:r>
          </w:p>
        </w:tc>
      </w:tr>
      <w:tr w:rsidR="00E8309B">
        <w:trPr>
          <w:trHeight w:val="240"/>
        </w:trPr>
        <w:tc>
          <w:tcPr>
            <w:tcW w:w="4100"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0" w:firstLine="0"/>
              <w:jc w:val="left"/>
            </w:pPr>
            <w:r>
              <w:rPr>
                <w:sz w:val="20"/>
              </w:rPr>
              <w:t xml:space="preserve">   Државна потрошња </w:t>
            </w:r>
          </w:p>
        </w:tc>
        <w:tc>
          <w:tcPr>
            <w:tcW w:w="1400"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49" w:firstLine="0"/>
              <w:jc w:val="right"/>
            </w:pPr>
            <w:r>
              <w:rPr>
                <w:sz w:val="20"/>
              </w:rPr>
              <w:t xml:space="preserve">5,8 </w:t>
            </w:r>
          </w:p>
        </w:tc>
        <w:tc>
          <w:tcPr>
            <w:tcW w:w="1344"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51" w:firstLine="0"/>
              <w:jc w:val="right"/>
            </w:pPr>
            <w:r>
              <w:rPr>
                <w:sz w:val="20"/>
              </w:rPr>
              <w:t xml:space="preserve">0,8 </w:t>
            </w:r>
          </w:p>
        </w:tc>
        <w:tc>
          <w:tcPr>
            <w:tcW w:w="1359"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51" w:firstLine="0"/>
              <w:jc w:val="right"/>
            </w:pPr>
            <w:r>
              <w:rPr>
                <w:sz w:val="20"/>
              </w:rPr>
              <w:t xml:space="preserve">1,0 </w:t>
            </w:r>
          </w:p>
        </w:tc>
        <w:tc>
          <w:tcPr>
            <w:tcW w:w="1397"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51" w:firstLine="0"/>
              <w:jc w:val="right"/>
            </w:pPr>
            <w:r>
              <w:rPr>
                <w:sz w:val="20"/>
              </w:rPr>
              <w:t xml:space="preserve">1,0 </w:t>
            </w:r>
          </w:p>
        </w:tc>
      </w:tr>
      <w:tr w:rsidR="00E8309B">
        <w:trPr>
          <w:trHeight w:val="247"/>
        </w:trPr>
        <w:tc>
          <w:tcPr>
            <w:tcW w:w="4100"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0" w:firstLine="0"/>
              <w:jc w:val="left"/>
            </w:pPr>
            <w:r>
              <w:rPr>
                <w:sz w:val="20"/>
              </w:rPr>
              <w:t xml:space="preserve">   Бруто инвестиције у основна средства </w:t>
            </w:r>
          </w:p>
        </w:tc>
        <w:tc>
          <w:tcPr>
            <w:tcW w:w="1400"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51" w:firstLine="0"/>
              <w:jc w:val="right"/>
            </w:pPr>
            <w:r>
              <w:rPr>
                <w:sz w:val="20"/>
              </w:rPr>
              <w:t xml:space="preserve">-4,8 </w:t>
            </w:r>
          </w:p>
        </w:tc>
        <w:tc>
          <w:tcPr>
            <w:tcW w:w="1344"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51" w:firstLine="0"/>
              <w:jc w:val="right"/>
            </w:pPr>
            <w:r>
              <w:rPr>
                <w:sz w:val="20"/>
              </w:rPr>
              <w:t xml:space="preserve">6,1 </w:t>
            </w:r>
          </w:p>
        </w:tc>
        <w:tc>
          <w:tcPr>
            <w:tcW w:w="1359"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51" w:firstLine="0"/>
              <w:jc w:val="right"/>
            </w:pPr>
            <w:r>
              <w:rPr>
                <w:sz w:val="20"/>
              </w:rPr>
              <w:t xml:space="preserve">8,1 </w:t>
            </w:r>
          </w:p>
        </w:tc>
        <w:tc>
          <w:tcPr>
            <w:tcW w:w="1397"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51" w:firstLine="0"/>
              <w:jc w:val="right"/>
            </w:pPr>
            <w:r>
              <w:rPr>
                <w:sz w:val="20"/>
              </w:rPr>
              <w:t xml:space="preserve">8,2 </w:t>
            </w:r>
          </w:p>
        </w:tc>
      </w:tr>
      <w:tr w:rsidR="00E8309B">
        <w:trPr>
          <w:trHeight w:val="240"/>
        </w:trPr>
        <w:tc>
          <w:tcPr>
            <w:tcW w:w="4100"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0" w:firstLine="0"/>
              <w:jc w:val="left"/>
            </w:pPr>
            <w:r>
              <w:rPr>
                <w:sz w:val="20"/>
              </w:rPr>
              <w:t xml:space="preserve">   Извоз робе и услуга </w:t>
            </w:r>
          </w:p>
        </w:tc>
        <w:tc>
          <w:tcPr>
            <w:tcW w:w="1400"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51" w:firstLine="0"/>
              <w:jc w:val="right"/>
            </w:pPr>
            <w:r>
              <w:rPr>
                <w:sz w:val="20"/>
              </w:rPr>
              <w:t xml:space="preserve">-6,9 </w:t>
            </w:r>
          </w:p>
        </w:tc>
        <w:tc>
          <w:tcPr>
            <w:tcW w:w="1344"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51" w:firstLine="0"/>
              <w:jc w:val="right"/>
            </w:pPr>
            <w:r>
              <w:rPr>
                <w:sz w:val="20"/>
              </w:rPr>
              <w:t xml:space="preserve">6,4 </w:t>
            </w:r>
          </w:p>
        </w:tc>
        <w:tc>
          <w:tcPr>
            <w:tcW w:w="1359"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51" w:firstLine="0"/>
              <w:jc w:val="right"/>
            </w:pPr>
            <w:r>
              <w:rPr>
                <w:sz w:val="20"/>
              </w:rPr>
              <w:t xml:space="preserve">7,5 </w:t>
            </w:r>
          </w:p>
        </w:tc>
        <w:tc>
          <w:tcPr>
            <w:tcW w:w="1397"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51" w:firstLine="0"/>
              <w:jc w:val="right"/>
            </w:pPr>
            <w:r>
              <w:rPr>
                <w:sz w:val="20"/>
              </w:rPr>
              <w:t xml:space="preserve">8,7 </w:t>
            </w:r>
          </w:p>
        </w:tc>
      </w:tr>
      <w:tr w:rsidR="00E8309B">
        <w:trPr>
          <w:trHeight w:val="240"/>
        </w:trPr>
        <w:tc>
          <w:tcPr>
            <w:tcW w:w="4100"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0" w:firstLine="0"/>
              <w:jc w:val="left"/>
            </w:pPr>
            <w:r>
              <w:rPr>
                <w:sz w:val="20"/>
              </w:rPr>
              <w:t xml:space="preserve">   </w:t>
            </w:r>
            <w:r>
              <w:rPr>
                <w:sz w:val="20"/>
              </w:rPr>
              <w:t xml:space="preserve">Увоз робе и услуга </w:t>
            </w:r>
          </w:p>
        </w:tc>
        <w:tc>
          <w:tcPr>
            <w:tcW w:w="1400"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51" w:firstLine="0"/>
              <w:jc w:val="right"/>
            </w:pPr>
            <w:r>
              <w:rPr>
                <w:sz w:val="20"/>
              </w:rPr>
              <w:t xml:space="preserve">-6,5 </w:t>
            </w:r>
          </w:p>
        </w:tc>
        <w:tc>
          <w:tcPr>
            <w:tcW w:w="1344"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51" w:firstLine="0"/>
              <w:jc w:val="right"/>
            </w:pPr>
            <w:r>
              <w:rPr>
                <w:sz w:val="20"/>
              </w:rPr>
              <w:t xml:space="preserve">6,9 </w:t>
            </w:r>
          </w:p>
        </w:tc>
        <w:tc>
          <w:tcPr>
            <w:tcW w:w="1359"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51" w:firstLine="0"/>
              <w:jc w:val="right"/>
            </w:pPr>
            <w:r>
              <w:rPr>
                <w:sz w:val="20"/>
              </w:rPr>
              <w:t xml:space="preserve">7,0 </w:t>
            </w:r>
          </w:p>
        </w:tc>
        <w:tc>
          <w:tcPr>
            <w:tcW w:w="1397"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51" w:firstLine="0"/>
              <w:jc w:val="right"/>
            </w:pPr>
            <w:r>
              <w:rPr>
                <w:sz w:val="20"/>
              </w:rPr>
              <w:t xml:space="preserve">8,0 </w:t>
            </w:r>
          </w:p>
        </w:tc>
      </w:tr>
    </w:tbl>
    <w:p w:rsidR="00E8309B" w:rsidRDefault="009D0949">
      <w:pPr>
        <w:pStyle w:val="Heading1"/>
        <w:ind w:left="270" w:hanging="285"/>
      </w:pPr>
      <w:r>
        <w:t xml:space="preserve">ФИСКАЛНИ ОКВИР ЗА ПЕРИОД ОД 2021. ДО 2023. ГОДИНЕ </w:t>
      </w:r>
    </w:p>
    <w:p w:rsidR="00E8309B" w:rsidRDefault="009D0949">
      <w:pPr>
        <w:pStyle w:val="Heading2"/>
        <w:ind w:left="405" w:right="9" w:hanging="420"/>
      </w:pPr>
      <w:r>
        <w:t xml:space="preserve">СТРАТЕГИЈА ЈАВНЕ ПОЛИТИКЕ И СРЕДЊОРОЧНИ ЦИЉЕВИ </w:t>
      </w:r>
    </w:p>
    <w:p w:rsidR="00E8309B" w:rsidRDefault="009D0949">
      <w:pPr>
        <w:ind w:left="-5" w:right="17"/>
      </w:pPr>
      <w:r>
        <w:t>Добро стање јавних финансија и релативно повољан ниво дуга омогућили су издашну и правовремену реакцију државе на кризу изазвану пандемијом. Пакет мера у износу од око 12,5% БДП, у комбинацији са монетарним мерама, ублажио је негативне ефекте кризе и стаби</w:t>
      </w:r>
      <w:r>
        <w:t xml:space="preserve">лизовао макроекономска кретања. </w:t>
      </w:r>
    </w:p>
    <w:p w:rsidR="00E8309B" w:rsidRDefault="009D0949">
      <w:pPr>
        <w:ind w:left="-5" w:right="17"/>
      </w:pPr>
      <w:r>
        <w:t>Фискални дефицит се у 2020. години очекује на нивоу од 8,9% БДП, док ће дуг опште државе износити 59% БДП. Једнократно повећање дуга и дефицита је неизбежна последица интервентних мера у циљу неутралисања ефеката кризе. Фис</w:t>
      </w:r>
      <w:r>
        <w:t>кални пакет мера се састојао из три компоненте. Прва компонента је била помоћ привредним субјектима у виду одлагања плаћања пореских обавеза, директне помоћи и омогућавања лакшег приступа кредитима. Други аспект пакета мера био је фискални стимуланс станов</w:t>
      </w:r>
      <w:r>
        <w:t xml:space="preserve">ништву са циљем очувања животног стандарда. Коначно, значајан део средстава уложен је у здравствени систем ради јачања људских ресурса и набавке неопходне медицинске опреме, средстава и лекова. Истовремено, настојало се да се не зауставе развојни програми </w:t>
      </w:r>
      <w:r>
        <w:t xml:space="preserve">и инфраструктурни пројекти финансирани из буџета тако да се очекује да капитални издаци значајно превазиђу план са почетка године. </w:t>
      </w:r>
    </w:p>
    <w:p w:rsidR="00E8309B" w:rsidRDefault="009D0949">
      <w:pPr>
        <w:ind w:left="-5" w:right="17"/>
      </w:pPr>
      <w:r>
        <w:t>Глобална пандемија још није завршена тако да је предстојећи период пун неизвесности. Планирање економске и, посебно, фискалн</w:t>
      </w:r>
      <w:r>
        <w:t>е политике првенствено ће зависити од сузбијања пандемије и њеног окончања. Опште је опредељење да се у периоду након кризе изазване пандемијом омогући постепено уравнотежење и стабилизација јавних финансија, како би се смањило учешће јавног дуга у БДП и с</w:t>
      </w:r>
      <w:r>
        <w:t xml:space="preserve">твориле основе за стабилан привредни раст. До тада, потребно је обезбедити могућност правовремене реакције фискалне политике у случају продубљивања кризе. </w:t>
      </w:r>
    </w:p>
    <w:p w:rsidR="00E8309B" w:rsidRDefault="009D0949">
      <w:pPr>
        <w:ind w:left="-5" w:right="17"/>
      </w:pPr>
      <w:r>
        <w:t>Средњорочни фискални оквир предвиђа умерено напуштање експанзивне фискалне политике. С обзиром на не</w:t>
      </w:r>
      <w:r>
        <w:t>извесну економску ситуацију буџет ће свакако представљати „сигурносну мрежу” у случају ескалације неповољних кретања. Са једне стране обезбедиће се континуитет развојних и социјалних програма, а са друге стране обезбедиће се одрживост јавних финансија и на</w:t>
      </w:r>
      <w:r>
        <w:t xml:space="preserve">ставак смањења нивоа јавног дуга у смислу учешћа у БДП. Имајући у виду очекивана макроекономска кретања, предвиђени годишњи фискални дефицити омогућавају смањење учешћа дуга опште државе БДП у наредном периоду. </w:t>
      </w:r>
    </w:p>
    <w:p w:rsidR="00E8309B" w:rsidRDefault="009D0949">
      <w:pPr>
        <w:spacing w:after="278"/>
        <w:ind w:left="-5" w:right="17"/>
      </w:pPr>
      <w:r>
        <w:t>Фискална политика ће у наредном периоду бити</w:t>
      </w:r>
      <w:r>
        <w:t xml:space="preserve"> фокусирана на наставак смањења укупног пореског оптерећења рада чиме се додатно растерећује привреда, односно повећава конкурентност приватног сектора. На расходној страни, приоритет ће имати инфраструктурни и капитални пројекти, те политика пензија и пла</w:t>
      </w:r>
      <w:r>
        <w:t>та. При томе ће се водити рачуна да се повећањем ове две, највеће, категорије расхода не изађе из планираног одрживог оквира. Додатно, стабилности јавних финансија и одрживом фискалном оквиру допринеће планиране измене Закона о буџетском систему, којима ће</w:t>
      </w:r>
      <w:r>
        <w:t xml:space="preserve">, између осталог, бити редизајниран скуп фискалних правила, општих и посебних, те дефинисане посебне мере и консеквенце у случају њиховог непоштовања. Посебан акценат биће стављен на измену општих правила која се </w:t>
      </w:r>
      <w:r>
        <w:lastRenderedPageBreak/>
        <w:t>односе на јавни дуг и дефицит опште државе,</w:t>
      </w:r>
      <w:r>
        <w:t xml:space="preserve"> те посебних правила везаних за одрживи ниво расхода за плате и пензије. </w:t>
      </w:r>
    </w:p>
    <w:p w:rsidR="00E8309B" w:rsidRDefault="009D0949">
      <w:pPr>
        <w:pStyle w:val="Heading2"/>
        <w:ind w:left="405" w:right="9" w:hanging="420"/>
      </w:pPr>
      <w:r>
        <w:t xml:space="preserve">ИЗВРШЕЊЕ БУЏЕТА У 2020. ГОДИНИ </w:t>
      </w:r>
    </w:p>
    <w:p w:rsidR="00E8309B" w:rsidRDefault="009D0949">
      <w:pPr>
        <w:spacing w:after="103"/>
        <w:ind w:left="-5" w:right="17"/>
      </w:pPr>
      <w:r>
        <w:t>Фискални дефицит опште државе у 2020. години, према најновијим проценама, износиће 8,9% БДП. У односу на резултат предвиђен оригиналним буџетом за 202</w:t>
      </w:r>
      <w:r>
        <w:t>0. годину дефицит је већи за 8,4 п.п. БДП. Овако значајна ревизија фискалног дефицита опште државе резултат је пре свега ефеката пандемије Ковид-19 на глобална и домаћа економска кретања. Тренд пада учешћа јавног дуга у БДП, присутан од 2016. године, привр</w:t>
      </w:r>
      <w:r>
        <w:t xml:space="preserve">емено је прекинут. У наредном периоду се очекује да ће услед стабилизације економских кретања и привредног опоравка, путања јавног дуга поново бити опадајућа. </w:t>
      </w:r>
    </w:p>
    <w:p w:rsidR="00E8309B" w:rsidRDefault="009D0949">
      <w:pPr>
        <w:spacing w:after="96" w:line="259" w:lineRule="auto"/>
        <w:ind w:left="0" w:right="0" w:firstLine="0"/>
        <w:jc w:val="left"/>
      </w:pPr>
      <w:r>
        <w:t xml:space="preserve"> </w:t>
      </w:r>
    </w:p>
    <w:p w:rsidR="00E8309B" w:rsidRDefault="009D0949">
      <w:pPr>
        <w:spacing w:after="96" w:line="259" w:lineRule="auto"/>
        <w:ind w:left="0" w:right="0" w:firstLine="0"/>
        <w:jc w:val="left"/>
      </w:pPr>
      <w:r>
        <w:t xml:space="preserve"> </w:t>
      </w:r>
    </w:p>
    <w:p w:rsidR="00E8309B" w:rsidRDefault="009D0949">
      <w:pPr>
        <w:spacing w:after="96" w:line="259" w:lineRule="auto"/>
        <w:ind w:left="0" w:right="0" w:firstLine="0"/>
        <w:jc w:val="left"/>
      </w:pPr>
      <w:r>
        <w:t xml:space="preserve"> </w:t>
      </w:r>
    </w:p>
    <w:p w:rsidR="00E8309B" w:rsidRDefault="009D0949">
      <w:pPr>
        <w:spacing w:after="0" w:line="259" w:lineRule="auto"/>
        <w:ind w:left="0" w:right="0" w:firstLine="0"/>
        <w:jc w:val="left"/>
      </w:pPr>
      <w:r>
        <w:t xml:space="preserve"> </w:t>
      </w:r>
    </w:p>
    <w:p w:rsidR="00E8309B" w:rsidRDefault="009D0949">
      <w:pPr>
        <w:spacing w:after="6"/>
        <w:ind w:left="-5" w:right="17"/>
      </w:pPr>
      <w:r>
        <w:t xml:space="preserve">Графикон 4. Фискални резултат опште државе у периоду од 2015. до 2020. године, % БДП </w:t>
      </w:r>
    </w:p>
    <w:p w:rsidR="00E8309B" w:rsidRDefault="009D0949">
      <w:pPr>
        <w:spacing w:after="0" w:line="259" w:lineRule="auto"/>
        <w:ind w:left="0" w:right="239" w:firstLine="0"/>
        <w:jc w:val="right"/>
      </w:pPr>
      <w:r>
        <w:rPr>
          <w:noProof/>
        </w:rPr>
        <w:drawing>
          <wp:inline distT="0" distB="0" distL="0" distR="0">
            <wp:extent cx="5946775" cy="2164589"/>
            <wp:effectExtent l="0" t="0" r="0" b="0"/>
            <wp:docPr id="8396" name="Picture 8396"/>
            <wp:cNvGraphicFramePr/>
            <a:graphic xmlns:a="http://schemas.openxmlformats.org/drawingml/2006/main">
              <a:graphicData uri="http://schemas.openxmlformats.org/drawingml/2006/picture">
                <pic:pic xmlns:pic="http://schemas.openxmlformats.org/drawingml/2006/picture">
                  <pic:nvPicPr>
                    <pic:cNvPr id="8396" name="Picture 8396"/>
                    <pic:cNvPicPr/>
                  </pic:nvPicPr>
                  <pic:blipFill>
                    <a:blip r:embed="rId137"/>
                    <a:stretch>
                      <a:fillRect/>
                    </a:stretch>
                  </pic:blipFill>
                  <pic:spPr>
                    <a:xfrm>
                      <a:off x="0" y="0"/>
                      <a:ext cx="5946775" cy="2164589"/>
                    </a:xfrm>
                    <a:prstGeom prst="rect">
                      <a:avLst/>
                    </a:prstGeom>
                  </pic:spPr>
                </pic:pic>
              </a:graphicData>
            </a:graphic>
          </wp:inline>
        </w:drawing>
      </w:r>
      <w:r>
        <w:t xml:space="preserve"> </w:t>
      </w:r>
    </w:p>
    <w:p w:rsidR="00E8309B" w:rsidRDefault="009D0949">
      <w:pPr>
        <w:spacing w:after="170" w:line="269" w:lineRule="auto"/>
        <w:ind w:left="-5" w:right="53"/>
        <w:jc w:val="left"/>
      </w:pPr>
      <w:r>
        <w:rPr>
          <w:sz w:val="16"/>
        </w:rPr>
        <w:t xml:space="preserve">Извор: Министарство финансија </w:t>
      </w:r>
    </w:p>
    <w:p w:rsidR="00E8309B" w:rsidRDefault="009D0949">
      <w:pPr>
        <w:ind w:left="-5" w:right="17"/>
      </w:pPr>
      <w:r>
        <w:t>Пандемија изазвана коронавирусом током читаве 2020. године имала је изразито негативне здравствене, економске и шире друштвене последице, како у читавом свету, тако и у Републици Србији. Од марта, када је регистрован први случај обољевања у Републици Србиј</w:t>
      </w:r>
      <w:r>
        <w:t>и, на снази су епидемиолошке мере различитог интензитета у циљу очувања здравља грађана и умањења притиска на јавно здравство. Пандемија Ковид-19 поставила је пред економску политику земље огромне изазове у циљу очувања економске активности, радних места и</w:t>
      </w:r>
      <w:r>
        <w:t xml:space="preserve"> стандарда становништва. </w:t>
      </w:r>
    </w:p>
    <w:p w:rsidR="00E8309B" w:rsidRDefault="009D0949">
      <w:pPr>
        <w:ind w:left="-5" w:right="17"/>
      </w:pPr>
      <w:r>
        <w:t>Почетком априла 2020. године Влада је усвојила „Програм економских мера за смањивање негативних ефеката проузрокованих пандемијом вируса Ковид-</w:t>
      </w:r>
      <w:r>
        <w:t>19 и подршку привреди Србијеˮ којим је формулисан сет мера помоћи привреди у циљу очувања ликвидности и ублажавање пада запослености, те очувања животног стандарда и ликвидности становништва. Програмом мера представљен је макроекономски оквир којим је кван</w:t>
      </w:r>
      <w:r>
        <w:t xml:space="preserve">тификован негативан ефекат пандемије како на глобална, тако и на економска кретања у нашој земљи. Макроекономске претпоставке са којима се ушло у израду програма подразумевале су ревизију реалног раста БДП за око 6 п.п. (са +4% на -1,8%). </w:t>
      </w:r>
    </w:p>
    <w:p w:rsidR="00E8309B" w:rsidRDefault="009D0949">
      <w:pPr>
        <w:ind w:left="-5" w:right="17"/>
      </w:pPr>
      <w:r>
        <w:t>Укупан обим паке</w:t>
      </w:r>
      <w:r>
        <w:t xml:space="preserve">та мера помоћи привреди и становништву тада је процењен на преко 608 млрд динара (11% БДП), при чему се претпостављало да ће сви привредни субјекти квалификовани за примену одређене мере ту могућност и искористити. Од ефеката усвојених </w:t>
      </w:r>
      <w:r>
        <w:lastRenderedPageBreak/>
        <w:t>мера на директно сма</w:t>
      </w:r>
      <w:r>
        <w:t xml:space="preserve">њење очекиваних прихода опште државе односило се 177 млрд динара (160 млрд динара одлагање и репрограм пореских обавеза по основу пореза на зараде и аконтација пореза на добит). </w:t>
      </w:r>
    </w:p>
    <w:p w:rsidR="00E8309B" w:rsidRDefault="009D0949">
      <w:pPr>
        <w:spacing w:after="91"/>
        <w:ind w:left="-5" w:right="17"/>
      </w:pPr>
      <w:r>
        <w:t>Прва група мера пореске политике односила се на одлагање плаћања пореза и доп</w:t>
      </w:r>
      <w:r>
        <w:t>риноса на зараде и пореза на добит за приватни сектор, најпре у трајању од три месеца, уз каснију отплату настале обавезе у ратама најраније од 2021. године. Додатно, мера одлагања продужена је за још један месец. Право на ову помоћ имају сва предузећа (бе</w:t>
      </w:r>
      <w:r>
        <w:t xml:space="preserve">з обзира на сектор/делатност), под условом да нису смањила број запослених за више од 10%. Ова мера за циљ имала је очување радних места и повећање ликвидности привредних субјеката. </w:t>
      </w:r>
    </w:p>
    <w:p w:rsidR="00E8309B" w:rsidRDefault="009D0949">
      <w:pPr>
        <w:ind w:left="-5" w:right="17"/>
      </w:pPr>
      <w:r>
        <w:t>Други сет мера подразумевао је исплату директне помоћи у висини минималне</w:t>
      </w:r>
      <w:r>
        <w:t xml:space="preserve"> зараде за предузетнике, микро, мала и средња предузећа, односно субвенције 50% минималне зараде великим предузећима, чији запослени су послати на принудни одмор због смањеног обима пословања или потпуне обуставе рада. </w:t>
      </w:r>
    </w:p>
    <w:p w:rsidR="00E8309B" w:rsidRDefault="009D0949">
      <w:pPr>
        <w:ind w:left="-5" w:right="17"/>
      </w:pPr>
      <w:r>
        <w:t xml:space="preserve">Циљ трећег сета мера био је очување </w:t>
      </w:r>
      <w:r>
        <w:t xml:space="preserve">ликвидности привредних субјеката у условима економске кризе очекиване током и по окончању ванредне ситуације проузроковане пандемијом Ковид19 вируса. Програм финансијске подршке односио се на кредите које ће држава дати предузећима директно преко Фонда за </w:t>
      </w:r>
      <w:r>
        <w:t xml:space="preserve">развој Републике Србије, а намењени су предузетницима, микро, малим и средњим предузећима, као и пољопривредним газдинствима. </w:t>
      </w:r>
    </w:p>
    <w:p w:rsidR="00E8309B" w:rsidRDefault="009D0949">
      <w:pPr>
        <w:ind w:left="-5" w:right="17"/>
      </w:pPr>
      <w:r>
        <w:t xml:space="preserve">Други део финансијске подршке привреди односи се на кредитирање преко комерцијалних банака уз гаранцију државе за ове зајмове. </w:t>
      </w:r>
    </w:p>
    <w:p w:rsidR="00E8309B" w:rsidRDefault="009D0949">
      <w:pPr>
        <w:ind w:left="-5" w:right="17"/>
      </w:pPr>
      <w:r>
        <w:t>П</w:t>
      </w:r>
      <w:r>
        <w:t>оред ових мера усмерених ка привреди спроведена је и исплата новчаног износа свим пунолетним грађанима Републике Србије у износу од 100 евра у динарској противвредности прерачунато по званичном средњем курсу НБС, у циљу помоћи становништву, очувања животно</w:t>
      </w:r>
      <w:r>
        <w:t xml:space="preserve">г стандарда и подстицања домаће тражње. У оквиру пакета мера пружена је додатна подршка здравственим радницима повећањем зарада за 10% од априла ове године, као и једнократна помоћ пензионерима у висини од 4.000 динара. </w:t>
      </w:r>
    </w:p>
    <w:p w:rsidR="00E8309B" w:rsidRDefault="009D0949">
      <w:pPr>
        <w:ind w:left="-5" w:right="17"/>
      </w:pPr>
      <w:r>
        <w:t>Сагледавањем економских кретања ток</w:t>
      </w:r>
      <w:r>
        <w:t>ом другог и трећег тромесечја, стања на тржишту рада, ефеката спроведеног сета мера, a у условима пролонгираног трајања сложене епидемиолошке ситуације, Влада је продужила трајање мера подршке привреди. Одлучено је да се за још два месеца (у августу и септ</w:t>
      </w:r>
      <w:r>
        <w:t>ембру) обезбеди директна помоћ привредним субјектима у приватном сектору изузев правних лица која су разврстана као велика правна лица, у износу од 60% директних давања из буџета Републике Србије која су им исплаћена у јулу 2020. године, те продужи одлагањ</w:t>
      </w:r>
      <w:r>
        <w:t>е плаћања пореза и доприноса на зараде за још један месец. Циљ ових мера био је да оснаже привреду у Србији, али и да пруже додатно време предузетницима за прилагођавање постојећим околностима. Такође, додатно је припремљен и усвојен програм помоћи делу пр</w:t>
      </w:r>
      <w:r>
        <w:t xml:space="preserve">ивредних субјеката из области туризма и угоститељства. Укупан обим мера економске помоћи привреди и становништву у 2020. години тиме је достигао 12,5% БПД (око 690 млрд динара), укључујући и гарантне шеме за лакши приступ привреди кредитним средствима. </w:t>
      </w:r>
    </w:p>
    <w:p w:rsidR="00E8309B" w:rsidRDefault="009D0949">
      <w:pPr>
        <w:ind w:left="-5" w:right="17"/>
      </w:pPr>
      <w:r>
        <w:t>До</w:t>
      </w:r>
      <w:r>
        <w:t xml:space="preserve">датни расходи као подршка систему јавног здравства у борби против пандемије коронавируса процењују се на преко 60 млрд динара, односно 1,1% БДП. </w:t>
      </w:r>
    </w:p>
    <w:p w:rsidR="00E8309B" w:rsidRDefault="009D0949">
      <w:pPr>
        <w:spacing w:after="151"/>
        <w:ind w:left="-5" w:right="17"/>
      </w:pPr>
      <w:r>
        <w:t>Пакет економских мера је имао за циљ очување производних капацитета целокупне привреде, одржање животног станд</w:t>
      </w:r>
      <w:r>
        <w:t>арда становништва и обезбеђивање ликвидности свих економских субјеката. На тај начин Влада и НБС су значајно помогли да се ублажи непосредна економска штета од шока изазваног пандемијом, али и да се створе услови за бржи опоравак привреде у наступајућем пе</w:t>
      </w:r>
      <w:r>
        <w:t xml:space="preserve">риоду. Реализација пакета мера подршке привреди, закључно са септембром 2020. године процењује се на око 10% БДП. Додатни пад прихода услед успоравања економске активности износио је 1,7% БДП. Збир ефеката мера и економске активности није у </w:t>
      </w:r>
      <w:r>
        <w:lastRenderedPageBreak/>
        <w:t>потпуности увећ</w:t>
      </w:r>
      <w:r>
        <w:t>ао фискални дефицит с обзиром да су остала фискална кретања (једнократни приходи и расходи, боља наплата одређених пореских категорија и др.) позитивно деловала на резултат у износу од 0,7% БДП. Процењује се да би у случају одсуства мера подршке привреди и</w:t>
      </w:r>
      <w:r>
        <w:t xml:space="preserve"> становништву пад БДП у 2020. години био већи, и износио би око 5%. </w:t>
      </w:r>
    </w:p>
    <w:p w:rsidR="00E8309B" w:rsidRDefault="009D0949">
      <w:pPr>
        <w:spacing w:after="6"/>
        <w:ind w:left="-5" w:right="17"/>
      </w:pPr>
      <w:r>
        <w:t xml:space="preserve">Табела 4. Процењени фискални утицај кризе настале услед пандемије, у % БДП </w:t>
      </w:r>
    </w:p>
    <w:tbl>
      <w:tblPr>
        <w:tblStyle w:val="TableGrid"/>
        <w:tblW w:w="7062" w:type="dxa"/>
        <w:tblInd w:w="5" w:type="dxa"/>
        <w:tblCellMar>
          <w:top w:w="36" w:type="dxa"/>
          <w:left w:w="110" w:type="dxa"/>
          <w:bottom w:w="0" w:type="dxa"/>
          <w:right w:w="56" w:type="dxa"/>
        </w:tblCellMar>
        <w:tblLook w:val="04A0" w:firstRow="1" w:lastRow="0" w:firstColumn="1" w:lastColumn="0" w:noHBand="0" w:noVBand="1"/>
      </w:tblPr>
      <w:tblGrid>
        <w:gridCol w:w="3119"/>
        <w:gridCol w:w="1973"/>
        <w:gridCol w:w="1970"/>
      </w:tblGrid>
      <w:tr w:rsidR="00E8309B">
        <w:trPr>
          <w:trHeight w:val="853"/>
        </w:trPr>
        <w:tc>
          <w:tcPr>
            <w:tcW w:w="3118"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0" w:right="56" w:firstLine="0"/>
              <w:jc w:val="center"/>
            </w:pPr>
            <w:r>
              <w:rPr>
                <w:sz w:val="20"/>
              </w:rPr>
              <w:t xml:space="preserve">Oпис </w:t>
            </w:r>
          </w:p>
        </w:tc>
        <w:tc>
          <w:tcPr>
            <w:tcW w:w="1973"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0" w:right="0" w:firstLine="0"/>
              <w:jc w:val="center"/>
            </w:pPr>
            <w:r>
              <w:rPr>
                <w:sz w:val="20"/>
              </w:rPr>
              <w:t xml:space="preserve">Jеднократне дискреционе мере </w:t>
            </w:r>
          </w:p>
        </w:tc>
        <w:tc>
          <w:tcPr>
            <w:tcW w:w="1970"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0" w:firstLine="0"/>
              <w:jc w:val="center"/>
            </w:pPr>
            <w:r>
              <w:rPr>
                <w:sz w:val="20"/>
              </w:rPr>
              <w:t xml:space="preserve">Успоравање економске активности </w:t>
            </w:r>
          </w:p>
        </w:tc>
      </w:tr>
      <w:tr w:rsidR="00E8309B">
        <w:trPr>
          <w:trHeight w:val="295"/>
        </w:trPr>
        <w:tc>
          <w:tcPr>
            <w:tcW w:w="3118"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0" w:firstLine="0"/>
              <w:jc w:val="left"/>
            </w:pPr>
            <w:r>
              <w:rPr>
                <w:sz w:val="20"/>
              </w:rPr>
              <w:t xml:space="preserve">Приходи </w:t>
            </w:r>
          </w:p>
        </w:tc>
        <w:tc>
          <w:tcPr>
            <w:tcW w:w="1973"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54" w:firstLine="0"/>
              <w:jc w:val="right"/>
            </w:pPr>
            <w:r>
              <w:rPr>
                <w:sz w:val="20"/>
              </w:rPr>
              <w:t xml:space="preserve">-2,0 </w:t>
            </w:r>
          </w:p>
        </w:tc>
        <w:tc>
          <w:tcPr>
            <w:tcW w:w="1970"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51" w:firstLine="0"/>
              <w:jc w:val="right"/>
            </w:pPr>
            <w:r>
              <w:rPr>
                <w:sz w:val="20"/>
              </w:rPr>
              <w:t xml:space="preserve">-1,7 </w:t>
            </w:r>
          </w:p>
        </w:tc>
      </w:tr>
      <w:tr w:rsidR="00E8309B">
        <w:trPr>
          <w:trHeight w:val="293"/>
        </w:trPr>
        <w:tc>
          <w:tcPr>
            <w:tcW w:w="3118"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0" w:firstLine="0"/>
              <w:jc w:val="left"/>
            </w:pPr>
            <w:r>
              <w:rPr>
                <w:sz w:val="20"/>
              </w:rPr>
              <w:t xml:space="preserve">Расходи </w:t>
            </w:r>
          </w:p>
        </w:tc>
        <w:tc>
          <w:tcPr>
            <w:tcW w:w="1973"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52" w:firstLine="0"/>
              <w:jc w:val="right"/>
            </w:pPr>
            <w:r>
              <w:rPr>
                <w:sz w:val="20"/>
              </w:rPr>
              <w:t xml:space="preserve">5,4 </w:t>
            </w:r>
          </w:p>
        </w:tc>
        <w:tc>
          <w:tcPr>
            <w:tcW w:w="1970"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49" w:firstLine="0"/>
              <w:jc w:val="right"/>
            </w:pPr>
            <w:r>
              <w:rPr>
                <w:sz w:val="20"/>
              </w:rPr>
              <w:t xml:space="preserve">0,0 </w:t>
            </w:r>
          </w:p>
        </w:tc>
      </w:tr>
      <w:tr w:rsidR="00E8309B">
        <w:trPr>
          <w:trHeight w:val="295"/>
        </w:trPr>
        <w:tc>
          <w:tcPr>
            <w:tcW w:w="3118"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0" w:firstLine="0"/>
              <w:jc w:val="left"/>
            </w:pPr>
            <w:r>
              <w:rPr>
                <w:sz w:val="20"/>
              </w:rPr>
              <w:t xml:space="preserve">Резултат </w:t>
            </w:r>
          </w:p>
        </w:tc>
        <w:tc>
          <w:tcPr>
            <w:tcW w:w="1973"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54" w:firstLine="0"/>
              <w:jc w:val="right"/>
            </w:pPr>
            <w:r>
              <w:rPr>
                <w:sz w:val="20"/>
              </w:rPr>
              <w:t xml:space="preserve">-7,4 </w:t>
            </w:r>
          </w:p>
        </w:tc>
        <w:tc>
          <w:tcPr>
            <w:tcW w:w="1970"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51" w:firstLine="0"/>
              <w:jc w:val="right"/>
            </w:pPr>
            <w:r>
              <w:rPr>
                <w:sz w:val="20"/>
              </w:rPr>
              <w:t xml:space="preserve">-1,7 </w:t>
            </w:r>
          </w:p>
        </w:tc>
      </w:tr>
      <w:tr w:rsidR="00E8309B">
        <w:trPr>
          <w:trHeight w:val="293"/>
        </w:trPr>
        <w:tc>
          <w:tcPr>
            <w:tcW w:w="3118"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0" w:firstLine="0"/>
              <w:jc w:val="left"/>
            </w:pPr>
            <w:r>
              <w:rPr>
                <w:sz w:val="20"/>
              </w:rPr>
              <w:t xml:space="preserve">Јавни дуг </w:t>
            </w:r>
          </w:p>
        </w:tc>
        <w:tc>
          <w:tcPr>
            <w:tcW w:w="1973"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52" w:firstLine="0"/>
              <w:jc w:val="right"/>
            </w:pPr>
            <w:r>
              <w:rPr>
                <w:sz w:val="20"/>
              </w:rPr>
              <w:t xml:space="preserve">10,0 </w:t>
            </w:r>
          </w:p>
        </w:tc>
        <w:tc>
          <w:tcPr>
            <w:tcW w:w="1970"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49" w:firstLine="0"/>
              <w:jc w:val="right"/>
            </w:pPr>
            <w:r>
              <w:rPr>
                <w:sz w:val="20"/>
              </w:rPr>
              <w:t xml:space="preserve">1,7 </w:t>
            </w:r>
          </w:p>
        </w:tc>
      </w:tr>
      <w:tr w:rsidR="00E8309B">
        <w:trPr>
          <w:trHeight w:val="295"/>
        </w:trPr>
        <w:tc>
          <w:tcPr>
            <w:tcW w:w="3118"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0" w:firstLine="0"/>
              <w:jc w:val="left"/>
            </w:pPr>
            <w:r>
              <w:rPr>
                <w:sz w:val="20"/>
              </w:rPr>
              <w:t xml:space="preserve">Индиректне обавезе </w:t>
            </w:r>
          </w:p>
        </w:tc>
        <w:tc>
          <w:tcPr>
            <w:tcW w:w="1973"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52" w:firstLine="0"/>
              <w:jc w:val="right"/>
            </w:pPr>
            <w:r>
              <w:rPr>
                <w:sz w:val="20"/>
              </w:rPr>
              <w:t xml:space="preserve">2,6 </w:t>
            </w:r>
          </w:p>
        </w:tc>
        <w:tc>
          <w:tcPr>
            <w:tcW w:w="1970"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49" w:firstLine="0"/>
              <w:jc w:val="right"/>
            </w:pPr>
            <w:r>
              <w:rPr>
                <w:sz w:val="20"/>
              </w:rPr>
              <w:t xml:space="preserve">0,0 </w:t>
            </w:r>
          </w:p>
        </w:tc>
      </w:tr>
    </w:tbl>
    <w:p w:rsidR="00E8309B" w:rsidRDefault="009D0949">
      <w:pPr>
        <w:spacing w:after="170" w:line="269" w:lineRule="auto"/>
        <w:ind w:left="-5" w:right="53"/>
        <w:jc w:val="left"/>
      </w:pPr>
      <w:r>
        <w:rPr>
          <w:sz w:val="16"/>
        </w:rPr>
        <w:t xml:space="preserve">Извор: Министарство финансија </w:t>
      </w:r>
    </w:p>
    <w:p w:rsidR="00E8309B" w:rsidRDefault="009D0949">
      <w:pPr>
        <w:spacing w:after="96" w:line="259" w:lineRule="auto"/>
        <w:ind w:left="0" w:right="0" w:firstLine="0"/>
        <w:jc w:val="left"/>
      </w:pPr>
      <w:r>
        <w:rPr>
          <w:b/>
        </w:rPr>
        <w:t xml:space="preserve"> </w:t>
      </w:r>
    </w:p>
    <w:p w:rsidR="00E8309B" w:rsidRDefault="009D0949">
      <w:pPr>
        <w:spacing w:after="0" w:line="259" w:lineRule="auto"/>
        <w:ind w:left="0" w:right="0" w:firstLine="0"/>
        <w:jc w:val="left"/>
      </w:pPr>
      <w:r>
        <w:rPr>
          <w:b/>
        </w:rPr>
        <w:t xml:space="preserve"> </w:t>
      </w:r>
      <w:r>
        <w:rPr>
          <w:b/>
        </w:rPr>
        <w:tab/>
        <w:t xml:space="preserve"> </w:t>
      </w:r>
    </w:p>
    <w:p w:rsidR="00E8309B" w:rsidRDefault="009D0949">
      <w:pPr>
        <w:spacing w:after="0" w:line="259" w:lineRule="auto"/>
        <w:ind w:left="0" w:right="1587" w:firstLine="0"/>
        <w:jc w:val="right"/>
      </w:pPr>
      <w:r>
        <w:rPr>
          <w:b/>
        </w:rPr>
        <w:t xml:space="preserve">Преглед пакета мера за подршку привреди и становништву </w:t>
      </w:r>
    </w:p>
    <w:p w:rsidR="00E8309B" w:rsidRDefault="009D0949">
      <w:pPr>
        <w:spacing w:after="0" w:line="259" w:lineRule="auto"/>
        <w:ind w:left="0" w:right="0" w:firstLine="0"/>
        <w:jc w:val="left"/>
      </w:pPr>
      <w:r>
        <w:rPr>
          <w:sz w:val="18"/>
        </w:rPr>
        <w:t xml:space="preserve"> </w:t>
      </w:r>
    </w:p>
    <w:tbl>
      <w:tblPr>
        <w:tblStyle w:val="TableGrid"/>
        <w:tblW w:w="10680" w:type="dxa"/>
        <w:tblInd w:w="-519" w:type="dxa"/>
        <w:tblCellMar>
          <w:top w:w="0" w:type="dxa"/>
          <w:left w:w="0" w:type="dxa"/>
          <w:bottom w:w="0" w:type="dxa"/>
          <w:right w:w="58" w:type="dxa"/>
        </w:tblCellMar>
        <w:tblLook w:val="04A0" w:firstRow="1" w:lastRow="0" w:firstColumn="1" w:lastColumn="0" w:noHBand="0" w:noVBand="1"/>
      </w:tblPr>
      <w:tblGrid>
        <w:gridCol w:w="7353"/>
        <w:gridCol w:w="980"/>
        <w:gridCol w:w="812"/>
        <w:gridCol w:w="961"/>
        <w:gridCol w:w="574"/>
      </w:tblGrid>
      <w:tr w:rsidR="00E8309B">
        <w:trPr>
          <w:trHeight w:val="409"/>
        </w:trPr>
        <w:tc>
          <w:tcPr>
            <w:tcW w:w="7353" w:type="dxa"/>
            <w:tcBorders>
              <w:top w:val="nil"/>
              <w:left w:val="nil"/>
              <w:bottom w:val="nil"/>
              <w:right w:val="nil"/>
            </w:tcBorders>
          </w:tcPr>
          <w:p w:rsidR="00E8309B" w:rsidRDefault="009D0949">
            <w:pPr>
              <w:spacing w:after="0" w:line="259" w:lineRule="auto"/>
              <w:ind w:left="108" w:right="0" w:firstLine="0"/>
              <w:jc w:val="left"/>
            </w:pPr>
            <w:r>
              <w:rPr>
                <w:b/>
                <w:sz w:val="20"/>
              </w:rPr>
              <w:t xml:space="preserve"> </w:t>
            </w:r>
          </w:p>
        </w:tc>
        <w:tc>
          <w:tcPr>
            <w:tcW w:w="1792" w:type="dxa"/>
            <w:gridSpan w:val="2"/>
            <w:tcBorders>
              <w:top w:val="nil"/>
              <w:left w:val="nil"/>
              <w:bottom w:val="nil"/>
              <w:right w:val="nil"/>
            </w:tcBorders>
            <w:vAlign w:val="center"/>
          </w:tcPr>
          <w:p w:rsidR="00E8309B" w:rsidRDefault="009D0949">
            <w:pPr>
              <w:spacing w:after="0" w:line="259" w:lineRule="auto"/>
              <w:ind w:left="425" w:right="0" w:firstLine="0"/>
              <w:jc w:val="left"/>
            </w:pPr>
            <w:r>
              <w:rPr>
                <w:b/>
                <w:sz w:val="20"/>
              </w:rPr>
              <w:t xml:space="preserve">План </w:t>
            </w:r>
          </w:p>
        </w:tc>
        <w:tc>
          <w:tcPr>
            <w:tcW w:w="1535" w:type="dxa"/>
            <w:gridSpan w:val="2"/>
            <w:tcBorders>
              <w:top w:val="nil"/>
              <w:left w:val="nil"/>
              <w:bottom w:val="nil"/>
              <w:right w:val="nil"/>
            </w:tcBorders>
          </w:tcPr>
          <w:p w:rsidR="00E8309B" w:rsidRDefault="009D0949">
            <w:pPr>
              <w:spacing w:after="0" w:line="259" w:lineRule="auto"/>
              <w:ind w:left="20" w:right="0" w:firstLine="0"/>
              <w:jc w:val="left"/>
            </w:pPr>
            <w:r>
              <w:rPr>
                <w:b/>
                <w:sz w:val="20"/>
              </w:rPr>
              <w:t xml:space="preserve">Остварење до </w:t>
            </w:r>
          </w:p>
          <w:p w:rsidR="00E8309B" w:rsidRDefault="009D0949">
            <w:pPr>
              <w:spacing w:after="0" w:line="259" w:lineRule="auto"/>
              <w:ind w:left="196" w:right="0" w:firstLine="0"/>
              <w:jc w:val="left"/>
            </w:pPr>
            <w:r>
              <w:rPr>
                <w:b/>
                <w:sz w:val="20"/>
              </w:rPr>
              <w:t xml:space="preserve">30.09.2020 </w:t>
            </w:r>
          </w:p>
        </w:tc>
      </w:tr>
      <w:tr w:rsidR="00E8309B">
        <w:trPr>
          <w:trHeight w:val="458"/>
        </w:trPr>
        <w:tc>
          <w:tcPr>
            <w:tcW w:w="7353" w:type="dxa"/>
            <w:tcBorders>
              <w:top w:val="nil"/>
              <w:left w:val="nil"/>
              <w:bottom w:val="nil"/>
              <w:right w:val="nil"/>
            </w:tcBorders>
            <w:shd w:val="clear" w:color="auto" w:fill="F2F2F2"/>
            <w:vAlign w:val="center"/>
          </w:tcPr>
          <w:p w:rsidR="00E8309B" w:rsidRDefault="009D0949">
            <w:pPr>
              <w:spacing w:after="0" w:line="259" w:lineRule="auto"/>
              <w:ind w:left="108" w:right="0" w:firstLine="0"/>
              <w:jc w:val="left"/>
            </w:pPr>
            <w:r>
              <w:rPr>
                <w:b/>
                <w:sz w:val="20"/>
              </w:rPr>
              <w:t xml:space="preserve">  </w:t>
            </w:r>
          </w:p>
        </w:tc>
        <w:tc>
          <w:tcPr>
            <w:tcW w:w="980" w:type="dxa"/>
            <w:tcBorders>
              <w:top w:val="nil"/>
              <w:left w:val="nil"/>
              <w:bottom w:val="nil"/>
              <w:right w:val="nil"/>
            </w:tcBorders>
            <w:shd w:val="clear" w:color="auto" w:fill="F2F2F2"/>
          </w:tcPr>
          <w:p w:rsidR="00E8309B" w:rsidRDefault="009D0949">
            <w:pPr>
              <w:spacing w:after="19" w:line="259" w:lineRule="auto"/>
              <w:ind w:left="0" w:right="0" w:firstLine="0"/>
              <w:jc w:val="left"/>
            </w:pPr>
            <w:r>
              <w:rPr>
                <w:b/>
                <w:sz w:val="20"/>
              </w:rPr>
              <w:t xml:space="preserve">у млрд </w:t>
            </w:r>
          </w:p>
          <w:p w:rsidR="00E8309B" w:rsidRDefault="009D0949">
            <w:pPr>
              <w:spacing w:after="0" w:line="259" w:lineRule="auto"/>
              <w:ind w:left="115" w:right="0" w:firstLine="0"/>
              <w:jc w:val="left"/>
            </w:pPr>
            <w:r>
              <w:rPr>
                <w:b/>
                <w:sz w:val="20"/>
              </w:rPr>
              <w:t xml:space="preserve">дин. </w:t>
            </w:r>
          </w:p>
        </w:tc>
        <w:tc>
          <w:tcPr>
            <w:tcW w:w="812" w:type="dxa"/>
            <w:tcBorders>
              <w:top w:val="nil"/>
              <w:left w:val="nil"/>
              <w:bottom w:val="nil"/>
              <w:right w:val="nil"/>
            </w:tcBorders>
            <w:shd w:val="clear" w:color="auto" w:fill="F2F2F2"/>
          </w:tcPr>
          <w:p w:rsidR="00E8309B" w:rsidRDefault="009D0949">
            <w:pPr>
              <w:spacing w:after="19" w:line="259" w:lineRule="auto"/>
              <w:ind w:left="38" w:right="0" w:firstLine="0"/>
              <w:jc w:val="left"/>
            </w:pPr>
            <w:r>
              <w:rPr>
                <w:b/>
                <w:sz w:val="20"/>
              </w:rPr>
              <w:t xml:space="preserve">у % </w:t>
            </w:r>
          </w:p>
          <w:p w:rsidR="00E8309B" w:rsidRDefault="009D0949">
            <w:pPr>
              <w:spacing w:after="0" w:line="259" w:lineRule="auto"/>
              <w:ind w:left="0" w:right="0" w:firstLine="0"/>
              <w:jc w:val="left"/>
            </w:pPr>
            <w:r>
              <w:rPr>
                <w:b/>
                <w:sz w:val="20"/>
              </w:rPr>
              <w:t xml:space="preserve">БДП </w:t>
            </w:r>
          </w:p>
        </w:tc>
        <w:tc>
          <w:tcPr>
            <w:tcW w:w="961" w:type="dxa"/>
            <w:tcBorders>
              <w:top w:val="nil"/>
              <w:left w:val="nil"/>
              <w:bottom w:val="nil"/>
              <w:right w:val="nil"/>
            </w:tcBorders>
            <w:shd w:val="clear" w:color="auto" w:fill="F2F2F2"/>
          </w:tcPr>
          <w:p w:rsidR="00E8309B" w:rsidRDefault="009D0949">
            <w:pPr>
              <w:spacing w:after="19" w:line="259" w:lineRule="auto"/>
              <w:ind w:left="-20" w:right="0" w:firstLine="0"/>
              <w:jc w:val="left"/>
            </w:pPr>
            <w:r>
              <w:rPr>
                <w:b/>
                <w:sz w:val="20"/>
              </w:rPr>
              <w:t xml:space="preserve">у млрд </w:t>
            </w:r>
          </w:p>
          <w:p w:rsidR="00E8309B" w:rsidRDefault="009D0949">
            <w:pPr>
              <w:spacing w:after="0" w:line="259" w:lineRule="auto"/>
              <w:ind w:left="95" w:right="0" w:firstLine="0"/>
              <w:jc w:val="left"/>
            </w:pPr>
            <w:r>
              <w:rPr>
                <w:b/>
                <w:sz w:val="20"/>
              </w:rPr>
              <w:t xml:space="preserve">дин. </w:t>
            </w:r>
          </w:p>
        </w:tc>
        <w:tc>
          <w:tcPr>
            <w:tcW w:w="574" w:type="dxa"/>
            <w:tcBorders>
              <w:top w:val="nil"/>
              <w:left w:val="nil"/>
              <w:bottom w:val="nil"/>
              <w:right w:val="nil"/>
            </w:tcBorders>
            <w:shd w:val="clear" w:color="auto" w:fill="F2F2F2"/>
          </w:tcPr>
          <w:p w:rsidR="00E8309B" w:rsidRDefault="009D0949">
            <w:pPr>
              <w:spacing w:after="19" w:line="259" w:lineRule="auto"/>
              <w:ind w:left="38" w:right="0" w:firstLine="0"/>
              <w:jc w:val="left"/>
            </w:pPr>
            <w:r>
              <w:rPr>
                <w:b/>
                <w:sz w:val="20"/>
              </w:rPr>
              <w:t xml:space="preserve">у % </w:t>
            </w:r>
          </w:p>
          <w:p w:rsidR="00E8309B" w:rsidRDefault="009D0949">
            <w:pPr>
              <w:spacing w:after="0" w:line="259" w:lineRule="auto"/>
              <w:ind w:left="0" w:right="0" w:firstLine="0"/>
            </w:pPr>
            <w:r>
              <w:rPr>
                <w:b/>
                <w:sz w:val="20"/>
              </w:rPr>
              <w:t xml:space="preserve">БДП </w:t>
            </w:r>
          </w:p>
        </w:tc>
      </w:tr>
      <w:tr w:rsidR="00E8309B">
        <w:trPr>
          <w:trHeight w:val="398"/>
        </w:trPr>
        <w:tc>
          <w:tcPr>
            <w:tcW w:w="7353" w:type="dxa"/>
            <w:tcBorders>
              <w:top w:val="nil"/>
              <w:left w:val="nil"/>
              <w:bottom w:val="nil"/>
              <w:right w:val="nil"/>
            </w:tcBorders>
            <w:vAlign w:val="center"/>
          </w:tcPr>
          <w:p w:rsidR="00E8309B" w:rsidRDefault="009D0949">
            <w:pPr>
              <w:spacing w:after="0" w:line="259" w:lineRule="auto"/>
              <w:ind w:left="108" w:right="0" w:firstLine="0"/>
              <w:jc w:val="left"/>
            </w:pPr>
            <w:r>
              <w:rPr>
                <w:b/>
                <w:sz w:val="20"/>
              </w:rPr>
              <w:t xml:space="preserve">Мере пореске политике </w:t>
            </w:r>
          </w:p>
        </w:tc>
        <w:tc>
          <w:tcPr>
            <w:tcW w:w="980" w:type="dxa"/>
            <w:tcBorders>
              <w:top w:val="nil"/>
              <w:left w:val="nil"/>
              <w:bottom w:val="nil"/>
              <w:right w:val="nil"/>
            </w:tcBorders>
          </w:tcPr>
          <w:p w:rsidR="00E8309B" w:rsidRDefault="009D0949">
            <w:pPr>
              <w:spacing w:after="0" w:line="259" w:lineRule="auto"/>
              <w:ind w:left="307" w:right="0" w:firstLine="0"/>
              <w:jc w:val="left"/>
            </w:pPr>
            <w:r>
              <w:rPr>
                <w:sz w:val="20"/>
              </w:rPr>
              <w:t xml:space="preserve"> </w:t>
            </w:r>
          </w:p>
        </w:tc>
        <w:tc>
          <w:tcPr>
            <w:tcW w:w="812" w:type="dxa"/>
            <w:tcBorders>
              <w:top w:val="nil"/>
              <w:left w:val="nil"/>
              <w:bottom w:val="nil"/>
              <w:right w:val="nil"/>
            </w:tcBorders>
          </w:tcPr>
          <w:p w:rsidR="00E8309B" w:rsidRDefault="009D0949">
            <w:pPr>
              <w:spacing w:after="0" w:line="259" w:lineRule="auto"/>
              <w:ind w:left="214" w:right="0" w:firstLine="0"/>
              <w:jc w:val="left"/>
            </w:pPr>
            <w:r>
              <w:rPr>
                <w:sz w:val="20"/>
              </w:rPr>
              <w:t xml:space="preserve"> </w:t>
            </w:r>
          </w:p>
        </w:tc>
        <w:tc>
          <w:tcPr>
            <w:tcW w:w="961" w:type="dxa"/>
            <w:tcBorders>
              <w:top w:val="nil"/>
              <w:left w:val="nil"/>
              <w:bottom w:val="nil"/>
              <w:right w:val="nil"/>
            </w:tcBorders>
          </w:tcPr>
          <w:p w:rsidR="00E8309B" w:rsidRDefault="009D0949">
            <w:pPr>
              <w:spacing w:after="0" w:line="259" w:lineRule="auto"/>
              <w:ind w:left="287" w:right="0" w:firstLine="0"/>
              <w:jc w:val="left"/>
            </w:pPr>
            <w:r>
              <w:rPr>
                <w:sz w:val="20"/>
              </w:rPr>
              <w:t xml:space="preserve"> </w:t>
            </w:r>
          </w:p>
        </w:tc>
        <w:tc>
          <w:tcPr>
            <w:tcW w:w="574" w:type="dxa"/>
            <w:tcBorders>
              <w:top w:val="nil"/>
              <w:left w:val="nil"/>
              <w:bottom w:val="nil"/>
              <w:right w:val="nil"/>
            </w:tcBorders>
          </w:tcPr>
          <w:p w:rsidR="00E8309B" w:rsidRDefault="009D0949">
            <w:pPr>
              <w:spacing w:after="0" w:line="259" w:lineRule="auto"/>
              <w:ind w:left="214" w:right="0" w:firstLine="0"/>
              <w:jc w:val="left"/>
            </w:pPr>
            <w:r>
              <w:rPr>
                <w:sz w:val="20"/>
              </w:rPr>
              <w:t xml:space="preserve"> </w:t>
            </w:r>
          </w:p>
        </w:tc>
      </w:tr>
      <w:tr w:rsidR="00E8309B">
        <w:trPr>
          <w:trHeight w:val="792"/>
        </w:trPr>
        <w:tc>
          <w:tcPr>
            <w:tcW w:w="7353" w:type="dxa"/>
            <w:tcBorders>
              <w:top w:val="nil"/>
              <w:left w:val="nil"/>
              <w:bottom w:val="nil"/>
              <w:right w:val="nil"/>
            </w:tcBorders>
            <w:shd w:val="clear" w:color="auto" w:fill="F2F2F2"/>
          </w:tcPr>
          <w:p w:rsidR="00E8309B" w:rsidRDefault="009D0949">
            <w:pPr>
              <w:spacing w:after="0" w:line="259" w:lineRule="auto"/>
              <w:ind w:left="108" w:right="115" w:firstLine="0"/>
              <w:jc w:val="left"/>
            </w:pPr>
            <w:r>
              <w:rPr>
                <w:b/>
                <w:sz w:val="20"/>
              </w:rPr>
              <w:t>Одложено плаћање пореза на зараде и доприноса за приватни сектор током ванредног стања и за један додатни месец; приватне компаније ће ове обавезе отплаћивати на рате, али не пре јануара 2021. године</w:t>
            </w:r>
            <w:r>
              <w:rPr>
                <w:sz w:val="20"/>
              </w:rPr>
              <w:t xml:space="preserve"> </w:t>
            </w:r>
          </w:p>
        </w:tc>
        <w:tc>
          <w:tcPr>
            <w:tcW w:w="980" w:type="dxa"/>
            <w:tcBorders>
              <w:top w:val="nil"/>
              <w:left w:val="nil"/>
              <w:bottom w:val="nil"/>
              <w:right w:val="nil"/>
            </w:tcBorders>
            <w:shd w:val="clear" w:color="auto" w:fill="F2F2F2"/>
            <w:vAlign w:val="center"/>
          </w:tcPr>
          <w:p w:rsidR="00E8309B" w:rsidRDefault="009D0949">
            <w:pPr>
              <w:spacing w:after="0" w:line="259" w:lineRule="auto"/>
              <w:ind w:left="77" w:right="0" w:firstLine="0"/>
              <w:jc w:val="center"/>
            </w:pPr>
            <w:r>
              <w:rPr>
                <w:sz w:val="20"/>
              </w:rPr>
              <w:t xml:space="preserve">168,0 </w:t>
            </w:r>
          </w:p>
        </w:tc>
        <w:tc>
          <w:tcPr>
            <w:tcW w:w="812" w:type="dxa"/>
            <w:tcBorders>
              <w:top w:val="nil"/>
              <w:left w:val="nil"/>
              <w:bottom w:val="nil"/>
              <w:right w:val="nil"/>
            </w:tcBorders>
            <w:shd w:val="clear" w:color="auto" w:fill="F2F2F2"/>
            <w:vAlign w:val="center"/>
          </w:tcPr>
          <w:p w:rsidR="00E8309B" w:rsidRDefault="009D0949">
            <w:pPr>
              <w:spacing w:after="0" w:line="259" w:lineRule="auto"/>
              <w:ind w:left="216" w:right="0" w:firstLine="0"/>
              <w:jc w:val="left"/>
            </w:pPr>
            <w:r>
              <w:rPr>
                <w:sz w:val="20"/>
              </w:rPr>
              <w:t xml:space="preserve">3,0 </w:t>
            </w:r>
          </w:p>
        </w:tc>
        <w:tc>
          <w:tcPr>
            <w:tcW w:w="961" w:type="dxa"/>
            <w:tcBorders>
              <w:top w:val="nil"/>
              <w:left w:val="nil"/>
              <w:bottom w:val="nil"/>
              <w:right w:val="nil"/>
            </w:tcBorders>
            <w:shd w:val="clear" w:color="auto" w:fill="F2F2F2"/>
            <w:vAlign w:val="center"/>
          </w:tcPr>
          <w:p w:rsidR="00E8309B" w:rsidRDefault="009D0949">
            <w:pPr>
              <w:spacing w:after="0" w:line="259" w:lineRule="auto"/>
              <w:ind w:left="156" w:right="0" w:firstLine="0"/>
              <w:jc w:val="center"/>
            </w:pPr>
            <w:r>
              <w:rPr>
                <w:sz w:val="20"/>
              </w:rPr>
              <w:t xml:space="preserve">97,3 </w:t>
            </w:r>
          </w:p>
        </w:tc>
        <w:tc>
          <w:tcPr>
            <w:tcW w:w="574" w:type="dxa"/>
            <w:tcBorders>
              <w:top w:val="nil"/>
              <w:left w:val="nil"/>
              <w:bottom w:val="nil"/>
              <w:right w:val="nil"/>
            </w:tcBorders>
            <w:shd w:val="clear" w:color="auto" w:fill="F2F2F2"/>
            <w:vAlign w:val="center"/>
          </w:tcPr>
          <w:p w:rsidR="00E8309B" w:rsidRDefault="009D0949">
            <w:pPr>
              <w:spacing w:after="0" w:line="259" w:lineRule="auto"/>
              <w:ind w:left="0" w:right="49" w:firstLine="0"/>
              <w:jc w:val="right"/>
            </w:pPr>
            <w:r>
              <w:rPr>
                <w:sz w:val="20"/>
              </w:rPr>
              <w:t xml:space="preserve">1,8 </w:t>
            </w:r>
          </w:p>
        </w:tc>
      </w:tr>
      <w:tr w:rsidR="00E8309B">
        <w:trPr>
          <w:trHeight w:val="530"/>
        </w:trPr>
        <w:tc>
          <w:tcPr>
            <w:tcW w:w="7353" w:type="dxa"/>
            <w:tcBorders>
              <w:top w:val="nil"/>
              <w:left w:val="nil"/>
              <w:bottom w:val="nil"/>
              <w:right w:val="nil"/>
            </w:tcBorders>
          </w:tcPr>
          <w:p w:rsidR="00E8309B" w:rsidRDefault="009D0949">
            <w:pPr>
              <w:spacing w:after="0" w:line="259" w:lineRule="auto"/>
              <w:ind w:left="108" w:right="0" w:firstLine="0"/>
              <w:jc w:val="left"/>
            </w:pPr>
            <w:r>
              <w:rPr>
                <w:b/>
                <w:sz w:val="20"/>
              </w:rPr>
              <w:t xml:space="preserve">Одложено плаћање аконтације за други квартал 2020. пореза на добит правних лица </w:t>
            </w:r>
            <w:r>
              <w:rPr>
                <w:sz w:val="20"/>
              </w:rPr>
              <w:t xml:space="preserve"> </w:t>
            </w:r>
          </w:p>
        </w:tc>
        <w:tc>
          <w:tcPr>
            <w:tcW w:w="980" w:type="dxa"/>
            <w:tcBorders>
              <w:top w:val="nil"/>
              <w:left w:val="nil"/>
              <w:bottom w:val="nil"/>
              <w:right w:val="nil"/>
            </w:tcBorders>
            <w:vAlign w:val="center"/>
          </w:tcPr>
          <w:p w:rsidR="00E8309B" w:rsidRDefault="009D0949">
            <w:pPr>
              <w:spacing w:after="0" w:line="259" w:lineRule="auto"/>
              <w:ind w:left="178" w:right="0" w:firstLine="0"/>
              <w:jc w:val="center"/>
            </w:pPr>
            <w:r>
              <w:rPr>
                <w:sz w:val="20"/>
              </w:rPr>
              <w:t xml:space="preserve">21,0 </w:t>
            </w:r>
          </w:p>
        </w:tc>
        <w:tc>
          <w:tcPr>
            <w:tcW w:w="812" w:type="dxa"/>
            <w:tcBorders>
              <w:top w:val="nil"/>
              <w:left w:val="nil"/>
              <w:bottom w:val="nil"/>
              <w:right w:val="nil"/>
            </w:tcBorders>
            <w:vAlign w:val="center"/>
          </w:tcPr>
          <w:p w:rsidR="00E8309B" w:rsidRDefault="009D0949">
            <w:pPr>
              <w:spacing w:after="0" w:line="259" w:lineRule="auto"/>
              <w:ind w:left="216" w:right="0" w:firstLine="0"/>
              <w:jc w:val="left"/>
            </w:pPr>
            <w:r>
              <w:rPr>
                <w:sz w:val="20"/>
              </w:rPr>
              <w:t xml:space="preserve">0,4 </w:t>
            </w:r>
          </w:p>
        </w:tc>
        <w:tc>
          <w:tcPr>
            <w:tcW w:w="961" w:type="dxa"/>
            <w:tcBorders>
              <w:top w:val="nil"/>
              <w:left w:val="nil"/>
              <w:bottom w:val="nil"/>
              <w:right w:val="nil"/>
            </w:tcBorders>
            <w:vAlign w:val="center"/>
          </w:tcPr>
          <w:p w:rsidR="00E8309B" w:rsidRDefault="009D0949">
            <w:pPr>
              <w:spacing w:after="0" w:line="259" w:lineRule="auto"/>
              <w:ind w:left="156" w:right="0" w:firstLine="0"/>
              <w:jc w:val="center"/>
            </w:pPr>
            <w:r>
              <w:rPr>
                <w:sz w:val="20"/>
              </w:rPr>
              <w:t xml:space="preserve">13,5 </w:t>
            </w:r>
          </w:p>
        </w:tc>
        <w:tc>
          <w:tcPr>
            <w:tcW w:w="574" w:type="dxa"/>
            <w:tcBorders>
              <w:top w:val="nil"/>
              <w:left w:val="nil"/>
              <w:bottom w:val="nil"/>
              <w:right w:val="nil"/>
            </w:tcBorders>
            <w:vAlign w:val="center"/>
          </w:tcPr>
          <w:p w:rsidR="00E8309B" w:rsidRDefault="009D0949">
            <w:pPr>
              <w:spacing w:after="0" w:line="259" w:lineRule="auto"/>
              <w:ind w:left="0" w:right="49" w:firstLine="0"/>
              <w:jc w:val="right"/>
            </w:pPr>
            <w:r>
              <w:rPr>
                <w:sz w:val="20"/>
              </w:rPr>
              <w:t xml:space="preserve">0,2 </w:t>
            </w:r>
          </w:p>
        </w:tc>
      </w:tr>
      <w:tr w:rsidR="00E8309B">
        <w:trPr>
          <w:trHeight w:val="396"/>
        </w:trPr>
        <w:tc>
          <w:tcPr>
            <w:tcW w:w="7353" w:type="dxa"/>
            <w:tcBorders>
              <w:top w:val="nil"/>
              <w:left w:val="nil"/>
              <w:bottom w:val="nil"/>
              <w:right w:val="nil"/>
            </w:tcBorders>
            <w:shd w:val="clear" w:color="auto" w:fill="F2F2F2"/>
            <w:vAlign w:val="center"/>
          </w:tcPr>
          <w:p w:rsidR="00E8309B" w:rsidRDefault="009D0949">
            <w:pPr>
              <w:spacing w:after="0" w:line="259" w:lineRule="auto"/>
              <w:ind w:left="108" w:right="0" w:firstLine="0"/>
              <w:jc w:val="left"/>
            </w:pPr>
            <w:r>
              <w:rPr>
                <w:b/>
                <w:sz w:val="20"/>
              </w:rPr>
              <w:t>Ослобађање од плаћања ПДВ за све донаторе</w:t>
            </w:r>
            <w:r>
              <w:rPr>
                <w:sz w:val="20"/>
              </w:rPr>
              <w:t xml:space="preserve"> </w:t>
            </w:r>
          </w:p>
        </w:tc>
        <w:tc>
          <w:tcPr>
            <w:tcW w:w="980" w:type="dxa"/>
            <w:tcBorders>
              <w:top w:val="nil"/>
              <w:left w:val="nil"/>
              <w:bottom w:val="nil"/>
              <w:right w:val="nil"/>
            </w:tcBorders>
            <w:shd w:val="clear" w:color="auto" w:fill="F2F2F2"/>
          </w:tcPr>
          <w:p w:rsidR="00E8309B" w:rsidRDefault="009D0949">
            <w:pPr>
              <w:spacing w:after="0" w:line="259" w:lineRule="auto"/>
              <w:ind w:left="427" w:right="0" w:firstLine="0"/>
              <w:jc w:val="center"/>
            </w:pPr>
            <w:r>
              <w:rPr>
                <w:sz w:val="20"/>
              </w:rPr>
              <w:t xml:space="preserve">– </w:t>
            </w:r>
          </w:p>
        </w:tc>
        <w:tc>
          <w:tcPr>
            <w:tcW w:w="812" w:type="dxa"/>
            <w:tcBorders>
              <w:top w:val="nil"/>
              <w:left w:val="nil"/>
              <w:bottom w:val="nil"/>
              <w:right w:val="nil"/>
            </w:tcBorders>
            <w:shd w:val="clear" w:color="auto" w:fill="F2F2F2"/>
          </w:tcPr>
          <w:p w:rsidR="00E8309B" w:rsidRDefault="009D0949">
            <w:pPr>
              <w:spacing w:after="0" w:line="259" w:lineRule="auto"/>
              <w:ind w:left="75" w:right="0" w:firstLine="0"/>
              <w:jc w:val="center"/>
            </w:pPr>
            <w:r>
              <w:rPr>
                <w:sz w:val="20"/>
              </w:rPr>
              <w:t xml:space="preserve">– </w:t>
            </w:r>
          </w:p>
        </w:tc>
        <w:tc>
          <w:tcPr>
            <w:tcW w:w="961" w:type="dxa"/>
            <w:tcBorders>
              <w:top w:val="nil"/>
              <w:left w:val="nil"/>
              <w:bottom w:val="nil"/>
              <w:right w:val="nil"/>
            </w:tcBorders>
            <w:shd w:val="clear" w:color="auto" w:fill="F2F2F2"/>
          </w:tcPr>
          <w:p w:rsidR="00E8309B" w:rsidRDefault="009D0949">
            <w:pPr>
              <w:spacing w:after="0" w:line="259" w:lineRule="auto"/>
              <w:ind w:left="438" w:right="0" w:firstLine="0"/>
              <w:jc w:val="center"/>
            </w:pPr>
            <w:r>
              <w:rPr>
                <w:sz w:val="20"/>
              </w:rPr>
              <w:t xml:space="preserve">- </w:t>
            </w:r>
          </w:p>
        </w:tc>
        <w:tc>
          <w:tcPr>
            <w:tcW w:w="574" w:type="dxa"/>
            <w:tcBorders>
              <w:top w:val="nil"/>
              <w:left w:val="nil"/>
              <w:bottom w:val="nil"/>
              <w:right w:val="nil"/>
            </w:tcBorders>
            <w:shd w:val="clear" w:color="auto" w:fill="F2F2F2"/>
          </w:tcPr>
          <w:p w:rsidR="00E8309B" w:rsidRDefault="009D0949">
            <w:pPr>
              <w:spacing w:after="0" w:line="259" w:lineRule="auto"/>
              <w:ind w:left="0" w:right="51" w:firstLine="0"/>
              <w:jc w:val="right"/>
            </w:pPr>
            <w:r>
              <w:rPr>
                <w:sz w:val="20"/>
              </w:rPr>
              <w:t xml:space="preserve">- </w:t>
            </w:r>
          </w:p>
        </w:tc>
      </w:tr>
      <w:tr w:rsidR="00E8309B">
        <w:trPr>
          <w:trHeight w:val="399"/>
        </w:trPr>
        <w:tc>
          <w:tcPr>
            <w:tcW w:w="7353" w:type="dxa"/>
            <w:tcBorders>
              <w:top w:val="nil"/>
              <w:left w:val="nil"/>
              <w:bottom w:val="nil"/>
              <w:right w:val="nil"/>
            </w:tcBorders>
            <w:vAlign w:val="center"/>
          </w:tcPr>
          <w:p w:rsidR="00E8309B" w:rsidRDefault="009D0949">
            <w:pPr>
              <w:spacing w:after="0" w:line="259" w:lineRule="auto"/>
              <w:ind w:left="108" w:right="0" w:firstLine="0"/>
              <w:jc w:val="left"/>
            </w:pPr>
            <w:r>
              <w:rPr>
                <w:b/>
                <w:sz w:val="20"/>
              </w:rPr>
              <w:t xml:space="preserve">Укупно </w:t>
            </w:r>
          </w:p>
        </w:tc>
        <w:tc>
          <w:tcPr>
            <w:tcW w:w="980" w:type="dxa"/>
            <w:tcBorders>
              <w:top w:val="nil"/>
              <w:left w:val="nil"/>
              <w:bottom w:val="nil"/>
              <w:right w:val="nil"/>
            </w:tcBorders>
          </w:tcPr>
          <w:p w:rsidR="00E8309B" w:rsidRDefault="009D0949">
            <w:pPr>
              <w:spacing w:after="0" w:line="259" w:lineRule="auto"/>
              <w:ind w:left="77" w:right="0" w:firstLine="0"/>
              <w:jc w:val="center"/>
            </w:pPr>
            <w:r>
              <w:rPr>
                <w:sz w:val="20"/>
              </w:rPr>
              <w:t xml:space="preserve">189,0 </w:t>
            </w:r>
          </w:p>
        </w:tc>
        <w:tc>
          <w:tcPr>
            <w:tcW w:w="812" w:type="dxa"/>
            <w:tcBorders>
              <w:top w:val="nil"/>
              <w:left w:val="nil"/>
              <w:bottom w:val="nil"/>
              <w:right w:val="nil"/>
            </w:tcBorders>
          </w:tcPr>
          <w:p w:rsidR="00E8309B" w:rsidRDefault="009D0949">
            <w:pPr>
              <w:spacing w:after="0" w:line="259" w:lineRule="auto"/>
              <w:ind w:left="216" w:right="0" w:firstLine="0"/>
              <w:jc w:val="left"/>
            </w:pPr>
            <w:r>
              <w:rPr>
                <w:sz w:val="20"/>
              </w:rPr>
              <w:t xml:space="preserve">3,4 </w:t>
            </w:r>
          </w:p>
        </w:tc>
        <w:tc>
          <w:tcPr>
            <w:tcW w:w="961" w:type="dxa"/>
            <w:tcBorders>
              <w:top w:val="nil"/>
              <w:left w:val="nil"/>
              <w:bottom w:val="nil"/>
              <w:right w:val="nil"/>
            </w:tcBorders>
          </w:tcPr>
          <w:p w:rsidR="00E8309B" w:rsidRDefault="009D0949">
            <w:pPr>
              <w:spacing w:after="0" w:line="259" w:lineRule="auto"/>
              <w:ind w:left="55" w:right="0" w:firstLine="0"/>
              <w:jc w:val="center"/>
            </w:pPr>
            <w:r>
              <w:rPr>
                <w:sz w:val="20"/>
              </w:rPr>
              <w:t xml:space="preserve">110,8 </w:t>
            </w:r>
          </w:p>
        </w:tc>
        <w:tc>
          <w:tcPr>
            <w:tcW w:w="574" w:type="dxa"/>
            <w:tcBorders>
              <w:top w:val="nil"/>
              <w:left w:val="nil"/>
              <w:bottom w:val="nil"/>
              <w:right w:val="nil"/>
            </w:tcBorders>
          </w:tcPr>
          <w:p w:rsidR="00E8309B" w:rsidRDefault="009D0949">
            <w:pPr>
              <w:spacing w:after="0" w:line="259" w:lineRule="auto"/>
              <w:ind w:left="0" w:right="49" w:firstLine="0"/>
              <w:jc w:val="right"/>
            </w:pPr>
            <w:r>
              <w:rPr>
                <w:sz w:val="20"/>
              </w:rPr>
              <w:t xml:space="preserve">2,0 </w:t>
            </w:r>
          </w:p>
        </w:tc>
      </w:tr>
      <w:tr w:rsidR="00E8309B">
        <w:trPr>
          <w:trHeight w:val="396"/>
        </w:trPr>
        <w:tc>
          <w:tcPr>
            <w:tcW w:w="7353" w:type="dxa"/>
            <w:tcBorders>
              <w:top w:val="nil"/>
              <w:left w:val="nil"/>
              <w:bottom w:val="nil"/>
              <w:right w:val="nil"/>
            </w:tcBorders>
            <w:shd w:val="clear" w:color="auto" w:fill="F2F2F2"/>
            <w:vAlign w:val="center"/>
          </w:tcPr>
          <w:p w:rsidR="00E8309B" w:rsidRDefault="009D0949">
            <w:pPr>
              <w:spacing w:after="0" w:line="259" w:lineRule="auto"/>
              <w:ind w:left="108" w:right="0" w:firstLine="0"/>
              <w:jc w:val="left"/>
            </w:pPr>
            <w:r>
              <w:rPr>
                <w:b/>
                <w:sz w:val="20"/>
              </w:rPr>
              <w:t xml:space="preserve">Директна подршка приватном сектору </w:t>
            </w:r>
          </w:p>
        </w:tc>
        <w:tc>
          <w:tcPr>
            <w:tcW w:w="980" w:type="dxa"/>
            <w:tcBorders>
              <w:top w:val="nil"/>
              <w:left w:val="nil"/>
              <w:bottom w:val="nil"/>
              <w:right w:val="nil"/>
            </w:tcBorders>
            <w:shd w:val="clear" w:color="auto" w:fill="F2F2F2"/>
          </w:tcPr>
          <w:p w:rsidR="00E8309B" w:rsidRDefault="009D0949">
            <w:pPr>
              <w:spacing w:after="0" w:line="259" w:lineRule="auto"/>
              <w:ind w:left="529" w:right="0" w:firstLine="0"/>
              <w:jc w:val="center"/>
            </w:pPr>
            <w:r>
              <w:rPr>
                <w:sz w:val="20"/>
              </w:rPr>
              <w:t xml:space="preserve">  </w:t>
            </w:r>
          </w:p>
        </w:tc>
        <w:tc>
          <w:tcPr>
            <w:tcW w:w="812" w:type="dxa"/>
            <w:tcBorders>
              <w:top w:val="nil"/>
              <w:left w:val="nil"/>
              <w:bottom w:val="nil"/>
              <w:right w:val="nil"/>
            </w:tcBorders>
            <w:shd w:val="clear" w:color="auto" w:fill="F2F2F2"/>
          </w:tcPr>
          <w:p w:rsidR="00E8309B" w:rsidRDefault="009D0949">
            <w:pPr>
              <w:spacing w:after="0" w:line="259" w:lineRule="auto"/>
              <w:ind w:left="176" w:right="0" w:firstLine="0"/>
              <w:jc w:val="center"/>
            </w:pPr>
            <w:r>
              <w:rPr>
                <w:sz w:val="20"/>
              </w:rPr>
              <w:t xml:space="preserve">  </w:t>
            </w:r>
          </w:p>
        </w:tc>
        <w:tc>
          <w:tcPr>
            <w:tcW w:w="961" w:type="dxa"/>
            <w:tcBorders>
              <w:top w:val="nil"/>
              <w:left w:val="nil"/>
              <w:bottom w:val="nil"/>
              <w:right w:val="nil"/>
            </w:tcBorders>
            <w:shd w:val="clear" w:color="auto" w:fill="F2F2F2"/>
          </w:tcPr>
          <w:p w:rsidR="00E8309B" w:rsidRDefault="009D0949">
            <w:pPr>
              <w:spacing w:after="0" w:line="259" w:lineRule="auto"/>
              <w:ind w:left="505" w:right="0" w:firstLine="0"/>
              <w:jc w:val="center"/>
            </w:pPr>
            <w:r>
              <w:rPr>
                <w:sz w:val="20"/>
              </w:rPr>
              <w:t xml:space="preserve">  </w:t>
            </w:r>
          </w:p>
        </w:tc>
        <w:tc>
          <w:tcPr>
            <w:tcW w:w="574" w:type="dxa"/>
            <w:tcBorders>
              <w:top w:val="nil"/>
              <w:left w:val="nil"/>
              <w:bottom w:val="nil"/>
              <w:right w:val="nil"/>
            </w:tcBorders>
            <w:shd w:val="clear" w:color="auto" w:fill="F2F2F2"/>
          </w:tcPr>
          <w:p w:rsidR="00E8309B" w:rsidRDefault="009D0949">
            <w:pPr>
              <w:spacing w:after="0" w:line="259" w:lineRule="auto"/>
              <w:ind w:left="0" w:right="0" w:firstLine="0"/>
              <w:jc w:val="right"/>
            </w:pPr>
            <w:r>
              <w:rPr>
                <w:sz w:val="20"/>
              </w:rPr>
              <w:t xml:space="preserve">  </w:t>
            </w:r>
          </w:p>
        </w:tc>
      </w:tr>
      <w:tr w:rsidR="00E8309B">
        <w:trPr>
          <w:trHeight w:val="1322"/>
        </w:trPr>
        <w:tc>
          <w:tcPr>
            <w:tcW w:w="7353" w:type="dxa"/>
            <w:tcBorders>
              <w:top w:val="nil"/>
              <w:left w:val="nil"/>
              <w:bottom w:val="nil"/>
              <w:right w:val="nil"/>
            </w:tcBorders>
          </w:tcPr>
          <w:p w:rsidR="00E8309B" w:rsidRDefault="009D0949">
            <w:pPr>
              <w:spacing w:after="0" w:line="259" w:lineRule="auto"/>
              <w:ind w:left="108" w:right="0" w:firstLine="0"/>
              <w:jc w:val="left"/>
            </w:pPr>
            <w:r>
              <w:rPr>
                <w:b/>
                <w:sz w:val="20"/>
              </w:rPr>
              <w:t xml:space="preserve">Директна подршка предузетницима који плаћају паушални порез и предузетницима који плаћају порез на стварне приходе, микро, малим и средњим предузећима у приватном сектору - три месеца исплата нето минималне зараде и још два додатна месеца исплата 60% нето </w:t>
            </w:r>
            <w:r>
              <w:rPr>
                <w:b/>
                <w:sz w:val="20"/>
              </w:rPr>
              <w:t>минималне зараде</w:t>
            </w:r>
            <w:r>
              <w:rPr>
                <w:sz w:val="20"/>
              </w:rPr>
              <w:t xml:space="preserve"> </w:t>
            </w:r>
          </w:p>
        </w:tc>
        <w:tc>
          <w:tcPr>
            <w:tcW w:w="980" w:type="dxa"/>
            <w:tcBorders>
              <w:top w:val="nil"/>
              <w:left w:val="nil"/>
              <w:bottom w:val="nil"/>
              <w:right w:val="nil"/>
            </w:tcBorders>
            <w:vAlign w:val="center"/>
          </w:tcPr>
          <w:p w:rsidR="00E8309B" w:rsidRDefault="009D0949">
            <w:pPr>
              <w:spacing w:after="0" w:line="259" w:lineRule="auto"/>
              <w:ind w:left="77" w:right="0" w:firstLine="0"/>
              <w:jc w:val="center"/>
            </w:pPr>
            <w:r>
              <w:rPr>
                <w:sz w:val="20"/>
              </w:rPr>
              <w:t xml:space="preserve">128,8 </w:t>
            </w:r>
          </w:p>
        </w:tc>
        <w:tc>
          <w:tcPr>
            <w:tcW w:w="812" w:type="dxa"/>
            <w:tcBorders>
              <w:top w:val="nil"/>
              <w:left w:val="nil"/>
              <w:bottom w:val="nil"/>
              <w:right w:val="nil"/>
            </w:tcBorders>
            <w:vAlign w:val="center"/>
          </w:tcPr>
          <w:p w:rsidR="00E8309B" w:rsidRDefault="009D0949">
            <w:pPr>
              <w:spacing w:after="0" w:line="259" w:lineRule="auto"/>
              <w:ind w:left="216" w:right="0" w:firstLine="0"/>
              <w:jc w:val="left"/>
            </w:pPr>
            <w:r>
              <w:rPr>
                <w:sz w:val="20"/>
              </w:rPr>
              <w:t xml:space="preserve">2,3 </w:t>
            </w:r>
          </w:p>
        </w:tc>
        <w:tc>
          <w:tcPr>
            <w:tcW w:w="961" w:type="dxa"/>
            <w:tcBorders>
              <w:top w:val="nil"/>
              <w:left w:val="nil"/>
              <w:bottom w:val="nil"/>
              <w:right w:val="nil"/>
            </w:tcBorders>
            <w:vAlign w:val="center"/>
          </w:tcPr>
          <w:p w:rsidR="00E8309B" w:rsidRDefault="009D0949">
            <w:pPr>
              <w:spacing w:after="0" w:line="259" w:lineRule="auto"/>
              <w:ind w:left="55" w:right="0" w:firstLine="0"/>
              <w:jc w:val="center"/>
            </w:pPr>
            <w:r>
              <w:rPr>
                <w:sz w:val="20"/>
              </w:rPr>
              <w:t xml:space="preserve">130,1 </w:t>
            </w:r>
          </w:p>
        </w:tc>
        <w:tc>
          <w:tcPr>
            <w:tcW w:w="574" w:type="dxa"/>
            <w:tcBorders>
              <w:top w:val="nil"/>
              <w:left w:val="nil"/>
              <w:bottom w:val="nil"/>
              <w:right w:val="nil"/>
            </w:tcBorders>
            <w:vAlign w:val="center"/>
          </w:tcPr>
          <w:p w:rsidR="00E8309B" w:rsidRDefault="009D0949">
            <w:pPr>
              <w:spacing w:after="0" w:line="259" w:lineRule="auto"/>
              <w:ind w:left="0" w:right="49" w:firstLine="0"/>
              <w:jc w:val="right"/>
            </w:pPr>
            <w:r>
              <w:rPr>
                <w:sz w:val="20"/>
              </w:rPr>
              <w:t xml:space="preserve">2,4 </w:t>
            </w:r>
          </w:p>
        </w:tc>
      </w:tr>
      <w:tr w:rsidR="00E8309B">
        <w:trPr>
          <w:trHeight w:val="1058"/>
        </w:trPr>
        <w:tc>
          <w:tcPr>
            <w:tcW w:w="7353" w:type="dxa"/>
            <w:tcBorders>
              <w:top w:val="nil"/>
              <w:left w:val="nil"/>
              <w:bottom w:val="nil"/>
              <w:right w:val="nil"/>
            </w:tcBorders>
            <w:shd w:val="clear" w:color="auto" w:fill="F2F2F2"/>
          </w:tcPr>
          <w:p w:rsidR="00E8309B" w:rsidRDefault="009D0949">
            <w:pPr>
              <w:spacing w:after="0" w:line="259" w:lineRule="auto"/>
              <w:ind w:left="108" w:right="256" w:firstLine="0"/>
              <w:jc w:val="left"/>
            </w:pPr>
            <w:r>
              <w:rPr>
                <w:b/>
                <w:sz w:val="20"/>
              </w:rPr>
              <w:t>Директна подршка великим приватним компанијама - подршка у износу од 50% нето минималне зараде (за време ванредног стања) запосленима који су добили решење о престанку рада (на основу чл. 116 и 117 Закона о раду).</w:t>
            </w:r>
            <w:r>
              <w:rPr>
                <w:sz w:val="20"/>
              </w:rPr>
              <w:t xml:space="preserve"> </w:t>
            </w:r>
          </w:p>
        </w:tc>
        <w:tc>
          <w:tcPr>
            <w:tcW w:w="980" w:type="dxa"/>
            <w:tcBorders>
              <w:top w:val="nil"/>
              <w:left w:val="nil"/>
              <w:bottom w:val="nil"/>
              <w:right w:val="nil"/>
            </w:tcBorders>
            <w:shd w:val="clear" w:color="auto" w:fill="F2F2F2"/>
            <w:vAlign w:val="center"/>
          </w:tcPr>
          <w:p w:rsidR="00E8309B" w:rsidRDefault="009D0949">
            <w:pPr>
              <w:spacing w:after="0" w:line="259" w:lineRule="auto"/>
              <w:ind w:left="280" w:right="0" w:firstLine="0"/>
              <w:jc w:val="center"/>
            </w:pPr>
            <w:r>
              <w:rPr>
                <w:sz w:val="20"/>
              </w:rPr>
              <w:t xml:space="preserve">4,5 </w:t>
            </w:r>
          </w:p>
        </w:tc>
        <w:tc>
          <w:tcPr>
            <w:tcW w:w="812" w:type="dxa"/>
            <w:tcBorders>
              <w:top w:val="nil"/>
              <w:left w:val="nil"/>
              <w:bottom w:val="nil"/>
              <w:right w:val="nil"/>
            </w:tcBorders>
            <w:shd w:val="clear" w:color="auto" w:fill="F2F2F2"/>
            <w:vAlign w:val="center"/>
          </w:tcPr>
          <w:p w:rsidR="00E8309B" w:rsidRDefault="009D0949">
            <w:pPr>
              <w:spacing w:after="0" w:line="259" w:lineRule="auto"/>
              <w:ind w:left="216" w:right="0" w:firstLine="0"/>
              <w:jc w:val="left"/>
            </w:pPr>
            <w:r>
              <w:rPr>
                <w:sz w:val="20"/>
              </w:rPr>
              <w:t xml:space="preserve">0,1 </w:t>
            </w:r>
          </w:p>
        </w:tc>
        <w:tc>
          <w:tcPr>
            <w:tcW w:w="961" w:type="dxa"/>
            <w:tcBorders>
              <w:top w:val="nil"/>
              <w:left w:val="nil"/>
              <w:bottom w:val="nil"/>
              <w:right w:val="nil"/>
            </w:tcBorders>
            <w:shd w:val="clear" w:color="auto" w:fill="F2F2F2"/>
            <w:vAlign w:val="center"/>
          </w:tcPr>
          <w:p w:rsidR="00E8309B" w:rsidRDefault="009D0949">
            <w:pPr>
              <w:spacing w:after="0" w:line="259" w:lineRule="auto"/>
              <w:ind w:left="257" w:right="0" w:firstLine="0"/>
              <w:jc w:val="center"/>
            </w:pPr>
            <w:r>
              <w:rPr>
                <w:sz w:val="20"/>
              </w:rPr>
              <w:t xml:space="preserve">1,6 </w:t>
            </w:r>
          </w:p>
        </w:tc>
        <w:tc>
          <w:tcPr>
            <w:tcW w:w="574" w:type="dxa"/>
            <w:tcBorders>
              <w:top w:val="nil"/>
              <w:left w:val="nil"/>
              <w:bottom w:val="nil"/>
              <w:right w:val="nil"/>
            </w:tcBorders>
            <w:shd w:val="clear" w:color="auto" w:fill="F2F2F2"/>
            <w:vAlign w:val="center"/>
          </w:tcPr>
          <w:p w:rsidR="00E8309B" w:rsidRDefault="009D0949">
            <w:pPr>
              <w:spacing w:after="0" w:line="259" w:lineRule="auto"/>
              <w:ind w:left="0" w:right="49" w:firstLine="0"/>
              <w:jc w:val="right"/>
            </w:pPr>
            <w:r>
              <w:rPr>
                <w:sz w:val="20"/>
              </w:rPr>
              <w:t xml:space="preserve">0,0 </w:t>
            </w:r>
          </w:p>
        </w:tc>
      </w:tr>
      <w:tr w:rsidR="00E8309B">
        <w:trPr>
          <w:trHeight w:val="792"/>
        </w:trPr>
        <w:tc>
          <w:tcPr>
            <w:tcW w:w="7353" w:type="dxa"/>
            <w:tcBorders>
              <w:top w:val="nil"/>
              <w:left w:val="nil"/>
              <w:bottom w:val="nil"/>
              <w:right w:val="nil"/>
            </w:tcBorders>
          </w:tcPr>
          <w:p w:rsidR="00E8309B" w:rsidRDefault="009D0949">
            <w:pPr>
              <w:spacing w:after="0" w:line="259" w:lineRule="auto"/>
              <w:ind w:left="108" w:right="210" w:firstLine="0"/>
              <w:jc w:val="left"/>
            </w:pPr>
            <w:r>
              <w:rPr>
                <w:b/>
                <w:sz w:val="20"/>
              </w:rPr>
              <w:t>Директна подршка хотелијерском сектору - 350 € по кревету, 150 € по соби, у динарској противвредности прерачунато по званичном средњем курсу НБС</w:t>
            </w:r>
            <w:r>
              <w:rPr>
                <w:sz w:val="20"/>
              </w:rPr>
              <w:t xml:space="preserve"> </w:t>
            </w:r>
          </w:p>
        </w:tc>
        <w:tc>
          <w:tcPr>
            <w:tcW w:w="980" w:type="dxa"/>
            <w:tcBorders>
              <w:top w:val="nil"/>
              <w:left w:val="nil"/>
              <w:bottom w:val="nil"/>
              <w:right w:val="nil"/>
            </w:tcBorders>
            <w:vAlign w:val="center"/>
          </w:tcPr>
          <w:p w:rsidR="00E8309B" w:rsidRDefault="009D0949">
            <w:pPr>
              <w:spacing w:after="0" w:line="259" w:lineRule="auto"/>
              <w:ind w:left="280" w:right="0" w:firstLine="0"/>
              <w:jc w:val="center"/>
            </w:pPr>
            <w:r>
              <w:rPr>
                <w:sz w:val="20"/>
              </w:rPr>
              <w:t xml:space="preserve">2,0 </w:t>
            </w:r>
          </w:p>
        </w:tc>
        <w:tc>
          <w:tcPr>
            <w:tcW w:w="812" w:type="dxa"/>
            <w:tcBorders>
              <w:top w:val="nil"/>
              <w:left w:val="nil"/>
              <w:bottom w:val="nil"/>
              <w:right w:val="nil"/>
            </w:tcBorders>
            <w:vAlign w:val="center"/>
          </w:tcPr>
          <w:p w:rsidR="00E8309B" w:rsidRDefault="009D0949">
            <w:pPr>
              <w:spacing w:after="0" w:line="259" w:lineRule="auto"/>
              <w:ind w:left="216" w:right="0" w:firstLine="0"/>
              <w:jc w:val="left"/>
            </w:pPr>
            <w:r>
              <w:rPr>
                <w:sz w:val="20"/>
              </w:rPr>
              <w:t xml:space="preserve">0,0 </w:t>
            </w:r>
          </w:p>
        </w:tc>
        <w:tc>
          <w:tcPr>
            <w:tcW w:w="961" w:type="dxa"/>
            <w:tcBorders>
              <w:top w:val="nil"/>
              <w:left w:val="nil"/>
              <w:bottom w:val="nil"/>
              <w:right w:val="nil"/>
            </w:tcBorders>
            <w:vAlign w:val="center"/>
          </w:tcPr>
          <w:p w:rsidR="00E8309B" w:rsidRDefault="009D0949">
            <w:pPr>
              <w:spacing w:after="0" w:line="259" w:lineRule="auto"/>
              <w:ind w:left="257" w:right="0" w:firstLine="0"/>
              <w:jc w:val="center"/>
            </w:pPr>
            <w:r>
              <w:rPr>
                <w:sz w:val="20"/>
              </w:rPr>
              <w:t xml:space="preserve">1,2 </w:t>
            </w:r>
          </w:p>
        </w:tc>
        <w:tc>
          <w:tcPr>
            <w:tcW w:w="574" w:type="dxa"/>
            <w:tcBorders>
              <w:top w:val="nil"/>
              <w:left w:val="nil"/>
              <w:bottom w:val="nil"/>
              <w:right w:val="nil"/>
            </w:tcBorders>
            <w:vAlign w:val="center"/>
          </w:tcPr>
          <w:p w:rsidR="00E8309B" w:rsidRDefault="009D0949">
            <w:pPr>
              <w:spacing w:after="0" w:line="259" w:lineRule="auto"/>
              <w:ind w:left="0" w:right="49" w:firstLine="0"/>
              <w:jc w:val="right"/>
            </w:pPr>
            <w:r>
              <w:rPr>
                <w:sz w:val="20"/>
              </w:rPr>
              <w:t xml:space="preserve">0,0 </w:t>
            </w:r>
          </w:p>
        </w:tc>
      </w:tr>
      <w:tr w:rsidR="00E8309B">
        <w:trPr>
          <w:trHeight w:val="398"/>
        </w:trPr>
        <w:tc>
          <w:tcPr>
            <w:tcW w:w="7353" w:type="dxa"/>
            <w:tcBorders>
              <w:top w:val="nil"/>
              <w:left w:val="nil"/>
              <w:bottom w:val="nil"/>
              <w:right w:val="nil"/>
            </w:tcBorders>
            <w:shd w:val="clear" w:color="auto" w:fill="F2F2F2"/>
            <w:vAlign w:val="center"/>
          </w:tcPr>
          <w:p w:rsidR="00E8309B" w:rsidRDefault="009D0949">
            <w:pPr>
              <w:spacing w:after="0" w:line="259" w:lineRule="auto"/>
              <w:ind w:left="108" w:right="0" w:firstLine="0"/>
              <w:jc w:val="left"/>
            </w:pPr>
            <w:r>
              <w:rPr>
                <w:b/>
                <w:sz w:val="20"/>
              </w:rPr>
              <w:t xml:space="preserve">Укупно </w:t>
            </w:r>
          </w:p>
        </w:tc>
        <w:tc>
          <w:tcPr>
            <w:tcW w:w="980" w:type="dxa"/>
            <w:tcBorders>
              <w:top w:val="nil"/>
              <w:left w:val="nil"/>
              <w:bottom w:val="nil"/>
              <w:right w:val="nil"/>
            </w:tcBorders>
            <w:shd w:val="clear" w:color="auto" w:fill="F2F2F2"/>
          </w:tcPr>
          <w:p w:rsidR="00E8309B" w:rsidRDefault="009D0949">
            <w:pPr>
              <w:spacing w:after="0" w:line="259" w:lineRule="auto"/>
              <w:ind w:left="77" w:right="0" w:firstLine="0"/>
              <w:jc w:val="center"/>
            </w:pPr>
            <w:r>
              <w:rPr>
                <w:sz w:val="20"/>
              </w:rPr>
              <w:t xml:space="preserve">135,3 </w:t>
            </w:r>
          </w:p>
        </w:tc>
        <w:tc>
          <w:tcPr>
            <w:tcW w:w="812" w:type="dxa"/>
            <w:tcBorders>
              <w:top w:val="nil"/>
              <w:left w:val="nil"/>
              <w:bottom w:val="nil"/>
              <w:right w:val="nil"/>
            </w:tcBorders>
            <w:shd w:val="clear" w:color="auto" w:fill="F2F2F2"/>
          </w:tcPr>
          <w:p w:rsidR="00E8309B" w:rsidRDefault="009D0949">
            <w:pPr>
              <w:spacing w:after="0" w:line="259" w:lineRule="auto"/>
              <w:ind w:left="216" w:right="0" w:firstLine="0"/>
              <w:jc w:val="left"/>
            </w:pPr>
            <w:r>
              <w:rPr>
                <w:sz w:val="20"/>
              </w:rPr>
              <w:t xml:space="preserve">2,4 </w:t>
            </w:r>
          </w:p>
        </w:tc>
        <w:tc>
          <w:tcPr>
            <w:tcW w:w="961" w:type="dxa"/>
            <w:tcBorders>
              <w:top w:val="nil"/>
              <w:left w:val="nil"/>
              <w:bottom w:val="nil"/>
              <w:right w:val="nil"/>
            </w:tcBorders>
            <w:shd w:val="clear" w:color="auto" w:fill="F2F2F2"/>
          </w:tcPr>
          <w:p w:rsidR="00E8309B" w:rsidRDefault="009D0949">
            <w:pPr>
              <w:spacing w:after="0" w:line="259" w:lineRule="auto"/>
              <w:ind w:left="55" w:right="0" w:firstLine="0"/>
              <w:jc w:val="center"/>
            </w:pPr>
            <w:r>
              <w:rPr>
                <w:sz w:val="20"/>
              </w:rPr>
              <w:t xml:space="preserve">132,9 </w:t>
            </w:r>
          </w:p>
        </w:tc>
        <w:tc>
          <w:tcPr>
            <w:tcW w:w="574" w:type="dxa"/>
            <w:tcBorders>
              <w:top w:val="nil"/>
              <w:left w:val="nil"/>
              <w:bottom w:val="nil"/>
              <w:right w:val="nil"/>
            </w:tcBorders>
            <w:shd w:val="clear" w:color="auto" w:fill="F2F2F2"/>
          </w:tcPr>
          <w:p w:rsidR="00E8309B" w:rsidRDefault="009D0949">
            <w:pPr>
              <w:spacing w:after="0" w:line="259" w:lineRule="auto"/>
              <w:ind w:left="0" w:right="49" w:firstLine="0"/>
              <w:jc w:val="right"/>
            </w:pPr>
            <w:r>
              <w:rPr>
                <w:sz w:val="20"/>
              </w:rPr>
              <w:t xml:space="preserve">2,4 </w:t>
            </w:r>
          </w:p>
        </w:tc>
      </w:tr>
      <w:tr w:rsidR="00E8309B">
        <w:trPr>
          <w:trHeight w:val="396"/>
        </w:trPr>
        <w:tc>
          <w:tcPr>
            <w:tcW w:w="7353" w:type="dxa"/>
            <w:tcBorders>
              <w:top w:val="nil"/>
              <w:left w:val="nil"/>
              <w:bottom w:val="nil"/>
              <w:right w:val="nil"/>
            </w:tcBorders>
            <w:vAlign w:val="center"/>
          </w:tcPr>
          <w:p w:rsidR="00E8309B" w:rsidRDefault="009D0949">
            <w:pPr>
              <w:spacing w:after="0" w:line="259" w:lineRule="auto"/>
              <w:ind w:left="108" w:right="0" w:firstLine="0"/>
              <w:jc w:val="left"/>
            </w:pPr>
            <w:r>
              <w:rPr>
                <w:b/>
                <w:sz w:val="20"/>
              </w:rPr>
              <w:t xml:space="preserve">Мере за очување ликвидности приватног сектора </w:t>
            </w:r>
          </w:p>
        </w:tc>
        <w:tc>
          <w:tcPr>
            <w:tcW w:w="980" w:type="dxa"/>
            <w:tcBorders>
              <w:top w:val="nil"/>
              <w:left w:val="nil"/>
              <w:bottom w:val="nil"/>
              <w:right w:val="nil"/>
            </w:tcBorders>
          </w:tcPr>
          <w:p w:rsidR="00E8309B" w:rsidRDefault="009D0949">
            <w:pPr>
              <w:spacing w:after="0" w:line="259" w:lineRule="auto"/>
              <w:ind w:left="529" w:right="0" w:firstLine="0"/>
              <w:jc w:val="center"/>
            </w:pPr>
            <w:r>
              <w:rPr>
                <w:sz w:val="20"/>
              </w:rPr>
              <w:t xml:space="preserve">  </w:t>
            </w:r>
          </w:p>
        </w:tc>
        <w:tc>
          <w:tcPr>
            <w:tcW w:w="812" w:type="dxa"/>
            <w:tcBorders>
              <w:top w:val="nil"/>
              <w:left w:val="nil"/>
              <w:bottom w:val="nil"/>
              <w:right w:val="nil"/>
            </w:tcBorders>
          </w:tcPr>
          <w:p w:rsidR="00E8309B" w:rsidRDefault="009D0949">
            <w:pPr>
              <w:spacing w:after="0" w:line="259" w:lineRule="auto"/>
              <w:ind w:left="176" w:right="0" w:firstLine="0"/>
              <w:jc w:val="center"/>
            </w:pPr>
            <w:r>
              <w:rPr>
                <w:sz w:val="20"/>
              </w:rPr>
              <w:t xml:space="preserve">  </w:t>
            </w:r>
          </w:p>
        </w:tc>
        <w:tc>
          <w:tcPr>
            <w:tcW w:w="961" w:type="dxa"/>
            <w:tcBorders>
              <w:top w:val="nil"/>
              <w:left w:val="nil"/>
              <w:bottom w:val="nil"/>
              <w:right w:val="nil"/>
            </w:tcBorders>
          </w:tcPr>
          <w:p w:rsidR="00E8309B" w:rsidRDefault="009D0949">
            <w:pPr>
              <w:spacing w:after="0" w:line="259" w:lineRule="auto"/>
              <w:ind w:left="505" w:right="0" w:firstLine="0"/>
              <w:jc w:val="center"/>
            </w:pPr>
            <w:r>
              <w:rPr>
                <w:sz w:val="20"/>
              </w:rPr>
              <w:t xml:space="preserve">  </w:t>
            </w:r>
          </w:p>
        </w:tc>
        <w:tc>
          <w:tcPr>
            <w:tcW w:w="574" w:type="dxa"/>
            <w:tcBorders>
              <w:top w:val="nil"/>
              <w:left w:val="nil"/>
              <w:bottom w:val="nil"/>
              <w:right w:val="nil"/>
            </w:tcBorders>
          </w:tcPr>
          <w:p w:rsidR="00E8309B" w:rsidRDefault="009D0949">
            <w:pPr>
              <w:spacing w:after="0" w:line="259" w:lineRule="auto"/>
              <w:ind w:left="0" w:right="0" w:firstLine="0"/>
              <w:jc w:val="right"/>
            </w:pPr>
            <w:r>
              <w:rPr>
                <w:sz w:val="20"/>
              </w:rPr>
              <w:t xml:space="preserve">  </w:t>
            </w:r>
          </w:p>
        </w:tc>
      </w:tr>
      <w:tr w:rsidR="00E8309B">
        <w:trPr>
          <w:trHeight w:val="530"/>
        </w:trPr>
        <w:tc>
          <w:tcPr>
            <w:tcW w:w="7353" w:type="dxa"/>
            <w:tcBorders>
              <w:top w:val="nil"/>
              <w:left w:val="nil"/>
              <w:bottom w:val="nil"/>
              <w:right w:val="nil"/>
            </w:tcBorders>
            <w:shd w:val="clear" w:color="auto" w:fill="F2F2F2"/>
          </w:tcPr>
          <w:p w:rsidR="00E8309B" w:rsidRDefault="009D0949">
            <w:pPr>
              <w:spacing w:after="0" w:line="259" w:lineRule="auto"/>
              <w:ind w:left="108" w:right="172" w:firstLine="0"/>
              <w:jc w:val="left"/>
            </w:pPr>
            <w:r>
              <w:rPr>
                <w:b/>
                <w:sz w:val="20"/>
              </w:rPr>
              <w:t>Програм финансијске подршке током кризе Ковид -19 преко Фонда за развој Републике Србије</w:t>
            </w:r>
            <w:r>
              <w:rPr>
                <w:sz w:val="20"/>
              </w:rPr>
              <w:t xml:space="preserve"> </w:t>
            </w:r>
          </w:p>
        </w:tc>
        <w:tc>
          <w:tcPr>
            <w:tcW w:w="980" w:type="dxa"/>
            <w:tcBorders>
              <w:top w:val="nil"/>
              <w:left w:val="nil"/>
              <w:bottom w:val="nil"/>
              <w:right w:val="nil"/>
            </w:tcBorders>
            <w:shd w:val="clear" w:color="auto" w:fill="F2F2F2"/>
            <w:vAlign w:val="center"/>
          </w:tcPr>
          <w:p w:rsidR="00E8309B" w:rsidRDefault="009D0949">
            <w:pPr>
              <w:spacing w:after="0" w:line="259" w:lineRule="auto"/>
              <w:ind w:left="178" w:right="0" w:firstLine="0"/>
              <w:jc w:val="center"/>
            </w:pPr>
            <w:r>
              <w:rPr>
                <w:sz w:val="20"/>
              </w:rPr>
              <w:t xml:space="preserve">24,0 </w:t>
            </w:r>
          </w:p>
        </w:tc>
        <w:tc>
          <w:tcPr>
            <w:tcW w:w="812" w:type="dxa"/>
            <w:tcBorders>
              <w:top w:val="nil"/>
              <w:left w:val="nil"/>
              <w:bottom w:val="nil"/>
              <w:right w:val="nil"/>
            </w:tcBorders>
            <w:shd w:val="clear" w:color="auto" w:fill="F2F2F2"/>
            <w:vAlign w:val="center"/>
          </w:tcPr>
          <w:p w:rsidR="00E8309B" w:rsidRDefault="009D0949">
            <w:pPr>
              <w:spacing w:after="0" w:line="259" w:lineRule="auto"/>
              <w:ind w:left="216" w:right="0" w:firstLine="0"/>
              <w:jc w:val="left"/>
            </w:pPr>
            <w:r>
              <w:rPr>
                <w:sz w:val="20"/>
              </w:rPr>
              <w:t xml:space="preserve">0,4 </w:t>
            </w:r>
          </w:p>
        </w:tc>
        <w:tc>
          <w:tcPr>
            <w:tcW w:w="961" w:type="dxa"/>
            <w:tcBorders>
              <w:top w:val="nil"/>
              <w:left w:val="nil"/>
              <w:bottom w:val="nil"/>
              <w:right w:val="nil"/>
            </w:tcBorders>
            <w:shd w:val="clear" w:color="auto" w:fill="F2F2F2"/>
            <w:vAlign w:val="center"/>
          </w:tcPr>
          <w:p w:rsidR="00E8309B" w:rsidRDefault="009D0949">
            <w:pPr>
              <w:spacing w:after="0" w:line="259" w:lineRule="auto"/>
              <w:ind w:left="156" w:right="0" w:firstLine="0"/>
              <w:jc w:val="center"/>
            </w:pPr>
            <w:r>
              <w:rPr>
                <w:sz w:val="20"/>
              </w:rPr>
              <w:t xml:space="preserve">14,6 </w:t>
            </w:r>
          </w:p>
        </w:tc>
        <w:tc>
          <w:tcPr>
            <w:tcW w:w="574" w:type="dxa"/>
            <w:tcBorders>
              <w:top w:val="nil"/>
              <w:left w:val="nil"/>
              <w:bottom w:val="nil"/>
              <w:right w:val="nil"/>
            </w:tcBorders>
            <w:shd w:val="clear" w:color="auto" w:fill="F2F2F2"/>
            <w:vAlign w:val="center"/>
          </w:tcPr>
          <w:p w:rsidR="00E8309B" w:rsidRDefault="009D0949">
            <w:pPr>
              <w:spacing w:after="0" w:line="259" w:lineRule="auto"/>
              <w:ind w:left="0" w:right="49" w:firstLine="0"/>
              <w:jc w:val="right"/>
            </w:pPr>
            <w:r>
              <w:rPr>
                <w:sz w:val="20"/>
              </w:rPr>
              <w:t xml:space="preserve">0,3 </w:t>
            </w:r>
          </w:p>
        </w:tc>
      </w:tr>
      <w:tr w:rsidR="00E8309B">
        <w:trPr>
          <w:trHeight w:val="396"/>
        </w:trPr>
        <w:tc>
          <w:tcPr>
            <w:tcW w:w="7353" w:type="dxa"/>
            <w:tcBorders>
              <w:top w:val="nil"/>
              <w:left w:val="nil"/>
              <w:bottom w:val="nil"/>
              <w:right w:val="nil"/>
            </w:tcBorders>
            <w:vAlign w:val="center"/>
          </w:tcPr>
          <w:p w:rsidR="00E8309B" w:rsidRDefault="009D0949">
            <w:pPr>
              <w:spacing w:after="0" w:line="259" w:lineRule="auto"/>
              <w:ind w:left="108" w:right="0" w:firstLine="0"/>
              <w:jc w:val="left"/>
            </w:pPr>
            <w:r>
              <w:rPr>
                <w:b/>
                <w:sz w:val="20"/>
              </w:rPr>
              <w:lastRenderedPageBreak/>
              <w:t>Гарантне шеме за подршку економији током кризе Ковид -19</w:t>
            </w:r>
            <w:r>
              <w:rPr>
                <w:sz w:val="20"/>
              </w:rPr>
              <w:t xml:space="preserve"> </w:t>
            </w:r>
          </w:p>
        </w:tc>
        <w:tc>
          <w:tcPr>
            <w:tcW w:w="980" w:type="dxa"/>
            <w:tcBorders>
              <w:top w:val="nil"/>
              <w:left w:val="nil"/>
              <w:bottom w:val="nil"/>
              <w:right w:val="nil"/>
            </w:tcBorders>
          </w:tcPr>
          <w:p w:rsidR="00E8309B" w:rsidRDefault="009D0949">
            <w:pPr>
              <w:spacing w:after="0" w:line="259" w:lineRule="auto"/>
              <w:ind w:left="77" w:right="0" w:firstLine="0"/>
              <w:jc w:val="center"/>
            </w:pPr>
            <w:r>
              <w:rPr>
                <w:sz w:val="20"/>
              </w:rPr>
              <w:t xml:space="preserve">240,0 </w:t>
            </w:r>
          </w:p>
        </w:tc>
        <w:tc>
          <w:tcPr>
            <w:tcW w:w="812" w:type="dxa"/>
            <w:tcBorders>
              <w:top w:val="nil"/>
              <w:left w:val="nil"/>
              <w:bottom w:val="nil"/>
              <w:right w:val="nil"/>
            </w:tcBorders>
          </w:tcPr>
          <w:p w:rsidR="00E8309B" w:rsidRDefault="009D0949">
            <w:pPr>
              <w:spacing w:after="0" w:line="259" w:lineRule="auto"/>
              <w:ind w:left="216" w:right="0" w:firstLine="0"/>
              <w:jc w:val="left"/>
            </w:pPr>
            <w:r>
              <w:rPr>
                <w:sz w:val="20"/>
              </w:rPr>
              <w:t xml:space="preserve">4,4 </w:t>
            </w:r>
          </w:p>
        </w:tc>
        <w:tc>
          <w:tcPr>
            <w:tcW w:w="961" w:type="dxa"/>
            <w:tcBorders>
              <w:top w:val="nil"/>
              <w:left w:val="nil"/>
              <w:bottom w:val="nil"/>
              <w:right w:val="nil"/>
            </w:tcBorders>
          </w:tcPr>
          <w:p w:rsidR="00E8309B" w:rsidRDefault="009D0949">
            <w:pPr>
              <w:spacing w:after="0" w:line="259" w:lineRule="auto"/>
              <w:ind w:left="55" w:right="0" w:firstLine="0"/>
              <w:jc w:val="center"/>
            </w:pPr>
            <w:r>
              <w:rPr>
                <w:sz w:val="20"/>
              </w:rPr>
              <w:t xml:space="preserve">145,1 </w:t>
            </w:r>
          </w:p>
        </w:tc>
        <w:tc>
          <w:tcPr>
            <w:tcW w:w="574" w:type="dxa"/>
            <w:tcBorders>
              <w:top w:val="nil"/>
              <w:left w:val="nil"/>
              <w:bottom w:val="nil"/>
              <w:right w:val="nil"/>
            </w:tcBorders>
          </w:tcPr>
          <w:p w:rsidR="00E8309B" w:rsidRDefault="009D0949">
            <w:pPr>
              <w:spacing w:after="0" w:line="259" w:lineRule="auto"/>
              <w:ind w:left="0" w:right="49" w:firstLine="0"/>
              <w:jc w:val="right"/>
            </w:pPr>
            <w:r>
              <w:rPr>
                <w:sz w:val="20"/>
              </w:rPr>
              <w:t xml:space="preserve">2,6 </w:t>
            </w:r>
          </w:p>
        </w:tc>
      </w:tr>
      <w:tr w:rsidR="00E8309B">
        <w:trPr>
          <w:trHeight w:val="396"/>
        </w:trPr>
        <w:tc>
          <w:tcPr>
            <w:tcW w:w="7353" w:type="dxa"/>
            <w:tcBorders>
              <w:top w:val="nil"/>
              <w:left w:val="nil"/>
              <w:bottom w:val="nil"/>
              <w:right w:val="nil"/>
            </w:tcBorders>
            <w:shd w:val="clear" w:color="auto" w:fill="F2F2F2"/>
          </w:tcPr>
          <w:p w:rsidR="00E8309B" w:rsidRDefault="009D0949">
            <w:pPr>
              <w:spacing w:after="0" w:line="259" w:lineRule="auto"/>
              <w:ind w:left="108" w:right="0" w:firstLine="0"/>
              <w:jc w:val="left"/>
            </w:pPr>
            <w:r>
              <w:rPr>
                <w:b/>
                <w:sz w:val="20"/>
              </w:rPr>
              <w:t xml:space="preserve">Укупно </w:t>
            </w:r>
          </w:p>
        </w:tc>
        <w:tc>
          <w:tcPr>
            <w:tcW w:w="980" w:type="dxa"/>
            <w:tcBorders>
              <w:top w:val="nil"/>
              <w:left w:val="nil"/>
              <w:bottom w:val="nil"/>
              <w:right w:val="nil"/>
            </w:tcBorders>
            <w:shd w:val="clear" w:color="auto" w:fill="F2F2F2"/>
          </w:tcPr>
          <w:p w:rsidR="00E8309B" w:rsidRDefault="009D0949">
            <w:pPr>
              <w:spacing w:after="0" w:line="259" w:lineRule="auto"/>
              <w:ind w:left="77" w:right="0" w:firstLine="0"/>
              <w:jc w:val="center"/>
            </w:pPr>
            <w:r>
              <w:rPr>
                <w:sz w:val="20"/>
              </w:rPr>
              <w:t xml:space="preserve">264,0 </w:t>
            </w:r>
          </w:p>
        </w:tc>
        <w:tc>
          <w:tcPr>
            <w:tcW w:w="812" w:type="dxa"/>
            <w:tcBorders>
              <w:top w:val="nil"/>
              <w:left w:val="nil"/>
              <w:bottom w:val="nil"/>
              <w:right w:val="nil"/>
            </w:tcBorders>
            <w:shd w:val="clear" w:color="auto" w:fill="F2F2F2"/>
          </w:tcPr>
          <w:p w:rsidR="00E8309B" w:rsidRDefault="009D0949">
            <w:pPr>
              <w:spacing w:after="0" w:line="259" w:lineRule="auto"/>
              <w:ind w:left="216" w:right="0" w:firstLine="0"/>
              <w:jc w:val="left"/>
            </w:pPr>
            <w:r>
              <w:rPr>
                <w:sz w:val="20"/>
              </w:rPr>
              <w:t xml:space="preserve">4,8 </w:t>
            </w:r>
          </w:p>
        </w:tc>
        <w:tc>
          <w:tcPr>
            <w:tcW w:w="961" w:type="dxa"/>
            <w:tcBorders>
              <w:top w:val="nil"/>
              <w:left w:val="nil"/>
              <w:bottom w:val="nil"/>
              <w:right w:val="nil"/>
            </w:tcBorders>
            <w:shd w:val="clear" w:color="auto" w:fill="F2F2F2"/>
          </w:tcPr>
          <w:p w:rsidR="00E8309B" w:rsidRDefault="009D0949">
            <w:pPr>
              <w:spacing w:after="0" w:line="259" w:lineRule="auto"/>
              <w:ind w:left="55" w:right="0" w:firstLine="0"/>
              <w:jc w:val="center"/>
            </w:pPr>
            <w:r>
              <w:rPr>
                <w:sz w:val="20"/>
              </w:rPr>
              <w:t xml:space="preserve">159,7 </w:t>
            </w:r>
          </w:p>
        </w:tc>
        <w:tc>
          <w:tcPr>
            <w:tcW w:w="574" w:type="dxa"/>
            <w:tcBorders>
              <w:top w:val="nil"/>
              <w:left w:val="nil"/>
              <w:bottom w:val="nil"/>
              <w:right w:val="nil"/>
            </w:tcBorders>
            <w:shd w:val="clear" w:color="auto" w:fill="F2F2F2"/>
          </w:tcPr>
          <w:p w:rsidR="00E8309B" w:rsidRDefault="009D0949">
            <w:pPr>
              <w:spacing w:after="0" w:line="259" w:lineRule="auto"/>
              <w:ind w:left="0" w:right="49" w:firstLine="0"/>
              <w:jc w:val="right"/>
            </w:pPr>
            <w:r>
              <w:rPr>
                <w:sz w:val="20"/>
              </w:rPr>
              <w:t xml:space="preserve">2,9 </w:t>
            </w:r>
          </w:p>
        </w:tc>
      </w:tr>
      <w:tr w:rsidR="00E8309B">
        <w:trPr>
          <w:trHeight w:val="399"/>
        </w:trPr>
        <w:tc>
          <w:tcPr>
            <w:tcW w:w="7353" w:type="dxa"/>
            <w:tcBorders>
              <w:top w:val="nil"/>
              <w:left w:val="nil"/>
              <w:bottom w:val="nil"/>
              <w:right w:val="nil"/>
            </w:tcBorders>
            <w:vAlign w:val="center"/>
          </w:tcPr>
          <w:p w:rsidR="00E8309B" w:rsidRDefault="009D0949">
            <w:pPr>
              <w:spacing w:after="0" w:line="259" w:lineRule="auto"/>
              <w:ind w:left="108" w:right="0" w:firstLine="0"/>
              <w:jc w:val="left"/>
            </w:pPr>
            <w:r>
              <w:rPr>
                <w:b/>
                <w:sz w:val="20"/>
              </w:rPr>
              <w:t xml:space="preserve">Остале мере </w:t>
            </w:r>
          </w:p>
        </w:tc>
        <w:tc>
          <w:tcPr>
            <w:tcW w:w="980" w:type="dxa"/>
            <w:tcBorders>
              <w:top w:val="nil"/>
              <w:left w:val="nil"/>
              <w:bottom w:val="nil"/>
              <w:right w:val="nil"/>
            </w:tcBorders>
          </w:tcPr>
          <w:p w:rsidR="00E8309B" w:rsidRDefault="009D0949">
            <w:pPr>
              <w:spacing w:after="0" w:line="259" w:lineRule="auto"/>
              <w:ind w:left="529" w:right="0" w:firstLine="0"/>
              <w:jc w:val="center"/>
            </w:pPr>
            <w:r>
              <w:rPr>
                <w:sz w:val="20"/>
              </w:rPr>
              <w:t xml:space="preserve">  </w:t>
            </w:r>
          </w:p>
        </w:tc>
        <w:tc>
          <w:tcPr>
            <w:tcW w:w="812" w:type="dxa"/>
            <w:tcBorders>
              <w:top w:val="nil"/>
              <w:left w:val="nil"/>
              <w:bottom w:val="nil"/>
              <w:right w:val="nil"/>
            </w:tcBorders>
          </w:tcPr>
          <w:p w:rsidR="00E8309B" w:rsidRDefault="009D0949">
            <w:pPr>
              <w:spacing w:after="0" w:line="259" w:lineRule="auto"/>
              <w:ind w:left="176" w:right="0" w:firstLine="0"/>
              <w:jc w:val="center"/>
            </w:pPr>
            <w:r>
              <w:rPr>
                <w:sz w:val="20"/>
              </w:rPr>
              <w:t xml:space="preserve">  </w:t>
            </w:r>
          </w:p>
        </w:tc>
        <w:tc>
          <w:tcPr>
            <w:tcW w:w="961" w:type="dxa"/>
            <w:tcBorders>
              <w:top w:val="nil"/>
              <w:left w:val="nil"/>
              <w:bottom w:val="nil"/>
              <w:right w:val="nil"/>
            </w:tcBorders>
          </w:tcPr>
          <w:p w:rsidR="00E8309B" w:rsidRDefault="009D0949">
            <w:pPr>
              <w:spacing w:after="0" w:line="259" w:lineRule="auto"/>
              <w:ind w:left="505" w:right="0" w:firstLine="0"/>
              <w:jc w:val="center"/>
            </w:pPr>
            <w:r>
              <w:rPr>
                <w:sz w:val="20"/>
              </w:rPr>
              <w:t xml:space="preserve">  </w:t>
            </w:r>
          </w:p>
        </w:tc>
        <w:tc>
          <w:tcPr>
            <w:tcW w:w="574" w:type="dxa"/>
            <w:tcBorders>
              <w:top w:val="nil"/>
              <w:left w:val="nil"/>
              <w:bottom w:val="nil"/>
              <w:right w:val="nil"/>
            </w:tcBorders>
          </w:tcPr>
          <w:p w:rsidR="00E8309B" w:rsidRDefault="009D0949">
            <w:pPr>
              <w:spacing w:after="0" w:line="259" w:lineRule="auto"/>
              <w:ind w:left="0" w:right="0" w:firstLine="0"/>
              <w:jc w:val="right"/>
            </w:pPr>
            <w:r>
              <w:rPr>
                <w:sz w:val="20"/>
              </w:rPr>
              <w:t xml:space="preserve">  </w:t>
            </w:r>
          </w:p>
        </w:tc>
      </w:tr>
      <w:tr w:rsidR="00E8309B">
        <w:trPr>
          <w:trHeight w:val="528"/>
        </w:trPr>
        <w:tc>
          <w:tcPr>
            <w:tcW w:w="7353" w:type="dxa"/>
            <w:tcBorders>
              <w:top w:val="nil"/>
              <w:left w:val="nil"/>
              <w:bottom w:val="nil"/>
              <w:right w:val="nil"/>
            </w:tcBorders>
            <w:shd w:val="clear" w:color="auto" w:fill="F2F2F2"/>
          </w:tcPr>
          <w:p w:rsidR="00E8309B" w:rsidRDefault="009D0949">
            <w:pPr>
              <w:spacing w:after="0" w:line="259" w:lineRule="auto"/>
              <w:ind w:left="108" w:right="0" w:firstLine="0"/>
              <w:jc w:val="left"/>
            </w:pPr>
            <w:r>
              <w:rPr>
                <w:b/>
                <w:sz w:val="20"/>
              </w:rPr>
              <w:t xml:space="preserve">Мораторијум на дивиденде до краја године, искључујући јавна предузећа и губитак прихода који произлази из дивиденди </w:t>
            </w:r>
            <w:r>
              <w:rPr>
                <w:sz w:val="20"/>
              </w:rPr>
              <w:t xml:space="preserve"> </w:t>
            </w:r>
          </w:p>
        </w:tc>
        <w:tc>
          <w:tcPr>
            <w:tcW w:w="980" w:type="dxa"/>
            <w:tcBorders>
              <w:top w:val="nil"/>
              <w:left w:val="nil"/>
              <w:bottom w:val="nil"/>
              <w:right w:val="nil"/>
            </w:tcBorders>
            <w:shd w:val="clear" w:color="auto" w:fill="F2F2F2"/>
            <w:vAlign w:val="center"/>
          </w:tcPr>
          <w:p w:rsidR="00E8309B" w:rsidRDefault="009D0949">
            <w:pPr>
              <w:spacing w:after="0" w:line="259" w:lineRule="auto"/>
              <w:ind w:left="178" w:right="0" w:firstLine="0"/>
              <w:jc w:val="center"/>
            </w:pPr>
            <w:r>
              <w:rPr>
                <w:sz w:val="20"/>
              </w:rPr>
              <w:t xml:space="preserve">16,0 </w:t>
            </w:r>
          </w:p>
        </w:tc>
        <w:tc>
          <w:tcPr>
            <w:tcW w:w="812" w:type="dxa"/>
            <w:tcBorders>
              <w:top w:val="nil"/>
              <w:left w:val="nil"/>
              <w:bottom w:val="nil"/>
              <w:right w:val="nil"/>
            </w:tcBorders>
            <w:shd w:val="clear" w:color="auto" w:fill="F2F2F2"/>
            <w:vAlign w:val="center"/>
          </w:tcPr>
          <w:p w:rsidR="00E8309B" w:rsidRDefault="009D0949">
            <w:pPr>
              <w:spacing w:after="0" w:line="259" w:lineRule="auto"/>
              <w:ind w:left="216" w:right="0" w:firstLine="0"/>
              <w:jc w:val="left"/>
            </w:pPr>
            <w:r>
              <w:rPr>
                <w:sz w:val="20"/>
              </w:rPr>
              <w:t xml:space="preserve">0,3 </w:t>
            </w:r>
          </w:p>
        </w:tc>
        <w:tc>
          <w:tcPr>
            <w:tcW w:w="961" w:type="dxa"/>
            <w:tcBorders>
              <w:top w:val="nil"/>
              <w:left w:val="nil"/>
              <w:bottom w:val="nil"/>
              <w:right w:val="nil"/>
            </w:tcBorders>
            <w:shd w:val="clear" w:color="auto" w:fill="F2F2F2"/>
            <w:vAlign w:val="center"/>
          </w:tcPr>
          <w:p w:rsidR="00E8309B" w:rsidRDefault="009D0949">
            <w:pPr>
              <w:spacing w:after="0" w:line="259" w:lineRule="auto"/>
              <w:ind w:left="438" w:right="0" w:firstLine="0"/>
              <w:jc w:val="center"/>
            </w:pPr>
            <w:r>
              <w:rPr>
                <w:sz w:val="20"/>
              </w:rPr>
              <w:t xml:space="preserve">- </w:t>
            </w:r>
          </w:p>
        </w:tc>
        <w:tc>
          <w:tcPr>
            <w:tcW w:w="574" w:type="dxa"/>
            <w:tcBorders>
              <w:top w:val="nil"/>
              <w:left w:val="nil"/>
              <w:bottom w:val="nil"/>
              <w:right w:val="nil"/>
            </w:tcBorders>
            <w:shd w:val="clear" w:color="auto" w:fill="F2F2F2"/>
            <w:vAlign w:val="center"/>
          </w:tcPr>
          <w:p w:rsidR="00E8309B" w:rsidRDefault="009D0949">
            <w:pPr>
              <w:spacing w:after="0" w:line="259" w:lineRule="auto"/>
              <w:ind w:left="0" w:right="51" w:firstLine="0"/>
              <w:jc w:val="right"/>
            </w:pPr>
            <w:r>
              <w:rPr>
                <w:sz w:val="20"/>
              </w:rPr>
              <w:t xml:space="preserve">- </w:t>
            </w:r>
          </w:p>
        </w:tc>
      </w:tr>
      <w:tr w:rsidR="00E8309B">
        <w:trPr>
          <w:trHeight w:val="794"/>
        </w:trPr>
        <w:tc>
          <w:tcPr>
            <w:tcW w:w="7353" w:type="dxa"/>
            <w:tcBorders>
              <w:top w:val="nil"/>
              <w:left w:val="nil"/>
              <w:bottom w:val="nil"/>
              <w:right w:val="nil"/>
            </w:tcBorders>
          </w:tcPr>
          <w:p w:rsidR="00E8309B" w:rsidRDefault="009D0949">
            <w:pPr>
              <w:spacing w:after="45" w:line="275" w:lineRule="auto"/>
              <w:ind w:left="108" w:right="96" w:firstLine="0"/>
              <w:jc w:val="left"/>
            </w:pPr>
            <w:r>
              <w:rPr>
                <w:b/>
                <w:sz w:val="20"/>
              </w:rPr>
              <w:t xml:space="preserve">Мере повећања зарада и друга директна новчана помоћ (10% повећање плата здравствених радника, директна новчана помоћ од 4.000 РСД свим </w:t>
            </w:r>
          </w:p>
          <w:p w:rsidR="00E8309B" w:rsidRDefault="009D0949">
            <w:pPr>
              <w:spacing w:after="0" w:line="259" w:lineRule="auto"/>
              <w:ind w:left="108" w:right="0" w:firstLine="0"/>
              <w:jc w:val="left"/>
            </w:pPr>
            <w:r>
              <w:rPr>
                <w:b/>
                <w:sz w:val="20"/>
              </w:rPr>
              <w:t>пензионерима, подршка пољопривредним произвођачима)</w:t>
            </w:r>
            <w:r>
              <w:rPr>
                <w:sz w:val="20"/>
              </w:rPr>
              <w:t xml:space="preserve"> </w:t>
            </w:r>
          </w:p>
        </w:tc>
        <w:tc>
          <w:tcPr>
            <w:tcW w:w="980" w:type="dxa"/>
            <w:tcBorders>
              <w:top w:val="nil"/>
              <w:left w:val="nil"/>
              <w:bottom w:val="nil"/>
              <w:right w:val="nil"/>
            </w:tcBorders>
            <w:vAlign w:val="center"/>
          </w:tcPr>
          <w:p w:rsidR="00E8309B" w:rsidRDefault="009D0949">
            <w:pPr>
              <w:spacing w:after="0" w:line="259" w:lineRule="auto"/>
              <w:ind w:left="178" w:right="0" w:firstLine="0"/>
              <w:jc w:val="center"/>
            </w:pPr>
            <w:r>
              <w:rPr>
                <w:sz w:val="20"/>
              </w:rPr>
              <w:t xml:space="preserve">16,0 </w:t>
            </w:r>
          </w:p>
        </w:tc>
        <w:tc>
          <w:tcPr>
            <w:tcW w:w="812" w:type="dxa"/>
            <w:tcBorders>
              <w:top w:val="nil"/>
              <w:left w:val="nil"/>
              <w:bottom w:val="nil"/>
              <w:right w:val="nil"/>
            </w:tcBorders>
            <w:vAlign w:val="center"/>
          </w:tcPr>
          <w:p w:rsidR="00E8309B" w:rsidRDefault="009D0949">
            <w:pPr>
              <w:spacing w:after="0" w:line="259" w:lineRule="auto"/>
              <w:ind w:left="216" w:right="0" w:firstLine="0"/>
              <w:jc w:val="left"/>
            </w:pPr>
            <w:r>
              <w:rPr>
                <w:sz w:val="20"/>
              </w:rPr>
              <w:t xml:space="preserve">0,3 </w:t>
            </w:r>
          </w:p>
        </w:tc>
        <w:tc>
          <w:tcPr>
            <w:tcW w:w="961" w:type="dxa"/>
            <w:tcBorders>
              <w:top w:val="nil"/>
              <w:left w:val="nil"/>
              <w:bottom w:val="nil"/>
              <w:right w:val="nil"/>
            </w:tcBorders>
            <w:vAlign w:val="center"/>
          </w:tcPr>
          <w:p w:rsidR="00E8309B" w:rsidRDefault="009D0949">
            <w:pPr>
              <w:spacing w:after="0" w:line="259" w:lineRule="auto"/>
              <w:ind w:left="156" w:right="0" w:firstLine="0"/>
              <w:jc w:val="center"/>
            </w:pPr>
            <w:r>
              <w:rPr>
                <w:sz w:val="20"/>
              </w:rPr>
              <w:t xml:space="preserve">16,0 </w:t>
            </w:r>
          </w:p>
        </w:tc>
        <w:tc>
          <w:tcPr>
            <w:tcW w:w="574" w:type="dxa"/>
            <w:tcBorders>
              <w:top w:val="nil"/>
              <w:left w:val="nil"/>
              <w:bottom w:val="nil"/>
              <w:right w:val="nil"/>
            </w:tcBorders>
            <w:vAlign w:val="center"/>
          </w:tcPr>
          <w:p w:rsidR="00E8309B" w:rsidRDefault="009D0949">
            <w:pPr>
              <w:spacing w:after="0" w:line="259" w:lineRule="auto"/>
              <w:ind w:left="0" w:right="49" w:firstLine="0"/>
              <w:jc w:val="right"/>
            </w:pPr>
            <w:r>
              <w:rPr>
                <w:sz w:val="20"/>
              </w:rPr>
              <w:t xml:space="preserve">0,3 </w:t>
            </w:r>
          </w:p>
        </w:tc>
      </w:tr>
      <w:tr w:rsidR="00E8309B">
        <w:trPr>
          <w:trHeight w:val="396"/>
        </w:trPr>
        <w:tc>
          <w:tcPr>
            <w:tcW w:w="7353" w:type="dxa"/>
            <w:tcBorders>
              <w:top w:val="nil"/>
              <w:left w:val="nil"/>
              <w:bottom w:val="nil"/>
              <w:right w:val="nil"/>
            </w:tcBorders>
            <w:shd w:val="clear" w:color="auto" w:fill="F2F2F2"/>
            <w:vAlign w:val="center"/>
          </w:tcPr>
          <w:p w:rsidR="00E8309B" w:rsidRDefault="009D0949">
            <w:pPr>
              <w:spacing w:after="0" w:line="259" w:lineRule="auto"/>
              <w:ind w:left="108" w:right="0" w:firstLine="0"/>
              <w:jc w:val="left"/>
            </w:pPr>
            <w:r>
              <w:rPr>
                <w:b/>
                <w:sz w:val="20"/>
              </w:rPr>
              <w:t xml:space="preserve">Фискални подстицај - исплата 100 евра </w:t>
            </w:r>
            <w:r>
              <w:rPr>
                <w:b/>
                <w:sz w:val="20"/>
              </w:rPr>
              <w:t>свим пунолетним грађанима</w:t>
            </w:r>
            <w:r>
              <w:rPr>
                <w:sz w:val="20"/>
              </w:rPr>
              <w:t xml:space="preserve"> </w:t>
            </w:r>
          </w:p>
        </w:tc>
        <w:tc>
          <w:tcPr>
            <w:tcW w:w="980" w:type="dxa"/>
            <w:tcBorders>
              <w:top w:val="nil"/>
              <w:left w:val="nil"/>
              <w:bottom w:val="nil"/>
              <w:right w:val="nil"/>
            </w:tcBorders>
            <w:shd w:val="clear" w:color="auto" w:fill="F2F2F2"/>
          </w:tcPr>
          <w:p w:rsidR="00E8309B" w:rsidRDefault="009D0949">
            <w:pPr>
              <w:spacing w:after="0" w:line="259" w:lineRule="auto"/>
              <w:ind w:left="178" w:right="0" w:firstLine="0"/>
              <w:jc w:val="center"/>
            </w:pPr>
            <w:r>
              <w:rPr>
                <w:sz w:val="20"/>
              </w:rPr>
              <w:t xml:space="preserve">70,0 </w:t>
            </w:r>
          </w:p>
        </w:tc>
        <w:tc>
          <w:tcPr>
            <w:tcW w:w="812" w:type="dxa"/>
            <w:tcBorders>
              <w:top w:val="nil"/>
              <w:left w:val="nil"/>
              <w:bottom w:val="nil"/>
              <w:right w:val="nil"/>
            </w:tcBorders>
            <w:shd w:val="clear" w:color="auto" w:fill="F2F2F2"/>
          </w:tcPr>
          <w:p w:rsidR="00E8309B" w:rsidRDefault="009D0949">
            <w:pPr>
              <w:spacing w:after="0" w:line="259" w:lineRule="auto"/>
              <w:ind w:left="216" w:right="0" w:firstLine="0"/>
              <w:jc w:val="left"/>
            </w:pPr>
            <w:r>
              <w:rPr>
                <w:sz w:val="20"/>
              </w:rPr>
              <w:t xml:space="preserve">1,3 </w:t>
            </w:r>
          </w:p>
        </w:tc>
        <w:tc>
          <w:tcPr>
            <w:tcW w:w="961" w:type="dxa"/>
            <w:tcBorders>
              <w:top w:val="nil"/>
              <w:left w:val="nil"/>
              <w:bottom w:val="nil"/>
              <w:right w:val="nil"/>
            </w:tcBorders>
            <w:shd w:val="clear" w:color="auto" w:fill="F2F2F2"/>
          </w:tcPr>
          <w:p w:rsidR="00E8309B" w:rsidRDefault="009D0949">
            <w:pPr>
              <w:spacing w:after="0" w:line="259" w:lineRule="auto"/>
              <w:ind w:left="156" w:right="0" w:firstLine="0"/>
              <w:jc w:val="center"/>
            </w:pPr>
            <w:r>
              <w:rPr>
                <w:sz w:val="20"/>
              </w:rPr>
              <w:t xml:space="preserve">72,0 </w:t>
            </w:r>
          </w:p>
        </w:tc>
        <w:tc>
          <w:tcPr>
            <w:tcW w:w="574" w:type="dxa"/>
            <w:tcBorders>
              <w:top w:val="nil"/>
              <w:left w:val="nil"/>
              <w:bottom w:val="nil"/>
              <w:right w:val="nil"/>
            </w:tcBorders>
            <w:shd w:val="clear" w:color="auto" w:fill="F2F2F2"/>
          </w:tcPr>
          <w:p w:rsidR="00E8309B" w:rsidRDefault="009D0949">
            <w:pPr>
              <w:spacing w:after="0" w:line="259" w:lineRule="auto"/>
              <w:ind w:left="0" w:right="49" w:firstLine="0"/>
              <w:jc w:val="right"/>
            </w:pPr>
            <w:r>
              <w:rPr>
                <w:sz w:val="20"/>
              </w:rPr>
              <w:t xml:space="preserve">1,3 </w:t>
            </w:r>
          </w:p>
        </w:tc>
      </w:tr>
      <w:tr w:rsidR="00E8309B">
        <w:trPr>
          <w:trHeight w:val="398"/>
        </w:trPr>
        <w:tc>
          <w:tcPr>
            <w:tcW w:w="7353" w:type="dxa"/>
            <w:tcBorders>
              <w:top w:val="nil"/>
              <w:left w:val="nil"/>
              <w:bottom w:val="nil"/>
              <w:right w:val="nil"/>
            </w:tcBorders>
            <w:vAlign w:val="center"/>
          </w:tcPr>
          <w:p w:rsidR="00E8309B" w:rsidRDefault="009D0949">
            <w:pPr>
              <w:spacing w:after="0" w:line="259" w:lineRule="auto"/>
              <w:ind w:left="108" w:right="0" w:firstLine="0"/>
              <w:jc w:val="left"/>
            </w:pPr>
            <w:r>
              <w:rPr>
                <w:b/>
                <w:sz w:val="20"/>
              </w:rPr>
              <w:t xml:space="preserve">Укупно </w:t>
            </w:r>
          </w:p>
        </w:tc>
        <w:tc>
          <w:tcPr>
            <w:tcW w:w="980" w:type="dxa"/>
            <w:tcBorders>
              <w:top w:val="nil"/>
              <w:left w:val="nil"/>
              <w:bottom w:val="nil"/>
              <w:right w:val="nil"/>
            </w:tcBorders>
          </w:tcPr>
          <w:p w:rsidR="00E8309B" w:rsidRDefault="009D0949">
            <w:pPr>
              <w:spacing w:after="0" w:line="259" w:lineRule="auto"/>
              <w:ind w:left="77" w:right="0" w:firstLine="0"/>
              <w:jc w:val="center"/>
            </w:pPr>
            <w:r>
              <w:rPr>
                <w:sz w:val="20"/>
              </w:rPr>
              <w:t xml:space="preserve">102,0 </w:t>
            </w:r>
          </w:p>
        </w:tc>
        <w:tc>
          <w:tcPr>
            <w:tcW w:w="812" w:type="dxa"/>
            <w:tcBorders>
              <w:top w:val="nil"/>
              <w:left w:val="nil"/>
              <w:bottom w:val="nil"/>
              <w:right w:val="nil"/>
            </w:tcBorders>
          </w:tcPr>
          <w:p w:rsidR="00E8309B" w:rsidRDefault="009D0949">
            <w:pPr>
              <w:spacing w:after="0" w:line="259" w:lineRule="auto"/>
              <w:ind w:left="216" w:right="0" w:firstLine="0"/>
              <w:jc w:val="left"/>
            </w:pPr>
            <w:r>
              <w:rPr>
                <w:sz w:val="20"/>
              </w:rPr>
              <w:t xml:space="preserve">1,9 </w:t>
            </w:r>
          </w:p>
        </w:tc>
        <w:tc>
          <w:tcPr>
            <w:tcW w:w="961" w:type="dxa"/>
            <w:tcBorders>
              <w:top w:val="nil"/>
              <w:left w:val="nil"/>
              <w:bottom w:val="nil"/>
              <w:right w:val="nil"/>
            </w:tcBorders>
          </w:tcPr>
          <w:p w:rsidR="00E8309B" w:rsidRDefault="009D0949">
            <w:pPr>
              <w:spacing w:after="0" w:line="259" w:lineRule="auto"/>
              <w:ind w:left="156" w:right="0" w:firstLine="0"/>
              <w:jc w:val="center"/>
            </w:pPr>
            <w:r>
              <w:rPr>
                <w:sz w:val="20"/>
              </w:rPr>
              <w:t xml:space="preserve">88,0 </w:t>
            </w:r>
          </w:p>
        </w:tc>
        <w:tc>
          <w:tcPr>
            <w:tcW w:w="574" w:type="dxa"/>
            <w:tcBorders>
              <w:top w:val="nil"/>
              <w:left w:val="nil"/>
              <w:bottom w:val="nil"/>
              <w:right w:val="nil"/>
            </w:tcBorders>
          </w:tcPr>
          <w:p w:rsidR="00E8309B" w:rsidRDefault="009D0949">
            <w:pPr>
              <w:spacing w:after="0" w:line="259" w:lineRule="auto"/>
              <w:ind w:left="0" w:right="49" w:firstLine="0"/>
              <w:jc w:val="right"/>
            </w:pPr>
            <w:r>
              <w:rPr>
                <w:sz w:val="20"/>
              </w:rPr>
              <w:t xml:space="preserve">1,6 </w:t>
            </w:r>
          </w:p>
        </w:tc>
      </w:tr>
      <w:tr w:rsidR="00E8309B">
        <w:trPr>
          <w:trHeight w:val="396"/>
        </w:trPr>
        <w:tc>
          <w:tcPr>
            <w:tcW w:w="7353" w:type="dxa"/>
            <w:tcBorders>
              <w:top w:val="nil"/>
              <w:left w:val="nil"/>
              <w:bottom w:val="nil"/>
              <w:right w:val="nil"/>
            </w:tcBorders>
            <w:shd w:val="clear" w:color="auto" w:fill="F2F2F2"/>
            <w:vAlign w:val="center"/>
          </w:tcPr>
          <w:p w:rsidR="00E8309B" w:rsidRDefault="009D0949">
            <w:pPr>
              <w:spacing w:after="0" w:line="259" w:lineRule="auto"/>
              <w:ind w:left="108" w:right="0" w:firstLine="0"/>
              <w:jc w:val="left"/>
            </w:pPr>
            <w:r>
              <w:rPr>
                <w:b/>
                <w:sz w:val="20"/>
              </w:rPr>
              <w:t xml:space="preserve">Процена утицаја фискалних мера </w:t>
            </w:r>
          </w:p>
        </w:tc>
        <w:tc>
          <w:tcPr>
            <w:tcW w:w="980" w:type="dxa"/>
            <w:tcBorders>
              <w:top w:val="nil"/>
              <w:left w:val="nil"/>
              <w:bottom w:val="nil"/>
              <w:right w:val="nil"/>
            </w:tcBorders>
            <w:shd w:val="clear" w:color="auto" w:fill="F2F2F2"/>
          </w:tcPr>
          <w:p w:rsidR="00E8309B" w:rsidRDefault="009D0949">
            <w:pPr>
              <w:spacing w:after="0" w:line="259" w:lineRule="auto"/>
              <w:ind w:left="77" w:right="0" w:firstLine="0"/>
              <w:jc w:val="center"/>
            </w:pPr>
            <w:r>
              <w:rPr>
                <w:sz w:val="20"/>
              </w:rPr>
              <w:t xml:space="preserve">450,3 </w:t>
            </w:r>
          </w:p>
        </w:tc>
        <w:tc>
          <w:tcPr>
            <w:tcW w:w="812" w:type="dxa"/>
            <w:tcBorders>
              <w:top w:val="nil"/>
              <w:left w:val="nil"/>
              <w:bottom w:val="nil"/>
              <w:right w:val="nil"/>
            </w:tcBorders>
            <w:shd w:val="clear" w:color="auto" w:fill="F2F2F2"/>
          </w:tcPr>
          <w:p w:rsidR="00E8309B" w:rsidRDefault="009D0949">
            <w:pPr>
              <w:spacing w:after="0" w:line="259" w:lineRule="auto"/>
              <w:ind w:left="216" w:right="0" w:firstLine="0"/>
              <w:jc w:val="left"/>
            </w:pPr>
            <w:r>
              <w:rPr>
                <w:sz w:val="20"/>
              </w:rPr>
              <w:t xml:space="preserve">8,1 </w:t>
            </w:r>
          </w:p>
        </w:tc>
        <w:tc>
          <w:tcPr>
            <w:tcW w:w="961" w:type="dxa"/>
            <w:tcBorders>
              <w:top w:val="nil"/>
              <w:left w:val="nil"/>
              <w:bottom w:val="nil"/>
              <w:right w:val="nil"/>
            </w:tcBorders>
            <w:shd w:val="clear" w:color="auto" w:fill="F2F2F2"/>
          </w:tcPr>
          <w:p w:rsidR="00E8309B" w:rsidRDefault="009D0949">
            <w:pPr>
              <w:spacing w:after="0" w:line="259" w:lineRule="auto"/>
              <w:ind w:left="55" w:right="0" w:firstLine="0"/>
              <w:jc w:val="center"/>
            </w:pPr>
            <w:r>
              <w:rPr>
                <w:sz w:val="20"/>
              </w:rPr>
              <w:t xml:space="preserve">346,3 </w:t>
            </w:r>
          </w:p>
        </w:tc>
        <w:tc>
          <w:tcPr>
            <w:tcW w:w="574" w:type="dxa"/>
            <w:tcBorders>
              <w:top w:val="nil"/>
              <w:left w:val="nil"/>
              <w:bottom w:val="nil"/>
              <w:right w:val="nil"/>
            </w:tcBorders>
            <w:shd w:val="clear" w:color="auto" w:fill="F2F2F2"/>
          </w:tcPr>
          <w:p w:rsidR="00E8309B" w:rsidRDefault="009D0949">
            <w:pPr>
              <w:spacing w:after="0" w:line="259" w:lineRule="auto"/>
              <w:ind w:left="0" w:right="49" w:firstLine="0"/>
              <w:jc w:val="right"/>
            </w:pPr>
            <w:r>
              <w:rPr>
                <w:sz w:val="20"/>
              </w:rPr>
              <w:t xml:space="preserve">6,3 </w:t>
            </w:r>
          </w:p>
        </w:tc>
      </w:tr>
      <w:tr w:rsidR="00E8309B">
        <w:trPr>
          <w:trHeight w:val="396"/>
        </w:trPr>
        <w:tc>
          <w:tcPr>
            <w:tcW w:w="7353" w:type="dxa"/>
            <w:tcBorders>
              <w:top w:val="nil"/>
              <w:left w:val="nil"/>
              <w:bottom w:val="nil"/>
              <w:right w:val="nil"/>
            </w:tcBorders>
          </w:tcPr>
          <w:p w:rsidR="00E8309B" w:rsidRDefault="009D0949">
            <w:pPr>
              <w:spacing w:after="0" w:line="259" w:lineRule="auto"/>
              <w:ind w:left="108" w:right="0" w:firstLine="0"/>
              <w:jc w:val="left"/>
            </w:pPr>
            <w:r>
              <w:rPr>
                <w:b/>
                <w:sz w:val="20"/>
              </w:rPr>
              <w:t xml:space="preserve">Укупан пакет мера </w:t>
            </w:r>
          </w:p>
        </w:tc>
        <w:tc>
          <w:tcPr>
            <w:tcW w:w="980" w:type="dxa"/>
            <w:tcBorders>
              <w:top w:val="nil"/>
              <w:left w:val="nil"/>
              <w:bottom w:val="nil"/>
              <w:right w:val="nil"/>
            </w:tcBorders>
          </w:tcPr>
          <w:p w:rsidR="00E8309B" w:rsidRDefault="009D0949">
            <w:pPr>
              <w:spacing w:after="0" w:line="259" w:lineRule="auto"/>
              <w:ind w:left="77" w:right="0" w:firstLine="0"/>
              <w:jc w:val="center"/>
            </w:pPr>
            <w:r>
              <w:rPr>
                <w:sz w:val="20"/>
              </w:rPr>
              <w:t xml:space="preserve">690,3 </w:t>
            </w:r>
          </w:p>
        </w:tc>
        <w:tc>
          <w:tcPr>
            <w:tcW w:w="812" w:type="dxa"/>
            <w:tcBorders>
              <w:top w:val="nil"/>
              <w:left w:val="nil"/>
              <w:bottom w:val="nil"/>
              <w:right w:val="nil"/>
            </w:tcBorders>
          </w:tcPr>
          <w:p w:rsidR="00E8309B" w:rsidRDefault="009D0949">
            <w:pPr>
              <w:spacing w:after="0" w:line="259" w:lineRule="auto"/>
              <w:ind w:left="115" w:right="0" w:firstLine="0"/>
              <w:jc w:val="left"/>
            </w:pPr>
            <w:r>
              <w:rPr>
                <w:sz w:val="20"/>
              </w:rPr>
              <w:t xml:space="preserve">12,5 </w:t>
            </w:r>
          </w:p>
        </w:tc>
        <w:tc>
          <w:tcPr>
            <w:tcW w:w="961" w:type="dxa"/>
            <w:tcBorders>
              <w:top w:val="nil"/>
              <w:left w:val="nil"/>
              <w:bottom w:val="nil"/>
              <w:right w:val="nil"/>
            </w:tcBorders>
          </w:tcPr>
          <w:p w:rsidR="00E8309B" w:rsidRDefault="009D0949">
            <w:pPr>
              <w:spacing w:after="0" w:line="259" w:lineRule="auto"/>
              <w:ind w:left="55" w:right="0" w:firstLine="0"/>
              <w:jc w:val="center"/>
            </w:pPr>
            <w:r>
              <w:rPr>
                <w:sz w:val="20"/>
              </w:rPr>
              <w:t xml:space="preserve">491,4 </w:t>
            </w:r>
          </w:p>
        </w:tc>
        <w:tc>
          <w:tcPr>
            <w:tcW w:w="574" w:type="dxa"/>
            <w:tcBorders>
              <w:top w:val="nil"/>
              <w:left w:val="nil"/>
              <w:bottom w:val="nil"/>
              <w:right w:val="nil"/>
            </w:tcBorders>
          </w:tcPr>
          <w:p w:rsidR="00E8309B" w:rsidRDefault="009D0949">
            <w:pPr>
              <w:spacing w:after="0" w:line="259" w:lineRule="auto"/>
              <w:ind w:left="0" w:right="49" w:firstLine="0"/>
              <w:jc w:val="right"/>
            </w:pPr>
            <w:r>
              <w:rPr>
                <w:sz w:val="20"/>
              </w:rPr>
              <w:t xml:space="preserve">8,9 </w:t>
            </w:r>
          </w:p>
        </w:tc>
      </w:tr>
      <w:tr w:rsidR="00E8309B">
        <w:trPr>
          <w:trHeight w:val="398"/>
        </w:trPr>
        <w:tc>
          <w:tcPr>
            <w:tcW w:w="7353" w:type="dxa"/>
            <w:tcBorders>
              <w:top w:val="nil"/>
              <w:left w:val="nil"/>
              <w:bottom w:val="nil"/>
              <w:right w:val="nil"/>
            </w:tcBorders>
            <w:shd w:val="clear" w:color="auto" w:fill="F2F2F2"/>
            <w:vAlign w:val="center"/>
          </w:tcPr>
          <w:p w:rsidR="00E8309B" w:rsidRDefault="009D0949">
            <w:pPr>
              <w:spacing w:after="0" w:line="259" w:lineRule="auto"/>
              <w:ind w:left="108" w:right="0" w:firstLine="0"/>
              <w:jc w:val="left"/>
            </w:pPr>
            <w:r>
              <w:rPr>
                <w:b/>
                <w:sz w:val="20"/>
              </w:rPr>
              <w:t xml:space="preserve">Остали трошкови везани за Ковид -19 (медицинска опрема и лекови) </w:t>
            </w:r>
          </w:p>
        </w:tc>
        <w:tc>
          <w:tcPr>
            <w:tcW w:w="980" w:type="dxa"/>
            <w:tcBorders>
              <w:top w:val="nil"/>
              <w:left w:val="nil"/>
              <w:bottom w:val="nil"/>
              <w:right w:val="nil"/>
            </w:tcBorders>
            <w:shd w:val="clear" w:color="auto" w:fill="F2F2F2"/>
          </w:tcPr>
          <w:p w:rsidR="00E8309B" w:rsidRDefault="009D0949">
            <w:pPr>
              <w:spacing w:after="0" w:line="259" w:lineRule="auto"/>
              <w:ind w:left="461" w:right="0" w:firstLine="0"/>
              <w:jc w:val="center"/>
            </w:pPr>
            <w:r>
              <w:rPr>
                <w:sz w:val="20"/>
              </w:rPr>
              <w:t xml:space="preserve">- </w:t>
            </w:r>
          </w:p>
        </w:tc>
        <w:tc>
          <w:tcPr>
            <w:tcW w:w="812" w:type="dxa"/>
            <w:tcBorders>
              <w:top w:val="nil"/>
              <w:left w:val="nil"/>
              <w:bottom w:val="nil"/>
              <w:right w:val="nil"/>
            </w:tcBorders>
            <w:shd w:val="clear" w:color="auto" w:fill="F2F2F2"/>
          </w:tcPr>
          <w:p w:rsidR="00E8309B" w:rsidRDefault="009D0949">
            <w:pPr>
              <w:spacing w:after="0" w:line="259" w:lineRule="auto"/>
              <w:ind w:left="109" w:right="0" w:firstLine="0"/>
              <w:jc w:val="center"/>
            </w:pPr>
            <w:r>
              <w:rPr>
                <w:sz w:val="20"/>
              </w:rPr>
              <w:t xml:space="preserve">- </w:t>
            </w:r>
          </w:p>
        </w:tc>
        <w:tc>
          <w:tcPr>
            <w:tcW w:w="961" w:type="dxa"/>
            <w:tcBorders>
              <w:top w:val="nil"/>
              <w:left w:val="nil"/>
              <w:bottom w:val="nil"/>
              <w:right w:val="nil"/>
            </w:tcBorders>
            <w:shd w:val="clear" w:color="auto" w:fill="F2F2F2"/>
          </w:tcPr>
          <w:p w:rsidR="00E8309B" w:rsidRDefault="009D0949">
            <w:pPr>
              <w:spacing w:after="0" w:line="259" w:lineRule="auto"/>
              <w:ind w:left="308" w:right="0" w:firstLine="0"/>
              <w:jc w:val="center"/>
            </w:pPr>
            <w:r>
              <w:rPr>
                <w:sz w:val="20"/>
              </w:rPr>
              <w:t xml:space="preserve">60 </w:t>
            </w:r>
          </w:p>
        </w:tc>
        <w:tc>
          <w:tcPr>
            <w:tcW w:w="574" w:type="dxa"/>
            <w:tcBorders>
              <w:top w:val="nil"/>
              <w:left w:val="nil"/>
              <w:bottom w:val="nil"/>
              <w:right w:val="nil"/>
            </w:tcBorders>
            <w:shd w:val="clear" w:color="auto" w:fill="F2F2F2"/>
          </w:tcPr>
          <w:p w:rsidR="00E8309B" w:rsidRDefault="009D0949">
            <w:pPr>
              <w:spacing w:after="0" w:line="259" w:lineRule="auto"/>
              <w:ind w:left="0" w:right="49" w:firstLine="0"/>
              <w:jc w:val="right"/>
            </w:pPr>
            <w:r>
              <w:rPr>
                <w:sz w:val="20"/>
              </w:rPr>
              <w:t xml:space="preserve">1,1 </w:t>
            </w:r>
          </w:p>
        </w:tc>
      </w:tr>
      <w:tr w:rsidR="00E8309B">
        <w:trPr>
          <w:trHeight w:val="396"/>
        </w:trPr>
        <w:tc>
          <w:tcPr>
            <w:tcW w:w="7353" w:type="dxa"/>
            <w:tcBorders>
              <w:top w:val="nil"/>
              <w:left w:val="nil"/>
              <w:bottom w:val="nil"/>
              <w:right w:val="nil"/>
            </w:tcBorders>
          </w:tcPr>
          <w:p w:rsidR="00E8309B" w:rsidRDefault="009D0949">
            <w:pPr>
              <w:spacing w:after="0" w:line="259" w:lineRule="auto"/>
              <w:ind w:left="108" w:right="0" w:firstLine="0"/>
              <w:jc w:val="left"/>
            </w:pPr>
            <w:r>
              <w:rPr>
                <w:b/>
                <w:sz w:val="20"/>
              </w:rPr>
              <w:t xml:space="preserve">Укупни трошкови везани за Ковид -19 закључно са 30.09.2020. </w:t>
            </w:r>
          </w:p>
        </w:tc>
        <w:tc>
          <w:tcPr>
            <w:tcW w:w="980" w:type="dxa"/>
            <w:tcBorders>
              <w:top w:val="nil"/>
              <w:left w:val="nil"/>
              <w:bottom w:val="nil"/>
              <w:right w:val="nil"/>
            </w:tcBorders>
          </w:tcPr>
          <w:p w:rsidR="00E8309B" w:rsidRDefault="009D0949">
            <w:pPr>
              <w:spacing w:after="0" w:line="259" w:lineRule="auto"/>
              <w:ind w:left="77" w:right="0" w:firstLine="0"/>
              <w:jc w:val="center"/>
            </w:pPr>
            <w:r>
              <w:rPr>
                <w:b/>
                <w:sz w:val="20"/>
              </w:rPr>
              <w:t>690,3</w:t>
            </w:r>
            <w:r>
              <w:rPr>
                <w:sz w:val="20"/>
              </w:rPr>
              <w:t xml:space="preserve"> </w:t>
            </w:r>
          </w:p>
        </w:tc>
        <w:tc>
          <w:tcPr>
            <w:tcW w:w="812" w:type="dxa"/>
            <w:tcBorders>
              <w:top w:val="nil"/>
              <w:left w:val="nil"/>
              <w:bottom w:val="nil"/>
              <w:right w:val="nil"/>
            </w:tcBorders>
          </w:tcPr>
          <w:p w:rsidR="00E8309B" w:rsidRDefault="009D0949">
            <w:pPr>
              <w:spacing w:after="0" w:line="259" w:lineRule="auto"/>
              <w:ind w:left="115" w:right="0" w:firstLine="0"/>
              <w:jc w:val="left"/>
            </w:pPr>
            <w:r>
              <w:rPr>
                <w:b/>
                <w:sz w:val="20"/>
              </w:rPr>
              <w:t>12,5</w:t>
            </w:r>
            <w:r>
              <w:rPr>
                <w:sz w:val="20"/>
              </w:rPr>
              <w:t xml:space="preserve"> </w:t>
            </w:r>
          </w:p>
        </w:tc>
        <w:tc>
          <w:tcPr>
            <w:tcW w:w="961" w:type="dxa"/>
            <w:tcBorders>
              <w:top w:val="nil"/>
              <w:left w:val="nil"/>
              <w:bottom w:val="nil"/>
              <w:right w:val="nil"/>
            </w:tcBorders>
          </w:tcPr>
          <w:p w:rsidR="00E8309B" w:rsidRDefault="009D0949">
            <w:pPr>
              <w:spacing w:after="0" w:line="259" w:lineRule="auto"/>
              <w:ind w:left="55" w:right="0" w:firstLine="0"/>
              <w:jc w:val="center"/>
            </w:pPr>
            <w:r>
              <w:rPr>
                <w:b/>
                <w:sz w:val="20"/>
              </w:rPr>
              <w:t>551,4</w:t>
            </w:r>
            <w:r>
              <w:rPr>
                <w:sz w:val="20"/>
              </w:rPr>
              <w:t xml:space="preserve"> </w:t>
            </w:r>
          </w:p>
        </w:tc>
        <w:tc>
          <w:tcPr>
            <w:tcW w:w="574" w:type="dxa"/>
            <w:tcBorders>
              <w:top w:val="nil"/>
              <w:left w:val="nil"/>
              <w:bottom w:val="nil"/>
              <w:right w:val="nil"/>
            </w:tcBorders>
          </w:tcPr>
          <w:p w:rsidR="00E8309B" w:rsidRDefault="009D0949">
            <w:pPr>
              <w:spacing w:after="0" w:line="259" w:lineRule="auto"/>
              <w:ind w:left="116" w:right="0" w:firstLine="0"/>
              <w:jc w:val="left"/>
            </w:pPr>
            <w:r>
              <w:rPr>
                <w:b/>
                <w:sz w:val="20"/>
              </w:rPr>
              <w:t>10,0</w:t>
            </w:r>
            <w:r>
              <w:rPr>
                <w:sz w:val="20"/>
              </w:rPr>
              <w:t xml:space="preserve"> </w:t>
            </w:r>
          </w:p>
        </w:tc>
      </w:tr>
      <w:tr w:rsidR="00E8309B">
        <w:trPr>
          <w:trHeight w:val="266"/>
        </w:trPr>
        <w:tc>
          <w:tcPr>
            <w:tcW w:w="10680" w:type="dxa"/>
            <w:gridSpan w:val="5"/>
            <w:tcBorders>
              <w:top w:val="nil"/>
              <w:left w:val="nil"/>
              <w:bottom w:val="nil"/>
              <w:right w:val="nil"/>
            </w:tcBorders>
            <w:shd w:val="clear" w:color="auto" w:fill="F2F2F2"/>
          </w:tcPr>
          <w:p w:rsidR="00E8309B" w:rsidRDefault="009D0949">
            <w:pPr>
              <w:spacing w:after="0" w:line="259" w:lineRule="auto"/>
              <w:ind w:left="108" w:right="0" w:firstLine="0"/>
              <w:jc w:val="left"/>
            </w:pPr>
            <w:r>
              <w:rPr>
                <w:b/>
                <w:sz w:val="20"/>
              </w:rPr>
              <w:t xml:space="preserve"> </w:t>
            </w:r>
            <w:r>
              <w:rPr>
                <w:b/>
                <w:sz w:val="20"/>
              </w:rPr>
              <w:tab/>
              <w:t xml:space="preserve"> </w:t>
            </w:r>
            <w:r>
              <w:rPr>
                <w:b/>
                <w:sz w:val="20"/>
              </w:rPr>
              <w:tab/>
              <w:t xml:space="preserve"> </w:t>
            </w:r>
            <w:r>
              <w:rPr>
                <w:b/>
                <w:sz w:val="20"/>
              </w:rPr>
              <w:tab/>
              <w:t xml:space="preserve"> </w:t>
            </w:r>
            <w:r>
              <w:rPr>
                <w:b/>
                <w:sz w:val="20"/>
              </w:rPr>
              <w:tab/>
              <w:t xml:space="preserve"> </w:t>
            </w:r>
          </w:p>
        </w:tc>
      </w:tr>
    </w:tbl>
    <w:p w:rsidR="00E8309B" w:rsidRDefault="009D0949">
      <w:pPr>
        <w:spacing w:after="0" w:line="259" w:lineRule="auto"/>
        <w:ind w:left="0" w:right="0" w:firstLine="0"/>
        <w:jc w:val="left"/>
      </w:pPr>
      <w:r>
        <w:t xml:space="preserve"> </w:t>
      </w:r>
      <w:r>
        <w:tab/>
        <w:t xml:space="preserve"> </w:t>
      </w:r>
    </w:p>
    <w:p w:rsidR="00E8309B" w:rsidRDefault="009D0949">
      <w:pPr>
        <w:spacing w:after="88"/>
        <w:ind w:left="-5" w:right="17"/>
      </w:pPr>
      <w:r>
        <w:t xml:space="preserve">Начелно утицај пандемије Ковид-19 на кретање фискалног резултата може се поделити у неколико категорија: </w:t>
      </w:r>
    </w:p>
    <w:p w:rsidR="00E8309B" w:rsidRDefault="009D0949">
      <w:pPr>
        <w:numPr>
          <w:ilvl w:val="0"/>
          <w:numId w:val="4"/>
        </w:numPr>
        <w:ind w:right="17" w:hanging="286"/>
      </w:pPr>
      <w:r>
        <w:t xml:space="preserve">утицај на пад прихода путем аутоматских стабилизатора изазван падом БДП; </w:t>
      </w:r>
    </w:p>
    <w:p w:rsidR="00E8309B" w:rsidRDefault="009D0949">
      <w:pPr>
        <w:numPr>
          <w:ilvl w:val="0"/>
          <w:numId w:val="4"/>
        </w:numPr>
        <w:ind w:right="17" w:hanging="286"/>
      </w:pPr>
      <w:r>
        <w:t>додатни пад прихода изазван мерама епидемиолошке заштите становништва. Ово се огледа у ограничењу кретања, немогућности конзумирања одређених услуга, обављању административних послов</w:t>
      </w:r>
      <w:r>
        <w:t xml:space="preserve">а у одређеном периоду, паду транзитних и туристичких прихода; </w:t>
      </w:r>
      <w:r>
        <w:rPr>
          <w:rFonts w:ascii="Wingdings" w:eastAsia="Wingdings" w:hAnsi="Wingdings" w:cs="Wingdings"/>
          <w:color w:val="44546A"/>
        </w:rPr>
        <w:t></w:t>
      </w:r>
      <w:r>
        <w:rPr>
          <w:rFonts w:ascii="Arial" w:eastAsia="Arial" w:hAnsi="Arial" w:cs="Arial"/>
          <w:color w:val="44546A"/>
        </w:rPr>
        <w:t xml:space="preserve"> </w:t>
      </w:r>
      <w:r>
        <w:t xml:space="preserve">повећање расхода за додатну здравствену и епидемиолошку заштиту становништва, у шта спада и изградња додатних здравствених капацитета и набавка опреме; </w:t>
      </w:r>
    </w:p>
    <w:p w:rsidR="00E8309B" w:rsidRDefault="009D0949">
      <w:pPr>
        <w:numPr>
          <w:ilvl w:val="0"/>
          <w:numId w:val="4"/>
        </w:numPr>
        <w:ind w:right="17" w:hanging="286"/>
      </w:pPr>
      <w:r>
        <w:t xml:space="preserve">губици на приходима и повећани расходи </w:t>
      </w:r>
      <w:r>
        <w:t xml:space="preserve">за спровођење економског пакета мера помоћи привреди и становништву. </w:t>
      </w:r>
    </w:p>
    <w:p w:rsidR="00E8309B" w:rsidRDefault="009D0949">
      <w:pPr>
        <w:spacing w:after="91"/>
        <w:ind w:left="-5" w:right="17"/>
      </w:pPr>
      <w:r>
        <w:t>Током априла усвојен је први ребаланс буџета за 2020. годину. Овај ребаланс омогућио је операционализацију Програма економских мера, неометано финансирање борбе за очување здравља и живота људи и умањење негативних економских последица пандемије по привред</w:t>
      </w:r>
      <w:r>
        <w:t>у и грађане. Приходна страна буџета промењена је узимајући у обзир нове пројекције економских кретања, као и процењене ефекте усвојених фискалних мера. Утврђене су измене у обиму и структури јавне потрошње, како би се она додатно прилагодила новим економск</w:t>
      </w:r>
      <w:r>
        <w:t xml:space="preserve">им околностима, усвојеним мерама и потребама неометаног и довољног финансирања здравственог система земље околностима изазваним пандемијом. Овим ребалансом дефицит буџета опште државе планиран је у нивоу од 7,2% БДП. </w:t>
      </w:r>
    </w:p>
    <w:p w:rsidR="00E8309B" w:rsidRDefault="009D0949">
      <w:pPr>
        <w:ind w:left="-5" w:right="17"/>
      </w:pPr>
      <w:r>
        <w:t>Процењени приходи опште државе ревидир</w:t>
      </w:r>
      <w:r>
        <w:t xml:space="preserve">ани су тада наниже за 230 млрд динара, а расходи увећани за око 136 млрд динара. Услед велике неизвесности у погледу епидемиолошких и економских кретања очекивана је била још једна ревизија буџета до краја године. </w:t>
      </w:r>
    </w:p>
    <w:p w:rsidR="00E8309B" w:rsidRDefault="009D0949">
      <w:pPr>
        <w:spacing w:after="93"/>
        <w:ind w:left="-5" w:right="17"/>
      </w:pPr>
      <w:r>
        <w:t>У новембру 2020. године Влада је утврдила</w:t>
      </w:r>
      <w:r>
        <w:t xml:space="preserve"> предлог другог ребаланса буџета којим је, у односу на претходни, процена прихода опште државе повећана за 113 млрд динара, док је повећање на страни расхода износило око 210 млрд динара. Предвиђен је фискални дефицит опште државе од 492,3 млрд динара (8,9</w:t>
      </w:r>
      <w:r>
        <w:t xml:space="preserve">% БДП). Најважнији разлози за ревизију процене прихода, расхода и резултата у односу на претходни ребаланс су: </w:t>
      </w:r>
    </w:p>
    <w:p w:rsidR="00E8309B" w:rsidRDefault="009D0949">
      <w:pPr>
        <w:numPr>
          <w:ilvl w:val="0"/>
          <w:numId w:val="4"/>
        </w:numPr>
        <w:ind w:right="17" w:hanging="286"/>
      </w:pPr>
      <w:r>
        <w:lastRenderedPageBreak/>
        <w:t>краћи и блажи ефекти деловања најтежих епидемиолошких мера (забрана кретања и обављања одређених активности) и брже успостављање унутрашњих и, у</w:t>
      </w:r>
      <w:r>
        <w:t xml:space="preserve"> одређеном обиму, међународних економских токова; </w:t>
      </w:r>
    </w:p>
    <w:p w:rsidR="00E8309B" w:rsidRDefault="009D0949">
      <w:pPr>
        <w:numPr>
          <w:ilvl w:val="0"/>
          <w:numId w:val="4"/>
        </w:numPr>
        <w:ind w:right="17" w:hanging="286"/>
      </w:pPr>
      <w:r>
        <w:t xml:space="preserve">блажи пад укупне привредне активности у односу на предвиђен, са значајнијим изменама у структури БДП; </w:t>
      </w:r>
    </w:p>
    <w:p w:rsidR="00E8309B" w:rsidRDefault="009D0949">
      <w:pPr>
        <w:numPr>
          <w:ilvl w:val="0"/>
          <w:numId w:val="4"/>
        </w:numPr>
        <w:ind w:right="17" w:hanging="286"/>
      </w:pPr>
      <w:r>
        <w:t>продужено деловање пандемије на економска кретања на међународном нивоу у односу на првобитно предвиђе</w:t>
      </w:r>
      <w:r>
        <w:t xml:space="preserve">не; </w:t>
      </w:r>
    </w:p>
    <w:p w:rsidR="00E8309B" w:rsidRDefault="009D0949">
      <w:pPr>
        <w:numPr>
          <w:ilvl w:val="0"/>
          <w:numId w:val="4"/>
        </w:numPr>
        <w:ind w:right="17" w:hanging="286"/>
      </w:pPr>
      <w:r>
        <w:t xml:space="preserve">изостанак транзитног саобраћаја и драстичан пад броја иностраних туриста; </w:t>
      </w:r>
    </w:p>
    <w:p w:rsidR="00E8309B" w:rsidRDefault="009D0949">
      <w:pPr>
        <w:numPr>
          <w:ilvl w:val="0"/>
          <w:numId w:val="4"/>
        </w:numPr>
        <w:ind w:right="17" w:hanging="286"/>
      </w:pPr>
      <w:r>
        <w:t xml:space="preserve">конзервативно планирање одређених категорија пореских прихода (порез на добит и порези на дивиденде) и уплата првобитно непланираних непореских прихода; </w:t>
      </w:r>
    </w:p>
    <w:p w:rsidR="00E8309B" w:rsidRDefault="009D0949">
      <w:pPr>
        <w:numPr>
          <w:ilvl w:val="0"/>
          <w:numId w:val="4"/>
        </w:numPr>
        <w:ind w:right="17" w:hanging="286"/>
      </w:pPr>
      <w:r>
        <w:t>опрезан приступ у проц</w:t>
      </w:r>
      <w:r>
        <w:t xml:space="preserve">ени коришћења програма економске помоћи од стране привредних субјеката; </w:t>
      </w:r>
    </w:p>
    <w:p w:rsidR="00E8309B" w:rsidRDefault="009D0949">
      <w:pPr>
        <w:numPr>
          <w:ilvl w:val="0"/>
          <w:numId w:val="4"/>
        </w:numPr>
        <w:ind w:right="17" w:hanging="286"/>
      </w:pPr>
      <w:r>
        <w:t xml:space="preserve">позитиван утицај дела програма економских мера на кретања на тржишту рада; </w:t>
      </w:r>
    </w:p>
    <w:p w:rsidR="00E8309B" w:rsidRDefault="009D0949">
      <w:pPr>
        <w:numPr>
          <w:ilvl w:val="0"/>
          <w:numId w:val="4"/>
        </w:numPr>
        <w:ind w:right="17" w:hanging="286"/>
      </w:pPr>
      <w:r>
        <w:t xml:space="preserve">додатни пакет мера економске помоћи у виду одлагања пореских обавеза и директне помоћи компанијама; </w:t>
      </w:r>
    </w:p>
    <w:p w:rsidR="00E8309B" w:rsidRDefault="009D0949">
      <w:pPr>
        <w:numPr>
          <w:ilvl w:val="0"/>
          <w:numId w:val="4"/>
        </w:numPr>
        <w:ind w:right="17" w:hanging="286"/>
      </w:pPr>
      <w:r>
        <w:t>додатн</w:t>
      </w:r>
      <w:r>
        <w:t xml:space="preserve">и расходи за спровођење мера здравствене заштите и у оквиру набавке роба и услуга и капиталних улагања; </w:t>
      </w:r>
    </w:p>
    <w:p w:rsidR="00E8309B" w:rsidRDefault="009D0949">
      <w:pPr>
        <w:numPr>
          <w:ilvl w:val="0"/>
          <w:numId w:val="4"/>
        </w:numPr>
        <w:spacing w:after="6"/>
        <w:ind w:right="17" w:hanging="286"/>
      </w:pPr>
      <w:r>
        <w:t xml:space="preserve">повећање улагања у путну инфраструктуру и убрзање извршења капиталних улагања. </w:t>
      </w:r>
    </w:p>
    <w:p w:rsidR="00E8309B" w:rsidRDefault="009D0949">
      <w:pPr>
        <w:spacing w:after="0" w:line="259" w:lineRule="auto"/>
        <w:ind w:left="0" w:right="0" w:firstLine="0"/>
        <w:jc w:val="left"/>
      </w:pPr>
      <w:r>
        <w:t xml:space="preserve"> </w:t>
      </w:r>
      <w:r>
        <w:tab/>
        <w:t xml:space="preserve"> </w:t>
      </w:r>
    </w:p>
    <w:p w:rsidR="00E8309B" w:rsidRDefault="009D0949">
      <w:pPr>
        <w:spacing w:after="6"/>
        <w:ind w:left="-5" w:right="17"/>
      </w:pPr>
      <w:r>
        <w:t>Табела 5. Приходи, расходи и резултат сектора државе у 2020. години</w:t>
      </w:r>
      <w:r>
        <w:t xml:space="preserve">, у млрд динара </w:t>
      </w:r>
    </w:p>
    <w:tbl>
      <w:tblPr>
        <w:tblStyle w:val="TableGrid"/>
        <w:tblW w:w="9782" w:type="dxa"/>
        <w:tblInd w:w="-70" w:type="dxa"/>
        <w:tblCellMar>
          <w:top w:w="0" w:type="dxa"/>
          <w:left w:w="0" w:type="dxa"/>
          <w:bottom w:w="0" w:type="dxa"/>
          <w:right w:w="115" w:type="dxa"/>
        </w:tblCellMar>
        <w:tblLook w:val="04A0" w:firstRow="1" w:lastRow="0" w:firstColumn="1" w:lastColumn="0" w:noHBand="0" w:noVBand="1"/>
      </w:tblPr>
      <w:tblGrid>
        <w:gridCol w:w="2711"/>
        <w:gridCol w:w="1207"/>
        <w:gridCol w:w="1320"/>
        <w:gridCol w:w="1147"/>
        <w:gridCol w:w="1165"/>
        <w:gridCol w:w="1214"/>
        <w:gridCol w:w="1018"/>
      </w:tblGrid>
      <w:tr w:rsidR="00E8309B">
        <w:trPr>
          <w:trHeight w:val="633"/>
        </w:trPr>
        <w:tc>
          <w:tcPr>
            <w:tcW w:w="2711" w:type="dxa"/>
            <w:tcBorders>
              <w:top w:val="single" w:sz="4" w:space="0" w:color="002060"/>
              <w:left w:val="nil"/>
              <w:bottom w:val="single" w:sz="4" w:space="0" w:color="002060"/>
              <w:right w:val="nil"/>
            </w:tcBorders>
          </w:tcPr>
          <w:p w:rsidR="00E8309B" w:rsidRDefault="009D0949">
            <w:pPr>
              <w:spacing w:after="0" w:line="259" w:lineRule="auto"/>
              <w:ind w:left="0" w:right="15" w:firstLine="0"/>
              <w:jc w:val="center"/>
            </w:pPr>
            <w:r>
              <w:rPr>
                <w:sz w:val="18"/>
              </w:rPr>
              <w:t xml:space="preserve"> </w:t>
            </w:r>
          </w:p>
        </w:tc>
        <w:tc>
          <w:tcPr>
            <w:tcW w:w="1207" w:type="dxa"/>
            <w:tcBorders>
              <w:top w:val="single" w:sz="4" w:space="0" w:color="002060"/>
              <w:left w:val="nil"/>
              <w:bottom w:val="single" w:sz="4" w:space="0" w:color="002060"/>
              <w:right w:val="nil"/>
            </w:tcBorders>
            <w:vAlign w:val="center"/>
          </w:tcPr>
          <w:p w:rsidR="00E8309B" w:rsidRDefault="009D0949">
            <w:pPr>
              <w:spacing w:after="0" w:line="259" w:lineRule="auto"/>
              <w:ind w:left="0" w:right="0" w:firstLine="0"/>
              <w:jc w:val="left"/>
            </w:pPr>
            <w:r>
              <w:rPr>
                <w:sz w:val="18"/>
              </w:rPr>
              <w:t xml:space="preserve">Буџет 2020 </w:t>
            </w:r>
          </w:p>
        </w:tc>
        <w:tc>
          <w:tcPr>
            <w:tcW w:w="1320" w:type="dxa"/>
            <w:tcBorders>
              <w:top w:val="single" w:sz="4" w:space="0" w:color="002060"/>
              <w:left w:val="nil"/>
              <w:bottom w:val="single" w:sz="4" w:space="0" w:color="002060"/>
              <w:right w:val="nil"/>
            </w:tcBorders>
            <w:vAlign w:val="center"/>
          </w:tcPr>
          <w:p w:rsidR="00E8309B" w:rsidRDefault="009D0949">
            <w:pPr>
              <w:spacing w:after="0" w:line="259" w:lineRule="auto"/>
              <w:ind w:left="0" w:right="0" w:firstLine="96"/>
              <w:jc w:val="left"/>
            </w:pPr>
            <w:r>
              <w:rPr>
                <w:sz w:val="18"/>
              </w:rPr>
              <w:t xml:space="preserve">Процена април 2020 </w:t>
            </w:r>
          </w:p>
        </w:tc>
        <w:tc>
          <w:tcPr>
            <w:tcW w:w="1147" w:type="dxa"/>
            <w:tcBorders>
              <w:top w:val="single" w:sz="4" w:space="0" w:color="002060"/>
              <w:left w:val="nil"/>
              <w:bottom w:val="single" w:sz="4" w:space="0" w:color="002060"/>
              <w:right w:val="nil"/>
            </w:tcBorders>
          </w:tcPr>
          <w:p w:rsidR="00E8309B" w:rsidRDefault="009D0949">
            <w:pPr>
              <w:spacing w:after="0" w:line="240" w:lineRule="auto"/>
              <w:ind w:left="0" w:right="0" w:firstLine="122"/>
              <w:jc w:val="left"/>
            </w:pPr>
            <w:r>
              <w:rPr>
                <w:sz w:val="18"/>
              </w:rPr>
              <w:t xml:space="preserve">Нова процена </w:t>
            </w:r>
          </w:p>
          <w:p w:rsidR="00E8309B" w:rsidRDefault="009D0949">
            <w:pPr>
              <w:spacing w:after="0" w:line="259" w:lineRule="auto"/>
              <w:ind w:left="134" w:right="0" w:firstLine="0"/>
              <w:jc w:val="left"/>
            </w:pPr>
            <w:r>
              <w:rPr>
                <w:sz w:val="18"/>
              </w:rPr>
              <w:t xml:space="preserve">2020 </w:t>
            </w:r>
          </w:p>
        </w:tc>
        <w:tc>
          <w:tcPr>
            <w:tcW w:w="1165" w:type="dxa"/>
            <w:tcBorders>
              <w:top w:val="single" w:sz="4" w:space="0" w:color="002060"/>
              <w:left w:val="nil"/>
              <w:bottom w:val="single" w:sz="4" w:space="0" w:color="002060"/>
              <w:right w:val="nil"/>
            </w:tcBorders>
            <w:vAlign w:val="center"/>
          </w:tcPr>
          <w:p w:rsidR="00E8309B" w:rsidRDefault="009D0949">
            <w:pPr>
              <w:spacing w:after="0" w:line="259" w:lineRule="auto"/>
              <w:ind w:left="0" w:right="0" w:firstLine="77"/>
              <w:jc w:val="left"/>
            </w:pPr>
            <w:r>
              <w:rPr>
                <w:sz w:val="18"/>
              </w:rPr>
              <w:t xml:space="preserve">Разлика нов/буџет </w:t>
            </w:r>
          </w:p>
        </w:tc>
        <w:tc>
          <w:tcPr>
            <w:tcW w:w="1214" w:type="dxa"/>
            <w:tcBorders>
              <w:top w:val="single" w:sz="4" w:space="0" w:color="002060"/>
              <w:left w:val="nil"/>
              <w:bottom w:val="single" w:sz="4" w:space="0" w:color="002060"/>
              <w:right w:val="nil"/>
            </w:tcBorders>
            <w:vAlign w:val="center"/>
          </w:tcPr>
          <w:p w:rsidR="00E8309B" w:rsidRDefault="009D0949">
            <w:pPr>
              <w:spacing w:after="0" w:line="259" w:lineRule="auto"/>
              <w:ind w:left="0" w:right="0" w:firstLine="0"/>
              <w:jc w:val="left"/>
            </w:pPr>
            <w:r>
              <w:rPr>
                <w:sz w:val="18"/>
              </w:rPr>
              <w:t xml:space="preserve">% промена </w:t>
            </w:r>
          </w:p>
        </w:tc>
        <w:tc>
          <w:tcPr>
            <w:tcW w:w="1018" w:type="dxa"/>
            <w:tcBorders>
              <w:top w:val="single" w:sz="4" w:space="0" w:color="002060"/>
              <w:left w:val="nil"/>
              <w:bottom w:val="single" w:sz="4" w:space="0" w:color="002060"/>
              <w:right w:val="nil"/>
            </w:tcBorders>
            <w:vAlign w:val="center"/>
          </w:tcPr>
          <w:p w:rsidR="00E8309B" w:rsidRDefault="009D0949">
            <w:pPr>
              <w:spacing w:after="0" w:line="259" w:lineRule="auto"/>
              <w:ind w:left="0" w:right="0" w:firstLine="36"/>
              <w:jc w:val="left"/>
            </w:pPr>
            <w:r>
              <w:rPr>
                <w:sz w:val="18"/>
              </w:rPr>
              <w:t xml:space="preserve">2020 нова пр. % БДП </w:t>
            </w:r>
          </w:p>
        </w:tc>
      </w:tr>
      <w:tr w:rsidR="00E8309B">
        <w:trPr>
          <w:trHeight w:val="270"/>
        </w:trPr>
        <w:tc>
          <w:tcPr>
            <w:tcW w:w="2711" w:type="dxa"/>
            <w:tcBorders>
              <w:top w:val="single" w:sz="4" w:space="0" w:color="002060"/>
              <w:left w:val="nil"/>
              <w:bottom w:val="nil"/>
              <w:right w:val="nil"/>
            </w:tcBorders>
            <w:shd w:val="clear" w:color="auto" w:fill="E7E6E6"/>
          </w:tcPr>
          <w:p w:rsidR="00E8309B" w:rsidRDefault="009D0949">
            <w:pPr>
              <w:spacing w:after="0" w:line="259" w:lineRule="auto"/>
              <w:ind w:left="108" w:right="0" w:firstLine="0"/>
              <w:jc w:val="left"/>
            </w:pPr>
            <w:r>
              <w:rPr>
                <w:sz w:val="18"/>
              </w:rPr>
              <w:t xml:space="preserve">ЈАВНИ ПРИХОДИ </w:t>
            </w:r>
          </w:p>
        </w:tc>
        <w:tc>
          <w:tcPr>
            <w:tcW w:w="1207" w:type="dxa"/>
            <w:tcBorders>
              <w:top w:val="single" w:sz="4" w:space="0" w:color="002060"/>
              <w:left w:val="nil"/>
              <w:bottom w:val="nil"/>
              <w:right w:val="nil"/>
            </w:tcBorders>
            <w:shd w:val="clear" w:color="auto" w:fill="E7E6E6"/>
          </w:tcPr>
          <w:p w:rsidR="00E8309B" w:rsidRDefault="009D0949">
            <w:pPr>
              <w:spacing w:after="0" w:line="259" w:lineRule="auto"/>
              <w:ind w:left="158" w:right="0" w:firstLine="0"/>
              <w:jc w:val="left"/>
            </w:pPr>
            <w:r>
              <w:rPr>
                <w:sz w:val="18"/>
              </w:rPr>
              <w:t xml:space="preserve">2.340,8 </w:t>
            </w:r>
          </w:p>
        </w:tc>
        <w:tc>
          <w:tcPr>
            <w:tcW w:w="1320" w:type="dxa"/>
            <w:tcBorders>
              <w:top w:val="single" w:sz="4" w:space="0" w:color="002060"/>
              <w:left w:val="nil"/>
              <w:bottom w:val="nil"/>
              <w:right w:val="nil"/>
            </w:tcBorders>
            <w:shd w:val="clear" w:color="auto" w:fill="E7E6E6"/>
          </w:tcPr>
          <w:p w:rsidR="00E8309B" w:rsidRDefault="009D0949">
            <w:pPr>
              <w:spacing w:after="0" w:line="259" w:lineRule="auto"/>
              <w:ind w:left="158" w:right="0" w:firstLine="0"/>
              <w:jc w:val="left"/>
            </w:pPr>
            <w:r>
              <w:rPr>
                <w:sz w:val="18"/>
              </w:rPr>
              <w:t xml:space="preserve">2.110,7 </w:t>
            </w:r>
          </w:p>
        </w:tc>
        <w:tc>
          <w:tcPr>
            <w:tcW w:w="1147" w:type="dxa"/>
            <w:tcBorders>
              <w:top w:val="single" w:sz="4" w:space="0" w:color="002060"/>
              <w:left w:val="nil"/>
              <w:bottom w:val="nil"/>
              <w:right w:val="nil"/>
            </w:tcBorders>
            <w:shd w:val="clear" w:color="auto" w:fill="E7E6E6"/>
          </w:tcPr>
          <w:p w:rsidR="00E8309B" w:rsidRDefault="009D0949">
            <w:pPr>
              <w:spacing w:after="0" w:line="259" w:lineRule="auto"/>
              <w:ind w:left="46" w:right="0" w:firstLine="0"/>
              <w:jc w:val="left"/>
            </w:pPr>
            <w:r>
              <w:rPr>
                <w:sz w:val="18"/>
              </w:rPr>
              <w:t xml:space="preserve">2.223,5 </w:t>
            </w:r>
          </w:p>
        </w:tc>
        <w:tc>
          <w:tcPr>
            <w:tcW w:w="1165" w:type="dxa"/>
            <w:tcBorders>
              <w:top w:val="single" w:sz="4" w:space="0" w:color="002060"/>
              <w:left w:val="nil"/>
              <w:bottom w:val="nil"/>
              <w:right w:val="nil"/>
            </w:tcBorders>
            <w:shd w:val="clear" w:color="auto" w:fill="E7E6E6"/>
          </w:tcPr>
          <w:p w:rsidR="00E8309B" w:rsidRDefault="009D0949">
            <w:pPr>
              <w:spacing w:after="0" w:line="259" w:lineRule="auto"/>
              <w:ind w:left="125" w:right="0" w:firstLine="0"/>
              <w:jc w:val="left"/>
            </w:pPr>
            <w:r>
              <w:rPr>
                <w:sz w:val="18"/>
              </w:rPr>
              <w:t xml:space="preserve">-117,3 </w:t>
            </w:r>
          </w:p>
        </w:tc>
        <w:tc>
          <w:tcPr>
            <w:tcW w:w="1214" w:type="dxa"/>
            <w:tcBorders>
              <w:top w:val="single" w:sz="4" w:space="0" w:color="002060"/>
              <w:left w:val="nil"/>
              <w:bottom w:val="nil"/>
              <w:right w:val="nil"/>
            </w:tcBorders>
            <w:shd w:val="clear" w:color="auto" w:fill="E7E6E6"/>
          </w:tcPr>
          <w:p w:rsidR="00E8309B" w:rsidRDefault="009D0949">
            <w:pPr>
              <w:spacing w:after="0" w:line="259" w:lineRule="auto"/>
              <w:ind w:left="293" w:right="0" w:firstLine="0"/>
              <w:jc w:val="left"/>
            </w:pPr>
            <w:r>
              <w:rPr>
                <w:sz w:val="18"/>
              </w:rPr>
              <w:t xml:space="preserve">-5,0 </w:t>
            </w:r>
          </w:p>
        </w:tc>
        <w:tc>
          <w:tcPr>
            <w:tcW w:w="1018" w:type="dxa"/>
            <w:tcBorders>
              <w:top w:val="single" w:sz="4" w:space="0" w:color="002060"/>
              <w:left w:val="nil"/>
              <w:bottom w:val="nil"/>
              <w:right w:val="nil"/>
            </w:tcBorders>
            <w:shd w:val="clear" w:color="auto" w:fill="E7E6E6"/>
          </w:tcPr>
          <w:p w:rsidR="00E8309B" w:rsidRDefault="009D0949">
            <w:pPr>
              <w:spacing w:after="0" w:line="259" w:lineRule="auto"/>
              <w:ind w:left="254" w:right="0" w:firstLine="0"/>
              <w:jc w:val="left"/>
            </w:pPr>
            <w:r>
              <w:rPr>
                <w:sz w:val="18"/>
              </w:rPr>
              <w:t xml:space="preserve">40,3 </w:t>
            </w:r>
          </w:p>
        </w:tc>
      </w:tr>
      <w:tr w:rsidR="00E8309B">
        <w:trPr>
          <w:trHeight w:val="267"/>
        </w:trPr>
        <w:tc>
          <w:tcPr>
            <w:tcW w:w="2711" w:type="dxa"/>
            <w:tcBorders>
              <w:top w:val="nil"/>
              <w:left w:val="nil"/>
              <w:bottom w:val="nil"/>
              <w:right w:val="nil"/>
            </w:tcBorders>
          </w:tcPr>
          <w:p w:rsidR="00E8309B" w:rsidRDefault="009D0949">
            <w:pPr>
              <w:spacing w:after="0" w:line="259" w:lineRule="auto"/>
              <w:ind w:left="108" w:right="0" w:firstLine="0"/>
              <w:jc w:val="left"/>
            </w:pPr>
            <w:r>
              <w:rPr>
                <w:sz w:val="18"/>
              </w:rPr>
              <w:t xml:space="preserve">Текући приходи </w:t>
            </w:r>
          </w:p>
        </w:tc>
        <w:tc>
          <w:tcPr>
            <w:tcW w:w="1207" w:type="dxa"/>
            <w:tcBorders>
              <w:top w:val="nil"/>
              <w:left w:val="nil"/>
              <w:bottom w:val="nil"/>
              <w:right w:val="nil"/>
            </w:tcBorders>
          </w:tcPr>
          <w:p w:rsidR="00E8309B" w:rsidRDefault="009D0949">
            <w:pPr>
              <w:spacing w:after="0" w:line="259" w:lineRule="auto"/>
              <w:ind w:left="158" w:right="0" w:firstLine="0"/>
              <w:jc w:val="left"/>
            </w:pPr>
            <w:r>
              <w:rPr>
                <w:sz w:val="18"/>
              </w:rPr>
              <w:t xml:space="preserve">2.324,3 </w:t>
            </w:r>
          </w:p>
        </w:tc>
        <w:tc>
          <w:tcPr>
            <w:tcW w:w="1320" w:type="dxa"/>
            <w:tcBorders>
              <w:top w:val="nil"/>
              <w:left w:val="nil"/>
              <w:bottom w:val="nil"/>
              <w:right w:val="nil"/>
            </w:tcBorders>
          </w:tcPr>
          <w:p w:rsidR="00E8309B" w:rsidRDefault="009D0949">
            <w:pPr>
              <w:spacing w:after="0" w:line="259" w:lineRule="auto"/>
              <w:ind w:left="158" w:right="0" w:firstLine="0"/>
              <w:jc w:val="left"/>
            </w:pPr>
            <w:r>
              <w:rPr>
                <w:sz w:val="18"/>
              </w:rPr>
              <w:t xml:space="preserve">2.094,2 </w:t>
            </w:r>
          </w:p>
        </w:tc>
        <w:tc>
          <w:tcPr>
            <w:tcW w:w="1147" w:type="dxa"/>
            <w:tcBorders>
              <w:top w:val="nil"/>
              <w:left w:val="nil"/>
              <w:bottom w:val="nil"/>
              <w:right w:val="nil"/>
            </w:tcBorders>
          </w:tcPr>
          <w:p w:rsidR="00E8309B" w:rsidRDefault="009D0949">
            <w:pPr>
              <w:spacing w:after="0" w:line="259" w:lineRule="auto"/>
              <w:ind w:left="46" w:right="0" w:firstLine="0"/>
              <w:jc w:val="left"/>
            </w:pPr>
            <w:r>
              <w:rPr>
                <w:sz w:val="18"/>
              </w:rPr>
              <w:t xml:space="preserve">2.207,5 </w:t>
            </w:r>
          </w:p>
        </w:tc>
        <w:tc>
          <w:tcPr>
            <w:tcW w:w="1165" w:type="dxa"/>
            <w:tcBorders>
              <w:top w:val="nil"/>
              <w:left w:val="nil"/>
              <w:bottom w:val="nil"/>
              <w:right w:val="nil"/>
            </w:tcBorders>
          </w:tcPr>
          <w:p w:rsidR="00E8309B" w:rsidRDefault="009D0949">
            <w:pPr>
              <w:spacing w:after="0" w:line="259" w:lineRule="auto"/>
              <w:ind w:left="125" w:right="0" w:firstLine="0"/>
              <w:jc w:val="left"/>
            </w:pPr>
            <w:r>
              <w:rPr>
                <w:sz w:val="18"/>
              </w:rPr>
              <w:t xml:space="preserve">-116,8 </w:t>
            </w:r>
          </w:p>
        </w:tc>
        <w:tc>
          <w:tcPr>
            <w:tcW w:w="1214" w:type="dxa"/>
            <w:tcBorders>
              <w:top w:val="nil"/>
              <w:left w:val="nil"/>
              <w:bottom w:val="nil"/>
              <w:right w:val="nil"/>
            </w:tcBorders>
          </w:tcPr>
          <w:p w:rsidR="00E8309B" w:rsidRDefault="009D0949">
            <w:pPr>
              <w:spacing w:after="0" w:line="259" w:lineRule="auto"/>
              <w:ind w:left="293" w:right="0" w:firstLine="0"/>
              <w:jc w:val="left"/>
            </w:pPr>
            <w:r>
              <w:rPr>
                <w:sz w:val="18"/>
              </w:rPr>
              <w:t xml:space="preserve">-5,0 </w:t>
            </w:r>
          </w:p>
        </w:tc>
        <w:tc>
          <w:tcPr>
            <w:tcW w:w="1018" w:type="dxa"/>
            <w:tcBorders>
              <w:top w:val="nil"/>
              <w:left w:val="nil"/>
              <w:bottom w:val="nil"/>
              <w:right w:val="nil"/>
            </w:tcBorders>
          </w:tcPr>
          <w:p w:rsidR="00E8309B" w:rsidRDefault="009D0949">
            <w:pPr>
              <w:spacing w:after="0" w:line="259" w:lineRule="auto"/>
              <w:ind w:left="254" w:right="0" w:firstLine="0"/>
              <w:jc w:val="left"/>
            </w:pPr>
            <w:r>
              <w:rPr>
                <w:sz w:val="18"/>
              </w:rPr>
              <w:t xml:space="preserve">40,0 </w:t>
            </w:r>
          </w:p>
        </w:tc>
      </w:tr>
      <w:tr w:rsidR="00E8309B">
        <w:trPr>
          <w:trHeight w:val="266"/>
        </w:trPr>
        <w:tc>
          <w:tcPr>
            <w:tcW w:w="2711" w:type="dxa"/>
            <w:tcBorders>
              <w:top w:val="nil"/>
              <w:left w:val="nil"/>
              <w:bottom w:val="nil"/>
              <w:right w:val="nil"/>
            </w:tcBorders>
          </w:tcPr>
          <w:p w:rsidR="00E8309B" w:rsidRDefault="009D0949">
            <w:pPr>
              <w:spacing w:after="0" w:line="259" w:lineRule="auto"/>
              <w:ind w:left="108" w:right="0" w:firstLine="0"/>
              <w:jc w:val="left"/>
            </w:pPr>
            <w:r>
              <w:rPr>
                <w:sz w:val="18"/>
              </w:rPr>
              <w:t xml:space="preserve">Порески приходи </w:t>
            </w:r>
          </w:p>
        </w:tc>
        <w:tc>
          <w:tcPr>
            <w:tcW w:w="1207" w:type="dxa"/>
            <w:tcBorders>
              <w:top w:val="nil"/>
              <w:left w:val="nil"/>
              <w:bottom w:val="nil"/>
              <w:right w:val="nil"/>
            </w:tcBorders>
          </w:tcPr>
          <w:p w:rsidR="00E8309B" w:rsidRDefault="009D0949">
            <w:pPr>
              <w:spacing w:after="0" w:line="259" w:lineRule="auto"/>
              <w:ind w:left="158" w:right="0" w:firstLine="0"/>
              <w:jc w:val="left"/>
            </w:pPr>
            <w:r>
              <w:rPr>
                <w:sz w:val="18"/>
              </w:rPr>
              <w:t xml:space="preserve">2.084,5 </w:t>
            </w:r>
          </w:p>
        </w:tc>
        <w:tc>
          <w:tcPr>
            <w:tcW w:w="1320" w:type="dxa"/>
            <w:tcBorders>
              <w:top w:val="nil"/>
              <w:left w:val="nil"/>
              <w:bottom w:val="nil"/>
              <w:right w:val="nil"/>
            </w:tcBorders>
          </w:tcPr>
          <w:p w:rsidR="00E8309B" w:rsidRDefault="009D0949">
            <w:pPr>
              <w:spacing w:after="0" w:line="259" w:lineRule="auto"/>
              <w:ind w:left="158" w:right="0" w:firstLine="0"/>
              <w:jc w:val="left"/>
            </w:pPr>
            <w:r>
              <w:rPr>
                <w:sz w:val="18"/>
              </w:rPr>
              <w:t xml:space="preserve">1.867,8 </w:t>
            </w:r>
          </w:p>
        </w:tc>
        <w:tc>
          <w:tcPr>
            <w:tcW w:w="1147" w:type="dxa"/>
            <w:tcBorders>
              <w:top w:val="nil"/>
              <w:left w:val="nil"/>
              <w:bottom w:val="nil"/>
              <w:right w:val="nil"/>
            </w:tcBorders>
          </w:tcPr>
          <w:p w:rsidR="00E8309B" w:rsidRDefault="009D0949">
            <w:pPr>
              <w:spacing w:after="0" w:line="259" w:lineRule="auto"/>
              <w:ind w:left="46" w:right="0" w:firstLine="0"/>
              <w:jc w:val="left"/>
            </w:pPr>
            <w:r>
              <w:rPr>
                <w:sz w:val="18"/>
              </w:rPr>
              <w:t xml:space="preserve">1.962,3 </w:t>
            </w:r>
          </w:p>
        </w:tc>
        <w:tc>
          <w:tcPr>
            <w:tcW w:w="1165" w:type="dxa"/>
            <w:tcBorders>
              <w:top w:val="nil"/>
              <w:left w:val="nil"/>
              <w:bottom w:val="nil"/>
              <w:right w:val="nil"/>
            </w:tcBorders>
          </w:tcPr>
          <w:p w:rsidR="00E8309B" w:rsidRDefault="009D0949">
            <w:pPr>
              <w:spacing w:after="0" w:line="259" w:lineRule="auto"/>
              <w:ind w:left="125" w:right="0" w:firstLine="0"/>
              <w:jc w:val="left"/>
            </w:pPr>
            <w:r>
              <w:rPr>
                <w:sz w:val="18"/>
              </w:rPr>
              <w:t xml:space="preserve">-122,2 </w:t>
            </w:r>
          </w:p>
        </w:tc>
        <w:tc>
          <w:tcPr>
            <w:tcW w:w="1214" w:type="dxa"/>
            <w:tcBorders>
              <w:top w:val="nil"/>
              <w:left w:val="nil"/>
              <w:bottom w:val="nil"/>
              <w:right w:val="nil"/>
            </w:tcBorders>
          </w:tcPr>
          <w:p w:rsidR="00E8309B" w:rsidRDefault="009D0949">
            <w:pPr>
              <w:spacing w:after="0" w:line="259" w:lineRule="auto"/>
              <w:ind w:left="293" w:right="0" w:firstLine="0"/>
              <w:jc w:val="left"/>
            </w:pPr>
            <w:r>
              <w:rPr>
                <w:sz w:val="18"/>
              </w:rPr>
              <w:t xml:space="preserve">-5,9 </w:t>
            </w:r>
          </w:p>
        </w:tc>
        <w:tc>
          <w:tcPr>
            <w:tcW w:w="1018" w:type="dxa"/>
            <w:tcBorders>
              <w:top w:val="nil"/>
              <w:left w:val="nil"/>
              <w:bottom w:val="nil"/>
              <w:right w:val="nil"/>
            </w:tcBorders>
          </w:tcPr>
          <w:p w:rsidR="00E8309B" w:rsidRDefault="009D0949">
            <w:pPr>
              <w:spacing w:after="0" w:line="259" w:lineRule="auto"/>
              <w:ind w:left="254" w:right="0" w:firstLine="0"/>
              <w:jc w:val="left"/>
            </w:pPr>
            <w:r>
              <w:rPr>
                <w:sz w:val="18"/>
              </w:rPr>
              <w:t xml:space="preserve">35,6 </w:t>
            </w:r>
          </w:p>
        </w:tc>
      </w:tr>
      <w:tr w:rsidR="00E8309B">
        <w:trPr>
          <w:trHeight w:val="268"/>
        </w:trPr>
        <w:tc>
          <w:tcPr>
            <w:tcW w:w="2711" w:type="dxa"/>
            <w:tcBorders>
              <w:top w:val="nil"/>
              <w:left w:val="nil"/>
              <w:bottom w:val="nil"/>
              <w:right w:val="nil"/>
            </w:tcBorders>
          </w:tcPr>
          <w:p w:rsidR="00E8309B" w:rsidRDefault="009D0949">
            <w:pPr>
              <w:spacing w:after="0" w:line="259" w:lineRule="auto"/>
              <w:ind w:left="108" w:right="0" w:firstLine="0"/>
              <w:jc w:val="left"/>
            </w:pPr>
            <w:r>
              <w:rPr>
                <w:sz w:val="18"/>
              </w:rPr>
              <w:t xml:space="preserve">Порез на доходак грађана </w:t>
            </w:r>
          </w:p>
        </w:tc>
        <w:tc>
          <w:tcPr>
            <w:tcW w:w="1207" w:type="dxa"/>
            <w:tcBorders>
              <w:top w:val="nil"/>
              <w:left w:val="nil"/>
              <w:bottom w:val="nil"/>
              <w:right w:val="nil"/>
            </w:tcBorders>
          </w:tcPr>
          <w:p w:rsidR="00E8309B" w:rsidRDefault="009D0949">
            <w:pPr>
              <w:spacing w:after="0" w:line="259" w:lineRule="auto"/>
              <w:ind w:left="293" w:right="0" w:firstLine="0"/>
              <w:jc w:val="left"/>
            </w:pPr>
            <w:r>
              <w:rPr>
                <w:sz w:val="18"/>
              </w:rPr>
              <w:t xml:space="preserve">215,8 </w:t>
            </w:r>
          </w:p>
        </w:tc>
        <w:tc>
          <w:tcPr>
            <w:tcW w:w="1320" w:type="dxa"/>
            <w:tcBorders>
              <w:top w:val="nil"/>
              <w:left w:val="nil"/>
              <w:bottom w:val="nil"/>
              <w:right w:val="nil"/>
            </w:tcBorders>
          </w:tcPr>
          <w:p w:rsidR="00E8309B" w:rsidRDefault="009D0949">
            <w:pPr>
              <w:spacing w:after="0" w:line="259" w:lineRule="auto"/>
              <w:ind w:left="293" w:right="0" w:firstLine="0"/>
              <w:jc w:val="left"/>
            </w:pPr>
            <w:r>
              <w:rPr>
                <w:sz w:val="18"/>
              </w:rPr>
              <w:t xml:space="preserve">180,0 </w:t>
            </w:r>
          </w:p>
        </w:tc>
        <w:tc>
          <w:tcPr>
            <w:tcW w:w="1147" w:type="dxa"/>
            <w:tcBorders>
              <w:top w:val="nil"/>
              <w:left w:val="nil"/>
              <w:bottom w:val="nil"/>
              <w:right w:val="nil"/>
            </w:tcBorders>
          </w:tcPr>
          <w:p w:rsidR="00E8309B" w:rsidRDefault="009D0949">
            <w:pPr>
              <w:spacing w:after="0" w:line="259" w:lineRule="auto"/>
              <w:ind w:left="180" w:right="0" w:firstLine="0"/>
              <w:jc w:val="left"/>
            </w:pPr>
            <w:r>
              <w:rPr>
                <w:sz w:val="18"/>
              </w:rPr>
              <w:t xml:space="preserve">202,1 </w:t>
            </w:r>
          </w:p>
        </w:tc>
        <w:tc>
          <w:tcPr>
            <w:tcW w:w="1165" w:type="dxa"/>
            <w:tcBorders>
              <w:top w:val="nil"/>
              <w:left w:val="nil"/>
              <w:bottom w:val="nil"/>
              <w:right w:val="nil"/>
            </w:tcBorders>
          </w:tcPr>
          <w:p w:rsidR="00E8309B" w:rsidRDefault="009D0949">
            <w:pPr>
              <w:spacing w:after="0" w:line="259" w:lineRule="auto"/>
              <w:ind w:left="216" w:right="0" w:firstLine="0"/>
              <w:jc w:val="left"/>
            </w:pPr>
            <w:r>
              <w:rPr>
                <w:sz w:val="18"/>
              </w:rPr>
              <w:t xml:space="preserve">-13,7 </w:t>
            </w:r>
          </w:p>
        </w:tc>
        <w:tc>
          <w:tcPr>
            <w:tcW w:w="1214" w:type="dxa"/>
            <w:tcBorders>
              <w:top w:val="nil"/>
              <w:left w:val="nil"/>
              <w:bottom w:val="nil"/>
              <w:right w:val="nil"/>
            </w:tcBorders>
          </w:tcPr>
          <w:p w:rsidR="00E8309B" w:rsidRDefault="009D0949">
            <w:pPr>
              <w:spacing w:after="0" w:line="259" w:lineRule="auto"/>
              <w:ind w:left="293" w:right="0" w:firstLine="0"/>
              <w:jc w:val="left"/>
            </w:pPr>
            <w:r>
              <w:rPr>
                <w:sz w:val="18"/>
              </w:rPr>
              <w:t xml:space="preserve">-6,3 </w:t>
            </w:r>
          </w:p>
        </w:tc>
        <w:tc>
          <w:tcPr>
            <w:tcW w:w="1018" w:type="dxa"/>
            <w:tcBorders>
              <w:top w:val="nil"/>
              <w:left w:val="nil"/>
              <w:bottom w:val="nil"/>
              <w:right w:val="nil"/>
            </w:tcBorders>
          </w:tcPr>
          <w:p w:rsidR="00E8309B" w:rsidRDefault="009D0949">
            <w:pPr>
              <w:spacing w:after="0" w:line="259" w:lineRule="auto"/>
              <w:ind w:right="0" w:firstLine="0"/>
              <w:jc w:val="center"/>
            </w:pPr>
            <w:r>
              <w:rPr>
                <w:sz w:val="18"/>
              </w:rPr>
              <w:t xml:space="preserve">3,7 </w:t>
            </w:r>
          </w:p>
        </w:tc>
      </w:tr>
      <w:tr w:rsidR="00E8309B">
        <w:trPr>
          <w:trHeight w:val="268"/>
        </w:trPr>
        <w:tc>
          <w:tcPr>
            <w:tcW w:w="2711" w:type="dxa"/>
            <w:tcBorders>
              <w:top w:val="nil"/>
              <w:left w:val="nil"/>
              <w:bottom w:val="nil"/>
              <w:right w:val="nil"/>
            </w:tcBorders>
          </w:tcPr>
          <w:p w:rsidR="00E8309B" w:rsidRDefault="009D0949">
            <w:pPr>
              <w:spacing w:after="0" w:line="259" w:lineRule="auto"/>
              <w:ind w:left="108" w:right="0" w:firstLine="0"/>
              <w:jc w:val="left"/>
            </w:pPr>
            <w:r>
              <w:rPr>
                <w:sz w:val="18"/>
              </w:rPr>
              <w:t xml:space="preserve">Порез на добит правних лица </w:t>
            </w:r>
          </w:p>
        </w:tc>
        <w:tc>
          <w:tcPr>
            <w:tcW w:w="1207" w:type="dxa"/>
            <w:tcBorders>
              <w:top w:val="nil"/>
              <w:left w:val="nil"/>
              <w:bottom w:val="nil"/>
              <w:right w:val="nil"/>
            </w:tcBorders>
          </w:tcPr>
          <w:p w:rsidR="00E8309B" w:rsidRDefault="009D0949">
            <w:pPr>
              <w:spacing w:after="0" w:line="259" w:lineRule="auto"/>
              <w:ind w:left="293" w:right="0" w:firstLine="0"/>
              <w:jc w:val="left"/>
            </w:pPr>
            <w:r>
              <w:rPr>
                <w:sz w:val="18"/>
              </w:rPr>
              <w:t xml:space="preserve">114,4 </w:t>
            </w:r>
          </w:p>
        </w:tc>
        <w:tc>
          <w:tcPr>
            <w:tcW w:w="1320" w:type="dxa"/>
            <w:tcBorders>
              <w:top w:val="nil"/>
              <w:left w:val="nil"/>
              <w:bottom w:val="nil"/>
              <w:right w:val="nil"/>
            </w:tcBorders>
          </w:tcPr>
          <w:p w:rsidR="00E8309B" w:rsidRDefault="009D0949">
            <w:pPr>
              <w:spacing w:after="0" w:line="259" w:lineRule="auto"/>
              <w:ind w:left="384" w:right="0" w:firstLine="0"/>
              <w:jc w:val="left"/>
            </w:pPr>
            <w:r>
              <w:rPr>
                <w:sz w:val="18"/>
              </w:rPr>
              <w:t xml:space="preserve">98,6 </w:t>
            </w:r>
          </w:p>
        </w:tc>
        <w:tc>
          <w:tcPr>
            <w:tcW w:w="1147" w:type="dxa"/>
            <w:tcBorders>
              <w:top w:val="nil"/>
              <w:left w:val="nil"/>
              <w:bottom w:val="nil"/>
              <w:right w:val="nil"/>
            </w:tcBorders>
          </w:tcPr>
          <w:p w:rsidR="00E8309B" w:rsidRDefault="009D0949">
            <w:pPr>
              <w:spacing w:after="0" w:line="259" w:lineRule="auto"/>
              <w:ind w:left="180" w:right="0" w:firstLine="0"/>
              <w:jc w:val="left"/>
            </w:pPr>
            <w:r>
              <w:rPr>
                <w:sz w:val="18"/>
              </w:rPr>
              <w:t xml:space="preserve">122,3 </w:t>
            </w:r>
          </w:p>
        </w:tc>
        <w:tc>
          <w:tcPr>
            <w:tcW w:w="1165" w:type="dxa"/>
            <w:tcBorders>
              <w:top w:val="nil"/>
              <w:left w:val="nil"/>
              <w:bottom w:val="nil"/>
              <w:right w:val="nil"/>
            </w:tcBorders>
          </w:tcPr>
          <w:p w:rsidR="00E8309B" w:rsidRDefault="009D0949">
            <w:pPr>
              <w:spacing w:after="0" w:line="259" w:lineRule="auto"/>
              <w:ind w:left="365" w:right="0" w:firstLine="0"/>
              <w:jc w:val="left"/>
            </w:pPr>
            <w:r>
              <w:rPr>
                <w:sz w:val="18"/>
              </w:rPr>
              <w:t xml:space="preserve">7,9 </w:t>
            </w:r>
          </w:p>
        </w:tc>
        <w:tc>
          <w:tcPr>
            <w:tcW w:w="1214" w:type="dxa"/>
            <w:tcBorders>
              <w:top w:val="nil"/>
              <w:left w:val="nil"/>
              <w:bottom w:val="nil"/>
              <w:right w:val="nil"/>
            </w:tcBorders>
          </w:tcPr>
          <w:p w:rsidR="00E8309B" w:rsidRDefault="009D0949">
            <w:pPr>
              <w:spacing w:after="0" w:line="259" w:lineRule="auto"/>
              <w:ind w:left="353" w:right="0" w:firstLine="0"/>
              <w:jc w:val="left"/>
            </w:pPr>
            <w:r>
              <w:rPr>
                <w:sz w:val="18"/>
              </w:rPr>
              <w:t xml:space="preserve">6,9 </w:t>
            </w:r>
          </w:p>
        </w:tc>
        <w:tc>
          <w:tcPr>
            <w:tcW w:w="1018" w:type="dxa"/>
            <w:tcBorders>
              <w:top w:val="nil"/>
              <w:left w:val="nil"/>
              <w:bottom w:val="nil"/>
              <w:right w:val="nil"/>
            </w:tcBorders>
          </w:tcPr>
          <w:p w:rsidR="00E8309B" w:rsidRDefault="009D0949">
            <w:pPr>
              <w:spacing w:after="0" w:line="259" w:lineRule="auto"/>
              <w:ind w:right="0" w:firstLine="0"/>
              <w:jc w:val="center"/>
            </w:pPr>
            <w:r>
              <w:rPr>
                <w:sz w:val="18"/>
              </w:rPr>
              <w:t xml:space="preserve">2,2 </w:t>
            </w:r>
          </w:p>
        </w:tc>
      </w:tr>
      <w:tr w:rsidR="00E8309B">
        <w:trPr>
          <w:trHeight w:val="266"/>
        </w:trPr>
        <w:tc>
          <w:tcPr>
            <w:tcW w:w="2711" w:type="dxa"/>
            <w:tcBorders>
              <w:top w:val="nil"/>
              <w:left w:val="nil"/>
              <w:bottom w:val="nil"/>
              <w:right w:val="nil"/>
            </w:tcBorders>
          </w:tcPr>
          <w:p w:rsidR="00E8309B" w:rsidRDefault="009D0949">
            <w:pPr>
              <w:spacing w:after="0" w:line="259" w:lineRule="auto"/>
              <w:ind w:left="108" w:right="0" w:firstLine="0"/>
              <w:jc w:val="left"/>
            </w:pPr>
            <w:r>
              <w:rPr>
                <w:sz w:val="18"/>
              </w:rPr>
              <w:t xml:space="preserve">ПДВ </w:t>
            </w:r>
          </w:p>
        </w:tc>
        <w:tc>
          <w:tcPr>
            <w:tcW w:w="1207" w:type="dxa"/>
            <w:tcBorders>
              <w:top w:val="nil"/>
              <w:left w:val="nil"/>
              <w:bottom w:val="nil"/>
              <w:right w:val="nil"/>
            </w:tcBorders>
          </w:tcPr>
          <w:p w:rsidR="00E8309B" w:rsidRDefault="009D0949">
            <w:pPr>
              <w:spacing w:after="0" w:line="259" w:lineRule="auto"/>
              <w:ind w:left="293" w:right="0" w:firstLine="0"/>
              <w:jc w:val="left"/>
            </w:pPr>
            <w:r>
              <w:rPr>
                <w:sz w:val="18"/>
              </w:rPr>
              <w:t xml:space="preserve">582,0 </w:t>
            </w:r>
          </w:p>
        </w:tc>
        <w:tc>
          <w:tcPr>
            <w:tcW w:w="1320" w:type="dxa"/>
            <w:tcBorders>
              <w:top w:val="nil"/>
              <w:left w:val="nil"/>
              <w:bottom w:val="nil"/>
              <w:right w:val="nil"/>
            </w:tcBorders>
          </w:tcPr>
          <w:p w:rsidR="00E8309B" w:rsidRDefault="009D0949">
            <w:pPr>
              <w:spacing w:after="0" w:line="259" w:lineRule="auto"/>
              <w:ind w:left="293" w:right="0" w:firstLine="0"/>
              <w:jc w:val="left"/>
            </w:pPr>
            <w:r>
              <w:rPr>
                <w:sz w:val="18"/>
              </w:rPr>
              <w:t xml:space="preserve">565,8 </w:t>
            </w:r>
          </w:p>
        </w:tc>
        <w:tc>
          <w:tcPr>
            <w:tcW w:w="1147" w:type="dxa"/>
            <w:tcBorders>
              <w:top w:val="nil"/>
              <w:left w:val="nil"/>
              <w:bottom w:val="nil"/>
              <w:right w:val="nil"/>
            </w:tcBorders>
          </w:tcPr>
          <w:p w:rsidR="00E8309B" w:rsidRDefault="009D0949">
            <w:pPr>
              <w:spacing w:after="0" w:line="259" w:lineRule="auto"/>
              <w:ind w:left="180" w:right="0" w:firstLine="0"/>
              <w:jc w:val="left"/>
            </w:pPr>
            <w:r>
              <w:rPr>
                <w:sz w:val="18"/>
              </w:rPr>
              <w:t xml:space="preserve">547,5 </w:t>
            </w:r>
          </w:p>
        </w:tc>
        <w:tc>
          <w:tcPr>
            <w:tcW w:w="1165" w:type="dxa"/>
            <w:tcBorders>
              <w:top w:val="nil"/>
              <w:left w:val="nil"/>
              <w:bottom w:val="nil"/>
              <w:right w:val="nil"/>
            </w:tcBorders>
          </w:tcPr>
          <w:p w:rsidR="00E8309B" w:rsidRDefault="009D0949">
            <w:pPr>
              <w:spacing w:after="0" w:line="259" w:lineRule="auto"/>
              <w:ind w:left="216" w:right="0" w:firstLine="0"/>
              <w:jc w:val="left"/>
            </w:pPr>
            <w:r>
              <w:rPr>
                <w:sz w:val="18"/>
              </w:rPr>
              <w:t xml:space="preserve">-34,5 </w:t>
            </w:r>
          </w:p>
        </w:tc>
        <w:tc>
          <w:tcPr>
            <w:tcW w:w="1214" w:type="dxa"/>
            <w:tcBorders>
              <w:top w:val="nil"/>
              <w:left w:val="nil"/>
              <w:bottom w:val="nil"/>
              <w:right w:val="nil"/>
            </w:tcBorders>
          </w:tcPr>
          <w:p w:rsidR="00E8309B" w:rsidRDefault="009D0949">
            <w:pPr>
              <w:spacing w:after="0" w:line="259" w:lineRule="auto"/>
              <w:ind w:left="293" w:right="0" w:firstLine="0"/>
              <w:jc w:val="left"/>
            </w:pPr>
            <w:r>
              <w:rPr>
                <w:sz w:val="18"/>
              </w:rPr>
              <w:t xml:space="preserve">-5,9 </w:t>
            </w:r>
          </w:p>
        </w:tc>
        <w:tc>
          <w:tcPr>
            <w:tcW w:w="1018" w:type="dxa"/>
            <w:tcBorders>
              <w:top w:val="nil"/>
              <w:left w:val="nil"/>
              <w:bottom w:val="nil"/>
              <w:right w:val="nil"/>
            </w:tcBorders>
          </w:tcPr>
          <w:p w:rsidR="00E8309B" w:rsidRDefault="009D0949">
            <w:pPr>
              <w:spacing w:after="0" w:line="259" w:lineRule="auto"/>
              <w:ind w:right="0" w:firstLine="0"/>
              <w:jc w:val="center"/>
            </w:pPr>
            <w:r>
              <w:rPr>
                <w:sz w:val="18"/>
              </w:rPr>
              <w:t xml:space="preserve">9,9 </w:t>
            </w:r>
          </w:p>
        </w:tc>
      </w:tr>
      <w:tr w:rsidR="00E8309B">
        <w:trPr>
          <w:trHeight w:val="266"/>
        </w:trPr>
        <w:tc>
          <w:tcPr>
            <w:tcW w:w="2711" w:type="dxa"/>
            <w:tcBorders>
              <w:top w:val="nil"/>
              <w:left w:val="nil"/>
              <w:bottom w:val="nil"/>
              <w:right w:val="nil"/>
            </w:tcBorders>
          </w:tcPr>
          <w:p w:rsidR="00E8309B" w:rsidRDefault="009D0949">
            <w:pPr>
              <w:spacing w:after="0" w:line="259" w:lineRule="auto"/>
              <w:ind w:left="108" w:right="0" w:firstLine="0"/>
              <w:jc w:val="left"/>
            </w:pPr>
            <w:r>
              <w:rPr>
                <w:sz w:val="18"/>
              </w:rPr>
              <w:t xml:space="preserve">Акцизе </w:t>
            </w:r>
          </w:p>
        </w:tc>
        <w:tc>
          <w:tcPr>
            <w:tcW w:w="1207" w:type="dxa"/>
            <w:tcBorders>
              <w:top w:val="nil"/>
              <w:left w:val="nil"/>
              <w:bottom w:val="nil"/>
              <w:right w:val="nil"/>
            </w:tcBorders>
          </w:tcPr>
          <w:p w:rsidR="00E8309B" w:rsidRDefault="009D0949">
            <w:pPr>
              <w:spacing w:after="0" w:line="259" w:lineRule="auto"/>
              <w:ind w:left="293" w:right="0" w:firstLine="0"/>
              <w:jc w:val="left"/>
            </w:pPr>
            <w:r>
              <w:rPr>
                <w:sz w:val="18"/>
              </w:rPr>
              <w:t xml:space="preserve">311,1 </w:t>
            </w:r>
          </w:p>
        </w:tc>
        <w:tc>
          <w:tcPr>
            <w:tcW w:w="1320" w:type="dxa"/>
            <w:tcBorders>
              <w:top w:val="nil"/>
              <w:left w:val="nil"/>
              <w:bottom w:val="nil"/>
              <w:right w:val="nil"/>
            </w:tcBorders>
          </w:tcPr>
          <w:p w:rsidR="00E8309B" w:rsidRDefault="009D0949">
            <w:pPr>
              <w:spacing w:after="0" w:line="259" w:lineRule="auto"/>
              <w:ind w:left="293" w:right="0" w:firstLine="0"/>
              <w:jc w:val="left"/>
            </w:pPr>
            <w:r>
              <w:rPr>
                <w:sz w:val="18"/>
              </w:rPr>
              <w:t xml:space="preserve">296,1 </w:t>
            </w:r>
          </w:p>
        </w:tc>
        <w:tc>
          <w:tcPr>
            <w:tcW w:w="1147" w:type="dxa"/>
            <w:tcBorders>
              <w:top w:val="nil"/>
              <w:left w:val="nil"/>
              <w:bottom w:val="nil"/>
              <w:right w:val="nil"/>
            </w:tcBorders>
          </w:tcPr>
          <w:p w:rsidR="00E8309B" w:rsidRDefault="009D0949">
            <w:pPr>
              <w:spacing w:after="0" w:line="259" w:lineRule="auto"/>
              <w:ind w:left="180" w:right="0" w:firstLine="0"/>
              <w:jc w:val="left"/>
            </w:pPr>
            <w:r>
              <w:rPr>
                <w:sz w:val="18"/>
              </w:rPr>
              <w:t xml:space="preserve">299,7 </w:t>
            </w:r>
          </w:p>
        </w:tc>
        <w:tc>
          <w:tcPr>
            <w:tcW w:w="1165" w:type="dxa"/>
            <w:tcBorders>
              <w:top w:val="nil"/>
              <w:left w:val="nil"/>
              <w:bottom w:val="nil"/>
              <w:right w:val="nil"/>
            </w:tcBorders>
          </w:tcPr>
          <w:p w:rsidR="00E8309B" w:rsidRDefault="009D0949">
            <w:pPr>
              <w:spacing w:after="0" w:line="259" w:lineRule="auto"/>
              <w:ind w:left="216" w:right="0" w:firstLine="0"/>
              <w:jc w:val="left"/>
            </w:pPr>
            <w:r>
              <w:rPr>
                <w:sz w:val="18"/>
              </w:rPr>
              <w:t xml:space="preserve">-11,4 </w:t>
            </w:r>
          </w:p>
        </w:tc>
        <w:tc>
          <w:tcPr>
            <w:tcW w:w="1214" w:type="dxa"/>
            <w:tcBorders>
              <w:top w:val="nil"/>
              <w:left w:val="nil"/>
              <w:bottom w:val="nil"/>
              <w:right w:val="nil"/>
            </w:tcBorders>
          </w:tcPr>
          <w:p w:rsidR="00E8309B" w:rsidRDefault="009D0949">
            <w:pPr>
              <w:spacing w:after="0" w:line="259" w:lineRule="auto"/>
              <w:ind w:left="293" w:right="0" w:firstLine="0"/>
              <w:jc w:val="left"/>
            </w:pPr>
            <w:r>
              <w:rPr>
                <w:sz w:val="18"/>
              </w:rPr>
              <w:t xml:space="preserve">-3,7 </w:t>
            </w:r>
          </w:p>
        </w:tc>
        <w:tc>
          <w:tcPr>
            <w:tcW w:w="1018" w:type="dxa"/>
            <w:tcBorders>
              <w:top w:val="nil"/>
              <w:left w:val="nil"/>
              <w:bottom w:val="nil"/>
              <w:right w:val="nil"/>
            </w:tcBorders>
          </w:tcPr>
          <w:p w:rsidR="00E8309B" w:rsidRDefault="009D0949">
            <w:pPr>
              <w:spacing w:after="0" w:line="259" w:lineRule="auto"/>
              <w:ind w:right="0" w:firstLine="0"/>
              <w:jc w:val="center"/>
            </w:pPr>
            <w:r>
              <w:rPr>
                <w:sz w:val="18"/>
              </w:rPr>
              <w:t xml:space="preserve">5,4 </w:t>
            </w:r>
          </w:p>
        </w:tc>
      </w:tr>
      <w:tr w:rsidR="00E8309B">
        <w:trPr>
          <w:trHeight w:val="268"/>
        </w:trPr>
        <w:tc>
          <w:tcPr>
            <w:tcW w:w="2711" w:type="dxa"/>
            <w:tcBorders>
              <w:top w:val="nil"/>
              <w:left w:val="nil"/>
              <w:bottom w:val="nil"/>
              <w:right w:val="nil"/>
            </w:tcBorders>
          </w:tcPr>
          <w:p w:rsidR="00E8309B" w:rsidRDefault="009D0949">
            <w:pPr>
              <w:spacing w:after="0" w:line="259" w:lineRule="auto"/>
              <w:ind w:left="108" w:right="0" w:firstLine="0"/>
              <w:jc w:val="left"/>
            </w:pPr>
            <w:r>
              <w:rPr>
                <w:sz w:val="18"/>
              </w:rPr>
              <w:t xml:space="preserve">Царине </w:t>
            </w:r>
          </w:p>
        </w:tc>
        <w:tc>
          <w:tcPr>
            <w:tcW w:w="1207" w:type="dxa"/>
            <w:tcBorders>
              <w:top w:val="nil"/>
              <w:left w:val="nil"/>
              <w:bottom w:val="nil"/>
              <w:right w:val="nil"/>
            </w:tcBorders>
          </w:tcPr>
          <w:p w:rsidR="00E8309B" w:rsidRDefault="009D0949">
            <w:pPr>
              <w:spacing w:after="0" w:line="259" w:lineRule="auto"/>
              <w:ind w:left="0" w:right="9" w:firstLine="0"/>
              <w:jc w:val="center"/>
            </w:pPr>
            <w:r>
              <w:rPr>
                <w:sz w:val="18"/>
              </w:rPr>
              <w:t xml:space="preserve">52,0 </w:t>
            </w:r>
          </w:p>
        </w:tc>
        <w:tc>
          <w:tcPr>
            <w:tcW w:w="1320" w:type="dxa"/>
            <w:tcBorders>
              <w:top w:val="nil"/>
              <w:left w:val="nil"/>
              <w:bottom w:val="nil"/>
              <w:right w:val="nil"/>
            </w:tcBorders>
          </w:tcPr>
          <w:p w:rsidR="00E8309B" w:rsidRDefault="009D0949">
            <w:pPr>
              <w:spacing w:after="0" w:line="259" w:lineRule="auto"/>
              <w:ind w:left="384" w:right="0" w:firstLine="0"/>
              <w:jc w:val="left"/>
            </w:pPr>
            <w:r>
              <w:rPr>
                <w:sz w:val="18"/>
              </w:rPr>
              <w:t xml:space="preserve">44,4 </w:t>
            </w:r>
          </w:p>
        </w:tc>
        <w:tc>
          <w:tcPr>
            <w:tcW w:w="1147" w:type="dxa"/>
            <w:tcBorders>
              <w:top w:val="nil"/>
              <w:left w:val="nil"/>
              <w:bottom w:val="nil"/>
              <w:right w:val="nil"/>
            </w:tcBorders>
          </w:tcPr>
          <w:p w:rsidR="00E8309B" w:rsidRDefault="009D0949">
            <w:pPr>
              <w:spacing w:after="0" w:line="259" w:lineRule="auto"/>
              <w:ind w:left="271" w:right="0" w:firstLine="0"/>
              <w:jc w:val="left"/>
            </w:pPr>
            <w:r>
              <w:rPr>
                <w:sz w:val="18"/>
              </w:rPr>
              <w:t xml:space="preserve">51,0 </w:t>
            </w:r>
          </w:p>
        </w:tc>
        <w:tc>
          <w:tcPr>
            <w:tcW w:w="1165" w:type="dxa"/>
            <w:tcBorders>
              <w:top w:val="nil"/>
              <w:left w:val="nil"/>
              <w:bottom w:val="nil"/>
              <w:right w:val="nil"/>
            </w:tcBorders>
          </w:tcPr>
          <w:p w:rsidR="00E8309B" w:rsidRDefault="009D0949">
            <w:pPr>
              <w:spacing w:after="0" w:line="259" w:lineRule="auto"/>
              <w:ind w:left="305" w:right="0" w:firstLine="0"/>
              <w:jc w:val="left"/>
            </w:pPr>
            <w:r>
              <w:rPr>
                <w:sz w:val="18"/>
              </w:rPr>
              <w:t xml:space="preserve">-1,0 </w:t>
            </w:r>
          </w:p>
        </w:tc>
        <w:tc>
          <w:tcPr>
            <w:tcW w:w="1214" w:type="dxa"/>
            <w:tcBorders>
              <w:top w:val="nil"/>
              <w:left w:val="nil"/>
              <w:bottom w:val="nil"/>
              <w:right w:val="nil"/>
            </w:tcBorders>
          </w:tcPr>
          <w:p w:rsidR="00E8309B" w:rsidRDefault="009D0949">
            <w:pPr>
              <w:spacing w:after="0" w:line="259" w:lineRule="auto"/>
              <w:ind w:left="293" w:right="0" w:firstLine="0"/>
              <w:jc w:val="left"/>
            </w:pPr>
            <w:r>
              <w:rPr>
                <w:sz w:val="18"/>
              </w:rPr>
              <w:t xml:space="preserve">-1,9 </w:t>
            </w:r>
          </w:p>
        </w:tc>
        <w:tc>
          <w:tcPr>
            <w:tcW w:w="1018" w:type="dxa"/>
            <w:tcBorders>
              <w:top w:val="nil"/>
              <w:left w:val="nil"/>
              <w:bottom w:val="nil"/>
              <w:right w:val="nil"/>
            </w:tcBorders>
          </w:tcPr>
          <w:p w:rsidR="00E8309B" w:rsidRDefault="009D0949">
            <w:pPr>
              <w:spacing w:after="0" w:line="259" w:lineRule="auto"/>
              <w:ind w:right="0" w:firstLine="0"/>
              <w:jc w:val="center"/>
            </w:pPr>
            <w:r>
              <w:rPr>
                <w:sz w:val="18"/>
              </w:rPr>
              <w:t xml:space="preserve">0,9 </w:t>
            </w:r>
          </w:p>
        </w:tc>
      </w:tr>
      <w:tr w:rsidR="00E8309B">
        <w:trPr>
          <w:trHeight w:val="268"/>
        </w:trPr>
        <w:tc>
          <w:tcPr>
            <w:tcW w:w="2711" w:type="dxa"/>
            <w:tcBorders>
              <w:top w:val="nil"/>
              <w:left w:val="nil"/>
              <w:bottom w:val="nil"/>
              <w:right w:val="nil"/>
            </w:tcBorders>
          </w:tcPr>
          <w:p w:rsidR="00E8309B" w:rsidRDefault="009D0949">
            <w:pPr>
              <w:spacing w:after="0" w:line="259" w:lineRule="auto"/>
              <w:ind w:left="108" w:right="0" w:firstLine="0"/>
              <w:jc w:val="left"/>
            </w:pPr>
            <w:r>
              <w:rPr>
                <w:sz w:val="18"/>
              </w:rPr>
              <w:t xml:space="preserve">Остали порески приходи </w:t>
            </w:r>
          </w:p>
        </w:tc>
        <w:tc>
          <w:tcPr>
            <w:tcW w:w="1207" w:type="dxa"/>
            <w:tcBorders>
              <w:top w:val="nil"/>
              <w:left w:val="nil"/>
              <w:bottom w:val="nil"/>
              <w:right w:val="nil"/>
            </w:tcBorders>
          </w:tcPr>
          <w:p w:rsidR="00E8309B" w:rsidRDefault="009D0949">
            <w:pPr>
              <w:spacing w:after="0" w:line="259" w:lineRule="auto"/>
              <w:ind w:left="0" w:right="8" w:firstLine="0"/>
              <w:jc w:val="center"/>
            </w:pPr>
            <w:r>
              <w:rPr>
                <w:sz w:val="18"/>
              </w:rPr>
              <w:t xml:space="preserve">84,0 </w:t>
            </w:r>
          </w:p>
        </w:tc>
        <w:tc>
          <w:tcPr>
            <w:tcW w:w="1320" w:type="dxa"/>
            <w:tcBorders>
              <w:top w:val="nil"/>
              <w:left w:val="nil"/>
              <w:bottom w:val="nil"/>
              <w:right w:val="nil"/>
            </w:tcBorders>
          </w:tcPr>
          <w:p w:rsidR="00E8309B" w:rsidRDefault="009D0949">
            <w:pPr>
              <w:spacing w:after="0" w:line="259" w:lineRule="auto"/>
              <w:ind w:left="384" w:right="0" w:firstLine="0"/>
              <w:jc w:val="left"/>
            </w:pPr>
            <w:r>
              <w:rPr>
                <w:sz w:val="18"/>
              </w:rPr>
              <w:t xml:space="preserve">82,8 </w:t>
            </w:r>
          </w:p>
        </w:tc>
        <w:tc>
          <w:tcPr>
            <w:tcW w:w="1147" w:type="dxa"/>
            <w:tcBorders>
              <w:top w:val="nil"/>
              <w:left w:val="nil"/>
              <w:bottom w:val="nil"/>
              <w:right w:val="nil"/>
            </w:tcBorders>
          </w:tcPr>
          <w:p w:rsidR="00E8309B" w:rsidRDefault="009D0949">
            <w:pPr>
              <w:spacing w:after="0" w:line="259" w:lineRule="auto"/>
              <w:ind w:left="271" w:right="0" w:firstLine="0"/>
              <w:jc w:val="left"/>
            </w:pPr>
            <w:r>
              <w:rPr>
                <w:sz w:val="18"/>
              </w:rPr>
              <w:t xml:space="preserve">79,6 </w:t>
            </w:r>
          </w:p>
        </w:tc>
        <w:tc>
          <w:tcPr>
            <w:tcW w:w="1165" w:type="dxa"/>
            <w:tcBorders>
              <w:top w:val="nil"/>
              <w:left w:val="nil"/>
              <w:bottom w:val="nil"/>
              <w:right w:val="nil"/>
            </w:tcBorders>
          </w:tcPr>
          <w:p w:rsidR="00E8309B" w:rsidRDefault="009D0949">
            <w:pPr>
              <w:spacing w:after="0" w:line="259" w:lineRule="auto"/>
              <w:ind w:left="305" w:right="0" w:firstLine="0"/>
              <w:jc w:val="left"/>
            </w:pPr>
            <w:r>
              <w:rPr>
                <w:sz w:val="18"/>
              </w:rPr>
              <w:t xml:space="preserve">-4,4 </w:t>
            </w:r>
          </w:p>
        </w:tc>
        <w:tc>
          <w:tcPr>
            <w:tcW w:w="1214" w:type="dxa"/>
            <w:tcBorders>
              <w:top w:val="nil"/>
              <w:left w:val="nil"/>
              <w:bottom w:val="nil"/>
              <w:right w:val="nil"/>
            </w:tcBorders>
          </w:tcPr>
          <w:p w:rsidR="00E8309B" w:rsidRDefault="009D0949">
            <w:pPr>
              <w:spacing w:after="0" w:line="259" w:lineRule="auto"/>
              <w:ind w:left="293" w:right="0" w:firstLine="0"/>
              <w:jc w:val="left"/>
            </w:pPr>
            <w:r>
              <w:rPr>
                <w:sz w:val="18"/>
              </w:rPr>
              <w:t xml:space="preserve">-5,2 </w:t>
            </w:r>
          </w:p>
        </w:tc>
        <w:tc>
          <w:tcPr>
            <w:tcW w:w="1018" w:type="dxa"/>
            <w:tcBorders>
              <w:top w:val="nil"/>
              <w:left w:val="nil"/>
              <w:bottom w:val="nil"/>
              <w:right w:val="nil"/>
            </w:tcBorders>
          </w:tcPr>
          <w:p w:rsidR="00E8309B" w:rsidRDefault="009D0949">
            <w:pPr>
              <w:spacing w:after="0" w:line="259" w:lineRule="auto"/>
              <w:ind w:right="0" w:firstLine="0"/>
              <w:jc w:val="center"/>
            </w:pPr>
            <w:r>
              <w:rPr>
                <w:sz w:val="18"/>
              </w:rPr>
              <w:t xml:space="preserve">1,4 </w:t>
            </w:r>
          </w:p>
        </w:tc>
      </w:tr>
      <w:tr w:rsidR="00E8309B">
        <w:trPr>
          <w:trHeight w:val="267"/>
        </w:trPr>
        <w:tc>
          <w:tcPr>
            <w:tcW w:w="2711" w:type="dxa"/>
            <w:tcBorders>
              <w:top w:val="nil"/>
              <w:left w:val="nil"/>
              <w:bottom w:val="nil"/>
              <w:right w:val="nil"/>
            </w:tcBorders>
          </w:tcPr>
          <w:p w:rsidR="00E8309B" w:rsidRDefault="009D0949">
            <w:pPr>
              <w:spacing w:after="0" w:line="259" w:lineRule="auto"/>
              <w:ind w:left="108" w:right="0" w:firstLine="0"/>
              <w:jc w:val="left"/>
            </w:pPr>
            <w:r>
              <w:rPr>
                <w:sz w:val="18"/>
              </w:rPr>
              <w:t xml:space="preserve">Доприноси </w:t>
            </w:r>
          </w:p>
        </w:tc>
        <w:tc>
          <w:tcPr>
            <w:tcW w:w="1207" w:type="dxa"/>
            <w:tcBorders>
              <w:top w:val="nil"/>
              <w:left w:val="nil"/>
              <w:bottom w:val="nil"/>
              <w:right w:val="nil"/>
            </w:tcBorders>
          </w:tcPr>
          <w:p w:rsidR="00E8309B" w:rsidRDefault="009D0949">
            <w:pPr>
              <w:spacing w:after="0" w:line="259" w:lineRule="auto"/>
              <w:ind w:left="293" w:right="0" w:firstLine="0"/>
              <w:jc w:val="left"/>
            </w:pPr>
            <w:r>
              <w:rPr>
                <w:sz w:val="18"/>
              </w:rPr>
              <w:t xml:space="preserve">725,2 </w:t>
            </w:r>
          </w:p>
        </w:tc>
        <w:tc>
          <w:tcPr>
            <w:tcW w:w="1320" w:type="dxa"/>
            <w:tcBorders>
              <w:top w:val="nil"/>
              <w:left w:val="nil"/>
              <w:bottom w:val="nil"/>
              <w:right w:val="nil"/>
            </w:tcBorders>
          </w:tcPr>
          <w:p w:rsidR="00E8309B" w:rsidRDefault="009D0949">
            <w:pPr>
              <w:spacing w:after="0" w:line="259" w:lineRule="auto"/>
              <w:ind w:left="293" w:right="0" w:firstLine="0"/>
              <w:jc w:val="left"/>
            </w:pPr>
            <w:r>
              <w:rPr>
                <w:sz w:val="18"/>
              </w:rPr>
              <w:t xml:space="preserve">600,0 </w:t>
            </w:r>
          </w:p>
        </w:tc>
        <w:tc>
          <w:tcPr>
            <w:tcW w:w="1147" w:type="dxa"/>
            <w:tcBorders>
              <w:top w:val="nil"/>
              <w:left w:val="nil"/>
              <w:bottom w:val="nil"/>
              <w:right w:val="nil"/>
            </w:tcBorders>
          </w:tcPr>
          <w:p w:rsidR="00E8309B" w:rsidRDefault="009D0949">
            <w:pPr>
              <w:spacing w:after="0" w:line="259" w:lineRule="auto"/>
              <w:ind w:left="180" w:right="0" w:firstLine="0"/>
              <w:jc w:val="left"/>
            </w:pPr>
            <w:r>
              <w:rPr>
                <w:sz w:val="18"/>
              </w:rPr>
              <w:t xml:space="preserve">660,0 </w:t>
            </w:r>
          </w:p>
        </w:tc>
        <w:tc>
          <w:tcPr>
            <w:tcW w:w="1165" w:type="dxa"/>
            <w:tcBorders>
              <w:top w:val="nil"/>
              <w:left w:val="nil"/>
              <w:bottom w:val="nil"/>
              <w:right w:val="nil"/>
            </w:tcBorders>
          </w:tcPr>
          <w:p w:rsidR="00E8309B" w:rsidRDefault="009D0949">
            <w:pPr>
              <w:spacing w:after="0" w:line="259" w:lineRule="auto"/>
              <w:ind w:left="216" w:right="0" w:firstLine="0"/>
              <w:jc w:val="left"/>
            </w:pPr>
            <w:r>
              <w:rPr>
                <w:sz w:val="18"/>
              </w:rPr>
              <w:t xml:space="preserve">-65,2 </w:t>
            </w:r>
          </w:p>
        </w:tc>
        <w:tc>
          <w:tcPr>
            <w:tcW w:w="1214" w:type="dxa"/>
            <w:tcBorders>
              <w:top w:val="nil"/>
              <w:left w:val="nil"/>
              <w:bottom w:val="nil"/>
              <w:right w:val="nil"/>
            </w:tcBorders>
          </w:tcPr>
          <w:p w:rsidR="00E8309B" w:rsidRDefault="009D0949">
            <w:pPr>
              <w:spacing w:after="0" w:line="259" w:lineRule="auto"/>
              <w:ind w:left="293" w:right="0" w:firstLine="0"/>
              <w:jc w:val="left"/>
            </w:pPr>
            <w:r>
              <w:rPr>
                <w:sz w:val="18"/>
              </w:rPr>
              <w:t xml:space="preserve">-9,0 </w:t>
            </w:r>
          </w:p>
        </w:tc>
        <w:tc>
          <w:tcPr>
            <w:tcW w:w="1018" w:type="dxa"/>
            <w:tcBorders>
              <w:top w:val="nil"/>
              <w:left w:val="nil"/>
              <w:bottom w:val="nil"/>
              <w:right w:val="nil"/>
            </w:tcBorders>
          </w:tcPr>
          <w:p w:rsidR="00E8309B" w:rsidRDefault="009D0949">
            <w:pPr>
              <w:spacing w:after="0" w:line="259" w:lineRule="auto"/>
              <w:ind w:left="254" w:right="0" w:firstLine="0"/>
              <w:jc w:val="left"/>
            </w:pPr>
            <w:r>
              <w:rPr>
                <w:sz w:val="18"/>
              </w:rPr>
              <w:t xml:space="preserve">12,0 </w:t>
            </w:r>
          </w:p>
        </w:tc>
      </w:tr>
      <w:tr w:rsidR="00E8309B">
        <w:trPr>
          <w:trHeight w:val="267"/>
        </w:trPr>
        <w:tc>
          <w:tcPr>
            <w:tcW w:w="2711" w:type="dxa"/>
            <w:tcBorders>
              <w:top w:val="nil"/>
              <w:left w:val="nil"/>
              <w:bottom w:val="nil"/>
              <w:right w:val="nil"/>
            </w:tcBorders>
          </w:tcPr>
          <w:p w:rsidR="00E8309B" w:rsidRDefault="009D0949">
            <w:pPr>
              <w:spacing w:after="0" w:line="259" w:lineRule="auto"/>
              <w:ind w:left="108" w:right="0" w:firstLine="0"/>
              <w:jc w:val="left"/>
            </w:pPr>
            <w:r>
              <w:rPr>
                <w:sz w:val="18"/>
              </w:rPr>
              <w:t xml:space="preserve">Непорески приходи </w:t>
            </w:r>
          </w:p>
        </w:tc>
        <w:tc>
          <w:tcPr>
            <w:tcW w:w="1207" w:type="dxa"/>
            <w:tcBorders>
              <w:top w:val="nil"/>
              <w:left w:val="nil"/>
              <w:bottom w:val="nil"/>
              <w:right w:val="nil"/>
            </w:tcBorders>
          </w:tcPr>
          <w:p w:rsidR="00E8309B" w:rsidRDefault="009D0949">
            <w:pPr>
              <w:spacing w:after="0" w:line="259" w:lineRule="auto"/>
              <w:ind w:left="293" w:right="0" w:firstLine="0"/>
              <w:jc w:val="left"/>
            </w:pPr>
            <w:r>
              <w:rPr>
                <w:sz w:val="18"/>
              </w:rPr>
              <w:t xml:space="preserve">239,8 </w:t>
            </w:r>
          </w:p>
        </w:tc>
        <w:tc>
          <w:tcPr>
            <w:tcW w:w="1320" w:type="dxa"/>
            <w:tcBorders>
              <w:top w:val="nil"/>
              <w:left w:val="nil"/>
              <w:bottom w:val="nil"/>
              <w:right w:val="nil"/>
            </w:tcBorders>
          </w:tcPr>
          <w:p w:rsidR="00E8309B" w:rsidRDefault="009D0949">
            <w:pPr>
              <w:spacing w:after="0" w:line="259" w:lineRule="auto"/>
              <w:ind w:left="293" w:right="0" w:firstLine="0"/>
              <w:jc w:val="left"/>
            </w:pPr>
            <w:r>
              <w:rPr>
                <w:sz w:val="18"/>
              </w:rPr>
              <w:t xml:space="preserve">226,4 </w:t>
            </w:r>
          </w:p>
        </w:tc>
        <w:tc>
          <w:tcPr>
            <w:tcW w:w="1147" w:type="dxa"/>
            <w:tcBorders>
              <w:top w:val="nil"/>
              <w:left w:val="nil"/>
              <w:bottom w:val="nil"/>
              <w:right w:val="nil"/>
            </w:tcBorders>
          </w:tcPr>
          <w:p w:rsidR="00E8309B" w:rsidRDefault="009D0949">
            <w:pPr>
              <w:spacing w:after="0" w:line="259" w:lineRule="auto"/>
              <w:ind w:left="180" w:right="0" w:firstLine="0"/>
              <w:jc w:val="left"/>
            </w:pPr>
            <w:r>
              <w:rPr>
                <w:sz w:val="18"/>
              </w:rPr>
              <w:t xml:space="preserve">245,2 </w:t>
            </w:r>
          </w:p>
        </w:tc>
        <w:tc>
          <w:tcPr>
            <w:tcW w:w="1165" w:type="dxa"/>
            <w:tcBorders>
              <w:top w:val="nil"/>
              <w:left w:val="nil"/>
              <w:bottom w:val="nil"/>
              <w:right w:val="nil"/>
            </w:tcBorders>
          </w:tcPr>
          <w:p w:rsidR="00E8309B" w:rsidRDefault="009D0949">
            <w:pPr>
              <w:spacing w:after="0" w:line="259" w:lineRule="auto"/>
              <w:ind w:left="365" w:right="0" w:firstLine="0"/>
              <w:jc w:val="left"/>
            </w:pPr>
            <w:r>
              <w:rPr>
                <w:sz w:val="18"/>
              </w:rPr>
              <w:t xml:space="preserve">5,4 </w:t>
            </w:r>
          </w:p>
        </w:tc>
        <w:tc>
          <w:tcPr>
            <w:tcW w:w="1214" w:type="dxa"/>
            <w:tcBorders>
              <w:top w:val="nil"/>
              <w:left w:val="nil"/>
              <w:bottom w:val="nil"/>
              <w:right w:val="nil"/>
            </w:tcBorders>
          </w:tcPr>
          <w:p w:rsidR="00E8309B" w:rsidRDefault="009D0949">
            <w:pPr>
              <w:spacing w:after="0" w:line="259" w:lineRule="auto"/>
              <w:ind w:left="353" w:right="0" w:firstLine="0"/>
              <w:jc w:val="left"/>
            </w:pPr>
            <w:r>
              <w:rPr>
                <w:sz w:val="18"/>
              </w:rPr>
              <w:t xml:space="preserve">2,3 </w:t>
            </w:r>
          </w:p>
        </w:tc>
        <w:tc>
          <w:tcPr>
            <w:tcW w:w="1018" w:type="dxa"/>
            <w:tcBorders>
              <w:top w:val="nil"/>
              <w:left w:val="nil"/>
              <w:bottom w:val="nil"/>
              <w:right w:val="nil"/>
            </w:tcBorders>
          </w:tcPr>
          <w:p w:rsidR="00E8309B" w:rsidRDefault="009D0949">
            <w:pPr>
              <w:spacing w:after="0" w:line="259" w:lineRule="auto"/>
              <w:ind w:right="0" w:firstLine="0"/>
              <w:jc w:val="center"/>
            </w:pPr>
            <w:r>
              <w:rPr>
                <w:sz w:val="18"/>
              </w:rPr>
              <w:t xml:space="preserve">4,4 </w:t>
            </w:r>
          </w:p>
        </w:tc>
      </w:tr>
      <w:tr w:rsidR="00E8309B">
        <w:trPr>
          <w:trHeight w:val="268"/>
        </w:trPr>
        <w:tc>
          <w:tcPr>
            <w:tcW w:w="2711" w:type="dxa"/>
            <w:tcBorders>
              <w:top w:val="nil"/>
              <w:left w:val="nil"/>
              <w:bottom w:val="nil"/>
              <w:right w:val="nil"/>
            </w:tcBorders>
          </w:tcPr>
          <w:p w:rsidR="00E8309B" w:rsidRDefault="009D0949">
            <w:pPr>
              <w:spacing w:after="0" w:line="259" w:lineRule="auto"/>
              <w:ind w:left="108" w:right="0" w:firstLine="0"/>
              <w:jc w:val="left"/>
            </w:pPr>
            <w:r>
              <w:rPr>
                <w:sz w:val="18"/>
              </w:rPr>
              <w:t xml:space="preserve">Донације </w:t>
            </w:r>
          </w:p>
        </w:tc>
        <w:tc>
          <w:tcPr>
            <w:tcW w:w="1207" w:type="dxa"/>
            <w:tcBorders>
              <w:top w:val="nil"/>
              <w:left w:val="nil"/>
              <w:bottom w:val="nil"/>
              <w:right w:val="nil"/>
            </w:tcBorders>
          </w:tcPr>
          <w:p w:rsidR="00E8309B" w:rsidRDefault="009D0949">
            <w:pPr>
              <w:spacing w:after="0" w:line="259" w:lineRule="auto"/>
              <w:ind w:left="0" w:right="9" w:firstLine="0"/>
              <w:jc w:val="center"/>
            </w:pPr>
            <w:r>
              <w:rPr>
                <w:sz w:val="18"/>
              </w:rPr>
              <w:t xml:space="preserve">16,5 </w:t>
            </w:r>
          </w:p>
        </w:tc>
        <w:tc>
          <w:tcPr>
            <w:tcW w:w="1320" w:type="dxa"/>
            <w:tcBorders>
              <w:top w:val="nil"/>
              <w:left w:val="nil"/>
              <w:bottom w:val="nil"/>
              <w:right w:val="nil"/>
            </w:tcBorders>
          </w:tcPr>
          <w:p w:rsidR="00E8309B" w:rsidRDefault="009D0949">
            <w:pPr>
              <w:spacing w:after="0" w:line="259" w:lineRule="auto"/>
              <w:ind w:left="384" w:right="0" w:firstLine="0"/>
              <w:jc w:val="left"/>
            </w:pPr>
            <w:r>
              <w:rPr>
                <w:sz w:val="18"/>
              </w:rPr>
              <w:t xml:space="preserve">16,5 </w:t>
            </w:r>
          </w:p>
        </w:tc>
        <w:tc>
          <w:tcPr>
            <w:tcW w:w="1147" w:type="dxa"/>
            <w:tcBorders>
              <w:top w:val="nil"/>
              <w:left w:val="nil"/>
              <w:bottom w:val="nil"/>
              <w:right w:val="nil"/>
            </w:tcBorders>
          </w:tcPr>
          <w:p w:rsidR="00E8309B" w:rsidRDefault="009D0949">
            <w:pPr>
              <w:spacing w:after="0" w:line="259" w:lineRule="auto"/>
              <w:ind w:left="271" w:right="0" w:firstLine="0"/>
              <w:jc w:val="left"/>
            </w:pPr>
            <w:r>
              <w:rPr>
                <w:sz w:val="18"/>
              </w:rPr>
              <w:t xml:space="preserve">16,0 </w:t>
            </w:r>
          </w:p>
        </w:tc>
        <w:tc>
          <w:tcPr>
            <w:tcW w:w="1165" w:type="dxa"/>
            <w:tcBorders>
              <w:top w:val="nil"/>
              <w:left w:val="nil"/>
              <w:bottom w:val="nil"/>
              <w:right w:val="nil"/>
            </w:tcBorders>
          </w:tcPr>
          <w:p w:rsidR="00E8309B" w:rsidRDefault="009D0949">
            <w:pPr>
              <w:spacing w:after="0" w:line="259" w:lineRule="auto"/>
              <w:ind w:left="305" w:right="0" w:firstLine="0"/>
              <w:jc w:val="left"/>
            </w:pPr>
            <w:r>
              <w:rPr>
                <w:sz w:val="18"/>
              </w:rPr>
              <w:t xml:space="preserve">-0,5 </w:t>
            </w:r>
          </w:p>
        </w:tc>
        <w:tc>
          <w:tcPr>
            <w:tcW w:w="1214" w:type="dxa"/>
            <w:tcBorders>
              <w:top w:val="nil"/>
              <w:left w:val="nil"/>
              <w:bottom w:val="nil"/>
              <w:right w:val="nil"/>
            </w:tcBorders>
          </w:tcPr>
          <w:p w:rsidR="00E8309B" w:rsidRDefault="009D0949">
            <w:pPr>
              <w:spacing w:after="0" w:line="259" w:lineRule="auto"/>
              <w:ind w:left="293" w:right="0" w:firstLine="0"/>
              <w:jc w:val="left"/>
            </w:pPr>
            <w:r>
              <w:rPr>
                <w:sz w:val="18"/>
              </w:rPr>
              <w:t xml:space="preserve">-3,0 </w:t>
            </w:r>
          </w:p>
        </w:tc>
        <w:tc>
          <w:tcPr>
            <w:tcW w:w="1018" w:type="dxa"/>
            <w:tcBorders>
              <w:top w:val="nil"/>
              <w:left w:val="nil"/>
              <w:bottom w:val="nil"/>
              <w:right w:val="nil"/>
            </w:tcBorders>
          </w:tcPr>
          <w:p w:rsidR="00E8309B" w:rsidRDefault="009D0949">
            <w:pPr>
              <w:spacing w:after="0" w:line="259" w:lineRule="auto"/>
              <w:ind w:right="0" w:firstLine="0"/>
              <w:jc w:val="center"/>
            </w:pPr>
            <w:r>
              <w:rPr>
                <w:sz w:val="18"/>
              </w:rPr>
              <w:t xml:space="preserve">0,3 </w:t>
            </w:r>
          </w:p>
        </w:tc>
      </w:tr>
      <w:tr w:rsidR="00E8309B">
        <w:trPr>
          <w:trHeight w:val="266"/>
        </w:trPr>
        <w:tc>
          <w:tcPr>
            <w:tcW w:w="2711" w:type="dxa"/>
            <w:tcBorders>
              <w:top w:val="nil"/>
              <w:left w:val="nil"/>
              <w:bottom w:val="nil"/>
              <w:right w:val="nil"/>
            </w:tcBorders>
            <w:shd w:val="clear" w:color="auto" w:fill="E7E6E6"/>
          </w:tcPr>
          <w:p w:rsidR="00E8309B" w:rsidRDefault="009D0949">
            <w:pPr>
              <w:spacing w:after="0" w:line="259" w:lineRule="auto"/>
              <w:ind w:left="108" w:right="0" w:firstLine="0"/>
              <w:jc w:val="left"/>
            </w:pPr>
            <w:r>
              <w:rPr>
                <w:sz w:val="18"/>
              </w:rPr>
              <w:t xml:space="preserve">ЈАВНИ РАСХОДИ </w:t>
            </w:r>
          </w:p>
        </w:tc>
        <w:tc>
          <w:tcPr>
            <w:tcW w:w="1207" w:type="dxa"/>
            <w:tcBorders>
              <w:top w:val="nil"/>
              <w:left w:val="nil"/>
              <w:bottom w:val="nil"/>
              <w:right w:val="nil"/>
            </w:tcBorders>
            <w:shd w:val="clear" w:color="auto" w:fill="E7E6E6"/>
          </w:tcPr>
          <w:p w:rsidR="00E8309B" w:rsidRDefault="009D0949">
            <w:pPr>
              <w:spacing w:after="0" w:line="259" w:lineRule="auto"/>
              <w:ind w:left="158" w:right="0" w:firstLine="0"/>
              <w:jc w:val="left"/>
            </w:pPr>
            <w:r>
              <w:rPr>
                <w:sz w:val="18"/>
              </w:rPr>
              <w:t xml:space="preserve">2.369,8 </w:t>
            </w:r>
          </w:p>
        </w:tc>
        <w:tc>
          <w:tcPr>
            <w:tcW w:w="1320" w:type="dxa"/>
            <w:tcBorders>
              <w:top w:val="nil"/>
              <w:left w:val="nil"/>
              <w:bottom w:val="nil"/>
              <w:right w:val="nil"/>
            </w:tcBorders>
            <w:shd w:val="clear" w:color="auto" w:fill="E7E6E6"/>
          </w:tcPr>
          <w:p w:rsidR="00E8309B" w:rsidRDefault="009D0949">
            <w:pPr>
              <w:spacing w:after="0" w:line="259" w:lineRule="auto"/>
              <w:ind w:left="158" w:right="0" w:firstLine="0"/>
              <w:jc w:val="left"/>
            </w:pPr>
            <w:r>
              <w:rPr>
                <w:sz w:val="18"/>
              </w:rPr>
              <w:t xml:space="preserve">2.505,5 </w:t>
            </w:r>
          </w:p>
        </w:tc>
        <w:tc>
          <w:tcPr>
            <w:tcW w:w="1147" w:type="dxa"/>
            <w:tcBorders>
              <w:top w:val="nil"/>
              <w:left w:val="nil"/>
              <w:bottom w:val="nil"/>
              <w:right w:val="nil"/>
            </w:tcBorders>
            <w:shd w:val="clear" w:color="auto" w:fill="E7E6E6"/>
          </w:tcPr>
          <w:p w:rsidR="00E8309B" w:rsidRDefault="009D0949">
            <w:pPr>
              <w:spacing w:after="0" w:line="259" w:lineRule="auto"/>
              <w:ind w:left="46" w:right="0" w:firstLine="0"/>
              <w:jc w:val="left"/>
            </w:pPr>
            <w:r>
              <w:rPr>
                <w:sz w:val="18"/>
              </w:rPr>
              <w:t xml:space="preserve">2.715,8 </w:t>
            </w:r>
          </w:p>
        </w:tc>
        <w:tc>
          <w:tcPr>
            <w:tcW w:w="1165" w:type="dxa"/>
            <w:tcBorders>
              <w:top w:val="nil"/>
              <w:left w:val="nil"/>
              <w:bottom w:val="nil"/>
              <w:right w:val="nil"/>
            </w:tcBorders>
            <w:shd w:val="clear" w:color="auto" w:fill="E7E6E6"/>
          </w:tcPr>
          <w:p w:rsidR="00E8309B" w:rsidRDefault="009D0949">
            <w:pPr>
              <w:spacing w:after="0" w:line="259" w:lineRule="auto"/>
              <w:ind w:left="185" w:right="0" w:firstLine="0"/>
              <w:jc w:val="left"/>
            </w:pPr>
            <w:r>
              <w:rPr>
                <w:sz w:val="18"/>
              </w:rPr>
              <w:t xml:space="preserve">346,0 </w:t>
            </w:r>
          </w:p>
        </w:tc>
        <w:tc>
          <w:tcPr>
            <w:tcW w:w="1214" w:type="dxa"/>
            <w:tcBorders>
              <w:top w:val="nil"/>
              <w:left w:val="nil"/>
              <w:bottom w:val="nil"/>
              <w:right w:val="nil"/>
            </w:tcBorders>
            <w:shd w:val="clear" w:color="auto" w:fill="E7E6E6"/>
          </w:tcPr>
          <w:p w:rsidR="00E8309B" w:rsidRDefault="009D0949">
            <w:pPr>
              <w:spacing w:after="0" w:line="259" w:lineRule="auto"/>
              <w:ind w:left="264" w:right="0" w:firstLine="0"/>
              <w:jc w:val="left"/>
            </w:pPr>
            <w:r>
              <w:rPr>
                <w:sz w:val="18"/>
              </w:rPr>
              <w:t xml:space="preserve">14,6 </w:t>
            </w:r>
          </w:p>
        </w:tc>
        <w:tc>
          <w:tcPr>
            <w:tcW w:w="1018" w:type="dxa"/>
            <w:tcBorders>
              <w:top w:val="nil"/>
              <w:left w:val="nil"/>
              <w:bottom w:val="nil"/>
              <w:right w:val="nil"/>
            </w:tcBorders>
            <w:shd w:val="clear" w:color="auto" w:fill="E7E6E6"/>
          </w:tcPr>
          <w:p w:rsidR="00E8309B" w:rsidRDefault="009D0949">
            <w:pPr>
              <w:spacing w:after="0" w:line="259" w:lineRule="auto"/>
              <w:ind w:left="254" w:right="0" w:firstLine="0"/>
              <w:jc w:val="left"/>
            </w:pPr>
            <w:r>
              <w:rPr>
                <w:sz w:val="18"/>
              </w:rPr>
              <w:t xml:space="preserve">49,2 </w:t>
            </w:r>
          </w:p>
        </w:tc>
      </w:tr>
      <w:tr w:rsidR="00E8309B">
        <w:trPr>
          <w:trHeight w:val="267"/>
        </w:trPr>
        <w:tc>
          <w:tcPr>
            <w:tcW w:w="2711" w:type="dxa"/>
            <w:tcBorders>
              <w:top w:val="nil"/>
              <w:left w:val="nil"/>
              <w:bottom w:val="nil"/>
              <w:right w:val="nil"/>
            </w:tcBorders>
          </w:tcPr>
          <w:p w:rsidR="00E8309B" w:rsidRDefault="009D0949">
            <w:pPr>
              <w:spacing w:after="0" w:line="259" w:lineRule="auto"/>
              <w:ind w:left="108" w:right="0" w:firstLine="0"/>
              <w:jc w:val="left"/>
            </w:pPr>
            <w:r>
              <w:rPr>
                <w:sz w:val="18"/>
              </w:rPr>
              <w:t xml:space="preserve">Текући расходи </w:t>
            </w:r>
          </w:p>
        </w:tc>
        <w:tc>
          <w:tcPr>
            <w:tcW w:w="1207" w:type="dxa"/>
            <w:tcBorders>
              <w:top w:val="nil"/>
              <w:left w:val="nil"/>
              <w:bottom w:val="nil"/>
              <w:right w:val="nil"/>
            </w:tcBorders>
          </w:tcPr>
          <w:p w:rsidR="00E8309B" w:rsidRDefault="009D0949">
            <w:pPr>
              <w:spacing w:after="0" w:line="259" w:lineRule="auto"/>
              <w:ind w:left="158" w:right="0" w:firstLine="0"/>
              <w:jc w:val="left"/>
            </w:pPr>
            <w:r>
              <w:rPr>
                <w:sz w:val="18"/>
              </w:rPr>
              <w:t xml:space="preserve">2.090,0 </w:t>
            </w:r>
          </w:p>
        </w:tc>
        <w:tc>
          <w:tcPr>
            <w:tcW w:w="1320" w:type="dxa"/>
            <w:tcBorders>
              <w:top w:val="nil"/>
              <w:left w:val="nil"/>
              <w:bottom w:val="nil"/>
              <w:right w:val="nil"/>
            </w:tcBorders>
          </w:tcPr>
          <w:p w:rsidR="00E8309B" w:rsidRDefault="009D0949">
            <w:pPr>
              <w:spacing w:after="0" w:line="259" w:lineRule="auto"/>
              <w:ind w:left="158" w:right="0" w:firstLine="0"/>
              <w:jc w:val="left"/>
            </w:pPr>
            <w:r>
              <w:rPr>
                <w:sz w:val="18"/>
              </w:rPr>
              <w:t xml:space="preserve">2.262,1 </w:t>
            </w:r>
          </w:p>
        </w:tc>
        <w:tc>
          <w:tcPr>
            <w:tcW w:w="1147" w:type="dxa"/>
            <w:tcBorders>
              <w:top w:val="nil"/>
              <w:left w:val="nil"/>
              <w:bottom w:val="nil"/>
              <w:right w:val="nil"/>
            </w:tcBorders>
          </w:tcPr>
          <w:p w:rsidR="00E8309B" w:rsidRDefault="009D0949">
            <w:pPr>
              <w:spacing w:after="0" w:line="259" w:lineRule="auto"/>
              <w:ind w:left="46" w:right="0" w:firstLine="0"/>
              <w:jc w:val="left"/>
            </w:pPr>
            <w:r>
              <w:rPr>
                <w:sz w:val="18"/>
              </w:rPr>
              <w:t xml:space="preserve">2.379,4 </w:t>
            </w:r>
          </w:p>
        </w:tc>
        <w:tc>
          <w:tcPr>
            <w:tcW w:w="1165" w:type="dxa"/>
            <w:tcBorders>
              <w:top w:val="nil"/>
              <w:left w:val="nil"/>
              <w:bottom w:val="nil"/>
              <w:right w:val="nil"/>
            </w:tcBorders>
          </w:tcPr>
          <w:p w:rsidR="00E8309B" w:rsidRDefault="009D0949">
            <w:pPr>
              <w:spacing w:after="0" w:line="259" w:lineRule="auto"/>
              <w:ind w:left="185" w:right="0" w:firstLine="0"/>
              <w:jc w:val="left"/>
            </w:pPr>
            <w:r>
              <w:rPr>
                <w:sz w:val="18"/>
              </w:rPr>
              <w:t xml:space="preserve">289,4 </w:t>
            </w:r>
          </w:p>
        </w:tc>
        <w:tc>
          <w:tcPr>
            <w:tcW w:w="1214" w:type="dxa"/>
            <w:tcBorders>
              <w:top w:val="nil"/>
              <w:left w:val="nil"/>
              <w:bottom w:val="nil"/>
              <w:right w:val="nil"/>
            </w:tcBorders>
          </w:tcPr>
          <w:p w:rsidR="00E8309B" w:rsidRDefault="009D0949">
            <w:pPr>
              <w:spacing w:after="0" w:line="259" w:lineRule="auto"/>
              <w:ind w:left="264" w:right="0" w:firstLine="0"/>
              <w:jc w:val="left"/>
            </w:pPr>
            <w:r>
              <w:rPr>
                <w:sz w:val="18"/>
              </w:rPr>
              <w:t xml:space="preserve">13,8 </w:t>
            </w:r>
          </w:p>
        </w:tc>
        <w:tc>
          <w:tcPr>
            <w:tcW w:w="1018" w:type="dxa"/>
            <w:tcBorders>
              <w:top w:val="nil"/>
              <w:left w:val="nil"/>
              <w:bottom w:val="nil"/>
              <w:right w:val="nil"/>
            </w:tcBorders>
          </w:tcPr>
          <w:p w:rsidR="00E8309B" w:rsidRDefault="009D0949">
            <w:pPr>
              <w:spacing w:after="0" w:line="259" w:lineRule="auto"/>
              <w:ind w:left="254" w:right="0" w:firstLine="0"/>
              <w:jc w:val="left"/>
            </w:pPr>
            <w:r>
              <w:rPr>
                <w:sz w:val="18"/>
              </w:rPr>
              <w:t xml:space="preserve">43,1 </w:t>
            </w:r>
          </w:p>
        </w:tc>
      </w:tr>
      <w:tr w:rsidR="00E8309B">
        <w:trPr>
          <w:trHeight w:val="266"/>
        </w:trPr>
        <w:tc>
          <w:tcPr>
            <w:tcW w:w="2711" w:type="dxa"/>
            <w:tcBorders>
              <w:top w:val="nil"/>
              <w:left w:val="nil"/>
              <w:bottom w:val="nil"/>
              <w:right w:val="nil"/>
            </w:tcBorders>
          </w:tcPr>
          <w:p w:rsidR="00E8309B" w:rsidRDefault="009D0949">
            <w:pPr>
              <w:spacing w:after="0" w:line="259" w:lineRule="auto"/>
              <w:ind w:left="108" w:right="0" w:firstLine="0"/>
              <w:jc w:val="left"/>
            </w:pPr>
            <w:r>
              <w:rPr>
                <w:sz w:val="18"/>
              </w:rPr>
              <w:t xml:space="preserve">Расходи за запослене </w:t>
            </w:r>
          </w:p>
        </w:tc>
        <w:tc>
          <w:tcPr>
            <w:tcW w:w="1207" w:type="dxa"/>
            <w:tcBorders>
              <w:top w:val="nil"/>
              <w:left w:val="nil"/>
              <w:bottom w:val="nil"/>
              <w:right w:val="nil"/>
            </w:tcBorders>
          </w:tcPr>
          <w:p w:rsidR="00E8309B" w:rsidRDefault="009D0949">
            <w:pPr>
              <w:spacing w:after="0" w:line="259" w:lineRule="auto"/>
              <w:ind w:left="293" w:right="0" w:firstLine="0"/>
              <w:jc w:val="left"/>
            </w:pPr>
            <w:r>
              <w:rPr>
                <w:sz w:val="18"/>
              </w:rPr>
              <w:t xml:space="preserve">554,8 </w:t>
            </w:r>
          </w:p>
        </w:tc>
        <w:tc>
          <w:tcPr>
            <w:tcW w:w="1320" w:type="dxa"/>
            <w:tcBorders>
              <w:top w:val="nil"/>
              <w:left w:val="nil"/>
              <w:bottom w:val="nil"/>
              <w:right w:val="nil"/>
            </w:tcBorders>
          </w:tcPr>
          <w:p w:rsidR="00E8309B" w:rsidRDefault="009D0949">
            <w:pPr>
              <w:spacing w:after="0" w:line="259" w:lineRule="auto"/>
              <w:ind w:left="293" w:right="0" w:firstLine="0"/>
              <w:jc w:val="left"/>
            </w:pPr>
            <w:r>
              <w:rPr>
                <w:sz w:val="18"/>
              </w:rPr>
              <w:t xml:space="preserve">565,2 </w:t>
            </w:r>
          </w:p>
        </w:tc>
        <w:tc>
          <w:tcPr>
            <w:tcW w:w="1147" w:type="dxa"/>
            <w:tcBorders>
              <w:top w:val="nil"/>
              <w:left w:val="nil"/>
              <w:bottom w:val="nil"/>
              <w:right w:val="nil"/>
            </w:tcBorders>
          </w:tcPr>
          <w:p w:rsidR="00E8309B" w:rsidRDefault="009D0949">
            <w:pPr>
              <w:spacing w:after="0" w:line="259" w:lineRule="auto"/>
              <w:ind w:left="180" w:right="0" w:firstLine="0"/>
              <w:jc w:val="left"/>
            </w:pPr>
            <w:r>
              <w:rPr>
                <w:sz w:val="18"/>
              </w:rPr>
              <w:t xml:space="preserve">575,9 </w:t>
            </w:r>
          </w:p>
        </w:tc>
        <w:tc>
          <w:tcPr>
            <w:tcW w:w="1165" w:type="dxa"/>
            <w:tcBorders>
              <w:top w:val="nil"/>
              <w:left w:val="nil"/>
              <w:bottom w:val="nil"/>
              <w:right w:val="nil"/>
            </w:tcBorders>
          </w:tcPr>
          <w:p w:rsidR="00E8309B" w:rsidRDefault="009D0949">
            <w:pPr>
              <w:spacing w:after="0" w:line="259" w:lineRule="auto"/>
              <w:ind w:left="276" w:right="0" w:firstLine="0"/>
              <w:jc w:val="left"/>
            </w:pPr>
            <w:r>
              <w:rPr>
                <w:sz w:val="18"/>
              </w:rPr>
              <w:t xml:space="preserve">21,1 </w:t>
            </w:r>
          </w:p>
        </w:tc>
        <w:tc>
          <w:tcPr>
            <w:tcW w:w="1214" w:type="dxa"/>
            <w:tcBorders>
              <w:top w:val="nil"/>
              <w:left w:val="nil"/>
              <w:bottom w:val="nil"/>
              <w:right w:val="nil"/>
            </w:tcBorders>
          </w:tcPr>
          <w:p w:rsidR="00E8309B" w:rsidRDefault="009D0949">
            <w:pPr>
              <w:spacing w:after="0" w:line="259" w:lineRule="auto"/>
              <w:ind w:left="353" w:right="0" w:firstLine="0"/>
              <w:jc w:val="left"/>
            </w:pPr>
            <w:r>
              <w:rPr>
                <w:sz w:val="18"/>
              </w:rPr>
              <w:t xml:space="preserve">3,8 </w:t>
            </w:r>
          </w:p>
        </w:tc>
        <w:tc>
          <w:tcPr>
            <w:tcW w:w="1018" w:type="dxa"/>
            <w:tcBorders>
              <w:top w:val="nil"/>
              <w:left w:val="nil"/>
              <w:bottom w:val="nil"/>
              <w:right w:val="nil"/>
            </w:tcBorders>
          </w:tcPr>
          <w:p w:rsidR="00E8309B" w:rsidRDefault="009D0949">
            <w:pPr>
              <w:spacing w:after="0" w:line="259" w:lineRule="auto"/>
              <w:ind w:left="254" w:right="0" w:firstLine="0"/>
              <w:jc w:val="left"/>
            </w:pPr>
            <w:r>
              <w:rPr>
                <w:sz w:val="18"/>
              </w:rPr>
              <w:t xml:space="preserve">10,4 </w:t>
            </w:r>
          </w:p>
        </w:tc>
      </w:tr>
      <w:tr w:rsidR="00E8309B">
        <w:trPr>
          <w:trHeight w:val="268"/>
        </w:trPr>
        <w:tc>
          <w:tcPr>
            <w:tcW w:w="2711" w:type="dxa"/>
            <w:tcBorders>
              <w:top w:val="nil"/>
              <w:left w:val="nil"/>
              <w:bottom w:val="nil"/>
              <w:right w:val="nil"/>
            </w:tcBorders>
          </w:tcPr>
          <w:p w:rsidR="00E8309B" w:rsidRDefault="009D0949">
            <w:pPr>
              <w:spacing w:after="0" w:line="259" w:lineRule="auto"/>
              <w:ind w:left="108" w:right="0" w:firstLine="0"/>
              <w:jc w:val="left"/>
            </w:pPr>
            <w:r>
              <w:rPr>
                <w:sz w:val="18"/>
              </w:rPr>
              <w:t xml:space="preserve">Куповина робе и услуга </w:t>
            </w:r>
          </w:p>
        </w:tc>
        <w:tc>
          <w:tcPr>
            <w:tcW w:w="1207" w:type="dxa"/>
            <w:tcBorders>
              <w:top w:val="nil"/>
              <w:left w:val="nil"/>
              <w:bottom w:val="nil"/>
              <w:right w:val="nil"/>
            </w:tcBorders>
          </w:tcPr>
          <w:p w:rsidR="00E8309B" w:rsidRDefault="009D0949">
            <w:pPr>
              <w:spacing w:after="0" w:line="259" w:lineRule="auto"/>
              <w:ind w:left="293" w:right="0" w:firstLine="0"/>
              <w:jc w:val="left"/>
            </w:pPr>
            <w:r>
              <w:rPr>
                <w:sz w:val="18"/>
              </w:rPr>
              <w:t xml:space="preserve">394,7 </w:t>
            </w:r>
          </w:p>
        </w:tc>
        <w:tc>
          <w:tcPr>
            <w:tcW w:w="1320" w:type="dxa"/>
            <w:tcBorders>
              <w:top w:val="nil"/>
              <w:left w:val="nil"/>
              <w:bottom w:val="nil"/>
              <w:right w:val="nil"/>
            </w:tcBorders>
          </w:tcPr>
          <w:p w:rsidR="00E8309B" w:rsidRDefault="009D0949">
            <w:pPr>
              <w:spacing w:after="0" w:line="259" w:lineRule="auto"/>
              <w:ind w:left="293" w:right="0" w:firstLine="0"/>
              <w:jc w:val="left"/>
            </w:pPr>
            <w:r>
              <w:rPr>
                <w:sz w:val="18"/>
              </w:rPr>
              <w:t xml:space="preserve">412,2 </w:t>
            </w:r>
          </w:p>
        </w:tc>
        <w:tc>
          <w:tcPr>
            <w:tcW w:w="1147" w:type="dxa"/>
            <w:tcBorders>
              <w:top w:val="nil"/>
              <w:left w:val="nil"/>
              <w:bottom w:val="nil"/>
              <w:right w:val="nil"/>
            </w:tcBorders>
          </w:tcPr>
          <w:p w:rsidR="00E8309B" w:rsidRDefault="009D0949">
            <w:pPr>
              <w:spacing w:after="0" w:line="259" w:lineRule="auto"/>
              <w:ind w:left="180" w:right="0" w:firstLine="0"/>
              <w:jc w:val="left"/>
            </w:pPr>
            <w:r>
              <w:rPr>
                <w:sz w:val="18"/>
              </w:rPr>
              <w:t xml:space="preserve">453,6 </w:t>
            </w:r>
          </w:p>
        </w:tc>
        <w:tc>
          <w:tcPr>
            <w:tcW w:w="1165" w:type="dxa"/>
            <w:tcBorders>
              <w:top w:val="nil"/>
              <w:left w:val="nil"/>
              <w:bottom w:val="nil"/>
              <w:right w:val="nil"/>
            </w:tcBorders>
          </w:tcPr>
          <w:p w:rsidR="00E8309B" w:rsidRDefault="009D0949">
            <w:pPr>
              <w:spacing w:after="0" w:line="259" w:lineRule="auto"/>
              <w:ind w:left="276" w:right="0" w:firstLine="0"/>
              <w:jc w:val="left"/>
            </w:pPr>
            <w:r>
              <w:rPr>
                <w:sz w:val="18"/>
              </w:rPr>
              <w:t xml:space="preserve">58,9 </w:t>
            </w:r>
          </w:p>
        </w:tc>
        <w:tc>
          <w:tcPr>
            <w:tcW w:w="1214" w:type="dxa"/>
            <w:tcBorders>
              <w:top w:val="nil"/>
              <w:left w:val="nil"/>
              <w:bottom w:val="nil"/>
              <w:right w:val="nil"/>
            </w:tcBorders>
          </w:tcPr>
          <w:p w:rsidR="00E8309B" w:rsidRDefault="009D0949">
            <w:pPr>
              <w:spacing w:after="0" w:line="259" w:lineRule="auto"/>
              <w:ind w:left="264" w:right="0" w:firstLine="0"/>
              <w:jc w:val="left"/>
            </w:pPr>
            <w:r>
              <w:rPr>
                <w:sz w:val="18"/>
              </w:rPr>
              <w:t xml:space="preserve">14,9 </w:t>
            </w:r>
          </w:p>
        </w:tc>
        <w:tc>
          <w:tcPr>
            <w:tcW w:w="1018" w:type="dxa"/>
            <w:tcBorders>
              <w:top w:val="nil"/>
              <w:left w:val="nil"/>
              <w:bottom w:val="nil"/>
              <w:right w:val="nil"/>
            </w:tcBorders>
          </w:tcPr>
          <w:p w:rsidR="00E8309B" w:rsidRDefault="009D0949">
            <w:pPr>
              <w:spacing w:after="0" w:line="259" w:lineRule="auto"/>
              <w:ind w:right="0" w:firstLine="0"/>
              <w:jc w:val="center"/>
            </w:pPr>
            <w:r>
              <w:rPr>
                <w:sz w:val="18"/>
              </w:rPr>
              <w:t xml:space="preserve">8,2 </w:t>
            </w:r>
          </w:p>
        </w:tc>
      </w:tr>
      <w:tr w:rsidR="00E8309B">
        <w:trPr>
          <w:trHeight w:val="268"/>
        </w:trPr>
        <w:tc>
          <w:tcPr>
            <w:tcW w:w="2711" w:type="dxa"/>
            <w:tcBorders>
              <w:top w:val="nil"/>
              <w:left w:val="nil"/>
              <w:bottom w:val="nil"/>
              <w:right w:val="nil"/>
            </w:tcBorders>
          </w:tcPr>
          <w:p w:rsidR="00E8309B" w:rsidRDefault="009D0949">
            <w:pPr>
              <w:spacing w:after="0" w:line="259" w:lineRule="auto"/>
              <w:ind w:left="108" w:right="0" w:firstLine="0"/>
              <w:jc w:val="left"/>
            </w:pPr>
            <w:r>
              <w:rPr>
                <w:sz w:val="18"/>
              </w:rPr>
              <w:t xml:space="preserve">Отплата камата </w:t>
            </w:r>
          </w:p>
        </w:tc>
        <w:tc>
          <w:tcPr>
            <w:tcW w:w="1207" w:type="dxa"/>
            <w:tcBorders>
              <w:top w:val="nil"/>
              <w:left w:val="nil"/>
              <w:bottom w:val="nil"/>
              <w:right w:val="nil"/>
            </w:tcBorders>
          </w:tcPr>
          <w:p w:rsidR="00E8309B" w:rsidRDefault="009D0949">
            <w:pPr>
              <w:spacing w:after="0" w:line="259" w:lineRule="auto"/>
              <w:ind w:left="293" w:right="0" w:firstLine="0"/>
              <w:jc w:val="left"/>
            </w:pPr>
            <w:r>
              <w:rPr>
                <w:sz w:val="18"/>
              </w:rPr>
              <w:t xml:space="preserve">113,6 </w:t>
            </w:r>
          </w:p>
        </w:tc>
        <w:tc>
          <w:tcPr>
            <w:tcW w:w="1320" w:type="dxa"/>
            <w:tcBorders>
              <w:top w:val="nil"/>
              <w:left w:val="nil"/>
              <w:bottom w:val="nil"/>
              <w:right w:val="nil"/>
            </w:tcBorders>
          </w:tcPr>
          <w:p w:rsidR="00E8309B" w:rsidRDefault="009D0949">
            <w:pPr>
              <w:spacing w:after="0" w:line="259" w:lineRule="auto"/>
              <w:ind w:left="293" w:right="0" w:firstLine="0"/>
              <w:jc w:val="left"/>
            </w:pPr>
            <w:r>
              <w:rPr>
                <w:sz w:val="18"/>
              </w:rPr>
              <w:t xml:space="preserve">109,1 </w:t>
            </w:r>
          </w:p>
        </w:tc>
        <w:tc>
          <w:tcPr>
            <w:tcW w:w="1147" w:type="dxa"/>
            <w:tcBorders>
              <w:top w:val="nil"/>
              <w:left w:val="nil"/>
              <w:bottom w:val="nil"/>
              <w:right w:val="nil"/>
            </w:tcBorders>
          </w:tcPr>
          <w:p w:rsidR="00E8309B" w:rsidRDefault="009D0949">
            <w:pPr>
              <w:spacing w:after="0" w:line="259" w:lineRule="auto"/>
              <w:ind w:left="180" w:right="0" w:firstLine="0"/>
              <w:jc w:val="left"/>
            </w:pPr>
            <w:r>
              <w:rPr>
                <w:sz w:val="18"/>
              </w:rPr>
              <w:t xml:space="preserve">110,5 </w:t>
            </w:r>
          </w:p>
        </w:tc>
        <w:tc>
          <w:tcPr>
            <w:tcW w:w="1165" w:type="dxa"/>
            <w:tcBorders>
              <w:top w:val="nil"/>
              <w:left w:val="nil"/>
              <w:bottom w:val="nil"/>
              <w:right w:val="nil"/>
            </w:tcBorders>
          </w:tcPr>
          <w:p w:rsidR="00E8309B" w:rsidRDefault="009D0949">
            <w:pPr>
              <w:spacing w:after="0" w:line="259" w:lineRule="auto"/>
              <w:ind w:left="305" w:right="0" w:firstLine="0"/>
              <w:jc w:val="left"/>
            </w:pPr>
            <w:r>
              <w:rPr>
                <w:sz w:val="18"/>
              </w:rPr>
              <w:t xml:space="preserve">-3,1 </w:t>
            </w:r>
          </w:p>
        </w:tc>
        <w:tc>
          <w:tcPr>
            <w:tcW w:w="1214" w:type="dxa"/>
            <w:tcBorders>
              <w:top w:val="nil"/>
              <w:left w:val="nil"/>
              <w:bottom w:val="nil"/>
              <w:right w:val="nil"/>
            </w:tcBorders>
          </w:tcPr>
          <w:p w:rsidR="00E8309B" w:rsidRDefault="009D0949">
            <w:pPr>
              <w:spacing w:after="0" w:line="259" w:lineRule="auto"/>
              <w:ind w:left="293" w:right="0" w:firstLine="0"/>
              <w:jc w:val="left"/>
            </w:pPr>
            <w:r>
              <w:rPr>
                <w:sz w:val="18"/>
              </w:rPr>
              <w:t xml:space="preserve">-2,7 </w:t>
            </w:r>
          </w:p>
        </w:tc>
        <w:tc>
          <w:tcPr>
            <w:tcW w:w="1018" w:type="dxa"/>
            <w:tcBorders>
              <w:top w:val="nil"/>
              <w:left w:val="nil"/>
              <w:bottom w:val="nil"/>
              <w:right w:val="nil"/>
            </w:tcBorders>
          </w:tcPr>
          <w:p w:rsidR="00E8309B" w:rsidRDefault="009D0949">
            <w:pPr>
              <w:spacing w:after="0" w:line="259" w:lineRule="auto"/>
              <w:ind w:right="0" w:firstLine="0"/>
              <w:jc w:val="center"/>
            </w:pPr>
            <w:r>
              <w:rPr>
                <w:sz w:val="18"/>
              </w:rPr>
              <w:t xml:space="preserve">2,0 </w:t>
            </w:r>
          </w:p>
        </w:tc>
      </w:tr>
      <w:tr w:rsidR="00E8309B">
        <w:trPr>
          <w:trHeight w:val="266"/>
        </w:trPr>
        <w:tc>
          <w:tcPr>
            <w:tcW w:w="2711" w:type="dxa"/>
            <w:tcBorders>
              <w:top w:val="nil"/>
              <w:left w:val="nil"/>
              <w:bottom w:val="nil"/>
              <w:right w:val="nil"/>
            </w:tcBorders>
          </w:tcPr>
          <w:p w:rsidR="00E8309B" w:rsidRDefault="009D0949">
            <w:pPr>
              <w:spacing w:after="0" w:line="259" w:lineRule="auto"/>
              <w:ind w:left="108" w:right="0" w:firstLine="0"/>
              <w:jc w:val="left"/>
            </w:pPr>
            <w:r>
              <w:rPr>
                <w:sz w:val="18"/>
              </w:rPr>
              <w:t xml:space="preserve">Субвенције </w:t>
            </w:r>
          </w:p>
        </w:tc>
        <w:tc>
          <w:tcPr>
            <w:tcW w:w="1207" w:type="dxa"/>
            <w:tcBorders>
              <w:top w:val="nil"/>
              <w:left w:val="nil"/>
              <w:bottom w:val="nil"/>
              <w:right w:val="nil"/>
            </w:tcBorders>
          </w:tcPr>
          <w:p w:rsidR="00E8309B" w:rsidRDefault="009D0949">
            <w:pPr>
              <w:spacing w:after="0" w:line="259" w:lineRule="auto"/>
              <w:ind w:left="293" w:right="0" w:firstLine="0"/>
              <w:jc w:val="left"/>
            </w:pPr>
            <w:r>
              <w:rPr>
                <w:sz w:val="18"/>
              </w:rPr>
              <w:t xml:space="preserve">114,2 </w:t>
            </w:r>
          </w:p>
        </w:tc>
        <w:tc>
          <w:tcPr>
            <w:tcW w:w="1320" w:type="dxa"/>
            <w:tcBorders>
              <w:top w:val="nil"/>
              <w:left w:val="nil"/>
              <w:bottom w:val="nil"/>
              <w:right w:val="nil"/>
            </w:tcBorders>
          </w:tcPr>
          <w:p w:rsidR="00E8309B" w:rsidRDefault="009D0949">
            <w:pPr>
              <w:spacing w:after="0" w:line="259" w:lineRule="auto"/>
              <w:ind w:left="293" w:right="0" w:firstLine="0"/>
              <w:jc w:val="left"/>
            </w:pPr>
            <w:r>
              <w:rPr>
                <w:sz w:val="18"/>
              </w:rPr>
              <w:t xml:space="preserve">206,3 </w:t>
            </w:r>
          </w:p>
        </w:tc>
        <w:tc>
          <w:tcPr>
            <w:tcW w:w="1147" w:type="dxa"/>
            <w:tcBorders>
              <w:top w:val="nil"/>
              <w:left w:val="nil"/>
              <w:bottom w:val="nil"/>
              <w:right w:val="nil"/>
            </w:tcBorders>
          </w:tcPr>
          <w:p w:rsidR="00E8309B" w:rsidRDefault="009D0949">
            <w:pPr>
              <w:spacing w:after="0" w:line="259" w:lineRule="auto"/>
              <w:ind w:left="180" w:right="0" w:firstLine="0"/>
              <w:jc w:val="left"/>
            </w:pPr>
            <w:r>
              <w:rPr>
                <w:sz w:val="18"/>
              </w:rPr>
              <w:t xml:space="preserve">258,3 </w:t>
            </w:r>
          </w:p>
        </w:tc>
        <w:tc>
          <w:tcPr>
            <w:tcW w:w="1165" w:type="dxa"/>
            <w:tcBorders>
              <w:top w:val="nil"/>
              <w:left w:val="nil"/>
              <w:bottom w:val="nil"/>
              <w:right w:val="nil"/>
            </w:tcBorders>
          </w:tcPr>
          <w:p w:rsidR="00E8309B" w:rsidRDefault="009D0949">
            <w:pPr>
              <w:spacing w:after="0" w:line="259" w:lineRule="auto"/>
              <w:ind w:left="185" w:right="0" w:firstLine="0"/>
              <w:jc w:val="left"/>
            </w:pPr>
            <w:r>
              <w:rPr>
                <w:sz w:val="18"/>
              </w:rPr>
              <w:t xml:space="preserve">144,1 </w:t>
            </w:r>
          </w:p>
        </w:tc>
        <w:tc>
          <w:tcPr>
            <w:tcW w:w="1214" w:type="dxa"/>
            <w:tcBorders>
              <w:top w:val="nil"/>
              <w:left w:val="nil"/>
              <w:bottom w:val="nil"/>
              <w:right w:val="nil"/>
            </w:tcBorders>
          </w:tcPr>
          <w:p w:rsidR="00E8309B" w:rsidRDefault="009D0949">
            <w:pPr>
              <w:spacing w:after="0" w:line="259" w:lineRule="auto"/>
              <w:ind w:left="173" w:right="0" w:firstLine="0"/>
              <w:jc w:val="left"/>
            </w:pPr>
            <w:r>
              <w:rPr>
                <w:sz w:val="18"/>
              </w:rPr>
              <w:t xml:space="preserve">126,2 </w:t>
            </w:r>
          </w:p>
        </w:tc>
        <w:tc>
          <w:tcPr>
            <w:tcW w:w="1018" w:type="dxa"/>
            <w:tcBorders>
              <w:top w:val="nil"/>
              <w:left w:val="nil"/>
              <w:bottom w:val="nil"/>
              <w:right w:val="nil"/>
            </w:tcBorders>
          </w:tcPr>
          <w:p w:rsidR="00E8309B" w:rsidRDefault="009D0949">
            <w:pPr>
              <w:spacing w:after="0" w:line="259" w:lineRule="auto"/>
              <w:ind w:right="0" w:firstLine="0"/>
              <w:jc w:val="center"/>
            </w:pPr>
            <w:r>
              <w:rPr>
                <w:sz w:val="18"/>
              </w:rPr>
              <w:t xml:space="preserve">4,7 </w:t>
            </w:r>
          </w:p>
        </w:tc>
      </w:tr>
      <w:tr w:rsidR="00E8309B">
        <w:trPr>
          <w:trHeight w:val="266"/>
        </w:trPr>
        <w:tc>
          <w:tcPr>
            <w:tcW w:w="2711" w:type="dxa"/>
            <w:tcBorders>
              <w:top w:val="nil"/>
              <w:left w:val="nil"/>
              <w:bottom w:val="nil"/>
              <w:right w:val="nil"/>
            </w:tcBorders>
          </w:tcPr>
          <w:p w:rsidR="00E8309B" w:rsidRDefault="009D0949">
            <w:pPr>
              <w:spacing w:after="0" w:line="259" w:lineRule="auto"/>
              <w:ind w:left="108" w:right="0" w:firstLine="0"/>
              <w:jc w:val="left"/>
            </w:pPr>
            <w:r>
              <w:rPr>
                <w:sz w:val="18"/>
              </w:rPr>
              <w:t xml:space="preserve">Социјална помоћ и трансфери </w:t>
            </w:r>
          </w:p>
        </w:tc>
        <w:tc>
          <w:tcPr>
            <w:tcW w:w="1207" w:type="dxa"/>
            <w:tcBorders>
              <w:top w:val="nil"/>
              <w:left w:val="nil"/>
              <w:bottom w:val="nil"/>
              <w:right w:val="nil"/>
            </w:tcBorders>
          </w:tcPr>
          <w:p w:rsidR="00E8309B" w:rsidRDefault="009D0949">
            <w:pPr>
              <w:spacing w:after="0" w:line="259" w:lineRule="auto"/>
              <w:ind w:left="293" w:right="0" w:firstLine="0"/>
              <w:jc w:val="left"/>
            </w:pPr>
            <w:r>
              <w:rPr>
                <w:sz w:val="18"/>
              </w:rPr>
              <w:t xml:space="preserve">824,8 </w:t>
            </w:r>
          </w:p>
        </w:tc>
        <w:tc>
          <w:tcPr>
            <w:tcW w:w="1320" w:type="dxa"/>
            <w:tcBorders>
              <w:top w:val="nil"/>
              <w:left w:val="nil"/>
              <w:bottom w:val="nil"/>
              <w:right w:val="nil"/>
            </w:tcBorders>
          </w:tcPr>
          <w:p w:rsidR="00E8309B" w:rsidRDefault="009D0949">
            <w:pPr>
              <w:spacing w:after="0" w:line="259" w:lineRule="auto"/>
              <w:ind w:left="293" w:right="0" w:firstLine="0"/>
              <w:jc w:val="left"/>
            </w:pPr>
            <w:r>
              <w:rPr>
                <w:sz w:val="18"/>
              </w:rPr>
              <w:t xml:space="preserve">827,3 </w:t>
            </w:r>
          </w:p>
        </w:tc>
        <w:tc>
          <w:tcPr>
            <w:tcW w:w="1147" w:type="dxa"/>
            <w:tcBorders>
              <w:top w:val="nil"/>
              <w:left w:val="nil"/>
              <w:bottom w:val="nil"/>
              <w:right w:val="nil"/>
            </w:tcBorders>
          </w:tcPr>
          <w:p w:rsidR="00E8309B" w:rsidRDefault="009D0949">
            <w:pPr>
              <w:spacing w:after="0" w:line="259" w:lineRule="auto"/>
              <w:ind w:left="180" w:right="0" w:firstLine="0"/>
              <w:jc w:val="left"/>
            </w:pPr>
            <w:r>
              <w:rPr>
                <w:sz w:val="18"/>
              </w:rPr>
              <w:t xml:space="preserve">814,1 </w:t>
            </w:r>
          </w:p>
        </w:tc>
        <w:tc>
          <w:tcPr>
            <w:tcW w:w="1165" w:type="dxa"/>
            <w:tcBorders>
              <w:top w:val="nil"/>
              <w:left w:val="nil"/>
              <w:bottom w:val="nil"/>
              <w:right w:val="nil"/>
            </w:tcBorders>
          </w:tcPr>
          <w:p w:rsidR="00E8309B" w:rsidRDefault="009D0949">
            <w:pPr>
              <w:spacing w:after="0" w:line="259" w:lineRule="auto"/>
              <w:ind w:left="216" w:right="0" w:firstLine="0"/>
              <w:jc w:val="left"/>
            </w:pPr>
            <w:r>
              <w:rPr>
                <w:sz w:val="18"/>
              </w:rPr>
              <w:t xml:space="preserve">-10,7 </w:t>
            </w:r>
          </w:p>
        </w:tc>
        <w:tc>
          <w:tcPr>
            <w:tcW w:w="1214" w:type="dxa"/>
            <w:tcBorders>
              <w:top w:val="nil"/>
              <w:left w:val="nil"/>
              <w:bottom w:val="nil"/>
              <w:right w:val="nil"/>
            </w:tcBorders>
          </w:tcPr>
          <w:p w:rsidR="00E8309B" w:rsidRDefault="009D0949">
            <w:pPr>
              <w:spacing w:after="0" w:line="259" w:lineRule="auto"/>
              <w:ind w:left="293" w:right="0" w:firstLine="0"/>
              <w:jc w:val="left"/>
            </w:pPr>
            <w:r>
              <w:rPr>
                <w:sz w:val="18"/>
              </w:rPr>
              <w:t xml:space="preserve">-1,3 </w:t>
            </w:r>
          </w:p>
        </w:tc>
        <w:tc>
          <w:tcPr>
            <w:tcW w:w="1018" w:type="dxa"/>
            <w:tcBorders>
              <w:top w:val="nil"/>
              <w:left w:val="nil"/>
              <w:bottom w:val="nil"/>
              <w:right w:val="nil"/>
            </w:tcBorders>
          </w:tcPr>
          <w:p w:rsidR="00E8309B" w:rsidRDefault="009D0949">
            <w:pPr>
              <w:spacing w:after="0" w:line="259" w:lineRule="auto"/>
              <w:ind w:left="254" w:right="0" w:firstLine="0"/>
              <w:jc w:val="left"/>
            </w:pPr>
            <w:r>
              <w:rPr>
                <w:sz w:val="18"/>
              </w:rPr>
              <w:t xml:space="preserve">14,8 </w:t>
            </w:r>
          </w:p>
        </w:tc>
      </w:tr>
      <w:tr w:rsidR="00E8309B">
        <w:trPr>
          <w:trHeight w:val="268"/>
        </w:trPr>
        <w:tc>
          <w:tcPr>
            <w:tcW w:w="2711" w:type="dxa"/>
            <w:tcBorders>
              <w:top w:val="nil"/>
              <w:left w:val="nil"/>
              <w:bottom w:val="nil"/>
              <w:right w:val="nil"/>
            </w:tcBorders>
          </w:tcPr>
          <w:p w:rsidR="00E8309B" w:rsidRDefault="009D0949">
            <w:pPr>
              <w:spacing w:after="0" w:line="259" w:lineRule="auto"/>
              <w:ind w:left="108" w:right="0" w:firstLine="0"/>
              <w:jc w:val="left"/>
            </w:pPr>
            <w:r>
              <w:rPr>
                <w:sz w:val="18"/>
              </w:rPr>
              <w:t xml:space="preserve">од чега пензије </w:t>
            </w:r>
          </w:p>
        </w:tc>
        <w:tc>
          <w:tcPr>
            <w:tcW w:w="1207" w:type="dxa"/>
            <w:tcBorders>
              <w:top w:val="nil"/>
              <w:left w:val="nil"/>
              <w:bottom w:val="nil"/>
              <w:right w:val="nil"/>
            </w:tcBorders>
          </w:tcPr>
          <w:p w:rsidR="00E8309B" w:rsidRDefault="009D0949">
            <w:pPr>
              <w:spacing w:after="0" w:line="259" w:lineRule="auto"/>
              <w:ind w:left="293" w:right="0" w:firstLine="0"/>
              <w:jc w:val="left"/>
            </w:pPr>
            <w:r>
              <w:rPr>
                <w:sz w:val="18"/>
              </w:rPr>
              <w:t xml:space="preserve">594,2 </w:t>
            </w:r>
          </w:p>
        </w:tc>
        <w:tc>
          <w:tcPr>
            <w:tcW w:w="1320" w:type="dxa"/>
            <w:tcBorders>
              <w:top w:val="nil"/>
              <w:left w:val="nil"/>
              <w:bottom w:val="nil"/>
              <w:right w:val="nil"/>
            </w:tcBorders>
          </w:tcPr>
          <w:p w:rsidR="00E8309B" w:rsidRDefault="009D0949">
            <w:pPr>
              <w:spacing w:after="0" w:line="259" w:lineRule="auto"/>
              <w:ind w:left="293" w:right="0" w:firstLine="0"/>
              <w:jc w:val="left"/>
            </w:pPr>
            <w:r>
              <w:rPr>
                <w:sz w:val="18"/>
              </w:rPr>
              <w:t xml:space="preserve">588,2 </w:t>
            </w:r>
          </w:p>
        </w:tc>
        <w:tc>
          <w:tcPr>
            <w:tcW w:w="1147" w:type="dxa"/>
            <w:tcBorders>
              <w:top w:val="nil"/>
              <w:left w:val="nil"/>
              <w:bottom w:val="nil"/>
              <w:right w:val="nil"/>
            </w:tcBorders>
          </w:tcPr>
          <w:p w:rsidR="00E8309B" w:rsidRDefault="009D0949">
            <w:pPr>
              <w:spacing w:after="0" w:line="259" w:lineRule="auto"/>
              <w:ind w:left="180" w:right="0" w:firstLine="0"/>
              <w:jc w:val="left"/>
            </w:pPr>
            <w:r>
              <w:rPr>
                <w:sz w:val="18"/>
              </w:rPr>
              <w:t xml:space="preserve">586,2 </w:t>
            </w:r>
          </w:p>
        </w:tc>
        <w:tc>
          <w:tcPr>
            <w:tcW w:w="1165" w:type="dxa"/>
            <w:tcBorders>
              <w:top w:val="nil"/>
              <w:left w:val="nil"/>
              <w:bottom w:val="nil"/>
              <w:right w:val="nil"/>
            </w:tcBorders>
          </w:tcPr>
          <w:p w:rsidR="00E8309B" w:rsidRDefault="009D0949">
            <w:pPr>
              <w:spacing w:after="0" w:line="259" w:lineRule="auto"/>
              <w:ind w:left="305" w:right="0" w:firstLine="0"/>
              <w:jc w:val="left"/>
            </w:pPr>
            <w:r>
              <w:rPr>
                <w:sz w:val="18"/>
              </w:rPr>
              <w:t xml:space="preserve">-8,0 </w:t>
            </w:r>
          </w:p>
        </w:tc>
        <w:tc>
          <w:tcPr>
            <w:tcW w:w="1214" w:type="dxa"/>
            <w:tcBorders>
              <w:top w:val="nil"/>
              <w:left w:val="nil"/>
              <w:bottom w:val="nil"/>
              <w:right w:val="nil"/>
            </w:tcBorders>
          </w:tcPr>
          <w:p w:rsidR="00E8309B" w:rsidRDefault="009D0949">
            <w:pPr>
              <w:spacing w:after="0" w:line="259" w:lineRule="auto"/>
              <w:ind w:left="293" w:right="0" w:firstLine="0"/>
              <w:jc w:val="left"/>
            </w:pPr>
            <w:r>
              <w:rPr>
                <w:sz w:val="18"/>
              </w:rPr>
              <w:t>-</w:t>
            </w:r>
            <w:r>
              <w:rPr>
                <w:sz w:val="18"/>
              </w:rPr>
              <w:t xml:space="preserve">1,3 </w:t>
            </w:r>
          </w:p>
        </w:tc>
        <w:tc>
          <w:tcPr>
            <w:tcW w:w="1018" w:type="dxa"/>
            <w:tcBorders>
              <w:top w:val="nil"/>
              <w:left w:val="nil"/>
              <w:bottom w:val="nil"/>
              <w:right w:val="nil"/>
            </w:tcBorders>
          </w:tcPr>
          <w:p w:rsidR="00E8309B" w:rsidRDefault="009D0949">
            <w:pPr>
              <w:spacing w:after="0" w:line="259" w:lineRule="auto"/>
              <w:ind w:left="254" w:right="0" w:firstLine="0"/>
              <w:jc w:val="left"/>
            </w:pPr>
            <w:r>
              <w:rPr>
                <w:sz w:val="18"/>
              </w:rPr>
              <w:t xml:space="preserve">10,6 </w:t>
            </w:r>
          </w:p>
        </w:tc>
      </w:tr>
      <w:tr w:rsidR="00E8309B">
        <w:trPr>
          <w:trHeight w:val="268"/>
        </w:trPr>
        <w:tc>
          <w:tcPr>
            <w:tcW w:w="2711" w:type="dxa"/>
            <w:tcBorders>
              <w:top w:val="nil"/>
              <w:left w:val="nil"/>
              <w:bottom w:val="nil"/>
              <w:right w:val="nil"/>
            </w:tcBorders>
          </w:tcPr>
          <w:p w:rsidR="00E8309B" w:rsidRDefault="009D0949">
            <w:pPr>
              <w:spacing w:after="0" w:line="259" w:lineRule="auto"/>
              <w:ind w:left="108" w:right="0" w:firstLine="0"/>
              <w:jc w:val="left"/>
            </w:pPr>
            <w:r>
              <w:rPr>
                <w:sz w:val="18"/>
              </w:rPr>
              <w:t xml:space="preserve">Остали текући расходи </w:t>
            </w:r>
          </w:p>
        </w:tc>
        <w:tc>
          <w:tcPr>
            <w:tcW w:w="1207" w:type="dxa"/>
            <w:tcBorders>
              <w:top w:val="nil"/>
              <w:left w:val="nil"/>
              <w:bottom w:val="nil"/>
              <w:right w:val="nil"/>
            </w:tcBorders>
          </w:tcPr>
          <w:p w:rsidR="00E8309B" w:rsidRDefault="009D0949">
            <w:pPr>
              <w:spacing w:after="0" w:line="259" w:lineRule="auto"/>
              <w:ind w:left="0" w:right="9" w:firstLine="0"/>
              <w:jc w:val="center"/>
            </w:pPr>
            <w:r>
              <w:rPr>
                <w:sz w:val="18"/>
              </w:rPr>
              <w:t xml:space="preserve">87,8 </w:t>
            </w:r>
          </w:p>
        </w:tc>
        <w:tc>
          <w:tcPr>
            <w:tcW w:w="1320" w:type="dxa"/>
            <w:tcBorders>
              <w:top w:val="nil"/>
              <w:left w:val="nil"/>
              <w:bottom w:val="nil"/>
              <w:right w:val="nil"/>
            </w:tcBorders>
          </w:tcPr>
          <w:p w:rsidR="00E8309B" w:rsidRDefault="009D0949">
            <w:pPr>
              <w:spacing w:after="0" w:line="259" w:lineRule="auto"/>
              <w:ind w:left="293" w:right="0" w:firstLine="0"/>
              <w:jc w:val="left"/>
            </w:pPr>
            <w:r>
              <w:rPr>
                <w:sz w:val="18"/>
              </w:rPr>
              <w:t xml:space="preserve">142,0 </w:t>
            </w:r>
          </w:p>
        </w:tc>
        <w:tc>
          <w:tcPr>
            <w:tcW w:w="1147" w:type="dxa"/>
            <w:tcBorders>
              <w:top w:val="nil"/>
              <w:left w:val="nil"/>
              <w:bottom w:val="nil"/>
              <w:right w:val="nil"/>
            </w:tcBorders>
          </w:tcPr>
          <w:p w:rsidR="00E8309B" w:rsidRDefault="009D0949">
            <w:pPr>
              <w:spacing w:after="0" w:line="259" w:lineRule="auto"/>
              <w:ind w:left="180" w:right="0" w:firstLine="0"/>
              <w:jc w:val="left"/>
            </w:pPr>
            <w:r>
              <w:rPr>
                <w:sz w:val="18"/>
              </w:rPr>
              <w:t xml:space="preserve">167,0 </w:t>
            </w:r>
          </w:p>
        </w:tc>
        <w:tc>
          <w:tcPr>
            <w:tcW w:w="1165" w:type="dxa"/>
            <w:tcBorders>
              <w:top w:val="nil"/>
              <w:left w:val="nil"/>
              <w:bottom w:val="nil"/>
              <w:right w:val="nil"/>
            </w:tcBorders>
          </w:tcPr>
          <w:p w:rsidR="00E8309B" w:rsidRDefault="009D0949">
            <w:pPr>
              <w:spacing w:after="0" w:line="259" w:lineRule="auto"/>
              <w:ind w:left="276" w:right="0" w:firstLine="0"/>
              <w:jc w:val="left"/>
            </w:pPr>
            <w:r>
              <w:rPr>
                <w:sz w:val="18"/>
              </w:rPr>
              <w:t xml:space="preserve">79,2 </w:t>
            </w:r>
          </w:p>
        </w:tc>
        <w:tc>
          <w:tcPr>
            <w:tcW w:w="1214" w:type="dxa"/>
            <w:tcBorders>
              <w:top w:val="nil"/>
              <w:left w:val="nil"/>
              <w:bottom w:val="nil"/>
              <w:right w:val="nil"/>
            </w:tcBorders>
          </w:tcPr>
          <w:p w:rsidR="00E8309B" w:rsidRDefault="009D0949">
            <w:pPr>
              <w:spacing w:after="0" w:line="259" w:lineRule="auto"/>
              <w:ind w:left="264" w:right="0" w:firstLine="0"/>
              <w:jc w:val="left"/>
            </w:pPr>
            <w:r>
              <w:rPr>
                <w:sz w:val="18"/>
              </w:rPr>
              <w:t xml:space="preserve">90,2 </w:t>
            </w:r>
          </w:p>
        </w:tc>
        <w:tc>
          <w:tcPr>
            <w:tcW w:w="1018" w:type="dxa"/>
            <w:tcBorders>
              <w:top w:val="nil"/>
              <w:left w:val="nil"/>
              <w:bottom w:val="nil"/>
              <w:right w:val="nil"/>
            </w:tcBorders>
          </w:tcPr>
          <w:p w:rsidR="00E8309B" w:rsidRDefault="009D0949">
            <w:pPr>
              <w:spacing w:after="0" w:line="259" w:lineRule="auto"/>
              <w:ind w:right="0" w:firstLine="0"/>
              <w:jc w:val="center"/>
            </w:pPr>
            <w:r>
              <w:rPr>
                <w:sz w:val="18"/>
              </w:rPr>
              <w:t xml:space="preserve">3,0 </w:t>
            </w:r>
          </w:p>
        </w:tc>
      </w:tr>
      <w:tr w:rsidR="00E8309B">
        <w:trPr>
          <w:trHeight w:val="266"/>
        </w:trPr>
        <w:tc>
          <w:tcPr>
            <w:tcW w:w="2711" w:type="dxa"/>
            <w:tcBorders>
              <w:top w:val="nil"/>
              <w:left w:val="nil"/>
              <w:bottom w:val="nil"/>
              <w:right w:val="nil"/>
            </w:tcBorders>
          </w:tcPr>
          <w:p w:rsidR="00E8309B" w:rsidRDefault="009D0949">
            <w:pPr>
              <w:spacing w:after="0" w:line="259" w:lineRule="auto"/>
              <w:ind w:left="108" w:right="0" w:firstLine="0"/>
              <w:jc w:val="left"/>
            </w:pPr>
            <w:r>
              <w:rPr>
                <w:sz w:val="18"/>
              </w:rPr>
              <w:t xml:space="preserve">Капитални расходи </w:t>
            </w:r>
          </w:p>
        </w:tc>
        <w:tc>
          <w:tcPr>
            <w:tcW w:w="1207" w:type="dxa"/>
            <w:tcBorders>
              <w:top w:val="nil"/>
              <w:left w:val="nil"/>
              <w:bottom w:val="nil"/>
              <w:right w:val="nil"/>
            </w:tcBorders>
          </w:tcPr>
          <w:p w:rsidR="00E8309B" w:rsidRDefault="009D0949">
            <w:pPr>
              <w:spacing w:after="0" w:line="259" w:lineRule="auto"/>
              <w:ind w:left="293" w:right="0" w:firstLine="0"/>
              <w:jc w:val="left"/>
            </w:pPr>
            <w:r>
              <w:rPr>
                <w:sz w:val="18"/>
              </w:rPr>
              <w:t xml:space="preserve">260,0 </w:t>
            </w:r>
          </w:p>
        </w:tc>
        <w:tc>
          <w:tcPr>
            <w:tcW w:w="1320" w:type="dxa"/>
            <w:tcBorders>
              <w:top w:val="nil"/>
              <w:left w:val="nil"/>
              <w:bottom w:val="nil"/>
              <w:right w:val="nil"/>
            </w:tcBorders>
          </w:tcPr>
          <w:p w:rsidR="00E8309B" w:rsidRDefault="009D0949">
            <w:pPr>
              <w:spacing w:after="0" w:line="259" w:lineRule="auto"/>
              <w:ind w:left="293" w:right="0" w:firstLine="0"/>
              <w:jc w:val="left"/>
            </w:pPr>
            <w:r>
              <w:rPr>
                <w:sz w:val="18"/>
              </w:rPr>
              <w:t xml:space="preserve">207,5 </w:t>
            </w:r>
          </w:p>
        </w:tc>
        <w:tc>
          <w:tcPr>
            <w:tcW w:w="1147" w:type="dxa"/>
            <w:tcBorders>
              <w:top w:val="nil"/>
              <w:left w:val="nil"/>
              <w:bottom w:val="nil"/>
              <w:right w:val="nil"/>
            </w:tcBorders>
          </w:tcPr>
          <w:p w:rsidR="00E8309B" w:rsidRDefault="009D0949">
            <w:pPr>
              <w:spacing w:after="0" w:line="259" w:lineRule="auto"/>
              <w:ind w:left="180" w:right="0" w:firstLine="0"/>
              <w:jc w:val="left"/>
            </w:pPr>
            <w:r>
              <w:rPr>
                <w:sz w:val="18"/>
              </w:rPr>
              <w:t xml:space="preserve">286,7 </w:t>
            </w:r>
          </w:p>
        </w:tc>
        <w:tc>
          <w:tcPr>
            <w:tcW w:w="1165" w:type="dxa"/>
            <w:tcBorders>
              <w:top w:val="nil"/>
              <w:left w:val="nil"/>
              <w:bottom w:val="nil"/>
              <w:right w:val="nil"/>
            </w:tcBorders>
          </w:tcPr>
          <w:p w:rsidR="00E8309B" w:rsidRDefault="009D0949">
            <w:pPr>
              <w:spacing w:after="0" w:line="259" w:lineRule="auto"/>
              <w:ind w:left="276" w:right="0" w:firstLine="0"/>
              <w:jc w:val="left"/>
            </w:pPr>
            <w:r>
              <w:rPr>
                <w:sz w:val="18"/>
              </w:rPr>
              <w:t xml:space="preserve">26,7 </w:t>
            </w:r>
          </w:p>
        </w:tc>
        <w:tc>
          <w:tcPr>
            <w:tcW w:w="1214" w:type="dxa"/>
            <w:tcBorders>
              <w:top w:val="nil"/>
              <w:left w:val="nil"/>
              <w:bottom w:val="nil"/>
              <w:right w:val="nil"/>
            </w:tcBorders>
          </w:tcPr>
          <w:p w:rsidR="00E8309B" w:rsidRDefault="009D0949">
            <w:pPr>
              <w:spacing w:after="0" w:line="259" w:lineRule="auto"/>
              <w:ind w:left="264" w:right="0" w:firstLine="0"/>
              <w:jc w:val="left"/>
            </w:pPr>
            <w:r>
              <w:rPr>
                <w:sz w:val="18"/>
              </w:rPr>
              <w:t xml:space="preserve">10,3 </w:t>
            </w:r>
          </w:p>
        </w:tc>
        <w:tc>
          <w:tcPr>
            <w:tcW w:w="1018" w:type="dxa"/>
            <w:tcBorders>
              <w:top w:val="nil"/>
              <w:left w:val="nil"/>
              <w:bottom w:val="nil"/>
              <w:right w:val="nil"/>
            </w:tcBorders>
          </w:tcPr>
          <w:p w:rsidR="00E8309B" w:rsidRDefault="009D0949">
            <w:pPr>
              <w:spacing w:after="0" w:line="259" w:lineRule="auto"/>
              <w:ind w:right="0" w:firstLine="0"/>
              <w:jc w:val="center"/>
            </w:pPr>
            <w:r>
              <w:rPr>
                <w:sz w:val="18"/>
              </w:rPr>
              <w:t xml:space="preserve">5,2 </w:t>
            </w:r>
          </w:p>
        </w:tc>
      </w:tr>
      <w:tr w:rsidR="00E8309B">
        <w:trPr>
          <w:trHeight w:val="267"/>
        </w:trPr>
        <w:tc>
          <w:tcPr>
            <w:tcW w:w="2711" w:type="dxa"/>
            <w:tcBorders>
              <w:top w:val="nil"/>
              <w:left w:val="nil"/>
              <w:bottom w:val="nil"/>
              <w:right w:val="nil"/>
            </w:tcBorders>
          </w:tcPr>
          <w:p w:rsidR="00E8309B" w:rsidRDefault="009D0949">
            <w:pPr>
              <w:spacing w:after="0" w:line="259" w:lineRule="auto"/>
              <w:ind w:left="108" w:right="0" w:firstLine="0"/>
              <w:jc w:val="left"/>
            </w:pPr>
            <w:r>
              <w:rPr>
                <w:sz w:val="18"/>
              </w:rPr>
              <w:t xml:space="preserve">Нето буџетске позајмице </w:t>
            </w:r>
          </w:p>
        </w:tc>
        <w:tc>
          <w:tcPr>
            <w:tcW w:w="1207" w:type="dxa"/>
            <w:tcBorders>
              <w:top w:val="nil"/>
              <w:left w:val="nil"/>
              <w:bottom w:val="nil"/>
              <w:right w:val="nil"/>
            </w:tcBorders>
          </w:tcPr>
          <w:p w:rsidR="00E8309B" w:rsidRDefault="009D0949">
            <w:pPr>
              <w:spacing w:after="0" w:line="259" w:lineRule="auto"/>
              <w:ind w:left="0" w:right="9" w:firstLine="0"/>
              <w:jc w:val="center"/>
            </w:pPr>
            <w:r>
              <w:rPr>
                <w:sz w:val="18"/>
              </w:rPr>
              <w:t xml:space="preserve">13,1 </w:t>
            </w:r>
          </w:p>
        </w:tc>
        <w:tc>
          <w:tcPr>
            <w:tcW w:w="1320" w:type="dxa"/>
            <w:tcBorders>
              <w:top w:val="nil"/>
              <w:left w:val="nil"/>
              <w:bottom w:val="nil"/>
              <w:right w:val="nil"/>
            </w:tcBorders>
          </w:tcPr>
          <w:p w:rsidR="00E8309B" w:rsidRDefault="009D0949">
            <w:pPr>
              <w:spacing w:after="0" w:line="259" w:lineRule="auto"/>
              <w:ind w:left="384" w:right="0" w:firstLine="0"/>
              <w:jc w:val="left"/>
            </w:pPr>
            <w:r>
              <w:rPr>
                <w:sz w:val="18"/>
              </w:rPr>
              <w:t xml:space="preserve">27,1 </w:t>
            </w:r>
          </w:p>
        </w:tc>
        <w:tc>
          <w:tcPr>
            <w:tcW w:w="1147" w:type="dxa"/>
            <w:tcBorders>
              <w:top w:val="nil"/>
              <w:left w:val="nil"/>
              <w:bottom w:val="nil"/>
              <w:right w:val="nil"/>
            </w:tcBorders>
          </w:tcPr>
          <w:p w:rsidR="00E8309B" w:rsidRDefault="009D0949">
            <w:pPr>
              <w:spacing w:after="0" w:line="259" w:lineRule="auto"/>
              <w:ind w:left="271" w:right="0" w:firstLine="0"/>
              <w:jc w:val="left"/>
            </w:pPr>
            <w:r>
              <w:rPr>
                <w:sz w:val="18"/>
              </w:rPr>
              <w:t xml:space="preserve">41,9 </w:t>
            </w:r>
          </w:p>
        </w:tc>
        <w:tc>
          <w:tcPr>
            <w:tcW w:w="1165" w:type="dxa"/>
            <w:tcBorders>
              <w:top w:val="nil"/>
              <w:left w:val="nil"/>
              <w:bottom w:val="nil"/>
              <w:right w:val="nil"/>
            </w:tcBorders>
          </w:tcPr>
          <w:p w:rsidR="00E8309B" w:rsidRDefault="009D0949">
            <w:pPr>
              <w:spacing w:after="0" w:line="259" w:lineRule="auto"/>
              <w:ind w:left="276" w:right="0" w:firstLine="0"/>
              <w:jc w:val="left"/>
            </w:pPr>
            <w:r>
              <w:rPr>
                <w:sz w:val="18"/>
              </w:rPr>
              <w:t xml:space="preserve">28,8 </w:t>
            </w:r>
          </w:p>
        </w:tc>
        <w:tc>
          <w:tcPr>
            <w:tcW w:w="1214" w:type="dxa"/>
            <w:tcBorders>
              <w:top w:val="nil"/>
              <w:left w:val="nil"/>
              <w:bottom w:val="nil"/>
              <w:right w:val="nil"/>
            </w:tcBorders>
          </w:tcPr>
          <w:p w:rsidR="00E8309B" w:rsidRDefault="009D0949">
            <w:pPr>
              <w:spacing w:after="0" w:line="259" w:lineRule="auto"/>
              <w:ind w:left="173" w:right="0" w:firstLine="0"/>
              <w:jc w:val="left"/>
            </w:pPr>
            <w:r>
              <w:rPr>
                <w:sz w:val="18"/>
              </w:rPr>
              <w:t xml:space="preserve">219,8 </w:t>
            </w:r>
          </w:p>
        </w:tc>
        <w:tc>
          <w:tcPr>
            <w:tcW w:w="1018" w:type="dxa"/>
            <w:tcBorders>
              <w:top w:val="nil"/>
              <w:left w:val="nil"/>
              <w:bottom w:val="nil"/>
              <w:right w:val="nil"/>
            </w:tcBorders>
          </w:tcPr>
          <w:p w:rsidR="00E8309B" w:rsidRDefault="009D0949">
            <w:pPr>
              <w:spacing w:after="0" w:line="259" w:lineRule="auto"/>
              <w:ind w:right="0" w:firstLine="0"/>
              <w:jc w:val="center"/>
            </w:pPr>
            <w:r>
              <w:rPr>
                <w:sz w:val="18"/>
              </w:rPr>
              <w:t xml:space="preserve">0,8 </w:t>
            </w:r>
          </w:p>
        </w:tc>
      </w:tr>
      <w:tr w:rsidR="00E8309B">
        <w:trPr>
          <w:trHeight w:val="269"/>
        </w:trPr>
        <w:tc>
          <w:tcPr>
            <w:tcW w:w="2711" w:type="dxa"/>
            <w:tcBorders>
              <w:top w:val="nil"/>
              <w:left w:val="nil"/>
              <w:bottom w:val="nil"/>
              <w:right w:val="nil"/>
            </w:tcBorders>
          </w:tcPr>
          <w:p w:rsidR="00E8309B" w:rsidRDefault="009D0949">
            <w:pPr>
              <w:spacing w:after="0" w:line="259" w:lineRule="auto"/>
              <w:ind w:left="108" w:right="0" w:firstLine="0"/>
              <w:jc w:val="left"/>
            </w:pPr>
            <w:r>
              <w:rPr>
                <w:sz w:val="18"/>
              </w:rPr>
              <w:t xml:space="preserve">Активиране гаранције </w:t>
            </w:r>
          </w:p>
        </w:tc>
        <w:tc>
          <w:tcPr>
            <w:tcW w:w="1207" w:type="dxa"/>
            <w:tcBorders>
              <w:top w:val="nil"/>
              <w:left w:val="nil"/>
              <w:bottom w:val="nil"/>
              <w:right w:val="nil"/>
            </w:tcBorders>
          </w:tcPr>
          <w:p w:rsidR="00E8309B" w:rsidRDefault="009D0949">
            <w:pPr>
              <w:spacing w:after="0" w:line="259" w:lineRule="auto"/>
              <w:ind w:left="80" w:right="0" w:firstLine="0"/>
              <w:jc w:val="center"/>
            </w:pPr>
            <w:r>
              <w:rPr>
                <w:sz w:val="18"/>
              </w:rPr>
              <w:t xml:space="preserve">6,7 </w:t>
            </w:r>
          </w:p>
        </w:tc>
        <w:tc>
          <w:tcPr>
            <w:tcW w:w="1320" w:type="dxa"/>
            <w:tcBorders>
              <w:top w:val="nil"/>
              <w:left w:val="nil"/>
              <w:bottom w:val="nil"/>
              <w:right w:val="nil"/>
            </w:tcBorders>
          </w:tcPr>
          <w:p w:rsidR="00E8309B" w:rsidRDefault="009D0949">
            <w:pPr>
              <w:spacing w:after="0" w:line="259" w:lineRule="auto"/>
              <w:ind w:left="0" w:right="33" w:firstLine="0"/>
              <w:jc w:val="center"/>
            </w:pPr>
            <w:r>
              <w:rPr>
                <w:sz w:val="18"/>
              </w:rPr>
              <w:t xml:space="preserve">8,8 </w:t>
            </w:r>
          </w:p>
        </w:tc>
        <w:tc>
          <w:tcPr>
            <w:tcW w:w="1147" w:type="dxa"/>
            <w:tcBorders>
              <w:top w:val="nil"/>
              <w:left w:val="nil"/>
              <w:bottom w:val="nil"/>
              <w:right w:val="nil"/>
            </w:tcBorders>
          </w:tcPr>
          <w:p w:rsidR="00E8309B" w:rsidRDefault="009D0949">
            <w:pPr>
              <w:spacing w:after="0" w:line="259" w:lineRule="auto"/>
              <w:ind w:left="360" w:right="0" w:firstLine="0"/>
              <w:jc w:val="left"/>
            </w:pPr>
            <w:r>
              <w:rPr>
                <w:sz w:val="18"/>
              </w:rPr>
              <w:t xml:space="preserve">7,8 </w:t>
            </w:r>
          </w:p>
        </w:tc>
        <w:tc>
          <w:tcPr>
            <w:tcW w:w="1165" w:type="dxa"/>
            <w:tcBorders>
              <w:top w:val="nil"/>
              <w:left w:val="nil"/>
              <w:bottom w:val="nil"/>
              <w:right w:val="nil"/>
            </w:tcBorders>
          </w:tcPr>
          <w:p w:rsidR="00E8309B" w:rsidRDefault="009D0949">
            <w:pPr>
              <w:spacing w:after="0" w:line="259" w:lineRule="auto"/>
              <w:ind w:left="365" w:right="0" w:firstLine="0"/>
              <w:jc w:val="left"/>
            </w:pPr>
            <w:r>
              <w:rPr>
                <w:sz w:val="18"/>
              </w:rPr>
              <w:t xml:space="preserve">1,1 </w:t>
            </w:r>
          </w:p>
        </w:tc>
        <w:tc>
          <w:tcPr>
            <w:tcW w:w="1214" w:type="dxa"/>
            <w:tcBorders>
              <w:top w:val="nil"/>
              <w:left w:val="nil"/>
              <w:bottom w:val="nil"/>
              <w:right w:val="nil"/>
            </w:tcBorders>
          </w:tcPr>
          <w:p w:rsidR="00E8309B" w:rsidRDefault="009D0949">
            <w:pPr>
              <w:spacing w:after="0" w:line="259" w:lineRule="auto"/>
              <w:ind w:left="264" w:right="0" w:firstLine="0"/>
              <w:jc w:val="left"/>
            </w:pPr>
            <w:r>
              <w:rPr>
                <w:sz w:val="18"/>
              </w:rPr>
              <w:t xml:space="preserve">16,4 </w:t>
            </w:r>
          </w:p>
        </w:tc>
        <w:tc>
          <w:tcPr>
            <w:tcW w:w="1018" w:type="dxa"/>
            <w:tcBorders>
              <w:top w:val="nil"/>
              <w:left w:val="nil"/>
              <w:bottom w:val="nil"/>
              <w:right w:val="nil"/>
            </w:tcBorders>
          </w:tcPr>
          <w:p w:rsidR="00E8309B" w:rsidRDefault="009D0949">
            <w:pPr>
              <w:spacing w:after="0" w:line="259" w:lineRule="auto"/>
              <w:ind w:right="0" w:firstLine="0"/>
              <w:jc w:val="center"/>
            </w:pPr>
            <w:r>
              <w:rPr>
                <w:sz w:val="18"/>
              </w:rPr>
              <w:t xml:space="preserve">0,1 </w:t>
            </w:r>
          </w:p>
        </w:tc>
      </w:tr>
      <w:tr w:rsidR="00E8309B">
        <w:trPr>
          <w:trHeight w:val="266"/>
        </w:trPr>
        <w:tc>
          <w:tcPr>
            <w:tcW w:w="2711" w:type="dxa"/>
            <w:tcBorders>
              <w:top w:val="nil"/>
              <w:left w:val="nil"/>
              <w:bottom w:val="nil"/>
              <w:right w:val="nil"/>
            </w:tcBorders>
            <w:shd w:val="clear" w:color="auto" w:fill="E7E6E6"/>
          </w:tcPr>
          <w:p w:rsidR="00E8309B" w:rsidRDefault="009D0949">
            <w:pPr>
              <w:spacing w:after="0" w:line="259" w:lineRule="auto"/>
              <w:ind w:left="108" w:right="0" w:firstLine="0"/>
              <w:jc w:val="left"/>
            </w:pPr>
            <w:r>
              <w:rPr>
                <w:sz w:val="18"/>
              </w:rPr>
              <w:t xml:space="preserve">Резултат </w:t>
            </w:r>
          </w:p>
        </w:tc>
        <w:tc>
          <w:tcPr>
            <w:tcW w:w="1207" w:type="dxa"/>
            <w:tcBorders>
              <w:top w:val="nil"/>
              <w:left w:val="nil"/>
              <w:bottom w:val="nil"/>
              <w:right w:val="nil"/>
            </w:tcBorders>
            <w:shd w:val="clear" w:color="auto" w:fill="E7E6E6"/>
          </w:tcPr>
          <w:p w:rsidR="00E8309B" w:rsidRDefault="009D0949">
            <w:pPr>
              <w:spacing w:after="0" w:line="259" w:lineRule="auto"/>
              <w:ind w:left="324" w:right="0" w:firstLine="0"/>
              <w:jc w:val="left"/>
            </w:pPr>
            <w:r>
              <w:rPr>
                <w:sz w:val="18"/>
              </w:rPr>
              <w:t xml:space="preserve">-29,0 </w:t>
            </w:r>
          </w:p>
        </w:tc>
        <w:tc>
          <w:tcPr>
            <w:tcW w:w="1320" w:type="dxa"/>
            <w:tcBorders>
              <w:top w:val="nil"/>
              <w:left w:val="nil"/>
              <w:bottom w:val="nil"/>
              <w:right w:val="nil"/>
            </w:tcBorders>
            <w:shd w:val="clear" w:color="auto" w:fill="E7E6E6"/>
          </w:tcPr>
          <w:p w:rsidR="00E8309B" w:rsidRDefault="009D0949">
            <w:pPr>
              <w:spacing w:after="0" w:line="259" w:lineRule="auto"/>
              <w:ind w:left="233" w:right="0" w:firstLine="0"/>
              <w:jc w:val="left"/>
            </w:pPr>
            <w:r>
              <w:rPr>
                <w:sz w:val="18"/>
              </w:rPr>
              <w:t xml:space="preserve">-394,8 </w:t>
            </w:r>
          </w:p>
        </w:tc>
        <w:tc>
          <w:tcPr>
            <w:tcW w:w="1147" w:type="dxa"/>
            <w:tcBorders>
              <w:top w:val="nil"/>
              <w:left w:val="nil"/>
              <w:bottom w:val="nil"/>
              <w:right w:val="nil"/>
            </w:tcBorders>
            <w:shd w:val="clear" w:color="auto" w:fill="E7E6E6"/>
          </w:tcPr>
          <w:p w:rsidR="00E8309B" w:rsidRDefault="009D0949">
            <w:pPr>
              <w:spacing w:after="0" w:line="259" w:lineRule="auto"/>
              <w:ind w:left="120" w:right="0" w:firstLine="0"/>
              <w:jc w:val="left"/>
            </w:pPr>
            <w:r>
              <w:rPr>
                <w:sz w:val="18"/>
              </w:rPr>
              <w:t xml:space="preserve">-492,3 </w:t>
            </w:r>
          </w:p>
        </w:tc>
        <w:tc>
          <w:tcPr>
            <w:tcW w:w="1165" w:type="dxa"/>
            <w:tcBorders>
              <w:top w:val="nil"/>
              <w:left w:val="nil"/>
              <w:bottom w:val="nil"/>
              <w:right w:val="nil"/>
            </w:tcBorders>
            <w:shd w:val="clear" w:color="auto" w:fill="E7E6E6"/>
          </w:tcPr>
          <w:p w:rsidR="00E8309B" w:rsidRDefault="009D0949">
            <w:pPr>
              <w:spacing w:after="0" w:line="259" w:lineRule="auto"/>
              <w:ind w:left="125" w:right="0" w:firstLine="0"/>
              <w:jc w:val="left"/>
            </w:pPr>
            <w:r>
              <w:rPr>
                <w:sz w:val="18"/>
              </w:rPr>
              <w:t xml:space="preserve">-463,4 </w:t>
            </w:r>
          </w:p>
        </w:tc>
        <w:tc>
          <w:tcPr>
            <w:tcW w:w="1214" w:type="dxa"/>
            <w:tcBorders>
              <w:top w:val="nil"/>
              <w:left w:val="nil"/>
              <w:bottom w:val="nil"/>
              <w:right w:val="nil"/>
            </w:tcBorders>
            <w:shd w:val="clear" w:color="auto" w:fill="E7E6E6"/>
          </w:tcPr>
          <w:p w:rsidR="00E8309B" w:rsidRDefault="009D0949">
            <w:pPr>
              <w:spacing w:after="0" w:line="259" w:lineRule="auto"/>
              <w:ind w:left="103" w:right="0" w:firstLine="0"/>
              <w:jc w:val="center"/>
            </w:pPr>
            <w:r>
              <w:rPr>
                <w:sz w:val="18"/>
              </w:rPr>
              <w:t xml:space="preserve"> </w:t>
            </w:r>
          </w:p>
        </w:tc>
        <w:tc>
          <w:tcPr>
            <w:tcW w:w="1018" w:type="dxa"/>
            <w:tcBorders>
              <w:top w:val="nil"/>
              <w:left w:val="nil"/>
              <w:bottom w:val="nil"/>
              <w:right w:val="nil"/>
            </w:tcBorders>
            <w:shd w:val="clear" w:color="auto" w:fill="E7E6E6"/>
          </w:tcPr>
          <w:p w:rsidR="00E8309B" w:rsidRDefault="009D0949">
            <w:pPr>
              <w:spacing w:after="0" w:line="259" w:lineRule="auto"/>
              <w:ind w:left="283" w:right="0" w:firstLine="0"/>
              <w:jc w:val="left"/>
            </w:pPr>
            <w:r>
              <w:rPr>
                <w:sz w:val="18"/>
              </w:rPr>
              <w:t xml:space="preserve">-8,9 </w:t>
            </w:r>
          </w:p>
        </w:tc>
      </w:tr>
      <w:tr w:rsidR="00E8309B">
        <w:trPr>
          <w:trHeight w:val="274"/>
        </w:trPr>
        <w:tc>
          <w:tcPr>
            <w:tcW w:w="2711" w:type="dxa"/>
            <w:tcBorders>
              <w:top w:val="nil"/>
              <w:left w:val="nil"/>
              <w:bottom w:val="single" w:sz="4" w:space="0" w:color="002060"/>
              <w:right w:val="nil"/>
            </w:tcBorders>
          </w:tcPr>
          <w:p w:rsidR="00E8309B" w:rsidRDefault="009D0949">
            <w:pPr>
              <w:spacing w:after="0" w:line="259" w:lineRule="auto"/>
              <w:ind w:left="108" w:right="0" w:firstLine="0"/>
              <w:jc w:val="left"/>
            </w:pPr>
            <w:r>
              <w:rPr>
                <w:sz w:val="18"/>
              </w:rPr>
              <w:t xml:space="preserve">Резултат у % БДП </w:t>
            </w:r>
          </w:p>
        </w:tc>
        <w:tc>
          <w:tcPr>
            <w:tcW w:w="1207" w:type="dxa"/>
            <w:tcBorders>
              <w:top w:val="nil"/>
              <w:left w:val="nil"/>
              <w:bottom w:val="single" w:sz="4" w:space="0" w:color="002060"/>
              <w:right w:val="nil"/>
            </w:tcBorders>
          </w:tcPr>
          <w:p w:rsidR="00E8309B" w:rsidRDefault="009D0949">
            <w:pPr>
              <w:spacing w:after="0" w:line="259" w:lineRule="auto"/>
              <w:ind w:left="20" w:right="0" w:firstLine="0"/>
              <w:jc w:val="center"/>
            </w:pPr>
            <w:r>
              <w:rPr>
                <w:sz w:val="18"/>
              </w:rPr>
              <w:t xml:space="preserve">-0,5 </w:t>
            </w:r>
          </w:p>
        </w:tc>
        <w:tc>
          <w:tcPr>
            <w:tcW w:w="1320" w:type="dxa"/>
            <w:tcBorders>
              <w:top w:val="nil"/>
              <w:left w:val="nil"/>
              <w:bottom w:val="single" w:sz="4" w:space="0" w:color="002060"/>
              <w:right w:val="nil"/>
            </w:tcBorders>
          </w:tcPr>
          <w:p w:rsidR="00E8309B" w:rsidRDefault="009D0949">
            <w:pPr>
              <w:spacing w:after="0" w:line="259" w:lineRule="auto"/>
              <w:ind w:left="413" w:right="0" w:firstLine="0"/>
              <w:jc w:val="left"/>
            </w:pPr>
            <w:r>
              <w:rPr>
                <w:sz w:val="18"/>
              </w:rPr>
              <w:t xml:space="preserve">-7,2 </w:t>
            </w:r>
          </w:p>
        </w:tc>
        <w:tc>
          <w:tcPr>
            <w:tcW w:w="1147" w:type="dxa"/>
            <w:tcBorders>
              <w:top w:val="nil"/>
              <w:left w:val="nil"/>
              <w:bottom w:val="single" w:sz="4" w:space="0" w:color="002060"/>
              <w:right w:val="nil"/>
            </w:tcBorders>
          </w:tcPr>
          <w:p w:rsidR="00E8309B" w:rsidRDefault="009D0949">
            <w:pPr>
              <w:spacing w:after="0" w:line="259" w:lineRule="auto"/>
              <w:ind w:left="300" w:right="0" w:firstLine="0"/>
              <w:jc w:val="left"/>
            </w:pPr>
            <w:r>
              <w:rPr>
                <w:sz w:val="18"/>
              </w:rPr>
              <w:t xml:space="preserve">-8,9 </w:t>
            </w:r>
          </w:p>
        </w:tc>
        <w:tc>
          <w:tcPr>
            <w:tcW w:w="1165" w:type="dxa"/>
            <w:tcBorders>
              <w:top w:val="nil"/>
              <w:left w:val="nil"/>
              <w:bottom w:val="single" w:sz="4" w:space="0" w:color="002060"/>
              <w:right w:val="nil"/>
            </w:tcBorders>
          </w:tcPr>
          <w:p w:rsidR="00E8309B" w:rsidRDefault="009D0949">
            <w:pPr>
              <w:spacing w:after="0" w:line="259" w:lineRule="auto"/>
              <w:ind w:left="305" w:right="0" w:firstLine="0"/>
              <w:jc w:val="left"/>
            </w:pPr>
            <w:r>
              <w:rPr>
                <w:sz w:val="18"/>
              </w:rPr>
              <w:t xml:space="preserve">-8,4 </w:t>
            </w:r>
          </w:p>
        </w:tc>
        <w:tc>
          <w:tcPr>
            <w:tcW w:w="1214" w:type="dxa"/>
            <w:tcBorders>
              <w:top w:val="nil"/>
              <w:left w:val="nil"/>
              <w:bottom w:val="single" w:sz="4" w:space="0" w:color="002060"/>
              <w:right w:val="nil"/>
            </w:tcBorders>
          </w:tcPr>
          <w:p w:rsidR="00E8309B" w:rsidRDefault="009D0949">
            <w:pPr>
              <w:spacing w:after="0" w:line="259" w:lineRule="auto"/>
              <w:ind w:left="103" w:right="0" w:firstLine="0"/>
              <w:jc w:val="center"/>
            </w:pPr>
            <w:r>
              <w:rPr>
                <w:sz w:val="18"/>
              </w:rPr>
              <w:t xml:space="preserve"> </w:t>
            </w:r>
          </w:p>
        </w:tc>
        <w:tc>
          <w:tcPr>
            <w:tcW w:w="1018" w:type="dxa"/>
            <w:tcBorders>
              <w:top w:val="nil"/>
              <w:left w:val="nil"/>
              <w:bottom w:val="single" w:sz="4" w:space="0" w:color="002060"/>
              <w:right w:val="nil"/>
            </w:tcBorders>
          </w:tcPr>
          <w:p w:rsidR="00E8309B" w:rsidRDefault="009D0949">
            <w:pPr>
              <w:spacing w:after="0" w:line="259" w:lineRule="auto"/>
              <w:ind w:left="280" w:right="0" w:firstLine="0"/>
              <w:jc w:val="center"/>
            </w:pPr>
            <w:r>
              <w:rPr>
                <w:sz w:val="18"/>
              </w:rPr>
              <w:t xml:space="preserve"> </w:t>
            </w:r>
          </w:p>
        </w:tc>
      </w:tr>
    </w:tbl>
    <w:p w:rsidR="00E8309B" w:rsidRDefault="009D0949">
      <w:pPr>
        <w:spacing w:after="170" w:line="269" w:lineRule="auto"/>
        <w:ind w:left="-5" w:right="53"/>
        <w:jc w:val="left"/>
      </w:pPr>
      <w:r>
        <w:rPr>
          <w:sz w:val="16"/>
        </w:rPr>
        <w:t xml:space="preserve">Извор: Министарство финансија </w:t>
      </w:r>
    </w:p>
    <w:p w:rsidR="00E8309B" w:rsidRDefault="009D0949">
      <w:pPr>
        <w:ind w:left="-5" w:right="17"/>
      </w:pPr>
      <w:r>
        <w:lastRenderedPageBreak/>
        <w:t>Иновирани фискални оквир за 2020. годину предвиђа фискални дефицит од 8,9% БДП. У односу на буџетом планирани фискални оквир процена прихода смањена је за 117 млрд динара. На страни расхода дошло је до повећања за 346 млрд динара, уз значајне промене у њих</w:t>
      </w:r>
      <w:r>
        <w:t xml:space="preserve">овој структури. </w:t>
      </w:r>
    </w:p>
    <w:p w:rsidR="00E8309B" w:rsidRDefault="009D0949">
      <w:pPr>
        <w:spacing w:after="92"/>
        <w:ind w:left="-5" w:right="17"/>
      </w:pPr>
      <w:r>
        <w:t xml:space="preserve">Приходна страна буџета опште државе у највећој мери је била погођена кретањем опште економске активности, мерама епидемиолошке природе, као и усвојеним мерама које се тичу одлагања пореских обавеза. Присутан је и одређени позитиван ефекат </w:t>
      </w:r>
      <w:r>
        <w:t xml:space="preserve">бољег остварења укупних прихода на крају 2019. године која служи као базна годину за пројекцију. </w:t>
      </w:r>
    </w:p>
    <w:p w:rsidR="00E8309B" w:rsidRDefault="009D0949">
      <w:pPr>
        <w:ind w:left="-5" w:right="17"/>
      </w:pPr>
      <w:r>
        <w:t>Процена наплате ПДВ умањена је 34,5 млрд динара због номиналног пада личне потрошње од почетка пандемије и пратећих негативних економских кретања. Иако је нор</w:t>
      </w:r>
      <w:r>
        <w:t>мализовање економских токова започето раније од очекиваног, изостао је опоравак сектора услуга, делом и под утицајем смањеног прилива по основу туризма и транзита. Детаљнија анализа промета роба и услуга потврђује ове закључке. Наиме, пад укупног опорезова</w:t>
      </w:r>
      <w:r>
        <w:t>ног промета у првих девет месеци 2020. године је износио око 1,5%, с тим што је промет у трговини на мало забележио раст, док је опорезован промет код осталих услужних делатности забележио пад. Иако расположиви доходак становништва није значајније умањен (</w:t>
      </w:r>
      <w:r>
        <w:t xml:space="preserve">осим у делу дознака), немогућност да се одређене врсте услуга конзумирају, као и опрезност становништва у неизвесним епидемиолошким условима, утицало је на пад личне потрошње. </w:t>
      </w:r>
    </w:p>
    <w:p w:rsidR="00E8309B" w:rsidRDefault="009D0949">
      <w:pPr>
        <w:spacing w:after="23"/>
        <w:ind w:left="-5" w:right="17"/>
      </w:pPr>
      <w:r>
        <w:t>Приходи од акциза бележе смањење за 11,4 млрд динара у односу на оригинални буџ</w:t>
      </w:r>
      <w:r>
        <w:t>ет. Ова категорија прихода је, поред општег успоравања личне потрошње, у највећој мери била под утицајем мера ограничења кретања становништва и изостанка транзитног саобраћаја током летњих месеци. Стога највеће смањење бележе приходи од акциза на нафтне де</w:t>
      </w:r>
      <w:r>
        <w:t xml:space="preserve">ривате. Прве процене губитака су биле веће, али се услед краћег трајања најтежих епидемиолошких мера то није остварило. Приходи од акциза на дуван су минимално снижени. </w:t>
      </w:r>
    </w:p>
    <w:p w:rsidR="00E8309B" w:rsidRDefault="009D0949">
      <w:pPr>
        <w:ind w:left="-5" w:right="17"/>
      </w:pPr>
      <w:r>
        <w:t>Процена пореза на доходак грађана смањена је за 13,6 млрд динара. У оквиру ове категор</w:t>
      </w:r>
      <w:r>
        <w:t>ије највећи део чини порез на зараде за који је програмом мера било предвиђено одлагање пореске обавезе у наредне две године. Према последњим расположивим подацима укупно је одложено око 15,2 млрд динара нето обавеза по овом основу. Слично објашњење се мож</w:t>
      </w:r>
      <w:r>
        <w:t>е применити и на кретање доприноса за социјално осигурање. Укупно нето одлагање уплате социјалних доприноса према последњим подацима износи 77,8 млрд динара. Може се очекивати да ће део пореских обвезника до краја године делимично извршити уплате својих од</w:t>
      </w:r>
      <w:r>
        <w:t xml:space="preserve">ложених обавеза. Након периода у којима је постојала могућност одлагања обавеза, социјални доприноси бележе високе стопе раста (више него што је оригиналним буџетом планирано), у односу на претходну годину, што сведочи о позитивним ефектима пакета мера на </w:t>
      </w:r>
      <w:r>
        <w:t>очувању запослености. Када би се ефекти одлагања пореских обавезе искључили и на позицијама пореза на зараде и социјалних доприноса, може са закључити да би наплата ова два пореска облика значајно премашила вредности дате оригиналним пројекцијама. У оквиру</w:t>
      </w:r>
      <w:r>
        <w:t xml:space="preserve"> осталих пореза на доходак бележи се значајно повећање уплата по основу годишњег пореза на доходак, пре свега услед знатно већег броја пореских пријава у односу на претходни период. </w:t>
      </w:r>
    </w:p>
    <w:p w:rsidR="00E8309B" w:rsidRDefault="009D0949">
      <w:pPr>
        <w:ind w:left="-5" w:right="17"/>
      </w:pPr>
      <w:r>
        <w:t>Порез на добит правних лица је пореска категорија чија је процена ревидир</w:t>
      </w:r>
      <w:r>
        <w:t>ана навише. Приликом израде буџета за 2020. коришћена је претпоставка о умереном расту профитабилности привреде у Републици Србији, јер нису били познати коначни резултати пословања. Услед принципа опрезности иницијална буџетска процена била је благо потце</w:t>
      </w:r>
      <w:r>
        <w:t xml:space="preserve">њена. </w:t>
      </w:r>
    </w:p>
    <w:p w:rsidR="00E8309B" w:rsidRDefault="009D0949">
      <w:pPr>
        <w:ind w:left="-5" w:right="17"/>
      </w:pPr>
      <w:r>
        <w:t>Процена укупних непореских прихода повећана је у односу на оригинални буџет за 5,4 млрд динара. Непорески приходи су хетерогена категорија прихода са различитим кретањима по појединачним облицима. Редовни непорески приходи су различите таксе, накнад</w:t>
      </w:r>
      <w:r>
        <w:t xml:space="preserve">е, казне, приходи органа и организација и сви остали приходи који се остварују устаљеном динамиком током године у приближно сличним износима на месечном нивоу уз одређене сезонске </w:t>
      </w:r>
      <w:r>
        <w:lastRenderedPageBreak/>
        <w:t>варијације. Ванредне непореске приходе чине уплате добити јавних предузећа и</w:t>
      </w:r>
      <w:r>
        <w:t xml:space="preserve"> агенција, дивиденде буџета, приходи по основу наплаћених потраживања АОД, емисионе премије, итд. Редовни непорески приходи били су значајно погођени економском и епидемиолошком ситуацијом у земљи. Посебан пример за то представљају приходи од путарина. Зау</w:t>
      </w:r>
      <w:r>
        <w:t>стављање појединих економских активности, као и немогућност да се одређени правни и административни послови одвијају, највише је утицало на смањење прихода по основу судских и административних такси, прихода органа и организација и прихода од накнада. Усле</w:t>
      </w:r>
      <w:r>
        <w:t>д смањења активности био је присутан и пад наплате по основу казни. Ипак, након повољнијих епидемиолошких услова, краћег трајања ванредног стања и брже нормализације активности, пад ове категорије прихода је успорен. Ванредни непорески приходи кориговани с</w:t>
      </w:r>
      <w:r>
        <w:t xml:space="preserve">у навише због уплате претходно непланираних износа добити које припадају буџету Републике као и осталих облика ванредних прихода (НБС, Комерцијална банка, Агенција за безбедност саобраћаја, Агенција за лекове и др.). </w:t>
      </w:r>
    </w:p>
    <w:p w:rsidR="00E8309B" w:rsidRDefault="009D0949">
      <w:pPr>
        <w:spacing w:after="0" w:line="259" w:lineRule="auto"/>
        <w:ind w:left="0" w:right="0" w:firstLine="0"/>
        <w:jc w:val="left"/>
      </w:pPr>
      <w:r>
        <w:t xml:space="preserve"> </w:t>
      </w:r>
      <w:r>
        <w:tab/>
        <w:t xml:space="preserve"> </w:t>
      </w:r>
    </w:p>
    <w:p w:rsidR="00E8309B" w:rsidRDefault="009D0949">
      <w:pPr>
        <w:ind w:left="-5" w:right="17"/>
      </w:pPr>
      <w:r>
        <w:t xml:space="preserve">Графикон 5. Допринос појединачних фактора корекцији фискалног резултата у односу на план за 2020. годину, % БДП </w:t>
      </w:r>
    </w:p>
    <w:p w:rsidR="00E8309B" w:rsidRDefault="009D0949">
      <w:pPr>
        <w:spacing w:after="153" w:line="259" w:lineRule="auto"/>
        <w:ind w:left="0" w:right="724" w:firstLine="0"/>
        <w:jc w:val="right"/>
      </w:pPr>
      <w:r>
        <w:rPr>
          <w:noProof/>
        </w:rPr>
        <w:drawing>
          <wp:inline distT="0" distB="0" distL="0" distR="0">
            <wp:extent cx="5638165" cy="3079369"/>
            <wp:effectExtent l="0" t="0" r="0" b="0"/>
            <wp:docPr id="10292" name="Picture 10292"/>
            <wp:cNvGraphicFramePr/>
            <a:graphic xmlns:a="http://schemas.openxmlformats.org/drawingml/2006/main">
              <a:graphicData uri="http://schemas.openxmlformats.org/drawingml/2006/picture">
                <pic:pic xmlns:pic="http://schemas.openxmlformats.org/drawingml/2006/picture">
                  <pic:nvPicPr>
                    <pic:cNvPr id="10292" name="Picture 10292"/>
                    <pic:cNvPicPr/>
                  </pic:nvPicPr>
                  <pic:blipFill>
                    <a:blip r:embed="rId138"/>
                    <a:stretch>
                      <a:fillRect/>
                    </a:stretch>
                  </pic:blipFill>
                  <pic:spPr>
                    <a:xfrm>
                      <a:off x="0" y="0"/>
                      <a:ext cx="5638165" cy="3079369"/>
                    </a:xfrm>
                    <a:prstGeom prst="rect">
                      <a:avLst/>
                    </a:prstGeom>
                  </pic:spPr>
                </pic:pic>
              </a:graphicData>
            </a:graphic>
          </wp:inline>
        </w:drawing>
      </w:r>
      <w:r>
        <w:t xml:space="preserve"> </w:t>
      </w:r>
    </w:p>
    <w:p w:rsidR="00E8309B" w:rsidRDefault="009D0949">
      <w:pPr>
        <w:ind w:left="-5" w:right="17"/>
      </w:pPr>
      <w:r>
        <w:t xml:space="preserve">Процена расхода опште држaве повећана је за 346 млрд динара у односу на оригинални буџет. Највећи део овог повећања се односи на спровођење </w:t>
      </w:r>
      <w:r>
        <w:t>пакета за помоћ привреди и становништву. Остатак чине расходи везани за директну борбу против пандемије и побољшање здравствених капацитета земље. У периоду јануар–септембар, јавни расходи расту по стопи 21,7% у односу на исти период 2019. године, а до кра</w:t>
      </w:r>
      <w:r>
        <w:t xml:space="preserve">ја године очекује се да ће укупан раст расхода у некој мери успорити и достићи 18,3%. </w:t>
      </w:r>
    </w:p>
    <w:p w:rsidR="00E8309B" w:rsidRDefault="009D0949">
      <w:pPr>
        <w:ind w:left="-5" w:right="17"/>
      </w:pPr>
      <w:r>
        <w:t>Расходи за запослене повећани су за 21,1 млрд динара у односу на оригинално планиране. Највећи део овог раста резултат је повећања зарада у здравству за 10% од априла. О</w:t>
      </w:r>
      <w:r>
        <w:t>статак се односи на повећање броја ангажованих људи у здравственом систему, повећаног ангажмана и броја радних сати у осталим секторима који су учествовали у контроли епидемиолошке ситуације. Један део увећања је последица нешто већег извршења на крају 201</w:t>
      </w:r>
      <w:r>
        <w:t xml:space="preserve">9. године. </w:t>
      </w:r>
    </w:p>
    <w:p w:rsidR="00E8309B" w:rsidRDefault="009D0949">
      <w:pPr>
        <w:ind w:left="-5" w:right="17"/>
      </w:pPr>
      <w:r>
        <w:t>Расходи за робе и услуге су повећани у значајној мери и то за скоро 60 млрд динара. Највећи део повећања одлази на повећање расходе за набавку медицинске опреме и средстава од стране РФЗО у износу од 47,5 млрд динара, и повећање расхода за теку</w:t>
      </w:r>
      <w:r>
        <w:t xml:space="preserve">ће одржавање путева код ЈП „Путеви Србијеˮ од 16,7 млрд динара. Код осталих нивоа власти дошло је до минималног смањења ове категорије расхода. </w:t>
      </w:r>
    </w:p>
    <w:p w:rsidR="00E8309B" w:rsidRDefault="009D0949">
      <w:pPr>
        <w:ind w:left="-5" w:right="17"/>
      </w:pPr>
      <w:r>
        <w:lastRenderedPageBreak/>
        <w:t>Субвенције су такође значајно повећане у односу на оригинални план и то за преко 144 млрд динара. Са ове катего</w:t>
      </w:r>
      <w:r>
        <w:t>рије расхода извршена је исплата директне помоћи привредним друштвима и предузетницима за превазилажење кризе изазване пандемијом. Према последњим расположивим подацима, до краја септембра у ове сврхе, исплаћено је око 133 млрд динара, при чему је директну</w:t>
      </w:r>
      <w:r>
        <w:t xml:space="preserve"> помоћ месечно користило у просеку око 237.000 послодаваца са преко милион запослених лица. Остатак повећања расхода за субвенције у највећој мери чини повећано субвенционисање у пољопривреди. </w:t>
      </w:r>
    </w:p>
    <w:p w:rsidR="00E8309B" w:rsidRDefault="009D0949">
      <w:pPr>
        <w:spacing w:after="0"/>
        <w:ind w:left="-5" w:right="17"/>
      </w:pPr>
      <w:r>
        <w:t>Расходи за социјалну заштиту нижи су за 10,7 млрд динара у одн</w:t>
      </w:r>
      <w:r>
        <w:t>осу на оригинални план. Највећи део смањења односи се на ниже расходе за пензије од 8 млрд динара. Пензије у 2020. години индексиране су према „швајцарској формулиˮ, чији параметри су били познати у току планирања расхода за пензије. Међутим, услед конзерв</w:t>
      </w:r>
      <w:r>
        <w:t xml:space="preserve">ативности у процесу планирања, претпостављен је одређен раст броја пензионера који се није реализовао током 2020. године. Расходи за пензије привремено благо повећавају учешће у БДП на 10,6%, као последица споријег раста номиналног БДП изазваног тренутном </w:t>
      </w:r>
      <w:r>
        <w:t xml:space="preserve">економском ситуацијом. Поред ових расхода дошло је и до мањег извршења појединих категорија социјалне заштите у односу на буџетски план. </w:t>
      </w:r>
    </w:p>
    <w:p w:rsidR="00E8309B" w:rsidRDefault="009D0949">
      <w:pPr>
        <w:ind w:left="-5" w:right="17"/>
      </w:pPr>
      <w:r>
        <w:t>Остали текући расходи повећани су за 79,2 млрд динара у односу на оригинални план, првенствено због исплате директне н</w:t>
      </w:r>
      <w:r>
        <w:t>овчане помоћи становништву (100 евра свим пунолетним грађанима у динарској противвредности прерачунато по званичном средњем курсу НБС) у укупном износу од 72 млрд динара. Остатак повећања се односи на веће издвајање за исплату старе девизне штедње држављан</w:t>
      </w:r>
      <w:r>
        <w:t xml:space="preserve">има бивших југословенских република. У тренутку планирања ових средстава нису били окончани сви процеси одлучивања по поднетим пријавама потраживања, па је износ повећан у односу на првобитно планирани. </w:t>
      </w:r>
    </w:p>
    <w:p w:rsidR="00E8309B" w:rsidRDefault="009D0949">
      <w:pPr>
        <w:ind w:left="-5" w:right="17"/>
      </w:pPr>
      <w:r>
        <w:t>Позиција нето буџетских позајмица увећана је за 28,8</w:t>
      </w:r>
      <w:r>
        <w:t xml:space="preserve"> млрд динара. У оквиру ове категорије расхода, извршен је пренос средстава за кредитну помоћ привреди преко Фонда за развој РС. </w:t>
      </w:r>
    </w:p>
    <w:p w:rsidR="00E8309B" w:rsidRDefault="009D0949">
      <w:pPr>
        <w:ind w:left="-5" w:right="17"/>
      </w:pPr>
      <w:r>
        <w:t>Очекује се реализација јавних инвестиција у већем обиму од планираног за 26,7 млрд динара. Извршење капиталних расхода у период</w:t>
      </w:r>
      <w:r>
        <w:t xml:space="preserve">у јануар–септембар 2020. године у односу на исти период претходне године веће је за 14,6%. Капитални расходи достижу, за сада рекордан, ниво од 5,2% БДП у 2020. години. Један део већег извршења је заснован на улагањима у нове здравствене капацитете, као и </w:t>
      </w:r>
      <w:r>
        <w:t>опрему која има дужи век експлоатације. Ови расходи су део укупних расхода за епидемиолошку заштиту становништва од Ковид-19, као и побољшање система здравствене заштите у будућности. Значајно је и то што долази до повећања издвајања у нове и постојеће инф</w:t>
      </w:r>
      <w:r>
        <w:t>раструктурне пројекте, пре свега у путну и железничку инфраструктуру. На овај начин се у одређеној мери, путем раста инвестиционих улагања, позитивно делује на текуће кретање БДП, али се и стварају предуслови за убрзање његовог раста у будућности. У ранији</w:t>
      </w:r>
      <w:r>
        <w:t xml:space="preserve">м кризним периодима најчешће је долазило до смањења капиталних расхода, међутим то сада није био случај, што представља квалитативну позитивну промену у управљању јавним финансијама. </w:t>
      </w:r>
    </w:p>
    <w:p w:rsidR="00E8309B" w:rsidRDefault="009D0949">
      <w:pPr>
        <w:spacing w:after="150"/>
        <w:ind w:left="-5" w:right="17"/>
      </w:pPr>
      <w:r>
        <w:t xml:space="preserve">Процењени фискални дефицит од 8,9% БДП је значајан, међутим упоредив је </w:t>
      </w:r>
      <w:r>
        <w:t>са резултатима који ће бити остварени у земљама ЕУ и региона. Са друге стране у анализи структурне фискалне позиције, закључује се да она није значајније нарушена. И на приходној и на расходној страни идентификовано је око 7% БДП једнократних ефеката, који</w:t>
      </w:r>
      <w:r>
        <w:t xml:space="preserve"> у случају реализације претпоставки из основног макроекономског сценарија неће бити поново реализован. </w:t>
      </w:r>
    </w:p>
    <w:p w:rsidR="00E8309B" w:rsidRDefault="009D0949">
      <w:pPr>
        <w:spacing w:after="6"/>
        <w:ind w:left="-5" w:right="17"/>
      </w:pPr>
      <w:r>
        <w:t xml:space="preserve">Табела 6. Приходи, расходи и резултат сектора државе, јануар–септембар, у млрд динара </w:t>
      </w:r>
    </w:p>
    <w:tbl>
      <w:tblPr>
        <w:tblStyle w:val="TableGrid"/>
        <w:tblW w:w="9424" w:type="dxa"/>
        <w:tblInd w:w="108" w:type="dxa"/>
        <w:tblCellMar>
          <w:top w:w="1" w:type="dxa"/>
          <w:left w:w="0" w:type="dxa"/>
          <w:bottom w:w="0" w:type="dxa"/>
          <w:right w:w="115" w:type="dxa"/>
        </w:tblCellMar>
        <w:tblLook w:val="04A0" w:firstRow="1" w:lastRow="0" w:firstColumn="1" w:lastColumn="0" w:noHBand="0" w:noVBand="1"/>
      </w:tblPr>
      <w:tblGrid>
        <w:gridCol w:w="3385"/>
        <w:gridCol w:w="1536"/>
        <w:gridCol w:w="1752"/>
        <w:gridCol w:w="1431"/>
        <w:gridCol w:w="1320"/>
      </w:tblGrid>
      <w:tr w:rsidR="00E8309B">
        <w:trPr>
          <w:trHeight w:val="605"/>
        </w:trPr>
        <w:tc>
          <w:tcPr>
            <w:tcW w:w="3385" w:type="dxa"/>
            <w:tcBorders>
              <w:top w:val="single" w:sz="4" w:space="0" w:color="002060"/>
              <w:left w:val="nil"/>
              <w:bottom w:val="single" w:sz="4" w:space="0" w:color="002060"/>
              <w:right w:val="nil"/>
            </w:tcBorders>
            <w:vAlign w:val="center"/>
          </w:tcPr>
          <w:p w:rsidR="00E8309B" w:rsidRDefault="009D0949">
            <w:pPr>
              <w:spacing w:after="0" w:line="259" w:lineRule="auto"/>
              <w:ind w:left="108" w:right="0" w:firstLine="0"/>
              <w:jc w:val="left"/>
            </w:pPr>
            <w:r>
              <w:rPr>
                <w:sz w:val="16"/>
              </w:rPr>
              <w:t xml:space="preserve"> </w:t>
            </w:r>
            <w:r>
              <w:rPr>
                <w:sz w:val="16"/>
              </w:rPr>
              <w:tab/>
              <w:t xml:space="preserve"> </w:t>
            </w:r>
          </w:p>
        </w:tc>
        <w:tc>
          <w:tcPr>
            <w:tcW w:w="1536" w:type="dxa"/>
            <w:tcBorders>
              <w:top w:val="single" w:sz="4" w:space="0" w:color="002060"/>
              <w:left w:val="nil"/>
              <w:bottom w:val="single" w:sz="4" w:space="0" w:color="002060"/>
              <w:right w:val="nil"/>
            </w:tcBorders>
            <w:vAlign w:val="center"/>
          </w:tcPr>
          <w:p w:rsidR="00E8309B" w:rsidRDefault="009D0949">
            <w:pPr>
              <w:spacing w:after="0" w:line="259" w:lineRule="auto"/>
              <w:ind w:left="0" w:right="0" w:firstLine="0"/>
              <w:jc w:val="left"/>
            </w:pPr>
            <w:r>
              <w:rPr>
                <w:sz w:val="16"/>
              </w:rPr>
              <w:t xml:space="preserve">I–IX 2019 </w:t>
            </w:r>
          </w:p>
        </w:tc>
        <w:tc>
          <w:tcPr>
            <w:tcW w:w="1752" w:type="dxa"/>
            <w:tcBorders>
              <w:top w:val="single" w:sz="4" w:space="0" w:color="002060"/>
              <w:left w:val="nil"/>
              <w:bottom w:val="single" w:sz="4" w:space="0" w:color="002060"/>
              <w:right w:val="nil"/>
            </w:tcBorders>
            <w:vAlign w:val="center"/>
          </w:tcPr>
          <w:p w:rsidR="00E8309B" w:rsidRDefault="009D0949">
            <w:pPr>
              <w:spacing w:after="0" w:line="259" w:lineRule="auto"/>
              <w:ind w:left="0" w:right="0" w:firstLine="0"/>
              <w:jc w:val="left"/>
            </w:pPr>
            <w:r>
              <w:rPr>
                <w:sz w:val="16"/>
              </w:rPr>
              <w:t xml:space="preserve">I–IX 2020 </w:t>
            </w:r>
          </w:p>
        </w:tc>
        <w:tc>
          <w:tcPr>
            <w:tcW w:w="1431" w:type="dxa"/>
            <w:tcBorders>
              <w:top w:val="single" w:sz="4" w:space="0" w:color="002060"/>
              <w:left w:val="nil"/>
              <w:bottom w:val="single" w:sz="4" w:space="0" w:color="002060"/>
              <w:right w:val="nil"/>
            </w:tcBorders>
            <w:vAlign w:val="center"/>
          </w:tcPr>
          <w:p w:rsidR="00E8309B" w:rsidRDefault="009D0949">
            <w:pPr>
              <w:spacing w:after="0" w:line="259" w:lineRule="auto"/>
              <w:ind w:left="0" w:right="0" w:firstLine="86"/>
              <w:jc w:val="left"/>
            </w:pPr>
            <w:r>
              <w:rPr>
                <w:sz w:val="16"/>
              </w:rPr>
              <w:t xml:space="preserve">I–IX стопа раста/пада % </w:t>
            </w:r>
          </w:p>
        </w:tc>
        <w:tc>
          <w:tcPr>
            <w:tcW w:w="1320" w:type="dxa"/>
            <w:tcBorders>
              <w:top w:val="single" w:sz="4" w:space="0" w:color="002060"/>
              <w:left w:val="nil"/>
              <w:bottom w:val="single" w:sz="4" w:space="0" w:color="002060"/>
              <w:right w:val="nil"/>
            </w:tcBorders>
            <w:vAlign w:val="center"/>
          </w:tcPr>
          <w:p w:rsidR="00E8309B" w:rsidRDefault="009D0949">
            <w:pPr>
              <w:spacing w:after="0" w:line="259" w:lineRule="auto"/>
              <w:ind w:left="46" w:right="0" w:hanging="46"/>
              <w:jc w:val="left"/>
            </w:pPr>
            <w:r>
              <w:rPr>
                <w:sz w:val="16"/>
              </w:rPr>
              <w:t xml:space="preserve">2020/2019 стопа раста/пада у % </w:t>
            </w:r>
          </w:p>
        </w:tc>
      </w:tr>
      <w:tr w:rsidR="00E8309B">
        <w:trPr>
          <w:trHeight w:val="187"/>
        </w:trPr>
        <w:tc>
          <w:tcPr>
            <w:tcW w:w="3385" w:type="dxa"/>
            <w:tcBorders>
              <w:top w:val="single" w:sz="4" w:space="0" w:color="002060"/>
              <w:left w:val="nil"/>
              <w:bottom w:val="nil"/>
              <w:right w:val="nil"/>
            </w:tcBorders>
            <w:shd w:val="clear" w:color="auto" w:fill="E7E6E6"/>
          </w:tcPr>
          <w:p w:rsidR="00E8309B" w:rsidRDefault="009D0949">
            <w:pPr>
              <w:spacing w:after="0" w:line="259" w:lineRule="auto"/>
              <w:ind w:left="108" w:right="0" w:firstLine="0"/>
              <w:jc w:val="left"/>
            </w:pPr>
            <w:r>
              <w:rPr>
                <w:sz w:val="16"/>
              </w:rPr>
              <w:t xml:space="preserve">ЈАВНИ ПРИХОДИ </w:t>
            </w:r>
          </w:p>
        </w:tc>
        <w:tc>
          <w:tcPr>
            <w:tcW w:w="1536" w:type="dxa"/>
            <w:tcBorders>
              <w:top w:val="single" w:sz="4" w:space="0" w:color="002060"/>
              <w:left w:val="nil"/>
              <w:bottom w:val="nil"/>
              <w:right w:val="nil"/>
            </w:tcBorders>
            <w:shd w:val="clear" w:color="auto" w:fill="E7E6E6"/>
          </w:tcPr>
          <w:p w:rsidR="00E8309B" w:rsidRDefault="009D0949">
            <w:pPr>
              <w:spacing w:after="0" w:line="259" w:lineRule="auto"/>
              <w:ind w:left="58" w:right="0" w:firstLine="0"/>
              <w:jc w:val="center"/>
            </w:pPr>
            <w:r>
              <w:rPr>
                <w:sz w:val="16"/>
              </w:rPr>
              <w:t xml:space="preserve">1.646,4 </w:t>
            </w:r>
          </w:p>
        </w:tc>
        <w:tc>
          <w:tcPr>
            <w:tcW w:w="1752" w:type="dxa"/>
            <w:tcBorders>
              <w:top w:val="single" w:sz="4" w:space="0" w:color="002060"/>
              <w:left w:val="nil"/>
              <w:bottom w:val="nil"/>
              <w:right w:val="nil"/>
            </w:tcBorders>
            <w:shd w:val="clear" w:color="auto" w:fill="E7E6E6"/>
          </w:tcPr>
          <w:p w:rsidR="00E8309B" w:rsidRDefault="009D0949">
            <w:pPr>
              <w:spacing w:after="0" w:line="259" w:lineRule="auto"/>
              <w:ind w:left="502" w:right="0" w:firstLine="0"/>
              <w:jc w:val="left"/>
            </w:pPr>
            <w:r>
              <w:rPr>
                <w:sz w:val="16"/>
              </w:rPr>
              <w:t xml:space="preserve">1.599,6 </w:t>
            </w:r>
          </w:p>
        </w:tc>
        <w:tc>
          <w:tcPr>
            <w:tcW w:w="1431" w:type="dxa"/>
            <w:tcBorders>
              <w:top w:val="single" w:sz="4" w:space="0" w:color="002060"/>
              <w:left w:val="nil"/>
              <w:bottom w:val="nil"/>
              <w:right w:val="nil"/>
            </w:tcBorders>
            <w:shd w:val="clear" w:color="auto" w:fill="E7E6E6"/>
          </w:tcPr>
          <w:p w:rsidR="00E8309B" w:rsidRDefault="009D0949">
            <w:pPr>
              <w:spacing w:after="0" w:line="259" w:lineRule="auto"/>
              <w:ind w:left="343" w:right="0" w:firstLine="0"/>
              <w:jc w:val="left"/>
            </w:pPr>
            <w:r>
              <w:rPr>
                <w:sz w:val="16"/>
              </w:rPr>
              <w:t xml:space="preserve">-2,8 </w:t>
            </w:r>
          </w:p>
        </w:tc>
        <w:tc>
          <w:tcPr>
            <w:tcW w:w="1320" w:type="dxa"/>
            <w:tcBorders>
              <w:top w:val="single" w:sz="4" w:space="0" w:color="002060"/>
              <w:left w:val="nil"/>
              <w:bottom w:val="nil"/>
              <w:right w:val="nil"/>
            </w:tcBorders>
            <w:shd w:val="clear" w:color="auto" w:fill="E7E6E6"/>
          </w:tcPr>
          <w:p w:rsidR="00E8309B" w:rsidRDefault="009D0949">
            <w:pPr>
              <w:spacing w:after="0" w:line="259" w:lineRule="auto"/>
              <w:ind w:left="0" w:right="52" w:firstLine="0"/>
              <w:jc w:val="center"/>
            </w:pPr>
            <w:r>
              <w:rPr>
                <w:sz w:val="16"/>
              </w:rPr>
              <w:t xml:space="preserve">-2,5 </w:t>
            </w:r>
          </w:p>
        </w:tc>
      </w:tr>
      <w:tr w:rsidR="00E8309B">
        <w:trPr>
          <w:trHeight w:val="185"/>
        </w:trPr>
        <w:tc>
          <w:tcPr>
            <w:tcW w:w="3385" w:type="dxa"/>
            <w:tcBorders>
              <w:top w:val="nil"/>
              <w:left w:val="nil"/>
              <w:bottom w:val="nil"/>
              <w:right w:val="nil"/>
            </w:tcBorders>
          </w:tcPr>
          <w:p w:rsidR="00E8309B" w:rsidRDefault="009D0949">
            <w:pPr>
              <w:spacing w:after="0" w:line="259" w:lineRule="auto"/>
              <w:ind w:left="108" w:right="0" w:firstLine="0"/>
              <w:jc w:val="left"/>
            </w:pPr>
            <w:r>
              <w:rPr>
                <w:sz w:val="16"/>
              </w:rPr>
              <w:t xml:space="preserve">Текући приходи </w:t>
            </w:r>
          </w:p>
        </w:tc>
        <w:tc>
          <w:tcPr>
            <w:tcW w:w="1536" w:type="dxa"/>
            <w:tcBorders>
              <w:top w:val="nil"/>
              <w:left w:val="nil"/>
              <w:bottom w:val="nil"/>
              <w:right w:val="nil"/>
            </w:tcBorders>
          </w:tcPr>
          <w:p w:rsidR="00E8309B" w:rsidRDefault="009D0949">
            <w:pPr>
              <w:spacing w:after="0" w:line="259" w:lineRule="auto"/>
              <w:ind w:left="58" w:right="0" w:firstLine="0"/>
              <w:jc w:val="center"/>
            </w:pPr>
            <w:r>
              <w:rPr>
                <w:sz w:val="16"/>
              </w:rPr>
              <w:t xml:space="preserve">1.639,0 </w:t>
            </w:r>
          </w:p>
        </w:tc>
        <w:tc>
          <w:tcPr>
            <w:tcW w:w="1752" w:type="dxa"/>
            <w:tcBorders>
              <w:top w:val="nil"/>
              <w:left w:val="nil"/>
              <w:bottom w:val="nil"/>
              <w:right w:val="nil"/>
            </w:tcBorders>
          </w:tcPr>
          <w:p w:rsidR="00E8309B" w:rsidRDefault="009D0949">
            <w:pPr>
              <w:spacing w:after="0" w:line="259" w:lineRule="auto"/>
              <w:ind w:left="502" w:right="0" w:firstLine="0"/>
              <w:jc w:val="left"/>
            </w:pPr>
            <w:r>
              <w:rPr>
                <w:sz w:val="16"/>
              </w:rPr>
              <w:t xml:space="preserve">1.591,6 </w:t>
            </w:r>
          </w:p>
        </w:tc>
        <w:tc>
          <w:tcPr>
            <w:tcW w:w="1431" w:type="dxa"/>
            <w:tcBorders>
              <w:top w:val="nil"/>
              <w:left w:val="nil"/>
              <w:bottom w:val="nil"/>
              <w:right w:val="nil"/>
            </w:tcBorders>
          </w:tcPr>
          <w:p w:rsidR="00E8309B" w:rsidRDefault="009D0949">
            <w:pPr>
              <w:spacing w:after="0" w:line="259" w:lineRule="auto"/>
              <w:ind w:left="343" w:right="0" w:firstLine="0"/>
              <w:jc w:val="left"/>
            </w:pPr>
            <w:r>
              <w:rPr>
                <w:sz w:val="16"/>
              </w:rPr>
              <w:t xml:space="preserve">-2,9 </w:t>
            </w:r>
          </w:p>
        </w:tc>
        <w:tc>
          <w:tcPr>
            <w:tcW w:w="1320" w:type="dxa"/>
            <w:tcBorders>
              <w:top w:val="nil"/>
              <w:left w:val="nil"/>
              <w:bottom w:val="nil"/>
              <w:right w:val="nil"/>
            </w:tcBorders>
          </w:tcPr>
          <w:p w:rsidR="00E8309B" w:rsidRDefault="009D0949">
            <w:pPr>
              <w:spacing w:after="0" w:line="259" w:lineRule="auto"/>
              <w:ind w:left="0" w:right="52" w:firstLine="0"/>
              <w:jc w:val="center"/>
            </w:pPr>
            <w:r>
              <w:rPr>
                <w:sz w:val="16"/>
              </w:rPr>
              <w:t xml:space="preserve">-2,6 </w:t>
            </w:r>
          </w:p>
        </w:tc>
      </w:tr>
      <w:tr w:rsidR="00E8309B">
        <w:trPr>
          <w:trHeight w:val="184"/>
        </w:trPr>
        <w:tc>
          <w:tcPr>
            <w:tcW w:w="3385" w:type="dxa"/>
            <w:tcBorders>
              <w:top w:val="nil"/>
              <w:left w:val="nil"/>
              <w:bottom w:val="nil"/>
              <w:right w:val="nil"/>
            </w:tcBorders>
          </w:tcPr>
          <w:p w:rsidR="00E8309B" w:rsidRDefault="009D0949">
            <w:pPr>
              <w:spacing w:after="0" w:line="259" w:lineRule="auto"/>
              <w:ind w:left="108" w:right="0" w:firstLine="0"/>
              <w:jc w:val="left"/>
            </w:pPr>
            <w:r>
              <w:rPr>
                <w:sz w:val="16"/>
              </w:rPr>
              <w:lastRenderedPageBreak/>
              <w:t xml:space="preserve">Порески приходи </w:t>
            </w:r>
          </w:p>
        </w:tc>
        <w:tc>
          <w:tcPr>
            <w:tcW w:w="1536" w:type="dxa"/>
            <w:tcBorders>
              <w:top w:val="nil"/>
              <w:left w:val="nil"/>
              <w:bottom w:val="nil"/>
              <w:right w:val="nil"/>
            </w:tcBorders>
          </w:tcPr>
          <w:p w:rsidR="00E8309B" w:rsidRDefault="009D0949">
            <w:pPr>
              <w:spacing w:after="0" w:line="259" w:lineRule="auto"/>
              <w:ind w:left="58" w:right="0" w:firstLine="0"/>
              <w:jc w:val="center"/>
            </w:pPr>
            <w:r>
              <w:rPr>
                <w:sz w:val="16"/>
              </w:rPr>
              <w:t xml:space="preserve">1.454,2 </w:t>
            </w:r>
          </w:p>
        </w:tc>
        <w:tc>
          <w:tcPr>
            <w:tcW w:w="1752" w:type="dxa"/>
            <w:tcBorders>
              <w:top w:val="nil"/>
              <w:left w:val="nil"/>
              <w:bottom w:val="nil"/>
              <w:right w:val="nil"/>
            </w:tcBorders>
          </w:tcPr>
          <w:p w:rsidR="00E8309B" w:rsidRDefault="009D0949">
            <w:pPr>
              <w:spacing w:after="0" w:line="259" w:lineRule="auto"/>
              <w:ind w:left="502" w:right="0" w:firstLine="0"/>
              <w:jc w:val="left"/>
            </w:pPr>
            <w:r>
              <w:rPr>
                <w:sz w:val="16"/>
              </w:rPr>
              <w:t xml:space="preserve">1.418,9 </w:t>
            </w:r>
          </w:p>
        </w:tc>
        <w:tc>
          <w:tcPr>
            <w:tcW w:w="1431" w:type="dxa"/>
            <w:tcBorders>
              <w:top w:val="nil"/>
              <w:left w:val="nil"/>
              <w:bottom w:val="nil"/>
              <w:right w:val="nil"/>
            </w:tcBorders>
          </w:tcPr>
          <w:p w:rsidR="00E8309B" w:rsidRDefault="009D0949">
            <w:pPr>
              <w:spacing w:after="0" w:line="259" w:lineRule="auto"/>
              <w:ind w:left="343" w:right="0" w:firstLine="0"/>
              <w:jc w:val="left"/>
            </w:pPr>
            <w:r>
              <w:rPr>
                <w:sz w:val="16"/>
              </w:rPr>
              <w:t xml:space="preserve">-2,4 </w:t>
            </w:r>
          </w:p>
        </w:tc>
        <w:tc>
          <w:tcPr>
            <w:tcW w:w="1320" w:type="dxa"/>
            <w:tcBorders>
              <w:top w:val="nil"/>
              <w:left w:val="nil"/>
              <w:bottom w:val="nil"/>
              <w:right w:val="nil"/>
            </w:tcBorders>
          </w:tcPr>
          <w:p w:rsidR="00E8309B" w:rsidRDefault="009D0949">
            <w:pPr>
              <w:spacing w:after="0" w:line="259" w:lineRule="auto"/>
              <w:ind w:left="0" w:right="52" w:firstLine="0"/>
              <w:jc w:val="center"/>
            </w:pPr>
            <w:r>
              <w:rPr>
                <w:sz w:val="16"/>
              </w:rPr>
              <w:t xml:space="preserve">-1,6 </w:t>
            </w:r>
          </w:p>
        </w:tc>
      </w:tr>
      <w:tr w:rsidR="00E8309B">
        <w:trPr>
          <w:trHeight w:val="184"/>
        </w:trPr>
        <w:tc>
          <w:tcPr>
            <w:tcW w:w="3385" w:type="dxa"/>
            <w:tcBorders>
              <w:top w:val="nil"/>
              <w:left w:val="nil"/>
              <w:bottom w:val="nil"/>
              <w:right w:val="nil"/>
            </w:tcBorders>
          </w:tcPr>
          <w:p w:rsidR="00E8309B" w:rsidRDefault="009D0949">
            <w:pPr>
              <w:spacing w:after="0" w:line="259" w:lineRule="auto"/>
              <w:ind w:left="108" w:right="0" w:firstLine="0"/>
              <w:jc w:val="left"/>
            </w:pPr>
            <w:r>
              <w:rPr>
                <w:sz w:val="16"/>
              </w:rPr>
              <w:t xml:space="preserve">Порез на доходак грађана </w:t>
            </w:r>
          </w:p>
        </w:tc>
        <w:tc>
          <w:tcPr>
            <w:tcW w:w="1536" w:type="dxa"/>
            <w:tcBorders>
              <w:top w:val="nil"/>
              <w:left w:val="nil"/>
              <w:bottom w:val="nil"/>
              <w:right w:val="nil"/>
            </w:tcBorders>
          </w:tcPr>
          <w:p w:rsidR="00E8309B" w:rsidRDefault="009D0949">
            <w:pPr>
              <w:spacing w:after="0" w:line="259" w:lineRule="auto"/>
              <w:ind w:left="178" w:right="0" w:firstLine="0"/>
              <w:jc w:val="center"/>
            </w:pPr>
            <w:r>
              <w:rPr>
                <w:sz w:val="16"/>
              </w:rPr>
              <w:t xml:space="preserve">146,4 </w:t>
            </w:r>
          </w:p>
        </w:tc>
        <w:tc>
          <w:tcPr>
            <w:tcW w:w="1752" w:type="dxa"/>
            <w:tcBorders>
              <w:top w:val="nil"/>
              <w:left w:val="nil"/>
              <w:bottom w:val="nil"/>
              <w:right w:val="nil"/>
            </w:tcBorders>
          </w:tcPr>
          <w:p w:rsidR="00E8309B" w:rsidRDefault="009D0949">
            <w:pPr>
              <w:spacing w:after="0" w:line="259" w:lineRule="auto"/>
              <w:ind w:left="0" w:right="33" w:firstLine="0"/>
              <w:jc w:val="center"/>
            </w:pPr>
            <w:r>
              <w:rPr>
                <w:sz w:val="16"/>
              </w:rPr>
              <w:t xml:space="preserve">143,8 </w:t>
            </w:r>
          </w:p>
        </w:tc>
        <w:tc>
          <w:tcPr>
            <w:tcW w:w="1431" w:type="dxa"/>
            <w:tcBorders>
              <w:top w:val="nil"/>
              <w:left w:val="nil"/>
              <w:bottom w:val="nil"/>
              <w:right w:val="nil"/>
            </w:tcBorders>
          </w:tcPr>
          <w:p w:rsidR="00E8309B" w:rsidRDefault="009D0949">
            <w:pPr>
              <w:spacing w:after="0" w:line="259" w:lineRule="auto"/>
              <w:ind w:left="343" w:right="0" w:firstLine="0"/>
              <w:jc w:val="left"/>
            </w:pPr>
            <w:r>
              <w:rPr>
                <w:sz w:val="16"/>
              </w:rPr>
              <w:t xml:space="preserve">-1,8 </w:t>
            </w:r>
          </w:p>
        </w:tc>
        <w:tc>
          <w:tcPr>
            <w:tcW w:w="1320" w:type="dxa"/>
            <w:tcBorders>
              <w:top w:val="nil"/>
              <w:left w:val="nil"/>
              <w:bottom w:val="nil"/>
              <w:right w:val="nil"/>
            </w:tcBorders>
          </w:tcPr>
          <w:p w:rsidR="00E8309B" w:rsidRDefault="009D0949">
            <w:pPr>
              <w:spacing w:after="0" w:line="259" w:lineRule="auto"/>
              <w:ind w:left="0" w:right="52" w:firstLine="0"/>
              <w:jc w:val="center"/>
            </w:pPr>
            <w:r>
              <w:rPr>
                <w:sz w:val="16"/>
              </w:rPr>
              <w:t xml:space="preserve">-0,8 </w:t>
            </w:r>
          </w:p>
        </w:tc>
      </w:tr>
      <w:tr w:rsidR="00E8309B">
        <w:trPr>
          <w:trHeight w:val="185"/>
        </w:trPr>
        <w:tc>
          <w:tcPr>
            <w:tcW w:w="3385" w:type="dxa"/>
            <w:tcBorders>
              <w:top w:val="nil"/>
              <w:left w:val="nil"/>
              <w:bottom w:val="nil"/>
              <w:right w:val="nil"/>
            </w:tcBorders>
          </w:tcPr>
          <w:p w:rsidR="00E8309B" w:rsidRDefault="009D0949">
            <w:pPr>
              <w:spacing w:after="0" w:line="259" w:lineRule="auto"/>
              <w:ind w:left="108" w:right="0" w:firstLine="0"/>
              <w:jc w:val="left"/>
            </w:pPr>
            <w:r>
              <w:rPr>
                <w:sz w:val="16"/>
              </w:rPr>
              <w:t xml:space="preserve">Порез на добит правних лица </w:t>
            </w:r>
          </w:p>
        </w:tc>
        <w:tc>
          <w:tcPr>
            <w:tcW w:w="1536" w:type="dxa"/>
            <w:tcBorders>
              <w:top w:val="nil"/>
              <w:left w:val="nil"/>
              <w:bottom w:val="nil"/>
              <w:right w:val="nil"/>
            </w:tcBorders>
          </w:tcPr>
          <w:p w:rsidR="00E8309B" w:rsidRDefault="009D0949">
            <w:pPr>
              <w:spacing w:after="0" w:line="259" w:lineRule="auto"/>
              <w:ind w:left="178" w:right="0" w:firstLine="0"/>
              <w:jc w:val="center"/>
            </w:pPr>
            <w:r>
              <w:rPr>
                <w:sz w:val="16"/>
              </w:rPr>
              <w:t xml:space="preserve">102,7 </w:t>
            </w:r>
          </w:p>
        </w:tc>
        <w:tc>
          <w:tcPr>
            <w:tcW w:w="1752" w:type="dxa"/>
            <w:tcBorders>
              <w:top w:val="nil"/>
              <w:left w:val="nil"/>
              <w:bottom w:val="nil"/>
              <w:right w:val="nil"/>
            </w:tcBorders>
          </w:tcPr>
          <w:p w:rsidR="00E8309B" w:rsidRDefault="009D0949">
            <w:pPr>
              <w:spacing w:after="0" w:line="259" w:lineRule="auto"/>
              <w:ind w:left="47" w:right="0" w:firstLine="0"/>
              <w:jc w:val="center"/>
            </w:pPr>
            <w:r>
              <w:rPr>
                <w:sz w:val="16"/>
              </w:rPr>
              <w:t xml:space="preserve">95,8 </w:t>
            </w:r>
          </w:p>
        </w:tc>
        <w:tc>
          <w:tcPr>
            <w:tcW w:w="1431" w:type="dxa"/>
            <w:tcBorders>
              <w:top w:val="nil"/>
              <w:left w:val="nil"/>
              <w:bottom w:val="nil"/>
              <w:right w:val="nil"/>
            </w:tcBorders>
          </w:tcPr>
          <w:p w:rsidR="00E8309B" w:rsidRDefault="009D0949">
            <w:pPr>
              <w:spacing w:after="0" w:line="259" w:lineRule="auto"/>
              <w:ind w:left="343" w:right="0" w:firstLine="0"/>
              <w:jc w:val="left"/>
            </w:pPr>
            <w:r>
              <w:rPr>
                <w:sz w:val="16"/>
              </w:rPr>
              <w:t xml:space="preserve">-6,7 </w:t>
            </w:r>
          </w:p>
        </w:tc>
        <w:tc>
          <w:tcPr>
            <w:tcW w:w="1320" w:type="dxa"/>
            <w:tcBorders>
              <w:top w:val="nil"/>
              <w:left w:val="nil"/>
              <w:bottom w:val="nil"/>
              <w:right w:val="nil"/>
            </w:tcBorders>
          </w:tcPr>
          <w:p w:rsidR="00E8309B" w:rsidRDefault="009D0949">
            <w:pPr>
              <w:spacing w:after="0" w:line="259" w:lineRule="auto"/>
              <w:ind w:left="0" w:right="52" w:firstLine="0"/>
              <w:jc w:val="center"/>
            </w:pPr>
            <w:r>
              <w:rPr>
                <w:sz w:val="16"/>
              </w:rPr>
              <w:t xml:space="preserve">-3,5 </w:t>
            </w:r>
          </w:p>
        </w:tc>
      </w:tr>
      <w:tr w:rsidR="00E8309B">
        <w:trPr>
          <w:trHeight w:val="184"/>
        </w:trPr>
        <w:tc>
          <w:tcPr>
            <w:tcW w:w="3385" w:type="dxa"/>
            <w:tcBorders>
              <w:top w:val="nil"/>
              <w:left w:val="nil"/>
              <w:bottom w:val="nil"/>
              <w:right w:val="nil"/>
            </w:tcBorders>
          </w:tcPr>
          <w:p w:rsidR="00E8309B" w:rsidRDefault="009D0949">
            <w:pPr>
              <w:spacing w:after="0" w:line="259" w:lineRule="auto"/>
              <w:ind w:left="108" w:right="0" w:firstLine="0"/>
              <w:jc w:val="left"/>
            </w:pPr>
            <w:r>
              <w:rPr>
                <w:sz w:val="16"/>
              </w:rPr>
              <w:t xml:space="preserve">ПДВ </w:t>
            </w:r>
          </w:p>
        </w:tc>
        <w:tc>
          <w:tcPr>
            <w:tcW w:w="1536" w:type="dxa"/>
            <w:tcBorders>
              <w:top w:val="nil"/>
              <w:left w:val="nil"/>
              <w:bottom w:val="nil"/>
              <w:right w:val="nil"/>
            </w:tcBorders>
          </w:tcPr>
          <w:p w:rsidR="00E8309B" w:rsidRDefault="009D0949">
            <w:pPr>
              <w:spacing w:after="0" w:line="259" w:lineRule="auto"/>
              <w:ind w:left="178" w:right="0" w:firstLine="0"/>
              <w:jc w:val="center"/>
            </w:pPr>
            <w:r>
              <w:rPr>
                <w:sz w:val="16"/>
              </w:rPr>
              <w:t xml:space="preserve">395,1 </w:t>
            </w:r>
          </w:p>
        </w:tc>
        <w:tc>
          <w:tcPr>
            <w:tcW w:w="1752" w:type="dxa"/>
            <w:tcBorders>
              <w:top w:val="nil"/>
              <w:left w:val="nil"/>
              <w:bottom w:val="nil"/>
              <w:right w:val="nil"/>
            </w:tcBorders>
          </w:tcPr>
          <w:p w:rsidR="00E8309B" w:rsidRDefault="009D0949">
            <w:pPr>
              <w:spacing w:after="0" w:line="259" w:lineRule="auto"/>
              <w:ind w:left="0" w:right="33" w:firstLine="0"/>
              <w:jc w:val="center"/>
            </w:pPr>
            <w:r>
              <w:rPr>
                <w:sz w:val="16"/>
              </w:rPr>
              <w:t xml:space="preserve">398,8 </w:t>
            </w:r>
          </w:p>
        </w:tc>
        <w:tc>
          <w:tcPr>
            <w:tcW w:w="1431" w:type="dxa"/>
            <w:tcBorders>
              <w:top w:val="nil"/>
              <w:left w:val="nil"/>
              <w:bottom w:val="nil"/>
              <w:right w:val="nil"/>
            </w:tcBorders>
          </w:tcPr>
          <w:p w:rsidR="00E8309B" w:rsidRDefault="009D0949">
            <w:pPr>
              <w:spacing w:after="0" w:line="259" w:lineRule="auto"/>
              <w:ind w:left="398" w:right="0" w:firstLine="0"/>
              <w:jc w:val="left"/>
            </w:pPr>
            <w:r>
              <w:rPr>
                <w:sz w:val="16"/>
              </w:rPr>
              <w:t xml:space="preserve">0,9 </w:t>
            </w:r>
          </w:p>
        </w:tc>
        <w:tc>
          <w:tcPr>
            <w:tcW w:w="1320" w:type="dxa"/>
            <w:tcBorders>
              <w:top w:val="nil"/>
              <w:left w:val="nil"/>
              <w:bottom w:val="nil"/>
              <w:right w:val="nil"/>
            </w:tcBorders>
          </w:tcPr>
          <w:p w:rsidR="00E8309B" w:rsidRDefault="009D0949">
            <w:pPr>
              <w:spacing w:after="0" w:line="259" w:lineRule="auto"/>
              <w:ind w:left="0" w:right="52" w:firstLine="0"/>
              <w:jc w:val="center"/>
            </w:pPr>
            <w:r>
              <w:rPr>
                <w:sz w:val="16"/>
              </w:rPr>
              <w:t xml:space="preserve">-0,6 </w:t>
            </w:r>
          </w:p>
        </w:tc>
      </w:tr>
      <w:tr w:rsidR="00E8309B">
        <w:trPr>
          <w:trHeight w:val="184"/>
        </w:trPr>
        <w:tc>
          <w:tcPr>
            <w:tcW w:w="3385" w:type="dxa"/>
            <w:tcBorders>
              <w:top w:val="nil"/>
              <w:left w:val="nil"/>
              <w:bottom w:val="nil"/>
              <w:right w:val="nil"/>
            </w:tcBorders>
          </w:tcPr>
          <w:p w:rsidR="00E8309B" w:rsidRDefault="009D0949">
            <w:pPr>
              <w:spacing w:after="0" w:line="259" w:lineRule="auto"/>
              <w:ind w:left="108" w:right="0" w:firstLine="0"/>
              <w:jc w:val="left"/>
            </w:pPr>
            <w:r>
              <w:rPr>
                <w:sz w:val="16"/>
              </w:rPr>
              <w:t xml:space="preserve">Акцизе </w:t>
            </w:r>
          </w:p>
        </w:tc>
        <w:tc>
          <w:tcPr>
            <w:tcW w:w="1536" w:type="dxa"/>
            <w:tcBorders>
              <w:top w:val="nil"/>
              <w:left w:val="nil"/>
              <w:bottom w:val="nil"/>
              <w:right w:val="nil"/>
            </w:tcBorders>
          </w:tcPr>
          <w:p w:rsidR="00E8309B" w:rsidRDefault="009D0949">
            <w:pPr>
              <w:spacing w:after="0" w:line="259" w:lineRule="auto"/>
              <w:ind w:left="178" w:right="0" w:firstLine="0"/>
              <w:jc w:val="center"/>
            </w:pPr>
            <w:r>
              <w:rPr>
                <w:sz w:val="16"/>
              </w:rPr>
              <w:t xml:space="preserve">225,5 </w:t>
            </w:r>
          </w:p>
        </w:tc>
        <w:tc>
          <w:tcPr>
            <w:tcW w:w="1752" w:type="dxa"/>
            <w:tcBorders>
              <w:top w:val="nil"/>
              <w:left w:val="nil"/>
              <w:bottom w:val="nil"/>
              <w:right w:val="nil"/>
            </w:tcBorders>
          </w:tcPr>
          <w:p w:rsidR="00E8309B" w:rsidRDefault="009D0949">
            <w:pPr>
              <w:spacing w:after="0" w:line="259" w:lineRule="auto"/>
              <w:ind w:left="0" w:right="33" w:firstLine="0"/>
              <w:jc w:val="center"/>
            </w:pPr>
            <w:r>
              <w:rPr>
                <w:sz w:val="16"/>
              </w:rPr>
              <w:t xml:space="preserve">221,8 </w:t>
            </w:r>
          </w:p>
        </w:tc>
        <w:tc>
          <w:tcPr>
            <w:tcW w:w="1431" w:type="dxa"/>
            <w:tcBorders>
              <w:top w:val="nil"/>
              <w:left w:val="nil"/>
              <w:bottom w:val="nil"/>
              <w:right w:val="nil"/>
            </w:tcBorders>
          </w:tcPr>
          <w:p w:rsidR="00E8309B" w:rsidRDefault="009D0949">
            <w:pPr>
              <w:spacing w:after="0" w:line="259" w:lineRule="auto"/>
              <w:ind w:left="343" w:right="0" w:firstLine="0"/>
              <w:jc w:val="left"/>
            </w:pPr>
            <w:r>
              <w:rPr>
                <w:sz w:val="16"/>
              </w:rPr>
              <w:t xml:space="preserve">-1,6 </w:t>
            </w:r>
          </w:p>
        </w:tc>
        <w:tc>
          <w:tcPr>
            <w:tcW w:w="1320" w:type="dxa"/>
            <w:tcBorders>
              <w:top w:val="nil"/>
              <w:left w:val="nil"/>
              <w:bottom w:val="nil"/>
              <w:right w:val="nil"/>
            </w:tcBorders>
          </w:tcPr>
          <w:p w:rsidR="00E8309B" w:rsidRDefault="009D0949">
            <w:pPr>
              <w:spacing w:after="0" w:line="259" w:lineRule="auto"/>
              <w:ind w:left="0" w:right="52" w:firstLine="0"/>
              <w:jc w:val="center"/>
            </w:pPr>
            <w:r>
              <w:rPr>
                <w:sz w:val="16"/>
              </w:rPr>
              <w:t xml:space="preserve">-2,2 </w:t>
            </w:r>
          </w:p>
        </w:tc>
      </w:tr>
      <w:tr w:rsidR="00E8309B">
        <w:trPr>
          <w:trHeight w:val="185"/>
        </w:trPr>
        <w:tc>
          <w:tcPr>
            <w:tcW w:w="3385" w:type="dxa"/>
            <w:tcBorders>
              <w:top w:val="nil"/>
              <w:left w:val="nil"/>
              <w:bottom w:val="nil"/>
              <w:right w:val="nil"/>
            </w:tcBorders>
          </w:tcPr>
          <w:p w:rsidR="00E8309B" w:rsidRDefault="009D0949">
            <w:pPr>
              <w:spacing w:after="0" w:line="259" w:lineRule="auto"/>
              <w:ind w:left="108" w:right="0" w:firstLine="0"/>
              <w:jc w:val="left"/>
            </w:pPr>
            <w:r>
              <w:rPr>
                <w:sz w:val="16"/>
              </w:rPr>
              <w:t xml:space="preserve">Царине </w:t>
            </w:r>
          </w:p>
        </w:tc>
        <w:tc>
          <w:tcPr>
            <w:tcW w:w="1536" w:type="dxa"/>
            <w:tcBorders>
              <w:top w:val="nil"/>
              <w:left w:val="nil"/>
              <w:bottom w:val="nil"/>
              <w:right w:val="nil"/>
            </w:tcBorders>
          </w:tcPr>
          <w:p w:rsidR="00E8309B" w:rsidRDefault="009D0949">
            <w:pPr>
              <w:spacing w:after="0" w:line="259" w:lineRule="auto"/>
              <w:ind w:left="257" w:right="0" w:firstLine="0"/>
              <w:jc w:val="center"/>
            </w:pPr>
            <w:r>
              <w:rPr>
                <w:sz w:val="16"/>
              </w:rPr>
              <w:t xml:space="preserve">34,3 </w:t>
            </w:r>
          </w:p>
        </w:tc>
        <w:tc>
          <w:tcPr>
            <w:tcW w:w="1752" w:type="dxa"/>
            <w:tcBorders>
              <w:top w:val="nil"/>
              <w:left w:val="nil"/>
              <w:bottom w:val="nil"/>
              <w:right w:val="nil"/>
            </w:tcBorders>
          </w:tcPr>
          <w:p w:rsidR="00E8309B" w:rsidRDefault="009D0949">
            <w:pPr>
              <w:spacing w:after="0" w:line="259" w:lineRule="auto"/>
              <w:ind w:left="47" w:right="0" w:firstLine="0"/>
              <w:jc w:val="center"/>
            </w:pPr>
            <w:r>
              <w:rPr>
                <w:sz w:val="16"/>
              </w:rPr>
              <w:t xml:space="preserve">37,3 </w:t>
            </w:r>
          </w:p>
        </w:tc>
        <w:tc>
          <w:tcPr>
            <w:tcW w:w="1431" w:type="dxa"/>
            <w:tcBorders>
              <w:top w:val="nil"/>
              <w:left w:val="nil"/>
              <w:bottom w:val="nil"/>
              <w:right w:val="nil"/>
            </w:tcBorders>
          </w:tcPr>
          <w:p w:rsidR="00E8309B" w:rsidRDefault="009D0949">
            <w:pPr>
              <w:spacing w:after="0" w:line="259" w:lineRule="auto"/>
              <w:ind w:left="398" w:right="0" w:firstLine="0"/>
              <w:jc w:val="left"/>
            </w:pPr>
            <w:r>
              <w:rPr>
                <w:sz w:val="16"/>
              </w:rPr>
              <w:t xml:space="preserve">8,9 </w:t>
            </w:r>
          </w:p>
        </w:tc>
        <w:tc>
          <w:tcPr>
            <w:tcW w:w="1320" w:type="dxa"/>
            <w:tcBorders>
              <w:top w:val="nil"/>
              <w:left w:val="nil"/>
              <w:bottom w:val="nil"/>
              <w:right w:val="nil"/>
            </w:tcBorders>
          </w:tcPr>
          <w:p w:rsidR="00E8309B" w:rsidRDefault="009D0949">
            <w:pPr>
              <w:spacing w:after="0" w:line="259" w:lineRule="auto"/>
              <w:ind w:left="3" w:right="0" w:firstLine="0"/>
              <w:jc w:val="center"/>
            </w:pPr>
            <w:r>
              <w:rPr>
                <w:sz w:val="16"/>
              </w:rPr>
              <w:t xml:space="preserve">6,0 </w:t>
            </w:r>
          </w:p>
        </w:tc>
      </w:tr>
      <w:tr w:rsidR="00E8309B">
        <w:trPr>
          <w:trHeight w:val="184"/>
        </w:trPr>
        <w:tc>
          <w:tcPr>
            <w:tcW w:w="3385" w:type="dxa"/>
            <w:tcBorders>
              <w:top w:val="nil"/>
              <w:left w:val="nil"/>
              <w:bottom w:val="nil"/>
              <w:right w:val="nil"/>
            </w:tcBorders>
          </w:tcPr>
          <w:p w:rsidR="00E8309B" w:rsidRDefault="009D0949">
            <w:pPr>
              <w:spacing w:after="0" w:line="259" w:lineRule="auto"/>
              <w:ind w:left="108" w:right="0" w:firstLine="0"/>
              <w:jc w:val="left"/>
            </w:pPr>
            <w:r>
              <w:rPr>
                <w:sz w:val="16"/>
              </w:rPr>
              <w:t xml:space="preserve">Остали порески приходи </w:t>
            </w:r>
          </w:p>
        </w:tc>
        <w:tc>
          <w:tcPr>
            <w:tcW w:w="1536" w:type="dxa"/>
            <w:tcBorders>
              <w:top w:val="nil"/>
              <w:left w:val="nil"/>
              <w:bottom w:val="nil"/>
              <w:right w:val="nil"/>
            </w:tcBorders>
          </w:tcPr>
          <w:p w:rsidR="00E8309B" w:rsidRDefault="009D0949">
            <w:pPr>
              <w:spacing w:after="0" w:line="259" w:lineRule="auto"/>
              <w:ind w:left="257" w:right="0" w:firstLine="0"/>
              <w:jc w:val="center"/>
            </w:pPr>
            <w:r>
              <w:rPr>
                <w:sz w:val="16"/>
              </w:rPr>
              <w:t xml:space="preserve">60,8 </w:t>
            </w:r>
          </w:p>
        </w:tc>
        <w:tc>
          <w:tcPr>
            <w:tcW w:w="1752" w:type="dxa"/>
            <w:tcBorders>
              <w:top w:val="nil"/>
              <w:left w:val="nil"/>
              <w:bottom w:val="nil"/>
              <w:right w:val="nil"/>
            </w:tcBorders>
          </w:tcPr>
          <w:p w:rsidR="00E8309B" w:rsidRDefault="009D0949">
            <w:pPr>
              <w:spacing w:after="0" w:line="259" w:lineRule="auto"/>
              <w:ind w:left="47" w:right="0" w:firstLine="0"/>
              <w:jc w:val="center"/>
            </w:pPr>
            <w:r>
              <w:rPr>
                <w:sz w:val="16"/>
              </w:rPr>
              <w:t xml:space="preserve">58,2 </w:t>
            </w:r>
          </w:p>
        </w:tc>
        <w:tc>
          <w:tcPr>
            <w:tcW w:w="1431" w:type="dxa"/>
            <w:tcBorders>
              <w:top w:val="nil"/>
              <w:left w:val="nil"/>
              <w:bottom w:val="nil"/>
              <w:right w:val="nil"/>
            </w:tcBorders>
          </w:tcPr>
          <w:p w:rsidR="00E8309B" w:rsidRDefault="009D0949">
            <w:pPr>
              <w:spacing w:after="0" w:line="259" w:lineRule="auto"/>
              <w:ind w:left="343" w:right="0" w:firstLine="0"/>
              <w:jc w:val="left"/>
            </w:pPr>
            <w:r>
              <w:rPr>
                <w:sz w:val="16"/>
              </w:rPr>
              <w:t xml:space="preserve">-4,3 </w:t>
            </w:r>
          </w:p>
        </w:tc>
        <w:tc>
          <w:tcPr>
            <w:tcW w:w="1320" w:type="dxa"/>
            <w:tcBorders>
              <w:top w:val="nil"/>
              <w:left w:val="nil"/>
              <w:bottom w:val="nil"/>
              <w:right w:val="nil"/>
            </w:tcBorders>
          </w:tcPr>
          <w:p w:rsidR="00E8309B" w:rsidRDefault="009D0949">
            <w:pPr>
              <w:spacing w:after="0" w:line="259" w:lineRule="auto"/>
              <w:ind w:left="0" w:right="52" w:firstLine="0"/>
              <w:jc w:val="center"/>
            </w:pPr>
            <w:r>
              <w:rPr>
                <w:sz w:val="16"/>
              </w:rPr>
              <w:t xml:space="preserve">-3,1 </w:t>
            </w:r>
          </w:p>
        </w:tc>
      </w:tr>
      <w:tr w:rsidR="00E8309B">
        <w:trPr>
          <w:trHeight w:val="184"/>
        </w:trPr>
        <w:tc>
          <w:tcPr>
            <w:tcW w:w="3385" w:type="dxa"/>
            <w:tcBorders>
              <w:top w:val="nil"/>
              <w:left w:val="nil"/>
              <w:bottom w:val="nil"/>
              <w:right w:val="nil"/>
            </w:tcBorders>
          </w:tcPr>
          <w:p w:rsidR="00E8309B" w:rsidRDefault="009D0949">
            <w:pPr>
              <w:spacing w:after="0" w:line="259" w:lineRule="auto"/>
              <w:ind w:left="108" w:right="0" w:firstLine="0"/>
              <w:jc w:val="left"/>
            </w:pPr>
            <w:r>
              <w:rPr>
                <w:sz w:val="16"/>
              </w:rPr>
              <w:t xml:space="preserve">Доприноси </w:t>
            </w:r>
          </w:p>
        </w:tc>
        <w:tc>
          <w:tcPr>
            <w:tcW w:w="1536" w:type="dxa"/>
            <w:tcBorders>
              <w:top w:val="nil"/>
              <w:left w:val="nil"/>
              <w:bottom w:val="nil"/>
              <w:right w:val="nil"/>
            </w:tcBorders>
          </w:tcPr>
          <w:p w:rsidR="00E8309B" w:rsidRDefault="009D0949">
            <w:pPr>
              <w:spacing w:after="0" w:line="259" w:lineRule="auto"/>
              <w:ind w:left="178" w:right="0" w:firstLine="0"/>
              <w:jc w:val="center"/>
            </w:pPr>
            <w:r>
              <w:rPr>
                <w:sz w:val="16"/>
              </w:rPr>
              <w:t xml:space="preserve">489,4 </w:t>
            </w:r>
          </w:p>
        </w:tc>
        <w:tc>
          <w:tcPr>
            <w:tcW w:w="1752" w:type="dxa"/>
            <w:tcBorders>
              <w:top w:val="nil"/>
              <w:left w:val="nil"/>
              <w:bottom w:val="nil"/>
              <w:right w:val="nil"/>
            </w:tcBorders>
          </w:tcPr>
          <w:p w:rsidR="00E8309B" w:rsidRDefault="009D0949">
            <w:pPr>
              <w:spacing w:after="0" w:line="259" w:lineRule="auto"/>
              <w:ind w:left="0" w:right="33" w:firstLine="0"/>
              <w:jc w:val="center"/>
            </w:pPr>
            <w:r>
              <w:rPr>
                <w:sz w:val="16"/>
              </w:rPr>
              <w:t xml:space="preserve">463,2 </w:t>
            </w:r>
          </w:p>
        </w:tc>
        <w:tc>
          <w:tcPr>
            <w:tcW w:w="1431" w:type="dxa"/>
            <w:tcBorders>
              <w:top w:val="nil"/>
              <w:left w:val="nil"/>
              <w:bottom w:val="nil"/>
              <w:right w:val="nil"/>
            </w:tcBorders>
          </w:tcPr>
          <w:p w:rsidR="00E8309B" w:rsidRDefault="009D0949">
            <w:pPr>
              <w:spacing w:after="0" w:line="259" w:lineRule="auto"/>
              <w:ind w:left="343" w:right="0" w:firstLine="0"/>
              <w:jc w:val="left"/>
            </w:pPr>
            <w:r>
              <w:rPr>
                <w:sz w:val="16"/>
              </w:rPr>
              <w:t xml:space="preserve">-5,4 </w:t>
            </w:r>
          </w:p>
        </w:tc>
        <w:tc>
          <w:tcPr>
            <w:tcW w:w="1320" w:type="dxa"/>
            <w:tcBorders>
              <w:top w:val="nil"/>
              <w:left w:val="nil"/>
              <w:bottom w:val="nil"/>
              <w:right w:val="nil"/>
            </w:tcBorders>
          </w:tcPr>
          <w:p w:rsidR="00E8309B" w:rsidRDefault="009D0949">
            <w:pPr>
              <w:spacing w:after="0" w:line="259" w:lineRule="auto"/>
              <w:ind w:left="0" w:right="52" w:firstLine="0"/>
              <w:jc w:val="center"/>
            </w:pPr>
            <w:r>
              <w:rPr>
                <w:sz w:val="16"/>
              </w:rPr>
              <w:t xml:space="preserve">-2,3 </w:t>
            </w:r>
          </w:p>
        </w:tc>
      </w:tr>
      <w:tr w:rsidR="00E8309B">
        <w:trPr>
          <w:trHeight w:val="185"/>
        </w:trPr>
        <w:tc>
          <w:tcPr>
            <w:tcW w:w="3385" w:type="dxa"/>
            <w:tcBorders>
              <w:top w:val="nil"/>
              <w:left w:val="nil"/>
              <w:bottom w:val="nil"/>
              <w:right w:val="nil"/>
            </w:tcBorders>
          </w:tcPr>
          <w:p w:rsidR="00E8309B" w:rsidRDefault="009D0949">
            <w:pPr>
              <w:spacing w:after="0" w:line="259" w:lineRule="auto"/>
              <w:ind w:left="108" w:right="0" w:firstLine="0"/>
              <w:jc w:val="left"/>
            </w:pPr>
            <w:r>
              <w:rPr>
                <w:sz w:val="16"/>
              </w:rPr>
              <w:t xml:space="preserve">Непорески приходи </w:t>
            </w:r>
          </w:p>
        </w:tc>
        <w:tc>
          <w:tcPr>
            <w:tcW w:w="1536" w:type="dxa"/>
            <w:tcBorders>
              <w:top w:val="nil"/>
              <w:left w:val="nil"/>
              <w:bottom w:val="nil"/>
              <w:right w:val="nil"/>
            </w:tcBorders>
          </w:tcPr>
          <w:p w:rsidR="00E8309B" w:rsidRDefault="009D0949">
            <w:pPr>
              <w:spacing w:after="0" w:line="259" w:lineRule="auto"/>
              <w:ind w:left="178" w:right="0" w:firstLine="0"/>
              <w:jc w:val="center"/>
            </w:pPr>
            <w:r>
              <w:rPr>
                <w:sz w:val="16"/>
              </w:rPr>
              <w:t xml:space="preserve">184,8 </w:t>
            </w:r>
          </w:p>
        </w:tc>
        <w:tc>
          <w:tcPr>
            <w:tcW w:w="1752" w:type="dxa"/>
            <w:tcBorders>
              <w:top w:val="nil"/>
              <w:left w:val="nil"/>
              <w:bottom w:val="nil"/>
              <w:right w:val="nil"/>
            </w:tcBorders>
          </w:tcPr>
          <w:p w:rsidR="00E8309B" w:rsidRDefault="009D0949">
            <w:pPr>
              <w:spacing w:after="0" w:line="259" w:lineRule="auto"/>
              <w:ind w:left="0" w:right="33" w:firstLine="0"/>
              <w:jc w:val="center"/>
            </w:pPr>
            <w:r>
              <w:rPr>
                <w:sz w:val="16"/>
              </w:rPr>
              <w:t xml:space="preserve">172,7 </w:t>
            </w:r>
          </w:p>
        </w:tc>
        <w:tc>
          <w:tcPr>
            <w:tcW w:w="1431" w:type="dxa"/>
            <w:tcBorders>
              <w:top w:val="nil"/>
              <w:left w:val="nil"/>
              <w:bottom w:val="nil"/>
              <w:right w:val="nil"/>
            </w:tcBorders>
          </w:tcPr>
          <w:p w:rsidR="00E8309B" w:rsidRDefault="009D0949">
            <w:pPr>
              <w:spacing w:after="0" w:line="259" w:lineRule="auto"/>
              <w:ind w:left="343" w:right="0" w:firstLine="0"/>
              <w:jc w:val="left"/>
            </w:pPr>
            <w:r>
              <w:rPr>
                <w:sz w:val="16"/>
              </w:rPr>
              <w:t xml:space="preserve">-6,6 </w:t>
            </w:r>
          </w:p>
        </w:tc>
        <w:tc>
          <w:tcPr>
            <w:tcW w:w="1320" w:type="dxa"/>
            <w:tcBorders>
              <w:top w:val="nil"/>
              <w:left w:val="nil"/>
              <w:bottom w:val="nil"/>
              <w:right w:val="nil"/>
            </w:tcBorders>
          </w:tcPr>
          <w:p w:rsidR="00E8309B" w:rsidRDefault="009D0949">
            <w:pPr>
              <w:spacing w:after="0" w:line="259" w:lineRule="auto"/>
              <w:ind w:left="370" w:right="0" w:firstLine="0"/>
              <w:jc w:val="left"/>
            </w:pPr>
            <w:r>
              <w:rPr>
                <w:sz w:val="16"/>
              </w:rPr>
              <w:t xml:space="preserve">-10,2 </w:t>
            </w:r>
          </w:p>
        </w:tc>
      </w:tr>
      <w:tr w:rsidR="00E8309B">
        <w:trPr>
          <w:trHeight w:val="185"/>
        </w:trPr>
        <w:tc>
          <w:tcPr>
            <w:tcW w:w="3385" w:type="dxa"/>
            <w:tcBorders>
              <w:top w:val="nil"/>
              <w:left w:val="nil"/>
              <w:bottom w:val="nil"/>
              <w:right w:val="nil"/>
            </w:tcBorders>
          </w:tcPr>
          <w:p w:rsidR="00E8309B" w:rsidRDefault="009D0949">
            <w:pPr>
              <w:spacing w:after="0" w:line="259" w:lineRule="auto"/>
              <w:ind w:left="108" w:right="0" w:firstLine="0"/>
              <w:jc w:val="left"/>
            </w:pPr>
            <w:r>
              <w:rPr>
                <w:sz w:val="16"/>
              </w:rPr>
              <w:t xml:space="preserve">Донације </w:t>
            </w:r>
          </w:p>
        </w:tc>
        <w:tc>
          <w:tcPr>
            <w:tcW w:w="1536" w:type="dxa"/>
            <w:tcBorders>
              <w:top w:val="nil"/>
              <w:left w:val="nil"/>
              <w:bottom w:val="nil"/>
              <w:right w:val="nil"/>
            </w:tcBorders>
          </w:tcPr>
          <w:p w:rsidR="00E8309B" w:rsidRDefault="009D0949">
            <w:pPr>
              <w:spacing w:after="0" w:line="259" w:lineRule="auto"/>
              <w:ind w:left="339" w:right="0" w:firstLine="0"/>
              <w:jc w:val="center"/>
            </w:pPr>
            <w:r>
              <w:rPr>
                <w:sz w:val="16"/>
              </w:rPr>
              <w:t xml:space="preserve">7,4 </w:t>
            </w:r>
          </w:p>
        </w:tc>
        <w:tc>
          <w:tcPr>
            <w:tcW w:w="1752" w:type="dxa"/>
            <w:tcBorders>
              <w:top w:val="nil"/>
              <w:left w:val="nil"/>
              <w:bottom w:val="nil"/>
              <w:right w:val="nil"/>
            </w:tcBorders>
          </w:tcPr>
          <w:p w:rsidR="00E8309B" w:rsidRDefault="009D0949">
            <w:pPr>
              <w:spacing w:after="0" w:line="259" w:lineRule="auto"/>
              <w:ind w:left="128" w:right="0" w:firstLine="0"/>
              <w:jc w:val="center"/>
            </w:pPr>
            <w:r>
              <w:rPr>
                <w:sz w:val="16"/>
              </w:rPr>
              <w:t xml:space="preserve">8,0 </w:t>
            </w:r>
          </w:p>
        </w:tc>
        <w:tc>
          <w:tcPr>
            <w:tcW w:w="1431" w:type="dxa"/>
            <w:tcBorders>
              <w:top w:val="nil"/>
              <w:left w:val="nil"/>
              <w:bottom w:val="nil"/>
              <w:right w:val="nil"/>
            </w:tcBorders>
          </w:tcPr>
          <w:p w:rsidR="00E8309B" w:rsidRDefault="009D0949">
            <w:pPr>
              <w:spacing w:after="0" w:line="259" w:lineRule="auto"/>
              <w:ind w:left="398" w:right="0" w:firstLine="0"/>
              <w:jc w:val="left"/>
            </w:pPr>
            <w:r>
              <w:rPr>
                <w:sz w:val="16"/>
              </w:rPr>
              <w:t xml:space="preserve">8,3 </w:t>
            </w:r>
          </w:p>
        </w:tc>
        <w:tc>
          <w:tcPr>
            <w:tcW w:w="1320" w:type="dxa"/>
            <w:tcBorders>
              <w:top w:val="nil"/>
              <w:left w:val="nil"/>
              <w:bottom w:val="nil"/>
              <w:right w:val="nil"/>
            </w:tcBorders>
          </w:tcPr>
          <w:p w:rsidR="00E8309B" w:rsidRDefault="009D0949">
            <w:pPr>
              <w:spacing w:after="0" w:line="259" w:lineRule="auto"/>
              <w:ind w:left="3" w:right="0" w:firstLine="0"/>
              <w:jc w:val="center"/>
            </w:pPr>
            <w:r>
              <w:rPr>
                <w:sz w:val="16"/>
              </w:rPr>
              <w:t xml:space="preserve">7,6 </w:t>
            </w:r>
          </w:p>
        </w:tc>
      </w:tr>
      <w:tr w:rsidR="00E8309B">
        <w:trPr>
          <w:trHeight w:val="182"/>
        </w:trPr>
        <w:tc>
          <w:tcPr>
            <w:tcW w:w="3385" w:type="dxa"/>
            <w:tcBorders>
              <w:top w:val="nil"/>
              <w:left w:val="nil"/>
              <w:bottom w:val="nil"/>
              <w:right w:val="nil"/>
            </w:tcBorders>
            <w:shd w:val="clear" w:color="auto" w:fill="E7E6E6"/>
          </w:tcPr>
          <w:p w:rsidR="00E8309B" w:rsidRDefault="009D0949">
            <w:pPr>
              <w:spacing w:after="0" w:line="259" w:lineRule="auto"/>
              <w:ind w:left="108" w:right="0" w:firstLine="0"/>
              <w:jc w:val="left"/>
            </w:pPr>
            <w:r>
              <w:rPr>
                <w:sz w:val="16"/>
              </w:rPr>
              <w:t xml:space="preserve">ЈАВНИ РАСХОДИ </w:t>
            </w:r>
          </w:p>
        </w:tc>
        <w:tc>
          <w:tcPr>
            <w:tcW w:w="1536" w:type="dxa"/>
            <w:tcBorders>
              <w:top w:val="nil"/>
              <w:left w:val="nil"/>
              <w:bottom w:val="nil"/>
              <w:right w:val="nil"/>
            </w:tcBorders>
            <w:shd w:val="clear" w:color="auto" w:fill="E7E6E6"/>
          </w:tcPr>
          <w:p w:rsidR="00E8309B" w:rsidRDefault="009D0949">
            <w:pPr>
              <w:spacing w:after="0" w:line="259" w:lineRule="auto"/>
              <w:ind w:left="58" w:right="0" w:firstLine="0"/>
              <w:jc w:val="center"/>
            </w:pPr>
            <w:r>
              <w:rPr>
                <w:sz w:val="16"/>
              </w:rPr>
              <w:t xml:space="preserve">1.611,3 </w:t>
            </w:r>
          </w:p>
        </w:tc>
        <w:tc>
          <w:tcPr>
            <w:tcW w:w="1752" w:type="dxa"/>
            <w:tcBorders>
              <w:top w:val="nil"/>
              <w:left w:val="nil"/>
              <w:bottom w:val="nil"/>
              <w:right w:val="nil"/>
            </w:tcBorders>
            <w:shd w:val="clear" w:color="auto" w:fill="E7E6E6"/>
          </w:tcPr>
          <w:p w:rsidR="00E8309B" w:rsidRDefault="009D0949">
            <w:pPr>
              <w:spacing w:after="0" w:line="259" w:lineRule="auto"/>
              <w:ind w:left="502" w:right="0" w:firstLine="0"/>
              <w:jc w:val="left"/>
            </w:pPr>
            <w:r>
              <w:rPr>
                <w:sz w:val="16"/>
              </w:rPr>
              <w:t xml:space="preserve">1.960,4 </w:t>
            </w:r>
          </w:p>
        </w:tc>
        <w:tc>
          <w:tcPr>
            <w:tcW w:w="1431" w:type="dxa"/>
            <w:tcBorders>
              <w:top w:val="nil"/>
              <w:left w:val="nil"/>
              <w:bottom w:val="nil"/>
              <w:right w:val="nil"/>
            </w:tcBorders>
            <w:shd w:val="clear" w:color="auto" w:fill="E7E6E6"/>
          </w:tcPr>
          <w:p w:rsidR="00E8309B" w:rsidRDefault="009D0949">
            <w:pPr>
              <w:spacing w:after="0" w:line="259" w:lineRule="auto"/>
              <w:ind w:left="317" w:right="0" w:firstLine="0"/>
              <w:jc w:val="left"/>
            </w:pPr>
            <w:r>
              <w:rPr>
                <w:sz w:val="16"/>
              </w:rPr>
              <w:t xml:space="preserve">21,7 </w:t>
            </w:r>
          </w:p>
        </w:tc>
        <w:tc>
          <w:tcPr>
            <w:tcW w:w="1320" w:type="dxa"/>
            <w:tcBorders>
              <w:top w:val="nil"/>
              <w:left w:val="nil"/>
              <w:bottom w:val="nil"/>
              <w:right w:val="nil"/>
            </w:tcBorders>
            <w:shd w:val="clear" w:color="auto" w:fill="E7E6E6"/>
          </w:tcPr>
          <w:p w:rsidR="00E8309B" w:rsidRDefault="009D0949">
            <w:pPr>
              <w:spacing w:after="0" w:line="259" w:lineRule="auto"/>
              <w:ind w:left="422" w:right="0" w:firstLine="0"/>
              <w:jc w:val="left"/>
            </w:pPr>
            <w:r>
              <w:rPr>
                <w:sz w:val="16"/>
              </w:rPr>
              <w:t xml:space="preserve">18,3 </w:t>
            </w:r>
          </w:p>
        </w:tc>
      </w:tr>
      <w:tr w:rsidR="00E8309B">
        <w:trPr>
          <w:trHeight w:val="185"/>
        </w:trPr>
        <w:tc>
          <w:tcPr>
            <w:tcW w:w="3385" w:type="dxa"/>
            <w:tcBorders>
              <w:top w:val="nil"/>
              <w:left w:val="nil"/>
              <w:bottom w:val="nil"/>
              <w:right w:val="nil"/>
            </w:tcBorders>
          </w:tcPr>
          <w:p w:rsidR="00E8309B" w:rsidRDefault="009D0949">
            <w:pPr>
              <w:spacing w:after="0" w:line="259" w:lineRule="auto"/>
              <w:ind w:left="108" w:right="0" w:firstLine="0"/>
              <w:jc w:val="left"/>
            </w:pPr>
            <w:r>
              <w:rPr>
                <w:sz w:val="16"/>
              </w:rPr>
              <w:t xml:space="preserve">Текући расходи </w:t>
            </w:r>
          </w:p>
        </w:tc>
        <w:tc>
          <w:tcPr>
            <w:tcW w:w="1536" w:type="dxa"/>
            <w:tcBorders>
              <w:top w:val="nil"/>
              <w:left w:val="nil"/>
              <w:bottom w:val="nil"/>
              <w:right w:val="nil"/>
            </w:tcBorders>
          </w:tcPr>
          <w:p w:rsidR="00E8309B" w:rsidRDefault="009D0949">
            <w:pPr>
              <w:spacing w:after="0" w:line="259" w:lineRule="auto"/>
              <w:ind w:left="58" w:right="0" w:firstLine="0"/>
              <w:jc w:val="center"/>
            </w:pPr>
            <w:r>
              <w:rPr>
                <w:sz w:val="16"/>
              </w:rPr>
              <w:t xml:space="preserve">1.445,7 </w:t>
            </w:r>
          </w:p>
        </w:tc>
        <w:tc>
          <w:tcPr>
            <w:tcW w:w="1752" w:type="dxa"/>
            <w:tcBorders>
              <w:top w:val="nil"/>
              <w:left w:val="nil"/>
              <w:bottom w:val="nil"/>
              <w:right w:val="nil"/>
            </w:tcBorders>
          </w:tcPr>
          <w:p w:rsidR="00E8309B" w:rsidRDefault="009D0949">
            <w:pPr>
              <w:spacing w:after="0" w:line="259" w:lineRule="auto"/>
              <w:ind w:left="502" w:right="0" w:firstLine="0"/>
              <w:jc w:val="left"/>
            </w:pPr>
            <w:r>
              <w:rPr>
                <w:sz w:val="16"/>
              </w:rPr>
              <w:t xml:space="preserve">1.757,6 </w:t>
            </w:r>
          </w:p>
        </w:tc>
        <w:tc>
          <w:tcPr>
            <w:tcW w:w="1431" w:type="dxa"/>
            <w:tcBorders>
              <w:top w:val="nil"/>
              <w:left w:val="nil"/>
              <w:bottom w:val="nil"/>
              <w:right w:val="nil"/>
            </w:tcBorders>
          </w:tcPr>
          <w:p w:rsidR="00E8309B" w:rsidRDefault="009D0949">
            <w:pPr>
              <w:spacing w:after="0" w:line="259" w:lineRule="auto"/>
              <w:ind w:left="317" w:right="0" w:firstLine="0"/>
              <w:jc w:val="left"/>
            </w:pPr>
            <w:r>
              <w:rPr>
                <w:sz w:val="16"/>
              </w:rPr>
              <w:t xml:space="preserve">21,6 </w:t>
            </w:r>
          </w:p>
        </w:tc>
        <w:tc>
          <w:tcPr>
            <w:tcW w:w="1320" w:type="dxa"/>
            <w:tcBorders>
              <w:top w:val="nil"/>
              <w:left w:val="nil"/>
              <w:bottom w:val="nil"/>
              <w:right w:val="nil"/>
            </w:tcBorders>
          </w:tcPr>
          <w:p w:rsidR="00E8309B" w:rsidRDefault="009D0949">
            <w:pPr>
              <w:spacing w:after="0" w:line="259" w:lineRule="auto"/>
              <w:ind w:left="422" w:right="0" w:firstLine="0"/>
              <w:jc w:val="left"/>
            </w:pPr>
            <w:r>
              <w:rPr>
                <w:sz w:val="16"/>
              </w:rPr>
              <w:t xml:space="preserve">18,5 </w:t>
            </w:r>
          </w:p>
        </w:tc>
      </w:tr>
      <w:tr w:rsidR="00E8309B">
        <w:trPr>
          <w:trHeight w:val="184"/>
        </w:trPr>
        <w:tc>
          <w:tcPr>
            <w:tcW w:w="3385" w:type="dxa"/>
            <w:tcBorders>
              <w:top w:val="nil"/>
              <w:left w:val="nil"/>
              <w:bottom w:val="nil"/>
              <w:right w:val="nil"/>
            </w:tcBorders>
          </w:tcPr>
          <w:p w:rsidR="00E8309B" w:rsidRDefault="009D0949">
            <w:pPr>
              <w:spacing w:after="0" w:line="259" w:lineRule="auto"/>
              <w:ind w:left="108" w:right="0" w:firstLine="0"/>
              <w:jc w:val="left"/>
            </w:pPr>
            <w:r>
              <w:rPr>
                <w:sz w:val="16"/>
              </w:rPr>
              <w:t xml:space="preserve">Расходи за запослене </w:t>
            </w:r>
          </w:p>
        </w:tc>
        <w:tc>
          <w:tcPr>
            <w:tcW w:w="1536" w:type="dxa"/>
            <w:tcBorders>
              <w:top w:val="nil"/>
              <w:left w:val="nil"/>
              <w:bottom w:val="nil"/>
              <w:right w:val="nil"/>
            </w:tcBorders>
          </w:tcPr>
          <w:p w:rsidR="00E8309B" w:rsidRDefault="009D0949">
            <w:pPr>
              <w:spacing w:after="0" w:line="259" w:lineRule="auto"/>
              <w:ind w:left="178" w:right="0" w:firstLine="0"/>
              <w:jc w:val="center"/>
            </w:pPr>
            <w:r>
              <w:rPr>
                <w:sz w:val="16"/>
              </w:rPr>
              <w:t xml:space="preserve">380,0 </w:t>
            </w:r>
          </w:p>
        </w:tc>
        <w:tc>
          <w:tcPr>
            <w:tcW w:w="1752" w:type="dxa"/>
            <w:tcBorders>
              <w:top w:val="nil"/>
              <w:left w:val="nil"/>
              <w:bottom w:val="nil"/>
              <w:right w:val="nil"/>
            </w:tcBorders>
          </w:tcPr>
          <w:p w:rsidR="00E8309B" w:rsidRDefault="009D0949">
            <w:pPr>
              <w:spacing w:after="0" w:line="259" w:lineRule="auto"/>
              <w:ind w:left="0" w:right="33" w:firstLine="0"/>
              <w:jc w:val="center"/>
            </w:pPr>
            <w:r>
              <w:rPr>
                <w:sz w:val="16"/>
              </w:rPr>
              <w:t xml:space="preserve">426,1 </w:t>
            </w:r>
          </w:p>
        </w:tc>
        <w:tc>
          <w:tcPr>
            <w:tcW w:w="1431" w:type="dxa"/>
            <w:tcBorders>
              <w:top w:val="nil"/>
              <w:left w:val="nil"/>
              <w:bottom w:val="nil"/>
              <w:right w:val="nil"/>
            </w:tcBorders>
          </w:tcPr>
          <w:p w:rsidR="00E8309B" w:rsidRDefault="009D0949">
            <w:pPr>
              <w:spacing w:after="0" w:line="259" w:lineRule="auto"/>
              <w:ind w:left="317" w:right="0" w:firstLine="0"/>
              <w:jc w:val="left"/>
            </w:pPr>
            <w:r>
              <w:rPr>
                <w:sz w:val="16"/>
              </w:rPr>
              <w:t xml:space="preserve">12,1 </w:t>
            </w:r>
          </w:p>
        </w:tc>
        <w:tc>
          <w:tcPr>
            <w:tcW w:w="1320" w:type="dxa"/>
            <w:tcBorders>
              <w:top w:val="nil"/>
              <w:left w:val="nil"/>
              <w:bottom w:val="nil"/>
              <w:right w:val="nil"/>
            </w:tcBorders>
          </w:tcPr>
          <w:p w:rsidR="00E8309B" w:rsidRDefault="009D0949">
            <w:pPr>
              <w:spacing w:after="0" w:line="259" w:lineRule="auto"/>
              <w:ind w:left="422" w:right="0" w:firstLine="0"/>
              <w:jc w:val="left"/>
            </w:pPr>
            <w:r>
              <w:rPr>
                <w:sz w:val="16"/>
              </w:rPr>
              <w:t xml:space="preserve">11,5 </w:t>
            </w:r>
          </w:p>
        </w:tc>
      </w:tr>
      <w:tr w:rsidR="00E8309B">
        <w:trPr>
          <w:trHeight w:val="184"/>
        </w:trPr>
        <w:tc>
          <w:tcPr>
            <w:tcW w:w="3385" w:type="dxa"/>
            <w:tcBorders>
              <w:top w:val="nil"/>
              <w:left w:val="nil"/>
              <w:bottom w:val="nil"/>
              <w:right w:val="nil"/>
            </w:tcBorders>
          </w:tcPr>
          <w:p w:rsidR="00E8309B" w:rsidRDefault="009D0949">
            <w:pPr>
              <w:spacing w:after="0" w:line="259" w:lineRule="auto"/>
              <w:ind w:left="108" w:right="0" w:firstLine="0"/>
              <w:jc w:val="left"/>
            </w:pPr>
            <w:r>
              <w:rPr>
                <w:sz w:val="16"/>
              </w:rPr>
              <w:t xml:space="preserve">Куповина робе и услуга </w:t>
            </w:r>
          </w:p>
        </w:tc>
        <w:tc>
          <w:tcPr>
            <w:tcW w:w="1536" w:type="dxa"/>
            <w:tcBorders>
              <w:top w:val="nil"/>
              <w:left w:val="nil"/>
              <w:bottom w:val="nil"/>
              <w:right w:val="nil"/>
            </w:tcBorders>
          </w:tcPr>
          <w:p w:rsidR="00E8309B" w:rsidRDefault="009D0949">
            <w:pPr>
              <w:spacing w:after="0" w:line="259" w:lineRule="auto"/>
              <w:ind w:left="178" w:right="0" w:firstLine="0"/>
              <w:jc w:val="center"/>
            </w:pPr>
            <w:r>
              <w:rPr>
                <w:sz w:val="16"/>
              </w:rPr>
              <w:t xml:space="preserve">260,4 </w:t>
            </w:r>
          </w:p>
        </w:tc>
        <w:tc>
          <w:tcPr>
            <w:tcW w:w="1752" w:type="dxa"/>
            <w:tcBorders>
              <w:top w:val="nil"/>
              <w:left w:val="nil"/>
              <w:bottom w:val="nil"/>
              <w:right w:val="nil"/>
            </w:tcBorders>
          </w:tcPr>
          <w:p w:rsidR="00E8309B" w:rsidRDefault="009D0949">
            <w:pPr>
              <w:spacing w:after="0" w:line="259" w:lineRule="auto"/>
              <w:ind w:left="0" w:right="33" w:firstLine="0"/>
              <w:jc w:val="center"/>
            </w:pPr>
            <w:r>
              <w:rPr>
                <w:sz w:val="16"/>
              </w:rPr>
              <w:t xml:space="preserve">304,8 </w:t>
            </w:r>
          </w:p>
        </w:tc>
        <w:tc>
          <w:tcPr>
            <w:tcW w:w="1431" w:type="dxa"/>
            <w:tcBorders>
              <w:top w:val="nil"/>
              <w:left w:val="nil"/>
              <w:bottom w:val="nil"/>
              <w:right w:val="nil"/>
            </w:tcBorders>
          </w:tcPr>
          <w:p w:rsidR="00E8309B" w:rsidRDefault="009D0949">
            <w:pPr>
              <w:spacing w:after="0" w:line="259" w:lineRule="auto"/>
              <w:ind w:left="317" w:right="0" w:firstLine="0"/>
              <w:jc w:val="left"/>
            </w:pPr>
            <w:r>
              <w:rPr>
                <w:sz w:val="16"/>
              </w:rPr>
              <w:t xml:space="preserve">17,0 </w:t>
            </w:r>
          </w:p>
        </w:tc>
        <w:tc>
          <w:tcPr>
            <w:tcW w:w="1320" w:type="dxa"/>
            <w:tcBorders>
              <w:top w:val="nil"/>
              <w:left w:val="nil"/>
              <w:bottom w:val="nil"/>
              <w:right w:val="nil"/>
            </w:tcBorders>
          </w:tcPr>
          <w:p w:rsidR="00E8309B" w:rsidRDefault="009D0949">
            <w:pPr>
              <w:spacing w:after="0" w:line="259" w:lineRule="auto"/>
              <w:ind w:left="422" w:right="0" w:firstLine="0"/>
              <w:jc w:val="left"/>
            </w:pPr>
            <w:r>
              <w:rPr>
                <w:sz w:val="16"/>
              </w:rPr>
              <w:t xml:space="preserve">17,3 </w:t>
            </w:r>
          </w:p>
        </w:tc>
      </w:tr>
      <w:tr w:rsidR="00E8309B">
        <w:trPr>
          <w:trHeight w:val="185"/>
        </w:trPr>
        <w:tc>
          <w:tcPr>
            <w:tcW w:w="3385" w:type="dxa"/>
            <w:tcBorders>
              <w:top w:val="nil"/>
              <w:left w:val="nil"/>
              <w:bottom w:val="nil"/>
              <w:right w:val="nil"/>
            </w:tcBorders>
          </w:tcPr>
          <w:p w:rsidR="00E8309B" w:rsidRDefault="009D0949">
            <w:pPr>
              <w:spacing w:after="0" w:line="259" w:lineRule="auto"/>
              <w:ind w:left="108" w:right="0" w:firstLine="0"/>
              <w:jc w:val="left"/>
            </w:pPr>
            <w:r>
              <w:rPr>
                <w:sz w:val="16"/>
              </w:rPr>
              <w:t xml:space="preserve">Отплата камата </w:t>
            </w:r>
          </w:p>
        </w:tc>
        <w:tc>
          <w:tcPr>
            <w:tcW w:w="1536" w:type="dxa"/>
            <w:tcBorders>
              <w:top w:val="nil"/>
              <w:left w:val="nil"/>
              <w:bottom w:val="nil"/>
              <w:right w:val="nil"/>
            </w:tcBorders>
          </w:tcPr>
          <w:p w:rsidR="00E8309B" w:rsidRDefault="009D0949">
            <w:pPr>
              <w:spacing w:after="0" w:line="259" w:lineRule="auto"/>
              <w:ind w:left="257" w:right="0" w:firstLine="0"/>
              <w:jc w:val="center"/>
            </w:pPr>
            <w:r>
              <w:rPr>
                <w:sz w:val="16"/>
              </w:rPr>
              <w:t xml:space="preserve">97,4 </w:t>
            </w:r>
          </w:p>
        </w:tc>
        <w:tc>
          <w:tcPr>
            <w:tcW w:w="1752" w:type="dxa"/>
            <w:tcBorders>
              <w:top w:val="nil"/>
              <w:left w:val="nil"/>
              <w:bottom w:val="nil"/>
              <w:right w:val="nil"/>
            </w:tcBorders>
          </w:tcPr>
          <w:p w:rsidR="00E8309B" w:rsidRDefault="009D0949">
            <w:pPr>
              <w:spacing w:after="0" w:line="259" w:lineRule="auto"/>
              <w:ind w:left="47" w:right="0" w:firstLine="0"/>
              <w:jc w:val="center"/>
            </w:pPr>
            <w:r>
              <w:rPr>
                <w:sz w:val="16"/>
              </w:rPr>
              <w:t xml:space="preserve">87,0 </w:t>
            </w:r>
          </w:p>
        </w:tc>
        <w:tc>
          <w:tcPr>
            <w:tcW w:w="1431" w:type="dxa"/>
            <w:tcBorders>
              <w:top w:val="nil"/>
              <w:left w:val="nil"/>
              <w:bottom w:val="nil"/>
              <w:right w:val="nil"/>
            </w:tcBorders>
          </w:tcPr>
          <w:p w:rsidR="00E8309B" w:rsidRDefault="009D0949">
            <w:pPr>
              <w:spacing w:after="0" w:line="259" w:lineRule="auto"/>
              <w:ind w:left="264" w:right="0" w:firstLine="0"/>
              <w:jc w:val="left"/>
            </w:pPr>
            <w:r>
              <w:rPr>
                <w:sz w:val="16"/>
              </w:rPr>
              <w:t>-</w:t>
            </w:r>
            <w:r>
              <w:rPr>
                <w:sz w:val="16"/>
              </w:rPr>
              <w:t xml:space="preserve">10,6 </w:t>
            </w:r>
          </w:p>
        </w:tc>
        <w:tc>
          <w:tcPr>
            <w:tcW w:w="1320" w:type="dxa"/>
            <w:tcBorders>
              <w:top w:val="nil"/>
              <w:left w:val="nil"/>
              <w:bottom w:val="nil"/>
              <w:right w:val="nil"/>
            </w:tcBorders>
          </w:tcPr>
          <w:p w:rsidR="00E8309B" w:rsidRDefault="009D0949">
            <w:pPr>
              <w:spacing w:after="0" w:line="259" w:lineRule="auto"/>
              <w:ind w:left="3" w:right="0" w:firstLine="0"/>
              <w:jc w:val="center"/>
            </w:pPr>
            <w:r>
              <w:rPr>
                <w:sz w:val="16"/>
              </w:rPr>
              <w:t xml:space="preserve">1,9 </w:t>
            </w:r>
          </w:p>
        </w:tc>
      </w:tr>
      <w:tr w:rsidR="00E8309B">
        <w:trPr>
          <w:trHeight w:val="184"/>
        </w:trPr>
        <w:tc>
          <w:tcPr>
            <w:tcW w:w="3385" w:type="dxa"/>
            <w:tcBorders>
              <w:top w:val="nil"/>
              <w:left w:val="nil"/>
              <w:bottom w:val="nil"/>
              <w:right w:val="nil"/>
            </w:tcBorders>
          </w:tcPr>
          <w:p w:rsidR="00E8309B" w:rsidRDefault="009D0949">
            <w:pPr>
              <w:spacing w:after="0" w:line="259" w:lineRule="auto"/>
              <w:ind w:left="108" w:right="0" w:firstLine="0"/>
              <w:jc w:val="left"/>
            </w:pPr>
            <w:r>
              <w:rPr>
                <w:sz w:val="16"/>
              </w:rPr>
              <w:t xml:space="preserve">Субвенције </w:t>
            </w:r>
          </w:p>
        </w:tc>
        <w:tc>
          <w:tcPr>
            <w:tcW w:w="1536" w:type="dxa"/>
            <w:tcBorders>
              <w:top w:val="nil"/>
              <w:left w:val="nil"/>
              <w:bottom w:val="nil"/>
              <w:right w:val="nil"/>
            </w:tcBorders>
          </w:tcPr>
          <w:p w:rsidR="00E8309B" w:rsidRDefault="009D0949">
            <w:pPr>
              <w:spacing w:after="0" w:line="259" w:lineRule="auto"/>
              <w:ind w:left="257" w:right="0" w:firstLine="0"/>
              <w:jc w:val="center"/>
            </w:pPr>
            <w:r>
              <w:rPr>
                <w:sz w:val="16"/>
              </w:rPr>
              <w:t xml:space="preserve">69,5 </w:t>
            </w:r>
          </w:p>
        </w:tc>
        <w:tc>
          <w:tcPr>
            <w:tcW w:w="1752" w:type="dxa"/>
            <w:tcBorders>
              <w:top w:val="nil"/>
              <w:left w:val="nil"/>
              <w:bottom w:val="nil"/>
              <w:right w:val="nil"/>
            </w:tcBorders>
          </w:tcPr>
          <w:p w:rsidR="00E8309B" w:rsidRDefault="009D0949">
            <w:pPr>
              <w:spacing w:after="0" w:line="259" w:lineRule="auto"/>
              <w:ind w:left="0" w:right="33" w:firstLine="0"/>
              <w:jc w:val="center"/>
            </w:pPr>
            <w:r>
              <w:rPr>
                <w:sz w:val="16"/>
              </w:rPr>
              <w:t xml:space="preserve">209,1 </w:t>
            </w:r>
          </w:p>
        </w:tc>
        <w:tc>
          <w:tcPr>
            <w:tcW w:w="1431" w:type="dxa"/>
            <w:tcBorders>
              <w:top w:val="nil"/>
              <w:left w:val="nil"/>
              <w:bottom w:val="nil"/>
              <w:right w:val="nil"/>
            </w:tcBorders>
          </w:tcPr>
          <w:p w:rsidR="00E8309B" w:rsidRDefault="009D0949">
            <w:pPr>
              <w:spacing w:after="0" w:line="259" w:lineRule="auto"/>
              <w:ind w:left="238" w:right="0" w:firstLine="0"/>
              <w:jc w:val="left"/>
            </w:pPr>
            <w:r>
              <w:rPr>
                <w:sz w:val="16"/>
              </w:rPr>
              <w:t xml:space="preserve">201,1 </w:t>
            </w:r>
          </w:p>
        </w:tc>
        <w:tc>
          <w:tcPr>
            <w:tcW w:w="1320" w:type="dxa"/>
            <w:tcBorders>
              <w:top w:val="nil"/>
              <w:left w:val="nil"/>
              <w:bottom w:val="nil"/>
              <w:right w:val="nil"/>
            </w:tcBorders>
          </w:tcPr>
          <w:p w:rsidR="00E8309B" w:rsidRDefault="009D0949">
            <w:pPr>
              <w:spacing w:after="0" w:line="259" w:lineRule="auto"/>
              <w:ind w:left="343" w:right="0" w:firstLine="0"/>
              <w:jc w:val="left"/>
            </w:pPr>
            <w:r>
              <w:rPr>
                <w:sz w:val="16"/>
              </w:rPr>
              <w:t xml:space="preserve">113,2 </w:t>
            </w:r>
          </w:p>
        </w:tc>
      </w:tr>
      <w:tr w:rsidR="00E8309B">
        <w:trPr>
          <w:trHeight w:val="184"/>
        </w:trPr>
        <w:tc>
          <w:tcPr>
            <w:tcW w:w="3385" w:type="dxa"/>
            <w:tcBorders>
              <w:top w:val="nil"/>
              <w:left w:val="nil"/>
              <w:bottom w:val="nil"/>
              <w:right w:val="nil"/>
            </w:tcBorders>
          </w:tcPr>
          <w:p w:rsidR="00E8309B" w:rsidRDefault="009D0949">
            <w:pPr>
              <w:spacing w:after="0" w:line="259" w:lineRule="auto"/>
              <w:ind w:left="108" w:right="0" w:firstLine="0"/>
              <w:jc w:val="left"/>
            </w:pPr>
            <w:r>
              <w:rPr>
                <w:sz w:val="16"/>
              </w:rPr>
              <w:t xml:space="preserve">Социјална помоћ и трансфери </w:t>
            </w:r>
          </w:p>
        </w:tc>
        <w:tc>
          <w:tcPr>
            <w:tcW w:w="1536" w:type="dxa"/>
            <w:tcBorders>
              <w:top w:val="nil"/>
              <w:left w:val="nil"/>
              <w:bottom w:val="nil"/>
              <w:right w:val="nil"/>
            </w:tcBorders>
          </w:tcPr>
          <w:p w:rsidR="00E8309B" w:rsidRDefault="009D0949">
            <w:pPr>
              <w:spacing w:after="0" w:line="259" w:lineRule="auto"/>
              <w:ind w:left="178" w:right="0" w:firstLine="0"/>
              <w:jc w:val="center"/>
            </w:pPr>
            <w:r>
              <w:rPr>
                <w:sz w:val="16"/>
              </w:rPr>
              <w:t xml:space="preserve">577,8 </w:t>
            </w:r>
          </w:p>
        </w:tc>
        <w:tc>
          <w:tcPr>
            <w:tcW w:w="1752" w:type="dxa"/>
            <w:tcBorders>
              <w:top w:val="nil"/>
              <w:left w:val="nil"/>
              <w:bottom w:val="nil"/>
              <w:right w:val="nil"/>
            </w:tcBorders>
          </w:tcPr>
          <w:p w:rsidR="00E8309B" w:rsidRDefault="009D0949">
            <w:pPr>
              <w:spacing w:after="0" w:line="259" w:lineRule="auto"/>
              <w:ind w:left="0" w:right="33" w:firstLine="0"/>
              <w:jc w:val="center"/>
            </w:pPr>
            <w:r>
              <w:rPr>
                <w:sz w:val="16"/>
              </w:rPr>
              <w:t xml:space="preserve">593,8 </w:t>
            </w:r>
          </w:p>
        </w:tc>
        <w:tc>
          <w:tcPr>
            <w:tcW w:w="1431" w:type="dxa"/>
            <w:tcBorders>
              <w:top w:val="nil"/>
              <w:left w:val="nil"/>
              <w:bottom w:val="nil"/>
              <w:right w:val="nil"/>
            </w:tcBorders>
          </w:tcPr>
          <w:p w:rsidR="00E8309B" w:rsidRDefault="009D0949">
            <w:pPr>
              <w:spacing w:after="0" w:line="259" w:lineRule="auto"/>
              <w:ind w:left="398" w:right="0" w:firstLine="0"/>
              <w:jc w:val="left"/>
            </w:pPr>
            <w:r>
              <w:rPr>
                <w:sz w:val="16"/>
              </w:rPr>
              <w:t xml:space="preserve">2,8 </w:t>
            </w:r>
          </w:p>
        </w:tc>
        <w:tc>
          <w:tcPr>
            <w:tcW w:w="1320" w:type="dxa"/>
            <w:tcBorders>
              <w:top w:val="nil"/>
              <w:left w:val="nil"/>
              <w:bottom w:val="nil"/>
              <w:right w:val="nil"/>
            </w:tcBorders>
          </w:tcPr>
          <w:p w:rsidR="00E8309B" w:rsidRDefault="009D0949">
            <w:pPr>
              <w:spacing w:after="0" w:line="259" w:lineRule="auto"/>
              <w:ind w:left="3" w:right="0" w:firstLine="0"/>
              <w:jc w:val="center"/>
            </w:pPr>
            <w:r>
              <w:rPr>
                <w:sz w:val="16"/>
              </w:rPr>
              <w:t xml:space="preserve">3,9 </w:t>
            </w:r>
          </w:p>
        </w:tc>
      </w:tr>
      <w:tr w:rsidR="00E8309B">
        <w:trPr>
          <w:trHeight w:val="185"/>
        </w:trPr>
        <w:tc>
          <w:tcPr>
            <w:tcW w:w="3385" w:type="dxa"/>
            <w:tcBorders>
              <w:top w:val="nil"/>
              <w:left w:val="nil"/>
              <w:bottom w:val="nil"/>
              <w:right w:val="nil"/>
            </w:tcBorders>
          </w:tcPr>
          <w:p w:rsidR="00E8309B" w:rsidRDefault="009D0949">
            <w:pPr>
              <w:spacing w:after="0" w:line="259" w:lineRule="auto"/>
              <w:ind w:left="108" w:right="0" w:firstLine="0"/>
              <w:jc w:val="left"/>
            </w:pPr>
            <w:r>
              <w:rPr>
                <w:sz w:val="16"/>
              </w:rPr>
              <w:t xml:space="preserve">од чега пензије </w:t>
            </w:r>
          </w:p>
        </w:tc>
        <w:tc>
          <w:tcPr>
            <w:tcW w:w="1536" w:type="dxa"/>
            <w:tcBorders>
              <w:top w:val="nil"/>
              <w:left w:val="nil"/>
              <w:bottom w:val="nil"/>
              <w:right w:val="nil"/>
            </w:tcBorders>
          </w:tcPr>
          <w:p w:rsidR="00E8309B" w:rsidRDefault="009D0949">
            <w:pPr>
              <w:spacing w:after="0" w:line="259" w:lineRule="auto"/>
              <w:ind w:left="178" w:right="0" w:firstLine="0"/>
              <w:jc w:val="center"/>
            </w:pPr>
            <w:r>
              <w:rPr>
                <w:sz w:val="16"/>
              </w:rPr>
              <w:t xml:space="preserve">419,9 </w:t>
            </w:r>
          </w:p>
        </w:tc>
        <w:tc>
          <w:tcPr>
            <w:tcW w:w="1752" w:type="dxa"/>
            <w:tcBorders>
              <w:top w:val="nil"/>
              <w:left w:val="nil"/>
              <w:bottom w:val="nil"/>
              <w:right w:val="nil"/>
            </w:tcBorders>
          </w:tcPr>
          <w:p w:rsidR="00E8309B" w:rsidRDefault="009D0949">
            <w:pPr>
              <w:spacing w:after="0" w:line="259" w:lineRule="auto"/>
              <w:ind w:left="0" w:right="33" w:firstLine="0"/>
              <w:jc w:val="center"/>
            </w:pPr>
            <w:r>
              <w:rPr>
                <w:sz w:val="16"/>
              </w:rPr>
              <w:t xml:space="preserve">437,3 </w:t>
            </w:r>
          </w:p>
        </w:tc>
        <w:tc>
          <w:tcPr>
            <w:tcW w:w="1431" w:type="dxa"/>
            <w:tcBorders>
              <w:top w:val="nil"/>
              <w:left w:val="nil"/>
              <w:bottom w:val="nil"/>
              <w:right w:val="nil"/>
            </w:tcBorders>
          </w:tcPr>
          <w:p w:rsidR="00E8309B" w:rsidRDefault="009D0949">
            <w:pPr>
              <w:spacing w:after="0" w:line="259" w:lineRule="auto"/>
              <w:ind w:left="398" w:right="0" w:firstLine="0"/>
              <w:jc w:val="left"/>
            </w:pPr>
            <w:r>
              <w:rPr>
                <w:sz w:val="16"/>
              </w:rPr>
              <w:t xml:space="preserve">4,2 </w:t>
            </w:r>
          </w:p>
        </w:tc>
        <w:tc>
          <w:tcPr>
            <w:tcW w:w="1320" w:type="dxa"/>
            <w:tcBorders>
              <w:top w:val="nil"/>
              <w:left w:val="nil"/>
              <w:bottom w:val="nil"/>
              <w:right w:val="nil"/>
            </w:tcBorders>
          </w:tcPr>
          <w:p w:rsidR="00E8309B" w:rsidRDefault="009D0949">
            <w:pPr>
              <w:spacing w:after="0" w:line="259" w:lineRule="auto"/>
              <w:ind w:left="3" w:right="0" w:firstLine="0"/>
              <w:jc w:val="center"/>
            </w:pPr>
            <w:r>
              <w:rPr>
                <w:sz w:val="16"/>
              </w:rPr>
              <w:t xml:space="preserve">4,8 </w:t>
            </w:r>
          </w:p>
        </w:tc>
      </w:tr>
      <w:tr w:rsidR="00E8309B">
        <w:trPr>
          <w:trHeight w:val="184"/>
        </w:trPr>
        <w:tc>
          <w:tcPr>
            <w:tcW w:w="3385" w:type="dxa"/>
            <w:tcBorders>
              <w:top w:val="nil"/>
              <w:left w:val="nil"/>
              <w:bottom w:val="nil"/>
              <w:right w:val="nil"/>
            </w:tcBorders>
          </w:tcPr>
          <w:p w:rsidR="00E8309B" w:rsidRDefault="009D0949">
            <w:pPr>
              <w:spacing w:after="0" w:line="259" w:lineRule="auto"/>
              <w:ind w:left="108" w:right="0" w:firstLine="0"/>
              <w:jc w:val="left"/>
            </w:pPr>
            <w:r>
              <w:rPr>
                <w:sz w:val="16"/>
              </w:rPr>
              <w:t xml:space="preserve">Остали текући расходи </w:t>
            </w:r>
          </w:p>
        </w:tc>
        <w:tc>
          <w:tcPr>
            <w:tcW w:w="1536" w:type="dxa"/>
            <w:tcBorders>
              <w:top w:val="nil"/>
              <w:left w:val="nil"/>
              <w:bottom w:val="nil"/>
              <w:right w:val="nil"/>
            </w:tcBorders>
          </w:tcPr>
          <w:p w:rsidR="00E8309B" w:rsidRDefault="009D0949">
            <w:pPr>
              <w:spacing w:after="0" w:line="259" w:lineRule="auto"/>
              <w:ind w:left="257" w:right="0" w:firstLine="0"/>
              <w:jc w:val="center"/>
            </w:pPr>
            <w:r>
              <w:rPr>
                <w:sz w:val="16"/>
              </w:rPr>
              <w:t xml:space="preserve">60,7 </w:t>
            </w:r>
          </w:p>
        </w:tc>
        <w:tc>
          <w:tcPr>
            <w:tcW w:w="1752" w:type="dxa"/>
            <w:tcBorders>
              <w:top w:val="nil"/>
              <w:left w:val="nil"/>
              <w:bottom w:val="nil"/>
              <w:right w:val="nil"/>
            </w:tcBorders>
          </w:tcPr>
          <w:p w:rsidR="00E8309B" w:rsidRDefault="009D0949">
            <w:pPr>
              <w:spacing w:after="0" w:line="259" w:lineRule="auto"/>
              <w:ind w:left="0" w:right="33" w:firstLine="0"/>
              <w:jc w:val="center"/>
            </w:pPr>
            <w:r>
              <w:rPr>
                <w:sz w:val="16"/>
              </w:rPr>
              <w:t xml:space="preserve">136,7 </w:t>
            </w:r>
          </w:p>
        </w:tc>
        <w:tc>
          <w:tcPr>
            <w:tcW w:w="1431" w:type="dxa"/>
            <w:tcBorders>
              <w:top w:val="nil"/>
              <w:left w:val="nil"/>
              <w:bottom w:val="nil"/>
              <w:right w:val="nil"/>
            </w:tcBorders>
          </w:tcPr>
          <w:p w:rsidR="00E8309B" w:rsidRDefault="009D0949">
            <w:pPr>
              <w:spacing w:after="0" w:line="259" w:lineRule="auto"/>
              <w:ind w:left="238" w:right="0" w:firstLine="0"/>
              <w:jc w:val="left"/>
            </w:pPr>
            <w:r>
              <w:rPr>
                <w:sz w:val="16"/>
              </w:rPr>
              <w:t xml:space="preserve">125,1 </w:t>
            </w:r>
          </w:p>
        </w:tc>
        <w:tc>
          <w:tcPr>
            <w:tcW w:w="1320" w:type="dxa"/>
            <w:tcBorders>
              <w:top w:val="nil"/>
              <w:left w:val="nil"/>
              <w:bottom w:val="nil"/>
              <w:right w:val="nil"/>
            </w:tcBorders>
          </w:tcPr>
          <w:p w:rsidR="00E8309B" w:rsidRDefault="009D0949">
            <w:pPr>
              <w:spacing w:after="0" w:line="259" w:lineRule="auto"/>
              <w:ind w:left="422" w:right="0" w:firstLine="0"/>
              <w:jc w:val="left"/>
            </w:pPr>
            <w:r>
              <w:rPr>
                <w:sz w:val="16"/>
              </w:rPr>
              <w:t xml:space="preserve">80,6 </w:t>
            </w:r>
          </w:p>
        </w:tc>
      </w:tr>
      <w:tr w:rsidR="00E8309B">
        <w:trPr>
          <w:trHeight w:val="184"/>
        </w:trPr>
        <w:tc>
          <w:tcPr>
            <w:tcW w:w="3385" w:type="dxa"/>
            <w:tcBorders>
              <w:top w:val="nil"/>
              <w:left w:val="nil"/>
              <w:bottom w:val="nil"/>
              <w:right w:val="nil"/>
            </w:tcBorders>
          </w:tcPr>
          <w:p w:rsidR="00E8309B" w:rsidRDefault="009D0949">
            <w:pPr>
              <w:spacing w:after="0" w:line="259" w:lineRule="auto"/>
              <w:ind w:left="108" w:right="0" w:firstLine="0"/>
              <w:jc w:val="left"/>
            </w:pPr>
            <w:r>
              <w:rPr>
                <w:sz w:val="16"/>
              </w:rPr>
              <w:t xml:space="preserve">Капитални расходи </w:t>
            </w:r>
          </w:p>
        </w:tc>
        <w:tc>
          <w:tcPr>
            <w:tcW w:w="1536" w:type="dxa"/>
            <w:tcBorders>
              <w:top w:val="nil"/>
              <w:left w:val="nil"/>
              <w:bottom w:val="nil"/>
              <w:right w:val="nil"/>
            </w:tcBorders>
          </w:tcPr>
          <w:p w:rsidR="00E8309B" w:rsidRDefault="009D0949">
            <w:pPr>
              <w:spacing w:after="0" w:line="259" w:lineRule="auto"/>
              <w:ind w:left="178" w:right="0" w:firstLine="0"/>
              <w:jc w:val="center"/>
            </w:pPr>
            <w:r>
              <w:rPr>
                <w:sz w:val="16"/>
              </w:rPr>
              <w:t xml:space="preserve">152,4 </w:t>
            </w:r>
          </w:p>
        </w:tc>
        <w:tc>
          <w:tcPr>
            <w:tcW w:w="1752" w:type="dxa"/>
            <w:tcBorders>
              <w:top w:val="nil"/>
              <w:left w:val="nil"/>
              <w:bottom w:val="nil"/>
              <w:right w:val="nil"/>
            </w:tcBorders>
          </w:tcPr>
          <w:p w:rsidR="00E8309B" w:rsidRDefault="009D0949">
            <w:pPr>
              <w:spacing w:after="0" w:line="259" w:lineRule="auto"/>
              <w:ind w:left="0" w:right="33" w:firstLine="0"/>
              <w:jc w:val="center"/>
            </w:pPr>
            <w:r>
              <w:rPr>
                <w:sz w:val="16"/>
              </w:rPr>
              <w:t xml:space="preserve">174,7 </w:t>
            </w:r>
          </w:p>
        </w:tc>
        <w:tc>
          <w:tcPr>
            <w:tcW w:w="1431" w:type="dxa"/>
            <w:tcBorders>
              <w:top w:val="nil"/>
              <w:left w:val="nil"/>
              <w:bottom w:val="nil"/>
              <w:right w:val="nil"/>
            </w:tcBorders>
          </w:tcPr>
          <w:p w:rsidR="00E8309B" w:rsidRDefault="009D0949">
            <w:pPr>
              <w:spacing w:after="0" w:line="259" w:lineRule="auto"/>
              <w:ind w:left="317" w:right="0" w:firstLine="0"/>
              <w:jc w:val="left"/>
            </w:pPr>
            <w:r>
              <w:rPr>
                <w:sz w:val="16"/>
              </w:rPr>
              <w:t xml:space="preserve">14,6 </w:t>
            </w:r>
          </w:p>
        </w:tc>
        <w:tc>
          <w:tcPr>
            <w:tcW w:w="1320" w:type="dxa"/>
            <w:tcBorders>
              <w:top w:val="nil"/>
              <w:left w:val="nil"/>
              <w:bottom w:val="nil"/>
              <w:right w:val="nil"/>
            </w:tcBorders>
          </w:tcPr>
          <w:p w:rsidR="00E8309B" w:rsidRDefault="009D0949">
            <w:pPr>
              <w:spacing w:after="0" w:line="259" w:lineRule="auto"/>
              <w:ind w:left="3" w:right="0" w:firstLine="0"/>
              <w:jc w:val="center"/>
            </w:pPr>
            <w:r>
              <w:rPr>
                <w:sz w:val="16"/>
              </w:rPr>
              <w:t xml:space="preserve">7,6 </w:t>
            </w:r>
          </w:p>
        </w:tc>
      </w:tr>
      <w:tr w:rsidR="00E8309B">
        <w:trPr>
          <w:trHeight w:val="185"/>
        </w:trPr>
        <w:tc>
          <w:tcPr>
            <w:tcW w:w="3385" w:type="dxa"/>
            <w:tcBorders>
              <w:top w:val="nil"/>
              <w:left w:val="nil"/>
              <w:bottom w:val="nil"/>
              <w:right w:val="nil"/>
            </w:tcBorders>
          </w:tcPr>
          <w:p w:rsidR="00E8309B" w:rsidRDefault="009D0949">
            <w:pPr>
              <w:spacing w:after="0" w:line="259" w:lineRule="auto"/>
              <w:ind w:left="108" w:right="0" w:firstLine="0"/>
              <w:jc w:val="left"/>
            </w:pPr>
            <w:r>
              <w:rPr>
                <w:sz w:val="16"/>
              </w:rPr>
              <w:t xml:space="preserve">Нето буџетске позајмице </w:t>
            </w:r>
          </w:p>
        </w:tc>
        <w:tc>
          <w:tcPr>
            <w:tcW w:w="1536" w:type="dxa"/>
            <w:tcBorders>
              <w:top w:val="nil"/>
              <w:left w:val="nil"/>
              <w:bottom w:val="nil"/>
              <w:right w:val="nil"/>
            </w:tcBorders>
          </w:tcPr>
          <w:p w:rsidR="00E8309B" w:rsidRDefault="009D0949">
            <w:pPr>
              <w:spacing w:after="0" w:line="259" w:lineRule="auto"/>
              <w:ind w:left="339" w:right="0" w:firstLine="0"/>
              <w:jc w:val="center"/>
            </w:pPr>
            <w:r>
              <w:rPr>
                <w:sz w:val="16"/>
              </w:rPr>
              <w:t xml:space="preserve">4,6 </w:t>
            </w:r>
          </w:p>
        </w:tc>
        <w:tc>
          <w:tcPr>
            <w:tcW w:w="1752" w:type="dxa"/>
            <w:tcBorders>
              <w:top w:val="nil"/>
              <w:left w:val="nil"/>
              <w:bottom w:val="nil"/>
              <w:right w:val="nil"/>
            </w:tcBorders>
          </w:tcPr>
          <w:p w:rsidR="00E8309B" w:rsidRDefault="009D0949">
            <w:pPr>
              <w:spacing w:after="0" w:line="259" w:lineRule="auto"/>
              <w:ind w:left="47" w:right="0" w:firstLine="0"/>
              <w:jc w:val="center"/>
            </w:pPr>
            <w:r>
              <w:rPr>
                <w:sz w:val="16"/>
              </w:rPr>
              <w:t xml:space="preserve">22,5 </w:t>
            </w:r>
          </w:p>
        </w:tc>
        <w:tc>
          <w:tcPr>
            <w:tcW w:w="1431" w:type="dxa"/>
            <w:tcBorders>
              <w:top w:val="nil"/>
              <w:left w:val="nil"/>
              <w:bottom w:val="nil"/>
              <w:right w:val="nil"/>
            </w:tcBorders>
          </w:tcPr>
          <w:p w:rsidR="00E8309B" w:rsidRDefault="009D0949">
            <w:pPr>
              <w:spacing w:after="0" w:line="259" w:lineRule="auto"/>
              <w:ind w:left="238" w:right="0" w:firstLine="0"/>
              <w:jc w:val="left"/>
            </w:pPr>
            <w:r>
              <w:rPr>
                <w:sz w:val="16"/>
              </w:rPr>
              <w:t xml:space="preserve">386,9 </w:t>
            </w:r>
          </w:p>
        </w:tc>
        <w:tc>
          <w:tcPr>
            <w:tcW w:w="1320" w:type="dxa"/>
            <w:tcBorders>
              <w:top w:val="nil"/>
              <w:left w:val="nil"/>
              <w:bottom w:val="nil"/>
              <w:right w:val="nil"/>
            </w:tcBorders>
          </w:tcPr>
          <w:p w:rsidR="00E8309B" w:rsidRDefault="009D0949">
            <w:pPr>
              <w:spacing w:after="0" w:line="259" w:lineRule="auto"/>
              <w:ind w:left="343" w:right="0" w:firstLine="0"/>
              <w:jc w:val="left"/>
            </w:pPr>
            <w:r>
              <w:rPr>
                <w:sz w:val="16"/>
              </w:rPr>
              <w:t xml:space="preserve">284,8 </w:t>
            </w:r>
          </w:p>
        </w:tc>
      </w:tr>
      <w:tr w:rsidR="00E8309B">
        <w:trPr>
          <w:trHeight w:val="185"/>
        </w:trPr>
        <w:tc>
          <w:tcPr>
            <w:tcW w:w="3385" w:type="dxa"/>
            <w:tcBorders>
              <w:top w:val="nil"/>
              <w:left w:val="nil"/>
              <w:bottom w:val="nil"/>
              <w:right w:val="nil"/>
            </w:tcBorders>
          </w:tcPr>
          <w:p w:rsidR="00E8309B" w:rsidRDefault="009D0949">
            <w:pPr>
              <w:spacing w:after="0" w:line="259" w:lineRule="auto"/>
              <w:ind w:left="108" w:right="0" w:firstLine="0"/>
              <w:jc w:val="left"/>
            </w:pPr>
            <w:r>
              <w:rPr>
                <w:sz w:val="16"/>
              </w:rPr>
              <w:t xml:space="preserve">Активиране гаранције </w:t>
            </w:r>
          </w:p>
        </w:tc>
        <w:tc>
          <w:tcPr>
            <w:tcW w:w="1536" w:type="dxa"/>
            <w:tcBorders>
              <w:top w:val="nil"/>
              <w:left w:val="nil"/>
              <w:bottom w:val="nil"/>
              <w:right w:val="nil"/>
            </w:tcBorders>
          </w:tcPr>
          <w:p w:rsidR="00E8309B" w:rsidRDefault="009D0949">
            <w:pPr>
              <w:spacing w:after="0" w:line="259" w:lineRule="auto"/>
              <w:ind w:left="339" w:right="0" w:firstLine="0"/>
              <w:jc w:val="center"/>
            </w:pPr>
            <w:r>
              <w:rPr>
                <w:sz w:val="16"/>
              </w:rPr>
              <w:t xml:space="preserve">8,6 </w:t>
            </w:r>
          </w:p>
        </w:tc>
        <w:tc>
          <w:tcPr>
            <w:tcW w:w="1752" w:type="dxa"/>
            <w:tcBorders>
              <w:top w:val="nil"/>
              <w:left w:val="nil"/>
              <w:bottom w:val="nil"/>
              <w:right w:val="nil"/>
            </w:tcBorders>
          </w:tcPr>
          <w:p w:rsidR="00E8309B" w:rsidRDefault="009D0949">
            <w:pPr>
              <w:spacing w:after="0" w:line="259" w:lineRule="auto"/>
              <w:ind w:left="128" w:right="0" w:firstLine="0"/>
              <w:jc w:val="center"/>
            </w:pPr>
            <w:r>
              <w:rPr>
                <w:sz w:val="16"/>
              </w:rPr>
              <w:t xml:space="preserve">5,7 </w:t>
            </w:r>
          </w:p>
        </w:tc>
        <w:tc>
          <w:tcPr>
            <w:tcW w:w="1431" w:type="dxa"/>
            <w:tcBorders>
              <w:top w:val="nil"/>
              <w:left w:val="nil"/>
              <w:bottom w:val="nil"/>
              <w:right w:val="nil"/>
            </w:tcBorders>
          </w:tcPr>
          <w:p w:rsidR="00E8309B" w:rsidRDefault="009D0949">
            <w:pPr>
              <w:spacing w:after="0" w:line="259" w:lineRule="auto"/>
              <w:ind w:left="264" w:right="0" w:firstLine="0"/>
              <w:jc w:val="left"/>
            </w:pPr>
            <w:r>
              <w:rPr>
                <w:sz w:val="16"/>
              </w:rPr>
              <w:t xml:space="preserve">-34,2 </w:t>
            </w:r>
          </w:p>
        </w:tc>
        <w:tc>
          <w:tcPr>
            <w:tcW w:w="1320" w:type="dxa"/>
            <w:tcBorders>
              <w:top w:val="nil"/>
              <w:left w:val="nil"/>
              <w:bottom w:val="nil"/>
              <w:right w:val="nil"/>
            </w:tcBorders>
          </w:tcPr>
          <w:p w:rsidR="00E8309B" w:rsidRDefault="009D0949">
            <w:pPr>
              <w:spacing w:after="0" w:line="259" w:lineRule="auto"/>
              <w:ind w:left="370" w:right="0" w:firstLine="0"/>
              <w:jc w:val="left"/>
            </w:pPr>
            <w:r>
              <w:rPr>
                <w:sz w:val="16"/>
              </w:rPr>
              <w:t xml:space="preserve">-27 ,7 </w:t>
            </w:r>
          </w:p>
        </w:tc>
      </w:tr>
      <w:tr w:rsidR="00E8309B">
        <w:trPr>
          <w:trHeight w:val="186"/>
        </w:trPr>
        <w:tc>
          <w:tcPr>
            <w:tcW w:w="3385" w:type="dxa"/>
            <w:tcBorders>
              <w:top w:val="nil"/>
              <w:left w:val="nil"/>
              <w:bottom w:val="single" w:sz="4" w:space="0" w:color="002060"/>
              <w:right w:val="nil"/>
            </w:tcBorders>
            <w:shd w:val="clear" w:color="auto" w:fill="E7E6E6"/>
          </w:tcPr>
          <w:p w:rsidR="00E8309B" w:rsidRDefault="009D0949">
            <w:pPr>
              <w:spacing w:after="0" w:line="259" w:lineRule="auto"/>
              <w:ind w:left="108" w:right="0" w:firstLine="0"/>
              <w:jc w:val="left"/>
            </w:pPr>
            <w:r>
              <w:rPr>
                <w:sz w:val="16"/>
              </w:rPr>
              <w:t xml:space="preserve">Фискални резултат </w:t>
            </w:r>
          </w:p>
        </w:tc>
        <w:tc>
          <w:tcPr>
            <w:tcW w:w="1536" w:type="dxa"/>
            <w:tcBorders>
              <w:top w:val="nil"/>
              <w:left w:val="nil"/>
              <w:bottom w:val="single" w:sz="4" w:space="0" w:color="002060"/>
              <w:right w:val="nil"/>
            </w:tcBorders>
            <w:shd w:val="clear" w:color="auto" w:fill="E7E6E6"/>
          </w:tcPr>
          <w:p w:rsidR="00E8309B" w:rsidRDefault="009D0949">
            <w:pPr>
              <w:spacing w:after="0" w:line="259" w:lineRule="auto"/>
              <w:ind w:left="257" w:right="0" w:firstLine="0"/>
              <w:jc w:val="center"/>
            </w:pPr>
            <w:r>
              <w:rPr>
                <w:sz w:val="16"/>
              </w:rPr>
              <w:t xml:space="preserve">35,1 </w:t>
            </w:r>
          </w:p>
        </w:tc>
        <w:tc>
          <w:tcPr>
            <w:tcW w:w="1752" w:type="dxa"/>
            <w:tcBorders>
              <w:top w:val="nil"/>
              <w:left w:val="nil"/>
              <w:bottom w:val="single" w:sz="4" w:space="0" w:color="002060"/>
              <w:right w:val="nil"/>
            </w:tcBorders>
            <w:shd w:val="clear" w:color="auto" w:fill="E7E6E6"/>
          </w:tcPr>
          <w:p w:rsidR="00E8309B" w:rsidRDefault="009D0949">
            <w:pPr>
              <w:spacing w:after="0" w:line="259" w:lineRule="auto"/>
              <w:ind w:left="0" w:right="86" w:firstLine="0"/>
              <w:jc w:val="center"/>
            </w:pPr>
            <w:r>
              <w:rPr>
                <w:sz w:val="16"/>
              </w:rPr>
              <w:t xml:space="preserve">-360,8 </w:t>
            </w:r>
          </w:p>
        </w:tc>
        <w:tc>
          <w:tcPr>
            <w:tcW w:w="1431" w:type="dxa"/>
            <w:tcBorders>
              <w:top w:val="nil"/>
              <w:left w:val="nil"/>
              <w:bottom w:val="single" w:sz="4" w:space="0" w:color="002060"/>
              <w:right w:val="nil"/>
            </w:tcBorders>
            <w:shd w:val="clear" w:color="auto" w:fill="E7E6E6"/>
          </w:tcPr>
          <w:p w:rsidR="00E8309B" w:rsidRDefault="009D0949">
            <w:pPr>
              <w:spacing w:after="0" w:line="259" w:lineRule="auto"/>
              <w:ind w:left="370" w:right="0" w:firstLine="0"/>
              <w:jc w:val="left"/>
            </w:pPr>
            <w:r>
              <w:rPr>
                <w:sz w:val="16"/>
              </w:rPr>
              <w:t xml:space="preserve"> </w:t>
            </w:r>
          </w:p>
        </w:tc>
        <w:tc>
          <w:tcPr>
            <w:tcW w:w="1320" w:type="dxa"/>
            <w:tcBorders>
              <w:top w:val="nil"/>
              <w:left w:val="nil"/>
              <w:bottom w:val="single" w:sz="4" w:space="0" w:color="002060"/>
              <w:right w:val="nil"/>
            </w:tcBorders>
            <w:shd w:val="clear" w:color="auto" w:fill="E7E6E6"/>
          </w:tcPr>
          <w:p w:rsidR="00E8309B" w:rsidRDefault="00E8309B">
            <w:pPr>
              <w:spacing w:after="160" w:line="259" w:lineRule="auto"/>
              <w:ind w:left="0" w:right="0" w:firstLine="0"/>
              <w:jc w:val="left"/>
            </w:pPr>
          </w:p>
        </w:tc>
      </w:tr>
    </w:tbl>
    <w:p w:rsidR="00E8309B" w:rsidRDefault="009D0949">
      <w:pPr>
        <w:spacing w:after="170" w:line="269" w:lineRule="auto"/>
        <w:ind w:left="-5" w:right="53"/>
        <w:jc w:val="left"/>
      </w:pPr>
      <w:r>
        <w:rPr>
          <w:sz w:val="16"/>
        </w:rPr>
        <w:t xml:space="preserve">Извор: Министарство финансија </w:t>
      </w:r>
    </w:p>
    <w:p w:rsidR="00E8309B" w:rsidRDefault="009D0949">
      <w:pPr>
        <w:spacing w:after="103"/>
        <w:ind w:left="-5" w:right="17"/>
      </w:pPr>
      <w:r>
        <w:t>Стање доцњи (преко 60 дана кашњења)* буџетских корисника и организација обавезног социјалног осигурања последњег дана септембра 2020. године износило је 6,7 млрд динара (око 0,05% БДП), и повећано је у односу на крај 2019. године за 0,9 млрд динара. Корисн</w:t>
      </w:r>
      <w:r>
        <w:t xml:space="preserve">ици буџета и ЈП „Путеви Србије” креирали су доцње у плаћању од 5,3 млрд динара, док је стање доцњи организација обавезног социјалног осигурања 1,4 млрд динара. </w:t>
      </w:r>
    </w:p>
    <w:p w:rsidR="00E8309B" w:rsidRDefault="009D0949">
      <w:pPr>
        <w:spacing w:after="0"/>
        <w:ind w:left="-5" w:right="17"/>
      </w:pPr>
      <w:r>
        <w:t>Табела 7. Стање доцњи буџетских корисника и ООСО, 2019. и јануар–септембар 2020. године, у млрд</w:t>
      </w:r>
      <w:r>
        <w:t xml:space="preserve"> динара</w:t>
      </w:r>
      <w:r>
        <w:rPr>
          <w:sz w:val="18"/>
        </w:rPr>
        <w:t xml:space="preserve"> </w:t>
      </w:r>
    </w:p>
    <w:p w:rsidR="00E8309B" w:rsidRDefault="009D0949">
      <w:pPr>
        <w:spacing w:after="0" w:line="259" w:lineRule="auto"/>
        <w:ind w:left="108" w:right="0" w:firstLine="0"/>
        <w:jc w:val="left"/>
      </w:pPr>
      <w:r>
        <w:rPr>
          <w:color w:val="474747"/>
          <w:sz w:val="18"/>
        </w:rPr>
        <w:t xml:space="preserve"> </w:t>
      </w:r>
    </w:p>
    <w:tbl>
      <w:tblPr>
        <w:tblStyle w:val="TableGrid"/>
        <w:tblW w:w="9422" w:type="dxa"/>
        <w:tblInd w:w="-15" w:type="dxa"/>
        <w:tblCellMar>
          <w:top w:w="17" w:type="dxa"/>
          <w:left w:w="0" w:type="dxa"/>
          <w:bottom w:w="0" w:type="dxa"/>
          <w:right w:w="115" w:type="dxa"/>
        </w:tblCellMar>
        <w:tblLook w:val="04A0" w:firstRow="1" w:lastRow="0" w:firstColumn="1" w:lastColumn="0" w:noHBand="0" w:noVBand="1"/>
      </w:tblPr>
      <w:tblGrid>
        <w:gridCol w:w="6150"/>
        <w:gridCol w:w="1897"/>
        <w:gridCol w:w="1375"/>
      </w:tblGrid>
      <w:tr w:rsidR="00E8309B">
        <w:trPr>
          <w:trHeight w:val="289"/>
        </w:trPr>
        <w:tc>
          <w:tcPr>
            <w:tcW w:w="6150" w:type="dxa"/>
            <w:tcBorders>
              <w:top w:val="single" w:sz="4" w:space="0" w:color="002060"/>
              <w:left w:val="nil"/>
              <w:bottom w:val="single" w:sz="4" w:space="0" w:color="002060"/>
              <w:right w:val="nil"/>
            </w:tcBorders>
          </w:tcPr>
          <w:p w:rsidR="00E8309B" w:rsidRDefault="00E8309B">
            <w:pPr>
              <w:spacing w:after="160" w:line="259" w:lineRule="auto"/>
              <w:ind w:left="0" w:right="0" w:firstLine="0"/>
              <w:jc w:val="left"/>
            </w:pPr>
          </w:p>
        </w:tc>
        <w:tc>
          <w:tcPr>
            <w:tcW w:w="1897" w:type="dxa"/>
            <w:tcBorders>
              <w:top w:val="single" w:sz="4" w:space="0" w:color="002060"/>
              <w:left w:val="nil"/>
              <w:bottom w:val="single" w:sz="4" w:space="0" w:color="002060"/>
              <w:right w:val="nil"/>
            </w:tcBorders>
          </w:tcPr>
          <w:p w:rsidR="00E8309B" w:rsidRDefault="009D0949">
            <w:pPr>
              <w:spacing w:after="0" w:line="259" w:lineRule="auto"/>
              <w:ind w:left="0" w:right="0" w:firstLine="0"/>
              <w:jc w:val="left"/>
            </w:pPr>
            <w:r>
              <w:rPr>
                <w:b/>
                <w:color w:val="474747"/>
                <w:sz w:val="18"/>
              </w:rPr>
              <w:t>31.12.2019.</w:t>
            </w:r>
            <w:r>
              <w:rPr>
                <w:color w:val="474747"/>
                <w:sz w:val="18"/>
              </w:rPr>
              <w:t xml:space="preserve"> </w:t>
            </w:r>
          </w:p>
        </w:tc>
        <w:tc>
          <w:tcPr>
            <w:tcW w:w="1375" w:type="dxa"/>
            <w:tcBorders>
              <w:top w:val="single" w:sz="4" w:space="0" w:color="002060"/>
              <w:left w:val="nil"/>
              <w:bottom w:val="single" w:sz="4" w:space="0" w:color="002060"/>
              <w:right w:val="nil"/>
            </w:tcBorders>
          </w:tcPr>
          <w:p w:rsidR="00E8309B" w:rsidRDefault="009D0949">
            <w:pPr>
              <w:spacing w:after="0" w:line="259" w:lineRule="auto"/>
              <w:ind w:left="0" w:right="0" w:firstLine="0"/>
              <w:jc w:val="left"/>
            </w:pPr>
            <w:r>
              <w:rPr>
                <w:b/>
                <w:color w:val="474747"/>
                <w:sz w:val="18"/>
              </w:rPr>
              <w:t>30.09.2020.</w:t>
            </w:r>
            <w:r>
              <w:rPr>
                <w:color w:val="474747"/>
                <w:sz w:val="18"/>
              </w:rPr>
              <w:t xml:space="preserve"> </w:t>
            </w:r>
          </w:p>
        </w:tc>
      </w:tr>
      <w:tr w:rsidR="00E8309B">
        <w:trPr>
          <w:trHeight w:val="251"/>
        </w:trPr>
        <w:tc>
          <w:tcPr>
            <w:tcW w:w="6150" w:type="dxa"/>
            <w:tcBorders>
              <w:top w:val="single" w:sz="4" w:space="0" w:color="002060"/>
              <w:left w:val="nil"/>
              <w:bottom w:val="nil"/>
              <w:right w:val="nil"/>
            </w:tcBorders>
          </w:tcPr>
          <w:p w:rsidR="00E8309B" w:rsidRDefault="009D0949">
            <w:pPr>
              <w:spacing w:after="0" w:line="259" w:lineRule="auto"/>
              <w:ind w:left="123" w:right="0" w:firstLine="0"/>
              <w:jc w:val="left"/>
            </w:pPr>
            <w:r>
              <w:rPr>
                <w:b/>
                <w:color w:val="474747"/>
                <w:sz w:val="18"/>
              </w:rPr>
              <w:t xml:space="preserve">Буџетски корисници и ЈП „Путеви Србијеˮ </w:t>
            </w:r>
            <w:r>
              <w:rPr>
                <w:color w:val="474747"/>
                <w:sz w:val="18"/>
              </w:rPr>
              <w:t xml:space="preserve"> </w:t>
            </w:r>
          </w:p>
        </w:tc>
        <w:tc>
          <w:tcPr>
            <w:tcW w:w="1897" w:type="dxa"/>
            <w:tcBorders>
              <w:top w:val="single" w:sz="4" w:space="0" w:color="002060"/>
              <w:left w:val="nil"/>
              <w:bottom w:val="nil"/>
              <w:right w:val="nil"/>
            </w:tcBorders>
          </w:tcPr>
          <w:p w:rsidR="00E8309B" w:rsidRDefault="009D0949">
            <w:pPr>
              <w:spacing w:after="0" w:line="259" w:lineRule="auto"/>
              <w:ind w:left="314" w:right="0" w:firstLine="0"/>
              <w:jc w:val="left"/>
            </w:pPr>
            <w:r>
              <w:rPr>
                <w:color w:val="474747"/>
                <w:sz w:val="18"/>
              </w:rPr>
              <w:t xml:space="preserve">4,4 </w:t>
            </w:r>
          </w:p>
        </w:tc>
        <w:tc>
          <w:tcPr>
            <w:tcW w:w="1375" w:type="dxa"/>
            <w:tcBorders>
              <w:top w:val="single" w:sz="4" w:space="0" w:color="002060"/>
              <w:left w:val="nil"/>
              <w:bottom w:val="nil"/>
              <w:right w:val="nil"/>
            </w:tcBorders>
          </w:tcPr>
          <w:p w:rsidR="00E8309B" w:rsidRDefault="009D0949">
            <w:pPr>
              <w:spacing w:after="0" w:line="259" w:lineRule="auto"/>
              <w:ind w:left="314" w:right="0" w:firstLine="0"/>
              <w:jc w:val="left"/>
            </w:pPr>
            <w:r>
              <w:rPr>
                <w:color w:val="474747"/>
                <w:sz w:val="18"/>
              </w:rPr>
              <w:t xml:space="preserve">5,3 </w:t>
            </w:r>
          </w:p>
        </w:tc>
      </w:tr>
      <w:tr w:rsidR="00E8309B">
        <w:trPr>
          <w:trHeight w:val="238"/>
        </w:trPr>
        <w:tc>
          <w:tcPr>
            <w:tcW w:w="6150" w:type="dxa"/>
            <w:tcBorders>
              <w:top w:val="nil"/>
              <w:left w:val="nil"/>
              <w:bottom w:val="nil"/>
              <w:right w:val="nil"/>
            </w:tcBorders>
          </w:tcPr>
          <w:p w:rsidR="00E8309B" w:rsidRDefault="009D0949">
            <w:pPr>
              <w:spacing w:after="0" w:line="259" w:lineRule="auto"/>
              <w:ind w:left="123" w:right="0" w:firstLine="0"/>
              <w:jc w:val="left"/>
            </w:pPr>
            <w:r>
              <w:rPr>
                <w:b/>
                <w:color w:val="474747"/>
                <w:sz w:val="18"/>
              </w:rPr>
              <w:t>ООСО</w:t>
            </w:r>
            <w:r>
              <w:rPr>
                <w:color w:val="474747"/>
                <w:sz w:val="18"/>
              </w:rPr>
              <w:t xml:space="preserve"> </w:t>
            </w:r>
          </w:p>
        </w:tc>
        <w:tc>
          <w:tcPr>
            <w:tcW w:w="1897" w:type="dxa"/>
            <w:tcBorders>
              <w:top w:val="nil"/>
              <w:left w:val="nil"/>
              <w:bottom w:val="nil"/>
              <w:right w:val="nil"/>
            </w:tcBorders>
          </w:tcPr>
          <w:p w:rsidR="00E8309B" w:rsidRDefault="009D0949">
            <w:pPr>
              <w:spacing w:after="0" w:line="259" w:lineRule="auto"/>
              <w:ind w:left="314" w:right="0" w:firstLine="0"/>
              <w:jc w:val="left"/>
            </w:pPr>
            <w:r>
              <w:rPr>
                <w:color w:val="474747"/>
                <w:sz w:val="18"/>
              </w:rPr>
              <w:t xml:space="preserve">1,4 </w:t>
            </w:r>
          </w:p>
        </w:tc>
        <w:tc>
          <w:tcPr>
            <w:tcW w:w="1375" w:type="dxa"/>
            <w:tcBorders>
              <w:top w:val="nil"/>
              <w:left w:val="nil"/>
              <w:bottom w:val="nil"/>
              <w:right w:val="nil"/>
            </w:tcBorders>
          </w:tcPr>
          <w:p w:rsidR="00E8309B" w:rsidRDefault="009D0949">
            <w:pPr>
              <w:spacing w:after="0" w:line="259" w:lineRule="auto"/>
              <w:ind w:left="314" w:right="0" w:firstLine="0"/>
              <w:jc w:val="left"/>
            </w:pPr>
            <w:r>
              <w:rPr>
                <w:color w:val="474747"/>
                <w:sz w:val="18"/>
              </w:rPr>
              <w:t xml:space="preserve">1,4 </w:t>
            </w:r>
          </w:p>
        </w:tc>
      </w:tr>
      <w:tr w:rsidR="00E8309B">
        <w:trPr>
          <w:trHeight w:val="242"/>
        </w:trPr>
        <w:tc>
          <w:tcPr>
            <w:tcW w:w="6150" w:type="dxa"/>
            <w:tcBorders>
              <w:top w:val="nil"/>
              <w:left w:val="nil"/>
              <w:bottom w:val="single" w:sz="4" w:space="0" w:color="002060"/>
              <w:right w:val="nil"/>
            </w:tcBorders>
          </w:tcPr>
          <w:p w:rsidR="00E8309B" w:rsidRDefault="009D0949">
            <w:pPr>
              <w:spacing w:after="0" w:line="259" w:lineRule="auto"/>
              <w:ind w:left="123" w:right="0" w:firstLine="0"/>
              <w:jc w:val="left"/>
            </w:pPr>
            <w:r>
              <w:rPr>
                <w:b/>
                <w:color w:val="474747"/>
                <w:sz w:val="18"/>
              </w:rPr>
              <w:t>УКУПНО</w:t>
            </w:r>
            <w:r>
              <w:rPr>
                <w:color w:val="474747"/>
                <w:sz w:val="18"/>
              </w:rPr>
              <w:t xml:space="preserve"> </w:t>
            </w:r>
          </w:p>
        </w:tc>
        <w:tc>
          <w:tcPr>
            <w:tcW w:w="1897" w:type="dxa"/>
            <w:tcBorders>
              <w:top w:val="nil"/>
              <w:left w:val="nil"/>
              <w:bottom w:val="single" w:sz="4" w:space="0" w:color="002060"/>
              <w:right w:val="nil"/>
            </w:tcBorders>
          </w:tcPr>
          <w:p w:rsidR="00E8309B" w:rsidRDefault="009D0949">
            <w:pPr>
              <w:spacing w:after="0" w:line="259" w:lineRule="auto"/>
              <w:ind w:left="314" w:right="0" w:firstLine="0"/>
              <w:jc w:val="left"/>
            </w:pPr>
            <w:r>
              <w:rPr>
                <w:color w:val="474747"/>
                <w:sz w:val="18"/>
              </w:rPr>
              <w:t xml:space="preserve">5,8 </w:t>
            </w:r>
          </w:p>
        </w:tc>
        <w:tc>
          <w:tcPr>
            <w:tcW w:w="1375" w:type="dxa"/>
            <w:tcBorders>
              <w:top w:val="nil"/>
              <w:left w:val="nil"/>
              <w:bottom w:val="single" w:sz="4" w:space="0" w:color="002060"/>
              <w:right w:val="nil"/>
            </w:tcBorders>
          </w:tcPr>
          <w:p w:rsidR="00E8309B" w:rsidRDefault="009D0949">
            <w:pPr>
              <w:spacing w:after="0" w:line="259" w:lineRule="auto"/>
              <w:ind w:left="314" w:right="0" w:firstLine="0"/>
              <w:jc w:val="left"/>
            </w:pPr>
            <w:r>
              <w:rPr>
                <w:color w:val="474747"/>
                <w:sz w:val="18"/>
              </w:rPr>
              <w:t xml:space="preserve">6,7 </w:t>
            </w:r>
          </w:p>
        </w:tc>
      </w:tr>
    </w:tbl>
    <w:p w:rsidR="00E8309B" w:rsidRDefault="009D0949">
      <w:pPr>
        <w:spacing w:after="33" w:line="269" w:lineRule="auto"/>
        <w:ind w:left="-5" w:right="2919"/>
        <w:jc w:val="left"/>
      </w:pPr>
      <w:r>
        <w:rPr>
          <w:sz w:val="16"/>
        </w:rPr>
        <w:t>Извор: Министарство финансија * У складу са дефиницијом која се користи у за потребе праћења спровођења аранжмана са ММФ.</w:t>
      </w:r>
      <w:r>
        <w:rPr>
          <w:b/>
          <w:color w:val="002060"/>
          <w:sz w:val="16"/>
        </w:rPr>
        <w:t xml:space="preserve"> </w:t>
      </w:r>
    </w:p>
    <w:p w:rsidR="00E8309B" w:rsidRDefault="009D0949">
      <w:pPr>
        <w:spacing w:after="286" w:line="259" w:lineRule="auto"/>
        <w:ind w:left="0" w:right="0" w:firstLine="0"/>
        <w:jc w:val="left"/>
      </w:pPr>
      <w:r>
        <w:rPr>
          <w:b/>
          <w:sz w:val="22"/>
        </w:rPr>
        <w:t xml:space="preserve"> </w:t>
      </w:r>
    </w:p>
    <w:p w:rsidR="00E8309B" w:rsidRDefault="009D0949">
      <w:pPr>
        <w:spacing w:after="0" w:line="259" w:lineRule="auto"/>
        <w:ind w:right="30"/>
        <w:jc w:val="center"/>
      </w:pPr>
      <w:r>
        <w:rPr>
          <w:b/>
        </w:rPr>
        <w:t xml:space="preserve">S0 индикатор краткорочне фискалне одрживости </w:t>
      </w:r>
    </w:p>
    <w:p w:rsidR="00E8309B" w:rsidRDefault="009D0949">
      <w:pPr>
        <w:spacing w:after="0" w:line="259" w:lineRule="auto"/>
        <w:ind w:left="35" w:right="0" w:firstLine="0"/>
        <w:jc w:val="center"/>
      </w:pPr>
      <w:r>
        <w:rPr>
          <w:b/>
        </w:rPr>
        <w:t xml:space="preserve"> </w:t>
      </w:r>
    </w:p>
    <w:p w:rsidR="00E8309B" w:rsidRDefault="009D0949">
      <w:pPr>
        <w:ind w:left="-5" w:right="17"/>
      </w:pPr>
      <w:r>
        <w:rPr>
          <w:rFonts w:ascii="Calibri" w:eastAsia="Calibri" w:hAnsi="Calibri" w:cs="Calibri"/>
          <w:noProof/>
          <w:sz w:val="22"/>
        </w:rPr>
        <mc:AlternateContent>
          <mc:Choice Requires="wpg">
            <w:drawing>
              <wp:anchor distT="0" distB="0" distL="114300" distR="114300" simplePos="0" relativeHeight="251658240" behindDoc="1" locked="0" layoutInCell="1" allowOverlap="1">
                <wp:simplePos x="0" y="0"/>
                <wp:positionH relativeFrom="column">
                  <wp:posOffset>-89712</wp:posOffset>
                </wp:positionH>
                <wp:positionV relativeFrom="paragraph">
                  <wp:posOffset>-486151</wp:posOffset>
                </wp:positionV>
                <wp:extent cx="6202045" cy="6663690"/>
                <wp:effectExtent l="0" t="0" r="0" b="0"/>
                <wp:wrapNone/>
                <wp:docPr id="670184" name="Group 670184"/>
                <wp:cNvGraphicFramePr/>
                <a:graphic xmlns:a="http://schemas.openxmlformats.org/drawingml/2006/main">
                  <a:graphicData uri="http://schemas.microsoft.com/office/word/2010/wordprocessingGroup">
                    <wpg:wgp>
                      <wpg:cNvGrpSpPr/>
                      <wpg:grpSpPr>
                        <a:xfrm>
                          <a:off x="0" y="0"/>
                          <a:ext cx="6202045" cy="6663690"/>
                          <a:chOff x="0" y="0"/>
                          <a:chExt cx="6202045" cy="6663690"/>
                        </a:xfrm>
                      </wpg:grpSpPr>
                      <pic:pic xmlns:pic="http://schemas.openxmlformats.org/drawingml/2006/picture">
                        <pic:nvPicPr>
                          <pic:cNvPr id="867944" name="Picture 867944"/>
                          <pic:cNvPicPr/>
                        </pic:nvPicPr>
                        <pic:blipFill>
                          <a:blip r:embed="rId139"/>
                          <a:stretch>
                            <a:fillRect/>
                          </a:stretch>
                        </pic:blipFill>
                        <pic:spPr>
                          <a:xfrm>
                            <a:off x="-6095" y="-4190"/>
                            <a:ext cx="6208776" cy="6672072"/>
                          </a:xfrm>
                          <a:prstGeom prst="rect">
                            <a:avLst/>
                          </a:prstGeom>
                        </pic:spPr>
                      </pic:pic>
                      <pic:pic xmlns:pic="http://schemas.openxmlformats.org/drawingml/2006/picture">
                        <pic:nvPicPr>
                          <pic:cNvPr id="10948" name="Picture 10948"/>
                          <pic:cNvPicPr/>
                        </pic:nvPicPr>
                        <pic:blipFill>
                          <a:blip r:embed="rId140"/>
                          <a:stretch>
                            <a:fillRect/>
                          </a:stretch>
                        </pic:blipFill>
                        <pic:spPr>
                          <a:xfrm>
                            <a:off x="93495" y="3574892"/>
                            <a:ext cx="5911804" cy="2851161"/>
                          </a:xfrm>
                          <a:prstGeom prst="rect">
                            <a:avLst/>
                          </a:prstGeom>
                        </pic:spPr>
                      </pic:pic>
                    </wpg:wgp>
                  </a:graphicData>
                </a:graphic>
              </wp:anchor>
            </w:drawing>
          </mc:Choice>
          <mc:Fallback xmlns:a="http://schemas.openxmlformats.org/drawingml/2006/main">
            <w:pict>
              <v:group id="Group 670184" style="width:488.35pt;height:524.7pt;position:absolute;z-index:-2147483618;mso-position-horizontal-relative:text;mso-position-horizontal:absolute;margin-left:-7.064pt;mso-position-vertical-relative:text;margin-top:-38.2797pt;" coordsize="62020,66636">
                <v:shape id="Picture 867944" style="position:absolute;width:62087;height:66720;left:-60;top:-41;" filled="f">
                  <v:imagedata r:id="rId141"/>
                </v:shape>
                <v:shape id="Picture 10948" style="position:absolute;width:59118;height:28511;left:934;top:35748;" filled="f">
                  <v:imagedata r:id="rId142"/>
                </v:shape>
              </v:group>
            </w:pict>
          </mc:Fallback>
        </mc:AlternateContent>
      </w:r>
      <w:r>
        <w:t>Европска комисија је за оцену краткорочне фискалне одрживости дизајнирала композитни индикатор S0 којим се кроз идентификацију потенцијалних краткорочних ризика у текућој години настоји да антиципира фискални стрес у наредној години. Уколико вредност S0 ин</w:t>
      </w:r>
      <w:r>
        <w:t>дикатора прелази дефинисани праг сматра се да је земља у краткорочном ризику од фискалног стреса. Поред вредности за целокупан индикатор, ради лоцирања извора из ког ризик потиче, разматрају се и вредности подиндекса и њихових компоненти. S0 композитни инд</w:t>
      </w:r>
      <w:r>
        <w:t xml:space="preserve">икатор се састоји од два подиндекса, који у себи садрже низ варијабли фискалне и макрофинансијске одрживости. Вредност ових подиндекса испод дефинисаног прага указују на одсуство краткорочног фискалног ризика. </w:t>
      </w:r>
    </w:p>
    <w:p w:rsidR="00E8309B" w:rsidRDefault="009D0949">
      <w:pPr>
        <w:spacing w:after="150"/>
        <w:ind w:left="-5" w:right="17"/>
      </w:pPr>
      <w:r>
        <w:t>У 2019. години вредности S0 индикатора, као и</w:t>
      </w:r>
      <w:r>
        <w:t xml:space="preserve"> оба подиндекса за Републику Србију налазили су се испод дефинисаних прагова што начелно указује да није постојала краткорочна опасност од појаве било какве макроекономске нестабилности, као и да није било изражених ризика који потичу из сфера које покрива</w:t>
      </w:r>
      <w:r>
        <w:t xml:space="preserve">ју подиндекси. Рецесија у 2020. години није изазвана економским </w:t>
      </w:r>
      <w:r>
        <w:lastRenderedPageBreak/>
        <w:t xml:space="preserve">факторима, а успешно очувана макроекономска и фискална стабилност успостављена у претходном периоду обезбедила је простор за брзе и значајне фискалне и монетарне мере подршке. </w:t>
      </w:r>
    </w:p>
    <w:p w:rsidR="00E8309B" w:rsidRDefault="009D0949">
      <w:pPr>
        <w:spacing w:after="4305"/>
        <w:ind w:left="-5" w:right="17"/>
      </w:pPr>
      <w:r>
        <w:t xml:space="preserve">Графикон 6. S0 </w:t>
      </w:r>
      <w:r>
        <w:t xml:space="preserve">индикатор за Србију у периоду 2015 – 2019. године </w:t>
      </w:r>
    </w:p>
    <w:p w:rsidR="00E8309B" w:rsidRDefault="009D0949">
      <w:pPr>
        <w:spacing w:after="46" w:line="259" w:lineRule="auto"/>
        <w:ind w:left="0" w:right="305" w:firstLine="0"/>
        <w:jc w:val="right"/>
      </w:pPr>
      <w:r>
        <w:rPr>
          <w:sz w:val="16"/>
        </w:rPr>
        <w:t xml:space="preserve"> </w:t>
      </w:r>
    </w:p>
    <w:p w:rsidR="00E8309B" w:rsidRDefault="009D0949">
      <w:pPr>
        <w:spacing w:after="170" w:line="269" w:lineRule="auto"/>
        <w:ind w:left="-5" w:right="53"/>
        <w:jc w:val="left"/>
      </w:pPr>
      <w:r>
        <w:rPr>
          <w:sz w:val="16"/>
        </w:rPr>
        <w:t>Извор: Калкулација Министарства финансија</w:t>
      </w:r>
      <w:r>
        <w:t xml:space="preserve"> </w:t>
      </w:r>
    </w:p>
    <w:p w:rsidR="00E8309B" w:rsidRDefault="009D0949">
      <w:pPr>
        <w:spacing w:after="337" w:line="259" w:lineRule="auto"/>
        <w:ind w:left="0" w:right="-102" w:firstLine="0"/>
        <w:jc w:val="left"/>
      </w:pPr>
      <w:r>
        <w:rPr>
          <w:rFonts w:ascii="Calibri" w:eastAsia="Calibri" w:hAnsi="Calibri" w:cs="Calibri"/>
          <w:noProof/>
          <w:sz w:val="22"/>
        </w:rPr>
        <w:lastRenderedPageBreak/>
        <mc:AlternateContent>
          <mc:Choice Requires="wpg">
            <w:drawing>
              <wp:inline distT="0" distB="0" distL="0" distR="0">
                <wp:extent cx="6202502" cy="5937251"/>
                <wp:effectExtent l="0" t="0" r="0" b="0"/>
                <wp:docPr id="667268" name="Group 667268"/>
                <wp:cNvGraphicFramePr/>
                <a:graphic xmlns:a="http://schemas.openxmlformats.org/drawingml/2006/main">
                  <a:graphicData uri="http://schemas.microsoft.com/office/word/2010/wordprocessingGroup">
                    <wpg:wgp>
                      <wpg:cNvGrpSpPr/>
                      <wpg:grpSpPr>
                        <a:xfrm>
                          <a:off x="0" y="0"/>
                          <a:ext cx="6202502" cy="5937251"/>
                          <a:chOff x="0" y="0"/>
                          <a:chExt cx="6202502" cy="5937251"/>
                        </a:xfrm>
                      </wpg:grpSpPr>
                      <pic:pic xmlns:pic="http://schemas.openxmlformats.org/drawingml/2006/picture">
                        <pic:nvPicPr>
                          <pic:cNvPr id="867945" name="Picture 867945"/>
                          <pic:cNvPicPr/>
                        </pic:nvPicPr>
                        <pic:blipFill>
                          <a:blip r:embed="rId143"/>
                          <a:stretch>
                            <a:fillRect/>
                          </a:stretch>
                        </pic:blipFill>
                        <pic:spPr>
                          <a:xfrm>
                            <a:off x="-3352" y="-4570"/>
                            <a:ext cx="6205729" cy="5940552"/>
                          </a:xfrm>
                          <a:prstGeom prst="rect">
                            <a:avLst/>
                          </a:prstGeom>
                        </pic:spPr>
                      </pic:pic>
                      <wps:wsp>
                        <wps:cNvPr id="11013" name="Rectangle 11013"/>
                        <wps:cNvSpPr/>
                        <wps:spPr>
                          <a:xfrm>
                            <a:off x="0" y="28445"/>
                            <a:ext cx="4003167" cy="184382"/>
                          </a:xfrm>
                          <a:prstGeom prst="rect">
                            <a:avLst/>
                          </a:prstGeom>
                          <a:ln>
                            <a:noFill/>
                          </a:ln>
                        </wps:spPr>
                        <wps:txbx>
                          <w:txbxContent>
                            <w:p w:rsidR="00E8309B" w:rsidRDefault="009D0949">
                              <w:pPr>
                                <w:spacing w:after="160" w:line="259" w:lineRule="auto"/>
                                <w:ind w:left="0" w:right="0" w:firstLine="0"/>
                                <w:jc w:val="left"/>
                              </w:pPr>
                              <w:r>
                                <w:t xml:space="preserve">На основу података ЕК за земље ЕУ за 2019. </w:t>
                              </w:r>
                            </w:p>
                          </w:txbxContent>
                        </wps:txbx>
                        <wps:bodyPr horzOverflow="overflow" vert="horz" lIns="0" tIns="0" rIns="0" bIns="0" rtlCol="0">
                          <a:noAutofit/>
                        </wps:bodyPr>
                      </wps:wsp>
                      <wps:wsp>
                        <wps:cNvPr id="11014" name="Rectangle 11014"/>
                        <wps:cNvSpPr/>
                        <wps:spPr>
                          <a:xfrm>
                            <a:off x="3020898" y="28445"/>
                            <a:ext cx="4169375" cy="184382"/>
                          </a:xfrm>
                          <a:prstGeom prst="rect">
                            <a:avLst/>
                          </a:prstGeom>
                          <a:ln>
                            <a:noFill/>
                          </a:ln>
                        </wps:spPr>
                        <wps:txbx>
                          <w:txbxContent>
                            <w:p w:rsidR="00E8309B" w:rsidRDefault="009D0949">
                              <w:pPr>
                                <w:spacing w:after="160" w:line="259" w:lineRule="auto"/>
                                <w:ind w:left="0" w:right="0" w:firstLine="0"/>
                                <w:jc w:val="left"/>
                              </w:pPr>
                              <w:r>
                                <w:t xml:space="preserve">годину и обрачуна Министарства финансија за </w:t>
                              </w:r>
                            </w:p>
                          </w:txbxContent>
                        </wps:txbx>
                        <wps:bodyPr horzOverflow="overflow" vert="horz" lIns="0" tIns="0" rIns="0" bIns="0" rtlCol="0">
                          <a:noAutofit/>
                        </wps:bodyPr>
                      </wps:wsp>
                      <wps:wsp>
                        <wps:cNvPr id="11015" name="Rectangle 11015"/>
                        <wps:cNvSpPr/>
                        <wps:spPr>
                          <a:xfrm>
                            <a:off x="0" y="203959"/>
                            <a:ext cx="3306718" cy="184382"/>
                          </a:xfrm>
                          <a:prstGeom prst="rect">
                            <a:avLst/>
                          </a:prstGeom>
                          <a:ln>
                            <a:noFill/>
                          </a:ln>
                        </wps:spPr>
                        <wps:txbx>
                          <w:txbxContent>
                            <w:p w:rsidR="00E8309B" w:rsidRDefault="009D0949">
                              <w:pPr>
                                <w:spacing w:after="160" w:line="259" w:lineRule="auto"/>
                                <w:ind w:left="0" w:right="0" w:firstLine="0"/>
                                <w:jc w:val="left"/>
                              </w:pPr>
                              <w:r>
                                <w:t>Републику Србију, за период од 2016</w:t>
                              </w:r>
                            </w:p>
                          </w:txbxContent>
                        </wps:txbx>
                        <wps:bodyPr horzOverflow="overflow" vert="horz" lIns="0" tIns="0" rIns="0" bIns="0" rtlCol="0">
                          <a:noAutofit/>
                        </wps:bodyPr>
                      </wps:wsp>
                      <wps:wsp>
                        <wps:cNvPr id="11016" name="Rectangle 11016"/>
                        <wps:cNvSpPr/>
                        <wps:spPr>
                          <a:xfrm>
                            <a:off x="2489022" y="203959"/>
                            <a:ext cx="101346" cy="184382"/>
                          </a:xfrm>
                          <a:prstGeom prst="rect">
                            <a:avLst/>
                          </a:prstGeom>
                          <a:ln>
                            <a:noFill/>
                          </a:ln>
                        </wps:spPr>
                        <wps:txbx>
                          <w:txbxContent>
                            <w:p w:rsidR="00E8309B" w:rsidRDefault="009D0949">
                              <w:pPr>
                                <w:spacing w:after="160" w:line="259" w:lineRule="auto"/>
                                <w:ind w:left="0" w:right="0" w:firstLine="0"/>
                                <w:jc w:val="left"/>
                              </w:pPr>
                              <w:r>
                                <w:t>–</w:t>
                              </w:r>
                            </w:p>
                          </w:txbxContent>
                        </wps:txbx>
                        <wps:bodyPr horzOverflow="overflow" vert="horz" lIns="0" tIns="0" rIns="0" bIns="0" rtlCol="0">
                          <a:noAutofit/>
                        </wps:bodyPr>
                      </wps:wsp>
                      <wps:wsp>
                        <wps:cNvPr id="667244" name="Rectangle 667244"/>
                        <wps:cNvSpPr/>
                        <wps:spPr>
                          <a:xfrm>
                            <a:off x="2565222" y="203959"/>
                            <a:ext cx="405384" cy="184382"/>
                          </a:xfrm>
                          <a:prstGeom prst="rect">
                            <a:avLst/>
                          </a:prstGeom>
                          <a:ln>
                            <a:noFill/>
                          </a:ln>
                        </wps:spPr>
                        <wps:txbx>
                          <w:txbxContent>
                            <w:p w:rsidR="00E8309B" w:rsidRDefault="009D0949">
                              <w:pPr>
                                <w:spacing w:after="160" w:line="259" w:lineRule="auto"/>
                                <w:ind w:left="0" w:right="0" w:firstLine="0"/>
                                <w:jc w:val="left"/>
                              </w:pPr>
                              <w:r>
                                <w:t>2019</w:t>
                              </w:r>
                            </w:p>
                          </w:txbxContent>
                        </wps:txbx>
                        <wps:bodyPr horzOverflow="overflow" vert="horz" lIns="0" tIns="0" rIns="0" bIns="0" rtlCol="0">
                          <a:noAutofit/>
                        </wps:bodyPr>
                      </wps:wsp>
                      <wps:wsp>
                        <wps:cNvPr id="667245" name="Rectangle 667245"/>
                        <wps:cNvSpPr/>
                        <wps:spPr>
                          <a:xfrm>
                            <a:off x="2870022" y="203959"/>
                            <a:ext cx="4370242" cy="184382"/>
                          </a:xfrm>
                          <a:prstGeom prst="rect">
                            <a:avLst/>
                          </a:prstGeom>
                          <a:ln>
                            <a:noFill/>
                          </a:ln>
                        </wps:spPr>
                        <wps:txbx>
                          <w:txbxContent>
                            <w:p w:rsidR="00E8309B" w:rsidRDefault="009D0949">
                              <w:pPr>
                                <w:spacing w:after="160" w:line="259" w:lineRule="auto"/>
                                <w:ind w:left="0" w:right="0" w:firstLine="0"/>
                                <w:jc w:val="left"/>
                              </w:pPr>
                              <w:r>
                                <w:t xml:space="preserve">. године закључујемо да ниједна од посматраних </w:t>
                              </w:r>
                            </w:p>
                          </w:txbxContent>
                        </wps:txbx>
                        <wps:bodyPr horzOverflow="overflow" vert="horz" lIns="0" tIns="0" rIns="0" bIns="0" rtlCol="0">
                          <a:noAutofit/>
                        </wps:bodyPr>
                      </wps:wsp>
                      <wps:wsp>
                        <wps:cNvPr id="11018" name="Rectangle 11018"/>
                        <wps:cNvSpPr/>
                        <wps:spPr>
                          <a:xfrm>
                            <a:off x="0" y="379219"/>
                            <a:ext cx="8184095" cy="184382"/>
                          </a:xfrm>
                          <a:prstGeom prst="rect">
                            <a:avLst/>
                          </a:prstGeom>
                          <a:ln>
                            <a:noFill/>
                          </a:ln>
                        </wps:spPr>
                        <wps:txbx>
                          <w:txbxContent>
                            <w:p w:rsidR="00E8309B" w:rsidRDefault="009D0949">
                              <w:pPr>
                                <w:spacing w:after="160" w:line="259" w:lineRule="auto"/>
                                <w:ind w:left="0" w:right="0" w:firstLine="0"/>
                                <w:jc w:val="left"/>
                              </w:pPr>
                              <w:r>
                                <w:t xml:space="preserve">земаља није била изложена краткорочном ризику реализације фискалног стреса, будући да </w:t>
                              </w:r>
                            </w:p>
                          </w:txbxContent>
                        </wps:txbx>
                        <wps:bodyPr horzOverflow="overflow" vert="horz" lIns="0" tIns="0" rIns="0" bIns="0" rtlCol="0">
                          <a:noAutofit/>
                        </wps:bodyPr>
                      </wps:wsp>
                      <wps:wsp>
                        <wps:cNvPr id="11019" name="Rectangle 11019"/>
                        <wps:cNvSpPr/>
                        <wps:spPr>
                          <a:xfrm>
                            <a:off x="0" y="554479"/>
                            <a:ext cx="3956548" cy="184382"/>
                          </a:xfrm>
                          <a:prstGeom prst="rect">
                            <a:avLst/>
                          </a:prstGeom>
                          <a:ln>
                            <a:noFill/>
                          </a:ln>
                        </wps:spPr>
                        <wps:txbx>
                          <w:txbxContent>
                            <w:p w:rsidR="00E8309B" w:rsidRDefault="009D0949">
                              <w:pPr>
                                <w:spacing w:after="160" w:line="259" w:lineRule="auto"/>
                                <w:ind w:left="0" w:right="0" w:firstLine="0"/>
                                <w:jc w:val="left"/>
                              </w:pPr>
                              <w:r>
                                <w:t>вредност S0 нигде не премашује дефиниса</w:t>
                              </w:r>
                            </w:p>
                          </w:txbxContent>
                        </wps:txbx>
                        <wps:bodyPr horzOverflow="overflow" vert="horz" lIns="0" tIns="0" rIns="0" bIns="0" rtlCol="0">
                          <a:noAutofit/>
                        </wps:bodyPr>
                      </wps:wsp>
                      <wps:wsp>
                        <wps:cNvPr id="11020" name="Rectangle 11020"/>
                        <wps:cNvSpPr/>
                        <wps:spPr>
                          <a:xfrm>
                            <a:off x="2976702" y="554479"/>
                            <a:ext cx="4228358" cy="184382"/>
                          </a:xfrm>
                          <a:prstGeom prst="rect">
                            <a:avLst/>
                          </a:prstGeom>
                          <a:ln>
                            <a:noFill/>
                          </a:ln>
                        </wps:spPr>
                        <wps:txbx>
                          <w:txbxContent>
                            <w:p w:rsidR="00E8309B" w:rsidRDefault="009D0949">
                              <w:pPr>
                                <w:spacing w:after="160" w:line="259" w:lineRule="auto"/>
                                <w:ind w:left="0" w:right="0" w:firstLine="0"/>
                                <w:jc w:val="left"/>
                              </w:pPr>
                              <w:r>
                                <w:t xml:space="preserve">ни праг. Поједине земље биле су суочене са </w:t>
                              </w:r>
                            </w:p>
                          </w:txbxContent>
                        </wps:txbx>
                        <wps:bodyPr horzOverflow="overflow" vert="horz" lIns="0" tIns="0" rIns="0" bIns="0" rtlCol="0">
                          <a:noAutofit/>
                        </wps:bodyPr>
                      </wps:wsp>
                      <wps:wsp>
                        <wps:cNvPr id="11021" name="Rectangle 11021"/>
                        <wps:cNvSpPr/>
                        <wps:spPr>
                          <a:xfrm>
                            <a:off x="0" y="729738"/>
                            <a:ext cx="2400076" cy="184382"/>
                          </a:xfrm>
                          <a:prstGeom prst="rect">
                            <a:avLst/>
                          </a:prstGeom>
                          <a:ln>
                            <a:noFill/>
                          </a:ln>
                        </wps:spPr>
                        <wps:txbx>
                          <w:txbxContent>
                            <w:p w:rsidR="00E8309B" w:rsidRDefault="009D0949">
                              <w:pPr>
                                <w:spacing w:after="160" w:line="259" w:lineRule="auto"/>
                                <w:ind w:left="0" w:right="0" w:firstLine="0"/>
                                <w:jc w:val="left"/>
                              </w:pPr>
                              <w:r>
                                <w:t>фискалним односно макро</w:t>
                              </w:r>
                            </w:p>
                          </w:txbxContent>
                        </wps:txbx>
                        <wps:bodyPr horzOverflow="overflow" vert="horz" lIns="0" tIns="0" rIns="0" bIns="0" rtlCol="0">
                          <a:noAutofit/>
                        </wps:bodyPr>
                      </wps:wsp>
                      <wps:wsp>
                        <wps:cNvPr id="11022" name="Rectangle 11022"/>
                        <wps:cNvSpPr/>
                        <wps:spPr>
                          <a:xfrm>
                            <a:off x="1806270" y="699618"/>
                            <a:ext cx="67498" cy="224380"/>
                          </a:xfrm>
                          <a:prstGeom prst="rect">
                            <a:avLst/>
                          </a:prstGeom>
                          <a:ln>
                            <a:noFill/>
                          </a:ln>
                        </wps:spPr>
                        <wps:txbx>
                          <w:txbxContent>
                            <w:p w:rsidR="00E8309B" w:rsidRDefault="009D0949">
                              <w:pPr>
                                <w:spacing w:after="160" w:line="259" w:lineRule="auto"/>
                                <w:ind w:left="0" w:right="0" w:firstLine="0"/>
                                <w:jc w:val="left"/>
                              </w:pPr>
                              <w:r>
                                <w:t>-</w:t>
                              </w:r>
                            </w:p>
                          </w:txbxContent>
                        </wps:txbx>
                        <wps:bodyPr horzOverflow="overflow" vert="horz" lIns="0" tIns="0" rIns="0" bIns="0" rtlCol="0">
                          <a:noAutofit/>
                        </wps:bodyPr>
                      </wps:wsp>
                      <wps:wsp>
                        <wps:cNvPr id="11023" name="Rectangle 11023"/>
                        <wps:cNvSpPr/>
                        <wps:spPr>
                          <a:xfrm>
                            <a:off x="1856562" y="729738"/>
                            <a:ext cx="5716725" cy="184382"/>
                          </a:xfrm>
                          <a:prstGeom prst="rect">
                            <a:avLst/>
                          </a:prstGeom>
                          <a:ln>
                            <a:noFill/>
                          </a:ln>
                        </wps:spPr>
                        <wps:txbx>
                          <w:txbxContent>
                            <w:p w:rsidR="00E8309B" w:rsidRDefault="009D0949">
                              <w:pPr>
                                <w:spacing w:after="160" w:line="259" w:lineRule="auto"/>
                                <w:ind w:left="0" w:right="0" w:firstLine="0"/>
                                <w:jc w:val="left"/>
                              </w:pPr>
                              <w:r>
                                <w:t xml:space="preserve">финансијским изазовима, док се Република Србија заједно са </w:t>
                              </w:r>
                            </w:p>
                          </w:txbxContent>
                        </wps:txbx>
                        <wps:bodyPr horzOverflow="overflow" vert="horz" lIns="0" tIns="0" rIns="0" bIns="0" rtlCol="0">
                          <a:noAutofit/>
                        </wps:bodyPr>
                      </wps:wsp>
                      <wps:wsp>
                        <wps:cNvPr id="11024" name="Rectangle 11024"/>
                        <wps:cNvSpPr/>
                        <wps:spPr>
                          <a:xfrm>
                            <a:off x="0" y="904998"/>
                            <a:ext cx="8184704" cy="184382"/>
                          </a:xfrm>
                          <a:prstGeom prst="rect">
                            <a:avLst/>
                          </a:prstGeom>
                          <a:ln>
                            <a:noFill/>
                          </a:ln>
                        </wps:spPr>
                        <wps:txbx>
                          <w:txbxContent>
                            <w:p w:rsidR="00E8309B" w:rsidRDefault="009D0949">
                              <w:pPr>
                                <w:spacing w:after="160" w:line="259" w:lineRule="auto"/>
                                <w:ind w:left="0" w:right="0" w:firstLine="0"/>
                                <w:jc w:val="left"/>
                              </w:pPr>
                              <w:r>
                                <w:t xml:space="preserve">већином земаља ЕУ и даље налазила унутар дефинисаних прагова S0 индикатора. </w:t>
                              </w:r>
                            </w:p>
                          </w:txbxContent>
                        </wps:txbx>
                        <wps:bodyPr horzOverflow="overflow" vert="horz" lIns="0" tIns="0" rIns="0" bIns="0" rtlCol="0">
                          <a:noAutofit/>
                        </wps:bodyPr>
                      </wps:wsp>
                      <wps:wsp>
                        <wps:cNvPr id="11025" name="Rectangle 11025"/>
                        <wps:cNvSpPr/>
                        <wps:spPr>
                          <a:xfrm>
                            <a:off x="0" y="1080259"/>
                            <a:ext cx="5275668" cy="184382"/>
                          </a:xfrm>
                          <a:prstGeom prst="rect">
                            <a:avLst/>
                          </a:prstGeom>
                          <a:ln>
                            <a:noFill/>
                          </a:ln>
                        </wps:spPr>
                        <wps:txbx>
                          <w:txbxContent>
                            <w:p w:rsidR="00E8309B" w:rsidRDefault="009D0949">
                              <w:pPr>
                                <w:spacing w:after="160" w:line="259" w:lineRule="auto"/>
                                <w:ind w:left="0" w:right="0" w:firstLine="0"/>
                                <w:jc w:val="left"/>
                              </w:pPr>
                              <w:r>
                                <w:t>Минимизирање потенцијалних ризика за настанак фискално</w:t>
                              </w:r>
                            </w:p>
                          </w:txbxContent>
                        </wps:txbx>
                        <wps:bodyPr horzOverflow="overflow" vert="horz" lIns="0" tIns="0" rIns="0" bIns="0" rtlCol="0">
                          <a:noAutofit/>
                        </wps:bodyPr>
                      </wps:wsp>
                      <wps:wsp>
                        <wps:cNvPr id="11026" name="Rectangle 11026"/>
                        <wps:cNvSpPr/>
                        <wps:spPr>
                          <a:xfrm>
                            <a:off x="3970604" y="1080259"/>
                            <a:ext cx="2908833" cy="184382"/>
                          </a:xfrm>
                          <a:prstGeom prst="rect">
                            <a:avLst/>
                          </a:prstGeom>
                          <a:ln>
                            <a:noFill/>
                          </a:ln>
                        </wps:spPr>
                        <wps:txbx>
                          <w:txbxContent>
                            <w:p w:rsidR="00E8309B" w:rsidRDefault="009D0949">
                              <w:pPr>
                                <w:spacing w:after="160" w:line="259" w:lineRule="auto"/>
                                <w:ind w:left="0" w:right="0" w:firstLine="0"/>
                                <w:jc w:val="left"/>
                              </w:pPr>
                              <w:r>
                                <w:t xml:space="preserve">г стреса у посматраним земљама </w:t>
                              </w:r>
                            </w:p>
                          </w:txbxContent>
                        </wps:txbx>
                        <wps:bodyPr horzOverflow="overflow" vert="horz" lIns="0" tIns="0" rIns="0" bIns="0" rtlCol="0">
                          <a:noAutofit/>
                        </wps:bodyPr>
                      </wps:wsp>
                      <wps:wsp>
                        <wps:cNvPr id="11027" name="Rectangle 11027"/>
                        <wps:cNvSpPr/>
                        <wps:spPr>
                          <a:xfrm>
                            <a:off x="0" y="1255519"/>
                            <a:ext cx="8187542" cy="184382"/>
                          </a:xfrm>
                          <a:prstGeom prst="rect">
                            <a:avLst/>
                          </a:prstGeom>
                          <a:ln>
                            <a:noFill/>
                          </a:ln>
                        </wps:spPr>
                        <wps:txbx>
                          <w:txbxContent>
                            <w:p w:rsidR="00E8309B" w:rsidRDefault="009D0949">
                              <w:pPr>
                                <w:spacing w:after="160" w:line="259" w:lineRule="auto"/>
                                <w:ind w:left="0" w:right="0" w:firstLine="0"/>
                                <w:jc w:val="left"/>
                              </w:pPr>
                              <w:r>
                                <w:t>допринело је стварању п</w:t>
                              </w:r>
                              <w:r>
                                <w:t xml:space="preserve">ростора за доношење мера економске политике без преседана по свом </w:t>
                              </w:r>
                            </w:p>
                          </w:txbxContent>
                        </wps:txbx>
                        <wps:bodyPr horzOverflow="overflow" vert="horz" lIns="0" tIns="0" rIns="0" bIns="0" rtlCol="0">
                          <a:noAutofit/>
                        </wps:bodyPr>
                      </wps:wsp>
                      <wps:wsp>
                        <wps:cNvPr id="11028" name="Rectangle 11028"/>
                        <wps:cNvSpPr/>
                        <wps:spPr>
                          <a:xfrm>
                            <a:off x="0" y="1430779"/>
                            <a:ext cx="7088343" cy="184382"/>
                          </a:xfrm>
                          <a:prstGeom prst="rect">
                            <a:avLst/>
                          </a:prstGeom>
                          <a:ln>
                            <a:noFill/>
                          </a:ln>
                        </wps:spPr>
                        <wps:txbx>
                          <w:txbxContent>
                            <w:p w:rsidR="00E8309B" w:rsidRDefault="009D0949">
                              <w:pPr>
                                <w:spacing w:after="160" w:line="259" w:lineRule="auto"/>
                                <w:ind w:left="0" w:right="0" w:firstLine="0"/>
                                <w:jc w:val="left"/>
                              </w:pPr>
                              <w:r>
                                <w:t>обиму, а као одговор на здравствену кризу која се прелила у све сфере економије.</w:t>
                              </w:r>
                            </w:p>
                          </w:txbxContent>
                        </wps:txbx>
                        <wps:bodyPr horzOverflow="overflow" vert="horz" lIns="0" tIns="0" rIns="0" bIns="0" rtlCol="0">
                          <a:noAutofit/>
                        </wps:bodyPr>
                      </wps:wsp>
                      <wps:wsp>
                        <wps:cNvPr id="11029" name="Rectangle 11029"/>
                        <wps:cNvSpPr/>
                        <wps:spPr>
                          <a:xfrm>
                            <a:off x="5331917" y="1400658"/>
                            <a:ext cx="50673" cy="224380"/>
                          </a:xfrm>
                          <a:prstGeom prst="rect">
                            <a:avLst/>
                          </a:prstGeom>
                          <a:ln>
                            <a:noFill/>
                          </a:ln>
                        </wps:spPr>
                        <wps:txbx>
                          <w:txbxContent>
                            <w:p w:rsidR="00E8309B" w:rsidRDefault="009D0949">
                              <w:pPr>
                                <w:spacing w:after="160" w:line="259" w:lineRule="auto"/>
                                <w:ind w:left="0" w:right="0" w:firstLine="0"/>
                                <w:jc w:val="left"/>
                              </w:pPr>
                              <w:r>
                                <w:t xml:space="preserve"> </w:t>
                              </w:r>
                            </w:p>
                          </w:txbxContent>
                        </wps:txbx>
                        <wps:bodyPr horzOverflow="overflow" vert="horz" lIns="0" tIns="0" rIns="0" bIns="0" rtlCol="0">
                          <a:noAutofit/>
                        </wps:bodyPr>
                      </wps:wsp>
                      <wps:wsp>
                        <wps:cNvPr id="11030" name="Rectangle 11030"/>
                        <wps:cNvSpPr/>
                        <wps:spPr>
                          <a:xfrm>
                            <a:off x="0" y="1682238"/>
                            <a:ext cx="5135000" cy="184382"/>
                          </a:xfrm>
                          <a:prstGeom prst="rect">
                            <a:avLst/>
                          </a:prstGeom>
                          <a:ln>
                            <a:noFill/>
                          </a:ln>
                        </wps:spPr>
                        <wps:txbx>
                          <w:txbxContent>
                            <w:p w:rsidR="00E8309B" w:rsidRDefault="009D0949">
                              <w:pPr>
                                <w:spacing w:after="160" w:line="259" w:lineRule="auto"/>
                                <w:ind w:left="0" w:right="0" w:firstLine="0"/>
                                <w:jc w:val="left"/>
                              </w:pPr>
                              <w:r>
                                <w:t xml:space="preserve">Обрачун S0 индикатора за Републику Србију је урађен од </w:t>
                              </w:r>
                            </w:p>
                          </w:txbxContent>
                        </wps:txbx>
                        <wps:bodyPr horzOverflow="overflow" vert="horz" lIns="0" tIns="0" rIns="0" bIns="0" rtlCol="0">
                          <a:noAutofit/>
                        </wps:bodyPr>
                      </wps:wsp>
                      <wps:wsp>
                        <wps:cNvPr id="11031" name="Rectangle 11031"/>
                        <wps:cNvSpPr/>
                        <wps:spPr>
                          <a:xfrm>
                            <a:off x="3873068" y="1682238"/>
                            <a:ext cx="3038151" cy="184382"/>
                          </a:xfrm>
                          <a:prstGeom prst="rect">
                            <a:avLst/>
                          </a:prstGeom>
                          <a:ln>
                            <a:noFill/>
                          </a:ln>
                        </wps:spPr>
                        <wps:txbx>
                          <w:txbxContent>
                            <w:p w:rsidR="00E8309B" w:rsidRDefault="009D0949">
                              <w:pPr>
                                <w:spacing w:after="160" w:line="259" w:lineRule="auto"/>
                                <w:ind w:left="0" w:right="0" w:firstLine="0"/>
                                <w:jc w:val="left"/>
                              </w:pPr>
                              <w:r>
                                <w:t xml:space="preserve">стране Министарства финансија и </w:t>
                              </w:r>
                            </w:p>
                          </w:txbxContent>
                        </wps:txbx>
                        <wps:bodyPr horzOverflow="overflow" vert="horz" lIns="0" tIns="0" rIns="0" bIns="0" rtlCol="0">
                          <a:noAutofit/>
                        </wps:bodyPr>
                      </wps:wsp>
                      <wps:wsp>
                        <wps:cNvPr id="11032" name="Rectangle 11032"/>
                        <wps:cNvSpPr/>
                        <wps:spPr>
                          <a:xfrm>
                            <a:off x="0" y="1857498"/>
                            <a:ext cx="2637226" cy="184382"/>
                          </a:xfrm>
                          <a:prstGeom prst="rect">
                            <a:avLst/>
                          </a:prstGeom>
                          <a:ln>
                            <a:noFill/>
                          </a:ln>
                        </wps:spPr>
                        <wps:txbx>
                          <w:txbxContent>
                            <w:p w:rsidR="00E8309B" w:rsidRDefault="009D0949">
                              <w:pPr>
                                <w:spacing w:after="160" w:line="259" w:lineRule="auto"/>
                                <w:ind w:left="0" w:right="0" w:firstLine="0"/>
                                <w:jc w:val="left"/>
                              </w:pPr>
                              <w:r>
                                <w:t>базира се на методологији ЕК.</w:t>
                              </w:r>
                            </w:p>
                          </w:txbxContent>
                        </wps:txbx>
                        <wps:bodyPr horzOverflow="overflow" vert="horz" lIns="0" tIns="0" rIns="0" bIns="0" rtlCol="0">
                          <a:noAutofit/>
                        </wps:bodyPr>
                      </wps:wsp>
                      <wps:wsp>
                        <wps:cNvPr id="11033" name="Rectangle 11033"/>
                        <wps:cNvSpPr/>
                        <wps:spPr>
                          <a:xfrm>
                            <a:off x="1983054" y="1814276"/>
                            <a:ext cx="136817" cy="150334"/>
                          </a:xfrm>
                          <a:prstGeom prst="rect">
                            <a:avLst/>
                          </a:prstGeom>
                          <a:ln>
                            <a:noFill/>
                          </a:ln>
                        </wps:spPr>
                        <wps:txbx>
                          <w:txbxContent>
                            <w:p w:rsidR="00E8309B" w:rsidRDefault="009D0949">
                              <w:pPr>
                                <w:spacing w:after="160" w:line="259" w:lineRule="auto"/>
                                <w:ind w:left="0" w:right="0" w:firstLine="0"/>
                                <w:jc w:val="left"/>
                              </w:pPr>
                              <w:r>
                                <w:rPr>
                                  <w:color w:val="44546A"/>
                                  <w:sz w:val="16"/>
                                </w:rPr>
                                <w:t>11</w:t>
                              </w:r>
                            </w:p>
                          </w:txbxContent>
                        </wps:txbx>
                        <wps:bodyPr horzOverflow="overflow" vert="horz" lIns="0" tIns="0" rIns="0" bIns="0" rtlCol="0">
                          <a:noAutofit/>
                        </wps:bodyPr>
                      </wps:wsp>
                      <wps:wsp>
                        <wps:cNvPr id="11034" name="Rectangle 11034"/>
                        <wps:cNvSpPr/>
                        <wps:spPr>
                          <a:xfrm>
                            <a:off x="2086686" y="1827378"/>
                            <a:ext cx="50673" cy="224380"/>
                          </a:xfrm>
                          <a:prstGeom prst="rect">
                            <a:avLst/>
                          </a:prstGeom>
                          <a:ln>
                            <a:noFill/>
                          </a:ln>
                        </wps:spPr>
                        <wps:txbx>
                          <w:txbxContent>
                            <w:p w:rsidR="00E8309B" w:rsidRDefault="009D0949">
                              <w:pPr>
                                <w:spacing w:after="160" w:line="259" w:lineRule="auto"/>
                                <w:ind w:left="0" w:right="0" w:firstLine="0"/>
                                <w:jc w:val="left"/>
                              </w:pPr>
                              <w:r>
                                <w:t xml:space="preserve"> </w:t>
                              </w:r>
                            </w:p>
                          </w:txbxContent>
                        </wps:txbx>
                        <wps:bodyPr horzOverflow="overflow" vert="horz" lIns="0" tIns="0" rIns="0" bIns="0" rtlCol="0">
                          <a:noAutofit/>
                        </wps:bodyPr>
                      </wps:wsp>
                      <wps:wsp>
                        <wps:cNvPr id="11035" name="Rectangle 11035"/>
                        <wps:cNvSpPr/>
                        <wps:spPr>
                          <a:xfrm>
                            <a:off x="0" y="2108959"/>
                            <a:ext cx="4698198" cy="184382"/>
                          </a:xfrm>
                          <a:prstGeom prst="rect">
                            <a:avLst/>
                          </a:prstGeom>
                          <a:ln>
                            <a:noFill/>
                          </a:ln>
                        </wps:spPr>
                        <wps:txbx>
                          <w:txbxContent>
                            <w:p w:rsidR="00E8309B" w:rsidRDefault="009D0949">
                              <w:pPr>
                                <w:spacing w:after="160" w:line="259" w:lineRule="auto"/>
                                <w:ind w:left="0" w:right="0" w:firstLine="0"/>
                                <w:jc w:val="left"/>
                              </w:pPr>
                              <w:r>
                                <w:t>Графикон 7. Фискални подиндекс и подиндекс макро</w:t>
                              </w:r>
                            </w:p>
                          </w:txbxContent>
                        </wps:txbx>
                        <wps:bodyPr horzOverflow="overflow" vert="horz" lIns="0" tIns="0" rIns="0" bIns="0" rtlCol="0">
                          <a:noAutofit/>
                        </wps:bodyPr>
                      </wps:wsp>
                      <wps:wsp>
                        <wps:cNvPr id="11036" name="Rectangle 11036"/>
                        <wps:cNvSpPr/>
                        <wps:spPr>
                          <a:xfrm>
                            <a:off x="3536264" y="2078838"/>
                            <a:ext cx="67498" cy="224380"/>
                          </a:xfrm>
                          <a:prstGeom prst="rect">
                            <a:avLst/>
                          </a:prstGeom>
                          <a:ln>
                            <a:noFill/>
                          </a:ln>
                        </wps:spPr>
                        <wps:txbx>
                          <w:txbxContent>
                            <w:p w:rsidR="00E8309B" w:rsidRDefault="009D0949">
                              <w:pPr>
                                <w:spacing w:after="160" w:line="259" w:lineRule="auto"/>
                                <w:ind w:left="0" w:right="0" w:firstLine="0"/>
                                <w:jc w:val="left"/>
                              </w:pPr>
                              <w:r>
                                <w:t>-</w:t>
                              </w:r>
                            </w:p>
                          </w:txbxContent>
                        </wps:txbx>
                        <wps:bodyPr horzOverflow="overflow" vert="horz" lIns="0" tIns="0" rIns="0" bIns="0" rtlCol="0">
                          <a:noAutofit/>
                        </wps:bodyPr>
                      </wps:wsp>
                      <wps:wsp>
                        <wps:cNvPr id="11037" name="Rectangle 11037"/>
                        <wps:cNvSpPr/>
                        <wps:spPr>
                          <a:xfrm>
                            <a:off x="3586556" y="2108959"/>
                            <a:ext cx="3417996" cy="184382"/>
                          </a:xfrm>
                          <a:prstGeom prst="rect">
                            <a:avLst/>
                          </a:prstGeom>
                          <a:ln>
                            <a:noFill/>
                          </a:ln>
                        </wps:spPr>
                        <wps:txbx>
                          <w:txbxContent>
                            <w:p w:rsidR="00E8309B" w:rsidRDefault="009D0949">
                              <w:pPr>
                                <w:spacing w:after="160" w:line="259" w:lineRule="auto"/>
                                <w:ind w:left="0" w:right="0" w:firstLine="0"/>
                                <w:jc w:val="left"/>
                              </w:pPr>
                              <w:r>
                                <w:t xml:space="preserve">финансијске конкурентности за земље </w:t>
                              </w:r>
                            </w:p>
                          </w:txbxContent>
                        </wps:txbx>
                        <wps:bodyPr horzOverflow="overflow" vert="horz" lIns="0" tIns="0" rIns="0" bIns="0" rtlCol="0">
                          <a:noAutofit/>
                        </wps:bodyPr>
                      </wps:wsp>
                      <wps:wsp>
                        <wps:cNvPr id="11038" name="Rectangle 11038"/>
                        <wps:cNvSpPr/>
                        <wps:spPr>
                          <a:xfrm>
                            <a:off x="0" y="2284599"/>
                            <a:ext cx="3855000" cy="184382"/>
                          </a:xfrm>
                          <a:prstGeom prst="rect">
                            <a:avLst/>
                          </a:prstGeom>
                          <a:ln>
                            <a:noFill/>
                          </a:ln>
                        </wps:spPr>
                        <wps:txbx>
                          <w:txbxContent>
                            <w:p w:rsidR="00E8309B" w:rsidRDefault="009D0949">
                              <w:pPr>
                                <w:spacing w:after="160" w:line="259" w:lineRule="auto"/>
                                <w:ind w:left="0" w:right="0" w:firstLine="0"/>
                                <w:jc w:val="left"/>
                              </w:pPr>
                              <w:r>
                                <w:t xml:space="preserve">ЕУ за 2019. годину и Србију за период 2017 </w:t>
                              </w:r>
                            </w:p>
                          </w:txbxContent>
                        </wps:txbx>
                        <wps:bodyPr horzOverflow="overflow" vert="horz" lIns="0" tIns="0" rIns="0" bIns="0" rtlCol="0">
                          <a:noAutofit/>
                        </wps:bodyPr>
                      </wps:wsp>
                      <wps:wsp>
                        <wps:cNvPr id="11039" name="Rectangle 11039"/>
                        <wps:cNvSpPr/>
                        <wps:spPr>
                          <a:xfrm>
                            <a:off x="2900502" y="2284599"/>
                            <a:ext cx="101346" cy="184382"/>
                          </a:xfrm>
                          <a:prstGeom prst="rect">
                            <a:avLst/>
                          </a:prstGeom>
                          <a:ln>
                            <a:noFill/>
                          </a:ln>
                        </wps:spPr>
                        <wps:txbx>
                          <w:txbxContent>
                            <w:p w:rsidR="00E8309B" w:rsidRDefault="009D0949">
                              <w:pPr>
                                <w:spacing w:after="160" w:line="259" w:lineRule="auto"/>
                                <w:ind w:left="0" w:right="0" w:firstLine="0"/>
                                <w:jc w:val="left"/>
                              </w:pPr>
                              <w:r>
                                <w:t>–</w:t>
                              </w:r>
                            </w:p>
                          </w:txbxContent>
                        </wps:txbx>
                        <wps:bodyPr horzOverflow="overflow" vert="horz" lIns="0" tIns="0" rIns="0" bIns="0" rtlCol="0">
                          <a:noAutofit/>
                        </wps:bodyPr>
                      </wps:wsp>
                      <wps:wsp>
                        <wps:cNvPr id="11040" name="Rectangle 11040"/>
                        <wps:cNvSpPr/>
                        <wps:spPr>
                          <a:xfrm>
                            <a:off x="2976702" y="2254479"/>
                            <a:ext cx="50673" cy="224380"/>
                          </a:xfrm>
                          <a:prstGeom prst="rect">
                            <a:avLst/>
                          </a:prstGeom>
                          <a:ln>
                            <a:noFill/>
                          </a:ln>
                        </wps:spPr>
                        <wps:txbx>
                          <w:txbxContent>
                            <w:p w:rsidR="00E8309B" w:rsidRDefault="009D0949">
                              <w:pPr>
                                <w:spacing w:after="160" w:line="259" w:lineRule="auto"/>
                                <w:ind w:left="0" w:right="0" w:firstLine="0"/>
                                <w:jc w:val="left"/>
                              </w:pPr>
                              <w:r>
                                <w:t xml:space="preserve"> </w:t>
                              </w:r>
                            </w:p>
                          </w:txbxContent>
                        </wps:txbx>
                        <wps:bodyPr horzOverflow="overflow" vert="horz" lIns="0" tIns="0" rIns="0" bIns="0" rtlCol="0">
                          <a:noAutofit/>
                        </wps:bodyPr>
                      </wps:wsp>
                      <wps:wsp>
                        <wps:cNvPr id="667246" name="Rectangle 667246"/>
                        <wps:cNvSpPr/>
                        <wps:spPr>
                          <a:xfrm>
                            <a:off x="3014802" y="2284599"/>
                            <a:ext cx="405384" cy="184382"/>
                          </a:xfrm>
                          <a:prstGeom prst="rect">
                            <a:avLst/>
                          </a:prstGeom>
                          <a:ln>
                            <a:noFill/>
                          </a:ln>
                        </wps:spPr>
                        <wps:txbx>
                          <w:txbxContent>
                            <w:p w:rsidR="00E8309B" w:rsidRDefault="009D0949">
                              <w:pPr>
                                <w:spacing w:after="160" w:line="259" w:lineRule="auto"/>
                                <w:ind w:left="0" w:right="0" w:firstLine="0"/>
                                <w:jc w:val="left"/>
                              </w:pPr>
                              <w:r>
                                <w:t>2019</w:t>
                              </w:r>
                            </w:p>
                          </w:txbxContent>
                        </wps:txbx>
                        <wps:bodyPr horzOverflow="overflow" vert="horz" lIns="0" tIns="0" rIns="0" bIns="0" rtlCol="0">
                          <a:noAutofit/>
                        </wps:bodyPr>
                      </wps:wsp>
                      <wps:wsp>
                        <wps:cNvPr id="667247" name="Rectangle 667247"/>
                        <wps:cNvSpPr/>
                        <wps:spPr>
                          <a:xfrm>
                            <a:off x="3319602" y="2284599"/>
                            <a:ext cx="697666" cy="184382"/>
                          </a:xfrm>
                          <a:prstGeom prst="rect">
                            <a:avLst/>
                          </a:prstGeom>
                          <a:ln>
                            <a:noFill/>
                          </a:ln>
                        </wps:spPr>
                        <wps:txbx>
                          <w:txbxContent>
                            <w:p w:rsidR="00E8309B" w:rsidRDefault="009D0949">
                              <w:pPr>
                                <w:spacing w:after="160" w:line="259" w:lineRule="auto"/>
                                <w:ind w:left="0" w:right="0" w:firstLine="0"/>
                                <w:jc w:val="left"/>
                              </w:pPr>
                              <w:r>
                                <w:t>. године</w:t>
                              </w:r>
                            </w:p>
                          </w:txbxContent>
                        </wps:txbx>
                        <wps:bodyPr horzOverflow="overflow" vert="horz" lIns="0" tIns="0" rIns="0" bIns="0" rtlCol="0">
                          <a:noAutofit/>
                        </wps:bodyPr>
                      </wps:wsp>
                      <wps:wsp>
                        <wps:cNvPr id="11042" name="Rectangle 11042"/>
                        <wps:cNvSpPr/>
                        <wps:spPr>
                          <a:xfrm>
                            <a:off x="3842588" y="2254479"/>
                            <a:ext cx="50673" cy="224380"/>
                          </a:xfrm>
                          <a:prstGeom prst="rect">
                            <a:avLst/>
                          </a:prstGeom>
                          <a:ln>
                            <a:noFill/>
                          </a:ln>
                        </wps:spPr>
                        <wps:txbx>
                          <w:txbxContent>
                            <w:p w:rsidR="00E8309B" w:rsidRDefault="009D0949">
                              <w:pPr>
                                <w:spacing w:after="160" w:line="259" w:lineRule="auto"/>
                                <w:ind w:left="0" w:right="0" w:firstLine="0"/>
                                <w:jc w:val="left"/>
                              </w:pPr>
                              <w:r>
                                <w:t xml:space="preserve"> </w:t>
                              </w:r>
                            </w:p>
                          </w:txbxContent>
                        </wps:txbx>
                        <wps:bodyPr horzOverflow="overflow" vert="horz" lIns="0" tIns="0" rIns="0" bIns="0" rtlCol="0">
                          <a:noAutofit/>
                        </wps:bodyPr>
                      </wps:wsp>
                      <wps:wsp>
                        <wps:cNvPr id="11043" name="Rectangle 11043"/>
                        <wps:cNvSpPr/>
                        <wps:spPr>
                          <a:xfrm>
                            <a:off x="5740349" y="5566581"/>
                            <a:ext cx="46619" cy="206430"/>
                          </a:xfrm>
                          <a:prstGeom prst="rect">
                            <a:avLst/>
                          </a:prstGeom>
                          <a:ln>
                            <a:noFill/>
                          </a:ln>
                        </wps:spPr>
                        <wps:txbx>
                          <w:txbxContent>
                            <w:p w:rsidR="00E8309B" w:rsidRDefault="009D0949">
                              <w:pPr>
                                <w:spacing w:after="160" w:line="259" w:lineRule="auto"/>
                                <w:ind w:left="0" w:right="0" w:firstLine="0"/>
                                <w:jc w:val="left"/>
                              </w:pPr>
                              <w:r>
                                <w:rPr>
                                  <w:sz w:val="22"/>
                                </w:rPr>
                                <w:t xml:space="preserve"> </w:t>
                              </w:r>
                            </w:p>
                          </w:txbxContent>
                        </wps:txbx>
                        <wps:bodyPr horzOverflow="overflow" vert="horz" lIns="0" tIns="0" rIns="0" bIns="0" rtlCol="0">
                          <a:noAutofit/>
                        </wps:bodyPr>
                      </wps:wsp>
                      <wps:wsp>
                        <wps:cNvPr id="11044" name="Rectangle 11044"/>
                        <wps:cNvSpPr/>
                        <wps:spPr>
                          <a:xfrm>
                            <a:off x="0" y="5789872"/>
                            <a:ext cx="2629294" cy="123536"/>
                          </a:xfrm>
                          <a:prstGeom prst="rect">
                            <a:avLst/>
                          </a:prstGeom>
                          <a:ln>
                            <a:noFill/>
                          </a:ln>
                        </wps:spPr>
                        <wps:txbx>
                          <w:txbxContent>
                            <w:p w:rsidR="00E8309B" w:rsidRDefault="009D0949">
                              <w:pPr>
                                <w:spacing w:after="160" w:line="259" w:lineRule="auto"/>
                                <w:ind w:left="0" w:right="0" w:firstLine="0"/>
                                <w:jc w:val="left"/>
                              </w:pPr>
                              <w:r>
                                <w:rPr>
                                  <w:sz w:val="16"/>
                                </w:rPr>
                                <w:t>Извор: Калкулација Министарства финансија</w:t>
                              </w:r>
                            </w:p>
                          </w:txbxContent>
                        </wps:txbx>
                        <wps:bodyPr horzOverflow="overflow" vert="horz" lIns="0" tIns="0" rIns="0" bIns="0" rtlCol="0">
                          <a:noAutofit/>
                        </wps:bodyPr>
                      </wps:wsp>
                      <wps:wsp>
                        <wps:cNvPr id="11045" name="Rectangle 11045"/>
                        <wps:cNvSpPr/>
                        <wps:spPr>
                          <a:xfrm>
                            <a:off x="1976958" y="5724881"/>
                            <a:ext cx="50673" cy="224381"/>
                          </a:xfrm>
                          <a:prstGeom prst="rect">
                            <a:avLst/>
                          </a:prstGeom>
                          <a:ln>
                            <a:noFill/>
                          </a:ln>
                        </wps:spPr>
                        <wps:txbx>
                          <w:txbxContent>
                            <w:p w:rsidR="00E8309B" w:rsidRDefault="009D0949">
                              <w:pPr>
                                <w:spacing w:after="160" w:line="259" w:lineRule="auto"/>
                                <w:ind w:left="0" w:right="0" w:firstLine="0"/>
                                <w:jc w:val="left"/>
                              </w:pPr>
                              <w:r>
                                <w:t xml:space="preserve"> </w:t>
                              </w:r>
                            </w:p>
                          </w:txbxContent>
                        </wps:txbx>
                        <wps:bodyPr horzOverflow="overflow" vert="horz" lIns="0" tIns="0" rIns="0" bIns="0" rtlCol="0">
                          <a:noAutofit/>
                        </wps:bodyPr>
                      </wps:wsp>
                      <pic:pic xmlns:pic="http://schemas.openxmlformats.org/drawingml/2006/picture">
                        <pic:nvPicPr>
                          <pic:cNvPr id="11090" name="Picture 11090"/>
                          <pic:cNvPicPr/>
                        </pic:nvPicPr>
                        <pic:blipFill>
                          <a:blip r:embed="rId144"/>
                          <a:stretch>
                            <a:fillRect/>
                          </a:stretch>
                        </pic:blipFill>
                        <pic:spPr>
                          <a:xfrm>
                            <a:off x="3782" y="2506234"/>
                            <a:ext cx="5734221" cy="3181549"/>
                          </a:xfrm>
                          <a:prstGeom prst="rect">
                            <a:avLst/>
                          </a:prstGeom>
                        </pic:spPr>
                      </pic:pic>
                    </wpg:wgp>
                  </a:graphicData>
                </a:graphic>
              </wp:inline>
            </w:drawing>
          </mc:Choice>
          <mc:Fallback xmlns:a="http://schemas.openxmlformats.org/drawingml/2006/main">
            <w:pict>
              <v:group id="Group 667268" style="width:488.386pt;height:467.5pt;mso-position-horizontal-relative:char;mso-position-vertical-relative:line" coordsize="62025,59372">
                <v:shape id="Picture 867945" style="position:absolute;width:62057;height:59405;left:-33;top:-45;" filled="f">
                  <v:imagedata r:id="rId145"/>
                </v:shape>
                <v:rect id="Rectangle 11013" style="position:absolute;width:40031;height:1843;left:0;top:284;" filled="f" stroked="f">
                  <v:textbox inset="0,0,0,0">
                    <w:txbxContent>
                      <w:p>
                        <w:pPr>
                          <w:spacing w:before="0" w:after="160" w:line="259" w:lineRule="auto"/>
                          <w:ind w:left="0" w:right="0" w:firstLine="0"/>
                          <w:jc w:val="left"/>
                        </w:pPr>
                        <w:r>
                          <w:rPr/>
                          <w:t xml:space="preserve">На основу података ЕК за земље ЕУ за 2019. </w:t>
                        </w:r>
                      </w:p>
                    </w:txbxContent>
                  </v:textbox>
                </v:rect>
                <v:rect id="Rectangle 11014" style="position:absolute;width:41693;height:1843;left:30208;top:284;" filled="f" stroked="f">
                  <v:textbox inset="0,0,0,0">
                    <w:txbxContent>
                      <w:p>
                        <w:pPr>
                          <w:spacing w:before="0" w:after="160" w:line="259" w:lineRule="auto"/>
                          <w:ind w:left="0" w:right="0" w:firstLine="0"/>
                          <w:jc w:val="left"/>
                        </w:pPr>
                        <w:r>
                          <w:rPr/>
                          <w:t xml:space="preserve">годину и обрачуна Министарства финансија за </w:t>
                        </w:r>
                      </w:p>
                    </w:txbxContent>
                  </v:textbox>
                </v:rect>
                <v:rect id="Rectangle 11015" style="position:absolute;width:33067;height:1843;left:0;top:2039;" filled="f" stroked="f">
                  <v:textbox inset="0,0,0,0">
                    <w:txbxContent>
                      <w:p>
                        <w:pPr>
                          <w:spacing w:before="0" w:after="160" w:line="259" w:lineRule="auto"/>
                          <w:ind w:left="0" w:right="0" w:firstLine="0"/>
                          <w:jc w:val="left"/>
                        </w:pPr>
                        <w:r>
                          <w:rPr/>
                          <w:t xml:space="preserve">Републику Србију, за период од 2016</w:t>
                        </w:r>
                      </w:p>
                    </w:txbxContent>
                  </v:textbox>
                </v:rect>
                <v:rect id="Rectangle 11016" style="position:absolute;width:1013;height:1843;left:24890;top:2039;" filled="f" stroked="f">
                  <v:textbox inset="0,0,0,0">
                    <w:txbxContent>
                      <w:p>
                        <w:pPr>
                          <w:spacing w:before="0" w:after="160" w:line="259" w:lineRule="auto"/>
                          <w:ind w:left="0" w:right="0" w:firstLine="0"/>
                          <w:jc w:val="left"/>
                        </w:pPr>
                        <w:r>
                          <w:rPr/>
                          <w:t xml:space="preserve">–</w:t>
                        </w:r>
                      </w:p>
                    </w:txbxContent>
                  </v:textbox>
                </v:rect>
                <v:rect id="Rectangle 667244" style="position:absolute;width:4053;height:1843;left:25652;top:2039;" filled="f" stroked="f">
                  <v:textbox inset="0,0,0,0">
                    <w:txbxContent>
                      <w:p>
                        <w:pPr>
                          <w:spacing w:before="0" w:after="160" w:line="259" w:lineRule="auto"/>
                          <w:ind w:left="0" w:right="0" w:firstLine="0"/>
                          <w:jc w:val="left"/>
                        </w:pPr>
                        <w:r>
                          <w:rPr/>
                          <w:t xml:space="preserve">2019</w:t>
                        </w:r>
                      </w:p>
                    </w:txbxContent>
                  </v:textbox>
                </v:rect>
                <v:rect id="Rectangle 667245" style="position:absolute;width:43702;height:1843;left:28700;top:2039;" filled="f" stroked="f">
                  <v:textbox inset="0,0,0,0">
                    <w:txbxContent>
                      <w:p>
                        <w:pPr>
                          <w:spacing w:before="0" w:after="160" w:line="259" w:lineRule="auto"/>
                          <w:ind w:left="0" w:right="0" w:firstLine="0"/>
                          <w:jc w:val="left"/>
                        </w:pPr>
                        <w:r>
                          <w:rPr/>
                          <w:t xml:space="preserve">. године закључујемо да ниједна од посматраних </w:t>
                        </w:r>
                      </w:p>
                    </w:txbxContent>
                  </v:textbox>
                </v:rect>
                <v:rect id="Rectangle 11018" style="position:absolute;width:81840;height:1843;left:0;top:3792;" filled="f" stroked="f">
                  <v:textbox inset="0,0,0,0">
                    <w:txbxContent>
                      <w:p>
                        <w:pPr>
                          <w:spacing w:before="0" w:after="160" w:line="259" w:lineRule="auto"/>
                          <w:ind w:left="0" w:right="0" w:firstLine="0"/>
                          <w:jc w:val="left"/>
                        </w:pPr>
                        <w:r>
                          <w:rPr/>
                          <w:t xml:space="preserve">земаља није била изложена краткорочном ризику реализације фискалног стреса, будући да </w:t>
                        </w:r>
                      </w:p>
                    </w:txbxContent>
                  </v:textbox>
                </v:rect>
                <v:rect id="Rectangle 11019" style="position:absolute;width:39565;height:1843;left:0;top:5544;" filled="f" stroked="f">
                  <v:textbox inset="0,0,0,0">
                    <w:txbxContent>
                      <w:p>
                        <w:pPr>
                          <w:spacing w:before="0" w:after="160" w:line="259" w:lineRule="auto"/>
                          <w:ind w:left="0" w:right="0" w:firstLine="0"/>
                          <w:jc w:val="left"/>
                        </w:pPr>
                        <w:r>
                          <w:rPr/>
                          <w:t xml:space="preserve">вредност S0 нигде не премашује дефиниса</w:t>
                        </w:r>
                      </w:p>
                    </w:txbxContent>
                  </v:textbox>
                </v:rect>
                <v:rect id="Rectangle 11020" style="position:absolute;width:42283;height:1843;left:29767;top:5544;" filled="f" stroked="f">
                  <v:textbox inset="0,0,0,0">
                    <w:txbxContent>
                      <w:p>
                        <w:pPr>
                          <w:spacing w:before="0" w:after="160" w:line="259" w:lineRule="auto"/>
                          <w:ind w:left="0" w:right="0" w:firstLine="0"/>
                          <w:jc w:val="left"/>
                        </w:pPr>
                        <w:r>
                          <w:rPr/>
                          <w:t xml:space="preserve">ни праг. Поједине земље биле су суочене са </w:t>
                        </w:r>
                      </w:p>
                    </w:txbxContent>
                  </v:textbox>
                </v:rect>
                <v:rect id="Rectangle 11021" style="position:absolute;width:24000;height:1843;left:0;top:7297;" filled="f" stroked="f">
                  <v:textbox inset="0,0,0,0">
                    <w:txbxContent>
                      <w:p>
                        <w:pPr>
                          <w:spacing w:before="0" w:after="160" w:line="259" w:lineRule="auto"/>
                          <w:ind w:left="0" w:right="0" w:firstLine="0"/>
                          <w:jc w:val="left"/>
                        </w:pPr>
                        <w:r>
                          <w:rPr/>
                          <w:t xml:space="preserve">фискалним односно макро</w:t>
                        </w:r>
                      </w:p>
                    </w:txbxContent>
                  </v:textbox>
                </v:rect>
                <v:rect id="Rectangle 11022" style="position:absolute;width:674;height:2243;left:18062;top:6996;" filled="f" stroked="f">
                  <v:textbox inset="0,0,0,0">
                    <w:txbxContent>
                      <w:p>
                        <w:pPr>
                          <w:spacing w:before="0" w:after="160" w:line="259" w:lineRule="auto"/>
                          <w:ind w:left="0" w:right="0" w:firstLine="0"/>
                          <w:jc w:val="left"/>
                        </w:pPr>
                        <w:r>
                          <w:rPr/>
                          <w:t xml:space="preserve">-</w:t>
                        </w:r>
                      </w:p>
                    </w:txbxContent>
                  </v:textbox>
                </v:rect>
                <v:rect id="Rectangle 11023" style="position:absolute;width:57167;height:1843;left:18565;top:7297;" filled="f" stroked="f">
                  <v:textbox inset="0,0,0,0">
                    <w:txbxContent>
                      <w:p>
                        <w:pPr>
                          <w:spacing w:before="0" w:after="160" w:line="259" w:lineRule="auto"/>
                          <w:ind w:left="0" w:right="0" w:firstLine="0"/>
                          <w:jc w:val="left"/>
                        </w:pPr>
                        <w:r>
                          <w:rPr/>
                          <w:t xml:space="preserve">финансијским изазовима, док се Република Србија заједно са </w:t>
                        </w:r>
                      </w:p>
                    </w:txbxContent>
                  </v:textbox>
                </v:rect>
                <v:rect id="Rectangle 11024" style="position:absolute;width:81847;height:1843;left:0;top:9049;" filled="f" stroked="f">
                  <v:textbox inset="0,0,0,0">
                    <w:txbxContent>
                      <w:p>
                        <w:pPr>
                          <w:spacing w:before="0" w:after="160" w:line="259" w:lineRule="auto"/>
                          <w:ind w:left="0" w:right="0" w:firstLine="0"/>
                          <w:jc w:val="left"/>
                        </w:pPr>
                        <w:r>
                          <w:rPr/>
                          <w:t xml:space="preserve">већином земаља ЕУ и даље налазила унутар дефинисаних прагова S0 индикатора. </w:t>
                        </w:r>
                      </w:p>
                    </w:txbxContent>
                  </v:textbox>
                </v:rect>
                <v:rect id="Rectangle 11025" style="position:absolute;width:52756;height:1843;left:0;top:10802;" filled="f" stroked="f">
                  <v:textbox inset="0,0,0,0">
                    <w:txbxContent>
                      <w:p>
                        <w:pPr>
                          <w:spacing w:before="0" w:after="160" w:line="259" w:lineRule="auto"/>
                          <w:ind w:left="0" w:right="0" w:firstLine="0"/>
                          <w:jc w:val="left"/>
                        </w:pPr>
                        <w:r>
                          <w:rPr/>
                          <w:t xml:space="preserve">Минимизирање потенцијалних ризика за настанак фискално</w:t>
                        </w:r>
                      </w:p>
                    </w:txbxContent>
                  </v:textbox>
                </v:rect>
                <v:rect id="Rectangle 11026" style="position:absolute;width:29088;height:1843;left:39706;top:10802;" filled="f" stroked="f">
                  <v:textbox inset="0,0,0,0">
                    <w:txbxContent>
                      <w:p>
                        <w:pPr>
                          <w:spacing w:before="0" w:after="160" w:line="259" w:lineRule="auto"/>
                          <w:ind w:left="0" w:right="0" w:firstLine="0"/>
                          <w:jc w:val="left"/>
                        </w:pPr>
                        <w:r>
                          <w:rPr/>
                          <w:t xml:space="preserve">г стреса у посматраним земљама </w:t>
                        </w:r>
                      </w:p>
                    </w:txbxContent>
                  </v:textbox>
                </v:rect>
                <v:rect id="Rectangle 11027" style="position:absolute;width:81875;height:1843;left:0;top:12555;" filled="f" stroked="f">
                  <v:textbox inset="0,0,0,0">
                    <w:txbxContent>
                      <w:p>
                        <w:pPr>
                          <w:spacing w:before="0" w:after="160" w:line="259" w:lineRule="auto"/>
                          <w:ind w:left="0" w:right="0" w:firstLine="0"/>
                          <w:jc w:val="left"/>
                        </w:pPr>
                        <w:r>
                          <w:rPr/>
                          <w:t xml:space="preserve">допринело је стварању простора за доношење мера економске политике без преседана по свом </w:t>
                        </w:r>
                      </w:p>
                    </w:txbxContent>
                  </v:textbox>
                </v:rect>
                <v:rect id="Rectangle 11028" style="position:absolute;width:70883;height:1843;left:0;top:14307;" filled="f" stroked="f">
                  <v:textbox inset="0,0,0,0">
                    <w:txbxContent>
                      <w:p>
                        <w:pPr>
                          <w:spacing w:before="0" w:after="160" w:line="259" w:lineRule="auto"/>
                          <w:ind w:left="0" w:right="0" w:firstLine="0"/>
                          <w:jc w:val="left"/>
                        </w:pPr>
                        <w:r>
                          <w:rPr/>
                          <w:t xml:space="preserve">обиму, а као одговор на здравствену кризу која се прелила у све сфере економије.</w:t>
                        </w:r>
                      </w:p>
                    </w:txbxContent>
                  </v:textbox>
                </v:rect>
                <v:rect id="Rectangle 11029" style="position:absolute;width:506;height:2243;left:53319;top:14006;" filled="f" stroked="f">
                  <v:textbox inset="0,0,0,0">
                    <w:txbxContent>
                      <w:p>
                        <w:pPr>
                          <w:spacing w:before="0" w:after="160" w:line="259" w:lineRule="auto"/>
                          <w:ind w:left="0" w:right="0" w:firstLine="0"/>
                          <w:jc w:val="left"/>
                        </w:pPr>
                        <w:r>
                          <w:rPr/>
                          <w:t xml:space="preserve"> </w:t>
                        </w:r>
                      </w:p>
                    </w:txbxContent>
                  </v:textbox>
                </v:rect>
                <v:rect id="Rectangle 11030" style="position:absolute;width:51350;height:1843;left:0;top:16822;" filled="f" stroked="f">
                  <v:textbox inset="0,0,0,0">
                    <w:txbxContent>
                      <w:p>
                        <w:pPr>
                          <w:spacing w:before="0" w:after="160" w:line="259" w:lineRule="auto"/>
                          <w:ind w:left="0" w:right="0" w:firstLine="0"/>
                          <w:jc w:val="left"/>
                        </w:pPr>
                        <w:r>
                          <w:rPr/>
                          <w:t xml:space="preserve">Обрачун S0 индикатора за Републику Србију је урађен од </w:t>
                        </w:r>
                      </w:p>
                    </w:txbxContent>
                  </v:textbox>
                </v:rect>
                <v:rect id="Rectangle 11031" style="position:absolute;width:30381;height:1843;left:38730;top:16822;" filled="f" stroked="f">
                  <v:textbox inset="0,0,0,0">
                    <w:txbxContent>
                      <w:p>
                        <w:pPr>
                          <w:spacing w:before="0" w:after="160" w:line="259" w:lineRule="auto"/>
                          <w:ind w:left="0" w:right="0" w:firstLine="0"/>
                          <w:jc w:val="left"/>
                        </w:pPr>
                        <w:r>
                          <w:rPr/>
                          <w:t xml:space="preserve">стране Министарства финансија и </w:t>
                        </w:r>
                      </w:p>
                    </w:txbxContent>
                  </v:textbox>
                </v:rect>
                <v:rect id="Rectangle 11032" style="position:absolute;width:26372;height:1843;left:0;top:18574;" filled="f" stroked="f">
                  <v:textbox inset="0,0,0,0">
                    <w:txbxContent>
                      <w:p>
                        <w:pPr>
                          <w:spacing w:before="0" w:after="160" w:line="259" w:lineRule="auto"/>
                          <w:ind w:left="0" w:right="0" w:firstLine="0"/>
                          <w:jc w:val="left"/>
                        </w:pPr>
                        <w:r>
                          <w:rPr/>
                          <w:t xml:space="preserve">базира се на методологији ЕК.</w:t>
                        </w:r>
                      </w:p>
                    </w:txbxContent>
                  </v:textbox>
                </v:rect>
                <v:rect id="Rectangle 11033" style="position:absolute;width:1368;height:1503;left:19830;top:18142;" filled="f" stroked="f">
                  <v:textbox inset="0,0,0,0">
                    <w:txbxContent>
                      <w:p>
                        <w:pPr>
                          <w:spacing w:before="0" w:after="160" w:line="259" w:lineRule="auto"/>
                          <w:ind w:left="0" w:right="0" w:firstLine="0"/>
                          <w:jc w:val="left"/>
                        </w:pPr>
                        <w:r>
                          <w:rPr>
                            <w:color w:val="44546a"/>
                            <w:sz w:val="16"/>
                          </w:rPr>
                          <w:t xml:space="preserve">11</w:t>
                        </w:r>
                      </w:p>
                    </w:txbxContent>
                  </v:textbox>
                </v:rect>
                <v:rect id="Rectangle 11034" style="position:absolute;width:506;height:2243;left:20866;top:18273;" filled="f" stroked="f">
                  <v:textbox inset="0,0,0,0">
                    <w:txbxContent>
                      <w:p>
                        <w:pPr>
                          <w:spacing w:before="0" w:after="160" w:line="259" w:lineRule="auto"/>
                          <w:ind w:left="0" w:right="0" w:firstLine="0"/>
                          <w:jc w:val="left"/>
                        </w:pPr>
                        <w:r>
                          <w:rPr/>
                          <w:t xml:space="preserve"> </w:t>
                        </w:r>
                      </w:p>
                    </w:txbxContent>
                  </v:textbox>
                </v:rect>
                <v:rect id="Rectangle 11035" style="position:absolute;width:46981;height:1843;left:0;top:21089;" filled="f" stroked="f">
                  <v:textbox inset="0,0,0,0">
                    <w:txbxContent>
                      <w:p>
                        <w:pPr>
                          <w:spacing w:before="0" w:after="160" w:line="259" w:lineRule="auto"/>
                          <w:ind w:left="0" w:right="0" w:firstLine="0"/>
                          <w:jc w:val="left"/>
                        </w:pPr>
                        <w:r>
                          <w:rPr/>
                          <w:t xml:space="preserve">Графикон 7. Фискални подиндекс и подиндекс макро</w:t>
                        </w:r>
                      </w:p>
                    </w:txbxContent>
                  </v:textbox>
                </v:rect>
                <v:rect id="Rectangle 11036" style="position:absolute;width:674;height:2243;left:35362;top:20788;" filled="f" stroked="f">
                  <v:textbox inset="0,0,0,0">
                    <w:txbxContent>
                      <w:p>
                        <w:pPr>
                          <w:spacing w:before="0" w:after="160" w:line="259" w:lineRule="auto"/>
                          <w:ind w:left="0" w:right="0" w:firstLine="0"/>
                          <w:jc w:val="left"/>
                        </w:pPr>
                        <w:r>
                          <w:rPr/>
                          <w:t xml:space="preserve">-</w:t>
                        </w:r>
                      </w:p>
                    </w:txbxContent>
                  </v:textbox>
                </v:rect>
                <v:rect id="Rectangle 11037" style="position:absolute;width:34179;height:1843;left:35865;top:21089;" filled="f" stroked="f">
                  <v:textbox inset="0,0,0,0">
                    <w:txbxContent>
                      <w:p>
                        <w:pPr>
                          <w:spacing w:before="0" w:after="160" w:line="259" w:lineRule="auto"/>
                          <w:ind w:left="0" w:right="0" w:firstLine="0"/>
                          <w:jc w:val="left"/>
                        </w:pPr>
                        <w:r>
                          <w:rPr/>
                          <w:t xml:space="preserve">финансијске конкурентности за земље </w:t>
                        </w:r>
                      </w:p>
                    </w:txbxContent>
                  </v:textbox>
                </v:rect>
                <v:rect id="Rectangle 11038" style="position:absolute;width:38550;height:1843;left:0;top:22845;" filled="f" stroked="f">
                  <v:textbox inset="0,0,0,0">
                    <w:txbxContent>
                      <w:p>
                        <w:pPr>
                          <w:spacing w:before="0" w:after="160" w:line="259" w:lineRule="auto"/>
                          <w:ind w:left="0" w:right="0" w:firstLine="0"/>
                          <w:jc w:val="left"/>
                        </w:pPr>
                        <w:r>
                          <w:rPr/>
                          <w:t xml:space="preserve">ЕУ за 2019. годину и Србију за период 2017 </w:t>
                        </w:r>
                      </w:p>
                    </w:txbxContent>
                  </v:textbox>
                </v:rect>
                <v:rect id="Rectangle 11039" style="position:absolute;width:1013;height:1843;left:29005;top:22845;" filled="f" stroked="f">
                  <v:textbox inset="0,0,0,0">
                    <w:txbxContent>
                      <w:p>
                        <w:pPr>
                          <w:spacing w:before="0" w:after="160" w:line="259" w:lineRule="auto"/>
                          <w:ind w:left="0" w:right="0" w:firstLine="0"/>
                          <w:jc w:val="left"/>
                        </w:pPr>
                        <w:r>
                          <w:rPr/>
                          <w:t xml:space="preserve">–</w:t>
                        </w:r>
                      </w:p>
                    </w:txbxContent>
                  </v:textbox>
                </v:rect>
                <v:rect id="Rectangle 11040" style="position:absolute;width:506;height:2243;left:29767;top:22544;" filled="f" stroked="f">
                  <v:textbox inset="0,0,0,0">
                    <w:txbxContent>
                      <w:p>
                        <w:pPr>
                          <w:spacing w:before="0" w:after="160" w:line="259" w:lineRule="auto"/>
                          <w:ind w:left="0" w:right="0" w:firstLine="0"/>
                          <w:jc w:val="left"/>
                        </w:pPr>
                        <w:r>
                          <w:rPr/>
                          <w:t xml:space="preserve"> </w:t>
                        </w:r>
                      </w:p>
                    </w:txbxContent>
                  </v:textbox>
                </v:rect>
                <v:rect id="Rectangle 667246" style="position:absolute;width:4053;height:1843;left:30148;top:22845;" filled="f" stroked="f">
                  <v:textbox inset="0,0,0,0">
                    <w:txbxContent>
                      <w:p>
                        <w:pPr>
                          <w:spacing w:before="0" w:after="160" w:line="259" w:lineRule="auto"/>
                          <w:ind w:left="0" w:right="0" w:firstLine="0"/>
                          <w:jc w:val="left"/>
                        </w:pPr>
                        <w:r>
                          <w:rPr/>
                          <w:t xml:space="preserve">2019</w:t>
                        </w:r>
                      </w:p>
                    </w:txbxContent>
                  </v:textbox>
                </v:rect>
                <v:rect id="Rectangle 667247" style="position:absolute;width:6976;height:1843;left:33196;top:22845;" filled="f" stroked="f">
                  <v:textbox inset="0,0,0,0">
                    <w:txbxContent>
                      <w:p>
                        <w:pPr>
                          <w:spacing w:before="0" w:after="160" w:line="259" w:lineRule="auto"/>
                          <w:ind w:left="0" w:right="0" w:firstLine="0"/>
                          <w:jc w:val="left"/>
                        </w:pPr>
                        <w:r>
                          <w:rPr/>
                          <w:t xml:space="preserve">. године</w:t>
                        </w:r>
                      </w:p>
                    </w:txbxContent>
                  </v:textbox>
                </v:rect>
                <v:rect id="Rectangle 11042" style="position:absolute;width:506;height:2243;left:38425;top:22544;" filled="f" stroked="f">
                  <v:textbox inset="0,0,0,0">
                    <w:txbxContent>
                      <w:p>
                        <w:pPr>
                          <w:spacing w:before="0" w:after="160" w:line="259" w:lineRule="auto"/>
                          <w:ind w:left="0" w:right="0" w:firstLine="0"/>
                          <w:jc w:val="left"/>
                        </w:pPr>
                        <w:r>
                          <w:rPr/>
                          <w:t xml:space="preserve"> </w:t>
                        </w:r>
                      </w:p>
                    </w:txbxContent>
                  </v:textbox>
                </v:rect>
                <v:rect id="Rectangle 11043" style="position:absolute;width:466;height:2064;left:57403;top:55665;" filled="f" stroked="f">
                  <v:textbox inset="0,0,0,0">
                    <w:txbxContent>
                      <w:p>
                        <w:pPr>
                          <w:spacing w:before="0" w:after="160" w:line="259" w:lineRule="auto"/>
                          <w:ind w:left="0" w:right="0" w:firstLine="0"/>
                          <w:jc w:val="left"/>
                        </w:pPr>
                        <w:r>
                          <w:rPr>
                            <w:sz w:val="22"/>
                          </w:rPr>
                          <w:t xml:space="preserve"> </w:t>
                        </w:r>
                      </w:p>
                    </w:txbxContent>
                  </v:textbox>
                </v:rect>
                <v:rect id="Rectangle 11044" style="position:absolute;width:26292;height:1235;left:0;top:57898;" filled="f" stroked="f">
                  <v:textbox inset="0,0,0,0">
                    <w:txbxContent>
                      <w:p>
                        <w:pPr>
                          <w:spacing w:before="0" w:after="160" w:line="259" w:lineRule="auto"/>
                          <w:ind w:left="0" w:right="0" w:firstLine="0"/>
                          <w:jc w:val="left"/>
                        </w:pPr>
                        <w:r>
                          <w:rPr>
                            <w:sz w:val="16"/>
                          </w:rPr>
                          <w:t xml:space="preserve">Извор: Калкулација Министарства финансија</w:t>
                        </w:r>
                      </w:p>
                    </w:txbxContent>
                  </v:textbox>
                </v:rect>
                <v:rect id="Rectangle 11045" style="position:absolute;width:506;height:2243;left:19769;top:57248;" filled="f" stroked="f">
                  <v:textbox inset="0,0,0,0">
                    <w:txbxContent>
                      <w:p>
                        <w:pPr>
                          <w:spacing w:before="0" w:after="160" w:line="259" w:lineRule="auto"/>
                          <w:ind w:left="0" w:right="0" w:firstLine="0"/>
                          <w:jc w:val="left"/>
                        </w:pPr>
                        <w:r>
                          <w:rPr/>
                          <w:t xml:space="preserve"> </w:t>
                        </w:r>
                      </w:p>
                    </w:txbxContent>
                  </v:textbox>
                </v:rect>
                <v:shape id="Picture 11090" style="position:absolute;width:57342;height:31815;left:37;top:25062;" filled="f">
                  <v:imagedata r:id="rId146"/>
                </v:shape>
              </v:group>
            </w:pict>
          </mc:Fallback>
        </mc:AlternateContent>
      </w:r>
    </w:p>
    <w:p w:rsidR="00E8309B" w:rsidRDefault="009D0949">
      <w:pPr>
        <w:pStyle w:val="Heading2"/>
        <w:spacing w:after="101"/>
        <w:ind w:left="405" w:right="9" w:hanging="420"/>
      </w:pPr>
      <w:r>
        <w:t xml:space="preserve">ФИСКАЛНЕ ПРОЈЕКЦИЈЕ У ПЕРИОДУ 2021–2023. ГОДИНЕ </w:t>
      </w:r>
    </w:p>
    <w:p w:rsidR="00E8309B" w:rsidRDefault="009D0949">
      <w:pPr>
        <w:spacing w:after="91"/>
        <w:ind w:left="-5" w:right="17"/>
      </w:pPr>
      <w:r>
        <w:t>У наредном средњорочном периоду економска и фискална политика зависиће од развоја пандемије и успеха на пољу борбе против ње. Циљеви фискалне политике свакако су усмерени на одржање фискалне стабилност</w:t>
      </w:r>
      <w:r>
        <w:t>и и смањење учешћа јавног дуга у БДП. Средњорочни фискални оквир предвиђа постепено смањење дефицита опште државе на ниво од 1,0% БДП до 2023. године и пад учешћа јавног дуга на 56,0% БДП. Пројекције фискалних агрегата у периоду од 2020. до 2023. године за</w:t>
      </w:r>
      <w:r>
        <w:t xml:space="preserve">снивају се на пројекцијама макроекономских показатеља за наведени период, планираној пореској политици која подразумева даље усаглашавање са законима и директивама ЕУ и фискалним и структурним мерама, укључујући и даљу реформу великих јавних предузећа. </w:t>
      </w:r>
    </w:p>
    <w:p w:rsidR="00E8309B" w:rsidRDefault="009D0949">
      <w:pPr>
        <w:ind w:left="-5" w:right="17"/>
      </w:pPr>
      <w:r>
        <w:t>За</w:t>
      </w:r>
      <w:r>
        <w:t>хваљујући мерама фискалне консолидације у претходном периоду створен је фискални простор који је омогућио богат пакет мера у склопу борбе против ефеката кризе изазване пандемијом током 2020. године. У наредној години не очекује се истоветан утицај пандемиј</w:t>
      </w:r>
      <w:r>
        <w:t xml:space="preserve">е који би захтевао сличан пакет мера, али биће обезбеђене одређене резерве у случају новог </w:t>
      </w:r>
    </w:p>
    <w:p w:rsidR="00E8309B" w:rsidRDefault="009D0949">
      <w:pPr>
        <w:spacing w:after="0" w:line="259" w:lineRule="auto"/>
        <w:ind w:left="0" w:right="0" w:firstLine="0"/>
        <w:jc w:val="left"/>
      </w:pPr>
      <w:r>
        <w:rPr>
          <w:rFonts w:ascii="Calibri" w:eastAsia="Calibri" w:hAnsi="Calibri" w:cs="Calibri"/>
          <w:strike/>
          <w:sz w:val="22"/>
        </w:rPr>
        <w:t xml:space="preserve">                                                         </w:t>
      </w:r>
      <w:r>
        <w:rPr>
          <w:rFonts w:ascii="Calibri" w:eastAsia="Calibri" w:hAnsi="Calibri" w:cs="Calibri"/>
          <w:sz w:val="22"/>
        </w:rPr>
        <w:t xml:space="preserve"> </w:t>
      </w:r>
    </w:p>
    <w:p w:rsidR="00E8309B" w:rsidRDefault="009D0949">
      <w:pPr>
        <w:spacing w:after="0" w:line="277" w:lineRule="auto"/>
        <w:ind w:left="0" w:right="21" w:firstLine="0"/>
      </w:pPr>
      <w:r>
        <w:rPr>
          <w:sz w:val="16"/>
          <w:vertAlign w:val="superscript"/>
        </w:rPr>
        <w:lastRenderedPageBreak/>
        <w:t>11</w:t>
      </w:r>
      <w:r>
        <w:rPr>
          <w:sz w:val="16"/>
        </w:rPr>
        <w:t xml:space="preserve"> Детаљнија дефиниција S0 индикатора као и опис коришћене методологије и резултата могу се пронаћи у Фис</w:t>
      </w:r>
      <w:r>
        <w:rPr>
          <w:sz w:val="16"/>
        </w:rPr>
        <w:t xml:space="preserve">калној стратегији за 2018. годину са пројекцијама за 2019. и 2020. годину путем линка </w:t>
      </w:r>
      <w:hyperlink r:id="rId147">
        <w:r>
          <w:rPr>
            <w:sz w:val="16"/>
          </w:rPr>
          <w:t>http://www.mfin.gov.rs/pages/issue.php?id=8382</w:t>
        </w:r>
      </w:hyperlink>
      <w:hyperlink r:id="rId148">
        <w:r>
          <w:rPr>
            <w:sz w:val="16"/>
          </w:rPr>
          <w:t xml:space="preserve"> </w:t>
        </w:r>
      </w:hyperlink>
      <w:r>
        <w:rPr>
          <w:sz w:val="16"/>
        </w:rPr>
        <w:t xml:space="preserve">и извештају ЕК “Fiscal Sustainability report 2015” 25, Јануар 2016, 157–158. </w:t>
      </w:r>
    </w:p>
    <w:p w:rsidR="00E8309B" w:rsidRDefault="009D0949">
      <w:pPr>
        <w:spacing w:after="150"/>
        <w:ind w:left="-5" w:right="17"/>
      </w:pPr>
      <w:r>
        <w:t>погоршања економских кретања. Фискални простор ће у 2021. години бити искоришћен за повећање капиталних инвестиција, додатно улагање у здравствени систем, умерено повећа</w:t>
      </w:r>
      <w:r>
        <w:t>ње пензија и плата у јавном сектору, те за пореско растерећење привреде. Ове мере и њихове фискалне импликације дизајниране су тако да не угрозе стабилност јавних финансија и темпо смањења јавног дуга, затим да одрже животни стандард становништва и помогну</w:t>
      </w:r>
      <w:r>
        <w:t xml:space="preserve"> привредни развој, али и да осигурају флексибилност реакције на евентуалне нове ударе кризе. </w:t>
      </w:r>
    </w:p>
    <w:p w:rsidR="00E8309B" w:rsidRDefault="009D0949">
      <w:pPr>
        <w:spacing w:after="6"/>
        <w:ind w:left="-5" w:right="17"/>
      </w:pPr>
      <w:r>
        <w:t xml:space="preserve">Табела 8. Фискални агрегати у периоду 2019–2023. године, % БДП </w:t>
      </w:r>
    </w:p>
    <w:tbl>
      <w:tblPr>
        <w:tblStyle w:val="TableGrid"/>
        <w:tblW w:w="9655" w:type="dxa"/>
        <w:tblInd w:w="-15" w:type="dxa"/>
        <w:tblCellMar>
          <w:top w:w="26" w:type="dxa"/>
          <w:left w:w="0" w:type="dxa"/>
          <w:bottom w:w="0" w:type="dxa"/>
          <w:right w:w="61" w:type="dxa"/>
        </w:tblCellMar>
        <w:tblLook w:val="04A0" w:firstRow="1" w:lastRow="0" w:firstColumn="1" w:lastColumn="0" w:noHBand="0" w:noVBand="1"/>
      </w:tblPr>
      <w:tblGrid>
        <w:gridCol w:w="4299"/>
        <w:gridCol w:w="1323"/>
        <w:gridCol w:w="1406"/>
        <w:gridCol w:w="553"/>
        <w:gridCol w:w="1594"/>
        <w:gridCol w:w="480"/>
      </w:tblGrid>
      <w:tr w:rsidR="00E8309B">
        <w:trPr>
          <w:trHeight w:val="264"/>
        </w:trPr>
        <w:tc>
          <w:tcPr>
            <w:tcW w:w="4299" w:type="dxa"/>
            <w:tcBorders>
              <w:top w:val="single" w:sz="4" w:space="0" w:color="002060"/>
              <w:left w:val="nil"/>
              <w:bottom w:val="single" w:sz="4" w:space="0" w:color="002060"/>
              <w:right w:val="nil"/>
            </w:tcBorders>
          </w:tcPr>
          <w:p w:rsidR="00E8309B" w:rsidRDefault="009D0949">
            <w:pPr>
              <w:spacing w:after="0" w:line="259" w:lineRule="auto"/>
              <w:ind w:left="123" w:right="0" w:firstLine="0"/>
              <w:jc w:val="left"/>
            </w:pPr>
            <w:r>
              <w:rPr>
                <w:b/>
                <w:sz w:val="18"/>
              </w:rPr>
              <w:t>Опис</w:t>
            </w:r>
            <w:r>
              <w:rPr>
                <w:sz w:val="18"/>
              </w:rPr>
              <w:t xml:space="preserve"> </w:t>
            </w:r>
          </w:p>
        </w:tc>
        <w:tc>
          <w:tcPr>
            <w:tcW w:w="1323" w:type="dxa"/>
            <w:tcBorders>
              <w:top w:val="single" w:sz="4" w:space="0" w:color="002060"/>
              <w:left w:val="nil"/>
              <w:bottom w:val="single" w:sz="4" w:space="0" w:color="002060"/>
              <w:right w:val="nil"/>
            </w:tcBorders>
          </w:tcPr>
          <w:p w:rsidR="00E8309B" w:rsidRDefault="009D0949">
            <w:pPr>
              <w:spacing w:after="0" w:line="259" w:lineRule="auto"/>
              <w:ind w:left="0" w:right="0" w:firstLine="0"/>
              <w:jc w:val="left"/>
            </w:pPr>
            <w:r>
              <w:rPr>
                <w:b/>
                <w:sz w:val="18"/>
              </w:rPr>
              <w:t>Извршење</w:t>
            </w:r>
            <w:r>
              <w:rPr>
                <w:sz w:val="18"/>
              </w:rPr>
              <w:t xml:space="preserve"> </w:t>
            </w:r>
          </w:p>
        </w:tc>
        <w:tc>
          <w:tcPr>
            <w:tcW w:w="1406" w:type="dxa"/>
            <w:tcBorders>
              <w:top w:val="single" w:sz="4" w:space="0" w:color="002060"/>
              <w:left w:val="nil"/>
              <w:bottom w:val="single" w:sz="4" w:space="0" w:color="002060"/>
              <w:right w:val="nil"/>
            </w:tcBorders>
          </w:tcPr>
          <w:p w:rsidR="00E8309B" w:rsidRDefault="009D0949">
            <w:pPr>
              <w:spacing w:after="0" w:line="259" w:lineRule="auto"/>
              <w:ind w:left="0" w:right="0" w:firstLine="0"/>
              <w:jc w:val="left"/>
            </w:pPr>
            <w:r>
              <w:rPr>
                <w:b/>
                <w:sz w:val="18"/>
              </w:rPr>
              <w:t>Процена</w:t>
            </w:r>
            <w:r>
              <w:rPr>
                <w:sz w:val="18"/>
              </w:rPr>
              <w:t xml:space="preserve"> </w:t>
            </w:r>
          </w:p>
        </w:tc>
        <w:tc>
          <w:tcPr>
            <w:tcW w:w="553" w:type="dxa"/>
            <w:tcBorders>
              <w:top w:val="single" w:sz="4" w:space="0" w:color="002060"/>
              <w:left w:val="nil"/>
              <w:bottom w:val="single" w:sz="4" w:space="0" w:color="002060"/>
              <w:right w:val="nil"/>
            </w:tcBorders>
          </w:tcPr>
          <w:p w:rsidR="00E8309B" w:rsidRDefault="00E8309B">
            <w:pPr>
              <w:spacing w:after="160" w:line="259" w:lineRule="auto"/>
              <w:ind w:left="0" w:right="0" w:firstLine="0"/>
              <w:jc w:val="left"/>
            </w:pPr>
          </w:p>
        </w:tc>
        <w:tc>
          <w:tcPr>
            <w:tcW w:w="1594" w:type="dxa"/>
            <w:tcBorders>
              <w:top w:val="single" w:sz="4" w:space="0" w:color="002060"/>
              <w:left w:val="nil"/>
              <w:bottom w:val="single" w:sz="4" w:space="0" w:color="002060"/>
              <w:right w:val="nil"/>
            </w:tcBorders>
          </w:tcPr>
          <w:p w:rsidR="00E8309B" w:rsidRDefault="009D0949">
            <w:pPr>
              <w:spacing w:after="0" w:line="259" w:lineRule="auto"/>
              <w:ind w:left="0" w:right="0" w:firstLine="0"/>
              <w:jc w:val="left"/>
            </w:pPr>
            <w:r>
              <w:rPr>
                <w:b/>
                <w:sz w:val="18"/>
              </w:rPr>
              <w:t>Пројекција</w:t>
            </w:r>
            <w:r>
              <w:rPr>
                <w:sz w:val="18"/>
              </w:rPr>
              <w:t xml:space="preserve"> </w:t>
            </w:r>
          </w:p>
        </w:tc>
        <w:tc>
          <w:tcPr>
            <w:tcW w:w="480" w:type="dxa"/>
            <w:tcBorders>
              <w:top w:val="single" w:sz="4" w:space="0" w:color="002060"/>
              <w:left w:val="nil"/>
              <w:bottom w:val="single" w:sz="4" w:space="0" w:color="002060"/>
              <w:right w:val="nil"/>
            </w:tcBorders>
          </w:tcPr>
          <w:p w:rsidR="00E8309B" w:rsidRDefault="00E8309B">
            <w:pPr>
              <w:spacing w:after="160" w:line="259" w:lineRule="auto"/>
              <w:ind w:left="0" w:right="0" w:firstLine="0"/>
              <w:jc w:val="left"/>
            </w:pPr>
          </w:p>
        </w:tc>
      </w:tr>
      <w:tr w:rsidR="00E8309B">
        <w:trPr>
          <w:trHeight w:val="264"/>
        </w:trPr>
        <w:tc>
          <w:tcPr>
            <w:tcW w:w="4299" w:type="dxa"/>
            <w:vMerge w:val="restart"/>
            <w:tcBorders>
              <w:top w:val="single" w:sz="4" w:space="0" w:color="002060"/>
              <w:left w:val="nil"/>
              <w:bottom w:val="nil"/>
              <w:right w:val="nil"/>
            </w:tcBorders>
          </w:tcPr>
          <w:p w:rsidR="00E8309B" w:rsidRDefault="009D0949">
            <w:pPr>
              <w:spacing w:after="71" w:line="259" w:lineRule="auto"/>
              <w:ind w:left="123" w:right="0" w:firstLine="0"/>
              <w:jc w:val="left"/>
            </w:pPr>
            <w:r>
              <w:rPr>
                <w:sz w:val="18"/>
              </w:rPr>
              <w:t xml:space="preserve">  </w:t>
            </w:r>
          </w:p>
          <w:p w:rsidR="00E8309B" w:rsidRDefault="009D0949">
            <w:pPr>
              <w:spacing w:after="0" w:line="259" w:lineRule="auto"/>
              <w:ind w:left="123" w:right="0" w:firstLine="0"/>
              <w:jc w:val="left"/>
            </w:pPr>
            <w:r>
              <w:rPr>
                <w:sz w:val="18"/>
              </w:rPr>
              <w:t xml:space="preserve">Јавни приходи </w:t>
            </w:r>
          </w:p>
        </w:tc>
        <w:tc>
          <w:tcPr>
            <w:tcW w:w="1323" w:type="dxa"/>
            <w:tcBorders>
              <w:top w:val="single" w:sz="4" w:space="0" w:color="002060"/>
              <w:left w:val="nil"/>
              <w:bottom w:val="single" w:sz="4" w:space="0" w:color="002060"/>
              <w:right w:val="nil"/>
            </w:tcBorders>
          </w:tcPr>
          <w:p w:rsidR="00E8309B" w:rsidRDefault="009D0949">
            <w:pPr>
              <w:spacing w:after="0" w:line="259" w:lineRule="auto"/>
              <w:ind w:left="107" w:right="0" w:firstLine="0"/>
              <w:jc w:val="center"/>
            </w:pPr>
            <w:r>
              <w:rPr>
                <w:sz w:val="18"/>
              </w:rPr>
              <w:t xml:space="preserve">2019 </w:t>
            </w:r>
          </w:p>
        </w:tc>
        <w:tc>
          <w:tcPr>
            <w:tcW w:w="1406" w:type="dxa"/>
            <w:tcBorders>
              <w:top w:val="single" w:sz="4" w:space="0" w:color="002060"/>
              <w:left w:val="nil"/>
              <w:bottom w:val="single" w:sz="4" w:space="0" w:color="002060"/>
              <w:right w:val="nil"/>
            </w:tcBorders>
          </w:tcPr>
          <w:p w:rsidR="00E8309B" w:rsidRDefault="009D0949">
            <w:pPr>
              <w:spacing w:after="0" w:line="259" w:lineRule="auto"/>
              <w:ind w:left="348" w:right="0" w:firstLine="0"/>
              <w:jc w:val="left"/>
            </w:pPr>
            <w:r>
              <w:rPr>
                <w:sz w:val="18"/>
              </w:rPr>
              <w:t xml:space="preserve">2020 </w:t>
            </w:r>
          </w:p>
        </w:tc>
        <w:tc>
          <w:tcPr>
            <w:tcW w:w="553" w:type="dxa"/>
            <w:tcBorders>
              <w:top w:val="single" w:sz="4" w:space="0" w:color="002060"/>
              <w:left w:val="nil"/>
              <w:bottom w:val="single" w:sz="4" w:space="0" w:color="002060"/>
              <w:right w:val="nil"/>
            </w:tcBorders>
          </w:tcPr>
          <w:p w:rsidR="00E8309B" w:rsidRDefault="009D0949">
            <w:pPr>
              <w:spacing w:after="0" w:line="259" w:lineRule="auto"/>
              <w:ind w:left="14" w:right="0" w:firstLine="0"/>
              <w:jc w:val="left"/>
            </w:pPr>
            <w:r>
              <w:rPr>
                <w:sz w:val="18"/>
              </w:rPr>
              <w:t xml:space="preserve">2021 </w:t>
            </w:r>
          </w:p>
        </w:tc>
        <w:tc>
          <w:tcPr>
            <w:tcW w:w="1594" w:type="dxa"/>
            <w:tcBorders>
              <w:top w:val="single" w:sz="4" w:space="0" w:color="002060"/>
              <w:left w:val="nil"/>
              <w:bottom w:val="single" w:sz="4" w:space="0" w:color="002060"/>
              <w:right w:val="nil"/>
            </w:tcBorders>
          </w:tcPr>
          <w:p w:rsidR="00E8309B" w:rsidRDefault="009D0949">
            <w:pPr>
              <w:spacing w:after="0" w:line="259" w:lineRule="auto"/>
              <w:ind w:left="0" w:right="101" w:firstLine="0"/>
              <w:jc w:val="center"/>
            </w:pPr>
            <w:r>
              <w:rPr>
                <w:sz w:val="18"/>
              </w:rPr>
              <w:t xml:space="preserve">2022 </w:t>
            </w:r>
          </w:p>
        </w:tc>
        <w:tc>
          <w:tcPr>
            <w:tcW w:w="480" w:type="dxa"/>
            <w:tcBorders>
              <w:top w:val="single" w:sz="4" w:space="0" w:color="002060"/>
              <w:left w:val="nil"/>
              <w:bottom w:val="single" w:sz="4" w:space="0" w:color="002060"/>
              <w:right w:val="nil"/>
            </w:tcBorders>
          </w:tcPr>
          <w:p w:rsidR="00E8309B" w:rsidRDefault="009D0949">
            <w:pPr>
              <w:spacing w:after="0" w:line="259" w:lineRule="auto"/>
              <w:ind w:left="14" w:right="0" w:firstLine="0"/>
            </w:pPr>
            <w:r>
              <w:rPr>
                <w:sz w:val="18"/>
              </w:rPr>
              <w:t xml:space="preserve">2023 </w:t>
            </w:r>
          </w:p>
        </w:tc>
      </w:tr>
      <w:tr w:rsidR="00E8309B">
        <w:trPr>
          <w:trHeight w:val="256"/>
        </w:trPr>
        <w:tc>
          <w:tcPr>
            <w:tcW w:w="0" w:type="auto"/>
            <w:vMerge/>
            <w:tcBorders>
              <w:top w:val="nil"/>
              <w:left w:val="nil"/>
              <w:bottom w:val="nil"/>
              <w:right w:val="nil"/>
            </w:tcBorders>
          </w:tcPr>
          <w:p w:rsidR="00E8309B" w:rsidRDefault="00E8309B">
            <w:pPr>
              <w:spacing w:after="160" w:line="259" w:lineRule="auto"/>
              <w:ind w:left="0" w:right="0" w:firstLine="0"/>
              <w:jc w:val="left"/>
            </w:pPr>
          </w:p>
        </w:tc>
        <w:tc>
          <w:tcPr>
            <w:tcW w:w="1323" w:type="dxa"/>
            <w:tcBorders>
              <w:top w:val="single" w:sz="4" w:space="0" w:color="002060"/>
              <w:left w:val="nil"/>
              <w:bottom w:val="nil"/>
              <w:right w:val="nil"/>
            </w:tcBorders>
          </w:tcPr>
          <w:p w:rsidR="00E8309B" w:rsidRDefault="009D0949">
            <w:pPr>
              <w:spacing w:after="0" w:line="259" w:lineRule="auto"/>
              <w:ind w:left="154" w:right="0" w:firstLine="0"/>
              <w:jc w:val="center"/>
            </w:pPr>
            <w:r>
              <w:rPr>
                <w:sz w:val="18"/>
              </w:rPr>
              <w:t xml:space="preserve">42,1 </w:t>
            </w:r>
          </w:p>
        </w:tc>
        <w:tc>
          <w:tcPr>
            <w:tcW w:w="1406" w:type="dxa"/>
            <w:tcBorders>
              <w:top w:val="single" w:sz="4" w:space="0" w:color="002060"/>
              <w:left w:val="nil"/>
              <w:bottom w:val="nil"/>
              <w:right w:val="nil"/>
            </w:tcBorders>
          </w:tcPr>
          <w:p w:rsidR="00E8309B" w:rsidRDefault="009D0949">
            <w:pPr>
              <w:spacing w:after="0" w:line="259" w:lineRule="auto"/>
              <w:ind w:left="394" w:right="0" w:firstLine="0"/>
              <w:jc w:val="left"/>
            </w:pPr>
            <w:r>
              <w:rPr>
                <w:sz w:val="18"/>
              </w:rPr>
              <w:t xml:space="preserve">40,3 </w:t>
            </w:r>
          </w:p>
        </w:tc>
        <w:tc>
          <w:tcPr>
            <w:tcW w:w="553" w:type="dxa"/>
            <w:tcBorders>
              <w:top w:val="single" w:sz="4" w:space="0" w:color="002060"/>
              <w:left w:val="nil"/>
              <w:bottom w:val="nil"/>
              <w:right w:val="nil"/>
            </w:tcBorders>
          </w:tcPr>
          <w:p w:rsidR="00E8309B" w:rsidRDefault="009D0949">
            <w:pPr>
              <w:spacing w:after="0" w:line="259" w:lineRule="auto"/>
              <w:ind w:left="60" w:right="0" w:firstLine="0"/>
              <w:jc w:val="left"/>
            </w:pPr>
            <w:r>
              <w:rPr>
                <w:sz w:val="18"/>
              </w:rPr>
              <w:t xml:space="preserve">40,4 </w:t>
            </w:r>
          </w:p>
        </w:tc>
        <w:tc>
          <w:tcPr>
            <w:tcW w:w="1594" w:type="dxa"/>
            <w:tcBorders>
              <w:top w:val="single" w:sz="4" w:space="0" w:color="002060"/>
              <w:left w:val="nil"/>
              <w:bottom w:val="nil"/>
              <w:right w:val="nil"/>
            </w:tcBorders>
          </w:tcPr>
          <w:p w:rsidR="00E8309B" w:rsidRDefault="009D0949">
            <w:pPr>
              <w:spacing w:after="0" w:line="259" w:lineRule="auto"/>
              <w:ind w:left="0" w:right="56" w:firstLine="0"/>
              <w:jc w:val="center"/>
            </w:pPr>
            <w:r>
              <w:rPr>
                <w:sz w:val="18"/>
              </w:rPr>
              <w:t xml:space="preserve">40,5 </w:t>
            </w:r>
          </w:p>
        </w:tc>
        <w:tc>
          <w:tcPr>
            <w:tcW w:w="480" w:type="dxa"/>
            <w:tcBorders>
              <w:top w:val="single" w:sz="4" w:space="0" w:color="002060"/>
              <w:left w:val="nil"/>
              <w:bottom w:val="nil"/>
              <w:right w:val="nil"/>
            </w:tcBorders>
          </w:tcPr>
          <w:p w:rsidR="00E8309B" w:rsidRDefault="009D0949">
            <w:pPr>
              <w:spacing w:after="0" w:line="259" w:lineRule="auto"/>
              <w:ind w:left="60" w:right="0" w:firstLine="0"/>
            </w:pPr>
            <w:r>
              <w:rPr>
                <w:sz w:val="18"/>
              </w:rPr>
              <w:t xml:space="preserve">39,7 </w:t>
            </w:r>
          </w:p>
        </w:tc>
      </w:tr>
      <w:tr w:rsidR="00E8309B">
        <w:trPr>
          <w:trHeight w:val="380"/>
        </w:trPr>
        <w:tc>
          <w:tcPr>
            <w:tcW w:w="4299" w:type="dxa"/>
            <w:tcBorders>
              <w:top w:val="nil"/>
              <w:left w:val="nil"/>
              <w:bottom w:val="nil"/>
              <w:right w:val="nil"/>
            </w:tcBorders>
            <w:vAlign w:val="bottom"/>
          </w:tcPr>
          <w:p w:rsidR="00E8309B" w:rsidRDefault="009D0949">
            <w:pPr>
              <w:spacing w:after="27" w:line="259" w:lineRule="auto"/>
              <w:ind w:left="123" w:right="0" w:firstLine="0"/>
              <w:jc w:val="left"/>
            </w:pPr>
            <w:r>
              <w:rPr>
                <w:sz w:val="18"/>
              </w:rPr>
              <w:t xml:space="preserve">Јавни расходи </w:t>
            </w:r>
          </w:p>
          <w:p w:rsidR="00E8309B" w:rsidRDefault="009D0949">
            <w:pPr>
              <w:spacing w:after="0" w:line="259" w:lineRule="auto"/>
              <w:ind w:left="123" w:right="0" w:firstLine="0"/>
              <w:jc w:val="left"/>
            </w:pPr>
            <w:r>
              <w:rPr>
                <w:sz w:val="18"/>
              </w:rPr>
              <w:t xml:space="preserve"> </w:t>
            </w:r>
          </w:p>
        </w:tc>
        <w:tc>
          <w:tcPr>
            <w:tcW w:w="1323" w:type="dxa"/>
            <w:tcBorders>
              <w:top w:val="nil"/>
              <w:left w:val="nil"/>
              <w:bottom w:val="nil"/>
              <w:right w:val="nil"/>
            </w:tcBorders>
            <w:vAlign w:val="bottom"/>
          </w:tcPr>
          <w:p w:rsidR="00E8309B" w:rsidRDefault="009D0949">
            <w:pPr>
              <w:spacing w:after="27" w:line="259" w:lineRule="auto"/>
              <w:ind w:left="154" w:right="0" w:firstLine="0"/>
              <w:jc w:val="center"/>
            </w:pPr>
            <w:r>
              <w:rPr>
                <w:sz w:val="18"/>
              </w:rPr>
              <w:t xml:space="preserve">42,3 </w:t>
            </w:r>
          </w:p>
          <w:p w:rsidR="00E8309B" w:rsidRDefault="009D0949">
            <w:pPr>
              <w:spacing w:after="0" w:line="259" w:lineRule="auto"/>
              <w:ind w:left="512" w:right="0" w:firstLine="0"/>
              <w:jc w:val="center"/>
            </w:pPr>
            <w:r>
              <w:rPr>
                <w:sz w:val="18"/>
              </w:rPr>
              <w:t xml:space="preserve"> </w:t>
            </w:r>
          </w:p>
        </w:tc>
        <w:tc>
          <w:tcPr>
            <w:tcW w:w="1406" w:type="dxa"/>
            <w:tcBorders>
              <w:top w:val="nil"/>
              <w:left w:val="nil"/>
              <w:bottom w:val="nil"/>
              <w:right w:val="nil"/>
            </w:tcBorders>
            <w:vAlign w:val="bottom"/>
          </w:tcPr>
          <w:p w:rsidR="00E8309B" w:rsidRDefault="009D0949">
            <w:pPr>
              <w:spacing w:after="27" w:line="259" w:lineRule="auto"/>
              <w:ind w:left="394" w:right="0" w:firstLine="0"/>
              <w:jc w:val="left"/>
            </w:pPr>
            <w:r>
              <w:rPr>
                <w:sz w:val="18"/>
              </w:rPr>
              <w:t xml:space="preserve">49,2 </w:t>
            </w:r>
          </w:p>
          <w:p w:rsidR="00E8309B" w:rsidRDefault="009D0949">
            <w:pPr>
              <w:spacing w:after="0" w:line="259" w:lineRule="auto"/>
              <w:ind w:left="116" w:right="0" w:firstLine="0"/>
              <w:jc w:val="center"/>
            </w:pPr>
            <w:r>
              <w:rPr>
                <w:sz w:val="18"/>
              </w:rPr>
              <w:t xml:space="preserve"> </w:t>
            </w:r>
          </w:p>
        </w:tc>
        <w:tc>
          <w:tcPr>
            <w:tcW w:w="553" w:type="dxa"/>
            <w:tcBorders>
              <w:top w:val="nil"/>
              <w:left w:val="nil"/>
              <w:bottom w:val="nil"/>
              <w:right w:val="nil"/>
            </w:tcBorders>
            <w:vAlign w:val="bottom"/>
          </w:tcPr>
          <w:p w:rsidR="00E8309B" w:rsidRDefault="009D0949">
            <w:pPr>
              <w:spacing w:after="27" w:line="259" w:lineRule="auto"/>
              <w:ind w:left="60" w:right="0" w:firstLine="0"/>
              <w:jc w:val="left"/>
            </w:pPr>
            <w:r>
              <w:rPr>
                <w:sz w:val="18"/>
              </w:rPr>
              <w:t xml:space="preserve">43,4 </w:t>
            </w:r>
          </w:p>
          <w:p w:rsidR="00E8309B" w:rsidRDefault="009D0949">
            <w:pPr>
              <w:spacing w:after="0" w:line="259" w:lineRule="auto"/>
              <w:ind w:left="303" w:right="0" w:firstLine="0"/>
              <w:jc w:val="center"/>
            </w:pPr>
            <w:r>
              <w:rPr>
                <w:sz w:val="18"/>
              </w:rPr>
              <w:t xml:space="preserve"> </w:t>
            </w:r>
          </w:p>
        </w:tc>
        <w:tc>
          <w:tcPr>
            <w:tcW w:w="1594" w:type="dxa"/>
            <w:tcBorders>
              <w:top w:val="nil"/>
              <w:left w:val="nil"/>
              <w:bottom w:val="nil"/>
              <w:right w:val="nil"/>
            </w:tcBorders>
            <w:vAlign w:val="bottom"/>
          </w:tcPr>
          <w:p w:rsidR="00E8309B" w:rsidRDefault="009D0949">
            <w:pPr>
              <w:spacing w:after="27" w:line="259" w:lineRule="auto"/>
              <w:ind w:left="0" w:right="56" w:firstLine="0"/>
              <w:jc w:val="center"/>
            </w:pPr>
            <w:r>
              <w:rPr>
                <w:sz w:val="18"/>
              </w:rPr>
              <w:t xml:space="preserve">42,1 </w:t>
            </w:r>
          </w:p>
          <w:p w:rsidR="00E8309B" w:rsidRDefault="009D0949">
            <w:pPr>
              <w:spacing w:after="0" w:line="259" w:lineRule="auto"/>
              <w:ind w:left="303" w:right="0" w:firstLine="0"/>
              <w:jc w:val="center"/>
            </w:pPr>
            <w:r>
              <w:rPr>
                <w:sz w:val="18"/>
              </w:rPr>
              <w:t xml:space="preserve"> </w:t>
            </w:r>
          </w:p>
        </w:tc>
        <w:tc>
          <w:tcPr>
            <w:tcW w:w="480" w:type="dxa"/>
            <w:tcBorders>
              <w:top w:val="nil"/>
              <w:left w:val="nil"/>
              <w:bottom w:val="nil"/>
              <w:right w:val="nil"/>
            </w:tcBorders>
            <w:vAlign w:val="bottom"/>
          </w:tcPr>
          <w:p w:rsidR="00E8309B" w:rsidRDefault="009D0949">
            <w:pPr>
              <w:spacing w:after="27" w:line="259" w:lineRule="auto"/>
              <w:ind w:left="60" w:right="0" w:firstLine="0"/>
            </w:pPr>
            <w:r>
              <w:rPr>
                <w:sz w:val="18"/>
              </w:rPr>
              <w:t xml:space="preserve">40,7 </w:t>
            </w:r>
          </w:p>
          <w:p w:rsidR="00E8309B" w:rsidRDefault="009D0949">
            <w:pPr>
              <w:spacing w:after="0" w:line="259" w:lineRule="auto"/>
              <w:ind w:left="0" w:right="0" w:firstLine="0"/>
              <w:jc w:val="right"/>
            </w:pPr>
            <w:r>
              <w:rPr>
                <w:sz w:val="18"/>
              </w:rPr>
              <w:t xml:space="preserve"> </w:t>
            </w:r>
          </w:p>
        </w:tc>
      </w:tr>
      <w:tr w:rsidR="00E8309B">
        <w:trPr>
          <w:trHeight w:val="380"/>
        </w:trPr>
        <w:tc>
          <w:tcPr>
            <w:tcW w:w="4299" w:type="dxa"/>
            <w:tcBorders>
              <w:top w:val="nil"/>
              <w:left w:val="nil"/>
              <w:bottom w:val="nil"/>
              <w:right w:val="nil"/>
            </w:tcBorders>
            <w:vAlign w:val="bottom"/>
          </w:tcPr>
          <w:p w:rsidR="00E8309B" w:rsidRDefault="009D0949">
            <w:pPr>
              <w:spacing w:after="0" w:line="259" w:lineRule="auto"/>
              <w:ind w:left="123" w:right="0" w:firstLine="0"/>
              <w:jc w:val="left"/>
            </w:pPr>
            <w:r>
              <w:rPr>
                <w:sz w:val="18"/>
              </w:rPr>
              <w:t xml:space="preserve">Консолидовани фискални резултат </w:t>
            </w:r>
          </w:p>
        </w:tc>
        <w:tc>
          <w:tcPr>
            <w:tcW w:w="1323" w:type="dxa"/>
            <w:tcBorders>
              <w:top w:val="nil"/>
              <w:left w:val="nil"/>
              <w:bottom w:val="nil"/>
              <w:right w:val="nil"/>
            </w:tcBorders>
            <w:vAlign w:val="bottom"/>
          </w:tcPr>
          <w:p w:rsidR="00E8309B" w:rsidRDefault="009D0949">
            <w:pPr>
              <w:spacing w:after="0" w:line="259" w:lineRule="auto"/>
              <w:ind w:left="182" w:right="0" w:firstLine="0"/>
              <w:jc w:val="center"/>
            </w:pPr>
            <w:r>
              <w:rPr>
                <w:sz w:val="18"/>
              </w:rPr>
              <w:t xml:space="preserve">-0,2 </w:t>
            </w:r>
          </w:p>
        </w:tc>
        <w:tc>
          <w:tcPr>
            <w:tcW w:w="1406" w:type="dxa"/>
            <w:tcBorders>
              <w:top w:val="nil"/>
              <w:left w:val="nil"/>
              <w:bottom w:val="nil"/>
              <w:right w:val="nil"/>
            </w:tcBorders>
            <w:vAlign w:val="bottom"/>
          </w:tcPr>
          <w:p w:rsidR="00E8309B" w:rsidRDefault="009D0949">
            <w:pPr>
              <w:spacing w:after="0" w:line="259" w:lineRule="auto"/>
              <w:ind w:left="422" w:right="0" w:firstLine="0"/>
              <w:jc w:val="left"/>
            </w:pPr>
            <w:r>
              <w:rPr>
                <w:sz w:val="18"/>
              </w:rPr>
              <w:t xml:space="preserve">-8,9 </w:t>
            </w:r>
          </w:p>
        </w:tc>
        <w:tc>
          <w:tcPr>
            <w:tcW w:w="553" w:type="dxa"/>
            <w:tcBorders>
              <w:top w:val="nil"/>
              <w:left w:val="nil"/>
              <w:bottom w:val="nil"/>
              <w:right w:val="nil"/>
            </w:tcBorders>
            <w:vAlign w:val="bottom"/>
          </w:tcPr>
          <w:p w:rsidR="00E8309B" w:rsidRDefault="009D0949">
            <w:pPr>
              <w:spacing w:after="0" w:line="259" w:lineRule="auto"/>
              <w:ind w:left="89" w:right="0" w:firstLine="0"/>
              <w:jc w:val="left"/>
            </w:pPr>
            <w:r>
              <w:rPr>
                <w:sz w:val="18"/>
              </w:rPr>
              <w:t xml:space="preserve">-3,0 </w:t>
            </w:r>
          </w:p>
        </w:tc>
        <w:tc>
          <w:tcPr>
            <w:tcW w:w="1594" w:type="dxa"/>
            <w:tcBorders>
              <w:top w:val="nil"/>
              <w:left w:val="nil"/>
              <w:bottom w:val="nil"/>
              <w:right w:val="nil"/>
            </w:tcBorders>
            <w:vAlign w:val="bottom"/>
          </w:tcPr>
          <w:p w:rsidR="00E8309B" w:rsidRDefault="009D0949">
            <w:pPr>
              <w:spacing w:after="0" w:line="259" w:lineRule="auto"/>
              <w:ind w:left="0" w:right="27" w:firstLine="0"/>
              <w:jc w:val="center"/>
            </w:pPr>
            <w:r>
              <w:rPr>
                <w:sz w:val="18"/>
              </w:rPr>
              <w:t xml:space="preserve">-1,6 </w:t>
            </w:r>
          </w:p>
        </w:tc>
        <w:tc>
          <w:tcPr>
            <w:tcW w:w="480" w:type="dxa"/>
            <w:tcBorders>
              <w:top w:val="nil"/>
              <w:left w:val="nil"/>
              <w:bottom w:val="nil"/>
              <w:right w:val="nil"/>
            </w:tcBorders>
            <w:vAlign w:val="bottom"/>
          </w:tcPr>
          <w:p w:rsidR="00E8309B" w:rsidRDefault="009D0949">
            <w:pPr>
              <w:spacing w:after="0" w:line="259" w:lineRule="auto"/>
              <w:ind w:left="89" w:right="0" w:firstLine="0"/>
              <w:jc w:val="left"/>
            </w:pPr>
            <w:r>
              <w:rPr>
                <w:sz w:val="18"/>
              </w:rPr>
              <w:t xml:space="preserve">-1,0 </w:t>
            </w:r>
          </w:p>
        </w:tc>
      </w:tr>
      <w:tr w:rsidR="00E8309B">
        <w:trPr>
          <w:trHeight w:val="380"/>
        </w:trPr>
        <w:tc>
          <w:tcPr>
            <w:tcW w:w="4299" w:type="dxa"/>
            <w:tcBorders>
              <w:top w:val="nil"/>
              <w:left w:val="nil"/>
              <w:bottom w:val="nil"/>
              <w:right w:val="nil"/>
            </w:tcBorders>
            <w:vAlign w:val="bottom"/>
          </w:tcPr>
          <w:p w:rsidR="00E8309B" w:rsidRDefault="009D0949">
            <w:pPr>
              <w:spacing w:after="27" w:line="259" w:lineRule="auto"/>
              <w:ind w:left="123" w:right="0" w:firstLine="0"/>
              <w:jc w:val="left"/>
            </w:pPr>
            <w:r>
              <w:rPr>
                <w:sz w:val="18"/>
              </w:rPr>
              <w:t xml:space="preserve">Примарни консолидовани резултат </w:t>
            </w:r>
          </w:p>
          <w:p w:rsidR="00E8309B" w:rsidRDefault="009D0949">
            <w:pPr>
              <w:spacing w:after="0" w:line="259" w:lineRule="auto"/>
              <w:ind w:left="123" w:right="0" w:firstLine="0"/>
              <w:jc w:val="left"/>
            </w:pPr>
            <w:r>
              <w:rPr>
                <w:sz w:val="18"/>
              </w:rPr>
              <w:t xml:space="preserve"> </w:t>
            </w:r>
          </w:p>
        </w:tc>
        <w:tc>
          <w:tcPr>
            <w:tcW w:w="1323" w:type="dxa"/>
            <w:tcBorders>
              <w:top w:val="nil"/>
              <w:left w:val="nil"/>
              <w:bottom w:val="nil"/>
              <w:right w:val="nil"/>
            </w:tcBorders>
            <w:vAlign w:val="bottom"/>
          </w:tcPr>
          <w:p w:rsidR="00E8309B" w:rsidRDefault="009D0949">
            <w:pPr>
              <w:spacing w:after="27" w:line="259" w:lineRule="auto"/>
              <w:ind w:left="242" w:right="0" w:firstLine="0"/>
              <w:jc w:val="center"/>
            </w:pPr>
            <w:r>
              <w:rPr>
                <w:sz w:val="18"/>
              </w:rPr>
              <w:t xml:space="preserve">1,8 </w:t>
            </w:r>
          </w:p>
          <w:p w:rsidR="00E8309B" w:rsidRDefault="009D0949">
            <w:pPr>
              <w:spacing w:after="0" w:line="259" w:lineRule="auto"/>
              <w:ind w:left="512" w:right="0" w:firstLine="0"/>
              <w:jc w:val="center"/>
            </w:pPr>
            <w:r>
              <w:rPr>
                <w:sz w:val="18"/>
              </w:rPr>
              <w:t xml:space="preserve"> </w:t>
            </w:r>
          </w:p>
        </w:tc>
        <w:tc>
          <w:tcPr>
            <w:tcW w:w="1406" w:type="dxa"/>
            <w:tcBorders>
              <w:top w:val="nil"/>
              <w:left w:val="nil"/>
              <w:bottom w:val="nil"/>
              <w:right w:val="nil"/>
            </w:tcBorders>
            <w:vAlign w:val="bottom"/>
          </w:tcPr>
          <w:p w:rsidR="00E8309B" w:rsidRDefault="009D0949">
            <w:pPr>
              <w:spacing w:after="27" w:line="259" w:lineRule="auto"/>
              <w:ind w:left="422" w:right="0" w:firstLine="0"/>
              <w:jc w:val="left"/>
            </w:pPr>
            <w:r>
              <w:rPr>
                <w:sz w:val="18"/>
              </w:rPr>
              <w:t xml:space="preserve">-6,9 </w:t>
            </w:r>
          </w:p>
          <w:p w:rsidR="00E8309B" w:rsidRDefault="009D0949">
            <w:pPr>
              <w:spacing w:after="0" w:line="259" w:lineRule="auto"/>
              <w:ind w:left="116" w:right="0" w:firstLine="0"/>
              <w:jc w:val="center"/>
            </w:pPr>
            <w:r>
              <w:rPr>
                <w:sz w:val="18"/>
              </w:rPr>
              <w:t xml:space="preserve"> </w:t>
            </w:r>
          </w:p>
        </w:tc>
        <w:tc>
          <w:tcPr>
            <w:tcW w:w="553" w:type="dxa"/>
            <w:tcBorders>
              <w:top w:val="nil"/>
              <w:left w:val="nil"/>
              <w:bottom w:val="nil"/>
              <w:right w:val="nil"/>
            </w:tcBorders>
            <w:vAlign w:val="bottom"/>
          </w:tcPr>
          <w:p w:rsidR="00E8309B" w:rsidRDefault="009D0949">
            <w:pPr>
              <w:spacing w:after="27" w:line="259" w:lineRule="auto"/>
              <w:ind w:left="89" w:right="0" w:firstLine="0"/>
              <w:jc w:val="left"/>
            </w:pPr>
            <w:r>
              <w:rPr>
                <w:sz w:val="18"/>
              </w:rPr>
              <w:t xml:space="preserve">-1,1 </w:t>
            </w:r>
          </w:p>
          <w:p w:rsidR="00E8309B" w:rsidRDefault="009D0949">
            <w:pPr>
              <w:spacing w:after="0" w:line="259" w:lineRule="auto"/>
              <w:ind w:left="303" w:right="0" w:firstLine="0"/>
              <w:jc w:val="center"/>
            </w:pPr>
            <w:r>
              <w:rPr>
                <w:sz w:val="18"/>
              </w:rPr>
              <w:t xml:space="preserve"> </w:t>
            </w:r>
          </w:p>
        </w:tc>
        <w:tc>
          <w:tcPr>
            <w:tcW w:w="1594" w:type="dxa"/>
            <w:tcBorders>
              <w:top w:val="nil"/>
              <w:left w:val="nil"/>
              <w:bottom w:val="nil"/>
              <w:right w:val="nil"/>
            </w:tcBorders>
            <w:vAlign w:val="bottom"/>
          </w:tcPr>
          <w:p w:rsidR="00E8309B" w:rsidRDefault="009D0949">
            <w:pPr>
              <w:spacing w:after="27" w:line="259" w:lineRule="auto"/>
              <w:ind w:left="33" w:right="0" w:firstLine="0"/>
              <w:jc w:val="center"/>
            </w:pPr>
            <w:r>
              <w:rPr>
                <w:sz w:val="18"/>
              </w:rPr>
              <w:t xml:space="preserve">0,1 </w:t>
            </w:r>
          </w:p>
          <w:p w:rsidR="00E8309B" w:rsidRDefault="009D0949">
            <w:pPr>
              <w:spacing w:after="0" w:line="259" w:lineRule="auto"/>
              <w:ind w:left="303" w:right="0" w:firstLine="0"/>
              <w:jc w:val="center"/>
            </w:pPr>
            <w:r>
              <w:rPr>
                <w:sz w:val="18"/>
              </w:rPr>
              <w:t xml:space="preserve"> </w:t>
            </w:r>
          </w:p>
        </w:tc>
        <w:tc>
          <w:tcPr>
            <w:tcW w:w="480" w:type="dxa"/>
            <w:tcBorders>
              <w:top w:val="nil"/>
              <w:left w:val="nil"/>
              <w:bottom w:val="nil"/>
              <w:right w:val="nil"/>
            </w:tcBorders>
            <w:vAlign w:val="bottom"/>
          </w:tcPr>
          <w:p w:rsidR="00E8309B" w:rsidRDefault="009D0949">
            <w:pPr>
              <w:spacing w:after="27" w:line="259" w:lineRule="auto"/>
              <w:ind w:left="0" w:right="44" w:firstLine="0"/>
              <w:jc w:val="right"/>
            </w:pPr>
            <w:r>
              <w:rPr>
                <w:sz w:val="18"/>
              </w:rPr>
              <w:t xml:space="preserve">0,6 </w:t>
            </w:r>
          </w:p>
          <w:p w:rsidR="00E8309B" w:rsidRDefault="009D0949">
            <w:pPr>
              <w:spacing w:after="0" w:line="259" w:lineRule="auto"/>
              <w:ind w:left="0" w:right="0" w:firstLine="0"/>
              <w:jc w:val="right"/>
            </w:pPr>
            <w:r>
              <w:rPr>
                <w:sz w:val="18"/>
              </w:rPr>
              <w:t xml:space="preserve"> </w:t>
            </w:r>
          </w:p>
        </w:tc>
      </w:tr>
      <w:tr w:rsidR="00E8309B">
        <w:trPr>
          <w:trHeight w:val="379"/>
        </w:trPr>
        <w:tc>
          <w:tcPr>
            <w:tcW w:w="4299" w:type="dxa"/>
            <w:tcBorders>
              <w:top w:val="nil"/>
              <w:left w:val="nil"/>
              <w:bottom w:val="nil"/>
              <w:right w:val="nil"/>
            </w:tcBorders>
            <w:vAlign w:val="bottom"/>
          </w:tcPr>
          <w:p w:rsidR="00E8309B" w:rsidRDefault="009D0949">
            <w:pPr>
              <w:spacing w:after="0" w:line="259" w:lineRule="auto"/>
              <w:ind w:left="123" w:right="0" w:firstLine="0"/>
              <w:jc w:val="left"/>
            </w:pPr>
            <w:r>
              <w:rPr>
                <w:sz w:val="18"/>
              </w:rPr>
              <w:t xml:space="preserve">Дуг опште државе </w:t>
            </w:r>
          </w:p>
        </w:tc>
        <w:tc>
          <w:tcPr>
            <w:tcW w:w="1323" w:type="dxa"/>
            <w:tcBorders>
              <w:top w:val="nil"/>
              <w:left w:val="nil"/>
              <w:bottom w:val="nil"/>
              <w:right w:val="nil"/>
            </w:tcBorders>
            <w:vAlign w:val="bottom"/>
          </w:tcPr>
          <w:p w:rsidR="00E8309B" w:rsidRDefault="009D0949">
            <w:pPr>
              <w:spacing w:after="0" w:line="259" w:lineRule="auto"/>
              <w:ind w:left="154" w:right="0" w:firstLine="0"/>
              <w:jc w:val="center"/>
            </w:pPr>
            <w:r>
              <w:rPr>
                <w:sz w:val="18"/>
              </w:rPr>
              <w:t xml:space="preserve">52,9 </w:t>
            </w:r>
          </w:p>
        </w:tc>
        <w:tc>
          <w:tcPr>
            <w:tcW w:w="1406" w:type="dxa"/>
            <w:tcBorders>
              <w:top w:val="nil"/>
              <w:left w:val="nil"/>
              <w:bottom w:val="nil"/>
              <w:right w:val="nil"/>
            </w:tcBorders>
            <w:vAlign w:val="bottom"/>
          </w:tcPr>
          <w:p w:rsidR="00E8309B" w:rsidRDefault="009D0949">
            <w:pPr>
              <w:spacing w:after="0" w:line="259" w:lineRule="auto"/>
              <w:ind w:left="394" w:right="0" w:firstLine="0"/>
              <w:jc w:val="left"/>
            </w:pPr>
            <w:r>
              <w:rPr>
                <w:sz w:val="18"/>
              </w:rPr>
              <w:t xml:space="preserve">59,0 </w:t>
            </w:r>
          </w:p>
        </w:tc>
        <w:tc>
          <w:tcPr>
            <w:tcW w:w="553" w:type="dxa"/>
            <w:tcBorders>
              <w:top w:val="nil"/>
              <w:left w:val="nil"/>
              <w:bottom w:val="nil"/>
              <w:right w:val="nil"/>
            </w:tcBorders>
            <w:vAlign w:val="bottom"/>
          </w:tcPr>
          <w:p w:rsidR="00E8309B" w:rsidRDefault="009D0949">
            <w:pPr>
              <w:spacing w:after="0" w:line="259" w:lineRule="auto"/>
              <w:ind w:left="60" w:right="0" w:firstLine="0"/>
              <w:jc w:val="left"/>
            </w:pPr>
            <w:r>
              <w:rPr>
                <w:sz w:val="18"/>
              </w:rPr>
              <w:t xml:space="preserve">58,7 </w:t>
            </w:r>
          </w:p>
        </w:tc>
        <w:tc>
          <w:tcPr>
            <w:tcW w:w="1594" w:type="dxa"/>
            <w:tcBorders>
              <w:top w:val="nil"/>
              <w:left w:val="nil"/>
              <w:bottom w:val="nil"/>
              <w:right w:val="nil"/>
            </w:tcBorders>
            <w:vAlign w:val="bottom"/>
          </w:tcPr>
          <w:p w:rsidR="00E8309B" w:rsidRDefault="009D0949">
            <w:pPr>
              <w:spacing w:after="0" w:line="259" w:lineRule="auto"/>
              <w:ind w:left="0" w:right="56" w:firstLine="0"/>
              <w:jc w:val="center"/>
            </w:pPr>
            <w:r>
              <w:rPr>
                <w:sz w:val="18"/>
              </w:rPr>
              <w:t xml:space="preserve">57,9 </w:t>
            </w:r>
          </w:p>
        </w:tc>
        <w:tc>
          <w:tcPr>
            <w:tcW w:w="480" w:type="dxa"/>
            <w:tcBorders>
              <w:top w:val="nil"/>
              <w:left w:val="nil"/>
              <w:bottom w:val="nil"/>
              <w:right w:val="nil"/>
            </w:tcBorders>
            <w:vAlign w:val="bottom"/>
          </w:tcPr>
          <w:p w:rsidR="00E8309B" w:rsidRDefault="009D0949">
            <w:pPr>
              <w:spacing w:after="0" w:line="259" w:lineRule="auto"/>
              <w:ind w:left="60" w:right="0" w:firstLine="0"/>
            </w:pPr>
            <w:r>
              <w:rPr>
                <w:sz w:val="18"/>
              </w:rPr>
              <w:t xml:space="preserve">56,0 </w:t>
            </w:r>
          </w:p>
        </w:tc>
      </w:tr>
      <w:tr w:rsidR="00E8309B">
        <w:trPr>
          <w:trHeight w:val="259"/>
        </w:trPr>
        <w:tc>
          <w:tcPr>
            <w:tcW w:w="4299" w:type="dxa"/>
            <w:tcBorders>
              <w:top w:val="nil"/>
              <w:left w:val="nil"/>
              <w:bottom w:val="single" w:sz="4" w:space="0" w:color="002060"/>
              <w:right w:val="nil"/>
            </w:tcBorders>
          </w:tcPr>
          <w:p w:rsidR="00E8309B" w:rsidRDefault="009D0949">
            <w:pPr>
              <w:spacing w:after="0" w:line="259" w:lineRule="auto"/>
              <w:ind w:left="123" w:right="0" w:firstLine="0"/>
              <w:jc w:val="left"/>
            </w:pPr>
            <w:r>
              <w:rPr>
                <w:sz w:val="18"/>
              </w:rPr>
              <w:t xml:space="preserve">Реална стопа раста БДП </w:t>
            </w:r>
          </w:p>
        </w:tc>
        <w:tc>
          <w:tcPr>
            <w:tcW w:w="1323" w:type="dxa"/>
            <w:tcBorders>
              <w:top w:val="nil"/>
              <w:left w:val="nil"/>
              <w:bottom w:val="single" w:sz="4" w:space="0" w:color="002060"/>
              <w:right w:val="nil"/>
            </w:tcBorders>
          </w:tcPr>
          <w:p w:rsidR="00E8309B" w:rsidRDefault="009D0949">
            <w:pPr>
              <w:spacing w:after="0" w:line="259" w:lineRule="auto"/>
              <w:ind w:left="95" w:right="0" w:firstLine="0"/>
              <w:jc w:val="center"/>
            </w:pPr>
            <w:r>
              <w:rPr>
                <w:sz w:val="18"/>
              </w:rPr>
              <w:t xml:space="preserve">4,4% </w:t>
            </w:r>
          </w:p>
        </w:tc>
        <w:tc>
          <w:tcPr>
            <w:tcW w:w="1406" w:type="dxa"/>
            <w:tcBorders>
              <w:top w:val="nil"/>
              <w:left w:val="nil"/>
              <w:bottom w:val="single" w:sz="4" w:space="0" w:color="002060"/>
              <w:right w:val="nil"/>
            </w:tcBorders>
          </w:tcPr>
          <w:p w:rsidR="00E8309B" w:rsidRDefault="009D0949">
            <w:pPr>
              <w:spacing w:after="0" w:line="259" w:lineRule="auto"/>
              <w:ind w:left="274" w:right="0" w:firstLine="0"/>
              <w:jc w:val="left"/>
            </w:pPr>
            <w:r>
              <w:rPr>
                <w:sz w:val="18"/>
              </w:rPr>
              <w:t xml:space="preserve">-1,0% </w:t>
            </w:r>
          </w:p>
        </w:tc>
        <w:tc>
          <w:tcPr>
            <w:tcW w:w="553" w:type="dxa"/>
            <w:tcBorders>
              <w:top w:val="nil"/>
              <w:left w:val="nil"/>
              <w:bottom w:val="single" w:sz="4" w:space="0" w:color="002060"/>
              <w:right w:val="nil"/>
            </w:tcBorders>
          </w:tcPr>
          <w:p w:rsidR="00E8309B" w:rsidRDefault="009D0949">
            <w:pPr>
              <w:spacing w:after="0" w:line="259" w:lineRule="auto"/>
              <w:ind w:left="0" w:right="0" w:firstLine="0"/>
              <w:jc w:val="left"/>
            </w:pPr>
            <w:r>
              <w:rPr>
                <w:sz w:val="18"/>
              </w:rPr>
              <w:t xml:space="preserve">6,0% </w:t>
            </w:r>
          </w:p>
        </w:tc>
        <w:tc>
          <w:tcPr>
            <w:tcW w:w="1594" w:type="dxa"/>
            <w:tcBorders>
              <w:top w:val="nil"/>
              <w:left w:val="nil"/>
              <w:bottom w:val="single" w:sz="4" w:space="0" w:color="002060"/>
              <w:right w:val="nil"/>
            </w:tcBorders>
          </w:tcPr>
          <w:p w:rsidR="00E8309B" w:rsidRDefault="009D0949">
            <w:pPr>
              <w:spacing w:after="0" w:line="259" w:lineRule="auto"/>
              <w:ind w:left="0" w:right="113" w:firstLine="0"/>
              <w:jc w:val="center"/>
            </w:pPr>
            <w:r>
              <w:rPr>
                <w:sz w:val="18"/>
              </w:rPr>
              <w:t xml:space="preserve">4,0% </w:t>
            </w:r>
          </w:p>
        </w:tc>
        <w:tc>
          <w:tcPr>
            <w:tcW w:w="480" w:type="dxa"/>
            <w:tcBorders>
              <w:top w:val="nil"/>
              <w:left w:val="nil"/>
              <w:bottom w:val="single" w:sz="4" w:space="0" w:color="002060"/>
              <w:right w:val="nil"/>
            </w:tcBorders>
          </w:tcPr>
          <w:p w:rsidR="00E8309B" w:rsidRDefault="009D0949">
            <w:pPr>
              <w:spacing w:after="0" w:line="259" w:lineRule="auto"/>
              <w:ind w:left="0" w:right="0" w:firstLine="0"/>
            </w:pPr>
            <w:r>
              <w:rPr>
                <w:sz w:val="18"/>
              </w:rPr>
              <w:t xml:space="preserve">4,0% </w:t>
            </w:r>
          </w:p>
        </w:tc>
      </w:tr>
    </w:tbl>
    <w:p w:rsidR="00E8309B" w:rsidRDefault="009D0949">
      <w:pPr>
        <w:spacing w:after="170" w:line="269" w:lineRule="auto"/>
        <w:ind w:left="-5" w:right="53"/>
        <w:jc w:val="left"/>
      </w:pPr>
      <w:r>
        <w:rPr>
          <w:sz w:val="16"/>
        </w:rPr>
        <w:t xml:space="preserve">Извор: Министарство финансија </w:t>
      </w:r>
    </w:p>
    <w:p w:rsidR="00E8309B" w:rsidRDefault="009D0949">
      <w:pPr>
        <w:spacing w:after="148"/>
        <w:ind w:left="-5" w:right="17"/>
      </w:pPr>
      <w:r>
        <w:t xml:space="preserve">Циљеви фискалне политике у наредном средњорочном периоду биће стабилизација јавних финансија и повратак јавног дуга на опадајућу путању. Смањење </w:t>
      </w:r>
      <w:r>
        <w:t>учешћа дуга је уско везано за снижавање дефицита као главног фактора задуживања, тако да динамика спуштања дефицита опредељује и промену кретања дуга. Финансијске трансакције, као што је замена скупог дуга јефтинијим, као и боља позиција државе на међунаро</w:t>
      </w:r>
      <w:r>
        <w:t xml:space="preserve">дном финансијском тржишту, допринеће додатном снижавању дуга. </w:t>
      </w:r>
    </w:p>
    <w:p w:rsidR="00E8309B" w:rsidRDefault="009D0949">
      <w:pPr>
        <w:spacing w:after="6"/>
        <w:ind w:left="-5" w:right="17"/>
      </w:pPr>
      <w:r>
        <w:t xml:space="preserve">Графикон 8. Фискални резултат и дуг опште државе, % БДП </w:t>
      </w:r>
    </w:p>
    <w:p w:rsidR="00E8309B" w:rsidRDefault="009D0949">
      <w:pPr>
        <w:spacing w:after="60" w:line="259" w:lineRule="auto"/>
        <w:ind w:left="0" w:right="249" w:firstLine="0"/>
        <w:jc w:val="right"/>
      </w:pPr>
      <w:r>
        <w:rPr>
          <w:noProof/>
        </w:rPr>
        <w:drawing>
          <wp:inline distT="0" distB="0" distL="0" distR="0">
            <wp:extent cx="5943600" cy="2442210"/>
            <wp:effectExtent l="0" t="0" r="0" b="0"/>
            <wp:docPr id="11318" name="Picture 11318"/>
            <wp:cNvGraphicFramePr/>
            <a:graphic xmlns:a="http://schemas.openxmlformats.org/drawingml/2006/main">
              <a:graphicData uri="http://schemas.openxmlformats.org/drawingml/2006/picture">
                <pic:pic xmlns:pic="http://schemas.openxmlformats.org/drawingml/2006/picture">
                  <pic:nvPicPr>
                    <pic:cNvPr id="11318" name="Picture 11318"/>
                    <pic:cNvPicPr/>
                  </pic:nvPicPr>
                  <pic:blipFill>
                    <a:blip r:embed="rId149"/>
                    <a:stretch>
                      <a:fillRect/>
                    </a:stretch>
                  </pic:blipFill>
                  <pic:spPr>
                    <a:xfrm>
                      <a:off x="0" y="0"/>
                      <a:ext cx="5943600" cy="2442210"/>
                    </a:xfrm>
                    <a:prstGeom prst="rect">
                      <a:avLst/>
                    </a:prstGeom>
                  </pic:spPr>
                </pic:pic>
              </a:graphicData>
            </a:graphic>
          </wp:inline>
        </w:drawing>
      </w:r>
      <w:r>
        <w:rPr>
          <w:sz w:val="22"/>
        </w:rPr>
        <w:t xml:space="preserve"> </w:t>
      </w:r>
    </w:p>
    <w:p w:rsidR="00E8309B" w:rsidRDefault="009D0949">
      <w:pPr>
        <w:spacing w:after="99"/>
        <w:ind w:left="-5" w:right="17"/>
      </w:pPr>
      <w:r>
        <w:t>Експанзивна фискална политика током 2020. године умањила је негативне економске последице пандемије. У наредном средњорочном периоду предвиђено је умерено смањење дефицита опште државе како би се путем фискалне политике обезбедила потребна флексибилност на</w:t>
      </w:r>
      <w:r>
        <w:t>ционалне економије на евентуалне екстерне шокове. То се, пре свега, односи на расходну страну, у виду повећања јавних инвестиција, као и додатног улагања у здравствени систем. На приходној страни приоритет ће остати даље смањење пореског оптерећења зарада.</w:t>
      </w:r>
      <w:r>
        <w:rPr>
          <w:rFonts w:ascii="Calibri" w:eastAsia="Calibri" w:hAnsi="Calibri" w:cs="Calibri"/>
          <w:sz w:val="22"/>
        </w:rPr>
        <w:t xml:space="preserve"> </w:t>
      </w:r>
    </w:p>
    <w:p w:rsidR="00E8309B" w:rsidRDefault="009D0949">
      <w:pPr>
        <w:spacing w:after="92"/>
        <w:ind w:left="-5" w:right="17"/>
      </w:pPr>
      <w:r>
        <w:lastRenderedPageBreak/>
        <w:t xml:space="preserve">Пројекција прихода у периоду од 2021. до 2023. године израђена је на основу: </w:t>
      </w:r>
    </w:p>
    <w:p w:rsidR="00E8309B" w:rsidRDefault="009D0949">
      <w:pPr>
        <w:numPr>
          <w:ilvl w:val="0"/>
          <w:numId w:val="5"/>
        </w:numPr>
        <w:ind w:right="17" w:hanging="180"/>
      </w:pPr>
      <w:r>
        <w:t xml:space="preserve">пројекције кретања најважнијих макроекономских показатеља: БДП и његових компоненти, инфлације, девизног курса, спољнотрговинске размене, запослености и зарада; </w:t>
      </w:r>
    </w:p>
    <w:p w:rsidR="00E8309B" w:rsidRDefault="009D0949">
      <w:pPr>
        <w:numPr>
          <w:ilvl w:val="0"/>
          <w:numId w:val="5"/>
        </w:numPr>
        <w:ind w:right="17" w:hanging="180"/>
      </w:pPr>
      <w:r>
        <w:t>важеће и плани</w:t>
      </w:r>
      <w:r>
        <w:t xml:space="preserve">ране измене пореске политике; </w:t>
      </w:r>
    </w:p>
    <w:p w:rsidR="00E8309B" w:rsidRDefault="009D0949">
      <w:pPr>
        <w:numPr>
          <w:ilvl w:val="0"/>
          <w:numId w:val="5"/>
        </w:numPr>
        <w:ind w:right="17" w:hanging="180"/>
      </w:pPr>
      <w:r>
        <w:t xml:space="preserve">процењених ефеката фискалних и структурних мера у наредном периоду. </w:t>
      </w:r>
    </w:p>
    <w:p w:rsidR="00E8309B" w:rsidRDefault="009D0949">
      <w:pPr>
        <w:spacing w:after="6"/>
        <w:ind w:left="-5" w:right="17"/>
      </w:pPr>
      <w:r>
        <w:t>Табела 9. Укупни приходи и донације у периоду 2019–2023. године, % БДП</w:t>
      </w:r>
      <w:r>
        <w:rPr>
          <w:color w:val="002060"/>
        </w:rPr>
        <w:t xml:space="preserve"> </w:t>
      </w:r>
    </w:p>
    <w:tbl>
      <w:tblPr>
        <w:tblStyle w:val="TableGrid"/>
        <w:tblW w:w="9655" w:type="dxa"/>
        <w:tblInd w:w="-15" w:type="dxa"/>
        <w:tblCellMar>
          <w:top w:w="26" w:type="dxa"/>
          <w:left w:w="0" w:type="dxa"/>
          <w:bottom w:w="0" w:type="dxa"/>
          <w:right w:w="61" w:type="dxa"/>
        </w:tblCellMar>
        <w:tblLook w:val="04A0" w:firstRow="1" w:lastRow="0" w:firstColumn="1" w:lastColumn="0" w:noHBand="0" w:noVBand="1"/>
      </w:tblPr>
      <w:tblGrid>
        <w:gridCol w:w="2989"/>
        <w:gridCol w:w="1082"/>
        <w:gridCol w:w="3563"/>
        <w:gridCol w:w="775"/>
        <w:gridCol w:w="780"/>
        <w:gridCol w:w="466"/>
      </w:tblGrid>
      <w:tr w:rsidR="00E8309B">
        <w:trPr>
          <w:trHeight w:val="264"/>
        </w:trPr>
        <w:tc>
          <w:tcPr>
            <w:tcW w:w="2989" w:type="dxa"/>
            <w:tcBorders>
              <w:top w:val="single" w:sz="4" w:space="0" w:color="002060"/>
              <w:left w:val="nil"/>
              <w:bottom w:val="single" w:sz="4" w:space="0" w:color="002060"/>
              <w:right w:val="nil"/>
            </w:tcBorders>
          </w:tcPr>
          <w:p w:rsidR="00E8309B" w:rsidRDefault="009D0949">
            <w:pPr>
              <w:spacing w:after="0" w:line="259" w:lineRule="auto"/>
              <w:ind w:left="123" w:right="0" w:firstLine="0"/>
              <w:jc w:val="left"/>
            </w:pPr>
            <w:r>
              <w:rPr>
                <w:b/>
                <w:sz w:val="18"/>
              </w:rPr>
              <w:t>Опис</w:t>
            </w:r>
            <w:r>
              <w:rPr>
                <w:sz w:val="18"/>
              </w:rPr>
              <w:t xml:space="preserve"> </w:t>
            </w:r>
          </w:p>
        </w:tc>
        <w:tc>
          <w:tcPr>
            <w:tcW w:w="1082" w:type="dxa"/>
            <w:tcBorders>
              <w:top w:val="single" w:sz="4" w:space="0" w:color="002060"/>
              <w:left w:val="nil"/>
              <w:bottom w:val="single" w:sz="4" w:space="0" w:color="002060"/>
              <w:right w:val="nil"/>
            </w:tcBorders>
          </w:tcPr>
          <w:p w:rsidR="00E8309B" w:rsidRDefault="009D0949">
            <w:pPr>
              <w:spacing w:after="0" w:line="259" w:lineRule="auto"/>
              <w:ind w:left="0" w:right="0" w:firstLine="0"/>
              <w:jc w:val="left"/>
            </w:pPr>
            <w:r>
              <w:rPr>
                <w:b/>
                <w:sz w:val="18"/>
              </w:rPr>
              <w:t>Извршење</w:t>
            </w:r>
            <w:r>
              <w:rPr>
                <w:sz w:val="18"/>
              </w:rPr>
              <w:t xml:space="preserve"> </w:t>
            </w:r>
          </w:p>
        </w:tc>
        <w:tc>
          <w:tcPr>
            <w:tcW w:w="3563" w:type="dxa"/>
            <w:tcBorders>
              <w:top w:val="single" w:sz="4" w:space="0" w:color="002060"/>
              <w:left w:val="nil"/>
              <w:bottom w:val="single" w:sz="4" w:space="0" w:color="002060"/>
              <w:right w:val="nil"/>
            </w:tcBorders>
          </w:tcPr>
          <w:p w:rsidR="00E8309B" w:rsidRDefault="009D0949">
            <w:pPr>
              <w:tabs>
                <w:tab w:val="center" w:pos="2036"/>
              </w:tabs>
              <w:spacing w:after="0" w:line="259" w:lineRule="auto"/>
              <w:ind w:left="0" w:right="0" w:firstLine="0"/>
              <w:jc w:val="left"/>
            </w:pPr>
            <w:r>
              <w:rPr>
                <w:b/>
                <w:sz w:val="18"/>
              </w:rPr>
              <w:t>Процена</w:t>
            </w:r>
            <w:r>
              <w:rPr>
                <w:sz w:val="18"/>
              </w:rPr>
              <w:t xml:space="preserve"> </w:t>
            </w:r>
            <w:r>
              <w:rPr>
                <w:sz w:val="18"/>
              </w:rPr>
              <w:tab/>
              <w:t xml:space="preserve"> </w:t>
            </w:r>
          </w:p>
        </w:tc>
        <w:tc>
          <w:tcPr>
            <w:tcW w:w="1555" w:type="dxa"/>
            <w:gridSpan w:val="2"/>
            <w:tcBorders>
              <w:top w:val="single" w:sz="4" w:space="0" w:color="002060"/>
              <w:left w:val="nil"/>
              <w:bottom w:val="single" w:sz="4" w:space="0" w:color="002060"/>
              <w:right w:val="nil"/>
            </w:tcBorders>
          </w:tcPr>
          <w:p w:rsidR="00E8309B" w:rsidRDefault="009D0949">
            <w:pPr>
              <w:spacing w:after="0" w:line="259" w:lineRule="auto"/>
              <w:ind w:left="391" w:right="0" w:firstLine="0"/>
              <w:jc w:val="left"/>
            </w:pPr>
            <w:r>
              <w:rPr>
                <w:b/>
                <w:sz w:val="18"/>
              </w:rPr>
              <w:t>Пројекција</w:t>
            </w:r>
            <w:r>
              <w:rPr>
                <w:sz w:val="18"/>
              </w:rPr>
              <w:t xml:space="preserve"> </w:t>
            </w:r>
          </w:p>
        </w:tc>
        <w:tc>
          <w:tcPr>
            <w:tcW w:w="466" w:type="dxa"/>
            <w:tcBorders>
              <w:top w:val="single" w:sz="4" w:space="0" w:color="002060"/>
              <w:left w:val="nil"/>
              <w:bottom w:val="single" w:sz="4" w:space="0" w:color="002060"/>
              <w:right w:val="nil"/>
            </w:tcBorders>
          </w:tcPr>
          <w:p w:rsidR="00E8309B" w:rsidRDefault="00E8309B">
            <w:pPr>
              <w:spacing w:after="160" w:line="259" w:lineRule="auto"/>
              <w:ind w:left="0" w:right="0" w:firstLine="0"/>
              <w:jc w:val="left"/>
            </w:pPr>
          </w:p>
        </w:tc>
      </w:tr>
      <w:tr w:rsidR="00E8309B">
        <w:trPr>
          <w:trHeight w:val="262"/>
        </w:trPr>
        <w:tc>
          <w:tcPr>
            <w:tcW w:w="2989" w:type="dxa"/>
            <w:vMerge w:val="restart"/>
            <w:tcBorders>
              <w:top w:val="single" w:sz="4" w:space="0" w:color="002060"/>
              <w:left w:val="nil"/>
              <w:bottom w:val="nil"/>
              <w:right w:val="nil"/>
            </w:tcBorders>
          </w:tcPr>
          <w:p w:rsidR="00E8309B" w:rsidRDefault="009D0949">
            <w:pPr>
              <w:spacing w:after="73" w:line="259" w:lineRule="auto"/>
              <w:ind w:left="123" w:right="0" w:firstLine="0"/>
              <w:jc w:val="left"/>
            </w:pPr>
            <w:r>
              <w:rPr>
                <w:sz w:val="18"/>
              </w:rPr>
              <w:t xml:space="preserve"> </w:t>
            </w:r>
          </w:p>
          <w:p w:rsidR="00E8309B" w:rsidRDefault="009D0949">
            <w:pPr>
              <w:spacing w:after="0" w:line="259" w:lineRule="auto"/>
              <w:ind w:left="123" w:right="0" w:firstLine="0"/>
              <w:jc w:val="left"/>
            </w:pPr>
            <w:r>
              <w:rPr>
                <w:sz w:val="18"/>
              </w:rPr>
              <w:t xml:space="preserve">ЈАВНИ ПРИХОДИ </w:t>
            </w:r>
          </w:p>
        </w:tc>
        <w:tc>
          <w:tcPr>
            <w:tcW w:w="1082" w:type="dxa"/>
            <w:tcBorders>
              <w:top w:val="single" w:sz="4" w:space="0" w:color="002060"/>
              <w:left w:val="nil"/>
              <w:bottom w:val="single" w:sz="4" w:space="0" w:color="002060"/>
              <w:right w:val="nil"/>
            </w:tcBorders>
          </w:tcPr>
          <w:p w:rsidR="00E8309B" w:rsidRDefault="009D0949">
            <w:pPr>
              <w:spacing w:after="0" w:line="259" w:lineRule="auto"/>
              <w:ind w:left="504" w:right="0" w:firstLine="0"/>
              <w:jc w:val="left"/>
            </w:pPr>
            <w:r>
              <w:rPr>
                <w:sz w:val="18"/>
              </w:rPr>
              <w:t xml:space="preserve">2019 </w:t>
            </w:r>
          </w:p>
        </w:tc>
        <w:tc>
          <w:tcPr>
            <w:tcW w:w="3563" w:type="dxa"/>
            <w:tcBorders>
              <w:top w:val="single" w:sz="4" w:space="0" w:color="002060"/>
              <w:left w:val="nil"/>
              <w:bottom w:val="single" w:sz="4" w:space="0" w:color="002060"/>
              <w:right w:val="nil"/>
            </w:tcBorders>
          </w:tcPr>
          <w:p w:rsidR="00E8309B" w:rsidRDefault="009D0949">
            <w:pPr>
              <w:tabs>
                <w:tab w:val="center" w:pos="528"/>
                <w:tab w:val="center" w:pos="3147"/>
              </w:tabs>
              <w:spacing w:after="0" w:line="259" w:lineRule="auto"/>
              <w:ind w:left="0" w:right="0" w:firstLine="0"/>
              <w:jc w:val="left"/>
            </w:pPr>
            <w:r>
              <w:rPr>
                <w:rFonts w:ascii="Calibri" w:eastAsia="Calibri" w:hAnsi="Calibri" w:cs="Calibri"/>
                <w:sz w:val="22"/>
              </w:rPr>
              <w:tab/>
            </w:r>
            <w:r>
              <w:rPr>
                <w:sz w:val="18"/>
              </w:rPr>
              <w:t xml:space="preserve">2020 </w:t>
            </w:r>
            <w:r>
              <w:rPr>
                <w:sz w:val="18"/>
              </w:rPr>
              <w:tab/>
              <w:t xml:space="preserve"> </w:t>
            </w:r>
          </w:p>
        </w:tc>
        <w:tc>
          <w:tcPr>
            <w:tcW w:w="775" w:type="dxa"/>
            <w:tcBorders>
              <w:top w:val="single" w:sz="4" w:space="0" w:color="002060"/>
              <w:left w:val="nil"/>
              <w:bottom w:val="single" w:sz="4" w:space="0" w:color="002060"/>
              <w:right w:val="nil"/>
            </w:tcBorders>
          </w:tcPr>
          <w:p w:rsidR="00E8309B" w:rsidRDefault="009D0949">
            <w:pPr>
              <w:spacing w:after="0" w:line="259" w:lineRule="auto"/>
              <w:ind w:left="0" w:right="0" w:firstLine="0"/>
              <w:jc w:val="left"/>
            </w:pPr>
            <w:r>
              <w:rPr>
                <w:sz w:val="18"/>
              </w:rPr>
              <w:t xml:space="preserve">2021 </w:t>
            </w:r>
          </w:p>
        </w:tc>
        <w:tc>
          <w:tcPr>
            <w:tcW w:w="780" w:type="dxa"/>
            <w:tcBorders>
              <w:top w:val="single" w:sz="4" w:space="0" w:color="002060"/>
              <w:left w:val="nil"/>
              <w:bottom w:val="single" w:sz="4" w:space="0" w:color="002060"/>
              <w:right w:val="nil"/>
            </w:tcBorders>
          </w:tcPr>
          <w:p w:rsidR="00E8309B" w:rsidRDefault="009D0949">
            <w:pPr>
              <w:spacing w:after="0" w:line="259" w:lineRule="auto"/>
              <w:ind w:left="0" w:right="0" w:firstLine="0"/>
              <w:jc w:val="left"/>
            </w:pPr>
            <w:r>
              <w:rPr>
                <w:sz w:val="18"/>
              </w:rPr>
              <w:t xml:space="preserve">2022 </w:t>
            </w:r>
          </w:p>
        </w:tc>
        <w:tc>
          <w:tcPr>
            <w:tcW w:w="466" w:type="dxa"/>
            <w:tcBorders>
              <w:top w:val="single" w:sz="4" w:space="0" w:color="002060"/>
              <w:left w:val="nil"/>
              <w:bottom w:val="single" w:sz="4" w:space="0" w:color="002060"/>
              <w:right w:val="nil"/>
            </w:tcBorders>
          </w:tcPr>
          <w:p w:rsidR="00E8309B" w:rsidRDefault="009D0949">
            <w:pPr>
              <w:spacing w:after="0" w:line="259" w:lineRule="auto"/>
              <w:ind w:left="0" w:right="0" w:firstLine="0"/>
            </w:pPr>
            <w:r>
              <w:rPr>
                <w:sz w:val="18"/>
              </w:rPr>
              <w:t xml:space="preserve">2023 </w:t>
            </w:r>
          </w:p>
        </w:tc>
      </w:tr>
      <w:tr w:rsidR="00E8309B">
        <w:trPr>
          <w:trHeight w:val="257"/>
        </w:trPr>
        <w:tc>
          <w:tcPr>
            <w:tcW w:w="0" w:type="auto"/>
            <w:vMerge/>
            <w:tcBorders>
              <w:top w:val="nil"/>
              <w:left w:val="nil"/>
              <w:bottom w:val="nil"/>
              <w:right w:val="nil"/>
            </w:tcBorders>
          </w:tcPr>
          <w:p w:rsidR="00E8309B" w:rsidRDefault="00E8309B">
            <w:pPr>
              <w:spacing w:after="160" w:line="259" w:lineRule="auto"/>
              <w:ind w:left="0" w:right="0" w:firstLine="0"/>
              <w:jc w:val="left"/>
            </w:pPr>
          </w:p>
        </w:tc>
        <w:tc>
          <w:tcPr>
            <w:tcW w:w="1082" w:type="dxa"/>
            <w:tcBorders>
              <w:top w:val="single" w:sz="4" w:space="0" w:color="002060"/>
              <w:left w:val="nil"/>
              <w:bottom w:val="nil"/>
              <w:right w:val="nil"/>
            </w:tcBorders>
          </w:tcPr>
          <w:p w:rsidR="00E8309B" w:rsidRDefault="009D0949">
            <w:pPr>
              <w:spacing w:after="0" w:line="259" w:lineRule="auto"/>
              <w:ind w:left="550" w:right="0" w:firstLine="0"/>
              <w:jc w:val="left"/>
            </w:pPr>
            <w:r>
              <w:rPr>
                <w:sz w:val="18"/>
              </w:rPr>
              <w:t xml:space="preserve">42,1 </w:t>
            </w:r>
          </w:p>
        </w:tc>
        <w:tc>
          <w:tcPr>
            <w:tcW w:w="3563" w:type="dxa"/>
            <w:tcBorders>
              <w:top w:val="single" w:sz="4" w:space="0" w:color="002060"/>
              <w:left w:val="nil"/>
              <w:bottom w:val="nil"/>
              <w:right w:val="nil"/>
            </w:tcBorders>
          </w:tcPr>
          <w:p w:rsidR="00E8309B" w:rsidRDefault="009D0949">
            <w:pPr>
              <w:tabs>
                <w:tab w:val="center" w:pos="551"/>
                <w:tab w:val="center" w:pos="3147"/>
              </w:tabs>
              <w:spacing w:after="0" w:line="259" w:lineRule="auto"/>
              <w:ind w:left="0" w:right="0" w:firstLine="0"/>
              <w:jc w:val="left"/>
            </w:pPr>
            <w:r>
              <w:rPr>
                <w:rFonts w:ascii="Calibri" w:eastAsia="Calibri" w:hAnsi="Calibri" w:cs="Calibri"/>
                <w:sz w:val="22"/>
              </w:rPr>
              <w:tab/>
            </w:r>
            <w:r>
              <w:rPr>
                <w:sz w:val="18"/>
              </w:rPr>
              <w:t xml:space="preserve">40,3 </w:t>
            </w:r>
            <w:r>
              <w:rPr>
                <w:sz w:val="18"/>
              </w:rPr>
              <w:tab/>
              <w:t xml:space="preserve"> </w:t>
            </w:r>
          </w:p>
        </w:tc>
        <w:tc>
          <w:tcPr>
            <w:tcW w:w="775" w:type="dxa"/>
            <w:tcBorders>
              <w:top w:val="single" w:sz="4" w:space="0" w:color="002060"/>
              <w:left w:val="nil"/>
              <w:bottom w:val="nil"/>
              <w:right w:val="nil"/>
            </w:tcBorders>
          </w:tcPr>
          <w:p w:rsidR="00E8309B" w:rsidRDefault="009D0949">
            <w:pPr>
              <w:spacing w:after="0" w:line="259" w:lineRule="auto"/>
              <w:ind w:left="46" w:right="0" w:firstLine="0"/>
              <w:jc w:val="left"/>
            </w:pPr>
            <w:r>
              <w:rPr>
                <w:sz w:val="18"/>
              </w:rPr>
              <w:t xml:space="preserve">40,4 </w:t>
            </w:r>
          </w:p>
        </w:tc>
        <w:tc>
          <w:tcPr>
            <w:tcW w:w="780" w:type="dxa"/>
            <w:tcBorders>
              <w:top w:val="single" w:sz="4" w:space="0" w:color="002060"/>
              <w:left w:val="nil"/>
              <w:bottom w:val="nil"/>
              <w:right w:val="nil"/>
            </w:tcBorders>
          </w:tcPr>
          <w:p w:rsidR="00E8309B" w:rsidRDefault="009D0949">
            <w:pPr>
              <w:spacing w:after="0" w:line="259" w:lineRule="auto"/>
              <w:ind w:left="46" w:right="0" w:firstLine="0"/>
              <w:jc w:val="left"/>
            </w:pPr>
            <w:r>
              <w:rPr>
                <w:sz w:val="18"/>
              </w:rPr>
              <w:t xml:space="preserve">40,5 </w:t>
            </w:r>
          </w:p>
        </w:tc>
        <w:tc>
          <w:tcPr>
            <w:tcW w:w="466" w:type="dxa"/>
            <w:tcBorders>
              <w:top w:val="single" w:sz="4" w:space="0" w:color="002060"/>
              <w:left w:val="nil"/>
              <w:bottom w:val="nil"/>
              <w:right w:val="nil"/>
            </w:tcBorders>
          </w:tcPr>
          <w:p w:rsidR="00E8309B" w:rsidRDefault="009D0949">
            <w:pPr>
              <w:spacing w:after="0" w:line="259" w:lineRule="auto"/>
              <w:ind w:left="46" w:right="0" w:firstLine="0"/>
            </w:pPr>
            <w:r>
              <w:rPr>
                <w:sz w:val="18"/>
              </w:rPr>
              <w:t xml:space="preserve">39,7 </w:t>
            </w:r>
          </w:p>
        </w:tc>
      </w:tr>
      <w:tr w:rsidR="00E8309B">
        <w:trPr>
          <w:trHeight w:val="253"/>
        </w:trPr>
        <w:tc>
          <w:tcPr>
            <w:tcW w:w="2989" w:type="dxa"/>
            <w:tcBorders>
              <w:top w:val="nil"/>
              <w:left w:val="nil"/>
              <w:bottom w:val="nil"/>
              <w:right w:val="nil"/>
            </w:tcBorders>
          </w:tcPr>
          <w:p w:rsidR="00E8309B" w:rsidRDefault="009D0949">
            <w:pPr>
              <w:spacing w:after="0" w:line="259" w:lineRule="auto"/>
              <w:ind w:left="123" w:right="0" w:firstLine="0"/>
              <w:jc w:val="left"/>
            </w:pPr>
            <w:r>
              <w:rPr>
                <w:sz w:val="18"/>
              </w:rPr>
              <w:t xml:space="preserve">Текући приходи </w:t>
            </w:r>
          </w:p>
        </w:tc>
        <w:tc>
          <w:tcPr>
            <w:tcW w:w="1082" w:type="dxa"/>
            <w:tcBorders>
              <w:top w:val="nil"/>
              <w:left w:val="nil"/>
              <w:bottom w:val="nil"/>
              <w:right w:val="nil"/>
            </w:tcBorders>
          </w:tcPr>
          <w:p w:rsidR="00E8309B" w:rsidRDefault="009D0949">
            <w:pPr>
              <w:spacing w:after="0" w:line="259" w:lineRule="auto"/>
              <w:ind w:left="550" w:right="0" w:firstLine="0"/>
              <w:jc w:val="left"/>
            </w:pPr>
            <w:r>
              <w:rPr>
                <w:sz w:val="18"/>
              </w:rPr>
              <w:t xml:space="preserve">41,8 </w:t>
            </w:r>
          </w:p>
        </w:tc>
        <w:tc>
          <w:tcPr>
            <w:tcW w:w="3563" w:type="dxa"/>
            <w:tcBorders>
              <w:top w:val="nil"/>
              <w:left w:val="nil"/>
              <w:bottom w:val="nil"/>
              <w:right w:val="nil"/>
            </w:tcBorders>
          </w:tcPr>
          <w:p w:rsidR="00E8309B" w:rsidRDefault="009D0949">
            <w:pPr>
              <w:tabs>
                <w:tab w:val="center" w:pos="551"/>
                <w:tab w:val="center" w:pos="3147"/>
              </w:tabs>
              <w:spacing w:after="0" w:line="259" w:lineRule="auto"/>
              <w:ind w:left="0" w:right="0" w:firstLine="0"/>
              <w:jc w:val="left"/>
            </w:pPr>
            <w:r>
              <w:rPr>
                <w:rFonts w:ascii="Calibri" w:eastAsia="Calibri" w:hAnsi="Calibri" w:cs="Calibri"/>
                <w:sz w:val="22"/>
              </w:rPr>
              <w:tab/>
            </w:r>
            <w:r>
              <w:rPr>
                <w:sz w:val="18"/>
              </w:rPr>
              <w:t xml:space="preserve">40,0 </w:t>
            </w:r>
            <w:r>
              <w:rPr>
                <w:sz w:val="18"/>
              </w:rPr>
              <w:tab/>
              <w:t xml:space="preserve"> </w:t>
            </w:r>
          </w:p>
        </w:tc>
        <w:tc>
          <w:tcPr>
            <w:tcW w:w="775" w:type="dxa"/>
            <w:tcBorders>
              <w:top w:val="nil"/>
              <w:left w:val="nil"/>
              <w:bottom w:val="nil"/>
              <w:right w:val="nil"/>
            </w:tcBorders>
          </w:tcPr>
          <w:p w:rsidR="00E8309B" w:rsidRDefault="009D0949">
            <w:pPr>
              <w:spacing w:after="0" w:line="259" w:lineRule="auto"/>
              <w:ind w:left="46" w:right="0" w:firstLine="0"/>
              <w:jc w:val="left"/>
            </w:pPr>
            <w:r>
              <w:rPr>
                <w:sz w:val="18"/>
              </w:rPr>
              <w:t xml:space="preserve">40,1 </w:t>
            </w:r>
          </w:p>
        </w:tc>
        <w:tc>
          <w:tcPr>
            <w:tcW w:w="780" w:type="dxa"/>
            <w:tcBorders>
              <w:top w:val="nil"/>
              <w:left w:val="nil"/>
              <w:bottom w:val="nil"/>
              <w:right w:val="nil"/>
            </w:tcBorders>
          </w:tcPr>
          <w:p w:rsidR="00E8309B" w:rsidRDefault="009D0949">
            <w:pPr>
              <w:spacing w:after="0" w:line="259" w:lineRule="auto"/>
              <w:ind w:left="46" w:right="0" w:firstLine="0"/>
              <w:jc w:val="left"/>
            </w:pPr>
            <w:r>
              <w:rPr>
                <w:sz w:val="18"/>
              </w:rPr>
              <w:t xml:space="preserve">40,2 </w:t>
            </w:r>
          </w:p>
        </w:tc>
        <w:tc>
          <w:tcPr>
            <w:tcW w:w="466" w:type="dxa"/>
            <w:tcBorders>
              <w:top w:val="nil"/>
              <w:left w:val="nil"/>
              <w:bottom w:val="nil"/>
              <w:right w:val="nil"/>
            </w:tcBorders>
          </w:tcPr>
          <w:p w:rsidR="00E8309B" w:rsidRDefault="009D0949">
            <w:pPr>
              <w:spacing w:after="0" w:line="259" w:lineRule="auto"/>
              <w:ind w:left="46" w:right="0" w:firstLine="0"/>
            </w:pPr>
            <w:r>
              <w:rPr>
                <w:sz w:val="18"/>
              </w:rPr>
              <w:t xml:space="preserve">39,4 </w:t>
            </w:r>
          </w:p>
        </w:tc>
      </w:tr>
      <w:tr w:rsidR="00E8309B">
        <w:trPr>
          <w:trHeight w:val="253"/>
        </w:trPr>
        <w:tc>
          <w:tcPr>
            <w:tcW w:w="2989" w:type="dxa"/>
            <w:tcBorders>
              <w:top w:val="nil"/>
              <w:left w:val="nil"/>
              <w:bottom w:val="nil"/>
              <w:right w:val="nil"/>
            </w:tcBorders>
          </w:tcPr>
          <w:p w:rsidR="00E8309B" w:rsidRDefault="009D0949">
            <w:pPr>
              <w:spacing w:after="0" w:line="259" w:lineRule="auto"/>
              <w:ind w:left="123" w:right="0" w:firstLine="0"/>
              <w:jc w:val="left"/>
            </w:pPr>
            <w:r>
              <w:rPr>
                <w:sz w:val="18"/>
              </w:rPr>
              <w:t xml:space="preserve">  Порески приходи </w:t>
            </w:r>
          </w:p>
        </w:tc>
        <w:tc>
          <w:tcPr>
            <w:tcW w:w="1082" w:type="dxa"/>
            <w:tcBorders>
              <w:top w:val="nil"/>
              <w:left w:val="nil"/>
              <w:bottom w:val="nil"/>
              <w:right w:val="nil"/>
            </w:tcBorders>
          </w:tcPr>
          <w:p w:rsidR="00E8309B" w:rsidRDefault="009D0949">
            <w:pPr>
              <w:spacing w:after="0" w:line="259" w:lineRule="auto"/>
              <w:ind w:left="550" w:right="0" w:firstLine="0"/>
              <w:jc w:val="left"/>
            </w:pPr>
            <w:r>
              <w:rPr>
                <w:sz w:val="18"/>
              </w:rPr>
              <w:t xml:space="preserve">36,8 </w:t>
            </w:r>
          </w:p>
        </w:tc>
        <w:tc>
          <w:tcPr>
            <w:tcW w:w="3563" w:type="dxa"/>
            <w:tcBorders>
              <w:top w:val="nil"/>
              <w:left w:val="nil"/>
              <w:bottom w:val="nil"/>
              <w:right w:val="nil"/>
            </w:tcBorders>
          </w:tcPr>
          <w:p w:rsidR="00E8309B" w:rsidRDefault="009D0949">
            <w:pPr>
              <w:tabs>
                <w:tab w:val="center" w:pos="551"/>
                <w:tab w:val="center" w:pos="3147"/>
              </w:tabs>
              <w:spacing w:after="0" w:line="259" w:lineRule="auto"/>
              <w:ind w:left="0" w:right="0" w:firstLine="0"/>
              <w:jc w:val="left"/>
            </w:pPr>
            <w:r>
              <w:rPr>
                <w:rFonts w:ascii="Calibri" w:eastAsia="Calibri" w:hAnsi="Calibri" w:cs="Calibri"/>
                <w:sz w:val="22"/>
              </w:rPr>
              <w:tab/>
            </w:r>
            <w:r>
              <w:rPr>
                <w:sz w:val="18"/>
              </w:rPr>
              <w:t xml:space="preserve">35,6 </w:t>
            </w:r>
            <w:r>
              <w:rPr>
                <w:sz w:val="18"/>
              </w:rPr>
              <w:tab/>
              <w:t xml:space="preserve"> </w:t>
            </w:r>
          </w:p>
        </w:tc>
        <w:tc>
          <w:tcPr>
            <w:tcW w:w="775" w:type="dxa"/>
            <w:tcBorders>
              <w:top w:val="nil"/>
              <w:left w:val="nil"/>
              <w:bottom w:val="nil"/>
              <w:right w:val="nil"/>
            </w:tcBorders>
          </w:tcPr>
          <w:p w:rsidR="00E8309B" w:rsidRDefault="009D0949">
            <w:pPr>
              <w:spacing w:after="0" w:line="259" w:lineRule="auto"/>
              <w:ind w:left="46" w:right="0" w:firstLine="0"/>
              <w:jc w:val="left"/>
            </w:pPr>
            <w:r>
              <w:rPr>
                <w:sz w:val="18"/>
              </w:rPr>
              <w:t xml:space="preserve">36,2 </w:t>
            </w:r>
          </w:p>
        </w:tc>
        <w:tc>
          <w:tcPr>
            <w:tcW w:w="780" w:type="dxa"/>
            <w:tcBorders>
              <w:top w:val="nil"/>
              <w:left w:val="nil"/>
              <w:bottom w:val="nil"/>
              <w:right w:val="nil"/>
            </w:tcBorders>
          </w:tcPr>
          <w:p w:rsidR="00E8309B" w:rsidRDefault="009D0949">
            <w:pPr>
              <w:spacing w:after="0" w:line="259" w:lineRule="auto"/>
              <w:ind w:left="46" w:right="0" w:firstLine="0"/>
              <w:jc w:val="left"/>
            </w:pPr>
            <w:r>
              <w:rPr>
                <w:sz w:val="18"/>
              </w:rPr>
              <w:t xml:space="preserve">36,3 </w:t>
            </w:r>
          </w:p>
        </w:tc>
        <w:tc>
          <w:tcPr>
            <w:tcW w:w="466" w:type="dxa"/>
            <w:tcBorders>
              <w:top w:val="nil"/>
              <w:left w:val="nil"/>
              <w:bottom w:val="nil"/>
              <w:right w:val="nil"/>
            </w:tcBorders>
          </w:tcPr>
          <w:p w:rsidR="00E8309B" w:rsidRDefault="009D0949">
            <w:pPr>
              <w:spacing w:after="0" w:line="259" w:lineRule="auto"/>
              <w:ind w:left="46" w:right="0" w:firstLine="0"/>
            </w:pPr>
            <w:r>
              <w:rPr>
                <w:sz w:val="18"/>
              </w:rPr>
              <w:t xml:space="preserve">35,6 </w:t>
            </w:r>
          </w:p>
        </w:tc>
      </w:tr>
      <w:tr w:rsidR="00E8309B">
        <w:trPr>
          <w:trHeight w:val="253"/>
        </w:trPr>
        <w:tc>
          <w:tcPr>
            <w:tcW w:w="2989" w:type="dxa"/>
            <w:tcBorders>
              <w:top w:val="nil"/>
              <w:left w:val="nil"/>
              <w:bottom w:val="nil"/>
              <w:right w:val="nil"/>
            </w:tcBorders>
          </w:tcPr>
          <w:p w:rsidR="00E8309B" w:rsidRDefault="009D0949">
            <w:pPr>
              <w:spacing w:after="0" w:line="259" w:lineRule="auto"/>
              <w:ind w:left="406" w:right="0" w:firstLine="0"/>
              <w:jc w:val="left"/>
            </w:pPr>
            <w:r>
              <w:rPr>
                <w:sz w:val="18"/>
              </w:rPr>
              <w:t xml:space="preserve">Порез на доходак грађана </w:t>
            </w:r>
          </w:p>
        </w:tc>
        <w:tc>
          <w:tcPr>
            <w:tcW w:w="1082" w:type="dxa"/>
            <w:tcBorders>
              <w:top w:val="nil"/>
              <w:left w:val="nil"/>
              <w:bottom w:val="nil"/>
              <w:right w:val="nil"/>
            </w:tcBorders>
          </w:tcPr>
          <w:p w:rsidR="00E8309B" w:rsidRDefault="009D0949">
            <w:pPr>
              <w:spacing w:after="0" w:line="259" w:lineRule="auto"/>
              <w:ind w:left="638" w:right="0" w:firstLine="0"/>
              <w:jc w:val="left"/>
            </w:pPr>
            <w:r>
              <w:rPr>
                <w:sz w:val="18"/>
              </w:rPr>
              <w:t xml:space="preserve">3,8 </w:t>
            </w:r>
          </w:p>
        </w:tc>
        <w:tc>
          <w:tcPr>
            <w:tcW w:w="3563" w:type="dxa"/>
            <w:tcBorders>
              <w:top w:val="nil"/>
              <w:left w:val="nil"/>
              <w:bottom w:val="nil"/>
              <w:right w:val="nil"/>
            </w:tcBorders>
          </w:tcPr>
          <w:p w:rsidR="00E8309B" w:rsidRDefault="009D0949">
            <w:pPr>
              <w:tabs>
                <w:tab w:val="center" w:pos="596"/>
                <w:tab w:val="center" w:pos="3147"/>
              </w:tabs>
              <w:spacing w:after="0" w:line="259" w:lineRule="auto"/>
              <w:ind w:left="0" w:right="0" w:firstLine="0"/>
              <w:jc w:val="left"/>
            </w:pPr>
            <w:r>
              <w:rPr>
                <w:rFonts w:ascii="Calibri" w:eastAsia="Calibri" w:hAnsi="Calibri" w:cs="Calibri"/>
                <w:sz w:val="22"/>
              </w:rPr>
              <w:tab/>
            </w:r>
            <w:r>
              <w:rPr>
                <w:sz w:val="18"/>
              </w:rPr>
              <w:t xml:space="preserve">3,7 </w:t>
            </w:r>
            <w:r>
              <w:rPr>
                <w:sz w:val="18"/>
              </w:rPr>
              <w:tab/>
              <w:t xml:space="preserve"> </w:t>
            </w:r>
          </w:p>
        </w:tc>
        <w:tc>
          <w:tcPr>
            <w:tcW w:w="775" w:type="dxa"/>
            <w:tcBorders>
              <w:top w:val="nil"/>
              <w:left w:val="nil"/>
              <w:bottom w:val="nil"/>
              <w:right w:val="nil"/>
            </w:tcBorders>
          </w:tcPr>
          <w:p w:rsidR="00E8309B" w:rsidRDefault="009D0949">
            <w:pPr>
              <w:spacing w:after="0" w:line="259" w:lineRule="auto"/>
              <w:ind w:left="134" w:right="0" w:firstLine="0"/>
              <w:jc w:val="left"/>
            </w:pPr>
            <w:r>
              <w:rPr>
                <w:sz w:val="18"/>
              </w:rPr>
              <w:t xml:space="preserve">3,8 </w:t>
            </w:r>
          </w:p>
        </w:tc>
        <w:tc>
          <w:tcPr>
            <w:tcW w:w="780" w:type="dxa"/>
            <w:tcBorders>
              <w:top w:val="nil"/>
              <w:left w:val="nil"/>
              <w:bottom w:val="nil"/>
              <w:right w:val="nil"/>
            </w:tcBorders>
          </w:tcPr>
          <w:p w:rsidR="00E8309B" w:rsidRDefault="009D0949">
            <w:pPr>
              <w:spacing w:after="0" w:line="259" w:lineRule="auto"/>
              <w:ind w:left="134" w:right="0" w:firstLine="0"/>
              <w:jc w:val="left"/>
            </w:pPr>
            <w:r>
              <w:rPr>
                <w:sz w:val="18"/>
              </w:rPr>
              <w:t xml:space="preserve">3,8 </w:t>
            </w:r>
          </w:p>
        </w:tc>
        <w:tc>
          <w:tcPr>
            <w:tcW w:w="466" w:type="dxa"/>
            <w:tcBorders>
              <w:top w:val="nil"/>
              <w:left w:val="nil"/>
              <w:bottom w:val="nil"/>
              <w:right w:val="nil"/>
            </w:tcBorders>
          </w:tcPr>
          <w:p w:rsidR="00E8309B" w:rsidRDefault="009D0949">
            <w:pPr>
              <w:spacing w:after="0" w:line="259" w:lineRule="auto"/>
              <w:ind w:left="134" w:right="0" w:firstLine="0"/>
              <w:jc w:val="left"/>
            </w:pPr>
            <w:r>
              <w:rPr>
                <w:sz w:val="18"/>
              </w:rPr>
              <w:t xml:space="preserve">3,7 </w:t>
            </w:r>
          </w:p>
        </w:tc>
      </w:tr>
      <w:tr w:rsidR="00E8309B">
        <w:trPr>
          <w:trHeight w:val="253"/>
        </w:trPr>
        <w:tc>
          <w:tcPr>
            <w:tcW w:w="2989" w:type="dxa"/>
            <w:tcBorders>
              <w:top w:val="nil"/>
              <w:left w:val="nil"/>
              <w:bottom w:val="nil"/>
              <w:right w:val="nil"/>
            </w:tcBorders>
          </w:tcPr>
          <w:p w:rsidR="00E8309B" w:rsidRDefault="009D0949">
            <w:pPr>
              <w:spacing w:after="0" w:line="259" w:lineRule="auto"/>
              <w:ind w:left="142" w:right="0" w:firstLine="0"/>
              <w:jc w:val="center"/>
            </w:pPr>
            <w:r>
              <w:rPr>
                <w:sz w:val="18"/>
              </w:rPr>
              <w:t xml:space="preserve">Порез на добит правних лица </w:t>
            </w:r>
          </w:p>
        </w:tc>
        <w:tc>
          <w:tcPr>
            <w:tcW w:w="1082" w:type="dxa"/>
            <w:tcBorders>
              <w:top w:val="nil"/>
              <w:left w:val="nil"/>
              <w:bottom w:val="nil"/>
              <w:right w:val="nil"/>
            </w:tcBorders>
          </w:tcPr>
          <w:p w:rsidR="00E8309B" w:rsidRDefault="009D0949">
            <w:pPr>
              <w:spacing w:after="0" w:line="259" w:lineRule="auto"/>
              <w:ind w:left="638" w:right="0" w:firstLine="0"/>
              <w:jc w:val="left"/>
            </w:pPr>
            <w:r>
              <w:rPr>
                <w:sz w:val="18"/>
              </w:rPr>
              <w:t xml:space="preserve">2,3 </w:t>
            </w:r>
          </w:p>
        </w:tc>
        <w:tc>
          <w:tcPr>
            <w:tcW w:w="3563" w:type="dxa"/>
            <w:tcBorders>
              <w:top w:val="nil"/>
              <w:left w:val="nil"/>
              <w:bottom w:val="nil"/>
              <w:right w:val="nil"/>
            </w:tcBorders>
          </w:tcPr>
          <w:p w:rsidR="00E8309B" w:rsidRDefault="009D0949">
            <w:pPr>
              <w:tabs>
                <w:tab w:val="center" w:pos="596"/>
                <w:tab w:val="center" w:pos="3147"/>
              </w:tabs>
              <w:spacing w:after="0" w:line="259" w:lineRule="auto"/>
              <w:ind w:left="0" w:right="0" w:firstLine="0"/>
              <w:jc w:val="left"/>
            </w:pPr>
            <w:r>
              <w:rPr>
                <w:rFonts w:ascii="Calibri" w:eastAsia="Calibri" w:hAnsi="Calibri" w:cs="Calibri"/>
                <w:sz w:val="22"/>
              </w:rPr>
              <w:tab/>
            </w:r>
            <w:r>
              <w:rPr>
                <w:sz w:val="18"/>
              </w:rPr>
              <w:t xml:space="preserve">2,2 </w:t>
            </w:r>
            <w:r>
              <w:rPr>
                <w:sz w:val="18"/>
              </w:rPr>
              <w:tab/>
              <w:t xml:space="preserve"> </w:t>
            </w:r>
          </w:p>
        </w:tc>
        <w:tc>
          <w:tcPr>
            <w:tcW w:w="775" w:type="dxa"/>
            <w:tcBorders>
              <w:top w:val="nil"/>
              <w:left w:val="nil"/>
              <w:bottom w:val="nil"/>
              <w:right w:val="nil"/>
            </w:tcBorders>
          </w:tcPr>
          <w:p w:rsidR="00E8309B" w:rsidRDefault="009D0949">
            <w:pPr>
              <w:spacing w:after="0" w:line="259" w:lineRule="auto"/>
              <w:ind w:left="134" w:right="0" w:firstLine="0"/>
              <w:jc w:val="left"/>
            </w:pPr>
            <w:r>
              <w:rPr>
                <w:sz w:val="18"/>
              </w:rPr>
              <w:t xml:space="preserve">1,8 </w:t>
            </w:r>
          </w:p>
        </w:tc>
        <w:tc>
          <w:tcPr>
            <w:tcW w:w="780" w:type="dxa"/>
            <w:tcBorders>
              <w:top w:val="nil"/>
              <w:left w:val="nil"/>
              <w:bottom w:val="nil"/>
              <w:right w:val="nil"/>
            </w:tcBorders>
          </w:tcPr>
          <w:p w:rsidR="00E8309B" w:rsidRDefault="009D0949">
            <w:pPr>
              <w:spacing w:after="0" w:line="259" w:lineRule="auto"/>
              <w:ind w:left="134" w:right="0" w:firstLine="0"/>
              <w:jc w:val="left"/>
            </w:pPr>
            <w:r>
              <w:rPr>
                <w:sz w:val="18"/>
              </w:rPr>
              <w:t xml:space="preserve">1,8 </w:t>
            </w:r>
          </w:p>
        </w:tc>
        <w:tc>
          <w:tcPr>
            <w:tcW w:w="466" w:type="dxa"/>
            <w:tcBorders>
              <w:top w:val="nil"/>
              <w:left w:val="nil"/>
              <w:bottom w:val="nil"/>
              <w:right w:val="nil"/>
            </w:tcBorders>
          </w:tcPr>
          <w:p w:rsidR="00E8309B" w:rsidRDefault="009D0949">
            <w:pPr>
              <w:spacing w:after="0" w:line="259" w:lineRule="auto"/>
              <w:ind w:left="134" w:right="0" w:firstLine="0"/>
              <w:jc w:val="left"/>
            </w:pPr>
            <w:r>
              <w:rPr>
                <w:sz w:val="18"/>
              </w:rPr>
              <w:t>1,8</w:t>
            </w:r>
            <w:r>
              <w:rPr>
                <w:sz w:val="18"/>
              </w:rPr>
              <w:t xml:space="preserve"> </w:t>
            </w:r>
          </w:p>
        </w:tc>
      </w:tr>
      <w:tr w:rsidR="00E8309B">
        <w:trPr>
          <w:trHeight w:val="253"/>
        </w:trPr>
        <w:tc>
          <w:tcPr>
            <w:tcW w:w="2989" w:type="dxa"/>
            <w:tcBorders>
              <w:top w:val="nil"/>
              <w:left w:val="nil"/>
              <w:bottom w:val="nil"/>
              <w:right w:val="nil"/>
            </w:tcBorders>
          </w:tcPr>
          <w:p w:rsidR="00E8309B" w:rsidRDefault="009D0949">
            <w:pPr>
              <w:spacing w:after="0" w:line="259" w:lineRule="auto"/>
              <w:ind w:left="406" w:right="0" w:firstLine="0"/>
              <w:jc w:val="left"/>
            </w:pPr>
            <w:r>
              <w:rPr>
                <w:sz w:val="18"/>
              </w:rPr>
              <w:t xml:space="preserve">ПДВ </w:t>
            </w:r>
          </w:p>
        </w:tc>
        <w:tc>
          <w:tcPr>
            <w:tcW w:w="1082" w:type="dxa"/>
            <w:tcBorders>
              <w:top w:val="nil"/>
              <w:left w:val="nil"/>
              <w:bottom w:val="nil"/>
              <w:right w:val="nil"/>
            </w:tcBorders>
          </w:tcPr>
          <w:p w:rsidR="00E8309B" w:rsidRDefault="009D0949">
            <w:pPr>
              <w:spacing w:after="0" w:line="259" w:lineRule="auto"/>
              <w:ind w:left="550" w:right="0" w:firstLine="0"/>
              <w:jc w:val="left"/>
            </w:pPr>
            <w:r>
              <w:rPr>
                <w:sz w:val="18"/>
              </w:rPr>
              <w:t xml:space="preserve">10,2 </w:t>
            </w:r>
          </w:p>
        </w:tc>
        <w:tc>
          <w:tcPr>
            <w:tcW w:w="3563" w:type="dxa"/>
            <w:tcBorders>
              <w:top w:val="nil"/>
              <w:left w:val="nil"/>
              <w:bottom w:val="nil"/>
              <w:right w:val="nil"/>
            </w:tcBorders>
          </w:tcPr>
          <w:p w:rsidR="00E8309B" w:rsidRDefault="009D0949">
            <w:pPr>
              <w:tabs>
                <w:tab w:val="center" w:pos="596"/>
                <w:tab w:val="center" w:pos="3147"/>
              </w:tabs>
              <w:spacing w:after="0" w:line="259" w:lineRule="auto"/>
              <w:ind w:left="0" w:right="0" w:firstLine="0"/>
              <w:jc w:val="left"/>
            </w:pPr>
            <w:r>
              <w:rPr>
                <w:rFonts w:ascii="Calibri" w:eastAsia="Calibri" w:hAnsi="Calibri" w:cs="Calibri"/>
                <w:sz w:val="22"/>
              </w:rPr>
              <w:tab/>
            </w:r>
            <w:r>
              <w:rPr>
                <w:sz w:val="18"/>
              </w:rPr>
              <w:t xml:space="preserve">9,9 </w:t>
            </w:r>
            <w:r>
              <w:rPr>
                <w:sz w:val="18"/>
              </w:rPr>
              <w:tab/>
              <w:t xml:space="preserve"> </w:t>
            </w:r>
          </w:p>
        </w:tc>
        <w:tc>
          <w:tcPr>
            <w:tcW w:w="775" w:type="dxa"/>
            <w:tcBorders>
              <w:top w:val="nil"/>
              <w:left w:val="nil"/>
              <w:bottom w:val="nil"/>
              <w:right w:val="nil"/>
            </w:tcBorders>
          </w:tcPr>
          <w:p w:rsidR="00E8309B" w:rsidRDefault="009D0949">
            <w:pPr>
              <w:spacing w:after="0" w:line="259" w:lineRule="auto"/>
              <w:ind w:left="46" w:right="0" w:firstLine="0"/>
              <w:jc w:val="left"/>
            </w:pPr>
            <w:r>
              <w:rPr>
                <w:sz w:val="18"/>
              </w:rPr>
              <w:t xml:space="preserve">10,0 </w:t>
            </w:r>
          </w:p>
        </w:tc>
        <w:tc>
          <w:tcPr>
            <w:tcW w:w="780" w:type="dxa"/>
            <w:tcBorders>
              <w:top w:val="nil"/>
              <w:left w:val="nil"/>
              <w:bottom w:val="nil"/>
              <w:right w:val="nil"/>
            </w:tcBorders>
          </w:tcPr>
          <w:p w:rsidR="00E8309B" w:rsidRDefault="009D0949">
            <w:pPr>
              <w:spacing w:after="0" w:line="259" w:lineRule="auto"/>
              <w:ind w:left="46" w:right="0" w:firstLine="0"/>
              <w:jc w:val="left"/>
            </w:pPr>
            <w:r>
              <w:rPr>
                <w:sz w:val="18"/>
              </w:rPr>
              <w:t xml:space="preserve">10,1 </w:t>
            </w:r>
          </w:p>
        </w:tc>
        <w:tc>
          <w:tcPr>
            <w:tcW w:w="466" w:type="dxa"/>
            <w:tcBorders>
              <w:top w:val="nil"/>
              <w:left w:val="nil"/>
              <w:bottom w:val="nil"/>
              <w:right w:val="nil"/>
            </w:tcBorders>
          </w:tcPr>
          <w:p w:rsidR="00E8309B" w:rsidRDefault="009D0949">
            <w:pPr>
              <w:spacing w:after="0" w:line="259" w:lineRule="auto"/>
              <w:ind w:left="46" w:right="0" w:firstLine="0"/>
            </w:pPr>
            <w:r>
              <w:rPr>
                <w:sz w:val="18"/>
              </w:rPr>
              <w:t xml:space="preserve">10,1 </w:t>
            </w:r>
          </w:p>
        </w:tc>
      </w:tr>
      <w:tr w:rsidR="00E8309B">
        <w:trPr>
          <w:trHeight w:val="253"/>
        </w:trPr>
        <w:tc>
          <w:tcPr>
            <w:tcW w:w="2989" w:type="dxa"/>
            <w:tcBorders>
              <w:top w:val="nil"/>
              <w:left w:val="nil"/>
              <w:bottom w:val="nil"/>
              <w:right w:val="nil"/>
            </w:tcBorders>
          </w:tcPr>
          <w:p w:rsidR="00E8309B" w:rsidRDefault="009D0949">
            <w:pPr>
              <w:spacing w:after="0" w:line="259" w:lineRule="auto"/>
              <w:ind w:left="406" w:right="0" w:firstLine="0"/>
              <w:jc w:val="left"/>
            </w:pPr>
            <w:r>
              <w:rPr>
                <w:sz w:val="18"/>
              </w:rPr>
              <w:t xml:space="preserve">Акцизе </w:t>
            </w:r>
          </w:p>
        </w:tc>
        <w:tc>
          <w:tcPr>
            <w:tcW w:w="1082" w:type="dxa"/>
            <w:tcBorders>
              <w:top w:val="nil"/>
              <w:left w:val="nil"/>
              <w:bottom w:val="nil"/>
              <w:right w:val="nil"/>
            </w:tcBorders>
          </w:tcPr>
          <w:p w:rsidR="00E8309B" w:rsidRDefault="009D0949">
            <w:pPr>
              <w:spacing w:after="0" w:line="259" w:lineRule="auto"/>
              <w:ind w:left="638" w:right="0" w:firstLine="0"/>
              <w:jc w:val="left"/>
            </w:pPr>
            <w:r>
              <w:rPr>
                <w:sz w:val="18"/>
              </w:rPr>
              <w:t xml:space="preserve">5,7 </w:t>
            </w:r>
          </w:p>
        </w:tc>
        <w:tc>
          <w:tcPr>
            <w:tcW w:w="3563" w:type="dxa"/>
            <w:tcBorders>
              <w:top w:val="nil"/>
              <w:left w:val="nil"/>
              <w:bottom w:val="nil"/>
              <w:right w:val="nil"/>
            </w:tcBorders>
          </w:tcPr>
          <w:p w:rsidR="00E8309B" w:rsidRDefault="009D0949">
            <w:pPr>
              <w:tabs>
                <w:tab w:val="center" w:pos="596"/>
                <w:tab w:val="center" w:pos="3147"/>
              </w:tabs>
              <w:spacing w:after="0" w:line="259" w:lineRule="auto"/>
              <w:ind w:left="0" w:right="0" w:firstLine="0"/>
              <w:jc w:val="left"/>
            </w:pPr>
            <w:r>
              <w:rPr>
                <w:rFonts w:ascii="Calibri" w:eastAsia="Calibri" w:hAnsi="Calibri" w:cs="Calibri"/>
                <w:sz w:val="22"/>
              </w:rPr>
              <w:tab/>
            </w:r>
            <w:r>
              <w:rPr>
                <w:sz w:val="18"/>
              </w:rPr>
              <w:t xml:space="preserve">5,4 </w:t>
            </w:r>
            <w:r>
              <w:rPr>
                <w:sz w:val="18"/>
              </w:rPr>
              <w:tab/>
              <w:t xml:space="preserve"> </w:t>
            </w:r>
          </w:p>
        </w:tc>
        <w:tc>
          <w:tcPr>
            <w:tcW w:w="775" w:type="dxa"/>
            <w:tcBorders>
              <w:top w:val="nil"/>
              <w:left w:val="nil"/>
              <w:bottom w:val="nil"/>
              <w:right w:val="nil"/>
            </w:tcBorders>
          </w:tcPr>
          <w:p w:rsidR="00E8309B" w:rsidRDefault="009D0949">
            <w:pPr>
              <w:spacing w:after="0" w:line="259" w:lineRule="auto"/>
              <w:ind w:left="134" w:right="0" w:firstLine="0"/>
              <w:jc w:val="left"/>
            </w:pPr>
            <w:r>
              <w:rPr>
                <w:sz w:val="18"/>
              </w:rPr>
              <w:t xml:space="preserve">5,3 </w:t>
            </w:r>
          </w:p>
        </w:tc>
        <w:tc>
          <w:tcPr>
            <w:tcW w:w="780" w:type="dxa"/>
            <w:tcBorders>
              <w:top w:val="nil"/>
              <w:left w:val="nil"/>
              <w:bottom w:val="nil"/>
              <w:right w:val="nil"/>
            </w:tcBorders>
          </w:tcPr>
          <w:p w:rsidR="00E8309B" w:rsidRDefault="009D0949">
            <w:pPr>
              <w:spacing w:after="0" w:line="259" w:lineRule="auto"/>
              <w:ind w:left="134" w:right="0" w:firstLine="0"/>
              <w:jc w:val="left"/>
            </w:pPr>
            <w:r>
              <w:rPr>
                <w:sz w:val="18"/>
              </w:rPr>
              <w:t xml:space="preserve">5,1 </w:t>
            </w:r>
          </w:p>
        </w:tc>
        <w:tc>
          <w:tcPr>
            <w:tcW w:w="466" w:type="dxa"/>
            <w:tcBorders>
              <w:top w:val="nil"/>
              <w:left w:val="nil"/>
              <w:bottom w:val="nil"/>
              <w:right w:val="nil"/>
            </w:tcBorders>
          </w:tcPr>
          <w:p w:rsidR="00E8309B" w:rsidRDefault="009D0949">
            <w:pPr>
              <w:spacing w:after="0" w:line="259" w:lineRule="auto"/>
              <w:ind w:left="134" w:right="0" w:firstLine="0"/>
              <w:jc w:val="left"/>
            </w:pPr>
            <w:r>
              <w:rPr>
                <w:sz w:val="18"/>
              </w:rPr>
              <w:t xml:space="preserve">4,9 </w:t>
            </w:r>
          </w:p>
        </w:tc>
      </w:tr>
      <w:tr w:rsidR="00E8309B">
        <w:trPr>
          <w:trHeight w:val="252"/>
        </w:trPr>
        <w:tc>
          <w:tcPr>
            <w:tcW w:w="2989" w:type="dxa"/>
            <w:tcBorders>
              <w:top w:val="nil"/>
              <w:left w:val="nil"/>
              <w:bottom w:val="nil"/>
              <w:right w:val="nil"/>
            </w:tcBorders>
          </w:tcPr>
          <w:p w:rsidR="00E8309B" w:rsidRDefault="009D0949">
            <w:pPr>
              <w:spacing w:after="0" w:line="259" w:lineRule="auto"/>
              <w:ind w:left="406" w:right="0" w:firstLine="0"/>
              <w:jc w:val="left"/>
            </w:pPr>
            <w:r>
              <w:rPr>
                <w:sz w:val="18"/>
              </w:rPr>
              <w:t xml:space="preserve">Царине </w:t>
            </w:r>
          </w:p>
        </w:tc>
        <w:tc>
          <w:tcPr>
            <w:tcW w:w="1082" w:type="dxa"/>
            <w:tcBorders>
              <w:top w:val="nil"/>
              <w:left w:val="nil"/>
              <w:bottom w:val="nil"/>
              <w:right w:val="nil"/>
            </w:tcBorders>
          </w:tcPr>
          <w:p w:rsidR="00E8309B" w:rsidRDefault="009D0949">
            <w:pPr>
              <w:spacing w:after="0" w:line="259" w:lineRule="auto"/>
              <w:ind w:left="638" w:right="0" w:firstLine="0"/>
              <w:jc w:val="left"/>
            </w:pPr>
            <w:r>
              <w:rPr>
                <w:sz w:val="18"/>
              </w:rPr>
              <w:t xml:space="preserve">0,9 </w:t>
            </w:r>
          </w:p>
        </w:tc>
        <w:tc>
          <w:tcPr>
            <w:tcW w:w="3563" w:type="dxa"/>
            <w:tcBorders>
              <w:top w:val="nil"/>
              <w:left w:val="nil"/>
              <w:bottom w:val="nil"/>
              <w:right w:val="nil"/>
            </w:tcBorders>
          </w:tcPr>
          <w:p w:rsidR="00E8309B" w:rsidRDefault="009D0949">
            <w:pPr>
              <w:tabs>
                <w:tab w:val="center" w:pos="596"/>
                <w:tab w:val="center" w:pos="3147"/>
              </w:tabs>
              <w:spacing w:after="0" w:line="259" w:lineRule="auto"/>
              <w:ind w:left="0" w:right="0" w:firstLine="0"/>
              <w:jc w:val="left"/>
            </w:pPr>
            <w:r>
              <w:rPr>
                <w:rFonts w:ascii="Calibri" w:eastAsia="Calibri" w:hAnsi="Calibri" w:cs="Calibri"/>
                <w:sz w:val="22"/>
              </w:rPr>
              <w:tab/>
            </w:r>
            <w:r>
              <w:rPr>
                <w:sz w:val="18"/>
              </w:rPr>
              <w:t xml:space="preserve">0,9 </w:t>
            </w:r>
            <w:r>
              <w:rPr>
                <w:sz w:val="18"/>
              </w:rPr>
              <w:tab/>
              <w:t xml:space="preserve"> </w:t>
            </w:r>
          </w:p>
        </w:tc>
        <w:tc>
          <w:tcPr>
            <w:tcW w:w="775" w:type="dxa"/>
            <w:tcBorders>
              <w:top w:val="nil"/>
              <w:left w:val="nil"/>
              <w:bottom w:val="nil"/>
              <w:right w:val="nil"/>
            </w:tcBorders>
          </w:tcPr>
          <w:p w:rsidR="00E8309B" w:rsidRDefault="009D0949">
            <w:pPr>
              <w:spacing w:after="0" w:line="259" w:lineRule="auto"/>
              <w:ind w:left="134" w:right="0" w:firstLine="0"/>
              <w:jc w:val="left"/>
            </w:pPr>
            <w:r>
              <w:rPr>
                <w:sz w:val="18"/>
              </w:rPr>
              <w:t xml:space="preserve">0,9 </w:t>
            </w:r>
          </w:p>
        </w:tc>
        <w:tc>
          <w:tcPr>
            <w:tcW w:w="780" w:type="dxa"/>
            <w:tcBorders>
              <w:top w:val="nil"/>
              <w:left w:val="nil"/>
              <w:bottom w:val="nil"/>
              <w:right w:val="nil"/>
            </w:tcBorders>
          </w:tcPr>
          <w:p w:rsidR="00E8309B" w:rsidRDefault="009D0949">
            <w:pPr>
              <w:spacing w:after="0" w:line="259" w:lineRule="auto"/>
              <w:ind w:left="134" w:right="0" w:firstLine="0"/>
              <w:jc w:val="left"/>
            </w:pPr>
            <w:r>
              <w:rPr>
                <w:sz w:val="18"/>
              </w:rPr>
              <w:t xml:space="preserve">0,9 </w:t>
            </w:r>
          </w:p>
        </w:tc>
        <w:tc>
          <w:tcPr>
            <w:tcW w:w="466" w:type="dxa"/>
            <w:tcBorders>
              <w:top w:val="nil"/>
              <w:left w:val="nil"/>
              <w:bottom w:val="nil"/>
              <w:right w:val="nil"/>
            </w:tcBorders>
          </w:tcPr>
          <w:p w:rsidR="00E8309B" w:rsidRDefault="009D0949">
            <w:pPr>
              <w:spacing w:after="0" w:line="259" w:lineRule="auto"/>
              <w:ind w:left="134" w:right="0" w:firstLine="0"/>
              <w:jc w:val="left"/>
            </w:pPr>
            <w:r>
              <w:rPr>
                <w:sz w:val="18"/>
              </w:rPr>
              <w:t xml:space="preserve">0,9 </w:t>
            </w:r>
          </w:p>
        </w:tc>
      </w:tr>
      <w:tr w:rsidR="00E8309B">
        <w:trPr>
          <w:trHeight w:val="253"/>
        </w:trPr>
        <w:tc>
          <w:tcPr>
            <w:tcW w:w="2989" w:type="dxa"/>
            <w:tcBorders>
              <w:top w:val="nil"/>
              <w:left w:val="nil"/>
              <w:bottom w:val="nil"/>
              <w:right w:val="nil"/>
            </w:tcBorders>
          </w:tcPr>
          <w:p w:rsidR="00E8309B" w:rsidRDefault="009D0949">
            <w:pPr>
              <w:spacing w:after="0" w:line="259" w:lineRule="auto"/>
              <w:ind w:left="406" w:right="0" w:firstLine="0"/>
              <w:jc w:val="left"/>
            </w:pPr>
            <w:r>
              <w:rPr>
                <w:sz w:val="18"/>
              </w:rPr>
              <w:t xml:space="preserve">Остали порески приходи </w:t>
            </w:r>
          </w:p>
        </w:tc>
        <w:tc>
          <w:tcPr>
            <w:tcW w:w="1082" w:type="dxa"/>
            <w:tcBorders>
              <w:top w:val="nil"/>
              <w:left w:val="nil"/>
              <w:bottom w:val="nil"/>
              <w:right w:val="nil"/>
            </w:tcBorders>
          </w:tcPr>
          <w:p w:rsidR="00E8309B" w:rsidRDefault="009D0949">
            <w:pPr>
              <w:spacing w:after="0" w:line="259" w:lineRule="auto"/>
              <w:ind w:left="638" w:right="0" w:firstLine="0"/>
              <w:jc w:val="left"/>
            </w:pPr>
            <w:r>
              <w:rPr>
                <w:sz w:val="18"/>
              </w:rPr>
              <w:t xml:space="preserve">1,5 </w:t>
            </w:r>
          </w:p>
        </w:tc>
        <w:tc>
          <w:tcPr>
            <w:tcW w:w="3563" w:type="dxa"/>
            <w:tcBorders>
              <w:top w:val="nil"/>
              <w:left w:val="nil"/>
              <w:bottom w:val="nil"/>
              <w:right w:val="nil"/>
            </w:tcBorders>
          </w:tcPr>
          <w:p w:rsidR="00E8309B" w:rsidRDefault="009D0949">
            <w:pPr>
              <w:tabs>
                <w:tab w:val="center" w:pos="596"/>
                <w:tab w:val="center" w:pos="3147"/>
              </w:tabs>
              <w:spacing w:after="0" w:line="259" w:lineRule="auto"/>
              <w:ind w:left="0" w:right="0" w:firstLine="0"/>
              <w:jc w:val="left"/>
            </w:pPr>
            <w:r>
              <w:rPr>
                <w:rFonts w:ascii="Calibri" w:eastAsia="Calibri" w:hAnsi="Calibri" w:cs="Calibri"/>
                <w:sz w:val="22"/>
              </w:rPr>
              <w:tab/>
            </w:r>
            <w:r>
              <w:rPr>
                <w:sz w:val="18"/>
              </w:rPr>
              <w:t xml:space="preserve">1,4 </w:t>
            </w:r>
            <w:r>
              <w:rPr>
                <w:sz w:val="18"/>
              </w:rPr>
              <w:tab/>
              <w:t xml:space="preserve"> </w:t>
            </w:r>
          </w:p>
        </w:tc>
        <w:tc>
          <w:tcPr>
            <w:tcW w:w="775" w:type="dxa"/>
            <w:tcBorders>
              <w:top w:val="nil"/>
              <w:left w:val="nil"/>
              <w:bottom w:val="nil"/>
              <w:right w:val="nil"/>
            </w:tcBorders>
          </w:tcPr>
          <w:p w:rsidR="00E8309B" w:rsidRDefault="009D0949">
            <w:pPr>
              <w:spacing w:after="0" w:line="259" w:lineRule="auto"/>
              <w:ind w:left="134" w:right="0" w:firstLine="0"/>
              <w:jc w:val="left"/>
            </w:pPr>
            <w:r>
              <w:rPr>
                <w:sz w:val="18"/>
              </w:rPr>
              <w:t xml:space="preserve">1,4 </w:t>
            </w:r>
          </w:p>
        </w:tc>
        <w:tc>
          <w:tcPr>
            <w:tcW w:w="780" w:type="dxa"/>
            <w:tcBorders>
              <w:top w:val="nil"/>
              <w:left w:val="nil"/>
              <w:bottom w:val="nil"/>
              <w:right w:val="nil"/>
            </w:tcBorders>
          </w:tcPr>
          <w:p w:rsidR="00E8309B" w:rsidRDefault="009D0949">
            <w:pPr>
              <w:spacing w:after="0" w:line="259" w:lineRule="auto"/>
              <w:ind w:left="134" w:right="0" w:firstLine="0"/>
              <w:jc w:val="left"/>
            </w:pPr>
            <w:r>
              <w:rPr>
                <w:sz w:val="18"/>
              </w:rPr>
              <w:t xml:space="preserve">1,4 </w:t>
            </w:r>
          </w:p>
        </w:tc>
        <w:tc>
          <w:tcPr>
            <w:tcW w:w="466" w:type="dxa"/>
            <w:tcBorders>
              <w:top w:val="nil"/>
              <w:left w:val="nil"/>
              <w:bottom w:val="nil"/>
              <w:right w:val="nil"/>
            </w:tcBorders>
          </w:tcPr>
          <w:p w:rsidR="00E8309B" w:rsidRDefault="009D0949">
            <w:pPr>
              <w:spacing w:after="0" w:line="259" w:lineRule="auto"/>
              <w:ind w:left="134" w:right="0" w:firstLine="0"/>
              <w:jc w:val="left"/>
            </w:pPr>
            <w:r>
              <w:rPr>
                <w:sz w:val="18"/>
              </w:rPr>
              <w:t xml:space="preserve">1,3 </w:t>
            </w:r>
          </w:p>
        </w:tc>
      </w:tr>
      <w:tr w:rsidR="00E8309B">
        <w:trPr>
          <w:trHeight w:val="253"/>
        </w:trPr>
        <w:tc>
          <w:tcPr>
            <w:tcW w:w="2989" w:type="dxa"/>
            <w:tcBorders>
              <w:top w:val="nil"/>
              <w:left w:val="nil"/>
              <w:bottom w:val="nil"/>
              <w:right w:val="nil"/>
            </w:tcBorders>
          </w:tcPr>
          <w:p w:rsidR="00E8309B" w:rsidRDefault="009D0949">
            <w:pPr>
              <w:spacing w:after="0" w:line="259" w:lineRule="auto"/>
              <w:ind w:left="406" w:right="0" w:firstLine="0"/>
              <w:jc w:val="left"/>
            </w:pPr>
            <w:r>
              <w:rPr>
                <w:sz w:val="18"/>
              </w:rPr>
              <w:t xml:space="preserve">Доприноси </w:t>
            </w:r>
          </w:p>
        </w:tc>
        <w:tc>
          <w:tcPr>
            <w:tcW w:w="1082" w:type="dxa"/>
            <w:tcBorders>
              <w:top w:val="nil"/>
              <w:left w:val="nil"/>
              <w:bottom w:val="nil"/>
              <w:right w:val="nil"/>
            </w:tcBorders>
          </w:tcPr>
          <w:p w:rsidR="00E8309B" w:rsidRDefault="009D0949">
            <w:pPr>
              <w:spacing w:after="0" w:line="259" w:lineRule="auto"/>
              <w:ind w:left="550" w:right="0" w:firstLine="0"/>
              <w:jc w:val="left"/>
            </w:pPr>
            <w:r>
              <w:rPr>
                <w:sz w:val="18"/>
              </w:rPr>
              <w:t xml:space="preserve">12,5 </w:t>
            </w:r>
          </w:p>
        </w:tc>
        <w:tc>
          <w:tcPr>
            <w:tcW w:w="3563" w:type="dxa"/>
            <w:tcBorders>
              <w:top w:val="nil"/>
              <w:left w:val="nil"/>
              <w:bottom w:val="nil"/>
              <w:right w:val="nil"/>
            </w:tcBorders>
          </w:tcPr>
          <w:p w:rsidR="00E8309B" w:rsidRDefault="009D0949">
            <w:pPr>
              <w:tabs>
                <w:tab w:val="center" w:pos="551"/>
                <w:tab w:val="center" w:pos="3147"/>
              </w:tabs>
              <w:spacing w:after="0" w:line="259" w:lineRule="auto"/>
              <w:ind w:left="0" w:right="0" w:firstLine="0"/>
              <w:jc w:val="left"/>
            </w:pPr>
            <w:r>
              <w:rPr>
                <w:rFonts w:ascii="Calibri" w:eastAsia="Calibri" w:hAnsi="Calibri" w:cs="Calibri"/>
                <w:sz w:val="22"/>
              </w:rPr>
              <w:tab/>
            </w:r>
            <w:r>
              <w:rPr>
                <w:sz w:val="18"/>
              </w:rPr>
              <w:t xml:space="preserve">12,0 </w:t>
            </w:r>
            <w:r>
              <w:rPr>
                <w:sz w:val="18"/>
              </w:rPr>
              <w:tab/>
              <w:t xml:space="preserve"> </w:t>
            </w:r>
          </w:p>
        </w:tc>
        <w:tc>
          <w:tcPr>
            <w:tcW w:w="775" w:type="dxa"/>
            <w:tcBorders>
              <w:top w:val="nil"/>
              <w:left w:val="nil"/>
              <w:bottom w:val="nil"/>
              <w:right w:val="nil"/>
            </w:tcBorders>
          </w:tcPr>
          <w:p w:rsidR="00E8309B" w:rsidRDefault="009D0949">
            <w:pPr>
              <w:spacing w:after="0" w:line="259" w:lineRule="auto"/>
              <w:ind w:left="46" w:right="0" w:firstLine="0"/>
              <w:jc w:val="left"/>
            </w:pPr>
            <w:r>
              <w:rPr>
                <w:sz w:val="18"/>
              </w:rPr>
              <w:t xml:space="preserve">13,1 </w:t>
            </w:r>
          </w:p>
        </w:tc>
        <w:tc>
          <w:tcPr>
            <w:tcW w:w="780" w:type="dxa"/>
            <w:tcBorders>
              <w:top w:val="nil"/>
              <w:left w:val="nil"/>
              <w:bottom w:val="nil"/>
              <w:right w:val="nil"/>
            </w:tcBorders>
          </w:tcPr>
          <w:p w:rsidR="00E8309B" w:rsidRDefault="009D0949">
            <w:pPr>
              <w:spacing w:after="0" w:line="259" w:lineRule="auto"/>
              <w:ind w:left="46" w:right="0" w:firstLine="0"/>
              <w:jc w:val="left"/>
            </w:pPr>
            <w:r>
              <w:rPr>
                <w:sz w:val="18"/>
              </w:rPr>
              <w:t xml:space="preserve">13,2 </w:t>
            </w:r>
          </w:p>
        </w:tc>
        <w:tc>
          <w:tcPr>
            <w:tcW w:w="466" w:type="dxa"/>
            <w:tcBorders>
              <w:top w:val="nil"/>
              <w:left w:val="nil"/>
              <w:bottom w:val="nil"/>
              <w:right w:val="nil"/>
            </w:tcBorders>
          </w:tcPr>
          <w:p w:rsidR="00E8309B" w:rsidRDefault="009D0949">
            <w:pPr>
              <w:spacing w:after="0" w:line="259" w:lineRule="auto"/>
              <w:ind w:left="46" w:right="0" w:firstLine="0"/>
            </w:pPr>
            <w:r>
              <w:rPr>
                <w:sz w:val="18"/>
              </w:rPr>
              <w:t xml:space="preserve">12,8 </w:t>
            </w:r>
          </w:p>
        </w:tc>
      </w:tr>
      <w:tr w:rsidR="00E8309B">
        <w:trPr>
          <w:trHeight w:val="253"/>
        </w:trPr>
        <w:tc>
          <w:tcPr>
            <w:tcW w:w="2989" w:type="dxa"/>
            <w:tcBorders>
              <w:top w:val="nil"/>
              <w:left w:val="nil"/>
              <w:bottom w:val="nil"/>
              <w:right w:val="nil"/>
            </w:tcBorders>
          </w:tcPr>
          <w:p w:rsidR="00E8309B" w:rsidRDefault="009D0949">
            <w:pPr>
              <w:spacing w:after="0" w:line="259" w:lineRule="auto"/>
              <w:ind w:left="123" w:right="0" w:firstLine="0"/>
              <w:jc w:val="left"/>
            </w:pPr>
            <w:r>
              <w:rPr>
                <w:sz w:val="18"/>
              </w:rPr>
              <w:t xml:space="preserve">  Непорески приходи </w:t>
            </w:r>
          </w:p>
        </w:tc>
        <w:tc>
          <w:tcPr>
            <w:tcW w:w="1082" w:type="dxa"/>
            <w:tcBorders>
              <w:top w:val="nil"/>
              <w:left w:val="nil"/>
              <w:bottom w:val="nil"/>
              <w:right w:val="nil"/>
            </w:tcBorders>
          </w:tcPr>
          <w:p w:rsidR="00E8309B" w:rsidRDefault="009D0949">
            <w:pPr>
              <w:spacing w:after="0" w:line="259" w:lineRule="auto"/>
              <w:ind w:left="638" w:right="0" w:firstLine="0"/>
              <w:jc w:val="left"/>
            </w:pPr>
            <w:r>
              <w:rPr>
                <w:sz w:val="18"/>
              </w:rPr>
              <w:t xml:space="preserve">5,0 </w:t>
            </w:r>
          </w:p>
        </w:tc>
        <w:tc>
          <w:tcPr>
            <w:tcW w:w="3563" w:type="dxa"/>
            <w:tcBorders>
              <w:top w:val="nil"/>
              <w:left w:val="nil"/>
              <w:bottom w:val="nil"/>
              <w:right w:val="nil"/>
            </w:tcBorders>
          </w:tcPr>
          <w:p w:rsidR="00E8309B" w:rsidRDefault="009D0949">
            <w:pPr>
              <w:tabs>
                <w:tab w:val="center" w:pos="596"/>
                <w:tab w:val="center" w:pos="3147"/>
              </w:tabs>
              <w:spacing w:after="0" w:line="259" w:lineRule="auto"/>
              <w:ind w:left="0" w:right="0" w:firstLine="0"/>
              <w:jc w:val="left"/>
            </w:pPr>
            <w:r>
              <w:rPr>
                <w:rFonts w:ascii="Calibri" w:eastAsia="Calibri" w:hAnsi="Calibri" w:cs="Calibri"/>
                <w:sz w:val="22"/>
              </w:rPr>
              <w:tab/>
            </w:r>
            <w:r>
              <w:rPr>
                <w:sz w:val="18"/>
              </w:rPr>
              <w:t xml:space="preserve">4,4 </w:t>
            </w:r>
            <w:r>
              <w:rPr>
                <w:sz w:val="18"/>
              </w:rPr>
              <w:tab/>
              <w:t xml:space="preserve"> </w:t>
            </w:r>
          </w:p>
        </w:tc>
        <w:tc>
          <w:tcPr>
            <w:tcW w:w="775" w:type="dxa"/>
            <w:tcBorders>
              <w:top w:val="nil"/>
              <w:left w:val="nil"/>
              <w:bottom w:val="nil"/>
              <w:right w:val="nil"/>
            </w:tcBorders>
          </w:tcPr>
          <w:p w:rsidR="00E8309B" w:rsidRDefault="009D0949">
            <w:pPr>
              <w:spacing w:after="0" w:line="259" w:lineRule="auto"/>
              <w:ind w:left="134" w:right="0" w:firstLine="0"/>
              <w:jc w:val="left"/>
            </w:pPr>
            <w:r>
              <w:rPr>
                <w:sz w:val="18"/>
              </w:rPr>
              <w:t xml:space="preserve">3,9 </w:t>
            </w:r>
          </w:p>
        </w:tc>
        <w:tc>
          <w:tcPr>
            <w:tcW w:w="780" w:type="dxa"/>
            <w:tcBorders>
              <w:top w:val="nil"/>
              <w:left w:val="nil"/>
              <w:bottom w:val="nil"/>
              <w:right w:val="nil"/>
            </w:tcBorders>
          </w:tcPr>
          <w:p w:rsidR="00E8309B" w:rsidRDefault="009D0949">
            <w:pPr>
              <w:spacing w:after="0" w:line="259" w:lineRule="auto"/>
              <w:ind w:left="134" w:right="0" w:firstLine="0"/>
              <w:jc w:val="left"/>
            </w:pPr>
            <w:r>
              <w:rPr>
                <w:sz w:val="18"/>
              </w:rPr>
              <w:t xml:space="preserve">3,9 </w:t>
            </w:r>
          </w:p>
        </w:tc>
        <w:tc>
          <w:tcPr>
            <w:tcW w:w="466" w:type="dxa"/>
            <w:tcBorders>
              <w:top w:val="nil"/>
              <w:left w:val="nil"/>
              <w:bottom w:val="nil"/>
              <w:right w:val="nil"/>
            </w:tcBorders>
          </w:tcPr>
          <w:p w:rsidR="00E8309B" w:rsidRDefault="009D0949">
            <w:pPr>
              <w:spacing w:after="0" w:line="259" w:lineRule="auto"/>
              <w:ind w:left="134" w:right="0" w:firstLine="0"/>
              <w:jc w:val="left"/>
            </w:pPr>
            <w:r>
              <w:rPr>
                <w:sz w:val="18"/>
              </w:rPr>
              <w:t xml:space="preserve">3,9 </w:t>
            </w:r>
          </w:p>
        </w:tc>
      </w:tr>
      <w:tr w:rsidR="00E8309B">
        <w:trPr>
          <w:trHeight w:val="260"/>
        </w:trPr>
        <w:tc>
          <w:tcPr>
            <w:tcW w:w="2989" w:type="dxa"/>
            <w:tcBorders>
              <w:top w:val="nil"/>
              <w:left w:val="nil"/>
              <w:bottom w:val="single" w:sz="4" w:space="0" w:color="002060"/>
              <w:right w:val="nil"/>
            </w:tcBorders>
          </w:tcPr>
          <w:p w:rsidR="00E8309B" w:rsidRDefault="009D0949">
            <w:pPr>
              <w:spacing w:after="0" w:line="259" w:lineRule="auto"/>
              <w:ind w:left="123" w:right="0" w:firstLine="0"/>
              <w:jc w:val="left"/>
            </w:pPr>
            <w:r>
              <w:rPr>
                <w:sz w:val="18"/>
              </w:rPr>
              <w:t xml:space="preserve">Донације </w:t>
            </w:r>
          </w:p>
        </w:tc>
        <w:tc>
          <w:tcPr>
            <w:tcW w:w="1082" w:type="dxa"/>
            <w:tcBorders>
              <w:top w:val="nil"/>
              <w:left w:val="nil"/>
              <w:bottom w:val="single" w:sz="4" w:space="0" w:color="002060"/>
              <w:right w:val="nil"/>
            </w:tcBorders>
          </w:tcPr>
          <w:p w:rsidR="00E8309B" w:rsidRDefault="009D0949">
            <w:pPr>
              <w:spacing w:after="0" w:line="259" w:lineRule="auto"/>
              <w:ind w:left="638" w:right="0" w:firstLine="0"/>
              <w:jc w:val="left"/>
            </w:pPr>
            <w:r>
              <w:rPr>
                <w:sz w:val="18"/>
              </w:rPr>
              <w:t xml:space="preserve">0,3 </w:t>
            </w:r>
          </w:p>
        </w:tc>
        <w:tc>
          <w:tcPr>
            <w:tcW w:w="3563" w:type="dxa"/>
            <w:tcBorders>
              <w:top w:val="nil"/>
              <w:left w:val="nil"/>
              <w:bottom w:val="single" w:sz="4" w:space="0" w:color="002060"/>
              <w:right w:val="nil"/>
            </w:tcBorders>
          </w:tcPr>
          <w:p w:rsidR="00E8309B" w:rsidRDefault="009D0949">
            <w:pPr>
              <w:tabs>
                <w:tab w:val="center" w:pos="596"/>
                <w:tab w:val="center" w:pos="3147"/>
              </w:tabs>
              <w:spacing w:after="0" w:line="259" w:lineRule="auto"/>
              <w:ind w:left="0" w:right="0" w:firstLine="0"/>
              <w:jc w:val="left"/>
            </w:pPr>
            <w:r>
              <w:rPr>
                <w:rFonts w:ascii="Calibri" w:eastAsia="Calibri" w:hAnsi="Calibri" w:cs="Calibri"/>
                <w:sz w:val="22"/>
              </w:rPr>
              <w:tab/>
            </w:r>
            <w:r>
              <w:rPr>
                <w:sz w:val="18"/>
              </w:rPr>
              <w:t xml:space="preserve">0,3 </w:t>
            </w:r>
            <w:r>
              <w:rPr>
                <w:sz w:val="18"/>
              </w:rPr>
              <w:tab/>
              <w:t xml:space="preserve"> </w:t>
            </w:r>
          </w:p>
        </w:tc>
        <w:tc>
          <w:tcPr>
            <w:tcW w:w="775" w:type="dxa"/>
            <w:tcBorders>
              <w:top w:val="nil"/>
              <w:left w:val="nil"/>
              <w:bottom w:val="single" w:sz="4" w:space="0" w:color="002060"/>
              <w:right w:val="nil"/>
            </w:tcBorders>
          </w:tcPr>
          <w:p w:rsidR="00E8309B" w:rsidRDefault="009D0949">
            <w:pPr>
              <w:spacing w:after="0" w:line="259" w:lineRule="auto"/>
              <w:ind w:left="134" w:right="0" w:firstLine="0"/>
              <w:jc w:val="left"/>
            </w:pPr>
            <w:r>
              <w:rPr>
                <w:sz w:val="18"/>
              </w:rPr>
              <w:t xml:space="preserve">0,3 </w:t>
            </w:r>
          </w:p>
        </w:tc>
        <w:tc>
          <w:tcPr>
            <w:tcW w:w="780" w:type="dxa"/>
            <w:tcBorders>
              <w:top w:val="nil"/>
              <w:left w:val="nil"/>
              <w:bottom w:val="single" w:sz="4" w:space="0" w:color="002060"/>
              <w:right w:val="nil"/>
            </w:tcBorders>
          </w:tcPr>
          <w:p w:rsidR="00E8309B" w:rsidRDefault="009D0949">
            <w:pPr>
              <w:spacing w:after="0" w:line="259" w:lineRule="auto"/>
              <w:ind w:left="134" w:right="0" w:firstLine="0"/>
              <w:jc w:val="left"/>
            </w:pPr>
            <w:r>
              <w:rPr>
                <w:sz w:val="18"/>
              </w:rPr>
              <w:t xml:space="preserve">0,3 </w:t>
            </w:r>
          </w:p>
        </w:tc>
        <w:tc>
          <w:tcPr>
            <w:tcW w:w="466" w:type="dxa"/>
            <w:tcBorders>
              <w:top w:val="nil"/>
              <w:left w:val="nil"/>
              <w:bottom w:val="single" w:sz="4" w:space="0" w:color="002060"/>
              <w:right w:val="nil"/>
            </w:tcBorders>
          </w:tcPr>
          <w:p w:rsidR="00E8309B" w:rsidRDefault="009D0949">
            <w:pPr>
              <w:spacing w:after="0" w:line="259" w:lineRule="auto"/>
              <w:ind w:left="134" w:right="0" w:firstLine="0"/>
              <w:jc w:val="left"/>
            </w:pPr>
            <w:r>
              <w:rPr>
                <w:sz w:val="18"/>
              </w:rPr>
              <w:t xml:space="preserve">0,3 </w:t>
            </w:r>
          </w:p>
        </w:tc>
      </w:tr>
    </w:tbl>
    <w:p w:rsidR="00E8309B" w:rsidRDefault="009D0949">
      <w:pPr>
        <w:spacing w:after="170" w:line="269" w:lineRule="auto"/>
        <w:ind w:left="-5" w:right="53"/>
        <w:jc w:val="left"/>
      </w:pPr>
      <w:r>
        <w:rPr>
          <w:sz w:val="16"/>
        </w:rPr>
        <w:t xml:space="preserve">Извор: Министарство финансија </w:t>
      </w:r>
    </w:p>
    <w:p w:rsidR="00E8309B" w:rsidRDefault="009D0949">
      <w:pPr>
        <w:spacing w:after="6"/>
        <w:ind w:left="-5" w:right="17"/>
      </w:pPr>
      <w:r>
        <w:t xml:space="preserve">Најзначајније мере пореске политике у 2021. години биће повећање неопорезивог цензуса са </w:t>
      </w:r>
    </w:p>
    <w:p w:rsidR="00E8309B" w:rsidRDefault="009D0949">
      <w:pPr>
        <w:ind w:left="-5" w:right="17"/>
      </w:pPr>
      <w:r>
        <w:t>16.300 динара на 18.300 динара и наплата дела одложених пореза и доприноса из 2020. године. Наплата одложених обавеза из 2020. године ће повећати ниво прихода изнад очекиваног у 2021. и 2022. години чиме ће се значајно ојачати фискална позиција. Пројекција</w:t>
      </w:r>
      <w:r>
        <w:t xml:space="preserve"> пореских прихода подразумева одржавање постојећег степена наплате. </w:t>
      </w:r>
    </w:p>
    <w:p w:rsidR="00E8309B" w:rsidRDefault="009D0949">
      <w:pPr>
        <w:ind w:left="-5" w:right="17"/>
      </w:pPr>
      <w:r>
        <w:t>Преовлађујући облик пореза на доходак је порез на зараде, тако да су кретање масе зарада и запослености главни фактори који утичу на кретање овог пореског облика. Повећање неопорезивог це</w:t>
      </w:r>
      <w:r>
        <w:t>нзуса ће имати негативан ефекат од око 5,5 млрд динара на приходе од пореза на зараде, али се очекује да повећање зарада и раст запослености у потпуности надокнаде овај губитак. Додатно ће ове приходе увећати наплата дела одложеног пореза на зараде из 2020</w:t>
      </w:r>
      <w:r>
        <w:t>. године у склопу пакета мера у борби против пандемије у износу од око 7 млрд динара. У наредном периоду очекује се да маса зарада расте брже од номиналног БДП као резултат наставка повољних кретања на тржишту рада, те ће и приход по основу пореза на зарад</w:t>
      </w:r>
      <w:r>
        <w:t xml:space="preserve">е расти у смислу учешћа у БДП. Повећање минималне зараде ће, такође, утицати на раст укупне масе зарада у привреди, а самим тим и на ову пореску категорију. </w:t>
      </w:r>
    </w:p>
    <w:p w:rsidR="00E8309B" w:rsidRDefault="009D0949">
      <w:pPr>
        <w:ind w:left="-5" w:right="17"/>
      </w:pPr>
      <w:r>
        <w:t xml:space="preserve">Остали облици пореза на доходак (порез на дивиденде, порез на приходе од камата, годишњи порез на </w:t>
      </w:r>
      <w:r>
        <w:t>доходак, итд) ће расти спорије, то јест у складу са кретањем опште економске активности, тако да се очекује стабилан ниво прихода по основу пореза на доходак, у смислу учешћа у БДП. Код пореза на зараде кључна је борба против сиве економије, с обзиром на з</w:t>
      </w:r>
      <w:r>
        <w:t>натан број непријављених радника и исплате зарада „на рукеˮ. У последњим годинама интензивиране су контроле и појачане санкције што је дало резултате у сузбијању сиве економије у области рада и запошљавања, али је значајно да се на овом пољу настави са кон</w:t>
      </w:r>
      <w:r>
        <w:t xml:space="preserve">тинуираним ангажманом и у наредном периоду. </w:t>
      </w:r>
    </w:p>
    <w:p w:rsidR="00E8309B" w:rsidRDefault="009D0949">
      <w:pPr>
        <w:ind w:left="-5" w:right="17"/>
      </w:pPr>
      <w:r>
        <w:t xml:space="preserve">Смањење пореског оптерећења на зараде имаће негативан ефекат од око 2,5 млрд динара на приходе по основу доприноса. Очекује се </w:t>
      </w:r>
      <w:r>
        <w:t xml:space="preserve">да раст масе зарада буде већи од раста номиналног БДП, тако да ће се у потпуности надокнадити овај губитак. Кретање учешћа овог пореског </w:t>
      </w:r>
      <w:r>
        <w:lastRenderedPageBreak/>
        <w:t>облика у БДП има сличну путању као и кретање учешћа пореза на зараде, с обзиром да су за њихову пројекцију коришћене ис</w:t>
      </w:r>
      <w:r>
        <w:t>те претпоставке о кретању зарада и запослености. Део прихода ће се прикупити од наплате одложених доприноса из 2020. године у износу од око 32 млрд динара. Доприноси су пореска категорија код које је најизраженија пореска недисциплина и регистрован највећи</w:t>
      </w:r>
      <w:r>
        <w:t xml:space="preserve"> дуг пореских обвезника, те су последице евентуалног повећања фискалне недисциплине највидљивије код овог пореског облика. </w:t>
      </w:r>
    </w:p>
    <w:p w:rsidR="00E8309B" w:rsidRDefault="009D0949">
      <w:pPr>
        <w:ind w:left="-5" w:right="17"/>
      </w:pPr>
      <w:r>
        <w:t>Приходи од пореза на добит правних лица у периоду 2021–2023. године зависиће од путање привредног раста, релативне стабилности курса</w:t>
      </w:r>
      <w:r>
        <w:t xml:space="preserve"> динара и опште профитабилности привреде. Процена прихода по овом основу може бити неизвесна како због економских фактора, тако и због могућности коришћења пореског кредита или повраћаја, као и разлика у рачуноводственим и пореским билансима. Пад у 2021. г</w:t>
      </w:r>
      <w:r>
        <w:t>одини представља очекивање да ће се ефекти кризе из ове године ефектуирати на профитабилност и наплату пореза на добит. Пројекција прихода по овом основу је конзервативна у периоду након 2021. године и претпоставља наплату пореза на добит у складу са крета</w:t>
      </w:r>
      <w:r>
        <w:t xml:space="preserve">њем БДП. </w:t>
      </w:r>
    </w:p>
    <w:p w:rsidR="00E8309B" w:rsidRDefault="009D0949">
      <w:pPr>
        <w:spacing w:after="92"/>
        <w:ind w:left="-5" w:right="17"/>
      </w:pPr>
      <w:r>
        <w:t>Кретање прихода од ПДВ карактерише стабилно учешће у БДП. Главна детерминанта кретања ПДВ је домаћа тражња вођена расположивим дохотком становништва. Расположиви доходак као највећа детерминанта потрошње зависи од кретања зарада у јавном сектору,</w:t>
      </w:r>
      <w:r>
        <w:t xml:space="preserve"> пензија, социјалне помоћи, кретања масе зарада у приватном сектору и осталих облика доходака, укључујући и дознаке, као и од динамике кредитне активности банака према становништву. Као и код пореза на доходак грађана, ризици за остварење пројекције ПДВ у </w:t>
      </w:r>
      <w:r>
        <w:t xml:space="preserve">наредном периоду, поред неизвесности у вези пандемије, односе се на кретање зарада у приватном сектору, раст привредне активности, као и на степен сиве економије, односно ефикасност у њеном смањењу. </w:t>
      </w:r>
    </w:p>
    <w:p w:rsidR="00E8309B" w:rsidRDefault="009D0949">
      <w:pPr>
        <w:ind w:left="-5" w:right="17"/>
      </w:pPr>
      <w:r>
        <w:t>Резултати ефикасније наплате и контроле пореских обвезни</w:t>
      </w:r>
      <w:r>
        <w:t>ка су били евидентни у претходном периоду и очекује се да ће тај тренд бити настављен и даље, с тим што ефекти борбе против сиве економије нису експлицитно укључени у средњорочну пројекцију јавних прихода. Повећање степена ПДВ наплате у смислу спровођења н</w:t>
      </w:r>
      <w:r>
        <w:t xml:space="preserve">езависних антиевазионих мера у области ПДВ дало је одређене резултате у протеклом периоду. У овом сегменту постоји простор за даља побољшања, кроз јачање и модернизацију пореске администрације. </w:t>
      </w:r>
    </w:p>
    <w:p w:rsidR="00E8309B" w:rsidRDefault="009D0949">
      <w:pPr>
        <w:ind w:left="-5" w:right="17"/>
      </w:pPr>
      <w:r>
        <w:t>Пројекција прихода од акциза сачињена је на основу важеће акц</w:t>
      </w:r>
      <w:r>
        <w:t>изне политике и пројектоване потрошње акцизних производа. У оквиру акцизне политике код дуванских производа очекује се даље постепено усклађивање са директивама ЕУ у складу са средњорочним планом поступног повећавања акцизног оптерећења. Код цигарета оно ћ</w:t>
      </w:r>
      <w:r>
        <w:t>е бити усмерено кроз постепено повећање акциза, како би се у прихватљивом временском року достигао ЕУ минимум од 1,8 евра по паклици у динарској противвредности прерачунато по званичном средњем курсу НБС. У наредном периоду је за потребе пројекције прихода</w:t>
      </w:r>
      <w:r>
        <w:t xml:space="preserve"> од акциза, услед опрезности, предвиђен даљи природан пад тржишта дуванских производа, у просеку од око 3% годишње. За разлику од дуванских производа ситуација на тржишту нафтних деривата је знатно мање волатилна. Боља контрола и ефекти маркирања нафтних д</w:t>
      </w:r>
      <w:r>
        <w:t>еривата смањили су могућност и исплативост нелегалних активности. У наредним годинама, услед опрезности, није претпостављен наставак раста потрошње нафтних деривата иако се може очекивати да ће убрзање економске активности допринело расту потрошње. Приходи</w:t>
      </w:r>
      <w:r>
        <w:t xml:space="preserve"> од акциза на алкохолна пића, кафу и електричну енергију су пројектовани у складу са постојећом структуром потрошње. Тренутни номинални износи акциза на алкохолна пића и кафу усклађени су са очекиваним износима стопе инфлације у средњорочном периоду. Напла</w:t>
      </w:r>
      <w:r>
        <w:t xml:space="preserve">та прихода од акцизе на електричну енергију у периоду 2021–2023. године планирана је да на годишњем нивоу износи око 18 млрд динара, узимајући у обзир тренд годишње потрошње и важеће цене. </w:t>
      </w:r>
    </w:p>
    <w:p w:rsidR="00E8309B" w:rsidRDefault="009D0949">
      <w:pPr>
        <w:ind w:left="-5" w:right="17"/>
      </w:pPr>
      <w:r>
        <w:lastRenderedPageBreak/>
        <w:t>Приходи од царина ће се стабилизовати на нивоу од 0,9% БДП у наред</w:t>
      </w:r>
      <w:r>
        <w:t xml:space="preserve">ном периоду. Пројекција наплате прихода од царина рађена је на бази пројектованог кретања увоза, девизног курса и потрошње. </w:t>
      </w:r>
    </w:p>
    <w:p w:rsidR="00E8309B" w:rsidRDefault="009D0949">
      <w:pPr>
        <w:ind w:left="-5" w:right="17"/>
      </w:pPr>
      <w:r>
        <w:t>Пројектује се стабилизација учешћа у БДП осталих пореских прихода. Најзначајнији порески приход у овој категорији је порез на имови</w:t>
      </w:r>
      <w:r>
        <w:t>ну чије учешће износи око 70%. Номинално повећање овог прихода може се очекивати по основу проширења основице. Повећање степена наплате, кроз повећање обухвата непокретности на које се порез плаћа (то јест по основу проширења пореске базе), није укључено у</w:t>
      </w:r>
      <w:r>
        <w:t xml:space="preserve"> пројекције у средњем року и представља позитиван ризик. Поред пореза на имовину, у остале пореске приходе укључују се и порези на употребу, држање и ношење добара, те други облици пореза на локалном нивоу. Они су пројектовани у складу са кретањем инфлациј</w:t>
      </w:r>
      <w:r>
        <w:t xml:space="preserve">е, будући да је инфлаторна компонента уграђена у значајан део ових пореских облика. </w:t>
      </w:r>
    </w:p>
    <w:p w:rsidR="00E8309B" w:rsidRDefault="009D0949">
      <w:pPr>
        <w:spacing w:after="6"/>
        <w:ind w:left="-5" w:right="17"/>
      </w:pPr>
      <w:r>
        <w:t xml:space="preserve">Предвиђено је смањење учешћа непореских прихода у БДП, са 5,0% колико је приходовано у </w:t>
      </w:r>
    </w:p>
    <w:p w:rsidR="00E8309B" w:rsidRDefault="009D0949">
      <w:pPr>
        <w:ind w:left="-5" w:right="17"/>
      </w:pPr>
      <w:r>
        <w:t>2019. години на 3,9% колико се очекује да ће износити у 2023. години. У 2019. годин</w:t>
      </w:r>
      <w:r>
        <w:t>и смањена је обавеза уплате средстава по основу смањења зарада за део јавног сектора, док је у 2020. години ова мера потпуно укинута. Други разлог за смањење пројектованог учешћа непореских прихода у БДП је и искључивање из базне 2020. године свих оних при</w:t>
      </w:r>
      <w:r>
        <w:t>хода који се не сматрају структурним тј. трајним, а првенствено се то односи на ванредне категорије непореских прихода. Ванредни непорески приходи су углавном једнократни, у одређеној мери неизвесни, како по питању износа, тако и по питању тренутка уплате.</w:t>
      </w:r>
      <w:r>
        <w:t xml:space="preserve"> Највећи део ових прихода представљају ванредне уплате добити јавних предузећа и агенција, дивиденде буџета, приходи по основу наплаћених потраживања АОД, емисионе премије, итд. Редовни непорески приходи обухватају различите таксе, накнаде, казне, приходе </w:t>
      </w:r>
      <w:r>
        <w:t xml:space="preserve">органа и организација и све остале приходе који се остварују устаљеном динамиком током године. Ови непорески приходи индексирају се са оствареном инфлацијом у претходној години, или пак прате промену у вредности основе на које се примењују и услед тога се </w:t>
      </w:r>
      <w:r>
        <w:t xml:space="preserve">коригују пројектованом инфлацијом. </w:t>
      </w:r>
    </w:p>
    <w:p w:rsidR="00E8309B" w:rsidRDefault="009D0949">
      <w:pPr>
        <w:ind w:left="-5" w:right="17"/>
      </w:pPr>
      <w:r>
        <w:t>Процесом приближавања државе чланству у ЕУ повећавају се расположива средства из ИПА и ИПАРД фондова која чине преовлађујући део прихода од донација. У пројектоване износе по основу донација укључена су и средства по осн</w:t>
      </w:r>
      <w:r>
        <w:t xml:space="preserve">ову секторске буџетске подршке ЕУ. Приходи по основу донација су неутрални у односу на резултат, с обзиром да су једнаки расходима по овом основу. </w:t>
      </w:r>
    </w:p>
    <w:p w:rsidR="00E8309B" w:rsidRDefault="009D0949">
      <w:pPr>
        <w:spacing w:after="90"/>
        <w:ind w:left="-5" w:right="17"/>
      </w:pPr>
      <w:r>
        <w:t>Одговорном фискалном политиком у комбинацији са добрим макроекономским перформансама у наредном средњорочном</w:t>
      </w:r>
      <w:r>
        <w:t xml:space="preserve"> периоду обезбедиће се релаксирање политике плата и пензија и значајно повећање капиталних инвестиција као битне компоненте развоја привреде. Посебна пажња ће се посветити унапређењу ефикасности реализације капиталних инвестиција државе. Социјална компонен</w:t>
      </w:r>
      <w:r>
        <w:t>та буџета је побољшана бољим таргетирањем програма социјалне помоћи и већим издвајањем за функције здравства и образовања. Дефинисан је и начин индексације пензија. Плате и пензије заједно чине преко 50% расхода на нивоу опште државе и њихова стабилизација</w:t>
      </w:r>
      <w:r>
        <w:t xml:space="preserve"> је од пресудног значаја за одрживост јавних финансија. </w:t>
      </w:r>
    </w:p>
    <w:p w:rsidR="00E8309B" w:rsidRDefault="009D0949">
      <w:pPr>
        <w:spacing w:after="6"/>
        <w:ind w:left="-5" w:right="17"/>
      </w:pPr>
      <w:r>
        <w:t xml:space="preserve">Табела 10. Укупни расходи у периоду 2019–2023. године, % БДП </w:t>
      </w:r>
    </w:p>
    <w:tbl>
      <w:tblPr>
        <w:tblStyle w:val="TableGrid"/>
        <w:tblW w:w="9588" w:type="dxa"/>
        <w:tblInd w:w="-15" w:type="dxa"/>
        <w:tblCellMar>
          <w:top w:w="8" w:type="dxa"/>
          <w:left w:w="0" w:type="dxa"/>
          <w:bottom w:w="0" w:type="dxa"/>
          <w:right w:w="61" w:type="dxa"/>
        </w:tblCellMar>
        <w:tblLook w:val="04A0" w:firstRow="1" w:lastRow="0" w:firstColumn="1" w:lastColumn="0" w:noHBand="0" w:noVBand="1"/>
      </w:tblPr>
      <w:tblGrid>
        <w:gridCol w:w="4045"/>
        <w:gridCol w:w="1388"/>
        <w:gridCol w:w="1459"/>
        <w:gridCol w:w="562"/>
        <w:gridCol w:w="1668"/>
        <w:gridCol w:w="466"/>
      </w:tblGrid>
      <w:tr w:rsidR="00E8309B">
        <w:trPr>
          <w:trHeight w:val="266"/>
        </w:trPr>
        <w:tc>
          <w:tcPr>
            <w:tcW w:w="4045" w:type="dxa"/>
            <w:tcBorders>
              <w:top w:val="single" w:sz="4" w:space="0" w:color="002060"/>
              <w:left w:val="nil"/>
              <w:bottom w:val="single" w:sz="4" w:space="0" w:color="002060"/>
              <w:right w:val="nil"/>
            </w:tcBorders>
          </w:tcPr>
          <w:p w:rsidR="00E8309B" w:rsidRDefault="009D0949">
            <w:pPr>
              <w:spacing w:after="0" w:line="259" w:lineRule="auto"/>
              <w:ind w:left="123" w:right="0" w:firstLine="0"/>
              <w:jc w:val="left"/>
            </w:pPr>
            <w:r>
              <w:rPr>
                <w:b/>
                <w:sz w:val="18"/>
              </w:rPr>
              <w:t>Опис</w:t>
            </w:r>
            <w:r>
              <w:rPr>
                <w:sz w:val="18"/>
              </w:rPr>
              <w:t xml:space="preserve"> </w:t>
            </w:r>
          </w:p>
        </w:tc>
        <w:tc>
          <w:tcPr>
            <w:tcW w:w="1388" w:type="dxa"/>
            <w:tcBorders>
              <w:top w:val="single" w:sz="4" w:space="0" w:color="002060"/>
              <w:left w:val="nil"/>
              <w:bottom w:val="single" w:sz="4" w:space="0" w:color="002060"/>
              <w:right w:val="nil"/>
            </w:tcBorders>
          </w:tcPr>
          <w:p w:rsidR="00E8309B" w:rsidRDefault="009D0949">
            <w:pPr>
              <w:spacing w:after="0" w:line="259" w:lineRule="auto"/>
              <w:ind w:left="0" w:right="0" w:firstLine="0"/>
              <w:jc w:val="left"/>
            </w:pPr>
            <w:r>
              <w:rPr>
                <w:b/>
                <w:sz w:val="18"/>
              </w:rPr>
              <w:t>Извршење</w:t>
            </w:r>
            <w:r>
              <w:rPr>
                <w:sz w:val="18"/>
              </w:rPr>
              <w:t xml:space="preserve"> </w:t>
            </w:r>
          </w:p>
        </w:tc>
        <w:tc>
          <w:tcPr>
            <w:tcW w:w="1459" w:type="dxa"/>
            <w:tcBorders>
              <w:top w:val="single" w:sz="4" w:space="0" w:color="002060"/>
              <w:left w:val="nil"/>
              <w:bottom w:val="single" w:sz="4" w:space="0" w:color="002060"/>
              <w:right w:val="nil"/>
            </w:tcBorders>
          </w:tcPr>
          <w:p w:rsidR="00E8309B" w:rsidRDefault="009D0949">
            <w:pPr>
              <w:spacing w:after="0" w:line="259" w:lineRule="auto"/>
              <w:ind w:left="0" w:right="0" w:firstLine="0"/>
              <w:jc w:val="left"/>
            </w:pPr>
            <w:r>
              <w:rPr>
                <w:b/>
                <w:sz w:val="18"/>
              </w:rPr>
              <w:t>Процена</w:t>
            </w:r>
            <w:r>
              <w:rPr>
                <w:sz w:val="18"/>
              </w:rPr>
              <w:t xml:space="preserve"> </w:t>
            </w:r>
          </w:p>
        </w:tc>
        <w:tc>
          <w:tcPr>
            <w:tcW w:w="562" w:type="dxa"/>
            <w:tcBorders>
              <w:top w:val="single" w:sz="4" w:space="0" w:color="002060"/>
              <w:left w:val="nil"/>
              <w:bottom w:val="single" w:sz="4" w:space="0" w:color="002060"/>
              <w:right w:val="nil"/>
            </w:tcBorders>
          </w:tcPr>
          <w:p w:rsidR="00E8309B" w:rsidRDefault="00E8309B">
            <w:pPr>
              <w:spacing w:after="160" w:line="259" w:lineRule="auto"/>
              <w:ind w:left="0" w:right="0" w:firstLine="0"/>
              <w:jc w:val="left"/>
            </w:pPr>
          </w:p>
        </w:tc>
        <w:tc>
          <w:tcPr>
            <w:tcW w:w="1668" w:type="dxa"/>
            <w:tcBorders>
              <w:top w:val="single" w:sz="4" w:space="0" w:color="002060"/>
              <w:left w:val="nil"/>
              <w:bottom w:val="single" w:sz="4" w:space="0" w:color="002060"/>
              <w:right w:val="nil"/>
            </w:tcBorders>
          </w:tcPr>
          <w:p w:rsidR="00E8309B" w:rsidRDefault="009D0949">
            <w:pPr>
              <w:spacing w:after="0" w:line="259" w:lineRule="auto"/>
              <w:ind w:left="0" w:right="0" w:firstLine="0"/>
              <w:jc w:val="left"/>
            </w:pPr>
            <w:r>
              <w:rPr>
                <w:b/>
                <w:sz w:val="18"/>
              </w:rPr>
              <w:t>Пројекција</w:t>
            </w:r>
            <w:r>
              <w:rPr>
                <w:sz w:val="18"/>
              </w:rPr>
              <w:t xml:space="preserve"> </w:t>
            </w:r>
          </w:p>
        </w:tc>
        <w:tc>
          <w:tcPr>
            <w:tcW w:w="466" w:type="dxa"/>
            <w:tcBorders>
              <w:top w:val="single" w:sz="4" w:space="0" w:color="002060"/>
              <w:left w:val="nil"/>
              <w:bottom w:val="single" w:sz="4" w:space="0" w:color="002060"/>
              <w:right w:val="nil"/>
            </w:tcBorders>
          </w:tcPr>
          <w:p w:rsidR="00E8309B" w:rsidRDefault="00E8309B">
            <w:pPr>
              <w:spacing w:after="160" w:line="259" w:lineRule="auto"/>
              <w:ind w:left="0" w:right="0" w:firstLine="0"/>
              <w:jc w:val="left"/>
            </w:pPr>
          </w:p>
        </w:tc>
      </w:tr>
      <w:tr w:rsidR="00E8309B">
        <w:trPr>
          <w:trHeight w:val="264"/>
        </w:trPr>
        <w:tc>
          <w:tcPr>
            <w:tcW w:w="4045" w:type="dxa"/>
            <w:vMerge w:val="restart"/>
            <w:tcBorders>
              <w:top w:val="single" w:sz="4" w:space="0" w:color="002060"/>
              <w:left w:val="nil"/>
              <w:bottom w:val="nil"/>
              <w:right w:val="nil"/>
            </w:tcBorders>
          </w:tcPr>
          <w:p w:rsidR="00E8309B" w:rsidRDefault="009D0949">
            <w:pPr>
              <w:spacing w:after="73" w:line="259" w:lineRule="auto"/>
              <w:ind w:left="123" w:right="0" w:firstLine="0"/>
              <w:jc w:val="left"/>
            </w:pPr>
            <w:r>
              <w:rPr>
                <w:sz w:val="18"/>
              </w:rPr>
              <w:t xml:space="preserve"> </w:t>
            </w:r>
          </w:p>
          <w:p w:rsidR="00E8309B" w:rsidRDefault="009D0949">
            <w:pPr>
              <w:spacing w:after="0" w:line="259" w:lineRule="auto"/>
              <w:ind w:left="123" w:right="0" w:firstLine="0"/>
              <w:jc w:val="left"/>
            </w:pPr>
            <w:r>
              <w:rPr>
                <w:sz w:val="18"/>
              </w:rPr>
              <w:t xml:space="preserve">ЈАВНИ РАСХОДИ </w:t>
            </w:r>
          </w:p>
        </w:tc>
        <w:tc>
          <w:tcPr>
            <w:tcW w:w="1388" w:type="dxa"/>
            <w:tcBorders>
              <w:top w:val="single" w:sz="4" w:space="0" w:color="002060"/>
              <w:left w:val="nil"/>
              <w:bottom w:val="single" w:sz="4" w:space="0" w:color="002060"/>
              <w:right w:val="nil"/>
            </w:tcBorders>
          </w:tcPr>
          <w:p w:rsidR="00E8309B" w:rsidRDefault="009D0949">
            <w:pPr>
              <w:spacing w:after="0" w:line="259" w:lineRule="auto"/>
              <w:ind w:left="42" w:right="0" w:firstLine="0"/>
              <w:jc w:val="center"/>
            </w:pPr>
            <w:r>
              <w:rPr>
                <w:sz w:val="18"/>
              </w:rPr>
              <w:t xml:space="preserve">2019 </w:t>
            </w:r>
          </w:p>
        </w:tc>
        <w:tc>
          <w:tcPr>
            <w:tcW w:w="1459" w:type="dxa"/>
            <w:tcBorders>
              <w:top w:val="single" w:sz="4" w:space="0" w:color="002060"/>
              <w:left w:val="nil"/>
              <w:bottom w:val="single" w:sz="4" w:space="0" w:color="002060"/>
              <w:right w:val="nil"/>
            </w:tcBorders>
          </w:tcPr>
          <w:p w:rsidR="00E8309B" w:rsidRDefault="009D0949">
            <w:pPr>
              <w:spacing w:after="0" w:line="259" w:lineRule="auto"/>
              <w:ind w:left="348" w:right="0" w:firstLine="0"/>
              <w:jc w:val="left"/>
            </w:pPr>
            <w:r>
              <w:rPr>
                <w:sz w:val="18"/>
              </w:rPr>
              <w:t xml:space="preserve">2020 </w:t>
            </w:r>
          </w:p>
        </w:tc>
        <w:tc>
          <w:tcPr>
            <w:tcW w:w="562" w:type="dxa"/>
            <w:tcBorders>
              <w:top w:val="single" w:sz="4" w:space="0" w:color="002060"/>
              <w:left w:val="nil"/>
              <w:bottom w:val="single" w:sz="4" w:space="0" w:color="002060"/>
              <w:right w:val="nil"/>
            </w:tcBorders>
          </w:tcPr>
          <w:p w:rsidR="00E8309B" w:rsidRDefault="009D0949">
            <w:pPr>
              <w:spacing w:after="0" w:line="259" w:lineRule="auto"/>
              <w:ind w:left="0" w:right="0" w:firstLine="0"/>
              <w:jc w:val="left"/>
            </w:pPr>
            <w:r>
              <w:rPr>
                <w:sz w:val="18"/>
              </w:rPr>
              <w:t xml:space="preserve">2021 </w:t>
            </w:r>
          </w:p>
        </w:tc>
        <w:tc>
          <w:tcPr>
            <w:tcW w:w="1668" w:type="dxa"/>
            <w:tcBorders>
              <w:top w:val="single" w:sz="4" w:space="0" w:color="002060"/>
              <w:left w:val="nil"/>
              <w:bottom w:val="single" w:sz="4" w:space="0" w:color="002060"/>
              <w:right w:val="nil"/>
            </w:tcBorders>
          </w:tcPr>
          <w:p w:rsidR="00E8309B" w:rsidRDefault="009D0949">
            <w:pPr>
              <w:spacing w:after="0" w:line="259" w:lineRule="auto"/>
              <w:ind w:left="0" w:right="147" w:firstLine="0"/>
              <w:jc w:val="center"/>
            </w:pPr>
            <w:r>
              <w:rPr>
                <w:sz w:val="18"/>
              </w:rPr>
              <w:t xml:space="preserve">2022 </w:t>
            </w:r>
          </w:p>
        </w:tc>
        <w:tc>
          <w:tcPr>
            <w:tcW w:w="466" w:type="dxa"/>
            <w:tcBorders>
              <w:top w:val="single" w:sz="4" w:space="0" w:color="002060"/>
              <w:left w:val="nil"/>
              <w:bottom w:val="single" w:sz="4" w:space="0" w:color="002060"/>
              <w:right w:val="nil"/>
            </w:tcBorders>
          </w:tcPr>
          <w:p w:rsidR="00E8309B" w:rsidRDefault="009D0949">
            <w:pPr>
              <w:spacing w:after="0" w:line="259" w:lineRule="auto"/>
              <w:ind w:left="0" w:right="0" w:firstLine="0"/>
            </w:pPr>
            <w:r>
              <w:rPr>
                <w:sz w:val="18"/>
              </w:rPr>
              <w:t xml:space="preserve">2023 </w:t>
            </w:r>
          </w:p>
        </w:tc>
      </w:tr>
      <w:tr w:rsidR="00E8309B">
        <w:trPr>
          <w:trHeight w:val="236"/>
        </w:trPr>
        <w:tc>
          <w:tcPr>
            <w:tcW w:w="0" w:type="auto"/>
            <w:vMerge/>
            <w:tcBorders>
              <w:top w:val="nil"/>
              <w:left w:val="nil"/>
              <w:bottom w:val="nil"/>
              <w:right w:val="nil"/>
            </w:tcBorders>
          </w:tcPr>
          <w:p w:rsidR="00E8309B" w:rsidRDefault="00E8309B">
            <w:pPr>
              <w:spacing w:after="160" w:line="259" w:lineRule="auto"/>
              <w:ind w:left="0" w:right="0" w:firstLine="0"/>
              <w:jc w:val="left"/>
            </w:pPr>
          </w:p>
        </w:tc>
        <w:tc>
          <w:tcPr>
            <w:tcW w:w="1388" w:type="dxa"/>
            <w:tcBorders>
              <w:top w:val="single" w:sz="4" w:space="0" w:color="002060"/>
              <w:left w:val="nil"/>
              <w:bottom w:val="nil"/>
              <w:right w:val="nil"/>
            </w:tcBorders>
          </w:tcPr>
          <w:p w:rsidR="00E8309B" w:rsidRDefault="009D0949">
            <w:pPr>
              <w:spacing w:after="0" w:line="259" w:lineRule="auto"/>
              <w:ind w:left="88" w:right="0" w:firstLine="0"/>
              <w:jc w:val="center"/>
            </w:pPr>
            <w:r>
              <w:rPr>
                <w:sz w:val="18"/>
              </w:rPr>
              <w:t xml:space="preserve">42,3 </w:t>
            </w:r>
          </w:p>
        </w:tc>
        <w:tc>
          <w:tcPr>
            <w:tcW w:w="1459" w:type="dxa"/>
            <w:tcBorders>
              <w:top w:val="single" w:sz="4" w:space="0" w:color="002060"/>
              <w:left w:val="nil"/>
              <w:bottom w:val="nil"/>
              <w:right w:val="nil"/>
            </w:tcBorders>
          </w:tcPr>
          <w:p w:rsidR="00E8309B" w:rsidRDefault="009D0949">
            <w:pPr>
              <w:spacing w:after="0" w:line="259" w:lineRule="auto"/>
              <w:ind w:left="394" w:right="0" w:firstLine="0"/>
              <w:jc w:val="left"/>
            </w:pPr>
            <w:r>
              <w:rPr>
                <w:sz w:val="18"/>
              </w:rPr>
              <w:t xml:space="preserve">49,2 </w:t>
            </w:r>
          </w:p>
        </w:tc>
        <w:tc>
          <w:tcPr>
            <w:tcW w:w="562" w:type="dxa"/>
            <w:tcBorders>
              <w:top w:val="single" w:sz="4" w:space="0" w:color="002060"/>
              <w:left w:val="nil"/>
              <w:bottom w:val="nil"/>
              <w:right w:val="nil"/>
            </w:tcBorders>
          </w:tcPr>
          <w:p w:rsidR="00E8309B" w:rsidRDefault="009D0949">
            <w:pPr>
              <w:spacing w:after="0" w:line="259" w:lineRule="auto"/>
              <w:ind w:left="46" w:right="0" w:firstLine="0"/>
              <w:jc w:val="left"/>
            </w:pPr>
            <w:r>
              <w:rPr>
                <w:sz w:val="18"/>
              </w:rPr>
              <w:t xml:space="preserve">43,4 </w:t>
            </w:r>
          </w:p>
        </w:tc>
        <w:tc>
          <w:tcPr>
            <w:tcW w:w="1668" w:type="dxa"/>
            <w:tcBorders>
              <w:top w:val="single" w:sz="4" w:space="0" w:color="002060"/>
              <w:left w:val="nil"/>
              <w:bottom w:val="nil"/>
              <w:right w:val="nil"/>
            </w:tcBorders>
          </w:tcPr>
          <w:p w:rsidR="00E8309B" w:rsidRDefault="009D0949">
            <w:pPr>
              <w:spacing w:after="0" w:line="259" w:lineRule="auto"/>
              <w:ind w:left="0" w:right="102" w:firstLine="0"/>
              <w:jc w:val="center"/>
            </w:pPr>
            <w:r>
              <w:rPr>
                <w:sz w:val="18"/>
              </w:rPr>
              <w:t xml:space="preserve">42,1 </w:t>
            </w:r>
          </w:p>
        </w:tc>
        <w:tc>
          <w:tcPr>
            <w:tcW w:w="466" w:type="dxa"/>
            <w:tcBorders>
              <w:top w:val="single" w:sz="4" w:space="0" w:color="002060"/>
              <w:left w:val="nil"/>
              <w:bottom w:val="nil"/>
              <w:right w:val="nil"/>
            </w:tcBorders>
          </w:tcPr>
          <w:p w:rsidR="00E8309B" w:rsidRDefault="009D0949">
            <w:pPr>
              <w:spacing w:after="0" w:line="259" w:lineRule="auto"/>
              <w:ind w:left="46" w:right="0" w:firstLine="0"/>
            </w:pPr>
            <w:r>
              <w:rPr>
                <w:sz w:val="18"/>
              </w:rPr>
              <w:t xml:space="preserve">40,7 </w:t>
            </w:r>
          </w:p>
        </w:tc>
      </w:tr>
      <w:tr w:rsidR="00E8309B">
        <w:trPr>
          <w:trHeight w:val="256"/>
        </w:trPr>
        <w:tc>
          <w:tcPr>
            <w:tcW w:w="4045" w:type="dxa"/>
            <w:tcBorders>
              <w:top w:val="nil"/>
              <w:left w:val="nil"/>
              <w:bottom w:val="nil"/>
              <w:right w:val="nil"/>
            </w:tcBorders>
          </w:tcPr>
          <w:p w:rsidR="00E8309B" w:rsidRDefault="009D0949">
            <w:pPr>
              <w:spacing w:after="0" w:line="259" w:lineRule="auto"/>
              <w:ind w:left="123" w:right="0" w:firstLine="0"/>
              <w:jc w:val="left"/>
            </w:pPr>
            <w:r>
              <w:rPr>
                <w:sz w:val="18"/>
              </w:rPr>
              <w:t xml:space="preserve"> Текући расходи </w:t>
            </w:r>
          </w:p>
        </w:tc>
        <w:tc>
          <w:tcPr>
            <w:tcW w:w="1388" w:type="dxa"/>
            <w:tcBorders>
              <w:top w:val="nil"/>
              <w:left w:val="nil"/>
              <w:bottom w:val="nil"/>
              <w:right w:val="nil"/>
            </w:tcBorders>
          </w:tcPr>
          <w:p w:rsidR="00E8309B" w:rsidRDefault="009D0949">
            <w:pPr>
              <w:spacing w:after="0" w:line="259" w:lineRule="auto"/>
              <w:ind w:left="88" w:right="0" w:firstLine="0"/>
              <w:jc w:val="center"/>
            </w:pPr>
            <w:r>
              <w:rPr>
                <w:sz w:val="18"/>
              </w:rPr>
              <w:t xml:space="preserve">36,9 </w:t>
            </w:r>
          </w:p>
        </w:tc>
        <w:tc>
          <w:tcPr>
            <w:tcW w:w="1459" w:type="dxa"/>
            <w:tcBorders>
              <w:top w:val="nil"/>
              <w:left w:val="nil"/>
              <w:bottom w:val="nil"/>
              <w:right w:val="nil"/>
            </w:tcBorders>
          </w:tcPr>
          <w:p w:rsidR="00E8309B" w:rsidRDefault="009D0949">
            <w:pPr>
              <w:spacing w:after="0" w:line="259" w:lineRule="auto"/>
              <w:ind w:left="394" w:right="0" w:firstLine="0"/>
              <w:jc w:val="left"/>
            </w:pPr>
            <w:r>
              <w:rPr>
                <w:sz w:val="18"/>
              </w:rPr>
              <w:t xml:space="preserve">43,1 </w:t>
            </w:r>
          </w:p>
        </w:tc>
        <w:tc>
          <w:tcPr>
            <w:tcW w:w="562" w:type="dxa"/>
            <w:tcBorders>
              <w:top w:val="nil"/>
              <w:left w:val="nil"/>
              <w:bottom w:val="nil"/>
              <w:right w:val="nil"/>
            </w:tcBorders>
          </w:tcPr>
          <w:p w:rsidR="00E8309B" w:rsidRDefault="009D0949">
            <w:pPr>
              <w:spacing w:after="0" w:line="259" w:lineRule="auto"/>
              <w:ind w:left="46" w:right="0" w:firstLine="0"/>
              <w:jc w:val="left"/>
            </w:pPr>
            <w:r>
              <w:rPr>
                <w:sz w:val="18"/>
              </w:rPr>
              <w:t xml:space="preserve">37,3 </w:t>
            </w:r>
          </w:p>
        </w:tc>
        <w:tc>
          <w:tcPr>
            <w:tcW w:w="1668" w:type="dxa"/>
            <w:tcBorders>
              <w:top w:val="nil"/>
              <w:left w:val="nil"/>
              <w:bottom w:val="nil"/>
              <w:right w:val="nil"/>
            </w:tcBorders>
          </w:tcPr>
          <w:p w:rsidR="00E8309B" w:rsidRDefault="009D0949">
            <w:pPr>
              <w:spacing w:after="0" w:line="259" w:lineRule="auto"/>
              <w:ind w:left="0" w:right="102" w:firstLine="0"/>
              <w:jc w:val="center"/>
            </w:pPr>
            <w:r>
              <w:rPr>
                <w:sz w:val="18"/>
              </w:rPr>
              <w:t xml:space="preserve">36,1 </w:t>
            </w:r>
          </w:p>
        </w:tc>
        <w:tc>
          <w:tcPr>
            <w:tcW w:w="466" w:type="dxa"/>
            <w:tcBorders>
              <w:top w:val="nil"/>
              <w:left w:val="nil"/>
              <w:bottom w:val="nil"/>
              <w:right w:val="nil"/>
            </w:tcBorders>
          </w:tcPr>
          <w:p w:rsidR="00E8309B" w:rsidRDefault="009D0949">
            <w:pPr>
              <w:spacing w:after="0" w:line="259" w:lineRule="auto"/>
              <w:ind w:left="46" w:right="0" w:firstLine="0"/>
            </w:pPr>
            <w:r>
              <w:rPr>
                <w:sz w:val="18"/>
              </w:rPr>
              <w:t xml:space="preserve">34,8 </w:t>
            </w:r>
          </w:p>
        </w:tc>
      </w:tr>
      <w:tr w:rsidR="00E8309B">
        <w:trPr>
          <w:trHeight w:val="254"/>
        </w:trPr>
        <w:tc>
          <w:tcPr>
            <w:tcW w:w="4045" w:type="dxa"/>
            <w:tcBorders>
              <w:top w:val="nil"/>
              <w:left w:val="nil"/>
              <w:bottom w:val="nil"/>
              <w:right w:val="nil"/>
            </w:tcBorders>
          </w:tcPr>
          <w:p w:rsidR="00E8309B" w:rsidRDefault="009D0949">
            <w:pPr>
              <w:spacing w:after="0" w:line="259" w:lineRule="auto"/>
              <w:ind w:left="406" w:right="0" w:firstLine="0"/>
              <w:jc w:val="left"/>
            </w:pPr>
            <w:r>
              <w:rPr>
                <w:sz w:val="18"/>
              </w:rPr>
              <w:t xml:space="preserve">Расходи за запослене </w:t>
            </w:r>
          </w:p>
        </w:tc>
        <w:tc>
          <w:tcPr>
            <w:tcW w:w="1388" w:type="dxa"/>
            <w:tcBorders>
              <w:top w:val="nil"/>
              <w:left w:val="nil"/>
              <w:bottom w:val="nil"/>
              <w:right w:val="nil"/>
            </w:tcBorders>
          </w:tcPr>
          <w:p w:rsidR="00E8309B" w:rsidRDefault="009D0949">
            <w:pPr>
              <w:spacing w:after="0" w:line="259" w:lineRule="auto"/>
              <w:ind w:left="176" w:right="0" w:firstLine="0"/>
              <w:jc w:val="center"/>
            </w:pPr>
            <w:r>
              <w:rPr>
                <w:sz w:val="18"/>
              </w:rPr>
              <w:t xml:space="preserve">9,5 </w:t>
            </w:r>
          </w:p>
        </w:tc>
        <w:tc>
          <w:tcPr>
            <w:tcW w:w="1459" w:type="dxa"/>
            <w:tcBorders>
              <w:top w:val="nil"/>
              <w:left w:val="nil"/>
              <w:bottom w:val="nil"/>
              <w:right w:val="nil"/>
            </w:tcBorders>
          </w:tcPr>
          <w:p w:rsidR="00E8309B" w:rsidRDefault="009D0949">
            <w:pPr>
              <w:spacing w:after="0" w:line="259" w:lineRule="auto"/>
              <w:ind w:left="394" w:right="0" w:firstLine="0"/>
              <w:jc w:val="left"/>
            </w:pPr>
            <w:r>
              <w:rPr>
                <w:sz w:val="18"/>
              </w:rPr>
              <w:t xml:space="preserve">10,4 </w:t>
            </w:r>
          </w:p>
        </w:tc>
        <w:tc>
          <w:tcPr>
            <w:tcW w:w="562" w:type="dxa"/>
            <w:tcBorders>
              <w:top w:val="nil"/>
              <w:left w:val="nil"/>
              <w:bottom w:val="nil"/>
              <w:right w:val="nil"/>
            </w:tcBorders>
          </w:tcPr>
          <w:p w:rsidR="00E8309B" w:rsidRDefault="009D0949">
            <w:pPr>
              <w:spacing w:after="0" w:line="259" w:lineRule="auto"/>
              <w:ind w:left="46" w:right="0" w:firstLine="0"/>
              <w:jc w:val="left"/>
            </w:pPr>
            <w:r>
              <w:rPr>
                <w:sz w:val="18"/>
              </w:rPr>
              <w:t xml:space="preserve">10,0 </w:t>
            </w:r>
          </w:p>
        </w:tc>
        <w:tc>
          <w:tcPr>
            <w:tcW w:w="1668" w:type="dxa"/>
            <w:tcBorders>
              <w:top w:val="nil"/>
              <w:left w:val="nil"/>
              <w:bottom w:val="nil"/>
              <w:right w:val="nil"/>
            </w:tcBorders>
          </w:tcPr>
          <w:p w:rsidR="00E8309B" w:rsidRDefault="009D0949">
            <w:pPr>
              <w:spacing w:after="0" w:line="259" w:lineRule="auto"/>
              <w:ind w:left="0" w:right="13" w:firstLine="0"/>
              <w:jc w:val="center"/>
            </w:pPr>
            <w:r>
              <w:rPr>
                <w:sz w:val="18"/>
              </w:rPr>
              <w:t xml:space="preserve">9,8 </w:t>
            </w:r>
          </w:p>
        </w:tc>
        <w:tc>
          <w:tcPr>
            <w:tcW w:w="466" w:type="dxa"/>
            <w:tcBorders>
              <w:top w:val="nil"/>
              <w:left w:val="nil"/>
              <w:bottom w:val="nil"/>
              <w:right w:val="nil"/>
            </w:tcBorders>
          </w:tcPr>
          <w:p w:rsidR="00E8309B" w:rsidRDefault="009D0949">
            <w:pPr>
              <w:spacing w:after="0" w:line="259" w:lineRule="auto"/>
              <w:ind w:left="134" w:right="0" w:firstLine="0"/>
              <w:jc w:val="left"/>
            </w:pPr>
            <w:r>
              <w:rPr>
                <w:sz w:val="18"/>
              </w:rPr>
              <w:t xml:space="preserve">9,6 </w:t>
            </w:r>
          </w:p>
        </w:tc>
      </w:tr>
      <w:tr w:rsidR="00E8309B">
        <w:trPr>
          <w:trHeight w:val="254"/>
        </w:trPr>
        <w:tc>
          <w:tcPr>
            <w:tcW w:w="4045" w:type="dxa"/>
            <w:tcBorders>
              <w:top w:val="nil"/>
              <w:left w:val="nil"/>
              <w:bottom w:val="nil"/>
              <w:right w:val="nil"/>
            </w:tcBorders>
          </w:tcPr>
          <w:p w:rsidR="00E8309B" w:rsidRDefault="009D0949">
            <w:pPr>
              <w:spacing w:after="0" w:line="259" w:lineRule="auto"/>
              <w:ind w:left="406" w:right="0" w:firstLine="0"/>
              <w:jc w:val="left"/>
            </w:pPr>
            <w:r>
              <w:rPr>
                <w:sz w:val="18"/>
              </w:rPr>
              <w:t xml:space="preserve">Куповина робе и услуга </w:t>
            </w:r>
          </w:p>
        </w:tc>
        <w:tc>
          <w:tcPr>
            <w:tcW w:w="1388" w:type="dxa"/>
            <w:tcBorders>
              <w:top w:val="nil"/>
              <w:left w:val="nil"/>
              <w:bottom w:val="nil"/>
              <w:right w:val="nil"/>
            </w:tcBorders>
          </w:tcPr>
          <w:p w:rsidR="00E8309B" w:rsidRDefault="009D0949">
            <w:pPr>
              <w:spacing w:after="0" w:line="259" w:lineRule="auto"/>
              <w:ind w:left="176" w:right="0" w:firstLine="0"/>
              <w:jc w:val="center"/>
            </w:pPr>
            <w:r>
              <w:rPr>
                <w:sz w:val="18"/>
              </w:rPr>
              <w:t xml:space="preserve">7,0 </w:t>
            </w:r>
          </w:p>
        </w:tc>
        <w:tc>
          <w:tcPr>
            <w:tcW w:w="1459" w:type="dxa"/>
            <w:tcBorders>
              <w:top w:val="nil"/>
              <w:left w:val="nil"/>
              <w:bottom w:val="nil"/>
              <w:right w:val="nil"/>
            </w:tcBorders>
          </w:tcPr>
          <w:p w:rsidR="00E8309B" w:rsidRDefault="009D0949">
            <w:pPr>
              <w:spacing w:after="0" w:line="259" w:lineRule="auto"/>
              <w:ind w:left="482" w:right="0" w:firstLine="0"/>
              <w:jc w:val="left"/>
            </w:pPr>
            <w:r>
              <w:rPr>
                <w:sz w:val="18"/>
              </w:rPr>
              <w:t xml:space="preserve">8,2 </w:t>
            </w:r>
          </w:p>
        </w:tc>
        <w:tc>
          <w:tcPr>
            <w:tcW w:w="562" w:type="dxa"/>
            <w:tcBorders>
              <w:top w:val="nil"/>
              <w:left w:val="nil"/>
              <w:bottom w:val="nil"/>
              <w:right w:val="nil"/>
            </w:tcBorders>
          </w:tcPr>
          <w:p w:rsidR="00E8309B" w:rsidRDefault="009D0949">
            <w:pPr>
              <w:spacing w:after="0" w:line="259" w:lineRule="auto"/>
              <w:ind w:left="134" w:right="0" w:firstLine="0"/>
              <w:jc w:val="left"/>
            </w:pPr>
            <w:r>
              <w:rPr>
                <w:sz w:val="18"/>
              </w:rPr>
              <w:t xml:space="preserve">7,6 </w:t>
            </w:r>
          </w:p>
        </w:tc>
        <w:tc>
          <w:tcPr>
            <w:tcW w:w="1668" w:type="dxa"/>
            <w:tcBorders>
              <w:top w:val="nil"/>
              <w:left w:val="nil"/>
              <w:bottom w:val="nil"/>
              <w:right w:val="nil"/>
            </w:tcBorders>
          </w:tcPr>
          <w:p w:rsidR="00E8309B" w:rsidRDefault="009D0949">
            <w:pPr>
              <w:spacing w:after="0" w:line="259" w:lineRule="auto"/>
              <w:ind w:left="0" w:right="13" w:firstLine="0"/>
              <w:jc w:val="center"/>
            </w:pPr>
            <w:r>
              <w:rPr>
                <w:sz w:val="18"/>
              </w:rPr>
              <w:t xml:space="preserve">7,4 </w:t>
            </w:r>
          </w:p>
        </w:tc>
        <w:tc>
          <w:tcPr>
            <w:tcW w:w="466" w:type="dxa"/>
            <w:tcBorders>
              <w:top w:val="nil"/>
              <w:left w:val="nil"/>
              <w:bottom w:val="nil"/>
              <w:right w:val="nil"/>
            </w:tcBorders>
          </w:tcPr>
          <w:p w:rsidR="00E8309B" w:rsidRDefault="009D0949">
            <w:pPr>
              <w:spacing w:after="0" w:line="259" w:lineRule="auto"/>
              <w:ind w:left="134" w:right="0" w:firstLine="0"/>
              <w:jc w:val="left"/>
            </w:pPr>
            <w:r>
              <w:rPr>
                <w:sz w:val="18"/>
              </w:rPr>
              <w:t xml:space="preserve">7,1 </w:t>
            </w:r>
          </w:p>
        </w:tc>
      </w:tr>
      <w:tr w:rsidR="00E8309B">
        <w:trPr>
          <w:trHeight w:val="256"/>
        </w:trPr>
        <w:tc>
          <w:tcPr>
            <w:tcW w:w="4045" w:type="dxa"/>
            <w:tcBorders>
              <w:top w:val="nil"/>
              <w:left w:val="nil"/>
              <w:bottom w:val="nil"/>
              <w:right w:val="nil"/>
            </w:tcBorders>
          </w:tcPr>
          <w:p w:rsidR="00E8309B" w:rsidRDefault="009D0949">
            <w:pPr>
              <w:spacing w:after="0" w:line="259" w:lineRule="auto"/>
              <w:ind w:left="406" w:right="0" w:firstLine="0"/>
              <w:jc w:val="left"/>
            </w:pPr>
            <w:r>
              <w:rPr>
                <w:sz w:val="18"/>
              </w:rPr>
              <w:t xml:space="preserve">Отплата камата </w:t>
            </w:r>
          </w:p>
        </w:tc>
        <w:tc>
          <w:tcPr>
            <w:tcW w:w="1388" w:type="dxa"/>
            <w:tcBorders>
              <w:top w:val="nil"/>
              <w:left w:val="nil"/>
              <w:bottom w:val="nil"/>
              <w:right w:val="nil"/>
            </w:tcBorders>
          </w:tcPr>
          <w:p w:rsidR="00E8309B" w:rsidRDefault="009D0949">
            <w:pPr>
              <w:spacing w:after="0" w:line="259" w:lineRule="auto"/>
              <w:ind w:left="176" w:right="0" w:firstLine="0"/>
              <w:jc w:val="center"/>
            </w:pPr>
            <w:r>
              <w:rPr>
                <w:sz w:val="18"/>
              </w:rPr>
              <w:t xml:space="preserve">2,0 </w:t>
            </w:r>
          </w:p>
        </w:tc>
        <w:tc>
          <w:tcPr>
            <w:tcW w:w="1459" w:type="dxa"/>
            <w:tcBorders>
              <w:top w:val="nil"/>
              <w:left w:val="nil"/>
              <w:bottom w:val="nil"/>
              <w:right w:val="nil"/>
            </w:tcBorders>
          </w:tcPr>
          <w:p w:rsidR="00E8309B" w:rsidRDefault="009D0949">
            <w:pPr>
              <w:spacing w:after="0" w:line="259" w:lineRule="auto"/>
              <w:ind w:left="482" w:right="0" w:firstLine="0"/>
              <w:jc w:val="left"/>
            </w:pPr>
            <w:r>
              <w:rPr>
                <w:sz w:val="18"/>
              </w:rPr>
              <w:t xml:space="preserve">2,0 </w:t>
            </w:r>
          </w:p>
        </w:tc>
        <w:tc>
          <w:tcPr>
            <w:tcW w:w="562" w:type="dxa"/>
            <w:tcBorders>
              <w:top w:val="nil"/>
              <w:left w:val="nil"/>
              <w:bottom w:val="nil"/>
              <w:right w:val="nil"/>
            </w:tcBorders>
          </w:tcPr>
          <w:p w:rsidR="00E8309B" w:rsidRDefault="009D0949">
            <w:pPr>
              <w:spacing w:after="0" w:line="259" w:lineRule="auto"/>
              <w:ind w:left="134" w:right="0" w:firstLine="0"/>
              <w:jc w:val="left"/>
            </w:pPr>
            <w:r>
              <w:rPr>
                <w:sz w:val="18"/>
              </w:rPr>
              <w:t xml:space="preserve">1,9 </w:t>
            </w:r>
          </w:p>
        </w:tc>
        <w:tc>
          <w:tcPr>
            <w:tcW w:w="1668" w:type="dxa"/>
            <w:tcBorders>
              <w:top w:val="nil"/>
              <w:left w:val="nil"/>
              <w:bottom w:val="nil"/>
              <w:right w:val="nil"/>
            </w:tcBorders>
          </w:tcPr>
          <w:p w:rsidR="00E8309B" w:rsidRDefault="009D0949">
            <w:pPr>
              <w:spacing w:after="0" w:line="259" w:lineRule="auto"/>
              <w:ind w:left="0" w:right="13" w:firstLine="0"/>
              <w:jc w:val="center"/>
            </w:pPr>
            <w:r>
              <w:rPr>
                <w:sz w:val="18"/>
              </w:rPr>
              <w:t xml:space="preserve">1,7 </w:t>
            </w:r>
          </w:p>
        </w:tc>
        <w:tc>
          <w:tcPr>
            <w:tcW w:w="466" w:type="dxa"/>
            <w:tcBorders>
              <w:top w:val="nil"/>
              <w:left w:val="nil"/>
              <w:bottom w:val="nil"/>
              <w:right w:val="nil"/>
            </w:tcBorders>
          </w:tcPr>
          <w:p w:rsidR="00E8309B" w:rsidRDefault="009D0949">
            <w:pPr>
              <w:spacing w:after="0" w:line="259" w:lineRule="auto"/>
              <w:ind w:left="134" w:right="0" w:firstLine="0"/>
              <w:jc w:val="left"/>
            </w:pPr>
            <w:r>
              <w:rPr>
                <w:sz w:val="18"/>
              </w:rPr>
              <w:t xml:space="preserve">1,6 </w:t>
            </w:r>
          </w:p>
        </w:tc>
      </w:tr>
      <w:tr w:rsidR="00E8309B">
        <w:trPr>
          <w:trHeight w:val="256"/>
        </w:trPr>
        <w:tc>
          <w:tcPr>
            <w:tcW w:w="4045" w:type="dxa"/>
            <w:tcBorders>
              <w:top w:val="nil"/>
              <w:left w:val="nil"/>
              <w:bottom w:val="nil"/>
              <w:right w:val="nil"/>
            </w:tcBorders>
          </w:tcPr>
          <w:p w:rsidR="00E8309B" w:rsidRDefault="009D0949">
            <w:pPr>
              <w:spacing w:after="0" w:line="259" w:lineRule="auto"/>
              <w:ind w:left="406" w:right="0" w:firstLine="0"/>
              <w:jc w:val="left"/>
            </w:pPr>
            <w:r>
              <w:rPr>
                <w:sz w:val="18"/>
              </w:rPr>
              <w:lastRenderedPageBreak/>
              <w:t xml:space="preserve">Субвенције </w:t>
            </w:r>
          </w:p>
        </w:tc>
        <w:tc>
          <w:tcPr>
            <w:tcW w:w="1388" w:type="dxa"/>
            <w:tcBorders>
              <w:top w:val="nil"/>
              <w:left w:val="nil"/>
              <w:bottom w:val="nil"/>
              <w:right w:val="nil"/>
            </w:tcBorders>
          </w:tcPr>
          <w:p w:rsidR="00E8309B" w:rsidRDefault="009D0949">
            <w:pPr>
              <w:spacing w:after="0" w:line="259" w:lineRule="auto"/>
              <w:ind w:left="176" w:right="0" w:firstLine="0"/>
              <w:jc w:val="center"/>
            </w:pPr>
            <w:r>
              <w:rPr>
                <w:sz w:val="18"/>
              </w:rPr>
              <w:t xml:space="preserve">2,2 </w:t>
            </w:r>
          </w:p>
        </w:tc>
        <w:tc>
          <w:tcPr>
            <w:tcW w:w="1459" w:type="dxa"/>
            <w:tcBorders>
              <w:top w:val="nil"/>
              <w:left w:val="nil"/>
              <w:bottom w:val="nil"/>
              <w:right w:val="nil"/>
            </w:tcBorders>
          </w:tcPr>
          <w:p w:rsidR="00E8309B" w:rsidRDefault="009D0949">
            <w:pPr>
              <w:spacing w:after="0" w:line="259" w:lineRule="auto"/>
              <w:ind w:left="482" w:right="0" w:firstLine="0"/>
              <w:jc w:val="left"/>
            </w:pPr>
            <w:r>
              <w:rPr>
                <w:sz w:val="18"/>
              </w:rPr>
              <w:t xml:space="preserve">4,7 </w:t>
            </w:r>
          </w:p>
        </w:tc>
        <w:tc>
          <w:tcPr>
            <w:tcW w:w="562" w:type="dxa"/>
            <w:tcBorders>
              <w:top w:val="nil"/>
              <w:left w:val="nil"/>
              <w:bottom w:val="nil"/>
              <w:right w:val="nil"/>
            </w:tcBorders>
          </w:tcPr>
          <w:p w:rsidR="00E8309B" w:rsidRDefault="009D0949">
            <w:pPr>
              <w:spacing w:after="0" w:line="259" w:lineRule="auto"/>
              <w:ind w:left="134" w:right="0" w:firstLine="0"/>
              <w:jc w:val="left"/>
            </w:pPr>
            <w:r>
              <w:rPr>
                <w:sz w:val="18"/>
              </w:rPr>
              <w:t xml:space="preserve">2,2 </w:t>
            </w:r>
          </w:p>
        </w:tc>
        <w:tc>
          <w:tcPr>
            <w:tcW w:w="1668" w:type="dxa"/>
            <w:tcBorders>
              <w:top w:val="nil"/>
              <w:left w:val="nil"/>
              <w:bottom w:val="nil"/>
              <w:right w:val="nil"/>
            </w:tcBorders>
          </w:tcPr>
          <w:p w:rsidR="00E8309B" w:rsidRDefault="009D0949">
            <w:pPr>
              <w:spacing w:after="0" w:line="259" w:lineRule="auto"/>
              <w:ind w:left="0" w:right="13" w:firstLine="0"/>
              <w:jc w:val="center"/>
            </w:pPr>
            <w:r>
              <w:rPr>
                <w:sz w:val="18"/>
              </w:rPr>
              <w:t xml:space="preserve">1,8 </w:t>
            </w:r>
          </w:p>
        </w:tc>
        <w:tc>
          <w:tcPr>
            <w:tcW w:w="466" w:type="dxa"/>
            <w:tcBorders>
              <w:top w:val="nil"/>
              <w:left w:val="nil"/>
              <w:bottom w:val="nil"/>
              <w:right w:val="nil"/>
            </w:tcBorders>
          </w:tcPr>
          <w:p w:rsidR="00E8309B" w:rsidRDefault="009D0949">
            <w:pPr>
              <w:spacing w:after="0" w:line="259" w:lineRule="auto"/>
              <w:ind w:left="134" w:right="0" w:firstLine="0"/>
              <w:jc w:val="left"/>
            </w:pPr>
            <w:r>
              <w:rPr>
                <w:sz w:val="18"/>
              </w:rPr>
              <w:t xml:space="preserve">1,7 </w:t>
            </w:r>
          </w:p>
        </w:tc>
      </w:tr>
      <w:tr w:rsidR="00E8309B">
        <w:trPr>
          <w:trHeight w:val="254"/>
        </w:trPr>
        <w:tc>
          <w:tcPr>
            <w:tcW w:w="4045" w:type="dxa"/>
            <w:tcBorders>
              <w:top w:val="nil"/>
              <w:left w:val="nil"/>
              <w:bottom w:val="nil"/>
              <w:right w:val="nil"/>
            </w:tcBorders>
          </w:tcPr>
          <w:p w:rsidR="00E8309B" w:rsidRDefault="009D0949">
            <w:pPr>
              <w:spacing w:after="0" w:line="259" w:lineRule="auto"/>
              <w:ind w:left="406" w:right="0" w:firstLine="0"/>
              <w:jc w:val="left"/>
            </w:pPr>
            <w:r>
              <w:rPr>
                <w:sz w:val="18"/>
              </w:rPr>
              <w:t xml:space="preserve">Социјална помоћ и трансфери </w:t>
            </w:r>
          </w:p>
        </w:tc>
        <w:tc>
          <w:tcPr>
            <w:tcW w:w="1388" w:type="dxa"/>
            <w:tcBorders>
              <w:top w:val="nil"/>
              <w:left w:val="nil"/>
              <w:bottom w:val="nil"/>
              <w:right w:val="nil"/>
            </w:tcBorders>
          </w:tcPr>
          <w:p w:rsidR="00E8309B" w:rsidRDefault="009D0949">
            <w:pPr>
              <w:spacing w:after="0" w:line="259" w:lineRule="auto"/>
              <w:ind w:left="88" w:right="0" w:firstLine="0"/>
              <w:jc w:val="center"/>
            </w:pPr>
            <w:r>
              <w:rPr>
                <w:sz w:val="18"/>
              </w:rPr>
              <w:t xml:space="preserve">14,5 </w:t>
            </w:r>
          </w:p>
        </w:tc>
        <w:tc>
          <w:tcPr>
            <w:tcW w:w="1459" w:type="dxa"/>
            <w:tcBorders>
              <w:top w:val="nil"/>
              <w:left w:val="nil"/>
              <w:bottom w:val="nil"/>
              <w:right w:val="nil"/>
            </w:tcBorders>
          </w:tcPr>
          <w:p w:rsidR="00E8309B" w:rsidRDefault="009D0949">
            <w:pPr>
              <w:spacing w:after="0" w:line="259" w:lineRule="auto"/>
              <w:ind w:left="394" w:right="0" w:firstLine="0"/>
              <w:jc w:val="left"/>
            </w:pPr>
            <w:r>
              <w:rPr>
                <w:sz w:val="18"/>
              </w:rPr>
              <w:t xml:space="preserve">14,8 </w:t>
            </w:r>
          </w:p>
        </w:tc>
        <w:tc>
          <w:tcPr>
            <w:tcW w:w="562" w:type="dxa"/>
            <w:tcBorders>
              <w:top w:val="nil"/>
              <w:left w:val="nil"/>
              <w:bottom w:val="nil"/>
              <w:right w:val="nil"/>
            </w:tcBorders>
          </w:tcPr>
          <w:p w:rsidR="00E8309B" w:rsidRDefault="009D0949">
            <w:pPr>
              <w:spacing w:after="0" w:line="259" w:lineRule="auto"/>
              <w:ind w:left="46" w:right="0" w:firstLine="0"/>
              <w:jc w:val="left"/>
            </w:pPr>
            <w:r>
              <w:rPr>
                <w:sz w:val="18"/>
              </w:rPr>
              <w:t>14,1</w:t>
            </w:r>
            <w:r>
              <w:rPr>
                <w:sz w:val="18"/>
              </w:rPr>
              <w:t xml:space="preserve"> </w:t>
            </w:r>
          </w:p>
        </w:tc>
        <w:tc>
          <w:tcPr>
            <w:tcW w:w="1668" w:type="dxa"/>
            <w:tcBorders>
              <w:top w:val="nil"/>
              <w:left w:val="nil"/>
              <w:bottom w:val="nil"/>
              <w:right w:val="nil"/>
            </w:tcBorders>
          </w:tcPr>
          <w:p w:rsidR="00E8309B" w:rsidRDefault="009D0949">
            <w:pPr>
              <w:spacing w:after="0" w:line="259" w:lineRule="auto"/>
              <w:ind w:left="0" w:right="102" w:firstLine="0"/>
              <w:jc w:val="center"/>
            </w:pPr>
            <w:r>
              <w:rPr>
                <w:sz w:val="18"/>
              </w:rPr>
              <w:t xml:space="preserve">14,0 </w:t>
            </w:r>
          </w:p>
        </w:tc>
        <w:tc>
          <w:tcPr>
            <w:tcW w:w="466" w:type="dxa"/>
            <w:tcBorders>
              <w:top w:val="nil"/>
              <w:left w:val="nil"/>
              <w:bottom w:val="nil"/>
              <w:right w:val="nil"/>
            </w:tcBorders>
          </w:tcPr>
          <w:p w:rsidR="00E8309B" w:rsidRDefault="009D0949">
            <w:pPr>
              <w:spacing w:after="0" w:line="259" w:lineRule="auto"/>
              <w:ind w:left="46" w:right="0" w:firstLine="0"/>
            </w:pPr>
            <w:r>
              <w:rPr>
                <w:sz w:val="18"/>
              </w:rPr>
              <w:t xml:space="preserve">13,7 </w:t>
            </w:r>
          </w:p>
        </w:tc>
      </w:tr>
      <w:tr w:rsidR="00E8309B">
        <w:trPr>
          <w:trHeight w:val="255"/>
        </w:trPr>
        <w:tc>
          <w:tcPr>
            <w:tcW w:w="4045" w:type="dxa"/>
            <w:tcBorders>
              <w:top w:val="nil"/>
              <w:left w:val="nil"/>
              <w:bottom w:val="nil"/>
              <w:right w:val="nil"/>
            </w:tcBorders>
          </w:tcPr>
          <w:p w:rsidR="00E8309B" w:rsidRDefault="009D0949">
            <w:pPr>
              <w:spacing w:after="0" w:line="259" w:lineRule="auto"/>
              <w:ind w:left="519" w:right="0" w:firstLine="0"/>
              <w:jc w:val="left"/>
            </w:pPr>
            <w:r>
              <w:rPr>
                <w:i/>
                <w:sz w:val="18"/>
              </w:rPr>
              <w:t xml:space="preserve">од чега пензије </w:t>
            </w:r>
          </w:p>
        </w:tc>
        <w:tc>
          <w:tcPr>
            <w:tcW w:w="1388" w:type="dxa"/>
            <w:tcBorders>
              <w:top w:val="nil"/>
              <w:left w:val="nil"/>
              <w:bottom w:val="nil"/>
              <w:right w:val="nil"/>
            </w:tcBorders>
          </w:tcPr>
          <w:p w:rsidR="00E8309B" w:rsidRDefault="009D0949">
            <w:pPr>
              <w:spacing w:after="0" w:line="259" w:lineRule="auto"/>
              <w:ind w:left="88" w:right="0" w:firstLine="0"/>
              <w:jc w:val="center"/>
            </w:pPr>
            <w:r>
              <w:rPr>
                <w:i/>
                <w:sz w:val="18"/>
              </w:rPr>
              <w:t xml:space="preserve">10,3 </w:t>
            </w:r>
          </w:p>
        </w:tc>
        <w:tc>
          <w:tcPr>
            <w:tcW w:w="1459" w:type="dxa"/>
            <w:tcBorders>
              <w:top w:val="nil"/>
              <w:left w:val="nil"/>
              <w:bottom w:val="nil"/>
              <w:right w:val="nil"/>
            </w:tcBorders>
          </w:tcPr>
          <w:p w:rsidR="00E8309B" w:rsidRDefault="009D0949">
            <w:pPr>
              <w:spacing w:after="0" w:line="259" w:lineRule="auto"/>
              <w:ind w:left="394" w:right="0" w:firstLine="0"/>
              <w:jc w:val="left"/>
            </w:pPr>
            <w:r>
              <w:rPr>
                <w:i/>
                <w:sz w:val="18"/>
              </w:rPr>
              <w:t xml:space="preserve">10,6 </w:t>
            </w:r>
          </w:p>
        </w:tc>
        <w:tc>
          <w:tcPr>
            <w:tcW w:w="562" w:type="dxa"/>
            <w:tcBorders>
              <w:top w:val="nil"/>
              <w:left w:val="nil"/>
              <w:bottom w:val="nil"/>
              <w:right w:val="nil"/>
            </w:tcBorders>
          </w:tcPr>
          <w:p w:rsidR="00E8309B" w:rsidRDefault="009D0949">
            <w:pPr>
              <w:spacing w:after="0" w:line="259" w:lineRule="auto"/>
              <w:ind w:left="46" w:right="0" w:firstLine="0"/>
              <w:jc w:val="left"/>
            </w:pPr>
            <w:r>
              <w:rPr>
                <w:i/>
                <w:sz w:val="18"/>
              </w:rPr>
              <w:t xml:space="preserve">10,4 </w:t>
            </w:r>
          </w:p>
        </w:tc>
        <w:tc>
          <w:tcPr>
            <w:tcW w:w="1668" w:type="dxa"/>
            <w:tcBorders>
              <w:top w:val="nil"/>
              <w:left w:val="nil"/>
              <w:bottom w:val="nil"/>
              <w:right w:val="nil"/>
            </w:tcBorders>
          </w:tcPr>
          <w:p w:rsidR="00E8309B" w:rsidRDefault="009D0949">
            <w:pPr>
              <w:spacing w:after="0" w:line="259" w:lineRule="auto"/>
              <w:ind w:left="0" w:right="102" w:firstLine="0"/>
              <w:jc w:val="center"/>
            </w:pPr>
            <w:r>
              <w:rPr>
                <w:i/>
                <w:sz w:val="18"/>
              </w:rPr>
              <w:t xml:space="preserve">10,3 </w:t>
            </w:r>
          </w:p>
        </w:tc>
        <w:tc>
          <w:tcPr>
            <w:tcW w:w="466" w:type="dxa"/>
            <w:tcBorders>
              <w:top w:val="nil"/>
              <w:left w:val="nil"/>
              <w:bottom w:val="nil"/>
              <w:right w:val="nil"/>
            </w:tcBorders>
          </w:tcPr>
          <w:p w:rsidR="00E8309B" w:rsidRDefault="009D0949">
            <w:pPr>
              <w:spacing w:after="0" w:line="259" w:lineRule="auto"/>
              <w:ind w:left="46" w:right="0" w:firstLine="0"/>
            </w:pPr>
            <w:r>
              <w:rPr>
                <w:i/>
                <w:sz w:val="18"/>
              </w:rPr>
              <w:t xml:space="preserve">10,1 </w:t>
            </w:r>
          </w:p>
        </w:tc>
      </w:tr>
      <w:tr w:rsidR="00E8309B">
        <w:trPr>
          <w:trHeight w:val="256"/>
        </w:trPr>
        <w:tc>
          <w:tcPr>
            <w:tcW w:w="4045" w:type="dxa"/>
            <w:tcBorders>
              <w:top w:val="nil"/>
              <w:left w:val="nil"/>
              <w:bottom w:val="nil"/>
              <w:right w:val="nil"/>
            </w:tcBorders>
          </w:tcPr>
          <w:p w:rsidR="00E8309B" w:rsidRDefault="009D0949">
            <w:pPr>
              <w:spacing w:after="0" w:line="259" w:lineRule="auto"/>
              <w:ind w:left="406" w:right="0" w:firstLine="0"/>
              <w:jc w:val="left"/>
            </w:pPr>
            <w:r>
              <w:rPr>
                <w:sz w:val="18"/>
              </w:rPr>
              <w:t xml:space="preserve">Остали текући расходи </w:t>
            </w:r>
          </w:p>
        </w:tc>
        <w:tc>
          <w:tcPr>
            <w:tcW w:w="1388" w:type="dxa"/>
            <w:tcBorders>
              <w:top w:val="nil"/>
              <w:left w:val="nil"/>
              <w:bottom w:val="nil"/>
              <w:right w:val="nil"/>
            </w:tcBorders>
          </w:tcPr>
          <w:p w:rsidR="00E8309B" w:rsidRDefault="009D0949">
            <w:pPr>
              <w:spacing w:after="0" w:line="259" w:lineRule="auto"/>
              <w:ind w:left="176" w:right="0" w:firstLine="0"/>
              <w:jc w:val="center"/>
            </w:pPr>
            <w:r>
              <w:rPr>
                <w:sz w:val="18"/>
              </w:rPr>
              <w:t xml:space="preserve">1,7 </w:t>
            </w:r>
          </w:p>
        </w:tc>
        <w:tc>
          <w:tcPr>
            <w:tcW w:w="1459" w:type="dxa"/>
            <w:tcBorders>
              <w:top w:val="nil"/>
              <w:left w:val="nil"/>
              <w:bottom w:val="nil"/>
              <w:right w:val="nil"/>
            </w:tcBorders>
          </w:tcPr>
          <w:p w:rsidR="00E8309B" w:rsidRDefault="009D0949">
            <w:pPr>
              <w:spacing w:after="0" w:line="259" w:lineRule="auto"/>
              <w:ind w:left="482" w:right="0" w:firstLine="0"/>
              <w:jc w:val="left"/>
            </w:pPr>
            <w:r>
              <w:rPr>
                <w:sz w:val="18"/>
              </w:rPr>
              <w:t xml:space="preserve">3,0 </w:t>
            </w:r>
          </w:p>
        </w:tc>
        <w:tc>
          <w:tcPr>
            <w:tcW w:w="562" w:type="dxa"/>
            <w:tcBorders>
              <w:top w:val="nil"/>
              <w:left w:val="nil"/>
              <w:bottom w:val="nil"/>
              <w:right w:val="nil"/>
            </w:tcBorders>
          </w:tcPr>
          <w:p w:rsidR="00E8309B" w:rsidRDefault="009D0949">
            <w:pPr>
              <w:spacing w:after="0" w:line="259" w:lineRule="auto"/>
              <w:ind w:left="134" w:right="0" w:firstLine="0"/>
              <w:jc w:val="left"/>
            </w:pPr>
            <w:r>
              <w:rPr>
                <w:sz w:val="18"/>
              </w:rPr>
              <w:t xml:space="preserve">1,4 </w:t>
            </w:r>
          </w:p>
        </w:tc>
        <w:tc>
          <w:tcPr>
            <w:tcW w:w="1668" w:type="dxa"/>
            <w:tcBorders>
              <w:top w:val="nil"/>
              <w:left w:val="nil"/>
              <w:bottom w:val="nil"/>
              <w:right w:val="nil"/>
            </w:tcBorders>
          </w:tcPr>
          <w:p w:rsidR="00E8309B" w:rsidRDefault="009D0949">
            <w:pPr>
              <w:spacing w:after="0" w:line="259" w:lineRule="auto"/>
              <w:ind w:left="0" w:right="13" w:firstLine="0"/>
              <w:jc w:val="center"/>
            </w:pPr>
            <w:r>
              <w:rPr>
                <w:sz w:val="18"/>
              </w:rPr>
              <w:t xml:space="preserve">1,3 </w:t>
            </w:r>
          </w:p>
        </w:tc>
        <w:tc>
          <w:tcPr>
            <w:tcW w:w="466" w:type="dxa"/>
            <w:tcBorders>
              <w:top w:val="nil"/>
              <w:left w:val="nil"/>
              <w:bottom w:val="nil"/>
              <w:right w:val="nil"/>
            </w:tcBorders>
          </w:tcPr>
          <w:p w:rsidR="00E8309B" w:rsidRDefault="009D0949">
            <w:pPr>
              <w:spacing w:after="0" w:line="259" w:lineRule="auto"/>
              <w:ind w:left="134" w:right="0" w:firstLine="0"/>
              <w:jc w:val="left"/>
            </w:pPr>
            <w:r>
              <w:rPr>
                <w:sz w:val="18"/>
              </w:rPr>
              <w:t xml:space="preserve">1,2 </w:t>
            </w:r>
          </w:p>
        </w:tc>
      </w:tr>
      <w:tr w:rsidR="00E8309B">
        <w:trPr>
          <w:trHeight w:val="256"/>
        </w:trPr>
        <w:tc>
          <w:tcPr>
            <w:tcW w:w="4045" w:type="dxa"/>
            <w:tcBorders>
              <w:top w:val="nil"/>
              <w:left w:val="nil"/>
              <w:bottom w:val="nil"/>
              <w:right w:val="nil"/>
            </w:tcBorders>
          </w:tcPr>
          <w:p w:rsidR="00E8309B" w:rsidRDefault="009D0949">
            <w:pPr>
              <w:spacing w:after="0" w:line="259" w:lineRule="auto"/>
              <w:ind w:left="123" w:right="0" w:firstLine="0"/>
              <w:jc w:val="left"/>
            </w:pPr>
            <w:r>
              <w:rPr>
                <w:sz w:val="18"/>
              </w:rPr>
              <w:t xml:space="preserve"> Капитални расходи </w:t>
            </w:r>
          </w:p>
        </w:tc>
        <w:tc>
          <w:tcPr>
            <w:tcW w:w="1388" w:type="dxa"/>
            <w:tcBorders>
              <w:top w:val="nil"/>
              <w:left w:val="nil"/>
              <w:bottom w:val="nil"/>
              <w:right w:val="nil"/>
            </w:tcBorders>
          </w:tcPr>
          <w:p w:rsidR="00E8309B" w:rsidRDefault="009D0949">
            <w:pPr>
              <w:spacing w:after="0" w:line="259" w:lineRule="auto"/>
              <w:ind w:left="176" w:right="0" w:firstLine="0"/>
              <w:jc w:val="center"/>
            </w:pPr>
            <w:r>
              <w:rPr>
                <w:sz w:val="18"/>
              </w:rPr>
              <w:t xml:space="preserve">4,9 </w:t>
            </w:r>
          </w:p>
        </w:tc>
        <w:tc>
          <w:tcPr>
            <w:tcW w:w="1459" w:type="dxa"/>
            <w:tcBorders>
              <w:top w:val="nil"/>
              <w:left w:val="nil"/>
              <w:bottom w:val="nil"/>
              <w:right w:val="nil"/>
            </w:tcBorders>
          </w:tcPr>
          <w:p w:rsidR="00E8309B" w:rsidRDefault="009D0949">
            <w:pPr>
              <w:spacing w:after="0" w:line="259" w:lineRule="auto"/>
              <w:ind w:left="482" w:right="0" w:firstLine="0"/>
              <w:jc w:val="left"/>
            </w:pPr>
            <w:r>
              <w:rPr>
                <w:sz w:val="18"/>
              </w:rPr>
              <w:t xml:space="preserve">5,2 </w:t>
            </w:r>
          </w:p>
        </w:tc>
        <w:tc>
          <w:tcPr>
            <w:tcW w:w="562" w:type="dxa"/>
            <w:tcBorders>
              <w:top w:val="nil"/>
              <w:left w:val="nil"/>
              <w:bottom w:val="nil"/>
              <w:right w:val="nil"/>
            </w:tcBorders>
          </w:tcPr>
          <w:p w:rsidR="00E8309B" w:rsidRDefault="009D0949">
            <w:pPr>
              <w:spacing w:after="0" w:line="259" w:lineRule="auto"/>
              <w:ind w:left="134" w:right="0" w:firstLine="0"/>
              <w:jc w:val="left"/>
            </w:pPr>
            <w:r>
              <w:rPr>
                <w:sz w:val="18"/>
              </w:rPr>
              <w:t xml:space="preserve">5,5 </w:t>
            </w:r>
          </w:p>
        </w:tc>
        <w:tc>
          <w:tcPr>
            <w:tcW w:w="1668" w:type="dxa"/>
            <w:tcBorders>
              <w:top w:val="nil"/>
              <w:left w:val="nil"/>
              <w:bottom w:val="nil"/>
              <w:right w:val="nil"/>
            </w:tcBorders>
          </w:tcPr>
          <w:p w:rsidR="00E8309B" w:rsidRDefault="009D0949">
            <w:pPr>
              <w:spacing w:after="0" w:line="259" w:lineRule="auto"/>
              <w:ind w:left="0" w:right="13" w:firstLine="0"/>
              <w:jc w:val="center"/>
            </w:pPr>
            <w:r>
              <w:rPr>
                <w:sz w:val="18"/>
              </w:rPr>
              <w:t xml:space="preserve">5,6 </w:t>
            </w:r>
          </w:p>
        </w:tc>
        <w:tc>
          <w:tcPr>
            <w:tcW w:w="466" w:type="dxa"/>
            <w:tcBorders>
              <w:top w:val="nil"/>
              <w:left w:val="nil"/>
              <w:bottom w:val="nil"/>
              <w:right w:val="nil"/>
            </w:tcBorders>
          </w:tcPr>
          <w:p w:rsidR="00E8309B" w:rsidRDefault="009D0949">
            <w:pPr>
              <w:spacing w:after="0" w:line="259" w:lineRule="auto"/>
              <w:ind w:left="134" w:right="0" w:firstLine="0"/>
              <w:jc w:val="left"/>
            </w:pPr>
            <w:r>
              <w:rPr>
                <w:sz w:val="18"/>
              </w:rPr>
              <w:t xml:space="preserve">5,7 </w:t>
            </w:r>
          </w:p>
        </w:tc>
      </w:tr>
      <w:tr w:rsidR="00E8309B">
        <w:trPr>
          <w:trHeight w:val="254"/>
        </w:trPr>
        <w:tc>
          <w:tcPr>
            <w:tcW w:w="4045" w:type="dxa"/>
            <w:tcBorders>
              <w:top w:val="nil"/>
              <w:left w:val="nil"/>
              <w:bottom w:val="nil"/>
              <w:right w:val="nil"/>
            </w:tcBorders>
          </w:tcPr>
          <w:p w:rsidR="00E8309B" w:rsidRDefault="009D0949">
            <w:pPr>
              <w:spacing w:after="0" w:line="259" w:lineRule="auto"/>
              <w:ind w:left="123" w:right="0" w:firstLine="0"/>
              <w:jc w:val="left"/>
            </w:pPr>
            <w:r>
              <w:rPr>
                <w:sz w:val="18"/>
              </w:rPr>
              <w:t xml:space="preserve"> Нето буџетске позајмице </w:t>
            </w:r>
          </w:p>
        </w:tc>
        <w:tc>
          <w:tcPr>
            <w:tcW w:w="1388" w:type="dxa"/>
            <w:tcBorders>
              <w:top w:val="nil"/>
              <w:left w:val="nil"/>
              <w:bottom w:val="nil"/>
              <w:right w:val="nil"/>
            </w:tcBorders>
          </w:tcPr>
          <w:p w:rsidR="00E8309B" w:rsidRDefault="009D0949">
            <w:pPr>
              <w:spacing w:after="0" w:line="259" w:lineRule="auto"/>
              <w:ind w:left="176" w:right="0" w:firstLine="0"/>
              <w:jc w:val="center"/>
            </w:pPr>
            <w:r>
              <w:rPr>
                <w:sz w:val="18"/>
              </w:rPr>
              <w:t xml:space="preserve">0,2 </w:t>
            </w:r>
          </w:p>
        </w:tc>
        <w:tc>
          <w:tcPr>
            <w:tcW w:w="1459" w:type="dxa"/>
            <w:tcBorders>
              <w:top w:val="nil"/>
              <w:left w:val="nil"/>
              <w:bottom w:val="nil"/>
              <w:right w:val="nil"/>
            </w:tcBorders>
          </w:tcPr>
          <w:p w:rsidR="00E8309B" w:rsidRDefault="009D0949">
            <w:pPr>
              <w:spacing w:after="0" w:line="259" w:lineRule="auto"/>
              <w:ind w:left="482" w:right="0" w:firstLine="0"/>
              <w:jc w:val="left"/>
            </w:pPr>
            <w:r>
              <w:rPr>
                <w:sz w:val="18"/>
              </w:rPr>
              <w:t xml:space="preserve">0,8 </w:t>
            </w:r>
          </w:p>
        </w:tc>
        <w:tc>
          <w:tcPr>
            <w:tcW w:w="562" w:type="dxa"/>
            <w:tcBorders>
              <w:top w:val="nil"/>
              <w:left w:val="nil"/>
              <w:bottom w:val="nil"/>
              <w:right w:val="nil"/>
            </w:tcBorders>
          </w:tcPr>
          <w:p w:rsidR="00E8309B" w:rsidRDefault="009D0949">
            <w:pPr>
              <w:spacing w:after="0" w:line="259" w:lineRule="auto"/>
              <w:ind w:left="134" w:right="0" w:firstLine="0"/>
              <w:jc w:val="left"/>
            </w:pPr>
            <w:r>
              <w:rPr>
                <w:sz w:val="18"/>
              </w:rPr>
              <w:t xml:space="preserve">0,4 </w:t>
            </w:r>
          </w:p>
        </w:tc>
        <w:tc>
          <w:tcPr>
            <w:tcW w:w="1668" w:type="dxa"/>
            <w:tcBorders>
              <w:top w:val="nil"/>
              <w:left w:val="nil"/>
              <w:bottom w:val="nil"/>
              <w:right w:val="nil"/>
            </w:tcBorders>
          </w:tcPr>
          <w:p w:rsidR="00E8309B" w:rsidRDefault="009D0949">
            <w:pPr>
              <w:spacing w:after="0" w:line="259" w:lineRule="auto"/>
              <w:ind w:left="0" w:right="13" w:firstLine="0"/>
              <w:jc w:val="center"/>
            </w:pPr>
            <w:r>
              <w:rPr>
                <w:sz w:val="18"/>
              </w:rPr>
              <w:t xml:space="preserve">0,2 </w:t>
            </w:r>
          </w:p>
        </w:tc>
        <w:tc>
          <w:tcPr>
            <w:tcW w:w="466" w:type="dxa"/>
            <w:tcBorders>
              <w:top w:val="nil"/>
              <w:left w:val="nil"/>
              <w:bottom w:val="nil"/>
              <w:right w:val="nil"/>
            </w:tcBorders>
          </w:tcPr>
          <w:p w:rsidR="00E8309B" w:rsidRDefault="009D0949">
            <w:pPr>
              <w:spacing w:after="0" w:line="259" w:lineRule="auto"/>
              <w:ind w:left="134" w:right="0" w:firstLine="0"/>
              <w:jc w:val="left"/>
            </w:pPr>
            <w:r>
              <w:rPr>
                <w:sz w:val="18"/>
              </w:rPr>
              <w:t xml:space="preserve">0,1 </w:t>
            </w:r>
          </w:p>
        </w:tc>
      </w:tr>
      <w:tr w:rsidR="00E8309B">
        <w:trPr>
          <w:trHeight w:val="286"/>
        </w:trPr>
        <w:tc>
          <w:tcPr>
            <w:tcW w:w="4045" w:type="dxa"/>
            <w:tcBorders>
              <w:top w:val="nil"/>
              <w:left w:val="nil"/>
              <w:bottom w:val="single" w:sz="4" w:space="0" w:color="002060"/>
              <w:right w:val="nil"/>
            </w:tcBorders>
          </w:tcPr>
          <w:p w:rsidR="00E8309B" w:rsidRDefault="009D0949">
            <w:pPr>
              <w:spacing w:after="0" w:line="259" w:lineRule="auto"/>
              <w:ind w:left="123" w:right="0" w:firstLine="0"/>
              <w:jc w:val="left"/>
            </w:pPr>
            <w:r>
              <w:rPr>
                <w:sz w:val="18"/>
              </w:rPr>
              <w:t xml:space="preserve"> Отплата по основу гаранција </w:t>
            </w:r>
          </w:p>
        </w:tc>
        <w:tc>
          <w:tcPr>
            <w:tcW w:w="1388" w:type="dxa"/>
            <w:tcBorders>
              <w:top w:val="nil"/>
              <w:left w:val="nil"/>
              <w:bottom w:val="single" w:sz="4" w:space="0" w:color="002060"/>
              <w:right w:val="nil"/>
            </w:tcBorders>
          </w:tcPr>
          <w:p w:rsidR="00E8309B" w:rsidRDefault="009D0949">
            <w:pPr>
              <w:spacing w:after="0" w:line="259" w:lineRule="auto"/>
              <w:ind w:left="176" w:right="0" w:firstLine="0"/>
              <w:jc w:val="center"/>
            </w:pPr>
            <w:r>
              <w:rPr>
                <w:sz w:val="18"/>
              </w:rPr>
              <w:t xml:space="preserve">0,2 </w:t>
            </w:r>
          </w:p>
        </w:tc>
        <w:tc>
          <w:tcPr>
            <w:tcW w:w="1459" w:type="dxa"/>
            <w:tcBorders>
              <w:top w:val="nil"/>
              <w:left w:val="nil"/>
              <w:bottom w:val="single" w:sz="4" w:space="0" w:color="002060"/>
              <w:right w:val="nil"/>
            </w:tcBorders>
          </w:tcPr>
          <w:p w:rsidR="00E8309B" w:rsidRDefault="009D0949">
            <w:pPr>
              <w:spacing w:after="0" w:line="259" w:lineRule="auto"/>
              <w:ind w:left="482" w:right="0" w:firstLine="0"/>
              <w:jc w:val="left"/>
            </w:pPr>
            <w:r>
              <w:rPr>
                <w:sz w:val="18"/>
              </w:rPr>
              <w:t xml:space="preserve">0,1 </w:t>
            </w:r>
          </w:p>
        </w:tc>
        <w:tc>
          <w:tcPr>
            <w:tcW w:w="562" w:type="dxa"/>
            <w:tcBorders>
              <w:top w:val="nil"/>
              <w:left w:val="nil"/>
              <w:bottom w:val="single" w:sz="4" w:space="0" w:color="002060"/>
              <w:right w:val="nil"/>
            </w:tcBorders>
          </w:tcPr>
          <w:p w:rsidR="00E8309B" w:rsidRDefault="009D0949">
            <w:pPr>
              <w:spacing w:after="0" w:line="259" w:lineRule="auto"/>
              <w:ind w:left="134" w:right="0" w:firstLine="0"/>
              <w:jc w:val="left"/>
            </w:pPr>
            <w:r>
              <w:rPr>
                <w:sz w:val="18"/>
              </w:rPr>
              <w:t xml:space="preserve">0,2 </w:t>
            </w:r>
          </w:p>
        </w:tc>
        <w:tc>
          <w:tcPr>
            <w:tcW w:w="1668" w:type="dxa"/>
            <w:tcBorders>
              <w:top w:val="nil"/>
              <w:left w:val="nil"/>
              <w:bottom w:val="single" w:sz="4" w:space="0" w:color="002060"/>
              <w:right w:val="nil"/>
            </w:tcBorders>
          </w:tcPr>
          <w:p w:rsidR="00E8309B" w:rsidRDefault="009D0949">
            <w:pPr>
              <w:spacing w:after="0" w:line="259" w:lineRule="auto"/>
              <w:ind w:left="0" w:right="13" w:firstLine="0"/>
              <w:jc w:val="center"/>
            </w:pPr>
            <w:r>
              <w:rPr>
                <w:sz w:val="18"/>
              </w:rPr>
              <w:t xml:space="preserve">0,2 </w:t>
            </w:r>
          </w:p>
        </w:tc>
        <w:tc>
          <w:tcPr>
            <w:tcW w:w="466" w:type="dxa"/>
            <w:tcBorders>
              <w:top w:val="nil"/>
              <w:left w:val="nil"/>
              <w:bottom w:val="single" w:sz="4" w:space="0" w:color="002060"/>
              <w:right w:val="nil"/>
            </w:tcBorders>
          </w:tcPr>
          <w:p w:rsidR="00E8309B" w:rsidRDefault="009D0949">
            <w:pPr>
              <w:spacing w:after="0" w:line="259" w:lineRule="auto"/>
              <w:ind w:left="134" w:right="0" w:firstLine="0"/>
              <w:jc w:val="left"/>
            </w:pPr>
            <w:r>
              <w:rPr>
                <w:sz w:val="18"/>
              </w:rPr>
              <w:t xml:space="preserve">0,1 </w:t>
            </w:r>
          </w:p>
        </w:tc>
      </w:tr>
    </w:tbl>
    <w:p w:rsidR="00E8309B" w:rsidRDefault="009D0949">
      <w:pPr>
        <w:spacing w:after="170" w:line="269" w:lineRule="auto"/>
        <w:ind w:left="-5" w:right="53"/>
        <w:jc w:val="left"/>
      </w:pPr>
      <w:r>
        <w:rPr>
          <w:sz w:val="16"/>
        </w:rPr>
        <w:t xml:space="preserve">Извор: Министарство финансијa </w:t>
      </w:r>
    </w:p>
    <w:p w:rsidR="00E8309B" w:rsidRDefault="009D0949">
      <w:pPr>
        <w:ind w:left="-5" w:right="17"/>
      </w:pPr>
      <w:r>
        <w:t>У 2020. години дошло је до промене тренда у јавним расходима с обзиром да је требало реаговати на кризу изазвану пандемијом. Мере су биле значајне на расходној страни што је довело до високог, додуше једнократног, скока учешћа расходне стране буџета у БДП.</w:t>
      </w:r>
      <w:r>
        <w:t xml:space="preserve"> </w:t>
      </w:r>
    </w:p>
    <w:p w:rsidR="00E8309B" w:rsidRDefault="009D0949">
      <w:pPr>
        <w:ind w:left="-5" w:right="17"/>
      </w:pPr>
      <w:r>
        <w:t>Такав случај је и са расходима за запослене који су достигли ниво од 10,4% БДП у 2020, захваљујући између осталог и ванредном повећању зарада запосленима у систему здравства. С обзиром на ограничен фискални простор у наредном периоду зараде ће се повећав</w:t>
      </w:r>
      <w:r>
        <w:t xml:space="preserve">ати умерено, уз контролу и смањење њиховог учешћа у БДП. </w:t>
      </w:r>
    </w:p>
    <w:p w:rsidR="00E8309B" w:rsidRDefault="009D0949">
      <w:pPr>
        <w:ind w:left="-5" w:right="17"/>
      </w:pPr>
      <w:r>
        <w:t>Смањење зарада, контрола запошљавања и рационализација броја запослених у јавном сектору су биле мере које су највише допринеле смањењу расхода и успеху фискалне консолидације. Законом о буџетском с</w:t>
      </w:r>
      <w:r>
        <w:t>истему предвиђено је снижавање нивоа зарада без доприноса на терет послодавца до 7% БДП, међутим чини се да је тако таргетиран ниво зарада постављен доста ниско. Тренутно је учешће овако дефинисаних зарада у БДП око 10,4%. Просечан ниво зарада на нивоу опш</w:t>
      </w:r>
      <w:r>
        <w:t>те државе у ЕУ је око 10% БДП. У претходном периоду, започета је свеобухватна реформа система зарада у јавном сектору, која за циљ има обезбеђење правичности и смањење разлика између плата запослених у јавном сектору. Примена новог реформисаног система пла</w:t>
      </w:r>
      <w:r>
        <w:t xml:space="preserve">та у јавном сектору требало би да почне током 2022. године. </w:t>
      </w:r>
    </w:p>
    <w:p w:rsidR="00E8309B" w:rsidRDefault="009D0949">
      <w:pPr>
        <w:ind w:left="-5" w:right="17"/>
      </w:pPr>
      <w:r>
        <w:t>Током процеса консолидације на снази је била забрана запошљавања у јавном сектору. Са једне стране то је омогућавало контролу нивоа зарада, али се са друге стране повећао број уговора о раду на о</w:t>
      </w:r>
      <w:r>
        <w:t>дређено време, као и недостатак кадрова у појединим деловима јавне управе. Сада је на снази флексибилнији начин контроле запошљавања, који је базиран на средњорочном планирању броја запослених у свим областима јавног сектора у складу са буџетским ограничењ</w:t>
      </w:r>
      <w:r>
        <w:t xml:space="preserve">има. </w:t>
      </w:r>
    </w:p>
    <w:p w:rsidR="00E8309B" w:rsidRDefault="009D0949">
      <w:pPr>
        <w:ind w:left="-5" w:right="17"/>
      </w:pPr>
      <w:r>
        <w:t>Издаци за робе и услуге ће се постепено смањивати у средњорочном периоду у смислу учешћа у БДП и вратити на 7,1%, с обзиром да је предвиђено да номинално расту спорије од раста номиналног БДП. Скок у 2020. години у највећој мери је резултат већих рас</w:t>
      </w:r>
      <w:r>
        <w:t xml:space="preserve">хода у здравству. </w:t>
      </w:r>
    </w:p>
    <w:p w:rsidR="00E8309B" w:rsidRDefault="009D0949">
      <w:pPr>
        <w:ind w:left="-5" w:right="17"/>
      </w:pPr>
      <w:r>
        <w:t>Смањење расхода за камате један је од најбољих показатеља успешног вођене фискалне и монетарне политике, као и њихове пуне координације у претходном периоду. Добри фискални резултати у претходном периоду смањили су потребе за задуживањем</w:t>
      </w:r>
      <w:r>
        <w:t xml:space="preserve">, што је уз ублажавање монетарне политике довело до пада каматних стопа. У 2023. години ниво расхода за камате ће се смањити на 1,6% БДП. </w:t>
      </w:r>
    </w:p>
    <w:p w:rsidR="00E8309B" w:rsidRDefault="009D0949">
      <w:pPr>
        <w:ind w:left="-5" w:right="17"/>
      </w:pPr>
      <w:r>
        <w:t>Социјална помоћ и трансфери становништву представљају највећу расходну категорију буџета опште државе. Највећа поједи</w:t>
      </w:r>
      <w:r>
        <w:t xml:space="preserve">начна ставка ове групе расхода, а уједно и највећа ставка свих расхода, су пензије, које ће у 2020. години достићи ниво од 10,6% БДП. Од 2020. године пензије се усклађују са такозваном „швајцарском формулом”, како би се истовремено обезбедио раст животног </w:t>
      </w:r>
      <w:r>
        <w:t>стандарда пензионера и одрживост пензионог система и система јавних финансија. „Швајцарска формула” подразумева индексацију, односно увећање пензија једнако збиру половине стопе раста просечне зараде и половине стопе раста потрошачких цена. Процењује се да</w:t>
      </w:r>
      <w:r>
        <w:t xml:space="preserve"> би у наредном периоду индексација износила између 5 и 6%, а у 2021. години, конкретно, износиће 5,9%. Остали облици социјалних давања и трансфера становништву у наредном периоду усклађиваће се применом прописане индексације, текућих и планираних измена по</w:t>
      </w:r>
      <w:r>
        <w:t xml:space="preserve">литика у овој области и са пројектованим бројем корисника. Учешће </w:t>
      </w:r>
      <w:r>
        <w:lastRenderedPageBreak/>
        <w:t xml:space="preserve">расхода за социјална давања у БДП опада са 14,8%, колико износи у 2020. години, на 13,7% у 2023. години. </w:t>
      </w:r>
    </w:p>
    <w:p w:rsidR="00E8309B" w:rsidRDefault="009D0949">
      <w:pPr>
        <w:ind w:left="-5" w:right="17"/>
      </w:pPr>
      <w:r>
        <w:t>Смањење субвенција које служе као помоћ неефикасним сегментима јавног сектора омогућ</w:t>
      </w:r>
      <w:r>
        <w:t>ава повећање оног дела субвенција које представљају праве подстицаје привреди, пре свега пољопривреди и малим и средњим предузећима, и које доводе до убрзања привредне активности. Циљ је да се субвенционисана средства преусмере ка развојним програмима у пр</w:t>
      </w:r>
      <w:r>
        <w:t xml:space="preserve">ивреди и пољопривреди. Раст субвенција у 2020. години резултат је примене мера за превазилажење проблема изазваних пандемијском кризом. </w:t>
      </w:r>
    </w:p>
    <w:p w:rsidR="00E8309B" w:rsidRDefault="009D0949">
      <w:pPr>
        <w:ind w:left="-5" w:right="17"/>
      </w:pPr>
      <w:r>
        <w:t>Категорије осталих текућих расхода чине различити издаци, као што су дотације удружењима, политичким странкама, верским</w:t>
      </w:r>
      <w:r>
        <w:t xml:space="preserve"> и спортским организацијама, казне, накнада штете итд. Као и код субвенција једнократни раст је био узрокован фискалном реакцијом на кризу, а у наредном периоду се очекује смањење ових расхода у БДП. </w:t>
      </w:r>
    </w:p>
    <w:p w:rsidR="00E8309B" w:rsidRDefault="009D0949">
      <w:pPr>
        <w:ind w:left="-5" w:right="17"/>
      </w:pPr>
      <w:r>
        <w:t>Током 2018. и 2019. години значајно је побољшана ефикас</w:t>
      </w:r>
      <w:r>
        <w:t>ност извршења јавних инвестиција. Капитални расходи су повећани на 4,9% БДП у 2019. години захваљујући отпочињању новог циклуса инфраструктурних пројеката, а у 2020. години се очекује достизање нивоа од 5,2% БДП, упркос проблемима које је проузроковала пан</w:t>
      </w:r>
      <w:r>
        <w:t>демија. У наредном средњорочном периоду очекује се даљи раст улагања у јавну инфраструктуру. Смањењем текуће потрошње сектора државе обезбеђен је фискални простор који ће делом бити искоришћен за повећање инвестиција. Најзначајнији инфраструктурни радови с</w:t>
      </w:r>
      <w:r>
        <w:t>у на путној, железничкој и водној инфраструктури који се углавном финансирају из међународних кредита. Поред саобраћајне инфраструктуре обезбеђена су средства за додатна капитална улагања у здравству, просвети, култури, одбрани и другим областима које пред</w:t>
      </w:r>
      <w:r>
        <w:t xml:space="preserve">стављају најважније функције државе. Ово је све део новог инвестиционог циклуса на националном нивоу који је омогућен стварањем фискалног простора и подржан повољним условима за задуживање на међународном финансијском тржишту. </w:t>
      </w:r>
    </w:p>
    <w:p w:rsidR="00E8309B" w:rsidRDefault="009D0949">
      <w:pPr>
        <w:ind w:left="-5" w:right="17"/>
      </w:pPr>
      <w:r>
        <w:t>Опште опредељење фискалне по</w:t>
      </w:r>
      <w:r>
        <w:t xml:space="preserve">литике у средњем року јесте повећање улагања у инфраструктуру на свим нивоима власти. Према проценама Фискалног савета инвестиције локалне самоуправе у средњем року требало би повећати за најмање 75% у односу на њихов садашњи ниво, односно за око 250 мил. </w:t>
      </w:r>
      <w:r>
        <w:t xml:space="preserve">евра. Реч је пре свега о улагањима у водоводну и канализациону инфраструктуру, управљању отпадом, локалну путну инфраструктуру и друго. </w:t>
      </w:r>
    </w:p>
    <w:p w:rsidR="00E8309B" w:rsidRDefault="009D0949">
      <w:pPr>
        <w:ind w:left="-5" w:right="17"/>
      </w:pPr>
      <w:r>
        <w:t xml:space="preserve">У средњорочном фискалном оквиру, до краја 2023. године, пројектована је избалансирана укупна фискална позиција локалне </w:t>
      </w:r>
      <w:r>
        <w:t>самоуправе. То значи да у збиру сви градови и општине имају приближно избалансиран буџет. Пројекција је рађена на основу кретања у претходном периоду, у коме су збирно ЈЛС најчешће биле у суфициту. Овакво стање на нивоу свих локалних самоуправа је последиц</w:t>
      </w:r>
      <w:r>
        <w:t xml:space="preserve">а раздуживања у претходном периоду. То не значи да појединачне ЈЛС не могу ићи у дефицит. То пре свега зависи од фискалне позиције сваке појединачне општине и града. </w:t>
      </w:r>
    </w:p>
    <w:p w:rsidR="00E8309B" w:rsidRDefault="009D0949">
      <w:pPr>
        <w:ind w:left="-5" w:right="17"/>
      </w:pPr>
      <w:r>
        <w:t>Ниво буџетских позајмица и отплате дуга по основу гаранција је добар показатељ успеха фискалне консолидације. Укупно учешће ове две категорије у БДП сведено је на 0,4% БДП у 2019. години уз привремени раст у овој и следећој години. До краја 2023. године ов</w:t>
      </w:r>
      <w:r>
        <w:t xml:space="preserve">и издаци ће бити минимални, са учешћем до 0,2% БДП. </w:t>
      </w:r>
    </w:p>
    <w:p w:rsidR="00E8309B" w:rsidRDefault="009D0949">
      <w:pPr>
        <w:spacing w:after="278"/>
        <w:ind w:left="-5" w:right="17"/>
      </w:pPr>
      <w:r>
        <w:t>Отплата по основу издатих гаранција и плаћање гаранција по комерцијалним трансакцијама представљају обавезе по основу дуга јавних предузећа које је републички буџет преузео на себе, с обзиром да та преду</w:t>
      </w:r>
      <w:r>
        <w:t>зећа нису могла самостално да их извршавају. Ови расходи су представљали велики терет за буџет с обзиром на дугогодишње неефикасно пословање великог броја државних предузећа и привредних друштава. У претходном периоду ови расходи су значајно смањени, а пла</w:t>
      </w:r>
      <w:r>
        <w:t xml:space="preserve">ном отплате предвиђено је да ће од 2020. године ови расходи износити само око 0,1% БДП. </w:t>
      </w:r>
    </w:p>
    <w:p w:rsidR="00E8309B" w:rsidRDefault="009D0949">
      <w:pPr>
        <w:pStyle w:val="Heading2"/>
        <w:spacing w:after="101"/>
        <w:ind w:left="405" w:right="9" w:hanging="420"/>
      </w:pPr>
      <w:r>
        <w:lastRenderedPageBreak/>
        <w:t xml:space="preserve">ЦИКЛИЧНО ПРИЛАГОЂЕНИ ФИСКАЛНИ БИЛАНС </w:t>
      </w:r>
    </w:p>
    <w:p w:rsidR="00E8309B" w:rsidRDefault="009D0949">
      <w:pPr>
        <w:spacing w:after="73" w:line="319" w:lineRule="auto"/>
        <w:ind w:left="-5" w:right="17"/>
      </w:pPr>
      <w:r>
        <w:t>Циклично прилагођени фискални биланс је фискални биланс из кога је искључен изоловани утицај привредног циклуса, а идентитет од к</w:t>
      </w:r>
      <w:r>
        <w:t>ога се полази је следећи</w:t>
      </w:r>
      <w:r>
        <w:rPr>
          <w:vertAlign w:val="superscript"/>
        </w:rPr>
        <w:footnoteReference w:id="11"/>
      </w:r>
      <w:r>
        <w:t xml:space="preserve">: FB = CB + CAB </w:t>
      </w:r>
    </w:p>
    <w:p w:rsidR="00E8309B" w:rsidRDefault="009D0949">
      <w:pPr>
        <w:ind w:left="-5" w:right="17"/>
      </w:pPr>
      <w:r>
        <w:t>Део фискалног биланса (FB)</w:t>
      </w:r>
      <w:r>
        <w:rPr>
          <w:i/>
        </w:rPr>
        <w:t xml:space="preserve"> </w:t>
      </w:r>
      <w:r>
        <w:t>који није под утицајем цикличних флуктуација назива се циклично прилагођени фискални биланс (CAB</w:t>
      </w:r>
      <w:r>
        <w:rPr>
          <w:i/>
        </w:rPr>
        <w:t xml:space="preserve">), </w:t>
      </w:r>
      <w:r>
        <w:t>а циљ ове процедуре је изоловање цикличне компоненте фискалног биланса (CB) која је резу</w:t>
      </w:r>
      <w:r>
        <w:t>лтат дејства производног јаза. Стварни фискални биланс биће једнак циклично прилагођеном у случају да је производни јаз једнак нули, тј. ако је стопа раста реалног БДП једнака потенцијалној. Структурни фискални биланс се даље рачунски добија елиминацијом ј</w:t>
      </w:r>
      <w:r>
        <w:t xml:space="preserve">еднократних ефеката на приходној и расходној страни, и тако показује структурну (трајну) фискалну позицију. </w:t>
      </w:r>
    </w:p>
    <w:p w:rsidR="00E8309B" w:rsidRDefault="009D0949">
      <w:pPr>
        <w:ind w:left="-5" w:right="17"/>
      </w:pPr>
      <w:r>
        <w:t>Циклично прилагођени дефицит се убрзано смањује након 2014. године, упоредо са кретањем општег фискалног резултата, а у 2017. години улази у зону с</w:t>
      </w:r>
      <w:r>
        <w:t>уфицита. Структурни примарни биланс очишћен од једнократних фактора у 2017. године такође бележи високу позитивну вредност. Структурне промене у пореском систему током 2012. и 2013. године су почеле да дају резултате у наредном периоду, чиме је процес фиск</w:t>
      </w:r>
      <w:r>
        <w:t>алне консолидације суштински и почео. Наредна фаза фискалне консолидације, спроведена током аранжмана са ММФ, али овог пута са нагласком на структурном прилагођавању на расходној страни, значајно је поправила фискалну позицију земље. Анализом и квантификац</w:t>
      </w:r>
      <w:r>
        <w:t>ијом структурног примарног биланса могу се изоловати, пре свега, једнократни ефекти на страни расхода иако, у појединим годинама, нису безначајни и једнократни ефекти у виду непланираних уплата на приходној страни. Анализом структурног примарног биланса оц</w:t>
      </w:r>
      <w:r>
        <w:t xml:space="preserve">ењена је фискална позиција земље. Тако је у периоду од 2014. до 2019. године фискална позиција значајно побољшана, чиме је и потврђена оцена успеха програма фискалне консолидације. </w:t>
      </w:r>
    </w:p>
    <w:p w:rsidR="00E8309B" w:rsidRDefault="009D0949">
      <w:pPr>
        <w:spacing w:after="98"/>
        <w:ind w:left="-5" w:right="17"/>
      </w:pPr>
      <w:r>
        <w:t>Фискални простор креиран у претходном периоду и значајно структурно унапре</w:t>
      </w:r>
      <w:r>
        <w:t xml:space="preserve">ђена фискална позиција земље омогућили су релаксацију фискалне политике у кризним временима. </w:t>
      </w:r>
    </w:p>
    <w:p w:rsidR="00E8309B" w:rsidRDefault="009D0949">
      <w:pPr>
        <w:spacing w:after="6"/>
        <w:ind w:left="-156" w:right="17" w:firstLine="156"/>
      </w:pPr>
      <w:r>
        <w:t xml:space="preserve">Табела 11. Фискални биланс и компоненте за обрачун циклично прилагођеног биланса у </w:t>
      </w:r>
      <w:r>
        <w:rPr>
          <w:b/>
          <w:color w:val="474747"/>
          <w:sz w:val="18"/>
        </w:rPr>
        <w:t xml:space="preserve"> </w:t>
      </w:r>
      <w:r>
        <w:t xml:space="preserve">периоду 2005–2023. године, % БДП* </w:t>
      </w:r>
    </w:p>
    <w:tbl>
      <w:tblPr>
        <w:tblStyle w:val="TableGrid"/>
        <w:tblW w:w="10186" w:type="dxa"/>
        <w:tblInd w:w="-279" w:type="dxa"/>
        <w:tblCellMar>
          <w:top w:w="8" w:type="dxa"/>
          <w:left w:w="0" w:type="dxa"/>
          <w:bottom w:w="0" w:type="dxa"/>
          <w:right w:w="111" w:type="dxa"/>
        </w:tblCellMar>
        <w:tblLook w:val="04A0" w:firstRow="1" w:lastRow="0" w:firstColumn="1" w:lastColumn="0" w:noHBand="0" w:noVBand="1"/>
      </w:tblPr>
      <w:tblGrid>
        <w:gridCol w:w="2079"/>
        <w:gridCol w:w="1105"/>
        <w:gridCol w:w="1099"/>
        <w:gridCol w:w="1193"/>
        <w:gridCol w:w="1270"/>
        <w:gridCol w:w="1215"/>
        <w:gridCol w:w="1260"/>
        <w:gridCol w:w="965"/>
      </w:tblGrid>
      <w:tr w:rsidR="00E8309B">
        <w:trPr>
          <w:trHeight w:val="1253"/>
        </w:trPr>
        <w:tc>
          <w:tcPr>
            <w:tcW w:w="2079" w:type="dxa"/>
            <w:tcBorders>
              <w:top w:val="single" w:sz="4" w:space="0" w:color="002060"/>
              <w:left w:val="nil"/>
              <w:bottom w:val="single" w:sz="4" w:space="0" w:color="002060"/>
              <w:right w:val="nil"/>
            </w:tcBorders>
            <w:vAlign w:val="center"/>
          </w:tcPr>
          <w:p w:rsidR="00E8309B" w:rsidRDefault="009D0949">
            <w:pPr>
              <w:spacing w:after="14" w:line="259" w:lineRule="auto"/>
              <w:ind w:left="838" w:right="0" w:firstLine="0"/>
              <w:jc w:val="left"/>
            </w:pPr>
            <w:r>
              <w:rPr>
                <w:b/>
                <w:color w:val="474747"/>
                <w:sz w:val="18"/>
              </w:rPr>
              <w:t xml:space="preserve">Производни </w:t>
            </w:r>
          </w:p>
          <w:p w:rsidR="00E8309B" w:rsidRDefault="009D0949">
            <w:pPr>
              <w:spacing w:after="0" w:line="259" w:lineRule="auto"/>
              <w:ind w:left="697" w:right="0" w:firstLine="0"/>
              <w:jc w:val="center"/>
            </w:pPr>
            <w:r>
              <w:rPr>
                <w:b/>
                <w:color w:val="474747"/>
                <w:sz w:val="18"/>
              </w:rPr>
              <w:t>јаз</w:t>
            </w:r>
            <w:r>
              <w:rPr>
                <w:color w:val="474747"/>
                <w:sz w:val="18"/>
              </w:rPr>
              <w:t xml:space="preserve"> </w:t>
            </w:r>
          </w:p>
        </w:tc>
        <w:tc>
          <w:tcPr>
            <w:tcW w:w="1105" w:type="dxa"/>
            <w:tcBorders>
              <w:top w:val="single" w:sz="4" w:space="0" w:color="002060"/>
              <w:left w:val="nil"/>
              <w:bottom w:val="single" w:sz="4" w:space="0" w:color="002060"/>
              <w:right w:val="nil"/>
            </w:tcBorders>
            <w:vAlign w:val="center"/>
          </w:tcPr>
          <w:p w:rsidR="00E8309B" w:rsidRDefault="009D0949">
            <w:pPr>
              <w:spacing w:after="0" w:line="259" w:lineRule="auto"/>
              <w:ind w:left="134" w:right="0" w:hanging="134"/>
              <w:jc w:val="left"/>
            </w:pPr>
            <w:r>
              <w:rPr>
                <w:b/>
                <w:color w:val="474747"/>
                <w:sz w:val="18"/>
              </w:rPr>
              <w:t>Фискални  биланс</w:t>
            </w:r>
            <w:r>
              <w:rPr>
                <w:color w:val="474747"/>
                <w:sz w:val="18"/>
              </w:rPr>
              <w:t xml:space="preserve"> </w:t>
            </w:r>
          </w:p>
        </w:tc>
        <w:tc>
          <w:tcPr>
            <w:tcW w:w="1099" w:type="dxa"/>
            <w:tcBorders>
              <w:top w:val="single" w:sz="4" w:space="0" w:color="002060"/>
              <w:left w:val="nil"/>
              <w:bottom w:val="single" w:sz="4" w:space="0" w:color="002060"/>
              <w:right w:val="nil"/>
            </w:tcBorders>
            <w:vAlign w:val="center"/>
          </w:tcPr>
          <w:p w:rsidR="00E8309B" w:rsidRDefault="009D0949">
            <w:pPr>
              <w:spacing w:after="0" w:line="259" w:lineRule="auto"/>
              <w:ind w:left="26" w:right="0" w:hanging="26"/>
              <w:jc w:val="left"/>
            </w:pPr>
            <w:r>
              <w:rPr>
                <w:b/>
                <w:color w:val="474747"/>
                <w:sz w:val="18"/>
              </w:rPr>
              <w:t>Примарни фискални биланс</w:t>
            </w:r>
            <w:r>
              <w:rPr>
                <w:color w:val="474747"/>
                <w:sz w:val="18"/>
              </w:rPr>
              <w:t xml:space="preserve"> </w:t>
            </w:r>
          </w:p>
        </w:tc>
        <w:tc>
          <w:tcPr>
            <w:tcW w:w="1193" w:type="dxa"/>
            <w:tcBorders>
              <w:top w:val="single" w:sz="4" w:space="0" w:color="002060"/>
              <w:left w:val="nil"/>
              <w:bottom w:val="single" w:sz="4" w:space="0" w:color="002060"/>
              <w:right w:val="nil"/>
            </w:tcBorders>
            <w:vAlign w:val="center"/>
          </w:tcPr>
          <w:p w:rsidR="00E8309B" w:rsidRDefault="009D0949">
            <w:pPr>
              <w:spacing w:after="0" w:line="259" w:lineRule="auto"/>
              <w:ind w:left="0" w:right="0" w:firstLine="65"/>
              <w:jc w:val="left"/>
            </w:pPr>
            <w:r>
              <w:rPr>
                <w:b/>
                <w:color w:val="474747"/>
                <w:sz w:val="18"/>
              </w:rPr>
              <w:t>Циклична компонента фиск. биланса</w:t>
            </w:r>
            <w:r>
              <w:rPr>
                <w:color w:val="474747"/>
                <w:sz w:val="18"/>
              </w:rPr>
              <w:t xml:space="preserve"> </w:t>
            </w:r>
          </w:p>
        </w:tc>
        <w:tc>
          <w:tcPr>
            <w:tcW w:w="1270" w:type="dxa"/>
            <w:tcBorders>
              <w:top w:val="single" w:sz="4" w:space="0" w:color="002060"/>
              <w:left w:val="nil"/>
              <w:bottom w:val="single" w:sz="4" w:space="0" w:color="002060"/>
              <w:right w:val="nil"/>
            </w:tcBorders>
            <w:vAlign w:val="center"/>
          </w:tcPr>
          <w:p w:rsidR="00E8309B" w:rsidRDefault="009D0949">
            <w:pPr>
              <w:spacing w:after="0" w:line="240" w:lineRule="auto"/>
              <w:ind w:left="0" w:right="0" w:firstLine="103"/>
              <w:jc w:val="left"/>
            </w:pPr>
            <w:r>
              <w:rPr>
                <w:b/>
                <w:color w:val="474747"/>
                <w:sz w:val="18"/>
              </w:rPr>
              <w:t xml:space="preserve">Циклично  прилагођени </w:t>
            </w:r>
          </w:p>
          <w:p w:rsidR="00E8309B" w:rsidRDefault="009D0949">
            <w:pPr>
              <w:spacing w:after="0" w:line="259" w:lineRule="auto"/>
              <w:ind w:left="240" w:right="0" w:hanging="120"/>
              <w:jc w:val="left"/>
            </w:pPr>
            <w:r>
              <w:rPr>
                <w:b/>
                <w:color w:val="474747"/>
                <w:sz w:val="18"/>
              </w:rPr>
              <w:t>фискални биланс</w:t>
            </w:r>
            <w:r>
              <w:rPr>
                <w:color w:val="474747"/>
                <w:sz w:val="18"/>
              </w:rPr>
              <w:t xml:space="preserve"> </w:t>
            </w:r>
          </w:p>
        </w:tc>
        <w:tc>
          <w:tcPr>
            <w:tcW w:w="1215" w:type="dxa"/>
            <w:tcBorders>
              <w:top w:val="single" w:sz="4" w:space="0" w:color="002060"/>
              <w:left w:val="nil"/>
              <w:bottom w:val="single" w:sz="4" w:space="0" w:color="002060"/>
              <w:right w:val="nil"/>
            </w:tcBorders>
            <w:vAlign w:val="center"/>
          </w:tcPr>
          <w:p w:rsidR="00E8309B" w:rsidRDefault="009D0949">
            <w:pPr>
              <w:spacing w:after="0" w:line="259" w:lineRule="auto"/>
              <w:ind w:left="94" w:right="0" w:hanging="94"/>
              <w:jc w:val="left"/>
            </w:pPr>
            <w:r>
              <w:rPr>
                <w:b/>
                <w:color w:val="474747"/>
                <w:sz w:val="18"/>
              </w:rPr>
              <w:t>Структурни фискални биланс</w:t>
            </w:r>
            <w:r>
              <w:rPr>
                <w:color w:val="474747"/>
                <w:sz w:val="18"/>
              </w:rPr>
              <w:t xml:space="preserve"> </w:t>
            </w:r>
          </w:p>
        </w:tc>
        <w:tc>
          <w:tcPr>
            <w:tcW w:w="1260" w:type="dxa"/>
            <w:tcBorders>
              <w:top w:val="single" w:sz="4" w:space="0" w:color="002060"/>
              <w:left w:val="nil"/>
              <w:bottom w:val="single" w:sz="4" w:space="0" w:color="002060"/>
              <w:right w:val="nil"/>
            </w:tcBorders>
            <w:vAlign w:val="center"/>
          </w:tcPr>
          <w:p w:rsidR="00E8309B" w:rsidRDefault="009D0949">
            <w:pPr>
              <w:spacing w:after="0" w:line="259" w:lineRule="auto"/>
              <w:ind w:left="86" w:right="0" w:hanging="86"/>
              <w:jc w:val="left"/>
            </w:pPr>
            <w:r>
              <w:rPr>
                <w:b/>
                <w:color w:val="474747"/>
                <w:sz w:val="18"/>
              </w:rPr>
              <w:t>Структурни примарни фискални биланс**</w:t>
            </w:r>
            <w:r>
              <w:rPr>
                <w:color w:val="474747"/>
                <w:sz w:val="18"/>
              </w:rPr>
              <w:t xml:space="preserve"> </w:t>
            </w:r>
          </w:p>
        </w:tc>
        <w:tc>
          <w:tcPr>
            <w:tcW w:w="965" w:type="dxa"/>
            <w:tcBorders>
              <w:top w:val="single" w:sz="4" w:space="0" w:color="002060"/>
              <w:left w:val="nil"/>
              <w:bottom w:val="single" w:sz="4" w:space="0" w:color="002060"/>
              <w:right w:val="nil"/>
            </w:tcBorders>
          </w:tcPr>
          <w:p w:rsidR="00E8309B" w:rsidRDefault="009D0949">
            <w:pPr>
              <w:spacing w:after="25" w:line="239" w:lineRule="auto"/>
              <w:ind w:left="16" w:right="0" w:hanging="2"/>
              <w:jc w:val="left"/>
            </w:pPr>
            <w:r>
              <w:rPr>
                <w:b/>
                <w:color w:val="474747"/>
                <w:sz w:val="18"/>
              </w:rPr>
              <w:t xml:space="preserve">Карактер фиск. политике </w:t>
            </w:r>
          </w:p>
          <w:p w:rsidR="00E8309B" w:rsidRDefault="009D0949">
            <w:pPr>
              <w:spacing w:after="0" w:line="259" w:lineRule="auto"/>
              <w:ind w:left="358" w:right="0" w:firstLine="0"/>
              <w:jc w:val="left"/>
            </w:pPr>
            <w:r>
              <w:rPr>
                <w:b/>
                <w:color w:val="474747"/>
                <w:sz w:val="18"/>
              </w:rPr>
              <w:t xml:space="preserve">– </w:t>
            </w:r>
          </w:p>
          <w:p w:rsidR="00E8309B" w:rsidRDefault="009D0949">
            <w:pPr>
              <w:spacing w:after="0" w:line="259" w:lineRule="auto"/>
              <w:ind w:left="103" w:right="0" w:hanging="103"/>
              <w:jc w:val="left"/>
            </w:pPr>
            <w:r>
              <w:rPr>
                <w:b/>
                <w:color w:val="474747"/>
                <w:sz w:val="18"/>
              </w:rPr>
              <w:t>фискални импулс</w:t>
            </w:r>
            <w:r>
              <w:rPr>
                <w:color w:val="474747"/>
                <w:sz w:val="18"/>
              </w:rPr>
              <w:t xml:space="preserve"> </w:t>
            </w:r>
            <w:r>
              <w:rPr>
                <w:color w:val="474747"/>
                <w:sz w:val="18"/>
              </w:rPr>
              <w:tab/>
              <w:t xml:space="preserve"> </w:t>
            </w:r>
          </w:p>
        </w:tc>
      </w:tr>
      <w:tr w:rsidR="00E8309B">
        <w:trPr>
          <w:trHeight w:val="226"/>
        </w:trPr>
        <w:tc>
          <w:tcPr>
            <w:tcW w:w="2079" w:type="dxa"/>
            <w:tcBorders>
              <w:top w:val="single" w:sz="4" w:space="0" w:color="002060"/>
              <w:left w:val="nil"/>
              <w:bottom w:val="nil"/>
              <w:right w:val="nil"/>
            </w:tcBorders>
          </w:tcPr>
          <w:p w:rsidR="00E8309B" w:rsidRDefault="009D0949">
            <w:pPr>
              <w:tabs>
                <w:tab w:val="center" w:pos="1333"/>
              </w:tabs>
              <w:spacing w:after="0" w:line="259" w:lineRule="auto"/>
              <w:ind w:left="0" w:right="0" w:firstLine="0"/>
              <w:jc w:val="left"/>
            </w:pPr>
            <w:r>
              <w:rPr>
                <w:b/>
                <w:color w:val="474747"/>
                <w:sz w:val="18"/>
              </w:rPr>
              <w:t>2005</w:t>
            </w:r>
            <w:r>
              <w:rPr>
                <w:color w:val="474747"/>
                <w:sz w:val="18"/>
              </w:rPr>
              <w:t xml:space="preserve"> </w:t>
            </w:r>
            <w:r>
              <w:rPr>
                <w:color w:val="474747"/>
                <w:sz w:val="18"/>
              </w:rPr>
              <w:tab/>
              <w:t xml:space="preserve">0,0 </w:t>
            </w:r>
          </w:p>
        </w:tc>
        <w:tc>
          <w:tcPr>
            <w:tcW w:w="1105" w:type="dxa"/>
            <w:tcBorders>
              <w:top w:val="single" w:sz="4" w:space="0" w:color="002060"/>
              <w:left w:val="nil"/>
              <w:bottom w:val="nil"/>
              <w:right w:val="nil"/>
            </w:tcBorders>
          </w:tcPr>
          <w:p w:rsidR="00E8309B" w:rsidRDefault="009D0949">
            <w:pPr>
              <w:spacing w:after="0" w:line="259" w:lineRule="auto"/>
              <w:ind w:left="305" w:right="0" w:firstLine="0"/>
              <w:jc w:val="left"/>
            </w:pPr>
            <w:r>
              <w:rPr>
                <w:color w:val="474747"/>
                <w:sz w:val="18"/>
              </w:rPr>
              <w:t xml:space="preserve">1,1 </w:t>
            </w:r>
          </w:p>
        </w:tc>
        <w:tc>
          <w:tcPr>
            <w:tcW w:w="1099" w:type="dxa"/>
            <w:tcBorders>
              <w:top w:val="single" w:sz="4" w:space="0" w:color="002060"/>
              <w:left w:val="nil"/>
              <w:bottom w:val="nil"/>
              <w:right w:val="nil"/>
            </w:tcBorders>
          </w:tcPr>
          <w:p w:rsidR="00E8309B" w:rsidRDefault="009D0949">
            <w:pPr>
              <w:spacing w:after="0" w:line="259" w:lineRule="auto"/>
              <w:ind w:left="317" w:right="0" w:firstLine="0"/>
              <w:jc w:val="left"/>
            </w:pPr>
            <w:r>
              <w:rPr>
                <w:color w:val="474747"/>
                <w:sz w:val="18"/>
              </w:rPr>
              <w:t xml:space="preserve">2,0 </w:t>
            </w:r>
          </w:p>
        </w:tc>
        <w:tc>
          <w:tcPr>
            <w:tcW w:w="1193" w:type="dxa"/>
            <w:tcBorders>
              <w:top w:val="single" w:sz="4" w:space="0" w:color="002060"/>
              <w:left w:val="nil"/>
              <w:bottom w:val="nil"/>
              <w:right w:val="nil"/>
            </w:tcBorders>
          </w:tcPr>
          <w:p w:rsidR="00E8309B" w:rsidRDefault="009D0949">
            <w:pPr>
              <w:spacing w:after="0" w:line="259" w:lineRule="auto"/>
              <w:ind w:left="374" w:right="0" w:firstLine="0"/>
              <w:jc w:val="left"/>
            </w:pPr>
            <w:r>
              <w:rPr>
                <w:color w:val="474747"/>
                <w:sz w:val="18"/>
              </w:rPr>
              <w:t xml:space="preserve">0,0 </w:t>
            </w:r>
          </w:p>
        </w:tc>
        <w:tc>
          <w:tcPr>
            <w:tcW w:w="1270" w:type="dxa"/>
            <w:tcBorders>
              <w:top w:val="single" w:sz="4" w:space="0" w:color="002060"/>
              <w:left w:val="nil"/>
              <w:bottom w:val="nil"/>
              <w:right w:val="nil"/>
            </w:tcBorders>
          </w:tcPr>
          <w:p w:rsidR="00E8309B" w:rsidRDefault="009D0949">
            <w:pPr>
              <w:spacing w:after="0" w:line="259" w:lineRule="auto"/>
              <w:ind w:left="413" w:right="0" w:firstLine="0"/>
              <w:jc w:val="left"/>
            </w:pPr>
            <w:r>
              <w:rPr>
                <w:color w:val="474747"/>
                <w:sz w:val="18"/>
              </w:rPr>
              <w:t xml:space="preserve">1,1 </w:t>
            </w:r>
          </w:p>
        </w:tc>
        <w:tc>
          <w:tcPr>
            <w:tcW w:w="1215" w:type="dxa"/>
            <w:tcBorders>
              <w:top w:val="single" w:sz="4" w:space="0" w:color="002060"/>
              <w:left w:val="nil"/>
              <w:bottom w:val="nil"/>
              <w:right w:val="nil"/>
            </w:tcBorders>
          </w:tcPr>
          <w:p w:rsidR="00E8309B" w:rsidRDefault="009D0949">
            <w:pPr>
              <w:spacing w:after="0" w:line="259" w:lineRule="auto"/>
              <w:ind w:left="386" w:right="0" w:firstLine="0"/>
              <w:jc w:val="left"/>
            </w:pPr>
            <w:r>
              <w:rPr>
                <w:color w:val="474747"/>
                <w:sz w:val="18"/>
              </w:rPr>
              <w:t xml:space="preserve">1,3 </w:t>
            </w:r>
          </w:p>
        </w:tc>
        <w:tc>
          <w:tcPr>
            <w:tcW w:w="1260" w:type="dxa"/>
            <w:tcBorders>
              <w:top w:val="single" w:sz="4" w:space="0" w:color="002060"/>
              <w:left w:val="nil"/>
              <w:bottom w:val="nil"/>
              <w:right w:val="nil"/>
            </w:tcBorders>
          </w:tcPr>
          <w:p w:rsidR="00E8309B" w:rsidRDefault="009D0949">
            <w:pPr>
              <w:spacing w:after="0" w:line="259" w:lineRule="auto"/>
              <w:ind w:left="386" w:right="0" w:firstLine="0"/>
              <w:jc w:val="left"/>
            </w:pPr>
            <w:r>
              <w:rPr>
                <w:color w:val="474747"/>
                <w:sz w:val="18"/>
              </w:rPr>
              <w:t xml:space="preserve">2,2 </w:t>
            </w:r>
          </w:p>
        </w:tc>
        <w:tc>
          <w:tcPr>
            <w:tcW w:w="965" w:type="dxa"/>
            <w:tcBorders>
              <w:top w:val="single" w:sz="4" w:space="0" w:color="002060"/>
              <w:left w:val="nil"/>
              <w:bottom w:val="nil"/>
              <w:right w:val="nil"/>
            </w:tcBorders>
          </w:tcPr>
          <w:p w:rsidR="00E8309B" w:rsidRDefault="00E8309B">
            <w:pPr>
              <w:spacing w:after="160" w:line="259" w:lineRule="auto"/>
              <w:ind w:left="0" w:right="0" w:firstLine="0"/>
              <w:jc w:val="left"/>
            </w:pPr>
          </w:p>
        </w:tc>
      </w:tr>
      <w:tr w:rsidR="00E8309B">
        <w:trPr>
          <w:trHeight w:val="239"/>
        </w:trPr>
        <w:tc>
          <w:tcPr>
            <w:tcW w:w="2079" w:type="dxa"/>
            <w:tcBorders>
              <w:top w:val="nil"/>
              <w:left w:val="nil"/>
              <w:bottom w:val="nil"/>
              <w:right w:val="nil"/>
            </w:tcBorders>
          </w:tcPr>
          <w:p w:rsidR="00E8309B" w:rsidRDefault="009D0949">
            <w:pPr>
              <w:tabs>
                <w:tab w:val="center" w:pos="1334"/>
              </w:tabs>
              <w:spacing w:after="0" w:line="259" w:lineRule="auto"/>
              <w:ind w:left="0" w:right="0" w:firstLine="0"/>
              <w:jc w:val="left"/>
            </w:pPr>
            <w:r>
              <w:rPr>
                <w:b/>
                <w:color w:val="474747"/>
                <w:sz w:val="18"/>
              </w:rPr>
              <w:t>2006</w:t>
            </w:r>
            <w:r>
              <w:rPr>
                <w:color w:val="474747"/>
                <w:sz w:val="18"/>
              </w:rPr>
              <w:t xml:space="preserve"> </w:t>
            </w:r>
            <w:r>
              <w:rPr>
                <w:color w:val="474747"/>
                <w:sz w:val="18"/>
              </w:rPr>
              <w:tab/>
              <w:t xml:space="preserve">-2,9 </w:t>
            </w:r>
          </w:p>
        </w:tc>
        <w:tc>
          <w:tcPr>
            <w:tcW w:w="1105" w:type="dxa"/>
            <w:tcBorders>
              <w:top w:val="nil"/>
              <w:left w:val="nil"/>
              <w:bottom w:val="nil"/>
              <w:right w:val="nil"/>
            </w:tcBorders>
          </w:tcPr>
          <w:p w:rsidR="00E8309B" w:rsidRDefault="009D0949">
            <w:pPr>
              <w:spacing w:after="0" w:line="259" w:lineRule="auto"/>
              <w:ind w:left="276" w:right="0" w:firstLine="0"/>
              <w:jc w:val="left"/>
            </w:pPr>
            <w:r>
              <w:rPr>
                <w:color w:val="474747"/>
                <w:sz w:val="18"/>
              </w:rPr>
              <w:t xml:space="preserve">-1,4 </w:t>
            </w:r>
          </w:p>
        </w:tc>
        <w:tc>
          <w:tcPr>
            <w:tcW w:w="1099" w:type="dxa"/>
            <w:tcBorders>
              <w:top w:val="nil"/>
              <w:left w:val="nil"/>
              <w:bottom w:val="nil"/>
              <w:right w:val="nil"/>
            </w:tcBorders>
          </w:tcPr>
          <w:p w:rsidR="00E8309B" w:rsidRDefault="009D0949">
            <w:pPr>
              <w:spacing w:after="0" w:line="259" w:lineRule="auto"/>
              <w:ind w:left="288" w:right="0" w:firstLine="0"/>
              <w:jc w:val="left"/>
            </w:pPr>
            <w:r>
              <w:rPr>
                <w:color w:val="474747"/>
                <w:sz w:val="18"/>
              </w:rPr>
              <w:t xml:space="preserve">-0,1 </w:t>
            </w:r>
          </w:p>
        </w:tc>
        <w:tc>
          <w:tcPr>
            <w:tcW w:w="1193" w:type="dxa"/>
            <w:tcBorders>
              <w:top w:val="nil"/>
              <w:left w:val="nil"/>
              <w:bottom w:val="nil"/>
              <w:right w:val="nil"/>
            </w:tcBorders>
          </w:tcPr>
          <w:p w:rsidR="00E8309B" w:rsidRDefault="009D0949">
            <w:pPr>
              <w:spacing w:after="0" w:line="259" w:lineRule="auto"/>
              <w:ind w:left="346" w:right="0" w:firstLine="0"/>
              <w:jc w:val="left"/>
            </w:pPr>
            <w:r>
              <w:rPr>
                <w:color w:val="474747"/>
                <w:sz w:val="18"/>
              </w:rPr>
              <w:t xml:space="preserve">-1,0 </w:t>
            </w:r>
          </w:p>
        </w:tc>
        <w:tc>
          <w:tcPr>
            <w:tcW w:w="1270" w:type="dxa"/>
            <w:tcBorders>
              <w:top w:val="nil"/>
              <w:left w:val="nil"/>
              <w:bottom w:val="nil"/>
              <w:right w:val="nil"/>
            </w:tcBorders>
          </w:tcPr>
          <w:p w:rsidR="00E8309B" w:rsidRDefault="009D0949">
            <w:pPr>
              <w:spacing w:after="0" w:line="259" w:lineRule="auto"/>
              <w:ind w:left="382" w:right="0" w:firstLine="0"/>
              <w:jc w:val="left"/>
            </w:pPr>
            <w:r>
              <w:rPr>
                <w:color w:val="474747"/>
                <w:sz w:val="18"/>
              </w:rPr>
              <w:t xml:space="preserve">-0,4 </w:t>
            </w:r>
          </w:p>
        </w:tc>
        <w:tc>
          <w:tcPr>
            <w:tcW w:w="1215" w:type="dxa"/>
            <w:tcBorders>
              <w:top w:val="nil"/>
              <w:left w:val="nil"/>
              <w:bottom w:val="nil"/>
              <w:right w:val="nil"/>
            </w:tcBorders>
          </w:tcPr>
          <w:p w:rsidR="00E8309B" w:rsidRDefault="009D0949">
            <w:pPr>
              <w:spacing w:after="0" w:line="259" w:lineRule="auto"/>
              <w:ind w:left="386" w:right="0" w:firstLine="0"/>
              <w:jc w:val="left"/>
            </w:pPr>
            <w:r>
              <w:rPr>
                <w:color w:val="474747"/>
                <w:sz w:val="18"/>
              </w:rPr>
              <w:t xml:space="preserve">0,3 </w:t>
            </w:r>
          </w:p>
        </w:tc>
        <w:tc>
          <w:tcPr>
            <w:tcW w:w="1260" w:type="dxa"/>
            <w:tcBorders>
              <w:top w:val="nil"/>
              <w:left w:val="nil"/>
              <w:bottom w:val="nil"/>
              <w:right w:val="nil"/>
            </w:tcBorders>
          </w:tcPr>
          <w:p w:rsidR="00E8309B" w:rsidRDefault="009D0949">
            <w:pPr>
              <w:spacing w:after="0" w:line="259" w:lineRule="auto"/>
              <w:ind w:left="386" w:right="0" w:firstLine="0"/>
              <w:jc w:val="left"/>
            </w:pPr>
            <w:r>
              <w:rPr>
                <w:color w:val="474747"/>
                <w:sz w:val="18"/>
              </w:rPr>
              <w:t xml:space="preserve">1,6 </w:t>
            </w:r>
          </w:p>
        </w:tc>
        <w:tc>
          <w:tcPr>
            <w:tcW w:w="965" w:type="dxa"/>
            <w:tcBorders>
              <w:top w:val="nil"/>
              <w:left w:val="nil"/>
              <w:bottom w:val="nil"/>
              <w:right w:val="nil"/>
            </w:tcBorders>
          </w:tcPr>
          <w:p w:rsidR="00E8309B" w:rsidRDefault="009D0949">
            <w:pPr>
              <w:spacing w:after="0" w:line="259" w:lineRule="auto"/>
              <w:ind w:left="290" w:right="0" w:firstLine="0"/>
              <w:jc w:val="left"/>
            </w:pPr>
            <w:r>
              <w:rPr>
                <w:color w:val="474747"/>
                <w:sz w:val="18"/>
              </w:rPr>
              <w:t xml:space="preserve">1,1 </w:t>
            </w:r>
          </w:p>
        </w:tc>
      </w:tr>
      <w:tr w:rsidR="00E8309B">
        <w:trPr>
          <w:trHeight w:val="245"/>
        </w:trPr>
        <w:tc>
          <w:tcPr>
            <w:tcW w:w="2079" w:type="dxa"/>
            <w:tcBorders>
              <w:top w:val="nil"/>
              <w:left w:val="nil"/>
              <w:bottom w:val="nil"/>
              <w:right w:val="nil"/>
            </w:tcBorders>
          </w:tcPr>
          <w:p w:rsidR="00E8309B" w:rsidRDefault="009D0949">
            <w:pPr>
              <w:tabs>
                <w:tab w:val="center" w:pos="1333"/>
              </w:tabs>
              <w:spacing w:after="0" w:line="259" w:lineRule="auto"/>
              <w:ind w:left="0" w:right="0" w:firstLine="0"/>
              <w:jc w:val="left"/>
            </w:pPr>
            <w:r>
              <w:rPr>
                <w:b/>
                <w:color w:val="474747"/>
                <w:sz w:val="18"/>
              </w:rPr>
              <w:t>2007</w:t>
            </w:r>
            <w:r>
              <w:rPr>
                <w:color w:val="474747"/>
                <w:sz w:val="18"/>
              </w:rPr>
              <w:t xml:space="preserve"> </w:t>
            </w:r>
            <w:r>
              <w:rPr>
                <w:color w:val="474747"/>
                <w:sz w:val="18"/>
              </w:rPr>
              <w:tab/>
              <w:t xml:space="preserve">1,4 </w:t>
            </w:r>
          </w:p>
        </w:tc>
        <w:tc>
          <w:tcPr>
            <w:tcW w:w="1105" w:type="dxa"/>
            <w:tcBorders>
              <w:top w:val="nil"/>
              <w:left w:val="nil"/>
              <w:bottom w:val="nil"/>
              <w:right w:val="nil"/>
            </w:tcBorders>
          </w:tcPr>
          <w:p w:rsidR="00E8309B" w:rsidRDefault="009D0949">
            <w:pPr>
              <w:spacing w:after="0" w:line="259" w:lineRule="auto"/>
              <w:ind w:left="276" w:right="0" w:firstLine="0"/>
              <w:jc w:val="left"/>
            </w:pPr>
            <w:r>
              <w:rPr>
                <w:color w:val="474747"/>
                <w:sz w:val="18"/>
              </w:rPr>
              <w:t xml:space="preserve">-1,8 </w:t>
            </w:r>
          </w:p>
        </w:tc>
        <w:tc>
          <w:tcPr>
            <w:tcW w:w="1099" w:type="dxa"/>
            <w:tcBorders>
              <w:top w:val="nil"/>
              <w:left w:val="nil"/>
              <w:bottom w:val="nil"/>
              <w:right w:val="nil"/>
            </w:tcBorders>
          </w:tcPr>
          <w:p w:rsidR="00E8309B" w:rsidRDefault="009D0949">
            <w:pPr>
              <w:spacing w:after="0" w:line="259" w:lineRule="auto"/>
              <w:ind w:left="288" w:right="0" w:firstLine="0"/>
              <w:jc w:val="left"/>
            </w:pPr>
            <w:r>
              <w:rPr>
                <w:color w:val="474747"/>
                <w:sz w:val="18"/>
              </w:rPr>
              <w:t xml:space="preserve">-1,2 </w:t>
            </w:r>
          </w:p>
        </w:tc>
        <w:tc>
          <w:tcPr>
            <w:tcW w:w="1193" w:type="dxa"/>
            <w:tcBorders>
              <w:top w:val="nil"/>
              <w:left w:val="nil"/>
              <w:bottom w:val="nil"/>
              <w:right w:val="nil"/>
            </w:tcBorders>
          </w:tcPr>
          <w:p w:rsidR="00E8309B" w:rsidRDefault="009D0949">
            <w:pPr>
              <w:spacing w:after="0" w:line="259" w:lineRule="auto"/>
              <w:ind w:left="374" w:right="0" w:firstLine="0"/>
              <w:jc w:val="left"/>
            </w:pPr>
            <w:r>
              <w:rPr>
                <w:color w:val="474747"/>
                <w:sz w:val="18"/>
              </w:rPr>
              <w:t xml:space="preserve">0,5 </w:t>
            </w:r>
          </w:p>
        </w:tc>
        <w:tc>
          <w:tcPr>
            <w:tcW w:w="1270" w:type="dxa"/>
            <w:tcBorders>
              <w:top w:val="nil"/>
              <w:left w:val="nil"/>
              <w:bottom w:val="nil"/>
              <w:right w:val="nil"/>
            </w:tcBorders>
          </w:tcPr>
          <w:p w:rsidR="00E8309B" w:rsidRDefault="009D0949">
            <w:pPr>
              <w:spacing w:after="0" w:line="259" w:lineRule="auto"/>
              <w:ind w:left="382" w:right="0" w:firstLine="0"/>
              <w:jc w:val="left"/>
            </w:pPr>
            <w:r>
              <w:rPr>
                <w:color w:val="474747"/>
                <w:sz w:val="18"/>
              </w:rPr>
              <w:t xml:space="preserve">-2,3 </w:t>
            </w:r>
          </w:p>
        </w:tc>
        <w:tc>
          <w:tcPr>
            <w:tcW w:w="1215" w:type="dxa"/>
            <w:tcBorders>
              <w:top w:val="nil"/>
              <w:left w:val="nil"/>
              <w:bottom w:val="nil"/>
              <w:right w:val="nil"/>
            </w:tcBorders>
          </w:tcPr>
          <w:p w:rsidR="00E8309B" w:rsidRDefault="009D0949">
            <w:pPr>
              <w:spacing w:after="0" w:line="259" w:lineRule="auto"/>
              <w:ind w:left="355" w:right="0" w:firstLine="0"/>
              <w:jc w:val="left"/>
            </w:pPr>
            <w:r>
              <w:rPr>
                <w:color w:val="474747"/>
                <w:sz w:val="18"/>
              </w:rPr>
              <w:t xml:space="preserve">-1,9 </w:t>
            </w:r>
          </w:p>
        </w:tc>
        <w:tc>
          <w:tcPr>
            <w:tcW w:w="1260" w:type="dxa"/>
            <w:tcBorders>
              <w:top w:val="nil"/>
              <w:left w:val="nil"/>
              <w:bottom w:val="nil"/>
              <w:right w:val="nil"/>
            </w:tcBorders>
          </w:tcPr>
          <w:p w:rsidR="00E8309B" w:rsidRDefault="009D0949">
            <w:pPr>
              <w:spacing w:after="0" w:line="259" w:lineRule="auto"/>
              <w:ind w:left="355" w:right="0" w:firstLine="0"/>
              <w:jc w:val="left"/>
            </w:pPr>
            <w:r>
              <w:rPr>
                <w:color w:val="474747"/>
                <w:sz w:val="18"/>
              </w:rPr>
              <w:t xml:space="preserve">-1,4 </w:t>
            </w:r>
          </w:p>
        </w:tc>
        <w:tc>
          <w:tcPr>
            <w:tcW w:w="965" w:type="dxa"/>
            <w:tcBorders>
              <w:top w:val="nil"/>
              <w:left w:val="nil"/>
              <w:bottom w:val="nil"/>
              <w:right w:val="nil"/>
            </w:tcBorders>
          </w:tcPr>
          <w:p w:rsidR="00E8309B" w:rsidRDefault="009D0949">
            <w:pPr>
              <w:spacing w:after="0" w:line="259" w:lineRule="auto"/>
              <w:ind w:left="290" w:right="0" w:firstLine="0"/>
              <w:jc w:val="left"/>
            </w:pPr>
            <w:r>
              <w:rPr>
                <w:color w:val="474747"/>
                <w:sz w:val="18"/>
              </w:rPr>
              <w:t xml:space="preserve">2,6 </w:t>
            </w:r>
          </w:p>
        </w:tc>
      </w:tr>
      <w:tr w:rsidR="00E8309B">
        <w:trPr>
          <w:trHeight w:val="244"/>
        </w:trPr>
        <w:tc>
          <w:tcPr>
            <w:tcW w:w="2079" w:type="dxa"/>
            <w:tcBorders>
              <w:top w:val="nil"/>
              <w:left w:val="nil"/>
              <w:bottom w:val="nil"/>
              <w:right w:val="nil"/>
            </w:tcBorders>
          </w:tcPr>
          <w:p w:rsidR="00E8309B" w:rsidRDefault="009D0949">
            <w:pPr>
              <w:tabs>
                <w:tab w:val="center" w:pos="1333"/>
              </w:tabs>
              <w:spacing w:after="0" w:line="259" w:lineRule="auto"/>
              <w:ind w:left="0" w:right="0" w:firstLine="0"/>
              <w:jc w:val="left"/>
            </w:pPr>
            <w:r>
              <w:rPr>
                <w:b/>
                <w:color w:val="474747"/>
                <w:sz w:val="18"/>
              </w:rPr>
              <w:t>2008</w:t>
            </w:r>
            <w:r>
              <w:rPr>
                <w:color w:val="474747"/>
                <w:sz w:val="18"/>
              </w:rPr>
              <w:t xml:space="preserve"> </w:t>
            </w:r>
            <w:r>
              <w:rPr>
                <w:color w:val="474747"/>
                <w:sz w:val="18"/>
              </w:rPr>
              <w:tab/>
              <w:t xml:space="preserve">4,5 </w:t>
            </w:r>
          </w:p>
        </w:tc>
        <w:tc>
          <w:tcPr>
            <w:tcW w:w="1105" w:type="dxa"/>
            <w:tcBorders>
              <w:top w:val="nil"/>
              <w:left w:val="nil"/>
              <w:bottom w:val="nil"/>
              <w:right w:val="nil"/>
            </w:tcBorders>
          </w:tcPr>
          <w:p w:rsidR="00E8309B" w:rsidRDefault="009D0949">
            <w:pPr>
              <w:spacing w:after="0" w:line="259" w:lineRule="auto"/>
              <w:ind w:left="276" w:right="0" w:firstLine="0"/>
              <w:jc w:val="left"/>
            </w:pPr>
            <w:r>
              <w:rPr>
                <w:color w:val="474747"/>
                <w:sz w:val="18"/>
              </w:rPr>
              <w:t xml:space="preserve">-2,5 </w:t>
            </w:r>
          </w:p>
        </w:tc>
        <w:tc>
          <w:tcPr>
            <w:tcW w:w="1099" w:type="dxa"/>
            <w:tcBorders>
              <w:top w:val="nil"/>
              <w:left w:val="nil"/>
              <w:bottom w:val="nil"/>
              <w:right w:val="nil"/>
            </w:tcBorders>
          </w:tcPr>
          <w:p w:rsidR="00E8309B" w:rsidRDefault="009D0949">
            <w:pPr>
              <w:spacing w:after="0" w:line="259" w:lineRule="auto"/>
              <w:ind w:left="288" w:right="0" w:firstLine="0"/>
              <w:jc w:val="left"/>
            </w:pPr>
            <w:r>
              <w:rPr>
                <w:color w:val="474747"/>
                <w:sz w:val="18"/>
              </w:rPr>
              <w:t xml:space="preserve">-1,9 </w:t>
            </w:r>
          </w:p>
        </w:tc>
        <w:tc>
          <w:tcPr>
            <w:tcW w:w="1193" w:type="dxa"/>
            <w:tcBorders>
              <w:top w:val="nil"/>
              <w:left w:val="nil"/>
              <w:bottom w:val="nil"/>
              <w:right w:val="nil"/>
            </w:tcBorders>
          </w:tcPr>
          <w:p w:rsidR="00E8309B" w:rsidRDefault="009D0949">
            <w:pPr>
              <w:spacing w:after="0" w:line="259" w:lineRule="auto"/>
              <w:ind w:left="374" w:right="0" w:firstLine="0"/>
              <w:jc w:val="left"/>
            </w:pPr>
            <w:r>
              <w:rPr>
                <w:color w:val="474747"/>
                <w:sz w:val="18"/>
              </w:rPr>
              <w:t xml:space="preserve">1,6 </w:t>
            </w:r>
          </w:p>
        </w:tc>
        <w:tc>
          <w:tcPr>
            <w:tcW w:w="1270" w:type="dxa"/>
            <w:tcBorders>
              <w:top w:val="nil"/>
              <w:left w:val="nil"/>
              <w:bottom w:val="nil"/>
              <w:right w:val="nil"/>
            </w:tcBorders>
          </w:tcPr>
          <w:p w:rsidR="00E8309B" w:rsidRDefault="009D0949">
            <w:pPr>
              <w:spacing w:after="0" w:line="259" w:lineRule="auto"/>
              <w:ind w:left="382" w:right="0" w:firstLine="0"/>
              <w:jc w:val="left"/>
            </w:pPr>
            <w:r>
              <w:rPr>
                <w:color w:val="474747"/>
                <w:sz w:val="18"/>
              </w:rPr>
              <w:t xml:space="preserve">-4,1 </w:t>
            </w:r>
          </w:p>
        </w:tc>
        <w:tc>
          <w:tcPr>
            <w:tcW w:w="1215" w:type="dxa"/>
            <w:tcBorders>
              <w:top w:val="nil"/>
              <w:left w:val="nil"/>
              <w:bottom w:val="nil"/>
              <w:right w:val="nil"/>
            </w:tcBorders>
          </w:tcPr>
          <w:p w:rsidR="00E8309B" w:rsidRDefault="009D0949">
            <w:pPr>
              <w:spacing w:after="0" w:line="259" w:lineRule="auto"/>
              <w:ind w:left="355" w:right="0" w:firstLine="0"/>
              <w:jc w:val="left"/>
            </w:pPr>
            <w:r>
              <w:rPr>
                <w:color w:val="474747"/>
                <w:sz w:val="18"/>
              </w:rPr>
              <w:t xml:space="preserve">-4,1 </w:t>
            </w:r>
          </w:p>
        </w:tc>
        <w:tc>
          <w:tcPr>
            <w:tcW w:w="1260" w:type="dxa"/>
            <w:tcBorders>
              <w:top w:val="nil"/>
              <w:left w:val="nil"/>
              <w:bottom w:val="nil"/>
              <w:right w:val="nil"/>
            </w:tcBorders>
          </w:tcPr>
          <w:p w:rsidR="00E8309B" w:rsidRDefault="009D0949">
            <w:pPr>
              <w:spacing w:after="0" w:line="259" w:lineRule="auto"/>
              <w:ind w:left="355" w:right="0" w:firstLine="0"/>
              <w:jc w:val="left"/>
            </w:pPr>
            <w:r>
              <w:rPr>
                <w:color w:val="474747"/>
                <w:sz w:val="18"/>
              </w:rPr>
              <w:t xml:space="preserve">-3,6 </w:t>
            </w:r>
          </w:p>
        </w:tc>
        <w:tc>
          <w:tcPr>
            <w:tcW w:w="965" w:type="dxa"/>
            <w:tcBorders>
              <w:top w:val="nil"/>
              <w:left w:val="nil"/>
              <w:bottom w:val="nil"/>
              <w:right w:val="nil"/>
            </w:tcBorders>
          </w:tcPr>
          <w:p w:rsidR="00E8309B" w:rsidRDefault="009D0949">
            <w:pPr>
              <w:spacing w:after="0" w:line="259" w:lineRule="auto"/>
              <w:ind w:left="290" w:right="0" w:firstLine="0"/>
              <w:jc w:val="left"/>
            </w:pPr>
            <w:r>
              <w:rPr>
                <w:color w:val="474747"/>
                <w:sz w:val="18"/>
              </w:rPr>
              <w:t xml:space="preserve">1,8 </w:t>
            </w:r>
          </w:p>
        </w:tc>
      </w:tr>
      <w:tr w:rsidR="00E8309B">
        <w:trPr>
          <w:trHeight w:val="244"/>
        </w:trPr>
        <w:tc>
          <w:tcPr>
            <w:tcW w:w="2079" w:type="dxa"/>
            <w:tcBorders>
              <w:top w:val="nil"/>
              <w:left w:val="nil"/>
              <w:bottom w:val="nil"/>
              <w:right w:val="nil"/>
            </w:tcBorders>
          </w:tcPr>
          <w:p w:rsidR="00E8309B" w:rsidRDefault="009D0949">
            <w:pPr>
              <w:tabs>
                <w:tab w:val="center" w:pos="1333"/>
              </w:tabs>
              <w:spacing w:after="0" w:line="259" w:lineRule="auto"/>
              <w:ind w:left="0" w:right="0" w:firstLine="0"/>
              <w:jc w:val="left"/>
            </w:pPr>
            <w:r>
              <w:rPr>
                <w:b/>
                <w:color w:val="474747"/>
                <w:sz w:val="18"/>
              </w:rPr>
              <w:t>2009</w:t>
            </w:r>
            <w:r>
              <w:rPr>
                <w:color w:val="474747"/>
                <w:sz w:val="18"/>
              </w:rPr>
              <w:t xml:space="preserve"> </w:t>
            </w:r>
            <w:r>
              <w:rPr>
                <w:color w:val="474747"/>
                <w:sz w:val="18"/>
              </w:rPr>
              <w:tab/>
              <w:t xml:space="preserve">0,0 </w:t>
            </w:r>
          </w:p>
        </w:tc>
        <w:tc>
          <w:tcPr>
            <w:tcW w:w="1105" w:type="dxa"/>
            <w:tcBorders>
              <w:top w:val="nil"/>
              <w:left w:val="nil"/>
              <w:bottom w:val="nil"/>
              <w:right w:val="nil"/>
            </w:tcBorders>
          </w:tcPr>
          <w:p w:rsidR="00E8309B" w:rsidRDefault="009D0949">
            <w:pPr>
              <w:spacing w:after="0" w:line="259" w:lineRule="auto"/>
              <w:ind w:left="276" w:right="0" w:firstLine="0"/>
              <w:jc w:val="left"/>
            </w:pPr>
            <w:r>
              <w:rPr>
                <w:color w:val="474747"/>
                <w:sz w:val="18"/>
              </w:rPr>
              <w:t xml:space="preserve">-4,2 </w:t>
            </w:r>
          </w:p>
        </w:tc>
        <w:tc>
          <w:tcPr>
            <w:tcW w:w="1099" w:type="dxa"/>
            <w:tcBorders>
              <w:top w:val="nil"/>
              <w:left w:val="nil"/>
              <w:bottom w:val="nil"/>
              <w:right w:val="nil"/>
            </w:tcBorders>
          </w:tcPr>
          <w:p w:rsidR="00E8309B" w:rsidRDefault="009D0949">
            <w:pPr>
              <w:spacing w:after="0" w:line="259" w:lineRule="auto"/>
              <w:ind w:left="288" w:right="0" w:firstLine="0"/>
              <w:jc w:val="left"/>
            </w:pPr>
            <w:r>
              <w:rPr>
                <w:color w:val="474747"/>
                <w:sz w:val="18"/>
              </w:rPr>
              <w:t xml:space="preserve">-3,6 </w:t>
            </w:r>
          </w:p>
        </w:tc>
        <w:tc>
          <w:tcPr>
            <w:tcW w:w="1193" w:type="dxa"/>
            <w:tcBorders>
              <w:top w:val="nil"/>
              <w:left w:val="nil"/>
              <w:bottom w:val="nil"/>
              <w:right w:val="nil"/>
            </w:tcBorders>
          </w:tcPr>
          <w:p w:rsidR="00E8309B" w:rsidRDefault="009D0949">
            <w:pPr>
              <w:spacing w:after="0" w:line="259" w:lineRule="auto"/>
              <w:ind w:left="374" w:right="0" w:firstLine="0"/>
              <w:jc w:val="left"/>
            </w:pPr>
            <w:r>
              <w:rPr>
                <w:color w:val="474747"/>
                <w:sz w:val="18"/>
              </w:rPr>
              <w:t xml:space="preserve">0,0 </w:t>
            </w:r>
          </w:p>
        </w:tc>
        <w:tc>
          <w:tcPr>
            <w:tcW w:w="1270" w:type="dxa"/>
            <w:tcBorders>
              <w:top w:val="nil"/>
              <w:left w:val="nil"/>
              <w:bottom w:val="nil"/>
              <w:right w:val="nil"/>
            </w:tcBorders>
          </w:tcPr>
          <w:p w:rsidR="00E8309B" w:rsidRDefault="009D0949">
            <w:pPr>
              <w:spacing w:after="0" w:line="259" w:lineRule="auto"/>
              <w:ind w:left="382" w:right="0" w:firstLine="0"/>
              <w:jc w:val="left"/>
            </w:pPr>
            <w:r>
              <w:rPr>
                <w:color w:val="474747"/>
                <w:sz w:val="18"/>
              </w:rPr>
              <w:t xml:space="preserve">-4,2 </w:t>
            </w:r>
          </w:p>
        </w:tc>
        <w:tc>
          <w:tcPr>
            <w:tcW w:w="1215" w:type="dxa"/>
            <w:tcBorders>
              <w:top w:val="nil"/>
              <w:left w:val="nil"/>
              <w:bottom w:val="nil"/>
              <w:right w:val="nil"/>
            </w:tcBorders>
          </w:tcPr>
          <w:p w:rsidR="00E8309B" w:rsidRDefault="009D0949">
            <w:pPr>
              <w:spacing w:after="0" w:line="259" w:lineRule="auto"/>
              <w:ind w:left="355" w:right="0" w:firstLine="0"/>
              <w:jc w:val="left"/>
            </w:pPr>
            <w:r>
              <w:rPr>
                <w:color w:val="474747"/>
                <w:sz w:val="18"/>
              </w:rPr>
              <w:t xml:space="preserve">-4,2 </w:t>
            </w:r>
          </w:p>
        </w:tc>
        <w:tc>
          <w:tcPr>
            <w:tcW w:w="1260" w:type="dxa"/>
            <w:tcBorders>
              <w:top w:val="nil"/>
              <w:left w:val="nil"/>
              <w:bottom w:val="nil"/>
              <w:right w:val="nil"/>
            </w:tcBorders>
          </w:tcPr>
          <w:p w:rsidR="00E8309B" w:rsidRDefault="009D0949">
            <w:pPr>
              <w:spacing w:after="0" w:line="259" w:lineRule="auto"/>
              <w:ind w:left="355" w:right="0" w:firstLine="0"/>
              <w:jc w:val="left"/>
            </w:pPr>
            <w:r>
              <w:rPr>
                <w:color w:val="474747"/>
                <w:sz w:val="18"/>
              </w:rPr>
              <w:t xml:space="preserve">-3,6 </w:t>
            </w:r>
          </w:p>
        </w:tc>
        <w:tc>
          <w:tcPr>
            <w:tcW w:w="965" w:type="dxa"/>
            <w:tcBorders>
              <w:top w:val="nil"/>
              <w:left w:val="nil"/>
              <w:bottom w:val="nil"/>
              <w:right w:val="nil"/>
            </w:tcBorders>
          </w:tcPr>
          <w:p w:rsidR="00E8309B" w:rsidRDefault="009D0949">
            <w:pPr>
              <w:spacing w:after="0" w:line="259" w:lineRule="auto"/>
              <w:ind w:left="290" w:right="0" w:firstLine="0"/>
              <w:jc w:val="left"/>
            </w:pPr>
            <w:r>
              <w:rPr>
                <w:color w:val="474747"/>
                <w:sz w:val="18"/>
              </w:rPr>
              <w:t xml:space="preserve">0,0 </w:t>
            </w:r>
          </w:p>
        </w:tc>
      </w:tr>
      <w:tr w:rsidR="00E8309B">
        <w:trPr>
          <w:trHeight w:val="245"/>
        </w:trPr>
        <w:tc>
          <w:tcPr>
            <w:tcW w:w="2079" w:type="dxa"/>
            <w:tcBorders>
              <w:top w:val="nil"/>
              <w:left w:val="nil"/>
              <w:bottom w:val="nil"/>
              <w:right w:val="nil"/>
            </w:tcBorders>
          </w:tcPr>
          <w:p w:rsidR="00E8309B" w:rsidRDefault="009D0949">
            <w:pPr>
              <w:tabs>
                <w:tab w:val="center" w:pos="1334"/>
              </w:tabs>
              <w:spacing w:after="0" w:line="259" w:lineRule="auto"/>
              <w:ind w:left="0" w:right="0" w:firstLine="0"/>
              <w:jc w:val="left"/>
            </w:pPr>
            <w:r>
              <w:rPr>
                <w:b/>
                <w:color w:val="474747"/>
                <w:sz w:val="18"/>
              </w:rPr>
              <w:t>2010</w:t>
            </w:r>
            <w:r>
              <w:rPr>
                <w:color w:val="474747"/>
                <w:sz w:val="18"/>
              </w:rPr>
              <w:t xml:space="preserve"> </w:t>
            </w:r>
            <w:r>
              <w:rPr>
                <w:color w:val="474747"/>
                <w:sz w:val="18"/>
              </w:rPr>
              <w:tab/>
              <w:t xml:space="preserve">-0,6 </w:t>
            </w:r>
          </w:p>
        </w:tc>
        <w:tc>
          <w:tcPr>
            <w:tcW w:w="1105" w:type="dxa"/>
            <w:tcBorders>
              <w:top w:val="nil"/>
              <w:left w:val="nil"/>
              <w:bottom w:val="nil"/>
              <w:right w:val="nil"/>
            </w:tcBorders>
          </w:tcPr>
          <w:p w:rsidR="00E8309B" w:rsidRDefault="009D0949">
            <w:pPr>
              <w:spacing w:after="0" w:line="259" w:lineRule="auto"/>
              <w:ind w:left="276" w:right="0" w:firstLine="0"/>
              <w:jc w:val="left"/>
            </w:pPr>
            <w:r>
              <w:rPr>
                <w:color w:val="474747"/>
                <w:sz w:val="18"/>
              </w:rPr>
              <w:t xml:space="preserve">-4,3 </w:t>
            </w:r>
          </w:p>
        </w:tc>
        <w:tc>
          <w:tcPr>
            <w:tcW w:w="1099" w:type="dxa"/>
            <w:tcBorders>
              <w:top w:val="nil"/>
              <w:left w:val="nil"/>
              <w:bottom w:val="nil"/>
              <w:right w:val="nil"/>
            </w:tcBorders>
          </w:tcPr>
          <w:p w:rsidR="00E8309B" w:rsidRDefault="009D0949">
            <w:pPr>
              <w:spacing w:after="0" w:line="259" w:lineRule="auto"/>
              <w:ind w:left="288" w:right="0" w:firstLine="0"/>
              <w:jc w:val="left"/>
            </w:pPr>
            <w:r>
              <w:rPr>
                <w:color w:val="474747"/>
                <w:sz w:val="18"/>
              </w:rPr>
              <w:t xml:space="preserve">-3,4 </w:t>
            </w:r>
          </w:p>
        </w:tc>
        <w:tc>
          <w:tcPr>
            <w:tcW w:w="1193" w:type="dxa"/>
            <w:tcBorders>
              <w:top w:val="nil"/>
              <w:left w:val="nil"/>
              <w:bottom w:val="nil"/>
              <w:right w:val="nil"/>
            </w:tcBorders>
          </w:tcPr>
          <w:p w:rsidR="00E8309B" w:rsidRDefault="009D0949">
            <w:pPr>
              <w:spacing w:after="0" w:line="259" w:lineRule="auto"/>
              <w:ind w:left="346" w:right="0" w:firstLine="0"/>
              <w:jc w:val="left"/>
            </w:pPr>
            <w:r>
              <w:rPr>
                <w:color w:val="474747"/>
                <w:sz w:val="18"/>
              </w:rPr>
              <w:t xml:space="preserve">-0,2 </w:t>
            </w:r>
          </w:p>
        </w:tc>
        <w:tc>
          <w:tcPr>
            <w:tcW w:w="1270" w:type="dxa"/>
            <w:tcBorders>
              <w:top w:val="nil"/>
              <w:left w:val="nil"/>
              <w:bottom w:val="nil"/>
              <w:right w:val="nil"/>
            </w:tcBorders>
          </w:tcPr>
          <w:p w:rsidR="00E8309B" w:rsidRDefault="009D0949">
            <w:pPr>
              <w:spacing w:after="0" w:line="259" w:lineRule="auto"/>
              <w:ind w:left="382" w:right="0" w:firstLine="0"/>
              <w:jc w:val="left"/>
            </w:pPr>
            <w:r>
              <w:rPr>
                <w:color w:val="474747"/>
                <w:sz w:val="18"/>
              </w:rPr>
              <w:t xml:space="preserve">-4,1 </w:t>
            </w:r>
          </w:p>
        </w:tc>
        <w:tc>
          <w:tcPr>
            <w:tcW w:w="1215" w:type="dxa"/>
            <w:tcBorders>
              <w:top w:val="nil"/>
              <w:left w:val="nil"/>
              <w:bottom w:val="nil"/>
              <w:right w:val="nil"/>
            </w:tcBorders>
          </w:tcPr>
          <w:p w:rsidR="00E8309B" w:rsidRDefault="009D0949">
            <w:pPr>
              <w:spacing w:after="0" w:line="259" w:lineRule="auto"/>
              <w:ind w:left="355" w:right="0" w:firstLine="0"/>
              <w:jc w:val="left"/>
            </w:pPr>
            <w:r>
              <w:rPr>
                <w:color w:val="474747"/>
                <w:sz w:val="18"/>
              </w:rPr>
              <w:t xml:space="preserve">-4,2 </w:t>
            </w:r>
          </w:p>
        </w:tc>
        <w:tc>
          <w:tcPr>
            <w:tcW w:w="1260" w:type="dxa"/>
            <w:tcBorders>
              <w:top w:val="nil"/>
              <w:left w:val="nil"/>
              <w:bottom w:val="nil"/>
              <w:right w:val="nil"/>
            </w:tcBorders>
          </w:tcPr>
          <w:p w:rsidR="00E8309B" w:rsidRDefault="009D0949">
            <w:pPr>
              <w:spacing w:after="0" w:line="259" w:lineRule="auto"/>
              <w:ind w:left="355" w:right="0" w:firstLine="0"/>
              <w:jc w:val="left"/>
            </w:pPr>
            <w:r>
              <w:rPr>
                <w:color w:val="474747"/>
                <w:sz w:val="18"/>
              </w:rPr>
              <w:t>-</w:t>
            </w:r>
            <w:r>
              <w:rPr>
                <w:color w:val="474747"/>
                <w:sz w:val="18"/>
              </w:rPr>
              <w:t xml:space="preserve">3,3 </w:t>
            </w:r>
          </w:p>
        </w:tc>
        <w:tc>
          <w:tcPr>
            <w:tcW w:w="965" w:type="dxa"/>
            <w:tcBorders>
              <w:top w:val="nil"/>
              <w:left w:val="nil"/>
              <w:bottom w:val="nil"/>
              <w:right w:val="nil"/>
            </w:tcBorders>
          </w:tcPr>
          <w:p w:rsidR="00E8309B" w:rsidRDefault="009D0949">
            <w:pPr>
              <w:spacing w:after="0" w:line="259" w:lineRule="auto"/>
              <w:ind w:left="262" w:right="0" w:firstLine="0"/>
              <w:jc w:val="left"/>
            </w:pPr>
            <w:r>
              <w:rPr>
                <w:color w:val="474747"/>
                <w:sz w:val="18"/>
              </w:rPr>
              <w:t xml:space="preserve">-0,4 </w:t>
            </w:r>
          </w:p>
        </w:tc>
      </w:tr>
      <w:tr w:rsidR="00E8309B">
        <w:trPr>
          <w:trHeight w:val="244"/>
        </w:trPr>
        <w:tc>
          <w:tcPr>
            <w:tcW w:w="2079" w:type="dxa"/>
            <w:tcBorders>
              <w:top w:val="nil"/>
              <w:left w:val="nil"/>
              <w:bottom w:val="nil"/>
              <w:right w:val="nil"/>
            </w:tcBorders>
          </w:tcPr>
          <w:p w:rsidR="00E8309B" w:rsidRDefault="009D0949">
            <w:pPr>
              <w:tabs>
                <w:tab w:val="center" w:pos="1333"/>
              </w:tabs>
              <w:spacing w:after="0" w:line="259" w:lineRule="auto"/>
              <w:ind w:left="0" w:right="0" w:firstLine="0"/>
              <w:jc w:val="left"/>
            </w:pPr>
            <w:r>
              <w:rPr>
                <w:b/>
                <w:color w:val="474747"/>
                <w:sz w:val="18"/>
              </w:rPr>
              <w:t>2011</w:t>
            </w:r>
            <w:r>
              <w:rPr>
                <w:color w:val="474747"/>
                <w:sz w:val="18"/>
              </w:rPr>
              <w:t xml:space="preserve"> </w:t>
            </w:r>
            <w:r>
              <w:rPr>
                <w:color w:val="474747"/>
                <w:sz w:val="18"/>
              </w:rPr>
              <w:tab/>
              <w:t xml:space="preserve">0,1 </w:t>
            </w:r>
          </w:p>
        </w:tc>
        <w:tc>
          <w:tcPr>
            <w:tcW w:w="1105" w:type="dxa"/>
            <w:tcBorders>
              <w:top w:val="nil"/>
              <w:left w:val="nil"/>
              <w:bottom w:val="nil"/>
              <w:right w:val="nil"/>
            </w:tcBorders>
          </w:tcPr>
          <w:p w:rsidR="00E8309B" w:rsidRDefault="009D0949">
            <w:pPr>
              <w:spacing w:after="0" w:line="259" w:lineRule="auto"/>
              <w:ind w:left="276" w:right="0" w:firstLine="0"/>
              <w:jc w:val="left"/>
            </w:pPr>
            <w:r>
              <w:rPr>
                <w:color w:val="474747"/>
                <w:sz w:val="18"/>
              </w:rPr>
              <w:t xml:space="preserve">-4,5 </w:t>
            </w:r>
          </w:p>
        </w:tc>
        <w:tc>
          <w:tcPr>
            <w:tcW w:w="1099" w:type="dxa"/>
            <w:tcBorders>
              <w:top w:val="nil"/>
              <w:left w:val="nil"/>
              <w:bottom w:val="nil"/>
              <w:right w:val="nil"/>
            </w:tcBorders>
          </w:tcPr>
          <w:p w:rsidR="00E8309B" w:rsidRDefault="009D0949">
            <w:pPr>
              <w:spacing w:after="0" w:line="259" w:lineRule="auto"/>
              <w:ind w:left="288" w:right="0" w:firstLine="0"/>
              <w:jc w:val="left"/>
            </w:pPr>
            <w:r>
              <w:rPr>
                <w:color w:val="474747"/>
                <w:sz w:val="18"/>
              </w:rPr>
              <w:t xml:space="preserve">-3,4 </w:t>
            </w:r>
          </w:p>
        </w:tc>
        <w:tc>
          <w:tcPr>
            <w:tcW w:w="1193" w:type="dxa"/>
            <w:tcBorders>
              <w:top w:val="nil"/>
              <w:left w:val="nil"/>
              <w:bottom w:val="nil"/>
              <w:right w:val="nil"/>
            </w:tcBorders>
          </w:tcPr>
          <w:p w:rsidR="00E8309B" w:rsidRDefault="009D0949">
            <w:pPr>
              <w:spacing w:after="0" w:line="259" w:lineRule="auto"/>
              <w:ind w:left="374" w:right="0" w:firstLine="0"/>
              <w:jc w:val="left"/>
            </w:pPr>
            <w:r>
              <w:rPr>
                <w:color w:val="474747"/>
                <w:sz w:val="18"/>
              </w:rPr>
              <w:t xml:space="preserve">0,0 </w:t>
            </w:r>
          </w:p>
        </w:tc>
        <w:tc>
          <w:tcPr>
            <w:tcW w:w="1270" w:type="dxa"/>
            <w:tcBorders>
              <w:top w:val="nil"/>
              <w:left w:val="nil"/>
              <w:bottom w:val="nil"/>
              <w:right w:val="nil"/>
            </w:tcBorders>
          </w:tcPr>
          <w:p w:rsidR="00E8309B" w:rsidRDefault="009D0949">
            <w:pPr>
              <w:spacing w:after="0" w:line="259" w:lineRule="auto"/>
              <w:ind w:left="382" w:right="0" w:firstLine="0"/>
              <w:jc w:val="left"/>
            </w:pPr>
            <w:r>
              <w:rPr>
                <w:color w:val="474747"/>
                <w:sz w:val="18"/>
              </w:rPr>
              <w:t xml:space="preserve">-4,6 </w:t>
            </w:r>
          </w:p>
        </w:tc>
        <w:tc>
          <w:tcPr>
            <w:tcW w:w="1215" w:type="dxa"/>
            <w:tcBorders>
              <w:top w:val="nil"/>
              <w:left w:val="nil"/>
              <w:bottom w:val="nil"/>
              <w:right w:val="nil"/>
            </w:tcBorders>
          </w:tcPr>
          <w:p w:rsidR="00E8309B" w:rsidRDefault="009D0949">
            <w:pPr>
              <w:spacing w:after="0" w:line="259" w:lineRule="auto"/>
              <w:ind w:left="355" w:right="0" w:firstLine="0"/>
              <w:jc w:val="left"/>
            </w:pPr>
            <w:r>
              <w:rPr>
                <w:color w:val="474747"/>
                <w:sz w:val="18"/>
              </w:rPr>
              <w:t xml:space="preserve">-4,8 </w:t>
            </w:r>
          </w:p>
        </w:tc>
        <w:tc>
          <w:tcPr>
            <w:tcW w:w="1260" w:type="dxa"/>
            <w:tcBorders>
              <w:top w:val="nil"/>
              <w:left w:val="nil"/>
              <w:bottom w:val="nil"/>
              <w:right w:val="nil"/>
            </w:tcBorders>
          </w:tcPr>
          <w:p w:rsidR="00E8309B" w:rsidRDefault="009D0949">
            <w:pPr>
              <w:spacing w:after="0" w:line="259" w:lineRule="auto"/>
              <w:ind w:left="355" w:right="0" w:firstLine="0"/>
              <w:jc w:val="left"/>
            </w:pPr>
            <w:r>
              <w:rPr>
                <w:color w:val="474747"/>
                <w:sz w:val="18"/>
              </w:rPr>
              <w:t xml:space="preserve">-3,6 </w:t>
            </w:r>
          </w:p>
        </w:tc>
        <w:tc>
          <w:tcPr>
            <w:tcW w:w="965" w:type="dxa"/>
            <w:tcBorders>
              <w:top w:val="nil"/>
              <w:left w:val="nil"/>
              <w:bottom w:val="nil"/>
              <w:right w:val="nil"/>
            </w:tcBorders>
          </w:tcPr>
          <w:p w:rsidR="00E8309B" w:rsidRDefault="009D0949">
            <w:pPr>
              <w:spacing w:after="0" w:line="259" w:lineRule="auto"/>
              <w:ind w:left="290" w:right="0" w:firstLine="0"/>
              <w:jc w:val="left"/>
            </w:pPr>
            <w:r>
              <w:rPr>
                <w:color w:val="474747"/>
                <w:sz w:val="18"/>
              </w:rPr>
              <w:t xml:space="preserve">0,2 </w:t>
            </w:r>
          </w:p>
        </w:tc>
      </w:tr>
      <w:tr w:rsidR="00E8309B">
        <w:trPr>
          <w:trHeight w:val="244"/>
        </w:trPr>
        <w:tc>
          <w:tcPr>
            <w:tcW w:w="2079" w:type="dxa"/>
            <w:tcBorders>
              <w:top w:val="nil"/>
              <w:left w:val="nil"/>
              <w:bottom w:val="nil"/>
              <w:right w:val="nil"/>
            </w:tcBorders>
          </w:tcPr>
          <w:p w:rsidR="00E8309B" w:rsidRDefault="009D0949">
            <w:pPr>
              <w:tabs>
                <w:tab w:val="center" w:pos="1334"/>
              </w:tabs>
              <w:spacing w:after="0" w:line="259" w:lineRule="auto"/>
              <w:ind w:left="0" w:right="0" w:firstLine="0"/>
              <w:jc w:val="left"/>
            </w:pPr>
            <w:r>
              <w:rPr>
                <w:b/>
                <w:color w:val="474747"/>
                <w:sz w:val="18"/>
              </w:rPr>
              <w:t>2012</w:t>
            </w:r>
            <w:r>
              <w:rPr>
                <w:color w:val="474747"/>
                <w:sz w:val="18"/>
              </w:rPr>
              <w:t xml:space="preserve"> </w:t>
            </w:r>
            <w:r>
              <w:rPr>
                <w:color w:val="474747"/>
                <w:sz w:val="18"/>
              </w:rPr>
              <w:tab/>
              <w:t xml:space="preserve">-2,0 </w:t>
            </w:r>
          </w:p>
        </w:tc>
        <w:tc>
          <w:tcPr>
            <w:tcW w:w="1105" w:type="dxa"/>
            <w:tcBorders>
              <w:top w:val="nil"/>
              <w:left w:val="nil"/>
              <w:bottom w:val="nil"/>
              <w:right w:val="nil"/>
            </w:tcBorders>
          </w:tcPr>
          <w:p w:rsidR="00E8309B" w:rsidRDefault="009D0949">
            <w:pPr>
              <w:spacing w:after="0" w:line="259" w:lineRule="auto"/>
              <w:ind w:left="276" w:right="0" w:firstLine="0"/>
              <w:jc w:val="left"/>
            </w:pPr>
            <w:r>
              <w:rPr>
                <w:color w:val="474747"/>
                <w:sz w:val="18"/>
              </w:rPr>
              <w:t xml:space="preserve">-6,4 </w:t>
            </w:r>
          </w:p>
        </w:tc>
        <w:tc>
          <w:tcPr>
            <w:tcW w:w="1099" w:type="dxa"/>
            <w:tcBorders>
              <w:top w:val="nil"/>
              <w:left w:val="nil"/>
              <w:bottom w:val="nil"/>
              <w:right w:val="nil"/>
            </w:tcBorders>
          </w:tcPr>
          <w:p w:rsidR="00E8309B" w:rsidRDefault="009D0949">
            <w:pPr>
              <w:spacing w:after="0" w:line="259" w:lineRule="auto"/>
              <w:ind w:left="288" w:right="0" w:firstLine="0"/>
              <w:jc w:val="left"/>
            </w:pPr>
            <w:r>
              <w:rPr>
                <w:color w:val="474747"/>
                <w:sz w:val="18"/>
              </w:rPr>
              <w:t xml:space="preserve">-4,7 </w:t>
            </w:r>
          </w:p>
        </w:tc>
        <w:tc>
          <w:tcPr>
            <w:tcW w:w="1193" w:type="dxa"/>
            <w:tcBorders>
              <w:top w:val="nil"/>
              <w:left w:val="nil"/>
              <w:bottom w:val="nil"/>
              <w:right w:val="nil"/>
            </w:tcBorders>
          </w:tcPr>
          <w:p w:rsidR="00E8309B" w:rsidRDefault="009D0949">
            <w:pPr>
              <w:spacing w:after="0" w:line="259" w:lineRule="auto"/>
              <w:ind w:left="346" w:right="0" w:firstLine="0"/>
              <w:jc w:val="left"/>
            </w:pPr>
            <w:r>
              <w:rPr>
                <w:color w:val="474747"/>
                <w:sz w:val="18"/>
              </w:rPr>
              <w:t xml:space="preserve">-0,7 </w:t>
            </w:r>
          </w:p>
        </w:tc>
        <w:tc>
          <w:tcPr>
            <w:tcW w:w="1270" w:type="dxa"/>
            <w:tcBorders>
              <w:top w:val="nil"/>
              <w:left w:val="nil"/>
              <w:bottom w:val="nil"/>
              <w:right w:val="nil"/>
            </w:tcBorders>
          </w:tcPr>
          <w:p w:rsidR="00E8309B" w:rsidRDefault="009D0949">
            <w:pPr>
              <w:spacing w:after="0" w:line="259" w:lineRule="auto"/>
              <w:ind w:left="382" w:right="0" w:firstLine="0"/>
              <w:jc w:val="left"/>
            </w:pPr>
            <w:r>
              <w:rPr>
                <w:color w:val="474747"/>
                <w:sz w:val="18"/>
              </w:rPr>
              <w:t xml:space="preserve">-5,7 </w:t>
            </w:r>
          </w:p>
        </w:tc>
        <w:tc>
          <w:tcPr>
            <w:tcW w:w="1215" w:type="dxa"/>
            <w:tcBorders>
              <w:top w:val="nil"/>
              <w:left w:val="nil"/>
              <w:bottom w:val="nil"/>
              <w:right w:val="nil"/>
            </w:tcBorders>
          </w:tcPr>
          <w:p w:rsidR="00E8309B" w:rsidRDefault="009D0949">
            <w:pPr>
              <w:spacing w:after="0" w:line="259" w:lineRule="auto"/>
              <w:ind w:left="355" w:right="0" w:firstLine="0"/>
              <w:jc w:val="left"/>
            </w:pPr>
            <w:r>
              <w:rPr>
                <w:color w:val="474747"/>
                <w:sz w:val="18"/>
              </w:rPr>
              <w:t xml:space="preserve">-5,7 </w:t>
            </w:r>
          </w:p>
        </w:tc>
        <w:tc>
          <w:tcPr>
            <w:tcW w:w="1260" w:type="dxa"/>
            <w:tcBorders>
              <w:top w:val="nil"/>
              <w:left w:val="nil"/>
              <w:bottom w:val="nil"/>
              <w:right w:val="nil"/>
            </w:tcBorders>
          </w:tcPr>
          <w:p w:rsidR="00E8309B" w:rsidRDefault="009D0949">
            <w:pPr>
              <w:spacing w:after="0" w:line="259" w:lineRule="auto"/>
              <w:ind w:left="355" w:right="0" w:firstLine="0"/>
              <w:jc w:val="left"/>
            </w:pPr>
            <w:r>
              <w:rPr>
                <w:color w:val="474747"/>
                <w:sz w:val="18"/>
              </w:rPr>
              <w:t xml:space="preserve">-4,0 </w:t>
            </w:r>
          </w:p>
        </w:tc>
        <w:tc>
          <w:tcPr>
            <w:tcW w:w="965" w:type="dxa"/>
            <w:tcBorders>
              <w:top w:val="nil"/>
              <w:left w:val="nil"/>
              <w:bottom w:val="nil"/>
              <w:right w:val="nil"/>
            </w:tcBorders>
          </w:tcPr>
          <w:p w:rsidR="00E8309B" w:rsidRDefault="009D0949">
            <w:pPr>
              <w:spacing w:after="0" w:line="259" w:lineRule="auto"/>
              <w:ind w:left="290" w:right="0" w:firstLine="0"/>
              <w:jc w:val="left"/>
            </w:pPr>
            <w:r>
              <w:rPr>
                <w:color w:val="474747"/>
                <w:sz w:val="18"/>
              </w:rPr>
              <w:t xml:space="preserve">0,6 </w:t>
            </w:r>
          </w:p>
        </w:tc>
      </w:tr>
      <w:tr w:rsidR="00E8309B">
        <w:trPr>
          <w:trHeight w:val="245"/>
        </w:trPr>
        <w:tc>
          <w:tcPr>
            <w:tcW w:w="2079" w:type="dxa"/>
            <w:tcBorders>
              <w:top w:val="nil"/>
              <w:left w:val="nil"/>
              <w:bottom w:val="nil"/>
              <w:right w:val="nil"/>
            </w:tcBorders>
          </w:tcPr>
          <w:p w:rsidR="00E8309B" w:rsidRDefault="009D0949">
            <w:pPr>
              <w:tabs>
                <w:tab w:val="center" w:pos="1333"/>
              </w:tabs>
              <w:spacing w:after="0" w:line="259" w:lineRule="auto"/>
              <w:ind w:left="0" w:right="0" w:firstLine="0"/>
              <w:jc w:val="left"/>
            </w:pPr>
            <w:r>
              <w:rPr>
                <w:b/>
                <w:color w:val="474747"/>
                <w:sz w:val="18"/>
              </w:rPr>
              <w:t>2013</w:t>
            </w:r>
            <w:r>
              <w:rPr>
                <w:color w:val="474747"/>
                <w:sz w:val="18"/>
              </w:rPr>
              <w:t xml:space="preserve"> </w:t>
            </w:r>
            <w:r>
              <w:rPr>
                <w:color w:val="474747"/>
                <w:sz w:val="18"/>
              </w:rPr>
              <w:tab/>
              <w:t xml:space="preserve">0,5 </w:t>
            </w:r>
          </w:p>
        </w:tc>
        <w:tc>
          <w:tcPr>
            <w:tcW w:w="1105" w:type="dxa"/>
            <w:tcBorders>
              <w:top w:val="nil"/>
              <w:left w:val="nil"/>
              <w:bottom w:val="nil"/>
              <w:right w:val="nil"/>
            </w:tcBorders>
          </w:tcPr>
          <w:p w:rsidR="00E8309B" w:rsidRDefault="009D0949">
            <w:pPr>
              <w:spacing w:after="0" w:line="259" w:lineRule="auto"/>
              <w:ind w:left="276" w:right="0" w:firstLine="0"/>
              <w:jc w:val="left"/>
            </w:pPr>
            <w:r>
              <w:rPr>
                <w:color w:val="474747"/>
                <w:sz w:val="18"/>
              </w:rPr>
              <w:t xml:space="preserve">-5,1 </w:t>
            </w:r>
          </w:p>
        </w:tc>
        <w:tc>
          <w:tcPr>
            <w:tcW w:w="1099" w:type="dxa"/>
            <w:tcBorders>
              <w:top w:val="nil"/>
              <w:left w:val="nil"/>
              <w:bottom w:val="nil"/>
              <w:right w:val="nil"/>
            </w:tcBorders>
          </w:tcPr>
          <w:p w:rsidR="00E8309B" w:rsidRDefault="009D0949">
            <w:pPr>
              <w:spacing w:after="0" w:line="259" w:lineRule="auto"/>
              <w:ind w:left="288" w:right="0" w:firstLine="0"/>
              <w:jc w:val="left"/>
            </w:pPr>
            <w:r>
              <w:rPr>
                <w:color w:val="474747"/>
                <w:sz w:val="18"/>
              </w:rPr>
              <w:t xml:space="preserve">-3,0 </w:t>
            </w:r>
          </w:p>
        </w:tc>
        <w:tc>
          <w:tcPr>
            <w:tcW w:w="1193" w:type="dxa"/>
            <w:tcBorders>
              <w:top w:val="nil"/>
              <w:left w:val="nil"/>
              <w:bottom w:val="nil"/>
              <w:right w:val="nil"/>
            </w:tcBorders>
          </w:tcPr>
          <w:p w:rsidR="00E8309B" w:rsidRDefault="009D0949">
            <w:pPr>
              <w:spacing w:after="0" w:line="259" w:lineRule="auto"/>
              <w:ind w:left="374" w:right="0" w:firstLine="0"/>
              <w:jc w:val="left"/>
            </w:pPr>
            <w:r>
              <w:rPr>
                <w:color w:val="474747"/>
                <w:sz w:val="18"/>
              </w:rPr>
              <w:t xml:space="preserve">0,2 </w:t>
            </w:r>
          </w:p>
        </w:tc>
        <w:tc>
          <w:tcPr>
            <w:tcW w:w="1270" w:type="dxa"/>
            <w:tcBorders>
              <w:top w:val="nil"/>
              <w:left w:val="nil"/>
              <w:bottom w:val="nil"/>
              <w:right w:val="nil"/>
            </w:tcBorders>
          </w:tcPr>
          <w:p w:rsidR="00E8309B" w:rsidRDefault="009D0949">
            <w:pPr>
              <w:spacing w:after="0" w:line="259" w:lineRule="auto"/>
              <w:ind w:left="382" w:right="0" w:firstLine="0"/>
              <w:jc w:val="left"/>
            </w:pPr>
            <w:r>
              <w:rPr>
                <w:color w:val="474747"/>
                <w:sz w:val="18"/>
              </w:rPr>
              <w:t xml:space="preserve">-5,3 </w:t>
            </w:r>
          </w:p>
        </w:tc>
        <w:tc>
          <w:tcPr>
            <w:tcW w:w="1215" w:type="dxa"/>
            <w:tcBorders>
              <w:top w:val="nil"/>
              <w:left w:val="nil"/>
              <w:bottom w:val="nil"/>
              <w:right w:val="nil"/>
            </w:tcBorders>
          </w:tcPr>
          <w:p w:rsidR="00E8309B" w:rsidRDefault="009D0949">
            <w:pPr>
              <w:spacing w:after="0" w:line="259" w:lineRule="auto"/>
              <w:ind w:left="355" w:right="0" w:firstLine="0"/>
              <w:jc w:val="left"/>
            </w:pPr>
            <w:r>
              <w:rPr>
                <w:color w:val="474747"/>
                <w:sz w:val="18"/>
              </w:rPr>
              <w:t xml:space="preserve">-5,1 </w:t>
            </w:r>
          </w:p>
        </w:tc>
        <w:tc>
          <w:tcPr>
            <w:tcW w:w="1260" w:type="dxa"/>
            <w:tcBorders>
              <w:top w:val="nil"/>
              <w:left w:val="nil"/>
              <w:bottom w:val="nil"/>
              <w:right w:val="nil"/>
            </w:tcBorders>
          </w:tcPr>
          <w:p w:rsidR="00E8309B" w:rsidRDefault="009D0949">
            <w:pPr>
              <w:spacing w:after="0" w:line="259" w:lineRule="auto"/>
              <w:ind w:left="355" w:right="0" w:firstLine="0"/>
              <w:jc w:val="left"/>
            </w:pPr>
            <w:r>
              <w:rPr>
                <w:color w:val="474747"/>
                <w:sz w:val="18"/>
              </w:rPr>
              <w:t xml:space="preserve">-2,9 </w:t>
            </w:r>
          </w:p>
        </w:tc>
        <w:tc>
          <w:tcPr>
            <w:tcW w:w="965" w:type="dxa"/>
            <w:tcBorders>
              <w:top w:val="nil"/>
              <w:left w:val="nil"/>
              <w:bottom w:val="nil"/>
              <w:right w:val="nil"/>
            </w:tcBorders>
          </w:tcPr>
          <w:p w:rsidR="00E8309B" w:rsidRDefault="009D0949">
            <w:pPr>
              <w:spacing w:after="0" w:line="259" w:lineRule="auto"/>
              <w:ind w:left="262" w:right="0" w:firstLine="0"/>
              <w:jc w:val="left"/>
            </w:pPr>
            <w:r>
              <w:rPr>
                <w:color w:val="474747"/>
                <w:sz w:val="18"/>
              </w:rPr>
              <w:t xml:space="preserve">-0,9 </w:t>
            </w:r>
          </w:p>
        </w:tc>
      </w:tr>
      <w:tr w:rsidR="00E8309B">
        <w:trPr>
          <w:trHeight w:val="244"/>
        </w:trPr>
        <w:tc>
          <w:tcPr>
            <w:tcW w:w="2079" w:type="dxa"/>
            <w:tcBorders>
              <w:top w:val="nil"/>
              <w:left w:val="nil"/>
              <w:bottom w:val="nil"/>
              <w:right w:val="nil"/>
            </w:tcBorders>
          </w:tcPr>
          <w:p w:rsidR="00E8309B" w:rsidRDefault="009D0949">
            <w:pPr>
              <w:tabs>
                <w:tab w:val="center" w:pos="1334"/>
              </w:tabs>
              <w:spacing w:after="0" w:line="259" w:lineRule="auto"/>
              <w:ind w:left="0" w:right="0" w:firstLine="0"/>
              <w:jc w:val="left"/>
            </w:pPr>
            <w:r>
              <w:rPr>
                <w:b/>
                <w:color w:val="474747"/>
                <w:sz w:val="18"/>
              </w:rPr>
              <w:t>2014</w:t>
            </w:r>
            <w:r>
              <w:rPr>
                <w:color w:val="474747"/>
                <w:sz w:val="18"/>
              </w:rPr>
              <w:t xml:space="preserve"> </w:t>
            </w:r>
            <w:r>
              <w:rPr>
                <w:color w:val="474747"/>
                <w:sz w:val="18"/>
              </w:rPr>
              <w:tab/>
              <w:t xml:space="preserve">-1,9 </w:t>
            </w:r>
          </w:p>
        </w:tc>
        <w:tc>
          <w:tcPr>
            <w:tcW w:w="1105" w:type="dxa"/>
            <w:tcBorders>
              <w:top w:val="nil"/>
              <w:left w:val="nil"/>
              <w:bottom w:val="nil"/>
              <w:right w:val="nil"/>
            </w:tcBorders>
          </w:tcPr>
          <w:p w:rsidR="00E8309B" w:rsidRDefault="009D0949">
            <w:pPr>
              <w:spacing w:after="0" w:line="259" w:lineRule="auto"/>
              <w:ind w:left="276" w:right="0" w:firstLine="0"/>
              <w:jc w:val="left"/>
            </w:pPr>
            <w:r>
              <w:rPr>
                <w:color w:val="474747"/>
                <w:sz w:val="18"/>
              </w:rPr>
              <w:t xml:space="preserve">-6,2 </w:t>
            </w:r>
          </w:p>
        </w:tc>
        <w:tc>
          <w:tcPr>
            <w:tcW w:w="1099" w:type="dxa"/>
            <w:tcBorders>
              <w:top w:val="nil"/>
              <w:left w:val="nil"/>
              <w:bottom w:val="nil"/>
              <w:right w:val="nil"/>
            </w:tcBorders>
          </w:tcPr>
          <w:p w:rsidR="00E8309B" w:rsidRDefault="009D0949">
            <w:pPr>
              <w:spacing w:after="0" w:line="259" w:lineRule="auto"/>
              <w:ind w:left="288" w:right="0" w:firstLine="0"/>
              <w:jc w:val="left"/>
            </w:pPr>
            <w:r>
              <w:rPr>
                <w:color w:val="474747"/>
                <w:sz w:val="18"/>
              </w:rPr>
              <w:t xml:space="preserve">-3,5 </w:t>
            </w:r>
          </w:p>
        </w:tc>
        <w:tc>
          <w:tcPr>
            <w:tcW w:w="1193" w:type="dxa"/>
            <w:tcBorders>
              <w:top w:val="nil"/>
              <w:left w:val="nil"/>
              <w:bottom w:val="nil"/>
              <w:right w:val="nil"/>
            </w:tcBorders>
          </w:tcPr>
          <w:p w:rsidR="00E8309B" w:rsidRDefault="009D0949">
            <w:pPr>
              <w:spacing w:after="0" w:line="259" w:lineRule="auto"/>
              <w:ind w:left="346" w:right="0" w:firstLine="0"/>
              <w:jc w:val="left"/>
            </w:pPr>
            <w:r>
              <w:rPr>
                <w:color w:val="474747"/>
                <w:sz w:val="18"/>
              </w:rPr>
              <w:t xml:space="preserve">-0,7 </w:t>
            </w:r>
          </w:p>
        </w:tc>
        <w:tc>
          <w:tcPr>
            <w:tcW w:w="1270" w:type="dxa"/>
            <w:tcBorders>
              <w:top w:val="nil"/>
              <w:left w:val="nil"/>
              <w:bottom w:val="nil"/>
              <w:right w:val="nil"/>
            </w:tcBorders>
          </w:tcPr>
          <w:p w:rsidR="00E8309B" w:rsidRDefault="009D0949">
            <w:pPr>
              <w:spacing w:after="0" w:line="259" w:lineRule="auto"/>
              <w:ind w:left="382" w:right="0" w:firstLine="0"/>
              <w:jc w:val="left"/>
            </w:pPr>
            <w:r>
              <w:rPr>
                <w:color w:val="474747"/>
                <w:sz w:val="18"/>
              </w:rPr>
              <w:t xml:space="preserve">-5,5 </w:t>
            </w:r>
          </w:p>
        </w:tc>
        <w:tc>
          <w:tcPr>
            <w:tcW w:w="1215" w:type="dxa"/>
            <w:tcBorders>
              <w:top w:val="nil"/>
              <w:left w:val="nil"/>
              <w:bottom w:val="nil"/>
              <w:right w:val="nil"/>
            </w:tcBorders>
          </w:tcPr>
          <w:p w:rsidR="00E8309B" w:rsidRDefault="009D0949">
            <w:pPr>
              <w:spacing w:after="0" w:line="259" w:lineRule="auto"/>
              <w:ind w:left="355" w:right="0" w:firstLine="0"/>
              <w:jc w:val="left"/>
            </w:pPr>
            <w:r>
              <w:rPr>
                <w:color w:val="474747"/>
                <w:sz w:val="18"/>
              </w:rPr>
              <w:t xml:space="preserve">-4,7 </w:t>
            </w:r>
          </w:p>
        </w:tc>
        <w:tc>
          <w:tcPr>
            <w:tcW w:w="1260" w:type="dxa"/>
            <w:tcBorders>
              <w:top w:val="nil"/>
              <w:left w:val="nil"/>
              <w:bottom w:val="nil"/>
              <w:right w:val="nil"/>
            </w:tcBorders>
          </w:tcPr>
          <w:p w:rsidR="00E8309B" w:rsidRDefault="009D0949">
            <w:pPr>
              <w:spacing w:after="0" w:line="259" w:lineRule="auto"/>
              <w:ind w:left="355" w:right="0" w:firstLine="0"/>
              <w:jc w:val="left"/>
            </w:pPr>
            <w:r>
              <w:rPr>
                <w:color w:val="474747"/>
                <w:sz w:val="18"/>
              </w:rPr>
              <w:t xml:space="preserve">-2,0 </w:t>
            </w:r>
          </w:p>
        </w:tc>
        <w:tc>
          <w:tcPr>
            <w:tcW w:w="965" w:type="dxa"/>
            <w:tcBorders>
              <w:top w:val="nil"/>
              <w:left w:val="nil"/>
              <w:bottom w:val="nil"/>
              <w:right w:val="nil"/>
            </w:tcBorders>
          </w:tcPr>
          <w:p w:rsidR="00E8309B" w:rsidRDefault="009D0949">
            <w:pPr>
              <w:spacing w:after="0" w:line="259" w:lineRule="auto"/>
              <w:ind w:left="262" w:right="0" w:firstLine="0"/>
              <w:jc w:val="left"/>
            </w:pPr>
            <w:r>
              <w:rPr>
                <w:color w:val="474747"/>
                <w:sz w:val="18"/>
              </w:rPr>
              <w:t xml:space="preserve">-0,3 </w:t>
            </w:r>
          </w:p>
        </w:tc>
      </w:tr>
      <w:tr w:rsidR="00E8309B">
        <w:trPr>
          <w:trHeight w:val="244"/>
        </w:trPr>
        <w:tc>
          <w:tcPr>
            <w:tcW w:w="2079" w:type="dxa"/>
            <w:tcBorders>
              <w:top w:val="nil"/>
              <w:left w:val="nil"/>
              <w:bottom w:val="nil"/>
              <w:right w:val="nil"/>
            </w:tcBorders>
          </w:tcPr>
          <w:p w:rsidR="00E8309B" w:rsidRDefault="009D0949">
            <w:pPr>
              <w:tabs>
                <w:tab w:val="center" w:pos="1334"/>
              </w:tabs>
              <w:spacing w:after="0" w:line="259" w:lineRule="auto"/>
              <w:ind w:left="0" w:right="0" w:firstLine="0"/>
              <w:jc w:val="left"/>
            </w:pPr>
            <w:r>
              <w:rPr>
                <w:b/>
                <w:color w:val="474747"/>
                <w:sz w:val="18"/>
              </w:rPr>
              <w:t>2015</w:t>
            </w:r>
            <w:r>
              <w:rPr>
                <w:color w:val="474747"/>
                <w:sz w:val="18"/>
              </w:rPr>
              <w:t xml:space="preserve"> </w:t>
            </w:r>
            <w:r>
              <w:rPr>
                <w:color w:val="474747"/>
                <w:sz w:val="18"/>
              </w:rPr>
              <w:tab/>
              <w:t xml:space="preserve">-1,4 </w:t>
            </w:r>
          </w:p>
        </w:tc>
        <w:tc>
          <w:tcPr>
            <w:tcW w:w="1105" w:type="dxa"/>
            <w:tcBorders>
              <w:top w:val="nil"/>
              <w:left w:val="nil"/>
              <w:bottom w:val="nil"/>
              <w:right w:val="nil"/>
            </w:tcBorders>
          </w:tcPr>
          <w:p w:rsidR="00E8309B" w:rsidRDefault="009D0949">
            <w:pPr>
              <w:spacing w:after="0" w:line="259" w:lineRule="auto"/>
              <w:ind w:left="276" w:right="0" w:firstLine="0"/>
              <w:jc w:val="left"/>
            </w:pPr>
            <w:r>
              <w:rPr>
                <w:color w:val="474747"/>
                <w:sz w:val="18"/>
              </w:rPr>
              <w:t xml:space="preserve">-3,5 </w:t>
            </w:r>
          </w:p>
        </w:tc>
        <w:tc>
          <w:tcPr>
            <w:tcW w:w="1099" w:type="dxa"/>
            <w:tcBorders>
              <w:top w:val="nil"/>
              <w:left w:val="nil"/>
              <w:bottom w:val="nil"/>
              <w:right w:val="nil"/>
            </w:tcBorders>
          </w:tcPr>
          <w:p w:rsidR="00E8309B" w:rsidRDefault="009D0949">
            <w:pPr>
              <w:spacing w:after="0" w:line="259" w:lineRule="auto"/>
              <w:ind w:left="288" w:right="0" w:firstLine="0"/>
              <w:jc w:val="left"/>
            </w:pPr>
            <w:r>
              <w:rPr>
                <w:color w:val="474747"/>
                <w:sz w:val="18"/>
              </w:rPr>
              <w:t xml:space="preserve">-0,5 </w:t>
            </w:r>
          </w:p>
        </w:tc>
        <w:tc>
          <w:tcPr>
            <w:tcW w:w="1193" w:type="dxa"/>
            <w:tcBorders>
              <w:top w:val="nil"/>
              <w:left w:val="nil"/>
              <w:bottom w:val="nil"/>
              <w:right w:val="nil"/>
            </w:tcBorders>
          </w:tcPr>
          <w:p w:rsidR="00E8309B" w:rsidRDefault="009D0949">
            <w:pPr>
              <w:spacing w:after="0" w:line="259" w:lineRule="auto"/>
              <w:ind w:left="346" w:right="0" w:firstLine="0"/>
              <w:jc w:val="left"/>
            </w:pPr>
            <w:r>
              <w:rPr>
                <w:color w:val="474747"/>
                <w:sz w:val="18"/>
              </w:rPr>
              <w:t xml:space="preserve">-0,5 </w:t>
            </w:r>
          </w:p>
        </w:tc>
        <w:tc>
          <w:tcPr>
            <w:tcW w:w="1270" w:type="dxa"/>
            <w:tcBorders>
              <w:top w:val="nil"/>
              <w:left w:val="nil"/>
              <w:bottom w:val="nil"/>
              <w:right w:val="nil"/>
            </w:tcBorders>
          </w:tcPr>
          <w:p w:rsidR="00E8309B" w:rsidRDefault="009D0949">
            <w:pPr>
              <w:spacing w:after="0" w:line="259" w:lineRule="auto"/>
              <w:ind w:left="382" w:right="0" w:firstLine="0"/>
              <w:jc w:val="left"/>
            </w:pPr>
            <w:r>
              <w:rPr>
                <w:color w:val="474747"/>
                <w:sz w:val="18"/>
              </w:rPr>
              <w:t xml:space="preserve">-3,0 </w:t>
            </w:r>
          </w:p>
        </w:tc>
        <w:tc>
          <w:tcPr>
            <w:tcW w:w="1215" w:type="dxa"/>
            <w:tcBorders>
              <w:top w:val="nil"/>
              <w:left w:val="nil"/>
              <w:bottom w:val="nil"/>
              <w:right w:val="nil"/>
            </w:tcBorders>
          </w:tcPr>
          <w:p w:rsidR="00E8309B" w:rsidRDefault="009D0949">
            <w:pPr>
              <w:spacing w:after="0" w:line="259" w:lineRule="auto"/>
              <w:ind w:left="355" w:right="0" w:firstLine="0"/>
              <w:jc w:val="left"/>
            </w:pPr>
            <w:r>
              <w:rPr>
                <w:color w:val="474747"/>
                <w:sz w:val="18"/>
              </w:rPr>
              <w:t xml:space="preserve">-2,3 </w:t>
            </w:r>
          </w:p>
        </w:tc>
        <w:tc>
          <w:tcPr>
            <w:tcW w:w="1260" w:type="dxa"/>
            <w:tcBorders>
              <w:top w:val="nil"/>
              <w:left w:val="nil"/>
              <w:bottom w:val="nil"/>
              <w:right w:val="nil"/>
            </w:tcBorders>
          </w:tcPr>
          <w:p w:rsidR="00E8309B" w:rsidRDefault="009D0949">
            <w:pPr>
              <w:spacing w:after="0" w:line="259" w:lineRule="auto"/>
              <w:ind w:left="386" w:right="0" w:firstLine="0"/>
              <w:jc w:val="left"/>
            </w:pPr>
            <w:r>
              <w:rPr>
                <w:color w:val="474747"/>
                <w:sz w:val="18"/>
              </w:rPr>
              <w:t xml:space="preserve">0,6 </w:t>
            </w:r>
          </w:p>
        </w:tc>
        <w:tc>
          <w:tcPr>
            <w:tcW w:w="965" w:type="dxa"/>
            <w:tcBorders>
              <w:top w:val="nil"/>
              <w:left w:val="nil"/>
              <w:bottom w:val="nil"/>
              <w:right w:val="nil"/>
            </w:tcBorders>
          </w:tcPr>
          <w:p w:rsidR="00E8309B" w:rsidRDefault="009D0949">
            <w:pPr>
              <w:spacing w:after="0" w:line="259" w:lineRule="auto"/>
              <w:ind w:left="262" w:right="0" w:firstLine="0"/>
              <w:jc w:val="left"/>
            </w:pPr>
            <w:r>
              <w:rPr>
                <w:color w:val="474747"/>
                <w:sz w:val="18"/>
              </w:rPr>
              <w:t xml:space="preserve">-2,9 </w:t>
            </w:r>
          </w:p>
        </w:tc>
      </w:tr>
      <w:tr w:rsidR="00E8309B">
        <w:trPr>
          <w:trHeight w:val="245"/>
        </w:trPr>
        <w:tc>
          <w:tcPr>
            <w:tcW w:w="2079" w:type="dxa"/>
            <w:tcBorders>
              <w:top w:val="nil"/>
              <w:left w:val="nil"/>
              <w:bottom w:val="nil"/>
              <w:right w:val="nil"/>
            </w:tcBorders>
          </w:tcPr>
          <w:p w:rsidR="00E8309B" w:rsidRDefault="009D0949">
            <w:pPr>
              <w:tabs>
                <w:tab w:val="center" w:pos="1333"/>
              </w:tabs>
              <w:spacing w:after="0" w:line="259" w:lineRule="auto"/>
              <w:ind w:left="0" w:right="0" w:firstLine="0"/>
              <w:jc w:val="left"/>
            </w:pPr>
            <w:r>
              <w:rPr>
                <w:b/>
                <w:color w:val="474747"/>
                <w:sz w:val="18"/>
              </w:rPr>
              <w:t>2016</w:t>
            </w:r>
            <w:r>
              <w:rPr>
                <w:color w:val="474747"/>
                <w:sz w:val="18"/>
              </w:rPr>
              <w:t xml:space="preserve"> </w:t>
            </w:r>
            <w:r>
              <w:rPr>
                <w:color w:val="474747"/>
                <w:sz w:val="18"/>
              </w:rPr>
              <w:tab/>
              <w:t xml:space="preserve">0,0 </w:t>
            </w:r>
          </w:p>
        </w:tc>
        <w:tc>
          <w:tcPr>
            <w:tcW w:w="1105" w:type="dxa"/>
            <w:tcBorders>
              <w:top w:val="nil"/>
              <w:left w:val="nil"/>
              <w:bottom w:val="nil"/>
              <w:right w:val="nil"/>
            </w:tcBorders>
          </w:tcPr>
          <w:p w:rsidR="00E8309B" w:rsidRDefault="009D0949">
            <w:pPr>
              <w:spacing w:after="0" w:line="259" w:lineRule="auto"/>
              <w:ind w:left="276" w:right="0" w:firstLine="0"/>
              <w:jc w:val="left"/>
            </w:pPr>
            <w:r>
              <w:rPr>
                <w:color w:val="474747"/>
                <w:sz w:val="18"/>
              </w:rPr>
              <w:t xml:space="preserve">-1,2 </w:t>
            </w:r>
          </w:p>
        </w:tc>
        <w:tc>
          <w:tcPr>
            <w:tcW w:w="1099" w:type="dxa"/>
            <w:tcBorders>
              <w:top w:val="nil"/>
              <w:left w:val="nil"/>
              <w:bottom w:val="nil"/>
              <w:right w:val="nil"/>
            </w:tcBorders>
          </w:tcPr>
          <w:p w:rsidR="00E8309B" w:rsidRDefault="009D0949">
            <w:pPr>
              <w:spacing w:after="0" w:line="259" w:lineRule="auto"/>
              <w:ind w:left="317" w:right="0" w:firstLine="0"/>
              <w:jc w:val="left"/>
            </w:pPr>
            <w:r>
              <w:rPr>
                <w:color w:val="474747"/>
                <w:sz w:val="18"/>
              </w:rPr>
              <w:t xml:space="preserve">1,7 </w:t>
            </w:r>
          </w:p>
        </w:tc>
        <w:tc>
          <w:tcPr>
            <w:tcW w:w="1193" w:type="dxa"/>
            <w:tcBorders>
              <w:top w:val="nil"/>
              <w:left w:val="nil"/>
              <w:bottom w:val="nil"/>
              <w:right w:val="nil"/>
            </w:tcBorders>
          </w:tcPr>
          <w:p w:rsidR="00E8309B" w:rsidRDefault="009D0949">
            <w:pPr>
              <w:spacing w:after="0" w:line="259" w:lineRule="auto"/>
              <w:ind w:left="374" w:right="0" w:firstLine="0"/>
              <w:jc w:val="left"/>
            </w:pPr>
            <w:r>
              <w:rPr>
                <w:color w:val="474747"/>
                <w:sz w:val="18"/>
              </w:rPr>
              <w:t xml:space="preserve">0,0 </w:t>
            </w:r>
          </w:p>
        </w:tc>
        <w:tc>
          <w:tcPr>
            <w:tcW w:w="1270" w:type="dxa"/>
            <w:tcBorders>
              <w:top w:val="nil"/>
              <w:left w:val="nil"/>
              <w:bottom w:val="nil"/>
              <w:right w:val="nil"/>
            </w:tcBorders>
          </w:tcPr>
          <w:p w:rsidR="00E8309B" w:rsidRDefault="009D0949">
            <w:pPr>
              <w:spacing w:after="0" w:line="259" w:lineRule="auto"/>
              <w:ind w:left="382" w:right="0" w:firstLine="0"/>
              <w:jc w:val="left"/>
            </w:pPr>
            <w:r>
              <w:rPr>
                <w:color w:val="474747"/>
                <w:sz w:val="18"/>
              </w:rPr>
              <w:t xml:space="preserve">-1,2 </w:t>
            </w:r>
          </w:p>
        </w:tc>
        <w:tc>
          <w:tcPr>
            <w:tcW w:w="1215" w:type="dxa"/>
            <w:tcBorders>
              <w:top w:val="nil"/>
              <w:left w:val="nil"/>
              <w:bottom w:val="nil"/>
              <w:right w:val="nil"/>
            </w:tcBorders>
          </w:tcPr>
          <w:p w:rsidR="00E8309B" w:rsidRDefault="009D0949">
            <w:pPr>
              <w:spacing w:after="0" w:line="259" w:lineRule="auto"/>
              <w:ind w:left="355" w:right="0" w:firstLine="0"/>
              <w:jc w:val="left"/>
            </w:pPr>
            <w:r>
              <w:rPr>
                <w:color w:val="474747"/>
                <w:sz w:val="18"/>
              </w:rPr>
              <w:t xml:space="preserve">-1,1 </w:t>
            </w:r>
          </w:p>
        </w:tc>
        <w:tc>
          <w:tcPr>
            <w:tcW w:w="1260" w:type="dxa"/>
            <w:tcBorders>
              <w:top w:val="nil"/>
              <w:left w:val="nil"/>
              <w:bottom w:val="nil"/>
              <w:right w:val="nil"/>
            </w:tcBorders>
          </w:tcPr>
          <w:p w:rsidR="00E8309B" w:rsidRDefault="009D0949">
            <w:pPr>
              <w:spacing w:after="0" w:line="259" w:lineRule="auto"/>
              <w:ind w:left="386" w:right="0" w:firstLine="0"/>
              <w:jc w:val="left"/>
            </w:pPr>
            <w:r>
              <w:rPr>
                <w:color w:val="474747"/>
                <w:sz w:val="18"/>
              </w:rPr>
              <w:t xml:space="preserve">1,8 </w:t>
            </w:r>
          </w:p>
        </w:tc>
        <w:tc>
          <w:tcPr>
            <w:tcW w:w="965" w:type="dxa"/>
            <w:tcBorders>
              <w:top w:val="nil"/>
              <w:left w:val="nil"/>
              <w:bottom w:val="nil"/>
              <w:right w:val="nil"/>
            </w:tcBorders>
          </w:tcPr>
          <w:p w:rsidR="00E8309B" w:rsidRDefault="009D0949">
            <w:pPr>
              <w:spacing w:after="0" w:line="259" w:lineRule="auto"/>
              <w:ind w:left="262" w:right="0" w:firstLine="0"/>
              <w:jc w:val="left"/>
            </w:pPr>
            <w:r>
              <w:rPr>
                <w:color w:val="474747"/>
                <w:sz w:val="18"/>
              </w:rPr>
              <w:t xml:space="preserve">-1,7 </w:t>
            </w:r>
          </w:p>
        </w:tc>
      </w:tr>
      <w:tr w:rsidR="00E8309B">
        <w:trPr>
          <w:trHeight w:val="244"/>
        </w:trPr>
        <w:tc>
          <w:tcPr>
            <w:tcW w:w="2079" w:type="dxa"/>
            <w:tcBorders>
              <w:top w:val="nil"/>
              <w:left w:val="nil"/>
              <w:bottom w:val="nil"/>
              <w:right w:val="nil"/>
            </w:tcBorders>
          </w:tcPr>
          <w:p w:rsidR="00E8309B" w:rsidRDefault="009D0949">
            <w:pPr>
              <w:tabs>
                <w:tab w:val="center" w:pos="1334"/>
              </w:tabs>
              <w:spacing w:after="0" w:line="259" w:lineRule="auto"/>
              <w:ind w:left="0" w:right="0" w:firstLine="0"/>
              <w:jc w:val="left"/>
            </w:pPr>
            <w:r>
              <w:rPr>
                <w:b/>
                <w:color w:val="474747"/>
                <w:sz w:val="18"/>
              </w:rPr>
              <w:t>2017</w:t>
            </w:r>
            <w:r>
              <w:rPr>
                <w:color w:val="474747"/>
                <w:sz w:val="18"/>
              </w:rPr>
              <w:t xml:space="preserve"> </w:t>
            </w:r>
            <w:r>
              <w:rPr>
                <w:color w:val="474747"/>
                <w:sz w:val="18"/>
              </w:rPr>
              <w:tab/>
              <w:t xml:space="preserve">-0,3 </w:t>
            </w:r>
          </w:p>
        </w:tc>
        <w:tc>
          <w:tcPr>
            <w:tcW w:w="1105" w:type="dxa"/>
            <w:tcBorders>
              <w:top w:val="nil"/>
              <w:left w:val="nil"/>
              <w:bottom w:val="nil"/>
              <w:right w:val="nil"/>
            </w:tcBorders>
          </w:tcPr>
          <w:p w:rsidR="00E8309B" w:rsidRDefault="009D0949">
            <w:pPr>
              <w:spacing w:after="0" w:line="259" w:lineRule="auto"/>
              <w:ind w:left="305" w:right="0" w:firstLine="0"/>
              <w:jc w:val="left"/>
            </w:pPr>
            <w:r>
              <w:rPr>
                <w:color w:val="474747"/>
                <w:sz w:val="18"/>
              </w:rPr>
              <w:t xml:space="preserve">1,1 </w:t>
            </w:r>
          </w:p>
        </w:tc>
        <w:tc>
          <w:tcPr>
            <w:tcW w:w="1099" w:type="dxa"/>
            <w:tcBorders>
              <w:top w:val="nil"/>
              <w:left w:val="nil"/>
              <w:bottom w:val="nil"/>
              <w:right w:val="nil"/>
            </w:tcBorders>
          </w:tcPr>
          <w:p w:rsidR="00E8309B" w:rsidRDefault="009D0949">
            <w:pPr>
              <w:spacing w:after="0" w:line="259" w:lineRule="auto"/>
              <w:ind w:left="317" w:right="0" w:firstLine="0"/>
              <w:jc w:val="left"/>
            </w:pPr>
            <w:r>
              <w:rPr>
                <w:color w:val="474747"/>
                <w:sz w:val="18"/>
              </w:rPr>
              <w:t xml:space="preserve">3,6 </w:t>
            </w:r>
          </w:p>
        </w:tc>
        <w:tc>
          <w:tcPr>
            <w:tcW w:w="1193" w:type="dxa"/>
            <w:tcBorders>
              <w:top w:val="nil"/>
              <w:left w:val="nil"/>
              <w:bottom w:val="nil"/>
              <w:right w:val="nil"/>
            </w:tcBorders>
          </w:tcPr>
          <w:p w:rsidR="00E8309B" w:rsidRDefault="009D0949">
            <w:pPr>
              <w:spacing w:after="0" w:line="259" w:lineRule="auto"/>
              <w:ind w:left="346" w:right="0" w:firstLine="0"/>
              <w:jc w:val="left"/>
            </w:pPr>
            <w:r>
              <w:rPr>
                <w:color w:val="474747"/>
                <w:sz w:val="18"/>
              </w:rPr>
              <w:t xml:space="preserve">-0,1 </w:t>
            </w:r>
          </w:p>
        </w:tc>
        <w:tc>
          <w:tcPr>
            <w:tcW w:w="1270" w:type="dxa"/>
            <w:tcBorders>
              <w:top w:val="nil"/>
              <w:left w:val="nil"/>
              <w:bottom w:val="nil"/>
              <w:right w:val="nil"/>
            </w:tcBorders>
          </w:tcPr>
          <w:p w:rsidR="00E8309B" w:rsidRDefault="009D0949">
            <w:pPr>
              <w:spacing w:after="0" w:line="259" w:lineRule="auto"/>
              <w:ind w:left="413" w:right="0" w:firstLine="0"/>
              <w:jc w:val="left"/>
            </w:pPr>
            <w:r>
              <w:rPr>
                <w:color w:val="474747"/>
                <w:sz w:val="18"/>
              </w:rPr>
              <w:t xml:space="preserve">1,2 </w:t>
            </w:r>
          </w:p>
        </w:tc>
        <w:tc>
          <w:tcPr>
            <w:tcW w:w="1215" w:type="dxa"/>
            <w:tcBorders>
              <w:top w:val="nil"/>
              <w:left w:val="nil"/>
              <w:bottom w:val="nil"/>
              <w:right w:val="nil"/>
            </w:tcBorders>
          </w:tcPr>
          <w:p w:rsidR="00E8309B" w:rsidRDefault="009D0949">
            <w:pPr>
              <w:spacing w:after="0" w:line="259" w:lineRule="auto"/>
              <w:ind w:left="386" w:right="0" w:firstLine="0"/>
              <w:jc w:val="left"/>
            </w:pPr>
            <w:r>
              <w:rPr>
                <w:color w:val="474747"/>
                <w:sz w:val="18"/>
              </w:rPr>
              <w:t xml:space="preserve">1,1 </w:t>
            </w:r>
          </w:p>
        </w:tc>
        <w:tc>
          <w:tcPr>
            <w:tcW w:w="1260" w:type="dxa"/>
            <w:tcBorders>
              <w:top w:val="nil"/>
              <w:left w:val="nil"/>
              <w:bottom w:val="nil"/>
              <w:right w:val="nil"/>
            </w:tcBorders>
          </w:tcPr>
          <w:p w:rsidR="00E8309B" w:rsidRDefault="009D0949">
            <w:pPr>
              <w:spacing w:after="0" w:line="259" w:lineRule="auto"/>
              <w:ind w:left="386" w:right="0" w:firstLine="0"/>
              <w:jc w:val="left"/>
            </w:pPr>
            <w:r>
              <w:rPr>
                <w:color w:val="474747"/>
                <w:sz w:val="18"/>
              </w:rPr>
              <w:t xml:space="preserve">3,6 </w:t>
            </w:r>
          </w:p>
        </w:tc>
        <w:tc>
          <w:tcPr>
            <w:tcW w:w="965" w:type="dxa"/>
            <w:tcBorders>
              <w:top w:val="nil"/>
              <w:left w:val="nil"/>
              <w:bottom w:val="nil"/>
              <w:right w:val="nil"/>
            </w:tcBorders>
          </w:tcPr>
          <w:p w:rsidR="00E8309B" w:rsidRDefault="009D0949">
            <w:pPr>
              <w:spacing w:after="0" w:line="259" w:lineRule="auto"/>
              <w:ind w:left="262" w:right="0" w:firstLine="0"/>
              <w:jc w:val="left"/>
            </w:pPr>
            <w:r>
              <w:rPr>
                <w:color w:val="474747"/>
                <w:sz w:val="18"/>
              </w:rPr>
              <w:t xml:space="preserve">-2,1 </w:t>
            </w:r>
          </w:p>
        </w:tc>
      </w:tr>
      <w:tr w:rsidR="00E8309B">
        <w:trPr>
          <w:trHeight w:val="244"/>
        </w:trPr>
        <w:tc>
          <w:tcPr>
            <w:tcW w:w="2079" w:type="dxa"/>
            <w:tcBorders>
              <w:top w:val="nil"/>
              <w:left w:val="nil"/>
              <w:bottom w:val="nil"/>
              <w:right w:val="nil"/>
            </w:tcBorders>
          </w:tcPr>
          <w:p w:rsidR="00E8309B" w:rsidRDefault="009D0949">
            <w:pPr>
              <w:tabs>
                <w:tab w:val="center" w:pos="1333"/>
              </w:tabs>
              <w:spacing w:after="0" w:line="259" w:lineRule="auto"/>
              <w:ind w:left="0" w:right="0" w:firstLine="0"/>
              <w:jc w:val="left"/>
            </w:pPr>
            <w:r>
              <w:rPr>
                <w:b/>
                <w:color w:val="474747"/>
                <w:sz w:val="18"/>
              </w:rPr>
              <w:t>2018</w:t>
            </w:r>
            <w:r>
              <w:rPr>
                <w:color w:val="474747"/>
                <w:sz w:val="18"/>
              </w:rPr>
              <w:t xml:space="preserve"> </w:t>
            </w:r>
            <w:r>
              <w:rPr>
                <w:color w:val="474747"/>
                <w:sz w:val="18"/>
              </w:rPr>
              <w:tab/>
              <w:t xml:space="preserve">1,1 </w:t>
            </w:r>
          </w:p>
        </w:tc>
        <w:tc>
          <w:tcPr>
            <w:tcW w:w="1105" w:type="dxa"/>
            <w:tcBorders>
              <w:top w:val="nil"/>
              <w:left w:val="nil"/>
              <w:bottom w:val="nil"/>
              <w:right w:val="nil"/>
            </w:tcBorders>
          </w:tcPr>
          <w:p w:rsidR="00E8309B" w:rsidRDefault="009D0949">
            <w:pPr>
              <w:spacing w:after="0" w:line="259" w:lineRule="auto"/>
              <w:ind w:left="305" w:right="0" w:firstLine="0"/>
              <w:jc w:val="left"/>
            </w:pPr>
            <w:r>
              <w:rPr>
                <w:color w:val="474747"/>
                <w:sz w:val="18"/>
              </w:rPr>
              <w:t xml:space="preserve">0,6 </w:t>
            </w:r>
          </w:p>
        </w:tc>
        <w:tc>
          <w:tcPr>
            <w:tcW w:w="1099" w:type="dxa"/>
            <w:tcBorders>
              <w:top w:val="nil"/>
              <w:left w:val="nil"/>
              <w:bottom w:val="nil"/>
              <w:right w:val="nil"/>
            </w:tcBorders>
          </w:tcPr>
          <w:p w:rsidR="00E8309B" w:rsidRDefault="009D0949">
            <w:pPr>
              <w:spacing w:after="0" w:line="259" w:lineRule="auto"/>
              <w:ind w:left="317" w:right="0" w:firstLine="0"/>
              <w:jc w:val="left"/>
            </w:pPr>
            <w:r>
              <w:rPr>
                <w:color w:val="474747"/>
                <w:sz w:val="18"/>
              </w:rPr>
              <w:t xml:space="preserve">2,7 </w:t>
            </w:r>
          </w:p>
        </w:tc>
        <w:tc>
          <w:tcPr>
            <w:tcW w:w="1193" w:type="dxa"/>
            <w:tcBorders>
              <w:top w:val="nil"/>
              <w:left w:val="nil"/>
              <w:bottom w:val="nil"/>
              <w:right w:val="nil"/>
            </w:tcBorders>
          </w:tcPr>
          <w:p w:rsidR="00E8309B" w:rsidRDefault="009D0949">
            <w:pPr>
              <w:spacing w:after="0" w:line="259" w:lineRule="auto"/>
              <w:ind w:left="374" w:right="0" w:firstLine="0"/>
              <w:jc w:val="left"/>
            </w:pPr>
            <w:r>
              <w:rPr>
                <w:color w:val="474747"/>
                <w:sz w:val="18"/>
              </w:rPr>
              <w:t xml:space="preserve">0,4 </w:t>
            </w:r>
          </w:p>
        </w:tc>
        <w:tc>
          <w:tcPr>
            <w:tcW w:w="1270" w:type="dxa"/>
            <w:tcBorders>
              <w:top w:val="nil"/>
              <w:left w:val="nil"/>
              <w:bottom w:val="nil"/>
              <w:right w:val="nil"/>
            </w:tcBorders>
          </w:tcPr>
          <w:p w:rsidR="00E8309B" w:rsidRDefault="009D0949">
            <w:pPr>
              <w:spacing w:after="0" w:line="259" w:lineRule="auto"/>
              <w:ind w:left="413" w:right="0" w:firstLine="0"/>
              <w:jc w:val="left"/>
            </w:pPr>
            <w:r>
              <w:rPr>
                <w:color w:val="474747"/>
                <w:sz w:val="18"/>
              </w:rPr>
              <w:t xml:space="preserve">0,2 </w:t>
            </w:r>
          </w:p>
        </w:tc>
        <w:tc>
          <w:tcPr>
            <w:tcW w:w="1215" w:type="dxa"/>
            <w:tcBorders>
              <w:top w:val="nil"/>
              <w:left w:val="nil"/>
              <w:bottom w:val="nil"/>
              <w:right w:val="nil"/>
            </w:tcBorders>
          </w:tcPr>
          <w:p w:rsidR="00E8309B" w:rsidRDefault="009D0949">
            <w:pPr>
              <w:spacing w:after="0" w:line="259" w:lineRule="auto"/>
              <w:ind w:left="386" w:right="0" w:firstLine="0"/>
              <w:jc w:val="left"/>
            </w:pPr>
            <w:r>
              <w:rPr>
                <w:color w:val="474747"/>
                <w:sz w:val="18"/>
              </w:rPr>
              <w:t xml:space="preserve">0,1 </w:t>
            </w:r>
          </w:p>
        </w:tc>
        <w:tc>
          <w:tcPr>
            <w:tcW w:w="1260" w:type="dxa"/>
            <w:tcBorders>
              <w:top w:val="nil"/>
              <w:left w:val="nil"/>
              <w:bottom w:val="nil"/>
              <w:right w:val="nil"/>
            </w:tcBorders>
          </w:tcPr>
          <w:p w:rsidR="00E8309B" w:rsidRDefault="009D0949">
            <w:pPr>
              <w:spacing w:after="0" w:line="259" w:lineRule="auto"/>
              <w:ind w:left="386" w:right="0" w:firstLine="0"/>
              <w:jc w:val="left"/>
            </w:pPr>
            <w:r>
              <w:rPr>
                <w:color w:val="474747"/>
                <w:sz w:val="18"/>
              </w:rPr>
              <w:t xml:space="preserve">2,2 </w:t>
            </w:r>
          </w:p>
        </w:tc>
        <w:tc>
          <w:tcPr>
            <w:tcW w:w="965" w:type="dxa"/>
            <w:tcBorders>
              <w:top w:val="nil"/>
              <w:left w:val="nil"/>
              <w:bottom w:val="nil"/>
              <w:right w:val="nil"/>
            </w:tcBorders>
          </w:tcPr>
          <w:p w:rsidR="00E8309B" w:rsidRDefault="009D0949">
            <w:pPr>
              <w:spacing w:after="0" w:line="259" w:lineRule="auto"/>
              <w:ind w:left="290" w:right="0" w:firstLine="0"/>
              <w:jc w:val="left"/>
            </w:pPr>
            <w:r>
              <w:rPr>
                <w:color w:val="474747"/>
                <w:sz w:val="18"/>
              </w:rPr>
              <w:t xml:space="preserve">1,4 </w:t>
            </w:r>
          </w:p>
        </w:tc>
      </w:tr>
      <w:tr w:rsidR="00E8309B">
        <w:trPr>
          <w:trHeight w:val="245"/>
        </w:trPr>
        <w:tc>
          <w:tcPr>
            <w:tcW w:w="2079" w:type="dxa"/>
            <w:tcBorders>
              <w:top w:val="nil"/>
              <w:left w:val="nil"/>
              <w:bottom w:val="nil"/>
              <w:right w:val="nil"/>
            </w:tcBorders>
          </w:tcPr>
          <w:p w:rsidR="00E8309B" w:rsidRDefault="009D0949">
            <w:pPr>
              <w:tabs>
                <w:tab w:val="center" w:pos="1333"/>
              </w:tabs>
              <w:spacing w:after="0" w:line="259" w:lineRule="auto"/>
              <w:ind w:left="0" w:right="0" w:firstLine="0"/>
              <w:jc w:val="left"/>
            </w:pPr>
            <w:r>
              <w:rPr>
                <w:b/>
                <w:color w:val="474747"/>
                <w:sz w:val="18"/>
              </w:rPr>
              <w:lastRenderedPageBreak/>
              <w:t>2019</w:t>
            </w:r>
            <w:r>
              <w:rPr>
                <w:color w:val="474747"/>
                <w:sz w:val="18"/>
              </w:rPr>
              <w:t xml:space="preserve"> </w:t>
            </w:r>
            <w:r>
              <w:rPr>
                <w:color w:val="474747"/>
                <w:sz w:val="18"/>
              </w:rPr>
              <w:tab/>
              <w:t xml:space="preserve">2,1 </w:t>
            </w:r>
          </w:p>
        </w:tc>
        <w:tc>
          <w:tcPr>
            <w:tcW w:w="1105" w:type="dxa"/>
            <w:tcBorders>
              <w:top w:val="nil"/>
              <w:left w:val="nil"/>
              <w:bottom w:val="nil"/>
              <w:right w:val="nil"/>
            </w:tcBorders>
          </w:tcPr>
          <w:p w:rsidR="00E8309B" w:rsidRDefault="009D0949">
            <w:pPr>
              <w:spacing w:after="0" w:line="259" w:lineRule="auto"/>
              <w:ind w:left="276" w:right="0" w:firstLine="0"/>
              <w:jc w:val="left"/>
            </w:pPr>
            <w:r>
              <w:rPr>
                <w:color w:val="474747"/>
                <w:sz w:val="18"/>
              </w:rPr>
              <w:t xml:space="preserve">-0,2 </w:t>
            </w:r>
          </w:p>
        </w:tc>
        <w:tc>
          <w:tcPr>
            <w:tcW w:w="1099" w:type="dxa"/>
            <w:tcBorders>
              <w:top w:val="nil"/>
              <w:left w:val="nil"/>
              <w:bottom w:val="nil"/>
              <w:right w:val="nil"/>
            </w:tcBorders>
          </w:tcPr>
          <w:p w:rsidR="00E8309B" w:rsidRDefault="009D0949">
            <w:pPr>
              <w:spacing w:after="0" w:line="259" w:lineRule="auto"/>
              <w:ind w:left="317" w:right="0" w:firstLine="0"/>
              <w:jc w:val="left"/>
            </w:pPr>
            <w:r>
              <w:rPr>
                <w:color w:val="474747"/>
                <w:sz w:val="18"/>
              </w:rPr>
              <w:t xml:space="preserve">1,8 </w:t>
            </w:r>
          </w:p>
        </w:tc>
        <w:tc>
          <w:tcPr>
            <w:tcW w:w="1193" w:type="dxa"/>
            <w:tcBorders>
              <w:top w:val="nil"/>
              <w:left w:val="nil"/>
              <w:bottom w:val="nil"/>
              <w:right w:val="nil"/>
            </w:tcBorders>
          </w:tcPr>
          <w:p w:rsidR="00E8309B" w:rsidRDefault="009D0949">
            <w:pPr>
              <w:spacing w:after="0" w:line="259" w:lineRule="auto"/>
              <w:ind w:left="374" w:right="0" w:firstLine="0"/>
              <w:jc w:val="left"/>
            </w:pPr>
            <w:r>
              <w:rPr>
                <w:color w:val="474747"/>
                <w:sz w:val="18"/>
              </w:rPr>
              <w:t xml:space="preserve">0,8 </w:t>
            </w:r>
          </w:p>
        </w:tc>
        <w:tc>
          <w:tcPr>
            <w:tcW w:w="1270" w:type="dxa"/>
            <w:tcBorders>
              <w:top w:val="nil"/>
              <w:left w:val="nil"/>
              <w:bottom w:val="nil"/>
              <w:right w:val="nil"/>
            </w:tcBorders>
          </w:tcPr>
          <w:p w:rsidR="00E8309B" w:rsidRDefault="009D0949">
            <w:pPr>
              <w:spacing w:after="0" w:line="259" w:lineRule="auto"/>
              <w:ind w:left="382" w:right="0" w:firstLine="0"/>
              <w:jc w:val="left"/>
            </w:pPr>
            <w:r>
              <w:rPr>
                <w:color w:val="474747"/>
                <w:sz w:val="18"/>
              </w:rPr>
              <w:t xml:space="preserve">-1,0 </w:t>
            </w:r>
          </w:p>
        </w:tc>
        <w:tc>
          <w:tcPr>
            <w:tcW w:w="1215" w:type="dxa"/>
            <w:tcBorders>
              <w:top w:val="nil"/>
              <w:left w:val="nil"/>
              <w:bottom w:val="nil"/>
              <w:right w:val="nil"/>
            </w:tcBorders>
          </w:tcPr>
          <w:p w:rsidR="00E8309B" w:rsidRDefault="009D0949">
            <w:pPr>
              <w:spacing w:after="0" w:line="259" w:lineRule="auto"/>
              <w:ind w:left="355" w:right="0" w:firstLine="0"/>
              <w:jc w:val="left"/>
            </w:pPr>
            <w:r>
              <w:rPr>
                <w:color w:val="474747"/>
                <w:sz w:val="18"/>
              </w:rPr>
              <w:t xml:space="preserve">-1,1 </w:t>
            </w:r>
          </w:p>
        </w:tc>
        <w:tc>
          <w:tcPr>
            <w:tcW w:w="1260" w:type="dxa"/>
            <w:tcBorders>
              <w:top w:val="nil"/>
              <w:left w:val="nil"/>
              <w:bottom w:val="nil"/>
              <w:right w:val="nil"/>
            </w:tcBorders>
          </w:tcPr>
          <w:p w:rsidR="00E8309B" w:rsidRDefault="009D0949">
            <w:pPr>
              <w:spacing w:after="0" w:line="259" w:lineRule="auto"/>
              <w:ind w:left="386" w:right="0" w:firstLine="0"/>
              <w:jc w:val="left"/>
            </w:pPr>
            <w:r>
              <w:rPr>
                <w:color w:val="474747"/>
                <w:sz w:val="18"/>
              </w:rPr>
              <w:t xml:space="preserve">0,9 </w:t>
            </w:r>
          </w:p>
        </w:tc>
        <w:tc>
          <w:tcPr>
            <w:tcW w:w="965" w:type="dxa"/>
            <w:tcBorders>
              <w:top w:val="nil"/>
              <w:left w:val="nil"/>
              <w:bottom w:val="nil"/>
              <w:right w:val="nil"/>
            </w:tcBorders>
          </w:tcPr>
          <w:p w:rsidR="00E8309B" w:rsidRDefault="009D0949">
            <w:pPr>
              <w:spacing w:after="0" w:line="259" w:lineRule="auto"/>
              <w:ind w:left="290" w:right="0" w:firstLine="0"/>
              <w:jc w:val="left"/>
            </w:pPr>
            <w:r>
              <w:rPr>
                <w:color w:val="474747"/>
                <w:sz w:val="18"/>
              </w:rPr>
              <w:t xml:space="preserve">1,3 </w:t>
            </w:r>
          </w:p>
        </w:tc>
      </w:tr>
      <w:tr w:rsidR="00E8309B">
        <w:trPr>
          <w:trHeight w:val="244"/>
        </w:trPr>
        <w:tc>
          <w:tcPr>
            <w:tcW w:w="2079" w:type="dxa"/>
            <w:tcBorders>
              <w:top w:val="nil"/>
              <w:left w:val="nil"/>
              <w:bottom w:val="nil"/>
              <w:right w:val="nil"/>
            </w:tcBorders>
          </w:tcPr>
          <w:p w:rsidR="00E8309B" w:rsidRDefault="009D0949">
            <w:pPr>
              <w:tabs>
                <w:tab w:val="center" w:pos="1334"/>
              </w:tabs>
              <w:spacing w:after="0" w:line="259" w:lineRule="auto"/>
              <w:ind w:left="0" w:right="0" w:firstLine="0"/>
              <w:jc w:val="left"/>
            </w:pPr>
            <w:r>
              <w:rPr>
                <w:b/>
                <w:color w:val="474747"/>
                <w:sz w:val="18"/>
              </w:rPr>
              <w:t>2020</w:t>
            </w:r>
            <w:r>
              <w:rPr>
                <w:color w:val="474747"/>
                <w:sz w:val="18"/>
              </w:rPr>
              <w:t xml:space="preserve"> </w:t>
            </w:r>
            <w:r>
              <w:rPr>
                <w:color w:val="474747"/>
                <w:sz w:val="18"/>
              </w:rPr>
              <w:tab/>
              <w:t xml:space="preserve">-2,1 </w:t>
            </w:r>
          </w:p>
        </w:tc>
        <w:tc>
          <w:tcPr>
            <w:tcW w:w="1105" w:type="dxa"/>
            <w:tcBorders>
              <w:top w:val="nil"/>
              <w:left w:val="nil"/>
              <w:bottom w:val="nil"/>
              <w:right w:val="nil"/>
            </w:tcBorders>
          </w:tcPr>
          <w:p w:rsidR="00E8309B" w:rsidRDefault="009D0949">
            <w:pPr>
              <w:spacing w:after="0" w:line="259" w:lineRule="auto"/>
              <w:ind w:left="276" w:right="0" w:firstLine="0"/>
              <w:jc w:val="left"/>
            </w:pPr>
            <w:r>
              <w:rPr>
                <w:color w:val="474747"/>
                <w:sz w:val="18"/>
              </w:rPr>
              <w:t xml:space="preserve">-8,9 </w:t>
            </w:r>
          </w:p>
        </w:tc>
        <w:tc>
          <w:tcPr>
            <w:tcW w:w="1099" w:type="dxa"/>
            <w:tcBorders>
              <w:top w:val="nil"/>
              <w:left w:val="nil"/>
              <w:bottom w:val="nil"/>
              <w:right w:val="nil"/>
            </w:tcBorders>
          </w:tcPr>
          <w:p w:rsidR="00E8309B" w:rsidRDefault="009D0949">
            <w:pPr>
              <w:spacing w:after="0" w:line="259" w:lineRule="auto"/>
              <w:ind w:left="288" w:right="0" w:firstLine="0"/>
              <w:jc w:val="left"/>
            </w:pPr>
            <w:r>
              <w:rPr>
                <w:color w:val="474747"/>
                <w:sz w:val="18"/>
              </w:rPr>
              <w:t xml:space="preserve">-6,9 </w:t>
            </w:r>
          </w:p>
        </w:tc>
        <w:tc>
          <w:tcPr>
            <w:tcW w:w="1193" w:type="dxa"/>
            <w:tcBorders>
              <w:top w:val="nil"/>
              <w:left w:val="nil"/>
              <w:bottom w:val="nil"/>
              <w:right w:val="nil"/>
            </w:tcBorders>
          </w:tcPr>
          <w:p w:rsidR="00E8309B" w:rsidRDefault="009D0949">
            <w:pPr>
              <w:spacing w:after="0" w:line="259" w:lineRule="auto"/>
              <w:ind w:left="346" w:right="0" w:firstLine="0"/>
              <w:jc w:val="left"/>
            </w:pPr>
            <w:r>
              <w:rPr>
                <w:color w:val="474747"/>
                <w:sz w:val="18"/>
              </w:rPr>
              <w:t xml:space="preserve">-0,8 </w:t>
            </w:r>
          </w:p>
        </w:tc>
        <w:tc>
          <w:tcPr>
            <w:tcW w:w="1270" w:type="dxa"/>
            <w:tcBorders>
              <w:top w:val="nil"/>
              <w:left w:val="nil"/>
              <w:bottom w:val="nil"/>
              <w:right w:val="nil"/>
            </w:tcBorders>
          </w:tcPr>
          <w:p w:rsidR="00E8309B" w:rsidRDefault="009D0949">
            <w:pPr>
              <w:spacing w:after="0" w:line="259" w:lineRule="auto"/>
              <w:ind w:left="382" w:right="0" w:firstLine="0"/>
              <w:jc w:val="left"/>
            </w:pPr>
            <w:r>
              <w:rPr>
                <w:color w:val="474747"/>
                <w:sz w:val="18"/>
              </w:rPr>
              <w:t>-8,2</w:t>
            </w:r>
            <w:r>
              <w:rPr>
                <w:color w:val="474747"/>
                <w:sz w:val="18"/>
              </w:rPr>
              <w:t xml:space="preserve"> </w:t>
            </w:r>
          </w:p>
        </w:tc>
        <w:tc>
          <w:tcPr>
            <w:tcW w:w="1215" w:type="dxa"/>
            <w:tcBorders>
              <w:top w:val="nil"/>
              <w:left w:val="nil"/>
              <w:bottom w:val="nil"/>
              <w:right w:val="nil"/>
            </w:tcBorders>
          </w:tcPr>
          <w:p w:rsidR="00E8309B" w:rsidRDefault="009D0949">
            <w:pPr>
              <w:spacing w:after="0" w:line="259" w:lineRule="auto"/>
              <w:ind w:left="355" w:right="0" w:firstLine="0"/>
              <w:jc w:val="left"/>
            </w:pPr>
            <w:r>
              <w:rPr>
                <w:color w:val="474747"/>
                <w:sz w:val="18"/>
              </w:rPr>
              <w:t xml:space="preserve">-1,2 </w:t>
            </w:r>
          </w:p>
        </w:tc>
        <w:tc>
          <w:tcPr>
            <w:tcW w:w="1260" w:type="dxa"/>
            <w:tcBorders>
              <w:top w:val="nil"/>
              <w:left w:val="nil"/>
              <w:bottom w:val="nil"/>
              <w:right w:val="nil"/>
            </w:tcBorders>
          </w:tcPr>
          <w:p w:rsidR="00E8309B" w:rsidRDefault="009D0949">
            <w:pPr>
              <w:spacing w:after="0" w:line="259" w:lineRule="auto"/>
              <w:ind w:left="386" w:right="0" w:firstLine="0"/>
              <w:jc w:val="left"/>
            </w:pPr>
            <w:r>
              <w:rPr>
                <w:color w:val="474747"/>
                <w:sz w:val="18"/>
              </w:rPr>
              <w:t xml:space="preserve">0,8 </w:t>
            </w:r>
          </w:p>
        </w:tc>
        <w:tc>
          <w:tcPr>
            <w:tcW w:w="965" w:type="dxa"/>
            <w:tcBorders>
              <w:top w:val="nil"/>
              <w:left w:val="nil"/>
              <w:bottom w:val="nil"/>
              <w:right w:val="nil"/>
            </w:tcBorders>
          </w:tcPr>
          <w:p w:rsidR="00E8309B" w:rsidRDefault="009D0949">
            <w:pPr>
              <w:spacing w:after="0" w:line="259" w:lineRule="auto"/>
              <w:ind w:left="290" w:right="0" w:firstLine="0"/>
              <w:jc w:val="left"/>
            </w:pPr>
            <w:r>
              <w:rPr>
                <w:color w:val="474747"/>
                <w:sz w:val="18"/>
              </w:rPr>
              <w:t xml:space="preserve">7,2 </w:t>
            </w:r>
          </w:p>
        </w:tc>
      </w:tr>
      <w:tr w:rsidR="00E8309B">
        <w:trPr>
          <w:trHeight w:val="244"/>
        </w:trPr>
        <w:tc>
          <w:tcPr>
            <w:tcW w:w="2079" w:type="dxa"/>
            <w:tcBorders>
              <w:top w:val="nil"/>
              <w:left w:val="nil"/>
              <w:bottom w:val="nil"/>
              <w:right w:val="nil"/>
            </w:tcBorders>
          </w:tcPr>
          <w:p w:rsidR="00E8309B" w:rsidRDefault="009D0949">
            <w:pPr>
              <w:tabs>
                <w:tab w:val="center" w:pos="1333"/>
              </w:tabs>
              <w:spacing w:after="0" w:line="259" w:lineRule="auto"/>
              <w:ind w:left="0" w:right="0" w:firstLine="0"/>
              <w:jc w:val="left"/>
            </w:pPr>
            <w:r>
              <w:rPr>
                <w:b/>
                <w:color w:val="474747"/>
                <w:sz w:val="18"/>
              </w:rPr>
              <w:t>2021</w:t>
            </w:r>
            <w:r>
              <w:rPr>
                <w:color w:val="474747"/>
                <w:sz w:val="18"/>
              </w:rPr>
              <w:t xml:space="preserve"> </w:t>
            </w:r>
            <w:r>
              <w:rPr>
                <w:color w:val="474747"/>
                <w:sz w:val="18"/>
              </w:rPr>
              <w:tab/>
              <w:t xml:space="preserve">0,2 </w:t>
            </w:r>
          </w:p>
        </w:tc>
        <w:tc>
          <w:tcPr>
            <w:tcW w:w="1105" w:type="dxa"/>
            <w:tcBorders>
              <w:top w:val="nil"/>
              <w:left w:val="nil"/>
              <w:bottom w:val="nil"/>
              <w:right w:val="nil"/>
            </w:tcBorders>
          </w:tcPr>
          <w:p w:rsidR="00E8309B" w:rsidRDefault="009D0949">
            <w:pPr>
              <w:spacing w:after="0" w:line="259" w:lineRule="auto"/>
              <w:ind w:left="276" w:right="0" w:firstLine="0"/>
              <w:jc w:val="left"/>
            </w:pPr>
            <w:r>
              <w:rPr>
                <w:color w:val="474747"/>
                <w:sz w:val="18"/>
              </w:rPr>
              <w:t xml:space="preserve">-3,0 </w:t>
            </w:r>
          </w:p>
        </w:tc>
        <w:tc>
          <w:tcPr>
            <w:tcW w:w="1099" w:type="dxa"/>
            <w:tcBorders>
              <w:top w:val="nil"/>
              <w:left w:val="nil"/>
              <w:bottom w:val="nil"/>
              <w:right w:val="nil"/>
            </w:tcBorders>
          </w:tcPr>
          <w:p w:rsidR="00E8309B" w:rsidRDefault="009D0949">
            <w:pPr>
              <w:spacing w:after="0" w:line="259" w:lineRule="auto"/>
              <w:ind w:left="288" w:right="0" w:firstLine="0"/>
              <w:jc w:val="left"/>
            </w:pPr>
            <w:r>
              <w:rPr>
                <w:color w:val="474747"/>
                <w:sz w:val="18"/>
              </w:rPr>
              <w:t xml:space="preserve">-1,1 </w:t>
            </w:r>
          </w:p>
        </w:tc>
        <w:tc>
          <w:tcPr>
            <w:tcW w:w="1193" w:type="dxa"/>
            <w:tcBorders>
              <w:top w:val="nil"/>
              <w:left w:val="nil"/>
              <w:bottom w:val="nil"/>
              <w:right w:val="nil"/>
            </w:tcBorders>
          </w:tcPr>
          <w:p w:rsidR="00E8309B" w:rsidRDefault="009D0949">
            <w:pPr>
              <w:spacing w:after="0" w:line="259" w:lineRule="auto"/>
              <w:ind w:left="374" w:right="0" w:firstLine="0"/>
              <w:jc w:val="left"/>
            </w:pPr>
            <w:r>
              <w:rPr>
                <w:color w:val="474747"/>
                <w:sz w:val="18"/>
              </w:rPr>
              <w:t xml:space="preserve">0,1 </w:t>
            </w:r>
          </w:p>
        </w:tc>
        <w:tc>
          <w:tcPr>
            <w:tcW w:w="1270" w:type="dxa"/>
            <w:tcBorders>
              <w:top w:val="nil"/>
              <w:left w:val="nil"/>
              <w:bottom w:val="nil"/>
              <w:right w:val="nil"/>
            </w:tcBorders>
          </w:tcPr>
          <w:p w:rsidR="00E8309B" w:rsidRDefault="009D0949">
            <w:pPr>
              <w:spacing w:after="0" w:line="259" w:lineRule="auto"/>
              <w:ind w:left="382" w:right="0" w:firstLine="0"/>
              <w:jc w:val="left"/>
            </w:pPr>
            <w:r>
              <w:rPr>
                <w:color w:val="474747"/>
                <w:sz w:val="18"/>
              </w:rPr>
              <w:t xml:space="preserve">-3,1 </w:t>
            </w:r>
          </w:p>
        </w:tc>
        <w:tc>
          <w:tcPr>
            <w:tcW w:w="1215" w:type="dxa"/>
            <w:tcBorders>
              <w:top w:val="nil"/>
              <w:left w:val="nil"/>
              <w:bottom w:val="nil"/>
              <w:right w:val="nil"/>
            </w:tcBorders>
          </w:tcPr>
          <w:p w:rsidR="00E8309B" w:rsidRDefault="009D0949">
            <w:pPr>
              <w:spacing w:after="0" w:line="259" w:lineRule="auto"/>
              <w:ind w:left="355" w:right="0" w:firstLine="0"/>
              <w:jc w:val="left"/>
            </w:pPr>
            <w:r>
              <w:rPr>
                <w:color w:val="474747"/>
                <w:sz w:val="18"/>
              </w:rPr>
              <w:t xml:space="preserve">-3,7 </w:t>
            </w:r>
          </w:p>
        </w:tc>
        <w:tc>
          <w:tcPr>
            <w:tcW w:w="1260" w:type="dxa"/>
            <w:tcBorders>
              <w:top w:val="nil"/>
              <w:left w:val="nil"/>
              <w:bottom w:val="nil"/>
              <w:right w:val="nil"/>
            </w:tcBorders>
          </w:tcPr>
          <w:p w:rsidR="00E8309B" w:rsidRDefault="009D0949">
            <w:pPr>
              <w:spacing w:after="0" w:line="259" w:lineRule="auto"/>
              <w:ind w:left="355" w:right="0" w:firstLine="0"/>
              <w:jc w:val="left"/>
            </w:pPr>
            <w:r>
              <w:rPr>
                <w:color w:val="474747"/>
                <w:sz w:val="18"/>
              </w:rPr>
              <w:t xml:space="preserve">-1,8 </w:t>
            </w:r>
          </w:p>
        </w:tc>
        <w:tc>
          <w:tcPr>
            <w:tcW w:w="965" w:type="dxa"/>
            <w:tcBorders>
              <w:top w:val="nil"/>
              <w:left w:val="nil"/>
              <w:bottom w:val="nil"/>
              <w:right w:val="nil"/>
            </w:tcBorders>
          </w:tcPr>
          <w:p w:rsidR="00E8309B" w:rsidRDefault="009D0949">
            <w:pPr>
              <w:spacing w:after="0" w:line="259" w:lineRule="auto"/>
              <w:ind w:left="262" w:right="0" w:firstLine="0"/>
              <w:jc w:val="left"/>
            </w:pPr>
            <w:r>
              <w:rPr>
                <w:color w:val="474747"/>
                <w:sz w:val="18"/>
              </w:rPr>
              <w:t xml:space="preserve">-5,0 </w:t>
            </w:r>
          </w:p>
        </w:tc>
      </w:tr>
      <w:tr w:rsidR="00E8309B">
        <w:trPr>
          <w:trHeight w:val="245"/>
        </w:trPr>
        <w:tc>
          <w:tcPr>
            <w:tcW w:w="2079" w:type="dxa"/>
            <w:tcBorders>
              <w:top w:val="nil"/>
              <w:left w:val="nil"/>
              <w:bottom w:val="nil"/>
              <w:right w:val="nil"/>
            </w:tcBorders>
          </w:tcPr>
          <w:p w:rsidR="00E8309B" w:rsidRDefault="009D0949">
            <w:pPr>
              <w:tabs>
                <w:tab w:val="center" w:pos="1333"/>
              </w:tabs>
              <w:spacing w:after="0" w:line="259" w:lineRule="auto"/>
              <w:ind w:left="0" w:right="0" w:firstLine="0"/>
              <w:jc w:val="left"/>
            </w:pPr>
            <w:r>
              <w:rPr>
                <w:b/>
                <w:color w:val="474747"/>
                <w:sz w:val="18"/>
              </w:rPr>
              <w:t>2022</w:t>
            </w:r>
            <w:r>
              <w:rPr>
                <w:color w:val="474747"/>
                <w:sz w:val="18"/>
              </w:rPr>
              <w:t xml:space="preserve"> </w:t>
            </w:r>
            <w:r>
              <w:rPr>
                <w:color w:val="474747"/>
                <w:sz w:val="18"/>
              </w:rPr>
              <w:tab/>
              <w:t xml:space="preserve">0,4 </w:t>
            </w:r>
          </w:p>
        </w:tc>
        <w:tc>
          <w:tcPr>
            <w:tcW w:w="1105" w:type="dxa"/>
            <w:tcBorders>
              <w:top w:val="nil"/>
              <w:left w:val="nil"/>
              <w:bottom w:val="nil"/>
              <w:right w:val="nil"/>
            </w:tcBorders>
          </w:tcPr>
          <w:p w:rsidR="00E8309B" w:rsidRDefault="009D0949">
            <w:pPr>
              <w:spacing w:after="0" w:line="259" w:lineRule="auto"/>
              <w:ind w:left="276" w:right="0" w:firstLine="0"/>
              <w:jc w:val="left"/>
            </w:pPr>
            <w:r>
              <w:rPr>
                <w:color w:val="474747"/>
                <w:sz w:val="18"/>
              </w:rPr>
              <w:t xml:space="preserve">-1,5 </w:t>
            </w:r>
          </w:p>
        </w:tc>
        <w:tc>
          <w:tcPr>
            <w:tcW w:w="1099" w:type="dxa"/>
            <w:tcBorders>
              <w:top w:val="nil"/>
              <w:left w:val="nil"/>
              <w:bottom w:val="nil"/>
              <w:right w:val="nil"/>
            </w:tcBorders>
          </w:tcPr>
          <w:p w:rsidR="00E8309B" w:rsidRDefault="009D0949">
            <w:pPr>
              <w:spacing w:after="0" w:line="259" w:lineRule="auto"/>
              <w:ind w:left="317" w:right="0" w:firstLine="0"/>
              <w:jc w:val="left"/>
            </w:pPr>
            <w:r>
              <w:rPr>
                <w:color w:val="474747"/>
                <w:sz w:val="18"/>
              </w:rPr>
              <w:t xml:space="preserve">0,3 </w:t>
            </w:r>
          </w:p>
        </w:tc>
        <w:tc>
          <w:tcPr>
            <w:tcW w:w="1193" w:type="dxa"/>
            <w:tcBorders>
              <w:top w:val="nil"/>
              <w:left w:val="nil"/>
              <w:bottom w:val="nil"/>
              <w:right w:val="nil"/>
            </w:tcBorders>
          </w:tcPr>
          <w:p w:rsidR="00E8309B" w:rsidRDefault="009D0949">
            <w:pPr>
              <w:spacing w:after="0" w:line="259" w:lineRule="auto"/>
              <w:ind w:left="374" w:right="0" w:firstLine="0"/>
              <w:jc w:val="left"/>
            </w:pPr>
            <w:r>
              <w:rPr>
                <w:color w:val="474747"/>
                <w:sz w:val="18"/>
              </w:rPr>
              <w:t xml:space="preserve">0,1 </w:t>
            </w:r>
          </w:p>
        </w:tc>
        <w:tc>
          <w:tcPr>
            <w:tcW w:w="1270" w:type="dxa"/>
            <w:tcBorders>
              <w:top w:val="nil"/>
              <w:left w:val="nil"/>
              <w:bottom w:val="nil"/>
              <w:right w:val="nil"/>
            </w:tcBorders>
          </w:tcPr>
          <w:p w:rsidR="00E8309B" w:rsidRDefault="009D0949">
            <w:pPr>
              <w:spacing w:after="0" w:line="259" w:lineRule="auto"/>
              <w:ind w:left="382" w:right="0" w:firstLine="0"/>
              <w:jc w:val="left"/>
            </w:pPr>
            <w:r>
              <w:rPr>
                <w:color w:val="474747"/>
                <w:sz w:val="18"/>
              </w:rPr>
              <w:t xml:space="preserve">-1,6 </w:t>
            </w:r>
          </w:p>
        </w:tc>
        <w:tc>
          <w:tcPr>
            <w:tcW w:w="1215" w:type="dxa"/>
            <w:tcBorders>
              <w:top w:val="nil"/>
              <w:left w:val="nil"/>
              <w:bottom w:val="nil"/>
              <w:right w:val="nil"/>
            </w:tcBorders>
          </w:tcPr>
          <w:p w:rsidR="00E8309B" w:rsidRDefault="009D0949">
            <w:pPr>
              <w:spacing w:after="0" w:line="259" w:lineRule="auto"/>
              <w:ind w:left="355" w:right="0" w:firstLine="0"/>
              <w:jc w:val="left"/>
            </w:pPr>
            <w:r>
              <w:rPr>
                <w:color w:val="474747"/>
                <w:sz w:val="18"/>
              </w:rPr>
              <w:t xml:space="preserve">-2,3 </w:t>
            </w:r>
          </w:p>
        </w:tc>
        <w:tc>
          <w:tcPr>
            <w:tcW w:w="1260" w:type="dxa"/>
            <w:tcBorders>
              <w:top w:val="nil"/>
              <w:left w:val="nil"/>
              <w:bottom w:val="nil"/>
              <w:right w:val="nil"/>
            </w:tcBorders>
          </w:tcPr>
          <w:p w:rsidR="00E8309B" w:rsidRDefault="009D0949">
            <w:pPr>
              <w:spacing w:after="0" w:line="259" w:lineRule="auto"/>
              <w:ind w:left="355" w:right="0" w:firstLine="0"/>
              <w:jc w:val="left"/>
            </w:pPr>
            <w:r>
              <w:rPr>
                <w:color w:val="474747"/>
                <w:sz w:val="18"/>
              </w:rPr>
              <w:t xml:space="preserve">-0,5 </w:t>
            </w:r>
          </w:p>
        </w:tc>
        <w:tc>
          <w:tcPr>
            <w:tcW w:w="965" w:type="dxa"/>
            <w:tcBorders>
              <w:top w:val="nil"/>
              <w:left w:val="nil"/>
              <w:bottom w:val="nil"/>
              <w:right w:val="nil"/>
            </w:tcBorders>
          </w:tcPr>
          <w:p w:rsidR="00E8309B" w:rsidRDefault="009D0949">
            <w:pPr>
              <w:spacing w:after="0" w:line="259" w:lineRule="auto"/>
              <w:ind w:left="262" w:right="0" w:firstLine="0"/>
              <w:jc w:val="left"/>
            </w:pPr>
            <w:r>
              <w:rPr>
                <w:color w:val="474747"/>
                <w:sz w:val="18"/>
              </w:rPr>
              <w:t xml:space="preserve">-1,3 </w:t>
            </w:r>
          </w:p>
        </w:tc>
      </w:tr>
      <w:tr w:rsidR="00E8309B">
        <w:trPr>
          <w:trHeight w:val="267"/>
        </w:trPr>
        <w:tc>
          <w:tcPr>
            <w:tcW w:w="2079" w:type="dxa"/>
            <w:tcBorders>
              <w:top w:val="nil"/>
              <w:left w:val="nil"/>
              <w:bottom w:val="single" w:sz="4" w:space="0" w:color="002060"/>
              <w:right w:val="nil"/>
            </w:tcBorders>
          </w:tcPr>
          <w:p w:rsidR="00E8309B" w:rsidRDefault="009D0949">
            <w:pPr>
              <w:tabs>
                <w:tab w:val="center" w:pos="1333"/>
              </w:tabs>
              <w:spacing w:after="0" w:line="259" w:lineRule="auto"/>
              <w:ind w:left="0" w:right="0" w:firstLine="0"/>
              <w:jc w:val="left"/>
            </w:pPr>
            <w:r>
              <w:rPr>
                <w:b/>
                <w:color w:val="474747"/>
                <w:sz w:val="18"/>
              </w:rPr>
              <w:t>2023</w:t>
            </w:r>
            <w:r>
              <w:rPr>
                <w:color w:val="474747"/>
                <w:sz w:val="18"/>
              </w:rPr>
              <w:t xml:space="preserve"> </w:t>
            </w:r>
            <w:r>
              <w:rPr>
                <w:color w:val="474747"/>
                <w:sz w:val="18"/>
              </w:rPr>
              <w:tab/>
              <w:t xml:space="preserve">0,4 </w:t>
            </w:r>
          </w:p>
        </w:tc>
        <w:tc>
          <w:tcPr>
            <w:tcW w:w="1105" w:type="dxa"/>
            <w:tcBorders>
              <w:top w:val="nil"/>
              <w:left w:val="nil"/>
              <w:bottom w:val="single" w:sz="4" w:space="0" w:color="002060"/>
              <w:right w:val="nil"/>
            </w:tcBorders>
          </w:tcPr>
          <w:p w:rsidR="00E8309B" w:rsidRDefault="009D0949">
            <w:pPr>
              <w:spacing w:after="0" w:line="259" w:lineRule="auto"/>
              <w:ind w:left="276" w:right="0" w:firstLine="0"/>
              <w:jc w:val="left"/>
            </w:pPr>
            <w:r>
              <w:rPr>
                <w:color w:val="474747"/>
                <w:sz w:val="18"/>
              </w:rPr>
              <w:t xml:space="preserve">-1,0 </w:t>
            </w:r>
          </w:p>
        </w:tc>
        <w:tc>
          <w:tcPr>
            <w:tcW w:w="1099" w:type="dxa"/>
            <w:tcBorders>
              <w:top w:val="nil"/>
              <w:left w:val="nil"/>
              <w:bottom w:val="single" w:sz="4" w:space="0" w:color="002060"/>
              <w:right w:val="nil"/>
            </w:tcBorders>
          </w:tcPr>
          <w:p w:rsidR="00E8309B" w:rsidRDefault="009D0949">
            <w:pPr>
              <w:spacing w:after="0" w:line="259" w:lineRule="auto"/>
              <w:ind w:left="317" w:right="0" w:firstLine="0"/>
              <w:jc w:val="left"/>
            </w:pPr>
            <w:r>
              <w:rPr>
                <w:color w:val="474747"/>
                <w:sz w:val="18"/>
              </w:rPr>
              <w:t xml:space="preserve">0,6 </w:t>
            </w:r>
          </w:p>
        </w:tc>
        <w:tc>
          <w:tcPr>
            <w:tcW w:w="1193" w:type="dxa"/>
            <w:tcBorders>
              <w:top w:val="nil"/>
              <w:left w:val="nil"/>
              <w:bottom w:val="single" w:sz="4" w:space="0" w:color="002060"/>
              <w:right w:val="nil"/>
            </w:tcBorders>
          </w:tcPr>
          <w:p w:rsidR="00E8309B" w:rsidRDefault="009D0949">
            <w:pPr>
              <w:spacing w:after="0" w:line="259" w:lineRule="auto"/>
              <w:ind w:left="374" w:right="0" w:firstLine="0"/>
              <w:jc w:val="left"/>
            </w:pPr>
            <w:r>
              <w:rPr>
                <w:color w:val="474747"/>
                <w:sz w:val="18"/>
              </w:rPr>
              <w:t xml:space="preserve">0,2 </w:t>
            </w:r>
          </w:p>
        </w:tc>
        <w:tc>
          <w:tcPr>
            <w:tcW w:w="1270" w:type="dxa"/>
            <w:tcBorders>
              <w:top w:val="nil"/>
              <w:left w:val="nil"/>
              <w:bottom w:val="single" w:sz="4" w:space="0" w:color="002060"/>
              <w:right w:val="nil"/>
            </w:tcBorders>
          </w:tcPr>
          <w:p w:rsidR="00E8309B" w:rsidRDefault="009D0949">
            <w:pPr>
              <w:spacing w:after="0" w:line="259" w:lineRule="auto"/>
              <w:ind w:left="382" w:right="0" w:firstLine="0"/>
              <w:jc w:val="left"/>
            </w:pPr>
            <w:r>
              <w:rPr>
                <w:color w:val="474747"/>
                <w:sz w:val="18"/>
              </w:rPr>
              <w:t xml:space="preserve">-1,2 </w:t>
            </w:r>
          </w:p>
        </w:tc>
        <w:tc>
          <w:tcPr>
            <w:tcW w:w="1215" w:type="dxa"/>
            <w:tcBorders>
              <w:top w:val="nil"/>
              <w:left w:val="nil"/>
              <w:bottom w:val="single" w:sz="4" w:space="0" w:color="002060"/>
              <w:right w:val="nil"/>
            </w:tcBorders>
          </w:tcPr>
          <w:p w:rsidR="00E8309B" w:rsidRDefault="009D0949">
            <w:pPr>
              <w:spacing w:after="0" w:line="259" w:lineRule="auto"/>
              <w:ind w:left="355" w:right="0" w:firstLine="0"/>
              <w:jc w:val="left"/>
            </w:pPr>
            <w:r>
              <w:rPr>
                <w:color w:val="474747"/>
                <w:sz w:val="18"/>
              </w:rPr>
              <w:t xml:space="preserve">-1,2 </w:t>
            </w:r>
          </w:p>
        </w:tc>
        <w:tc>
          <w:tcPr>
            <w:tcW w:w="1260" w:type="dxa"/>
            <w:tcBorders>
              <w:top w:val="nil"/>
              <w:left w:val="nil"/>
              <w:bottom w:val="single" w:sz="4" w:space="0" w:color="002060"/>
              <w:right w:val="nil"/>
            </w:tcBorders>
          </w:tcPr>
          <w:p w:rsidR="00E8309B" w:rsidRDefault="009D0949">
            <w:pPr>
              <w:spacing w:after="0" w:line="259" w:lineRule="auto"/>
              <w:ind w:left="386" w:right="0" w:firstLine="0"/>
              <w:jc w:val="left"/>
            </w:pPr>
            <w:r>
              <w:rPr>
                <w:color w:val="474747"/>
                <w:sz w:val="18"/>
              </w:rPr>
              <w:t xml:space="preserve">0,4 </w:t>
            </w:r>
          </w:p>
        </w:tc>
        <w:tc>
          <w:tcPr>
            <w:tcW w:w="965" w:type="dxa"/>
            <w:tcBorders>
              <w:top w:val="nil"/>
              <w:left w:val="nil"/>
              <w:bottom w:val="single" w:sz="4" w:space="0" w:color="002060"/>
              <w:right w:val="nil"/>
            </w:tcBorders>
          </w:tcPr>
          <w:p w:rsidR="00E8309B" w:rsidRDefault="009D0949">
            <w:pPr>
              <w:spacing w:after="0" w:line="259" w:lineRule="auto"/>
              <w:ind w:left="262" w:right="0" w:firstLine="0"/>
              <w:jc w:val="left"/>
            </w:pPr>
            <w:r>
              <w:rPr>
                <w:color w:val="474747"/>
                <w:sz w:val="18"/>
              </w:rPr>
              <w:t xml:space="preserve">-0,3 </w:t>
            </w:r>
          </w:p>
        </w:tc>
      </w:tr>
    </w:tbl>
    <w:p w:rsidR="00E8309B" w:rsidRDefault="009D0949">
      <w:pPr>
        <w:spacing w:after="0" w:line="269" w:lineRule="auto"/>
        <w:ind w:left="-5" w:right="53"/>
        <w:jc w:val="left"/>
      </w:pPr>
      <w:r>
        <w:rPr>
          <w:sz w:val="16"/>
        </w:rPr>
        <w:t xml:space="preserve">* За период 2020–2023. године приказане су пројектоване вредности. </w:t>
      </w:r>
    </w:p>
    <w:p w:rsidR="00E8309B" w:rsidRDefault="009D0949">
      <w:pPr>
        <w:spacing w:after="170" w:line="269" w:lineRule="auto"/>
        <w:ind w:left="-5" w:right="53"/>
        <w:jc w:val="left"/>
      </w:pPr>
      <w:r>
        <w:rPr>
          <w:sz w:val="16"/>
        </w:rPr>
        <w:t>** Структурни примарни биланс добијен је искључивањем процењених једнократних прихода и расхода. Резултати који приказују промену структурног примарног дефицита не искључују експлицитно ефекте повећања ефикасности наплате прихода, па се оцена структурног п</w:t>
      </w:r>
      <w:r>
        <w:rPr>
          <w:sz w:val="16"/>
        </w:rPr>
        <w:t xml:space="preserve">рилагођавања у 2015. и 2016. години делимично разликује од претходно приказаних ефеката. Извор: Министарство финансија </w:t>
      </w:r>
    </w:p>
    <w:p w:rsidR="00E8309B" w:rsidRDefault="009D0949">
      <w:pPr>
        <w:ind w:left="-5" w:right="17"/>
      </w:pPr>
      <w:r>
        <w:t xml:space="preserve">Избијањем пандемије и увођењем мера за здравствену заштиту становништва, глобална економија је ушла у кризу без преседана. Специфичност </w:t>
      </w:r>
      <w:r>
        <w:t>кризе огледа се у самом узроку који није економске већ здравствене природе, при чему начин борбе у обуздавању даљег ширења вируса производи додатне негативне економске ефекте. Утицај на фискалну позицију је видљив кроз смањене приходе буџета, који су после</w:t>
      </w:r>
      <w:r>
        <w:t>дица успоравања економске активности услед пандемије, и драматично већих расхода условљених већим трошковима здравствене заштите и доношењем обимног пакета помоћи привреди и грађанима. У таквој ситуацији, уобичајена анализа привредног циклуса, квантификаци</w:t>
      </w:r>
      <w:r>
        <w:t xml:space="preserve">ја фискалних мултипликатора и оцена еластичности фискалног баланса у односу на производни јаз не даје сасвим коректне оцене фискалне позиције земље. </w:t>
      </w:r>
    </w:p>
    <w:p w:rsidR="00E8309B" w:rsidRDefault="009D0949">
      <w:pPr>
        <w:spacing w:after="0"/>
        <w:ind w:left="-5" w:right="17"/>
      </w:pPr>
      <w:r>
        <w:t>Одговор фискалне политике на сложену економску ситуацију узроковану пандемијом коронавируса представљен је</w:t>
      </w:r>
      <w:r>
        <w:t xml:space="preserve"> опсежним пакетом мера помоћи привреди чија је вредност процењена на 12,5% БДП. Оцењено је да директан утицај економског пакета на цикличну позицију земље износи око 10% БДП, при чему негативан производни јаз износи око 2,1% </w:t>
      </w:r>
    </w:p>
    <w:p w:rsidR="00E8309B" w:rsidRDefault="009D0949">
      <w:pPr>
        <w:spacing w:after="25" w:line="269" w:lineRule="auto"/>
        <w:ind w:left="-5" w:right="0"/>
        <w:jc w:val="left"/>
      </w:pPr>
      <w:r>
        <w:t xml:space="preserve">БДП. У случају одсуства мера подршке привреди и становништву пад БДП у 2020. години био би знатно већи, и износио би око 5% услед веће контракције привреде и споријег опоравка, а производни јаз би достигао око 6% БДП. </w:t>
      </w:r>
    </w:p>
    <w:p w:rsidR="00E8309B" w:rsidRDefault="009D0949">
      <w:pPr>
        <w:spacing w:after="102"/>
        <w:ind w:left="-5" w:right="17"/>
      </w:pPr>
      <w:r>
        <w:t>Оцењена негативна циклична компонента фискалног резултата у 2020. години износи само 0,8% БДП. Иако циклична анализа фискалног резултата наговештава да би уштеде настале неспровођењем пакета мера надмашиле фискалне губитке услед већег пада БДП, дугорочни н</w:t>
      </w:r>
      <w:r>
        <w:t xml:space="preserve">егативни ефекти губитка производних потенцијала и људских ресурса би били немерљиво већи. </w:t>
      </w:r>
    </w:p>
    <w:p w:rsidR="00E8309B" w:rsidRDefault="009D0949">
      <w:pPr>
        <w:ind w:left="-5" w:right="17"/>
      </w:pPr>
      <w:r>
        <w:t xml:space="preserve">Графикон 9. Производни јаз, стварни, циклично прилагођени и структурни фискални биланс у периоду 2005–2023. године, % БДП* </w:t>
      </w:r>
    </w:p>
    <w:p w:rsidR="00E8309B" w:rsidRDefault="009D0949">
      <w:pPr>
        <w:spacing w:after="0" w:line="259" w:lineRule="auto"/>
        <w:ind w:left="0" w:right="254" w:firstLine="0"/>
        <w:jc w:val="right"/>
      </w:pPr>
      <w:r>
        <w:rPr>
          <w:noProof/>
        </w:rPr>
        <w:drawing>
          <wp:inline distT="0" distB="0" distL="0" distR="0">
            <wp:extent cx="5943600" cy="2567305"/>
            <wp:effectExtent l="0" t="0" r="0" b="0"/>
            <wp:docPr id="14435" name="Picture 14435"/>
            <wp:cNvGraphicFramePr/>
            <a:graphic xmlns:a="http://schemas.openxmlformats.org/drawingml/2006/main">
              <a:graphicData uri="http://schemas.openxmlformats.org/drawingml/2006/picture">
                <pic:pic xmlns:pic="http://schemas.openxmlformats.org/drawingml/2006/picture">
                  <pic:nvPicPr>
                    <pic:cNvPr id="14435" name="Picture 14435"/>
                    <pic:cNvPicPr/>
                  </pic:nvPicPr>
                  <pic:blipFill>
                    <a:blip r:embed="rId150"/>
                    <a:stretch>
                      <a:fillRect/>
                    </a:stretch>
                  </pic:blipFill>
                  <pic:spPr>
                    <a:xfrm>
                      <a:off x="0" y="0"/>
                      <a:ext cx="5943600" cy="2567305"/>
                    </a:xfrm>
                    <a:prstGeom prst="rect">
                      <a:avLst/>
                    </a:prstGeom>
                  </pic:spPr>
                </pic:pic>
              </a:graphicData>
            </a:graphic>
          </wp:inline>
        </w:drawing>
      </w:r>
      <w:r>
        <w:rPr>
          <w:b/>
          <w:color w:val="002060"/>
          <w:sz w:val="20"/>
        </w:rPr>
        <w:t xml:space="preserve"> </w:t>
      </w:r>
    </w:p>
    <w:p w:rsidR="00E8309B" w:rsidRDefault="009D0949">
      <w:pPr>
        <w:spacing w:after="257" w:line="269" w:lineRule="auto"/>
        <w:ind w:left="-5" w:right="53"/>
        <w:jc w:val="left"/>
      </w:pPr>
      <w:r>
        <w:rPr>
          <w:sz w:val="16"/>
        </w:rPr>
        <w:t xml:space="preserve">Извор: Министарство финансија </w:t>
      </w:r>
    </w:p>
    <w:p w:rsidR="00E8309B" w:rsidRDefault="009D0949">
      <w:pPr>
        <w:spacing w:after="6"/>
        <w:ind w:left="-5" w:right="17"/>
      </w:pPr>
      <w:r>
        <w:t>Графико</w:t>
      </w:r>
      <w:r>
        <w:t>н 10. Карактер и ефекти фискалне политике у периоду 2006–2023. године, % БДП</w:t>
      </w:r>
      <w:r>
        <w:rPr>
          <w:sz w:val="22"/>
        </w:rPr>
        <w:t xml:space="preserve"> </w:t>
      </w:r>
    </w:p>
    <w:p w:rsidR="00E8309B" w:rsidRDefault="009D0949">
      <w:pPr>
        <w:spacing w:after="0" w:line="259" w:lineRule="auto"/>
        <w:ind w:left="0" w:right="384" w:firstLine="0"/>
        <w:jc w:val="right"/>
      </w:pPr>
      <w:r>
        <w:rPr>
          <w:noProof/>
        </w:rPr>
        <w:lastRenderedPageBreak/>
        <w:drawing>
          <wp:inline distT="0" distB="0" distL="0" distR="0">
            <wp:extent cx="5865749" cy="2256790"/>
            <wp:effectExtent l="0" t="0" r="0" b="0"/>
            <wp:docPr id="14437" name="Picture 14437"/>
            <wp:cNvGraphicFramePr/>
            <a:graphic xmlns:a="http://schemas.openxmlformats.org/drawingml/2006/main">
              <a:graphicData uri="http://schemas.openxmlformats.org/drawingml/2006/picture">
                <pic:pic xmlns:pic="http://schemas.openxmlformats.org/drawingml/2006/picture">
                  <pic:nvPicPr>
                    <pic:cNvPr id="14437" name="Picture 14437"/>
                    <pic:cNvPicPr/>
                  </pic:nvPicPr>
                  <pic:blipFill>
                    <a:blip r:embed="rId151"/>
                    <a:stretch>
                      <a:fillRect/>
                    </a:stretch>
                  </pic:blipFill>
                  <pic:spPr>
                    <a:xfrm>
                      <a:off x="0" y="0"/>
                      <a:ext cx="5865749" cy="2256790"/>
                    </a:xfrm>
                    <a:prstGeom prst="rect">
                      <a:avLst/>
                    </a:prstGeom>
                  </pic:spPr>
                </pic:pic>
              </a:graphicData>
            </a:graphic>
          </wp:inline>
        </w:drawing>
      </w:r>
      <w:r>
        <w:rPr>
          <w:sz w:val="16"/>
        </w:rPr>
        <w:t xml:space="preserve"> </w:t>
      </w:r>
    </w:p>
    <w:p w:rsidR="00E8309B" w:rsidRDefault="009D0949">
      <w:pPr>
        <w:spacing w:after="8" w:line="269" w:lineRule="auto"/>
        <w:ind w:left="-5" w:right="53"/>
        <w:jc w:val="left"/>
      </w:pPr>
      <w:r>
        <w:rPr>
          <w:sz w:val="16"/>
        </w:rPr>
        <w:t xml:space="preserve">*За период 2021–2023. године приказане су пројектоване вредности. </w:t>
      </w:r>
    </w:p>
    <w:p w:rsidR="00E8309B" w:rsidRDefault="009D0949">
      <w:pPr>
        <w:spacing w:after="170" w:line="269" w:lineRule="auto"/>
        <w:ind w:left="-5" w:right="53"/>
        <w:jc w:val="left"/>
      </w:pPr>
      <w:r>
        <w:rPr>
          <w:sz w:val="16"/>
        </w:rPr>
        <w:t xml:space="preserve">Извор: Министарство финансија </w:t>
      </w:r>
    </w:p>
    <w:p w:rsidR="00E8309B" w:rsidRDefault="009D0949">
      <w:pPr>
        <w:spacing w:after="103"/>
        <w:ind w:left="-5" w:right="17"/>
      </w:pPr>
      <w:r>
        <w:t xml:space="preserve">Структурна фискална позиција земље није нарушена због тога што су спроведене </w:t>
      </w:r>
      <w:r>
        <w:t>мере помоћи привреди из домена фискалне политике привременог карактера. Ипак, у наредном средњорочном периоду на кретање структурног фискалног резултата ће утицати пренете пореске обавезе из 2020. године у 2021. и 2022. годину. Уплата прихода по основу одл</w:t>
      </w:r>
      <w:r>
        <w:t xml:space="preserve">агања пореза и доприноса у 2020. години имаће привремени (неструктурни) ефекат на структурни биланс у 2021. и 2022. години. </w:t>
      </w:r>
    </w:p>
    <w:p w:rsidR="00E8309B" w:rsidRDefault="009D0949">
      <w:pPr>
        <w:spacing w:after="118"/>
        <w:ind w:left="-5" w:right="17"/>
      </w:pPr>
      <w:r>
        <w:t>Како је фискални импулс дефинисан као разлика два узастопна циклично прилагођена (примарна) резултата, оцењујемо да је фискална пол</w:t>
      </w:r>
      <w:r>
        <w:t>итика током 2018 и 2019. године, у условима позитивног производног јаза, имала проциклични карактер. Са друге стране, фискална политика током 2020. године је експанзивно-контрациклична, усмерена на ублажавање негативног економског циклуса. У периоду од 202</w:t>
      </w:r>
      <w:r>
        <w:t xml:space="preserve">1. до 2023. године фискална политика има начелно контрациклични карактер који се огледа и у постављеном циљу брзог уравнотежења и стабилизације јавних финансија. </w:t>
      </w:r>
    </w:p>
    <w:p w:rsidR="00E8309B" w:rsidRDefault="009D0949">
      <w:pPr>
        <w:spacing w:after="6"/>
        <w:ind w:left="-5" w:right="17"/>
      </w:pPr>
      <w:r>
        <w:t>Графикон 11. Карактер и ефекти фискалне политике у периоду 2006–2020. године, % БДП</w:t>
      </w:r>
      <w:r>
        <w:rPr>
          <w:sz w:val="22"/>
        </w:rPr>
        <w:t xml:space="preserve"> </w:t>
      </w:r>
    </w:p>
    <w:p w:rsidR="00E8309B" w:rsidRDefault="009D0949">
      <w:pPr>
        <w:spacing w:after="0" w:line="259" w:lineRule="auto"/>
        <w:ind w:left="0" w:right="729" w:firstLine="0"/>
        <w:jc w:val="right"/>
      </w:pPr>
      <w:r>
        <w:rPr>
          <w:noProof/>
        </w:rPr>
        <w:drawing>
          <wp:inline distT="0" distB="0" distL="0" distR="0">
            <wp:extent cx="5637530" cy="3199638"/>
            <wp:effectExtent l="0" t="0" r="0" b="0"/>
            <wp:docPr id="14528" name="Picture 14528"/>
            <wp:cNvGraphicFramePr/>
            <a:graphic xmlns:a="http://schemas.openxmlformats.org/drawingml/2006/main">
              <a:graphicData uri="http://schemas.openxmlformats.org/drawingml/2006/picture">
                <pic:pic xmlns:pic="http://schemas.openxmlformats.org/drawingml/2006/picture">
                  <pic:nvPicPr>
                    <pic:cNvPr id="14528" name="Picture 14528"/>
                    <pic:cNvPicPr/>
                  </pic:nvPicPr>
                  <pic:blipFill>
                    <a:blip r:embed="rId152"/>
                    <a:stretch>
                      <a:fillRect/>
                    </a:stretch>
                  </pic:blipFill>
                  <pic:spPr>
                    <a:xfrm>
                      <a:off x="0" y="0"/>
                      <a:ext cx="5637530" cy="3199638"/>
                    </a:xfrm>
                    <a:prstGeom prst="rect">
                      <a:avLst/>
                    </a:prstGeom>
                  </pic:spPr>
                </pic:pic>
              </a:graphicData>
            </a:graphic>
          </wp:inline>
        </w:drawing>
      </w:r>
      <w:r>
        <w:rPr>
          <w:b/>
          <w:sz w:val="22"/>
        </w:rPr>
        <w:t xml:space="preserve"> </w:t>
      </w:r>
    </w:p>
    <w:p w:rsidR="00E8309B" w:rsidRDefault="009D0949">
      <w:pPr>
        <w:spacing w:after="491" w:line="269" w:lineRule="auto"/>
        <w:ind w:left="-5" w:right="53"/>
        <w:jc w:val="left"/>
      </w:pPr>
      <w:r>
        <w:rPr>
          <w:sz w:val="16"/>
        </w:rPr>
        <w:t xml:space="preserve">Извор: Министарство финансија </w:t>
      </w:r>
    </w:p>
    <w:p w:rsidR="00E8309B" w:rsidRDefault="009D0949">
      <w:pPr>
        <w:pStyle w:val="Heading2"/>
        <w:spacing w:after="148"/>
        <w:ind w:left="405" w:right="9" w:hanging="420"/>
      </w:pPr>
      <w:r>
        <w:lastRenderedPageBreak/>
        <w:t xml:space="preserve">УПРАВЉАЊЕ ЈАВНИМ ДУГОМ </w:t>
      </w:r>
    </w:p>
    <w:p w:rsidR="00E8309B" w:rsidRDefault="009D0949">
      <w:pPr>
        <w:spacing w:after="9"/>
        <w:ind w:left="-5" w:right="17"/>
      </w:pPr>
      <w:r>
        <w:t xml:space="preserve">У складу са међународном праксом и према Закону о јавном дугу („Сл. гласник РСˮ, бр. 61/05, 107/09, 78/11, 68/15, 95/18, 91/19 и 149/20), Министарство финансија Републике Србије - </w:t>
      </w:r>
    </w:p>
    <w:p w:rsidR="00E8309B" w:rsidRDefault="009D0949">
      <w:pPr>
        <w:ind w:left="-5" w:right="17"/>
      </w:pPr>
      <w:r>
        <w:t xml:space="preserve">Управа за јавни дуг </w:t>
      </w:r>
      <w:r>
        <w:t>припрема Стратегију управљања јавним дугом за наредни средњорочни период. Стратегија управљања јавним дугом треба да буде подржана и конзистентна са општим Владиним средњорочним макроекономским оквиром и саставни је део Фискалне стратегије. Стратегија упра</w:t>
      </w:r>
      <w:r>
        <w:t xml:space="preserve">вљања јавним дугом заснива се на принципима који дефинишу потребу за транспарентним и предвидивим процесом задуживања, уз перманентан развој тржишта државних хартија од вредности и прихватљив ниво изложености финансијским ризицима. </w:t>
      </w:r>
    </w:p>
    <w:p w:rsidR="00E8309B" w:rsidRDefault="009D0949">
      <w:pPr>
        <w:ind w:left="-5" w:right="17"/>
      </w:pPr>
      <w:r>
        <w:t xml:space="preserve">На крају oктобра 2020. </w:t>
      </w:r>
      <w:r>
        <w:t>године укупно стање јавног дуга општег нивоа државе износило је 3.184,6 млрд динара, односно 57,7% БДП. Од тога се на обавезе централног нивоа државе односило 3.137,5 млрд динара, док се 37,1 млрд динара односило на негарантовани дуг јединица локалне власт</w:t>
      </w:r>
      <w:r>
        <w:t>и и 10,0 млрд динара на негарантовани дуг ЈП Путеви Србије и Коридора Србије. Директне обавезе централног нивоа државе износиле су 2.970,7 млрд динара, а индиректне обавезе централног нивоа власти износиле су 166,8 млрд динара. Унутрашњи јавни дуг централн</w:t>
      </w:r>
      <w:r>
        <w:t>ог нивоа власти је износио 1,323.9 млрд динара, а спољни јавни дуг 1.813,6 млрд динара. Према подацима од 31. октобра 2020. године, највећи део јавног дуга општег нивоа државе Републике Србије је и даље деноминован у еврима и износи 47,3%. Затим су највише</w:t>
      </w:r>
      <w:r>
        <w:t xml:space="preserve"> заступљени динар са 29,5 % и амерички долар са 16,4%. Остатак дуга је деноминован у специјалним правима вучења 2,3% и осталим валутама 4,5%. На дан 31. октобар 2020. године, највећи део јавног дуга општег нивоа државе Републике Србије је са фиксном каматн</w:t>
      </w:r>
      <w:r>
        <w:t xml:space="preserve">ом стопом – 85,4%, док се на јавни дуг са варијабилном каматном стопом односи 14,6% укупног јавног дуга. Међу варијабилним каматним стопама највише су заступљени EURIBOR и LIBOR на евро који чине 82,6%, затим каматна стопа за специјална права вучења 11,9% </w:t>
      </w:r>
      <w:r>
        <w:t xml:space="preserve">и LIBOR на амерички долар 3,3%, док је учешће обавеза са осталим каматним стопама 2,2%. </w:t>
      </w:r>
    </w:p>
    <w:p w:rsidR="00E8309B" w:rsidRDefault="009D0949">
      <w:pPr>
        <w:ind w:left="-5" w:right="17"/>
      </w:pPr>
      <w:r>
        <w:t>Фискални оквир у периоду 2021-2023. године: Пандемија Ковид 2019 и њени ефекти на светска и домаћа економска кретања обележила су 2020. годину. Једнократно повећање де</w:t>
      </w:r>
      <w:r>
        <w:t>фицита и јавног дуга је неизбежна последице интервентних мера у циљу неутралисања ефеката кризе. Фискални пакет мера био је усмерен на помоћ привредним субјектима, очување животног стандарда становништва и улагање у здравствени систем. Истовремено, настоја</w:t>
      </w:r>
      <w:r>
        <w:t>ло се да се не зауставе развојни програми и инфраструктурни пројекти финансирани из буџета. Како пандемија Ковид-19 није завршена, предстојећи период пун је неизвесности. Планирање економске и, посебно, фискалне политике првенствено ће зависити од сузбијањ</w:t>
      </w:r>
      <w:r>
        <w:t xml:space="preserve">а пандемије и њеног окончања. Опште је опредељење да се у периоду након кризе изазване пандемијом омогући постепено уравнотежење и стабилизација јавних финансија, како би се смањило учешће јавног дуга у БДП и створиле основе за стабилан привредни раст. До </w:t>
      </w:r>
      <w:r>
        <w:t xml:space="preserve">тада, потребно је обезбедити могућност правовремене реакције фискалне политике у случају продубљивања кризе. Циљеви фискалне политике свакако су усмерени на одржање фискалне стабилности и смањење учешћа јавног дуга у БДП. </w:t>
      </w:r>
    </w:p>
    <w:p w:rsidR="00E8309B" w:rsidRDefault="009D0949">
      <w:pPr>
        <w:spacing w:after="203"/>
        <w:ind w:left="-5" w:right="17"/>
      </w:pPr>
      <w:r>
        <w:t>Имајући у виду пројектовани резул</w:t>
      </w:r>
      <w:r>
        <w:t>тат буџета Републике Србије за период 2021–2023. године, укључујући и обим повлачења кредитних средстава за пројектно финансирање од буџетских корисника, ефекте промене девизног курса динара према евру и америчком долару, у основном макроекономском сценари</w:t>
      </w:r>
      <w:r>
        <w:t xml:space="preserve">ју, стање дуга централног нивоа државе требало би да буде на нивоу од 55,0% БДП на крају 2023. године. </w:t>
      </w:r>
    </w:p>
    <w:p w:rsidR="00E8309B" w:rsidRDefault="009D0949">
      <w:pPr>
        <w:tabs>
          <w:tab w:val="center" w:pos="8934"/>
        </w:tabs>
        <w:spacing w:after="6"/>
        <w:ind w:left="-15" w:right="0" w:firstLine="0"/>
        <w:jc w:val="left"/>
      </w:pPr>
      <w:r>
        <w:t>Табела 12. Основна пројекција стања јавног дуга општег нивоа државе до 2023. године</w:t>
      </w:r>
      <w:r>
        <w:rPr>
          <w:sz w:val="31"/>
          <w:vertAlign w:val="subscript"/>
        </w:rPr>
        <w:t xml:space="preserve"> </w:t>
      </w:r>
      <w:r>
        <w:rPr>
          <w:sz w:val="31"/>
          <w:vertAlign w:val="subscript"/>
        </w:rPr>
        <w:tab/>
      </w:r>
      <w:r>
        <w:t xml:space="preserve"> </w:t>
      </w:r>
    </w:p>
    <w:tbl>
      <w:tblPr>
        <w:tblStyle w:val="TableGrid"/>
        <w:tblW w:w="9655" w:type="dxa"/>
        <w:tblInd w:w="-15" w:type="dxa"/>
        <w:tblCellMar>
          <w:top w:w="31" w:type="dxa"/>
          <w:left w:w="0" w:type="dxa"/>
          <w:bottom w:w="31" w:type="dxa"/>
          <w:right w:w="59" w:type="dxa"/>
        </w:tblCellMar>
        <w:tblLook w:val="04A0" w:firstRow="1" w:lastRow="0" w:firstColumn="1" w:lastColumn="0" w:noHBand="0" w:noVBand="1"/>
      </w:tblPr>
      <w:tblGrid>
        <w:gridCol w:w="6102"/>
        <w:gridCol w:w="948"/>
        <w:gridCol w:w="949"/>
        <w:gridCol w:w="948"/>
        <w:gridCol w:w="708"/>
      </w:tblGrid>
      <w:tr w:rsidR="00E8309B">
        <w:trPr>
          <w:trHeight w:val="293"/>
        </w:trPr>
        <w:tc>
          <w:tcPr>
            <w:tcW w:w="6102" w:type="dxa"/>
            <w:vMerge w:val="restart"/>
            <w:tcBorders>
              <w:top w:val="single" w:sz="4" w:space="0" w:color="002060"/>
              <w:left w:val="nil"/>
              <w:bottom w:val="nil"/>
              <w:right w:val="nil"/>
            </w:tcBorders>
            <w:vAlign w:val="bottom"/>
          </w:tcPr>
          <w:p w:rsidR="00E8309B" w:rsidRDefault="009D0949">
            <w:pPr>
              <w:spacing w:after="0" w:line="259" w:lineRule="auto"/>
              <w:ind w:left="123" w:right="0" w:firstLine="0"/>
              <w:jc w:val="left"/>
            </w:pPr>
            <w:r>
              <w:rPr>
                <w:sz w:val="20"/>
              </w:rPr>
              <w:lastRenderedPageBreak/>
              <w:t xml:space="preserve">Јавни дуг (централни ниво власти) </w:t>
            </w:r>
          </w:p>
        </w:tc>
        <w:tc>
          <w:tcPr>
            <w:tcW w:w="948" w:type="dxa"/>
            <w:tcBorders>
              <w:top w:val="single" w:sz="4" w:space="0" w:color="002060"/>
              <w:left w:val="nil"/>
              <w:bottom w:val="single" w:sz="4" w:space="0" w:color="002060"/>
              <w:right w:val="nil"/>
            </w:tcBorders>
          </w:tcPr>
          <w:p w:rsidR="00E8309B" w:rsidRDefault="009D0949">
            <w:pPr>
              <w:spacing w:after="0" w:line="259" w:lineRule="auto"/>
              <w:ind w:left="34" w:right="0" w:firstLine="0"/>
              <w:jc w:val="left"/>
            </w:pPr>
            <w:r>
              <w:rPr>
                <w:b/>
                <w:sz w:val="20"/>
              </w:rPr>
              <w:t>2020 п</w:t>
            </w:r>
            <w:r>
              <w:rPr>
                <w:sz w:val="20"/>
              </w:rPr>
              <w:t xml:space="preserve"> </w:t>
            </w:r>
          </w:p>
        </w:tc>
        <w:tc>
          <w:tcPr>
            <w:tcW w:w="949" w:type="dxa"/>
            <w:tcBorders>
              <w:top w:val="single" w:sz="4" w:space="0" w:color="002060"/>
              <w:left w:val="nil"/>
              <w:bottom w:val="single" w:sz="4" w:space="0" w:color="002060"/>
              <w:right w:val="nil"/>
            </w:tcBorders>
          </w:tcPr>
          <w:p w:rsidR="00E8309B" w:rsidRDefault="009D0949">
            <w:pPr>
              <w:spacing w:after="0" w:line="259" w:lineRule="auto"/>
              <w:ind w:left="34" w:right="0" w:firstLine="0"/>
              <w:jc w:val="left"/>
            </w:pPr>
            <w:r>
              <w:rPr>
                <w:b/>
                <w:sz w:val="20"/>
              </w:rPr>
              <w:t>2021 п</w:t>
            </w:r>
            <w:r>
              <w:rPr>
                <w:sz w:val="20"/>
              </w:rPr>
              <w:t xml:space="preserve"> </w:t>
            </w:r>
          </w:p>
        </w:tc>
        <w:tc>
          <w:tcPr>
            <w:tcW w:w="948" w:type="dxa"/>
            <w:tcBorders>
              <w:top w:val="single" w:sz="4" w:space="0" w:color="002060"/>
              <w:left w:val="nil"/>
              <w:bottom w:val="single" w:sz="4" w:space="0" w:color="002060"/>
              <w:right w:val="nil"/>
            </w:tcBorders>
          </w:tcPr>
          <w:p w:rsidR="00E8309B" w:rsidRDefault="009D0949">
            <w:pPr>
              <w:spacing w:after="0" w:line="259" w:lineRule="auto"/>
              <w:ind w:left="34" w:right="0" w:firstLine="0"/>
              <w:jc w:val="left"/>
            </w:pPr>
            <w:r>
              <w:rPr>
                <w:b/>
                <w:sz w:val="20"/>
              </w:rPr>
              <w:t>2022 п</w:t>
            </w:r>
            <w:r>
              <w:rPr>
                <w:sz w:val="20"/>
              </w:rPr>
              <w:t xml:space="preserve"> </w:t>
            </w:r>
          </w:p>
        </w:tc>
        <w:tc>
          <w:tcPr>
            <w:tcW w:w="708" w:type="dxa"/>
            <w:tcBorders>
              <w:top w:val="single" w:sz="4" w:space="0" w:color="002060"/>
              <w:left w:val="nil"/>
              <w:bottom w:val="single" w:sz="4" w:space="0" w:color="002060"/>
              <w:right w:val="nil"/>
            </w:tcBorders>
          </w:tcPr>
          <w:p w:rsidR="00E8309B" w:rsidRDefault="009D0949">
            <w:pPr>
              <w:spacing w:after="0" w:line="259" w:lineRule="auto"/>
              <w:ind w:left="34" w:right="0" w:firstLine="0"/>
            </w:pPr>
            <w:r>
              <w:rPr>
                <w:b/>
                <w:sz w:val="20"/>
              </w:rPr>
              <w:t>2023 п</w:t>
            </w:r>
            <w:r>
              <w:rPr>
                <w:sz w:val="20"/>
              </w:rPr>
              <w:t xml:space="preserve"> </w:t>
            </w:r>
          </w:p>
        </w:tc>
      </w:tr>
      <w:tr w:rsidR="00E8309B">
        <w:trPr>
          <w:trHeight w:val="300"/>
        </w:trPr>
        <w:tc>
          <w:tcPr>
            <w:tcW w:w="0" w:type="auto"/>
            <w:vMerge/>
            <w:tcBorders>
              <w:top w:val="nil"/>
              <w:left w:val="nil"/>
              <w:bottom w:val="nil"/>
              <w:right w:val="nil"/>
            </w:tcBorders>
          </w:tcPr>
          <w:p w:rsidR="00E8309B" w:rsidRDefault="00E8309B">
            <w:pPr>
              <w:spacing w:after="160" w:line="259" w:lineRule="auto"/>
              <w:ind w:left="0" w:right="0" w:firstLine="0"/>
              <w:jc w:val="left"/>
            </w:pPr>
          </w:p>
        </w:tc>
        <w:tc>
          <w:tcPr>
            <w:tcW w:w="948" w:type="dxa"/>
            <w:tcBorders>
              <w:top w:val="single" w:sz="4" w:space="0" w:color="002060"/>
              <w:left w:val="nil"/>
              <w:bottom w:val="nil"/>
              <w:right w:val="nil"/>
            </w:tcBorders>
          </w:tcPr>
          <w:p w:rsidR="00E8309B" w:rsidRDefault="009D0949">
            <w:pPr>
              <w:spacing w:after="0" w:line="259" w:lineRule="auto"/>
              <w:ind w:left="0" w:right="0" w:firstLine="0"/>
              <w:jc w:val="left"/>
            </w:pPr>
            <w:r>
              <w:rPr>
                <w:sz w:val="20"/>
              </w:rPr>
              <w:t xml:space="preserve">3.193,8 </w:t>
            </w:r>
          </w:p>
        </w:tc>
        <w:tc>
          <w:tcPr>
            <w:tcW w:w="949" w:type="dxa"/>
            <w:tcBorders>
              <w:top w:val="single" w:sz="4" w:space="0" w:color="002060"/>
              <w:left w:val="nil"/>
              <w:bottom w:val="nil"/>
              <w:right w:val="nil"/>
            </w:tcBorders>
          </w:tcPr>
          <w:p w:rsidR="00E8309B" w:rsidRDefault="009D0949">
            <w:pPr>
              <w:spacing w:after="0" w:line="259" w:lineRule="auto"/>
              <w:ind w:left="0" w:right="0" w:firstLine="0"/>
              <w:jc w:val="left"/>
            </w:pPr>
            <w:r>
              <w:rPr>
                <w:sz w:val="20"/>
              </w:rPr>
              <w:t xml:space="preserve">3.447,8 </w:t>
            </w:r>
          </w:p>
        </w:tc>
        <w:tc>
          <w:tcPr>
            <w:tcW w:w="948" w:type="dxa"/>
            <w:tcBorders>
              <w:top w:val="single" w:sz="4" w:space="0" w:color="002060"/>
              <w:left w:val="nil"/>
              <w:bottom w:val="nil"/>
              <w:right w:val="nil"/>
            </w:tcBorders>
          </w:tcPr>
          <w:p w:rsidR="00E8309B" w:rsidRDefault="009D0949">
            <w:pPr>
              <w:spacing w:after="0" w:line="259" w:lineRule="auto"/>
              <w:ind w:left="0" w:right="0" w:firstLine="0"/>
              <w:jc w:val="left"/>
            </w:pPr>
            <w:r>
              <w:rPr>
                <w:sz w:val="20"/>
              </w:rPr>
              <w:t xml:space="preserve">3.639,0 </w:t>
            </w:r>
          </w:p>
        </w:tc>
        <w:tc>
          <w:tcPr>
            <w:tcW w:w="708" w:type="dxa"/>
            <w:tcBorders>
              <w:top w:val="single" w:sz="4" w:space="0" w:color="002060"/>
              <w:left w:val="nil"/>
              <w:bottom w:val="nil"/>
              <w:right w:val="nil"/>
            </w:tcBorders>
          </w:tcPr>
          <w:p w:rsidR="00E8309B" w:rsidRDefault="009D0949">
            <w:pPr>
              <w:spacing w:after="0" w:line="259" w:lineRule="auto"/>
              <w:ind w:left="0" w:right="0" w:firstLine="0"/>
            </w:pPr>
            <w:r>
              <w:rPr>
                <w:sz w:val="20"/>
              </w:rPr>
              <w:t xml:space="preserve">3.781,1 </w:t>
            </w:r>
          </w:p>
        </w:tc>
      </w:tr>
      <w:tr w:rsidR="00E8309B">
        <w:trPr>
          <w:trHeight w:val="284"/>
        </w:trPr>
        <w:tc>
          <w:tcPr>
            <w:tcW w:w="6102" w:type="dxa"/>
            <w:tcBorders>
              <w:top w:val="nil"/>
              <w:left w:val="nil"/>
              <w:bottom w:val="nil"/>
              <w:right w:val="nil"/>
            </w:tcBorders>
          </w:tcPr>
          <w:p w:rsidR="00E8309B" w:rsidRDefault="009D0949">
            <w:pPr>
              <w:spacing w:after="0" w:line="259" w:lineRule="auto"/>
              <w:ind w:left="123" w:right="0" w:firstLine="0"/>
              <w:jc w:val="left"/>
            </w:pPr>
            <w:r>
              <w:rPr>
                <w:sz w:val="20"/>
              </w:rPr>
              <w:t xml:space="preserve">Дуг централне државе, у % БДП </w:t>
            </w:r>
          </w:p>
        </w:tc>
        <w:tc>
          <w:tcPr>
            <w:tcW w:w="948" w:type="dxa"/>
            <w:tcBorders>
              <w:top w:val="nil"/>
              <w:left w:val="nil"/>
              <w:bottom w:val="nil"/>
              <w:right w:val="nil"/>
            </w:tcBorders>
          </w:tcPr>
          <w:p w:rsidR="00E8309B" w:rsidRDefault="009D0949">
            <w:pPr>
              <w:spacing w:after="0" w:line="259" w:lineRule="auto"/>
              <w:ind w:left="84" w:right="0" w:firstLine="0"/>
              <w:jc w:val="left"/>
            </w:pPr>
            <w:r>
              <w:rPr>
                <w:sz w:val="20"/>
              </w:rPr>
              <w:t xml:space="preserve">57,9% </w:t>
            </w:r>
          </w:p>
        </w:tc>
        <w:tc>
          <w:tcPr>
            <w:tcW w:w="949" w:type="dxa"/>
            <w:tcBorders>
              <w:top w:val="nil"/>
              <w:left w:val="nil"/>
              <w:bottom w:val="nil"/>
              <w:right w:val="nil"/>
            </w:tcBorders>
          </w:tcPr>
          <w:p w:rsidR="00E8309B" w:rsidRDefault="009D0949">
            <w:pPr>
              <w:spacing w:after="0" w:line="259" w:lineRule="auto"/>
              <w:ind w:left="84" w:right="0" w:firstLine="0"/>
              <w:jc w:val="left"/>
            </w:pPr>
            <w:r>
              <w:rPr>
                <w:sz w:val="20"/>
              </w:rPr>
              <w:t xml:space="preserve">57,5% </w:t>
            </w:r>
          </w:p>
        </w:tc>
        <w:tc>
          <w:tcPr>
            <w:tcW w:w="948" w:type="dxa"/>
            <w:tcBorders>
              <w:top w:val="nil"/>
              <w:left w:val="nil"/>
              <w:bottom w:val="nil"/>
              <w:right w:val="nil"/>
            </w:tcBorders>
          </w:tcPr>
          <w:p w:rsidR="00E8309B" w:rsidRDefault="009D0949">
            <w:pPr>
              <w:spacing w:after="0" w:line="259" w:lineRule="auto"/>
              <w:ind w:left="84" w:right="0" w:firstLine="0"/>
              <w:jc w:val="left"/>
            </w:pPr>
            <w:r>
              <w:rPr>
                <w:sz w:val="20"/>
              </w:rPr>
              <w:t xml:space="preserve">56,8% </w:t>
            </w:r>
          </w:p>
        </w:tc>
        <w:tc>
          <w:tcPr>
            <w:tcW w:w="708" w:type="dxa"/>
            <w:tcBorders>
              <w:top w:val="nil"/>
              <w:left w:val="nil"/>
              <w:bottom w:val="nil"/>
              <w:right w:val="nil"/>
            </w:tcBorders>
          </w:tcPr>
          <w:p w:rsidR="00E8309B" w:rsidRDefault="009D0949">
            <w:pPr>
              <w:spacing w:after="0" w:line="259" w:lineRule="auto"/>
              <w:ind w:left="84" w:right="0" w:firstLine="0"/>
            </w:pPr>
            <w:r>
              <w:rPr>
                <w:sz w:val="20"/>
              </w:rPr>
              <w:t xml:space="preserve">55,0% </w:t>
            </w:r>
          </w:p>
        </w:tc>
      </w:tr>
      <w:tr w:rsidR="00E8309B">
        <w:trPr>
          <w:trHeight w:val="285"/>
        </w:trPr>
        <w:tc>
          <w:tcPr>
            <w:tcW w:w="6102" w:type="dxa"/>
            <w:tcBorders>
              <w:top w:val="nil"/>
              <w:left w:val="nil"/>
              <w:bottom w:val="nil"/>
              <w:right w:val="nil"/>
            </w:tcBorders>
          </w:tcPr>
          <w:p w:rsidR="00E8309B" w:rsidRDefault="009D0949">
            <w:pPr>
              <w:spacing w:after="0" w:line="259" w:lineRule="auto"/>
              <w:ind w:left="123" w:right="0" w:firstLine="0"/>
              <w:jc w:val="left"/>
            </w:pPr>
            <w:r>
              <w:rPr>
                <w:sz w:val="20"/>
              </w:rPr>
              <w:t xml:space="preserve">Негарантовани дуг јединица локалне самоуправе, у % БДП </w:t>
            </w:r>
          </w:p>
        </w:tc>
        <w:tc>
          <w:tcPr>
            <w:tcW w:w="948" w:type="dxa"/>
            <w:tcBorders>
              <w:top w:val="nil"/>
              <w:left w:val="nil"/>
              <w:bottom w:val="nil"/>
              <w:right w:val="nil"/>
            </w:tcBorders>
          </w:tcPr>
          <w:p w:rsidR="00E8309B" w:rsidRDefault="009D0949">
            <w:pPr>
              <w:spacing w:after="0" w:line="259" w:lineRule="auto"/>
              <w:ind w:left="182" w:right="0" w:firstLine="0"/>
              <w:jc w:val="left"/>
            </w:pPr>
            <w:r>
              <w:rPr>
                <w:sz w:val="20"/>
              </w:rPr>
              <w:t xml:space="preserve">1,1% </w:t>
            </w:r>
          </w:p>
        </w:tc>
        <w:tc>
          <w:tcPr>
            <w:tcW w:w="949" w:type="dxa"/>
            <w:tcBorders>
              <w:top w:val="nil"/>
              <w:left w:val="nil"/>
              <w:bottom w:val="nil"/>
              <w:right w:val="nil"/>
            </w:tcBorders>
          </w:tcPr>
          <w:p w:rsidR="00E8309B" w:rsidRDefault="009D0949">
            <w:pPr>
              <w:spacing w:after="0" w:line="259" w:lineRule="auto"/>
              <w:ind w:left="182" w:right="0" w:firstLine="0"/>
              <w:jc w:val="left"/>
            </w:pPr>
            <w:r>
              <w:rPr>
                <w:sz w:val="20"/>
              </w:rPr>
              <w:t xml:space="preserve">1,2% </w:t>
            </w:r>
          </w:p>
        </w:tc>
        <w:tc>
          <w:tcPr>
            <w:tcW w:w="948" w:type="dxa"/>
            <w:tcBorders>
              <w:top w:val="nil"/>
              <w:left w:val="nil"/>
              <w:bottom w:val="nil"/>
              <w:right w:val="nil"/>
            </w:tcBorders>
          </w:tcPr>
          <w:p w:rsidR="00E8309B" w:rsidRDefault="009D0949">
            <w:pPr>
              <w:spacing w:after="0" w:line="259" w:lineRule="auto"/>
              <w:ind w:left="182" w:right="0" w:firstLine="0"/>
              <w:jc w:val="left"/>
            </w:pPr>
            <w:r>
              <w:rPr>
                <w:sz w:val="20"/>
              </w:rPr>
              <w:t xml:space="preserve">1,1% </w:t>
            </w:r>
          </w:p>
        </w:tc>
        <w:tc>
          <w:tcPr>
            <w:tcW w:w="708" w:type="dxa"/>
            <w:tcBorders>
              <w:top w:val="nil"/>
              <w:left w:val="nil"/>
              <w:bottom w:val="nil"/>
              <w:right w:val="nil"/>
            </w:tcBorders>
          </w:tcPr>
          <w:p w:rsidR="00E8309B" w:rsidRDefault="009D0949">
            <w:pPr>
              <w:spacing w:after="0" w:line="259" w:lineRule="auto"/>
              <w:ind w:left="182" w:right="0" w:firstLine="0"/>
              <w:jc w:val="left"/>
            </w:pPr>
            <w:r>
              <w:rPr>
                <w:sz w:val="20"/>
              </w:rPr>
              <w:t xml:space="preserve">1,0% </w:t>
            </w:r>
          </w:p>
        </w:tc>
      </w:tr>
      <w:tr w:rsidR="00E8309B">
        <w:trPr>
          <w:trHeight w:val="288"/>
        </w:trPr>
        <w:tc>
          <w:tcPr>
            <w:tcW w:w="6102" w:type="dxa"/>
            <w:tcBorders>
              <w:top w:val="nil"/>
              <w:left w:val="nil"/>
              <w:bottom w:val="single" w:sz="4" w:space="0" w:color="002060"/>
              <w:right w:val="nil"/>
            </w:tcBorders>
          </w:tcPr>
          <w:p w:rsidR="00E8309B" w:rsidRDefault="009D0949">
            <w:pPr>
              <w:spacing w:after="0" w:line="259" w:lineRule="auto"/>
              <w:ind w:left="123" w:right="0" w:firstLine="0"/>
              <w:jc w:val="left"/>
            </w:pPr>
            <w:r>
              <w:rPr>
                <w:sz w:val="20"/>
              </w:rPr>
              <w:t xml:space="preserve">Дуг опште државе, у % БДП </w:t>
            </w:r>
          </w:p>
        </w:tc>
        <w:tc>
          <w:tcPr>
            <w:tcW w:w="948" w:type="dxa"/>
            <w:tcBorders>
              <w:top w:val="nil"/>
              <w:left w:val="nil"/>
              <w:bottom w:val="single" w:sz="4" w:space="0" w:color="002060"/>
              <w:right w:val="nil"/>
            </w:tcBorders>
          </w:tcPr>
          <w:p w:rsidR="00E8309B" w:rsidRDefault="009D0949">
            <w:pPr>
              <w:spacing w:after="0" w:line="259" w:lineRule="auto"/>
              <w:ind w:left="84" w:right="0" w:firstLine="0"/>
              <w:jc w:val="left"/>
            </w:pPr>
            <w:r>
              <w:rPr>
                <w:sz w:val="20"/>
              </w:rPr>
              <w:t xml:space="preserve">59,0% </w:t>
            </w:r>
          </w:p>
        </w:tc>
        <w:tc>
          <w:tcPr>
            <w:tcW w:w="949" w:type="dxa"/>
            <w:tcBorders>
              <w:top w:val="nil"/>
              <w:left w:val="nil"/>
              <w:bottom w:val="single" w:sz="4" w:space="0" w:color="002060"/>
              <w:right w:val="nil"/>
            </w:tcBorders>
          </w:tcPr>
          <w:p w:rsidR="00E8309B" w:rsidRDefault="009D0949">
            <w:pPr>
              <w:spacing w:after="0" w:line="259" w:lineRule="auto"/>
              <w:ind w:left="84" w:right="0" w:firstLine="0"/>
              <w:jc w:val="left"/>
            </w:pPr>
            <w:r>
              <w:rPr>
                <w:sz w:val="20"/>
              </w:rPr>
              <w:t xml:space="preserve">58,7% </w:t>
            </w:r>
          </w:p>
        </w:tc>
        <w:tc>
          <w:tcPr>
            <w:tcW w:w="948" w:type="dxa"/>
            <w:tcBorders>
              <w:top w:val="nil"/>
              <w:left w:val="nil"/>
              <w:bottom w:val="single" w:sz="4" w:space="0" w:color="002060"/>
              <w:right w:val="nil"/>
            </w:tcBorders>
          </w:tcPr>
          <w:p w:rsidR="00E8309B" w:rsidRDefault="009D0949">
            <w:pPr>
              <w:spacing w:after="0" w:line="259" w:lineRule="auto"/>
              <w:ind w:left="84" w:right="0" w:firstLine="0"/>
              <w:jc w:val="left"/>
            </w:pPr>
            <w:r>
              <w:rPr>
                <w:sz w:val="20"/>
              </w:rPr>
              <w:t xml:space="preserve">57,9% </w:t>
            </w:r>
          </w:p>
        </w:tc>
        <w:tc>
          <w:tcPr>
            <w:tcW w:w="708" w:type="dxa"/>
            <w:tcBorders>
              <w:top w:val="nil"/>
              <w:left w:val="nil"/>
              <w:bottom w:val="single" w:sz="4" w:space="0" w:color="002060"/>
              <w:right w:val="nil"/>
            </w:tcBorders>
          </w:tcPr>
          <w:p w:rsidR="00E8309B" w:rsidRDefault="009D0949">
            <w:pPr>
              <w:spacing w:after="0" w:line="259" w:lineRule="auto"/>
              <w:ind w:left="84" w:right="0" w:firstLine="0"/>
            </w:pPr>
            <w:r>
              <w:rPr>
                <w:sz w:val="20"/>
              </w:rPr>
              <w:t xml:space="preserve">56,0% </w:t>
            </w:r>
          </w:p>
        </w:tc>
      </w:tr>
    </w:tbl>
    <w:p w:rsidR="00E8309B" w:rsidRDefault="009D0949">
      <w:pPr>
        <w:ind w:left="-5" w:right="17"/>
      </w:pPr>
      <w:r>
        <w:t xml:space="preserve">Предвиђа се да ће негарантовани дуг локалног нивоа власти бити на релативном нивоу од око 1,0% до краја 2023. На крају 2023. године стање јавног дуга општег нивоа државе требало би да буде на нивоу од 56,0% БДП. </w:t>
      </w:r>
    </w:p>
    <w:p w:rsidR="00E8309B" w:rsidRDefault="009D0949">
      <w:pPr>
        <w:ind w:left="-5" w:right="17"/>
      </w:pPr>
      <w:r>
        <w:t xml:space="preserve">Финансијски и фискални ризици могу довести </w:t>
      </w:r>
      <w:r>
        <w:t>до раста јавног дуга већег него што га предвиђа основни сценарио. Ризици који су присутни и који могу да доведу до раста задужености и трошкова сервисирања јавног дуга су: ризик рефинансирања, девизни ризик, тржишни ризик (ризик каматних стопа, ризик инфла</w:t>
      </w:r>
      <w:r>
        <w:t xml:space="preserve">ције), ризик ликвидности, кредитни и оперативни ризици и ризици везани за дистрибуцију трошкова сервисирања (структура дуга, концентрација обавеза). </w:t>
      </w:r>
    </w:p>
    <w:p w:rsidR="00E8309B" w:rsidRDefault="009D0949">
      <w:pPr>
        <w:ind w:left="-5" w:right="17"/>
      </w:pPr>
      <w:r>
        <w:t>Због високог учешћа дуга деноминованог у страној валути (70,5%), евидентно је да ће девизни ризик детермин</w:t>
      </w:r>
      <w:r>
        <w:t xml:space="preserve">исати понашање рација јавни дуг/БДП у наредном периоду и битно условљавати успех мера фискалне политике на консолидацији јавних финансија и смањењу учешћа јавног дуга у БДП-у. </w:t>
      </w:r>
    </w:p>
    <w:p w:rsidR="00E8309B" w:rsidRDefault="009D0949">
      <w:pPr>
        <w:spacing w:after="0" w:line="259" w:lineRule="auto"/>
        <w:ind w:left="0" w:right="0" w:firstLine="0"/>
        <w:jc w:val="left"/>
      </w:pPr>
      <w:r>
        <w:t xml:space="preserve"> </w:t>
      </w:r>
      <w:r>
        <w:tab/>
        <w:t xml:space="preserve"> </w:t>
      </w:r>
    </w:p>
    <w:p w:rsidR="00E8309B" w:rsidRDefault="009D0949">
      <w:pPr>
        <w:ind w:left="-5" w:right="17"/>
      </w:pPr>
      <w:r>
        <w:t>Графикон 12. Утицај промена курса динара према корпи валута из портфолија ј</w:t>
      </w:r>
      <w:r>
        <w:t xml:space="preserve">авног дуга на промену рацио јавног дуга и БДП – Централни ниво власти </w:t>
      </w:r>
    </w:p>
    <w:p w:rsidR="00E8309B" w:rsidRDefault="009D0949">
      <w:pPr>
        <w:spacing w:after="179" w:line="259" w:lineRule="auto"/>
        <w:ind w:left="0" w:right="254" w:firstLine="0"/>
        <w:jc w:val="right"/>
      </w:pPr>
      <w:r>
        <w:rPr>
          <w:noProof/>
        </w:rPr>
        <w:drawing>
          <wp:inline distT="0" distB="0" distL="0" distR="0">
            <wp:extent cx="5941822" cy="2190115"/>
            <wp:effectExtent l="0" t="0" r="0" b="0"/>
            <wp:docPr id="14811" name="Picture 14811"/>
            <wp:cNvGraphicFramePr/>
            <a:graphic xmlns:a="http://schemas.openxmlformats.org/drawingml/2006/main">
              <a:graphicData uri="http://schemas.openxmlformats.org/drawingml/2006/picture">
                <pic:pic xmlns:pic="http://schemas.openxmlformats.org/drawingml/2006/picture">
                  <pic:nvPicPr>
                    <pic:cNvPr id="14811" name="Picture 14811"/>
                    <pic:cNvPicPr/>
                  </pic:nvPicPr>
                  <pic:blipFill>
                    <a:blip r:embed="rId153"/>
                    <a:stretch>
                      <a:fillRect/>
                    </a:stretch>
                  </pic:blipFill>
                  <pic:spPr>
                    <a:xfrm>
                      <a:off x="0" y="0"/>
                      <a:ext cx="5941822" cy="2190115"/>
                    </a:xfrm>
                    <a:prstGeom prst="rect">
                      <a:avLst/>
                    </a:prstGeom>
                  </pic:spPr>
                </pic:pic>
              </a:graphicData>
            </a:graphic>
          </wp:inline>
        </w:drawing>
      </w:r>
      <w:r>
        <w:rPr>
          <w:sz w:val="20"/>
        </w:rPr>
        <w:t xml:space="preserve"> </w:t>
      </w:r>
    </w:p>
    <w:p w:rsidR="00E8309B" w:rsidRDefault="009D0949">
      <w:pPr>
        <w:ind w:left="-5" w:right="17"/>
      </w:pPr>
      <w:r>
        <w:t>На графикону је представљено кретање рација јавног дуга централног нивоа државе и БДП-</w:t>
      </w:r>
      <w:r>
        <w:t>а у зависности од промене курса динара према одређеној корпи валута. Приказана је основна пројекција са алтернативним сценаријима у зависности од апрецијације, односно депрецијације курса динара у распону од 10% апрецијације до 10% депрецијације динара у о</w:t>
      </w:r>
      <w:r>
        <w:t xml:space="preserve">дносу на корпу валута. Применом наведених сценарија може се видети да би се рацио за 2023. годину кретао у распону од 51,3% до 58,8%, док би за основни сценарио био на нивоу од 55,0%. </w:t>
      </w:r>
    </w:p>
    <w:p w:rsidR="00E8309B" w:rsidRDefault="009D0949">
      <w:pPr>
        <w:ind w:left="-5" w:right="17"/>
      </w:pPr>
      <w:r>
        <w:t>У циљу смањивања изложености варијабилним каматним стопама, услед очеки</w:t>
      </w:r>
      <w:r>
        <w:t>вања да ће доћи до повећања варијабилне каматне стопе са највећим учешћем у јавном дугу – Еурибора, уговарање нових обавеза се врши по фиксним каматним стопама, тамо где је то могуће, а поготову у домену зајмова намењених за финансирање инвестиционих проје</w:t>
      </w:r>
      <w:r>
        <w:t xml:space="preserve">ката. </w:t>
      </w:r>
    </w:p>
    <w:p w:rsidR="00E8309B" w:rsidRDefault="009D0949">
      <w:pPr>
        <w:ind w:left="-5" w:right="17"/>
      </w:pPr>
      <w:r>
        <w:t>У циљу оптимизације портфолија и ефикаснијег управљања јавним дугом, урађена је анализа трошкова и ризика алтернативних стратегија задуживања, применом модела Светске банке (Medium Term Debt Strategy Model – MTDS), у условима основног сценарија, али</w:t>
      </w:r>
      <w:r>
        <w:t xml:space="preserve"> и у условима </w:t>
      </w:r>
      <w:r>
        <w:lastRenderedPageBreak/>
        <w:t xml:space="preserve">шокова који могу довести до промене основног сценарија: девизни курс, промена каматних стопа на међународном и домаћем тржишту, комбиновани шок. </w:t>
      </w:r>
    </w:p>
    <w:p w:rsidR="00E8309B" w:rsidRDefault="009D0949">
      <w:pPr>
        <w:ind w:left="-5" w:right="17"/>
      </w:pPr>
      <w:r>
        <w:t>Стратегија управљања јавним дугом у наредном средњорочном периоду полази од претпоставке да ће ф</w:t>
      </w:r>
      <w:r>
        <w:t>инансирање бити обезбеђено задуживањем и на домаћем и на међународном финансијском тржишту. Тржиште државних хартија од вредности је још увек у развоју и један од принципа управљања јавним дугом је нужност постојања флексибилности, како би финансирање изда</w:t>
      </w:r>
      <w:r>
        <w:t>така буџета Републике Србије било обезбеђено. Флексибилност ће се огледати у домену избора тржишта на коме ће се вршити задуживање, валуте задуживања и инструмента финансирања. Одлука о годишњем задуживању се доноси у оквиру закона о буџету за одређену фис</w:t>
      </w:r>
      <w:r>
        <w:t xml:space="preserve">калну годину. У зависности од промене основних фискалних агрегата могућа је корекција плана задуживања током фискалне године. </w:t>
      </w:r>
    </w:p>
    <w:p w:rsidR="00E8309B" w:rsidRDefault="009D0949">
      <w:pPr>
        <w:ind w:left="-5" w:right="17"/>
      </w:pPr>
      <w:r>
        <w:t>У наредном периоду радиће се активно на увођењу система примарних дилера. Наиме, Законом о изменама и допунама Закона о јавном ду</w:t>
      </w:r>
      <w:r>
        <w:t>гу из децембра 2018. године, предвиђено је увођење примарних дилера на домаће тржиште капитала као подстицај ликвидности секундарног тржишта државних хартија од вредности и смањење ризика рефинансирања дуга. Наведеним изменама Закона предвиђа се и пословањ</w:t>
      </w:r>
      <w:r>
        <w:t xml:space="preserve">е финансијским дериватима којим би се обављале трансакције ради управљања ризиком, укључујући и смањивање или елиминисање ризика од промене курса, каматних стопа као и других ризика. </w:t>
      </w:r>
    </w:p>
    <w:p w:rsidR="00E8309B" w:rsidRDefault="009D0949">
      <w:pPr>
        <w:ind w:left="-5" w:right="17"/>
      </w:pPr>
      <w:r>
        <w:t>Предузете су активности на омогућавању салдирања државних хартија од вре</w:t>
      </w:r>
      <w:r>
        <w:t>дности на иностраном тржишту. Изменама и допунама Закона о јавном дугу из децембра 2019. године, омогућено је да клиринг и салдирање државних хартија од вредности емитованих на домаћем тржишту, поред Централног регистара врши и друго страно правно лице кој</w:t>
      </w:r>
      <w:r>
        <w:t xml:space="preserve">е обавља послове клиринга и салдирања. </w:t>
      </w:r>
    </w:p>
    <w:p w:rsidR="00E8309B" w:rsidRDefault="009D0949">
      <w:pPr>
        <w:pStyle w:val="Heading2"/>
        <w:spacing w:after="104"/>
        <w:ind w:left="405" w:right="9" w:hanging="420"/>
      </w:pPr>
      <w:r>
        <w:t xml:space="preserve">АНАЛИЗА ОСЕТЉИВОСТИ И ПОРЕЂЕЊЕ СА ПРЕТХОДНИМ ПРОГРАМОМ </w:t>
      </w:r>
    </w:p>
    <w:p w:rsidR="00E8309B" w:rsidRDefault="009D0949">
      <w:pPr>
        <w:ind w:left="-5" w:right="17"/>
      </w:pPr>
      <w:r>
        <w:t>Фискални ризици представљају изложеност јавних финансија одређеним околностима које могу проузроковати одступања од пројектованог фискалног оквира. До одступања</w:t>
      </w:r>
      <w:r>
        <w:t xml:space="preserve"> може доћи у приходима, расходима, фискалном резултату, као и у имовини и обавезама државе, у односу на оно што је планирано и очекивано. На спољашње ризике, попут природних катастрофа или глобалних финансијских криза, Влада не може да утиче, али могуће је</w:t>
      </w:r>
      <w:r>
        <w:t xml:space="preserve"> дефинисати излазне стратегије које би ублажиле њихово дејство (очување стабилности у добрим временима како би у условима рецесије или кризе фискална политика имала простора за адекватан одговор, осигурање у случају природних катастрофа и сл.). Унутрашњи р</w:t>
      </w:r>
      <w:r>
        <w:t xml:space="preserve">изици, односно њихова материјализација последица су активности у јавном сектору, те се на вероватноћу њихове реализације може утицати одлукама и политикама Владе. </w:t>
      </w:r>
    </w:p>
    <w:p w:rsidR="00E8309B" w:rsidRDefault="009D0949">
      <w:pPr>
        <w:ind w:left="-5" w:right="17"/>
      </w:pPr>
      <w:r>
        <w:t>У претходној деценији Република Србија суочила се са реализацијом бројних ризика који су озб</w:t>
      </w:r>
      <w:r>
        <w:t xml:space="preserve">иљно угрозили њену фискалну позицију. Финансијска криза и рецесија погоршале су стање јавних финансија, узрокујући високе дефиците и убрзан раст јавног дуга. Глобална финансијска криза, као спољни фактор, активирала је и унутрашње ризике, те су отплате по </w:t>
      </w:r>
      <w:r>
        <w:t>основу гарантованих кредита, извршења судских одлука, решавања питања државних финансијских институција и преузимање обавеза јавних предузећа у јавни дуг, додатно погоршали фискалну позицију. Република Србија се у 2014. години суочила и са катастрофалним п</w:t>
      </w:r>
      <w:r>
        <w:t>оследицама поплава. Укупна штета (са губицима) процењена је на више од 1,7 млрд евра</w:t>
      </w:r>
      <w:r>
        <w:rPr>
          <w:vertAlign w:val="superscript"/>
        </w:rPr>
        <w:footnoteReference w:id="12"/>
      </w:r>
      <w:r>
        <w:t xml:space="preserve"> . Имајући у виду претходно искуство и значајно погоршање фискалне позиције изазвано материјализацијом наведених фискалних ризика, од одлучујућег је значаја повратак на од</w:t>
      </w:r>
      <w:r>
        <w:t xml:space="preserve">рживи ниво дефицита, након кризе изазване пандемијом. </w:t>
      </w:r>
    </w:p>
    <w:p w:rsidR="00E8309B" w:rsidRDefault="009D0949">
      <w:pPr>
        <w:ind w:left="-5" w:right="17"/>
      </w:pPr>
      <w:r>
        <w:lastRenderedPageBreak/>
        <w:t>Министарство финансија има водећу улогу у управљању фискалним ризицима. Као кључна институција за средњорочно макроекономско и фискално планирање, формулацију и управљање буџетом, Министарство финансиј</w:t>
      </w:r>
      <w:r>
        <w:t>а мора имати и водећу улогу у успостављању институционалне и законске структуре, те изградњи капацитета неопходних за управљање фискалним ризицима. Организациона јединица за управљање фискалним ризицима у Министарству финансија основана је са циљем да ради</w:t>
      </w:r>
      <w:r>
        <w:t xml:space="preserve"> на јачању законске регулативе и методолошког оквира, изградњи капацитета, те развијању техничких алата и модела неопходних за праћење и процену фискалних ризика. Намера је да резултат ових активности буде идентификација и процена ризика и предлагање излаз</w:t>
      </w:r>
      <w:r>
        <w:t xml:space="preserve">них стратегија, као помоћ Влади у очувању стабилности јавних финансија, што је кључни циљ фискалне политике и један од основних предуслова за динамичнији привредни раст. </w:t>
      </w:r>
    </w:p>
    <w:p w:rsidR="00E8309B" w:rsidRDefault="009D0949">
      <w:pPr>
        <w:ind w:left="-5" w:right="17"/>
      </w:pPr>
      <w:r>
        <w:t>Гаранције издате од стране државе утичу на висину јавног дуга, али и на висину дефици</w:t>
      </w:r>
      <w:r>
        <w:t>та, уколико отплату по кредиту уместо првобитног дужника преузме држава. Издате гаранције су према дефиницији одређеној Законом о јавном дугу део индиректних обавеза и у укупном износу се укључују у јавни дуг</w:t>
      </w:r>
      <w:r>
        <w:rPr>
          <w:vertAlign w:val="superscript"/>
        </w:rPr>
        <w:footnoteReference w:id="13"/>
      </w:r>
      <w:r>
        <w:t>. Ограничења постављена на издавање нових гаран</w:t>
      </w:r>
      <w:r>
        <w:t>ција дала су резултате те се учешће индиректних обавеза у укупном јавном дугу смањује. Индиректне обавезе (издате гаранције од стране Републике Србије) су учествовале са 6,2% у укупном јавном дугу, према националној методологији, на крају 2019. године. Уче</w:t>
      </w:r>
      <w:r>
        <w:t xml:space="preserve">шће ових обавеза у јавном дугу опада и у текућој години, те на крају септембра 2020. године оне чине 5,3 укупног јавног дуга. Највеће учешће ових обавеза у јавном дугу, нешто изнад 14% у просеку забележено је између 2009. и 2013. године. </w:t>
      </w:r>
    </w:p>
    <w:p w:rsidR="00E8309B" w:rsidRDefault="009D0949">
      <w:pPr>
        <w:ind w:left="-5" w:right="17"/>
      </w:pPr>
      <w:r>
        <w:t>На крају 2019. го</w:t>
      </w:r>
      <w:r>
        <w:t>дине стање дуга по основу издатих гаранција износило је 1,488 млрд евра, односно 3,2% БДП. Стање дуга по овом основу смањено је за близу 36 милиона евра у односу на крај 2018. године. До септембра текуће године стање дуга по гаранцијама смањено је за 79 ми</w:t>
      </w:r>
      <w:r>
        <w:t xml:space="preserve">лиона евра, у односу на крај 2019. године и износи 1,409 млрд евра на дан 30.09.2020. </w:t>
      </w:r>
    </w:p>
    <w:p w:rsidR="00E8309B" w:rsidRDefault="009D0949">
      <w:pPr>
        <w:spacing w:after="6"/>
        <w:ind w:left="-5" w:right="17"/>
      </w:pPr>
      <w:r>
        <w:t xml:space="preserve">Графикон 13. Учешће индиректног дуга у укупном јавном дугу Републике Србије </w:t>
      </w:r>
    </w:p>
    <w:p w:rsidR="00E8309B" w:rsidRDefault="009D0949">
      <w:pPr>
        <w:spacing w:after="39" w:line="259" w:lineRule="auto"/>
        <w:ind w:left="0" w:right="635" w:firstLine="0"/>
        <w:jc w:val="right"/>
      </w:pPr>
      <w:r>
        <w:rPr>
          <w:noProof/>
        </w:rPr>
        <w:drawing>
          <wp:inline distT="0" distB="0" distL="0" distR="0">
            <wp:extent cx="5689600" cy="2159000"/>
            <wp:effectExtent l="0" t="0" r="0" b="0"/>
            <wp:docPr id="15022" name="Picture 15022"/>
            <wp:cNvGraphicFramePr/>
            <a:graphic xmlns:a="http://schemas.openxmlformats.org/drawingml/2006/main">
              <a:graphicData uri="http://schemas.openxmlformats.org/drawingml/2006/picture">
                <pic:pic xmlns:pic="http://schemas.openxmlformats.org/drawingml/2006/picture">
                  <pic:nvPicPr>
                    <pic:cNvPr id="15022" name="Picture 15022"/>
                    <pic:cNvPicPr/>
                  </pic:nvPicPr>
                  <pic:blipFill>
                    <a:blip r:embed="rId154"/>
                    <a:stretch>
                      <a:fillRect/>
                    </a:stretch>
                  </pic:blipFill>
                  <pic:spPr>
                    <a:xfrm>
                      <a:off x="0" y="0"/>
                      <a:ext cx="5689600" cy="2159000"/>
                    </a:xfrm>
                    <a:prstGeom prst="rect">
                      <a:avLst/>
                    </a:prstGeom>
                  </pic:spPr>
                </pic:pic>
              </a:graphicData>
            </a:graphic>
          </wp:inline>
        </w:drawing>
      </w:r>
      <w:r>
        <w:t xml:space="preserve"> </w:t>
      </w:r>
    </w:p>
    <w:p w:rsidR="00E8309B" w:rsidRDefault="009D0949">
      <w:pPr>
        <w:spacing w:after="145"/>
        <w:ind w:left="-5" w:right="17"/>
      </w:pPr>
      <w:r>
        <w:t>Укупна отплата главнице по основу гарантованих кредита у 2019. години износила је 15 млрд</w:t>
      </w:r>
      <w:r>
        <w:t xml:space="preserve"> динара, од чега 11 млрд динара утиче на дефицит. Рачуноводствена методологија, до 2014. године, није у расходе укључивала отплате по основу гаранција</w:t>
      </w:r>
      <w:r>
        <w:rPr>
          <w:vertAlign w:val="superscript"/>
        </w:rPr>
        <w:footnoteReference w:id="14"/>
      </w:r>
      <w:r>
        <w:t xml:space="preserve">. Од 2014. године део ових </w:t>
      </w:r>
      <w:r>
        <w:lastRenderedPageBreak/>
        <w:t>расхода је укључен у расходе буџета</w:t>
      </w:r>
      <w:r>
        <w:rPr>
          <w:vertAlign w:val="superscript"/>
        </w:rPr>
        <w:footnoteReference w:id="15"/>
      </w:r>
      <w:r>
        <w:t>. Независно од буџетског и рачуноводствено</w:t>
      </w:r>
      <w:r>
        <w:t xml:space="preserve">г приказа, дуг који уместо главног дужника плаћа држава повећава укупне потребе за задуживањем. </w:t>
      </w:r>
    </w:p>
    <w:p w:rsidR="00E8309B" w:rsidRDefault="009D0949">
      <w:pPr>
        <w:spacing w:after="6"/>
        <w:ind w:left="-5" w:right="17"/>
      </w:pPr>
      <w:r>
        <w:t xml:space="preserve">Графикон 14. Отплата дуга по основу активираних гаранција, у млрд динара </w:t>
      </w:r>
    </w:p>
    <w:p w:rsidR="00E8309B" w:rsidRDefault="009D0949">
      <w:pPr>
        <w:spacing w:after="79" w:line="259" w:lineRule="auto"/>
        <w:ind w:left="0" w:right="815" w:firstLine="0"/>
        <w:jc w:val="right"/>
      </w:pPr>
      <w:r>
        <w:rPr>
          <w:noProof/>
        </w:rPr>
        <w:drawing>
          <wp:inline distT="0" distB="0" distL="0" distR="0">
            <wp:extent cx="5582285" cy="2717546"/>
            <wp:effectExtent l="0" t="0" r="0" b="0"/>
            <wp:docPr id="15024" name="Picture 15024"/>
            <wp:cNvGraphicFramePr/>
            <a:graphic xmlns:a="http://schemas.openxmlformats.org/drawingml/2006/main">
              <a:graphicData uri="http://schemas.openxmlformats.org/drawingml/2006/picture">
                <pic:pic xmlns:pic="http://schemas.openxmlformats.org/drawingml/2006/picture">
                  <pic:nvPicPr>
                    <pic:cNvPr id="15024" name="Picture 15024"/>
                    <pic:cNvPicPr/>
                  </pic:nvPicPr>
                  <pic:blipFill>
                    <a:blip r:embed="rId155"/>
                    <a:stretch>
                      <a:fillRect/>
                    </a:stretch>
                  </pic:blipFill>
                  <pic:spPr>
                    <a:xfrm>
                      <a:off x="0" y="0"/>
                      <a:ext cx="5582285" cy="2717546"/>
                    </a:xfrm>
                    <a:prstGeom prst="rect">
                      <a:avLst/>
                    </a:prstGeom>
                  </pic:spPr>
                </pic:pic>
              </a:graphicData>
            </a:graphic>
          </wp:inline>
        </w:drawing>
      </w:r>
      <w:r>
        <w:t xml:space="preserve"> </w:t>
      </w:r>
    </w:p>
    <w:p w:rsidR="00E8309B" w:rsidRDefault="009D0949">
      <w:pPr>
        <w:ind w:left="-5" w:right="17"/>
      </w:pPr>
      <w:r>
        <w:t>План отплате по основу гаранција (укупно главница и камата) у ребалансу буџета за 2020. годину износи 16,4 млрд динара, од чега се у расходе који утичу на резултат укључује 8,8 млрд динара за отплату главнице по гаранцијама. Закључно са 30. септембром 2020</w:t>
      </w:r>
      <w:r>
        <w:t xml:space="preserve">. године укупна отплата по основу гарантованих кредита износила је 11,2 млрд динара. </w:t>
      </w:r>
    </w:p>
    <w:p w:rsidR="00E8309B" w:rsidRDefault="009D0949">
      <w:pPr>
        <w:ind w:left="-5" w:right="17"/>
      </w:pPr>
      <w:r>
        <w:t>Растући индиректни дуг, те укључивање дела отплата по основу гаранција у буџетске расходе, и повећање дефицита по том основу, повећали су свест о растућим фискалним ризиц</w:t>
      </w:r>
      <w:r>
        <w:t>има који произилазе по основу издатих гаранција. Стога су предузете активности које ограничавају издавање нових гаранција. Изменама Закона о јавном дугу забрањено је издавање нових гаранција за кредите за потребе ликвидности. Изменама Закона о Фонду за раз</w:t>
      </w:r>
      <w:r>
        <w:t xml:space="preserve">вој Републике Србије онемогућено је даље давање контрагаранција за гаранције издате од стране Фонда за развој Републике Србије. </w:t>
      </w:r>
    </w:p>
    <w:p w:rsidR="00E8309B" w:rsidRDefault="009D0949">
      <w:pPr>
        <w:ind w:left="-5" w:right="17"/>
      </w:pPr>
      <w:r>
        <w:t xml:space="preserve">Поред ограничења у издавању државних гаранција кључни корак у смањењу и отклањању фискалних ризика по овом основу је у реформи </w:t>
      </w:r>
      <w:r>
        <w:t>државних и јавних предузећа, корисника гаранција, како би били способни да отплаћују своје кредите. Већи број предузећа, која су и највећи корисници гаранција, налазе се у процесу реструктурирања, односно спровођења планова реструктурирања урађених у сарад</w:t>
      </w:r>
      <w:r>
        <w:t xml:space="preserve">њи са међународним финансијским институцијама. </w:t>
      </w:r>
    </w:p>
    <w:p w:rsidR="00E8309B" w:rsidRDefault="009D0949">
      <w:pPr>
        <w:ind w:left="-5" w:right="17"/>
      </w:pPr>
      <w:r>
        <w:t>Ребалансом буџета за 2020. годину планирано је издавање гаранција највише до 108 млрд динара и то за кредите намењене реализацији инфраструктурних пројеката. У наредним годинама планирана је отплата по основу</w:t>
      </w:r>
      <w:r>
        <w:t xml:space="preserve"> гаранција, али са опадајућим трендом тако да њихово учешће у БДП опада са 0,2% БДП у 2019. години на 0,1% БДП у 2023. години. </w:t>
      </w:r>
    </w:p>
    <w:p w:rsidR="00E8309B" w:rsidRDefault="009D0949">
      <w:pPr>
        <w:ind w:left="-5" w:right="17"/>
      </w:pPr>
      <w:r>
        <w:t xml:space="preserve">Структурне реформе јавних и државних предузећа, њихово оспособљавање за тржишну утакмицу и финансијску одрживост, с једне стране, и ограничено и циљано издавање нових гаранција, с друге стране, допринеће умањењу фискалних ризика по овом основу и одржавању </w:t>
      </w:r>
      <w:r>
        <w:t xml:space="preserve">расхода у планираним, тј. пројектованим оквирима у наредном средњорочном периоду. </w:t>
      </w:r>
    </w:p>
    <w:p w:rsidR="00E8309B" w:rsidRDefault="009D0949">
      <w:pPr>
        <w:ind w:left="-5" w:right="17"/>
      </w:pPr>
      <w:r>
        <w:t>Пословање јавних предузећа представља значајан извор фискалних ризика, како на страни буџетских прихода, тако и на страни расхода. Јавна предузећа се у пословању суочавају с</w:t>
      </w:r>
      <w:r>
        <w:t xml:space="preserve">а бројним проблемима, од наплате потраживања, до редовног измиривања обавеза према </w:t>
      </w:r>
      <w:r>
        <w:lastRenderedPageBreak/>
        <w:t>повериоцима, држави и запосленима и сл. Држава као оснивач и њихов једини власник је одговорна за пословање и њихово је последње уточиште у случају неликвидности. Постоји не</w:t>
      </w:r>
      <w:r>
        <w:t>колико канала кроз које се могу материјализовати фискални ризици везани за пословање јавних предузећа. Највећи, али не и једини ризик, су државне гаранције дате за кредите јавних предузећа. Одрживост, ефикасност и профитабилност јавних предузећа утичу на п</w:t>
      </w:r>
      <w:r>
        <w:t xml:space="preserve">риходе буџета, односно на износ добити коју уплаћују у буџет. Квалитет производа и услуга које обезбеђују јавна предузећа утичу на ефикасност и профитабилност приватног сектора и у крајњој инстанци на ниво пореза које уплаћују у буџет. </w:t>
      </w:r>
    </w:p>
    <w:p w:rsidR="00E8309B" w:rsidRDefault="009D0949">
      <w:pPr>
        <w:ind w:left="-5" w:right="17"/>
      </w:pPr>
      <w:r>
        <w:t>Јавна предузећа пре</w:t>
      </w:r>
      <w:r>
        <w:t xml:space="preserve">дстављају значајан сегмент српске привреде који запошљава око 81 хиљаду људи. Јавна предузећа се оснивају као друштва за обављање делатности од општег интереса. Њихов рад уређен је Законом о јавним предузећима, који је усвојен у фебруару 2016. године, као </w:t>
      </w:r>
      <w:r>
        <w:t xml:space="preserve">и подсекторским законима који дефинишу специфична подручја која нису обухваћена Законом о јавним предузећима (Закон о енергетици, Закон о привредним друштвима и др). </w:t>
      </w:r>
    </w:p>
    <w:p w:rsidR="00E8309B" w:rsidRDefault="009D0949">
      <w:pPr>
        <w:spacing w:after="145"/>
        <w:ind w:left="-5" w:right="17"/>
      </w:pPr>
      <w:r>
        <w:t>Укупан капитал републичких јавних предузећа на крају 2019. године износио је 1.751 млрд д</w:t>
      </w:r>
      <w:r>
        <w:t xml:space="preserve">инара, док је као крајњи резултат остварен нето губитак у износу од 18,1 млрд динара. </w:t>
      </w:r>
    </w:p>
    <w:p w:rsidR="00E8309B" w:rsidRDefault="009D0949">
      <w:pPr>
        <w:spacing w:after="6"/>
        <w:ind w:left="-5" w:right="17"/>
      </w:pPr>
      <w:r>
        <w:t xml:space="preserve">Табела 13. Главни финансијски показатељи пословања јавних предузећа, млрд динара </w:t>
      </w:r>
    </w:p>
    <w:tbl>
      <w:tblPr>
        <w:tblStyle w:val="TableGrid"/>
        <w:tblW w:w="7103" w:type="dxa"/>
        <w:tblInd w:w="-15" w:type="dxa"/>
        <w:tblCellMar>
          <w:top w:w="31" w:type="dxa"/>
          <w:left w:w="0" w:type="dxa"/>
          <w:bottom w:w="0" w:type="dxa"/>
          <w:right w:w="1" w:type="dxa"/>
        </w:tblCellMar>
        <w:tblLook w:val="04A0" w:firstRow="1" w:lastRow="0" w:firstColumn="1" w:lastColumn="0" w:noHBand="0" w:noVBand="1"/>
      </w:tblPr>
      <w:tblGrid>
        <w:gridCol w:w="4895"/>
        <w:gridCol w:w="1651"/>
        <w:gridCol w:w="557"/>
      </w:tblGrid>
      <w:tr w:rsidR="00E8309B">
        <w:trPr>
          <w:trHeight w:val="295"/>
        </w:trPr>
        <w:tc>
          <w:tcPr>
            <w:tcW w:w="4895" w:type="dxa"/>
            <w:tcBorders>
              <w:top w:val="single" w:sz="4" w:space="0" w:color="002060"/>
              <w:left w:val="nil"/>
              <w:bottom w:val="single" w:sz="4" w:space="0" w:color="002060"/>
              <w:right w:val="nil"/>
            </w:tcBorders>
          </w:tcPr>
          <w:p w:rsidR="00E8309B" w:rsidRDefault="009D0949">
            <w:pPr>
              <w:spacing w:after="0" w:line="259" w:lineRule="auto"/>
              <w:ind w:left="123" w:right="0" w:firstLine="0"/>
              <w:jc w:val="left"/>
            </w:pPr>
            <w:r>
              <w:rPr>
                <w:sz w:val="20"/>
              </w:rPr>
              <w:t xml:space="preserve">Опис </w:t>
            </w:r>
          </w:p>
        </w:tc>
        <w:tc>
          <w:tcPr>
            <w:tcW w:w="1651" w:type="dxa"/>
            <w:tcBorders>
              <w:top w:val="single" w:sz="4" w:space="0" w:color="002060"/>
              <w:left w:val="nil"/>
              <w:bottom w:val="single" w:sz="4" w:space="0" w:color="002060"/>
              <w:right w:val="nil"/>
            </w:tcBorders>
          </w:tcPr>
          <w:p w:rsidR="00E8309B" w:rsidRDefault="009D0949">
            <w:pPr>
              <w:spacing w:after="0" w:line="259" w:lineRule="auto"/>
              <w:ind w:left="50" w:right="0" w:firstLine="0"/>
              <w:jc w:val="left"/>
            </w:pPr>
            <w:r>
              <w:rPr>
                <w:sz w:val="20"/>
              </w:rPr>
              <w:t xml:space="preserve">2018 </w:t>
            </w:r>
          </w:p>
        </w:tc>
        <w:tc>
          <w:tcPr>
            <w:tcW w:w="557" w:type="dxa"/>
            <w:tcBorders>
              <w:top w:val="single" w:sz="4" w:space="0" w:color="002060"/>
              <w:left w:val="nil"/>
              <w:bottom w:val="single" w:sz="4" w:space="0" w:color="002060"/>
              <w:right w:val="nil"/>
            </w:tcBorders>
          </w:tcPr>
          <w:p w:rsidR="00E8309B" w:rsidRDefault="009D0949">
            <w:pPr>
              <w:spacing w:after="0" w:line="259" w:lineRule="auto"/>
              <w:ind w:left="50" w:right="0" w:firstLine="0"/>
            </w:pPr>
            <w:r>
              <w:rPr>
                <w:sz w:val="20"/>
              </w:rPr>
              <w:t xml:space="preserve">2019 </w:t>
            </w:r>
          </w:p>
        </w:tc>
      </w:tr>
      <w:tr w:rsidR="00E8309B">
        <w:trPr>
          <w:trHeight w:val="290"/>
        </w:trPr>
        <w:tc>
          <w:tcPr>
            <w:tcW w:w="4895" w:type="dxa"/>
            <w:tcBorders>
              <w:top w:val="single" w:sz="4" w:space="0" w:color="002060"/>
              <w:left w:val="nil"/>
              <w:bottom w:val="nil"/>
              <w:right w:val="nil"/>
            </w:tcBorders>
          </w:tcPr>
          <w:p w:rsidR="00E8309B" w:rsidRDefault="009D0949">
            <w:pPr>
              <w:spacing w:after="0" w:line="259" w:lineRule="auto"/>
              <w:ind w:left="123" w:right="0" w:firstLine="0"/>
              <w:jc w:val="left"/>
            </w:pPr>
            <w:r>
              <w:rPr>
                <w:sz w:val="20"/>
              </w:rPr>
              <w:t xml:space="preserve">Укупна имовина </w:t>
            </w:r>
          </w:p>
        </w:tc>
        <w:tc>
          <w:tcPr>
            <w:tcW w:w="1651" w:type="dxa"/>
            <w:tcBorders>
              <w:top w:val="single" w:sz="4" w:space="0" w:color="002060"/>
              <w:left w:val="nil"/>
              <w:bottom w:val="nil"/>
              <w:right w:val="nil"/>
            </w:tcBorders>
          </w:tcPr>
          <w:p w:rsidR="00E8309B" w:rsidRDefault="009D0949">
            <w:pPr>
              <w:tabs>
                <w:tab w:val="center" w:pos="1601"/>
              </w:tabs>
              <w:spacing w:after="0" w:line="259" w:lineRule="auto"/>
              <w:ind w:left="0" w:right="0" w:firstLine="0"/>
              <w:jc w:val="left"/>
            </w:pPr>
            <w:r>
              <w:rPr>
                <w:sz w:val="20"/>
              </w:rPr>
              <w:t xml:space="preserve">2.805 </w:t>
            </w:r>
            <w:r>
              <w:rPr>
                <w:sz w:val="20"/>
              </w:rPr>
              <w:tab/>
              <w:t xml:space="preserve"> </w:t>
            </w:r>
          </w:p>
        </w:tc>
        <w:tc>
          <w:tcPr>
            <w:tcW w:w="557" w:type="dxa"/>
            <w:tcBorders>
              <w:top w:val="single" w:sz="4" w:space="0" w:color="002060"/>
              <w:left w:val="nil"/>
              <w:bottom w:val="nil"/>
              <w:right w:val="nil"/>
            </w:tcBorders>
          </w:tcPr>
          <w:p w:rsidR="00E8309B" w:rsidRDefault="009D0949">
            <w:pPr>
              <w:spacing w:after="0" w:line="259" w:lineRule="auto"/>
              <w:ind w:left="0" w:right="0" w:firstLine="0"/>
            </w:pPr>
            <w:r>
              <w:rPr>
                <w:sz w:val="20"/>
              </w:rPr>
              <w:t xml:space="preserve">2.854  </w:t>
            </w:r>
          </w:p>
        </w:tc>
      </w:tr>
      <w:tr w:rsidR="00E8309B">
        <w:trPr>
          <w:trHeight w:val="285"/>
        </w:trPr>
        <w:tc>
          <w:tcPr>
            <w:tcW w:w="4895" w:type="dxa"/>
            <w:tcBorders>
              <w:top w:val="nil"/>
              <w:left w:val="nil"/>
              <w:bottom w:val="nil"/>
              <w:right w:val="nil"/>
            </w:tcBorders>
          </w:tcPr>
          <w:p w:rsidR="00E8309B" w:rsidRDefault="009D0949">
            <w:pPr>
              <w:spacing w:after="0" w:line="259" w:lineRule="auto"/>
              <w:ind w:left="123" w:right="0" w:firstLine="0"/>
              <w:jc w:val="left"/>
            </w:pPr>
            <w:r>
              <w:rPr>
                <w:sz w:val="20"/>
              </w:rPr>
              <w:t xml:space="preserve">Сопствени капитал </w:t>
            </w:r>
          </w:p>
        </w:tc>
        <w:tc>
          <w:tcPr>
            <w:tcW w:w="1651" w:type="dxa"/>
            <w:tcBorders>
              <w:top w:val="nil"/>
              <w:left w:val="nil"/>
              <w:bottom w:val="nil"/>
              <w:right w:val="nil"/>
            </w:tcBorders>
          </w:tcPr>
          <w:p w:rsidR="00E8309B" w:rsidRDefault="009D0949">
            <w:pPr>
              <w:tabs>
                <w:tab w:val="center" w:pos="1601"/>
              </w:tabs>
              <w:spacing w:after="0" w:line="259" w:lineRule="auto"/>
              <w:ind w:left="0" w:right="0" w:firstLine="0"/>
              <w:jc w:val="left"/>
            </w:pPr>
            <w:r>
              <w:rPr>
                <w:sz w:val="20"/>
              </w:rPr>
              <w:t xml:space="preserve">1.795 </w:t>
            </w:r>
            <w:r>
              <w:rPr>
                <w:sz w:val="20"/>
              </w:rPr>
              <w:tab/>
              <w:t xml:space="preserve"> </w:t>
            </w:r>
          </w:p>
        </w:tc>
        <w:tc>
          <w:tcPr>
            <w:tcW w:w="557" w:type="dxa"/>
            <w:tcBorders>
              <w:top w:val="nil"/>
              <w:left w:val="nil"/>
              <w:bottom w:val="nil"/>
              <w:right w:val="nil"/>
            </w:tcBorders>
          </w:tcPr>
          <w:p w:rsidR="00E8309B" w:rsidRDefault="009D0949">
            <w:pPr>
              <w:spacing w:after="0" w:line="259" w:lineRule="auto"/>
              <w:ind w:left="0" w:right="0" w:firstLine="0"/>
            </w:pPr>
            <w:r>
              <w:rPr>
                <w:sz w:val="20"/>
              </w:rPr>
              <w:t xml:space="preserve">1.751 </w:t>
            </w:r>
            <w:r>
              <w:rPr>
                <w:sz w:val="20"/>
              </w:rPr>
              <w:t xml:space="preserve"> </w:t>
            </w:r>
          </w:p>
        </w:tc>
      </w:tr>
      <w:tr w:rsidR="00E8309B">
        <w:trPr>
          <w:trHeight w:val="283"/>
        </w:trPr>
        <w:tc>
          <w:tcPr>
            <w:tcW w:w="4895" w:type="dxa"/>
            <w:tcBorders>
              <w:top w:val="nil"/>
              <w:left w:val="nil"/>
              <w:bottom w:val="nil"/>
              <w:right w:val="nil"/>
            </w:tcBorders>
          </w:tcPr>
          <w:p w:rsidR="00E8309B" w:rsidRDefault="009D0949">
            <w:pPr>
              <w:spacing w:after="0" w:line="259" w:lineRule="auto"/>
              <w:ind w:left="123" w:right="0" w:firstLine="0"/>
              <w:jc w:val="left"/>
            </w:pPr>
            <w:r>
              <w:rPr>
                <w:sz w:val="20"/>
              </w:rPr>
              <w:t xml:space="preserve">Укупни приходи </w:t>
            </w:r>
          </w:p>
        </w:tc>
        <w:tc>
          <w:tcPr>
            <w:tcW w:w="1651" w:type="dxa"/>
            <w:tcBorders>
              <w:top w:val="nil"/>
              <w:left w:val="nil"/>
              <w:bottom w:val="nil"/>
              <w:right w:val="nil"/>
            </w:tcBorders>
          </w:tcPr>
          <w:p w:rsidR="00E8309B" w:rsidRDefault="009D0949">
            <w:pPr>
              <w:tabs>
                <w:tab w:val="center" w:pos="1601"/>
              </w:tabs>
              <w:spacing w:after="0" w:line="259" w:lineRule="auto"/>
              <w:ind w:left="0" w:right="0" w:firstLine="0"/>
              <w:jc w:val="left"/>
            </w:pPr>
            <w:r>
              <w:rPr>
                <w:sz w:val="20"/>
              </w:rPr>
              <w:t xml:space="preserve">509,9 </w:t>
            </w:r>
            <w:r>
              <w:rPr>
                <w:sz w:val="20"/>
              </w:rPr>
              <w:tab/>
              <w:t xml:space="preserve"> </w:t>
            </w:r>
          </w:p>
        </w:tc>
        <w:tc>
          <w:tcPr>
            <w:tcW w:w="557" w:type="dxa"/>
            <w:tcBorders>
              <w:top w:val="nil"/>
              <w:left w:val="nil"/>
              <w:bottom w:val="nil"/>
              <w:right w:val="nil"/>
            </w:tcBorders>
          </w:tcPr>
          <w:p w:rsidR="00E8309B" w:rsidRDefault="009D0949">
            <w:pPr>
              <w:spacing w:after="0" w:line="259" w:lineRule="auto"/>
              <w:ind w:left="0" w:right="0" w:firstLine="0"/>
            </w:pPr>
            <w:r>
              <w:rPr>
                <w:sz w:val="20"/>
              </w:rPr>
              <w:t xml:space="preserve">524,3  </w:t>
            </w:r>
          </w:p>
        </w:tc>
      </w:tr>
      <w:tr w:rsidR="00E8309B">
        <w:trPr>
          <w:trHeight w:val="284"/>
        </w:trPr>
        <w:tc>
          <w:tcPr>
            <w:tcW w:w="4895" w:type="dxa"/>
            <w:tcBorders>
              <w:top w:val="nil"/>
              <w:left w:val="nil"/>
              <w:bottom w:val="nil"/>
              <w:right w:val="nil"/>
            </w:tcBorders>
          </w:tcPr>
          <w:p w:rsidR="00E8309B" w:rsidRDefault="009D0949">
            <w:pPr>
              <w:spacing w:after="0" w:line="259" w:lineRule="auto"/>
              <w:ind w:left="123" w:right="0" w:firstLine="0"/>
              <w:jc w:val="left"/>
            </w:pPr>
            <w:r>
              <w:rPr>
                <w:sz w:val="20"/>
              </w:rPr>
              <w:t xml:space="preserve">Нето добитак </w:t>
            </w:r>
          </w:p>
        </w:tc>
        <w:tc>
          <w:tcPr>
            <w:tcW w:w="1651" w:type="dxa"/>
            <w:tcBorders>
              <w:top w:val="nil"/>
              <w:left w:val="nil"/>
              <w:bottom w:val="nil"/>
              <w:right w:val="nil"/>
            </w:tcBorders>
          </w:tcPr>
          <w:p w:rsidR="00E8309B" w:rsidRDefault="009D0949">
            <w:pPr>
              <w:spacing w:after="0" w:line="259" w:lineRule="auto"/>
              <w:ind w:left="134" w:right="0" w:firstLine="0"/>
              <w:jc w:val="left"/>
            </w:pPr>
            <w:r>
              <w:rPr>
                <w:sz w:val="20"/>
              </w:rPr>
              <w:t xml:space="preserve">-1,9 </w:t>
            </w:r>
          </w:p>
        </w:tc>
        <w:tc>
          <w:tcPr>
            <w:tcW w:w="557" w:type="dxa"/>
            <w:tcBorders>
              <w:top w:val="nil"/>
              <w:left w:val="nil"/>
              <w:bottom w:val="nil"/>
              <w:right w:val="nil"/>
            </w:tcBorders>
          </w:tcPr>
          <w:p w:rsidR="00E8309B" w:rsidRDefault="009D0949">
            <w:pPr>
              <w:spacing w:after="0" w:line="259" w:lineRule="auto"/>
              <w:ind w:left="34" w:right="0" w:firstLine="0"/>
            </w:pPr>
            <w:r>
              <w:rPr>
                <w:sz w:val="20"/>
              </w:rPr>
              <w:t xml:space="preserve">-18,1 </w:t>
            </w:r>
          </w:p>
        </w:tc>
      </w:tr>
      <w:tr w:rsidR="00E8309B">
        <w:trPr>
          <w:trHeight w:val="284"/>
        </w:trPr>
        <w:tc>
          <w:tcPr>
            <w:tcW w:w="4895" w:type="dxa"/>
            <w:tcBorders>
              <w:top w:val="nil"/>
              <w:left w:val="nil"/>
              <w:bottom w:val="nil"/>
              <w:right w:val="nil"/>
            </w:tcBorders>
          </w:tcPr>
          <w:p w:rsidR="00E8309B" w:rsidRDefault="009D0949">
            <w:pPr>
              <w:spacing w:after="0" w:line="259" w:lineRule="auto"/>
              <w:ind w:left="123" w:right="0" w:firstLine="0"/>
              <w:jc w:val="left"/>
            </w:pPr>
            <w:r>
              <w:rPr>
                <w:sz w:val="20"/>
              </w:rPr>
              <w:t xml:space="preserve">Субвенције </w:t>
            </w:r>
          </w:p>
        </w:tc>
        <w:tc>
          <w:tcPr>
            <w:tcW w:w="1651" w:type="dxa"/>
            <w:tcBorders>
              <w:top w:val="nil"/>
              <w:left w:val="nil"/>
              <w:bottom w:val="nil"/>
              <w:right w:val="nil"/>
            </w:tcBorders>
          </w:tcPr>
          <w:p w:rsidR="00E8309B" w:rsidRDefault="009D0949">
            <w:pPr>
              <w:spacing w:after="0" w:line="259" w:lineRule="auto"/>
              <w:ind w:left="101" w:right="0" w:firstLine="0"/>
              <w:jc w:val="left"/>
            </w:pPr>
            <w:r>
              <w:rPr>
                <w:sz w:val="20"/>
              </w:rPr>
              <w:t xml:space="preserve">30,8 </w:t>
            </w:r>
          </w:p>
        </w:tc>
        <w:tc>
          <w:tcPr>
            <w:tcW w:w="557" w:type="dxa"/>
            <w:tcBorders>
              <w:top w:val="nil"/>
              <w:left w:val="nil"/>
              <w:bottom w:val="nil"/>
              <w:right w:val="nil"/>
            </w:tcBorders>
          </w:tcPr>
          <w:p w:rsidR="00E8309B" w:rsidRDefault="009D0949">
            <w:pPr>
              <w:spacing w:after="0" w:line="259" w:lineRule="auto"/>
              <w:ind w:left="48" w:right="0" w:firstLine="0"/>
            </w:pPr>
            <w:r>
              <w:rPr>
                <w:sz w:val="20"/>
              </w:rPr>
              <w:t xml:space="preserve"> 33,4  </w:t>
            </w:r>
          </w:p>
        </w:tc>
      </w:tr>
      <w:tr w:rsidR="00E8309B">
        <w:trPr>
          <w:trHeight w:val="288"/>
        </w:trPr>
        <w:tc>
          <w:tcPr>
            <w:tcW w:w="4895" w:type="dxa"/>
            <w:tcBorders>
              <w:top w:val="nil"/>
              <w:left w:val="nil"/>
              <w:bottom w:val="single" w:sz="4" w:space="0" w:color="002060"/>
              <w:right w:val="nil"/>
            </w:tcBorders>
          </w:tcPr>
          <w:p w:rsidR="00E8309B" w:rsidRDefault="009D0949">
            <w:pPr>
              <w:spacing w:after="0" w:line="259" w:lineRule="auto"/>
              <w:ind w:left="123" w:right="0" w:firstLine="0"/>
              <w:jc w:val="left"/>
            </w:pPr>
            <w:r>
              <w:rPr>
                <w:sz w:val="20"/>
              </w:rPr>
              <w:t xml:space="preserve">Субвенције, без ЈП „Путеви Србије” </w:t>
            </w:r>
          </w:p>
        </w:tc>
        <w:tc>
          <w:tcPr>
            <w:tcW w:w="1651" w:type="dxa"/>
            <w:tcBorders>
              <w:top w:val="nil"/>
              <w:left w:val="nil"/>
              <w:bottom w:val="single" w:sz="4" w:space="0" w:color="002060"/>
              <w:right w:val="nil"/>
            </w:tcBorders>
          </w:tcPr>
          <w:p w:rsidR="00E8309B" w:rsidRDefault="009D0949">
            <w:pPr>
              <w:spacing w:after="0" w:line="259" w:lineRule="auto"/>
              <w:ind w:left="101" w:right="0" w:firstLine="0"/>
              <w:jc w:val="left"/>
            </w:pPr>
            <w:r>
              <w:rPr>
                <w:sz w:val="20"/>
              </w:rPr>
              <w:t xml:space="preserve">23,0 </w:t>
            </w:r>
          </w:p>
        </w:tc>
        <w:tc>
          <w:tcPr>
            <w:tcW w:w="557" w:type="dxa"/>
            <w:tcBorders>
              <w:top w:val="nil"/>
              <w:left w:val="nil"/>
              <w:bottom w:val="single" w:sz="4" w:space="0" w:color="002060"/>
              <w:right w:val="nil"/>
            </w:tcBorders>
          </w:tcPr>
          <w:p w:rsidR="00E8309B" w:rsidRDefault="009D0949">
            <w:pPr>
              <w:spacing w:after="0" w:line="259" w:lineRule="auto"/>
              <w:ind w:left="48" w:right="0" w:firstLine="0"/>
            </w:pPr>
            <w:r>
              <w:rPr>
                <w:sz w:val="20"/>
              </w:rPr>
              <w:t xml:space="preserve"> 24,3  </w:t>
            </w:r>
          </w:p>
        </w:tc>
      </w:tr>
      <w:tr w:rsidR="00E8309B">
        <w:trPr>
          <w:trHeight w:val="295"/>
        </w:trPr>
        <w:tc>
          <w:tcPr>
            <w:tcW w:w="4895" w:type="dxa"/>
            <w:tcBorders>
              <w:top w:val="single" w:sz="4" w:space="0" w:color="002060"/>
              <w:left w:val="nil"/>
              <w:bottom w:val="single" w:sz="4" w:space="0" w:color="002060"/>
              <w:right w:val="nil"/>
            </w:tcBorders>
          </w:tcPr>
          <w:p w:rsidR="00E8309B" w:rsidRDefault="009D0949">
            <w:pPr>
              <w:spacing w:after="0" w:line="259" w:lineRule="auto"/>
              <w:ind w:left="123" w:right="0" w:firstLine="0"/>
              <w:jc w:val="left"/>
            </w:pPr>
            <w:r>
              <w:rPr>
                <w:sz w:val="20"/>
              </w:rPr>
              <w:t xml:space="preserve">Субвенције, % укупних прихода </w:t>
            </w:r>
          </w:p>
        </w:tc>
        <w:tc>
          <w:tcPr>
            <w:tcW w:w="1651" w:type="dxa"/>
            <w:tcBorders>
              <w:top w:val="single" w:sz="4" w:space="0" w:color="002060"/>
              <w:left w:val="nil"/>
              <w:bottom w:val="single" w:sz="4" w:space="0" w:color="002060"/>
              <w:right w:val="nil"/>
            </w:tcBorders>
          </w:tcPr>
          <w:p w:rsidR="00E8309B" w:rsidRDefault="009D0949">
            <w:pPr>
              <w:spacing w:after="0" w:line="259" w:lineRule="auto"/>
              <w:ind w:left="34" w:right="0" w:firstLine="0"/>
              <w:jc w:val="left"/>
            </w:pPr>
            <w:r>
              <w:rPr>
                <w:sz w:val="20"/>
              </w:rPr>
              <w:t xml:space="preserve">5,9% </w:t>
            </w:r>
          </w:p>
        </w:tc>
        <w:tc>
          <w:tcPr>
            <w:tcW w:w="557" w:type="dxa"/>
            <w:tcBorders>
              <w:top w:val="single" w:sz="4" w:space="0" w:color="002060"/>
              <w:left w:val="nil"/>
              <w:bottom w:val="single" w:sz="4" w:space="0" w:color="002060"/>
              <w:right w:val="nil"/>
            </w:tcBorders>
          </w:tcPr>
          <w:p w:rsidR="00E8309B" w:rsidRDefault="009D0949">
            <w:pPr>
              <w:spacing w:after="0" w:line="259" w:lineRule="auto"/>
              <w:ind w:left="34" w:right="0" w:firstLine="0"/>
            </w:pPr>
            <w:r>
              <w:rPr>
                <w:sz w:val="20"/>
              </w:rPr>
              <w:t xml:space="preserve">6,4% </w:t>
            </w:r>
          </w:p>
        </w:tc>
      </w:tr>
    </w:tbl>
    <w:p w:rsidR="00E8309B" w:rsidRDefault="009D0949">
      <w:pPr>
        <w:spacing w:after="195" w:line="269" w:lineRule="auto"/>
        <w:ind w:left="-5" w:right="53"/>
        <w:jc w:val="left"/>
      </w:pPr>
      <w:r>
        <w:rPr>
          <w:sz w:val="16"/>
        </w:rPr>
        <w:t xml:space="preserve"> Извор: Финансијски извештаји за 2018. и 2019. годину </w:t>
      </w:r>
    </w:p>
    <w:p w:rsidR="00E8309B" w:rsidRDefault="009D0949">
      <w:pPr>
        <w:ind w:left="-5" w:right="17"/>
      </w:pPr>
      <w:r>
        <w:t>У 2019. години субвенције су, изражене у проценту укупних прихода, на нешто вишем нивоу у односу на претходну годину и чине 6,4% укупних прихода јавних предузећа. Одређене субвенције имају капитални карактер као што су субвенције за ЈП „Путеви Србијеˮ, кој</w:t>
      </w:r>
      <w:r>
        <w:t xml:space="preserve">е су намењене реконструкцији путне инфраструктуре. </w:t>
      </w:r>
    </w:p>
    <w:p w:rsidR="00E8309B" w:rsidRDefault="009D0949">
      <w:pPr>
        <w:spacing w:after="0"/>
        <w:ind w:left="-5" w:right="17"/>
      </w:pPr>
      <w:r>
        <w:t>Укупан нето резултат утврђен у првој половини 2020. године је добит у износу од 8,9 млрд динара. У првој половини године добит је остварило 22 предузећа у укупном износу од 11,5 млрд динара. Овај резултат</w:t>
      </w:r>
      <w:r>
        <w:t xml:space="preserve"> је виши од плана у овом периоду (5,5 млрд динара). У првој половини текуће године тринаест предузећа је остварило нето губитак у укупном износу од 2,6 млрд динара, што је лошији резултат од планираног у овом периоду (2,3 млрд динара). </w:t>
      </w:r>
    </w:p>
    <w:p w:rsidR="00E8309B" w:rsidRDefault="009D0949">
      <w:pPr>
        <w:ind w:left="-5" w:right="17"/>
      </w:pPr>
      <w:r>
        <w:t>Ублажавање потенциј</w:t>
      </w:r>
      <w:r>
        <w:t>алних ризика, који настају као последица пословања јавних предузећа, обухвата низ мера везаних за одговорност, профитабилност и транспарентност у пословању ових предузећа. Почетком 2016. године је усвојен нови Закон о јавним предузећима који ће ојачати стр</w:t>
      </w:r>
      <w:r>
        <w:t>уктуру управљања и одговорност јавних предузећа. У циљу умањења фискалних ризика повезаних са пословањем јавних предузећа у току су процеси реструктурирања највећих јавних предузећа (групе предузећа које се баве железничким саобраћајем – „Железнице Србијеˮ</w:t>
      </w:r>
      <w:r>
        <w:t xml:space="preserve"> а.д, „Инфраструктура железнице Србијеˮ а.д, „Србија Возˮ а.д, „Србија Каргоˮ а.д, ЈП ЕПС и ЈП „Србијагасˮ). Целокупан процес се спроводи у сарадњи за водећим светским финансијским институцијама – ММФ, Светском банком и Европском банком за обнову и развој </w:t>
      </w:r>
      <w:r>
        <w:t xml:space="preserve">(у даљем тексту: ЕБРД), како би се ова предузећа поставила на здраве основе и почела да функционишу по тржишном принципу, те умањили потенцијални фискални трошкови који могу проистећи из њиховог пословања. ЈП „Електропривреда Србије”. План </w:t>
      </w:r>
      <w:r>
        <w:lastRenderedPageBreak/>
        <w:t>оптимизације бро</w:t>
      </w:r>
      <w:r>
        <w:t>ја запослених за период 2016–2019. године, израђен уз помоћ Светске банке, успешно се спроводи. Уз помоћ Светске банке и ЕБРД сагледавају се могућности даљег унапређења управљања компанијом у погледу менаџмента, система планирања и набавки. Акциони план за</w:t>
      </w:r>
      <w:r>
        <w:t xml:space="preserve"> побољшање корпоративног управљања, који је сачињен на основу препорука ЕБРД и који је усвојила Влада у фебруару 2019. године, успешно се спроводи. </w:t>
      </w:r>
    </w:p>
    <w:p w:rsidR="00E8309B" w:rsidRDefault="009D0949">
      <w:pPr>
        <w:ind w:left="-5" w:right="17"/>
      </w:pPr>
      <w:r>
        <w:t>Предвиђено је да, током 2021. године, ЕПС промени правни статус и региструје се као акционарско друштво, шт</w:t>
      </w:r>
      <w:r>
        <w:t>о је у складу са тренутним процесом реструктурирања и финансијске консолидације компаније, а са циљем да се унапреди профитабилност и професионализује руковођење предузећа. С тим у вези, током последњег квартала 2020. године, објављен је јавни позив за про</w:t>
      </w:r>
      <w:r>
        <w:t>цену вредности основних средстава предузећа. Такође, током 2020. године урађена је анализа тарифног система који би омогућио да предузеће буде у могућности да из редовног пословања сервисира целокупне трошкове пословања, затим трошкове који проистичу из по</w:t>
      </w:r>
      <w:r>
        <w:t xml:space="preserve">већаног обима расхода који настају код производње из обновљивих извора енергије, те неопходности за додатним капиталним улагањима у постојеће и нове производне капацитете. </w:t>
      </w:r>
    </w:p>
    <w:p w:rsidR="00E8309B" w:rsidRDefault="009D0949">
      <w:pPr>
        <w:spacing w:after="89"/>
        <w:ind w:left="-5" w:right="17"/>
      </w:pPr>
      <w:r>
        <w:t>Услед неопходности адекватне наплате својих потраживања, ЕПС редовно ажурира на веб</w:t>
      </w:r>
      <w:r>
        <w:t xml:space="preserve"> страници листу 20 највећих дужника предузећа. Такође, предвиђено је да се спроведу све неопходне мере за наплату доспелих потраживања, а која су настала у периоду током трајања ванредног стања. </w:t>
      </w:r>
    </w:p>
    <w:p w:rsidR="00E8309B" w:rsidRDefault="009D0949">
      <w:pPr>
        <w:ind w:left="-5" w:right="17"/>
      </w:pPr>
      <w:r>
        <w:t>ЈП „Србијагасˮ - Пандемија и увођење ванредног стања делимич</w:t>
      </w:r>
      <w:r>
        <w:t>но су се одразили на степен наплате потраживања у том периоду. Предузеће редовно ажурира списак 20 највећих дужника на својој веб страници, уз намеру да се предузму све неопходне мере ради наплате доспелих потраживања. Намера предузећа је да до краја 2020.</w:t>
      </w:r>
      <w:r>
        <w:t xml:space="preserve"> године буде у могућности да самостално сервисира финансијске обавезе настале у периоду 2008-2012. година. </w:t>
      </w:r>
    </w:p>
    <w:p w:rsidR="00E8309B" w:rsidRDefault="009D0949">
      <w:pPr>
        <w:spacing w:after="90"/>
        <w:ind w:left="-5" w:right="17"/>
      </w:pPr>
      <w:r>
        <w:t>Пре периода фискалне консолидације Република Србија имала је значајне фискалне трошкове спашавања државних банака. Укупни трошкови државних интервен</w:t>
      </w:r>
      <w:r>
        <w:t>ција у банкарском сектору у периоду 2012–2015. године износили су око 900 милиона евра. То је износ издвојен за докапитализацију банака, различите финансијске трансакције приликом припајања неуспешних банака успешнијим, укључујући и исплату осигураних и не</w:t>
      </w:r>
      <w:r>
        <w:t xml:space="preserve">осигураних депозита (за шта су коришћена и средства Фонда за осигурање депозита). </w:t>
      </w:r>
    </w:p>
    <w:p w:rsidR="00E8309B" w:rsidRDefault="009D0949">
      <w:pPr>
        <w:spacing w:after="91"/>
        <w:ind w:left="-5" w:right="17"/>
      </w:pPr>
      <w:r>
        <w:t xml:space="preserve">Република Србија данас у банкарском сектору земље има директан удео у капиталу: </w:t>
      </w:r>
    </w:p>
    <w:p w:rsidR="00E8309B" w:rsidRDefault="009D0949">
      <w:pPr>
        <w:ind w:left="1088" w:right="2638"/>
      </w:pPr>
      <w:r>
        <w:rPr>
          <w:rFonts w:ascii="Wingdings" w:eastAsia="Wingdings" w:hAnsi="Wingdings" w:cs="Wingdings"/>
          <w:color w:val="44546A"/>
        </w:rPr>
        <w:t></w:t>
      </w:r>
      <w:r>
        <w:rPr>
          <w:rFonts w:ascii="Arial" w:eastAsia="Arial" w:hAnsi="Arial" w:cs="Arial"/>
          <w:color w:val="44546A"/>
        </w:rPr>
        <w:t xml:space="preserve"> </w:t>
      </w:r>
      <w:r>
        <w:t xml:space="preserve">Банке Поштанска штедионица а.д. Београд (79,01%), </w:t>
      </w:r>
      <w:r>
        <w:rPr>
          <w:rFonts w:ascii="Wingdings" w:eastAsia="Wingdings" w:hAnsi="Wingdings" w:cs="Wingdings"/>
          <w:color w:val="44546A"/>
        </w:rPr>
        <w:t></w:t>
      </w:r>
      <w:r>
        <w:rPr>
          <w:rFonts w:ascii="Arial" w:eastAsia="Arial" w:hAnsi="Arial" w:cs="Arial"/>
          <w:color w:val="44546A"/>
        </w:rPr>
        <w:t xml:space="preserve"> </w:t>
      </w:r>
      <w:r>
        <w:t xml:space="preserve">Српске банке а.д. Београд (76,68%). </w:t>
      </w:r>
    </w:p>
    <w:p w:rsidR="00E8309B" w:rsidRDefault="009D0949">
      <w:pPr>
        <w:ind w:left="-5" w:right="17"/>
      </w:pPr>
      <w:r>
        <w:t xml:space="preserve">У циљу доследног спровођења излазне стратегије и смањења фискалних ризика по овом основу настављају се реформске активности у области државних финансијских институција започете 2012. године, односно 2015. године. </w:t>
      </w:r>
    </w:p>
    <w:p w:rsidR="00E8309B" w:rsidRDefault="009D0949">
      <w:pPr>
        <w:spacing w:after="90"/>
        <w:ind w:left="-5" w:right="17"/>
      </w:pPr>
      <w:r>
        <w:t>Банка Поштанска штедионица. Уз подршку Све</w:t>
      </w:r>
      <w:r>
        <w:t xml:space="preserve">тске банке наставиће се са спровођењем стратегије за Банку Поштанска штедионица са нагласком на преусмеравање пословања са становништвом, предузетницима, микропредузећима и малим предузећима; побољшање интерне организације банке, корпоративног управљања и </w:t>
      </w:r>
      <w:r>
        <w:t xml:space="preserve">управљања ризиком; јачање ИТ инфраструктуре, као и план пословања за период 2020–2022. године. </w:t>
      </w:r>
    </w:p>
    <w:p w:rsidR="00E8309B" w:rsidRDefault="009D0949">
      <w:pPr>
        <w:ind w:left="-5" w:right="17"/>
      </w:pPr>
      <w:r>
        <w:t>Како би се омогућило ублажавање економских и финансијских последица, насталих услед пандемије болести Ковид-19 изазване вирусом SARS-CoV-</w:t>
      </w:r>
      <w:r>
        <w:t>2, Банци је омогућено да у потпуности примењује Уредбу о утврђивању гарантне шеме као мера подршке привреди за ублажавање последица пандемије болести Ковид-19 изазване вирусом SARS-CоV-2, затим, пласира средства јединицама локалне самоуправе, а елиминисани</w:t>
      </w:r>
      <w:r>
        <w:t xml:space="preserve"> су и лимити изложености према привредним друштвима која су до тада постојала у случају Банке Поштанска штедионица. </w:t>
      </w:r>
    </w:p>
    <w:p w:rsidR="00E8309B" w:rsidRDefault="009D0949">
      <w:pPr>
        <w:ind w:left="-5" w:right="17"/>
      </w:pPr>
      <w:r>
        <w:lastRenderedPageBreak/>
        <w:t>Комерцијална банка. Дана 26. фебруара 2020. године представници Министарства финансија Републике Србије и Нове Љубљанске банке д.д. Љубљана</w:t>
      </w:r>
      <w:r>
        <w:t xml:space="preserve"> потписали су уговор о куповини акција ове банке у власништву Републике Србије према којем је 83,23% обичних акција банке продато за 387 милиона евра. Процес приватизације Комерцијалне банке је окончан 30. децембра 2020. године.   </w:t>
      </w:r>
    </w:p>
    <w:p w:rsidR="00E8309B" w:rsidRDefault="009D0949">
      <w:pPr>
        <w:ind w:left="-5" w:right="17"/>
      </w:pPr>
      <w:r>
        <w:t>Српска банка. У складу с</w:t>
      </w:r>
      <w:r>
        <w:t>а Владином стратегијом за државне банке, формирана је Стручна радна група за трaнсфoрмaциjу Српске банке у спeциjaлизoвaну финансијску институцију за пружање свих врста финансијских услуга и подршке нaмeнскoj индустрији Републике Србије дана 21. јануара 20</w:t>
      </w:r>
      <w:r>
        <w:t xml:space="preserve">19. године и почела је са формалним радом у марту 2019. године када је одржана конститутивна седница. </w:t>
      </w:r>
    </w:p>
    <w:p w:rsidR="00E8309B" w:rsidRDefault="009D0949">
      <w:pPr>
        <w:ind w:left="-5" w:right="17"/>
      </w:pPr>
      <w:r>
        <w:t>Реформа прописа који уређују српски финансијски систем спроведена је фебруара 2015. године. Једна од карактеристика те реформе јесте и пренос надлежности</w:t>
      </w:r>
      <w:r>
        <w:t xml:space="preserve"> праћења резултата пословања и рада органа управљања у банкама, друштвима за осигурање и другим финансијским институцијама чији је акционар Република Србија, као и организовање и спровођење поступка продаје акција у њима, са АОД на Министарство финансија, </w:t>
      </w:r>
      <w:r>
        <w:t>почев од 1. априла 2015. године. Реформом прописа је у домаћу регулативу транспонована и Директива о реструктурирању банака (</w:t>
      </w:r>
      <w:r>
        <w:rPr>
          <w:i/>
        </w:rPr>
        <w:t>Bank Recovery and Resolution Directive</w:t>
      </w:r>
      <w:r>
        <w:t xml:space="preserve"> – BRRD) и функција реструктурирања банака поверена је НБС. У децембру 2016. године усвојен ј</w:t>
      </w:r>
      <w:r>
        <w:t>е сет прописа којима се у домаћи регулаторни оквир имплементирају Базел III стандарди, чиме је постигнут значајан степен усклађености домаћих прописа са релевантним прописима ЕУ у овој области, а током 2017. године се наставило са активностима на унапређењ</w:t>
      </w:r>
      <w:r>
        <w:t>у домаћих прописа којима се уређује пословање банака, а у циљу њиховог даљег усклађивања са прописима ЕУ. Основни циљеви усвајања ових прописа су повећање отпорности банкарског сектора повећањем квалитета капитала и увођењем заштитних слојева капитала, бољ</w:t>
      </w:r>
      <w:r>
        <w:t>е праћење и контрола изложености банке ризику ликвидности, даље јачање тржишне дисциплине и транспарентности пословања банака у Републици Србији објављивањем свих релевантних информација о пословању банке, као и прилагођавање извештајног система новим регу</w:t>
      </w:r>
      <w:r>
        <w:t xml:space="preserve">латорним решењима. </w:t>
      </w:r>
    </w:p>
    <w:p w:rsidR="00E8309B" w:rsidRDefault="009D0949">
      <w:pPr>
        <w:ind w:left="-5" w:right="17"/>
      </w:pPr>
      <w:r>
        <w:t>Један од ограничавајућих фактора за раст кредитне активности представљао је релативно висок ниво проблематичних кредита. У августу 2015. године усвојена је Стратегија за решавање проблематичних кредита која се спроводи имплементацијом д</w:t>
      </w:r>
      <w:r>
        <w:t>ва трогодишња акциона плана, један припремљен од стране Владе и други припремљен од стране НБС, у циљу спуштања нивоа проблематичних кредита. Кључне области имплементације подразумевале су јачање капацитета банака за решавање проблематичних кредита, унапре</w:t>
      </w:r>
      <w:r>
        <w:t xml:space="preserve">ђење регулативе за процену вредности средстава обезбеђења, развој тржишта проблематичних кредита и др. </w:t>
      </w:r>
    </w:p>
    <w:p w:rsidR="00E8309B" w:rsidRDefault="009D0949">
      <w:pPr>
        <w:ind w:left="-5" w:right="17"/>
      </w:pPr>
      <w:r>
        <w:t>Од доношења поменуте стратегије, усвојен је и измењен већи број законских и подзаконских аката, унапређен је институционални капацитет и спроведене су б</w:t>
      </w:r>
      <w:r>
        <w:t>ројне мере за лакши отпис и пренос ненаплативих потраживања Ови прописи имају за циљ да допринесу спречавању настанка проблематичних кредита у банкарском сектору и подстакну опрезно преузимање ризика од стране банака њиховим усмеравањем на одрживо кредитир</w:t>
      </w:r>
      <w:r>
        <w:t>ање и избегавање прекомерне изложености одређеним врстама кредитних производа, не нарушавајући тренд раста кредитне активности и водећи рачуна о правима и интересима корисника услуга које пружају банке, а све ради очувања и јачања финансијске стабилности у</w:t>
      </w:r>
      <w:r>
        <w:t xml:space="preserve"> Републици Србији. </w:t>
      </w:r>
    </w:p>
    <w:p w:rsidR="00E8309B" w:rsidRDefault="009D0949">
      <w:pPr>
        <w:ind w:left="-5" w:right="17"/>
      </w:pPr>
      <w:r>
        <w:t xml:space="preserve">Стварањем стабилних услова пословања, наша економија је ушла у инвестициони циклус 2015. године, и од тада инвестиције по обиму представљају добар део раста економије. Профитабилност привреде расте у условима ниске и стабилне инфлације </w:t>
      </w:r>
      <w:r>
        <w:t xml:space="preserve">и релативно стабилног курса. Све су то били кључни фактори за одрживо решавање питања проблематичних кредита. То се јасно види и из чињенице да је у гранама које су и носиоци </w:t>
      </w:r>
      <w:r>
        <w:lastRenderedPageBreak/>
        <w:t xml:space="preserve">нашег раста, забележен и највећи пад проблематичних кредита – што је евидентно у </w:t>
      </w:r>
      <w:r>
        <w:t xml:space="preserve">прерађивачкој индустрији и грађевинарству. </w:t>
      </w:r>
    </w:p>
    <w:p w:rsidR="00E8309B" w:rsidRDefault="009D0949">
      <w:pPr>
        <w:ind w:left="-5" w:right="17"/>
      </w:pPr>
      <w:r>
        <w:t>Осигурање депозита је механизам који доприноси очувању финансијске стабилности и обезбеђује заштиту депонената. Систем осигурања депозита обезбеђује да се сваком заштићеном депоненту</w:t>
      </w:r>
      <w:r>
        <w:rPr>
          <w:vertAlign w:val="superscript"/>
        </w:rPr>
        <w:footnoteReference w:id="16"/>
      </w:r>
      <w:r>
        <w:t xml:space="preserve"> исплати целокупан износ улог</w:t>
      </w:r>
      <w:r>
        <w:t xml:space="preserve">а у свакој банци до осигураног износа од 50.000 евра у случају стечаја или ликвидације банке. Осигурање депозита регулисано је Законом о осигурању депозита. </w:t>
      </w:r>
    </w:p>
    <w:p w:rsidR="00E8309B" w:rsidRDefault="009D0949">
      <w:pPr>
        <w:ind w:left="-5" w:right="17"/>
      </w:pPr>
      <w:r>
        <w:t>У систему осигурања депозита Република Србија је ултимативни гарант исплате осигураних депозита. У</w:t>
      </w:r>
      <w:r>
        <w:t xml:space="preserve"> сврху обезбеђивања средстава за осигурање депозита АОД наплаћује премију осигурања депозита од банака за рачун Фонда за осигурање депозита, управља имовином фонда и исплаћује депозите до осигураног износа у случају стечаја или ликвидације банке. Додатно, </w:t>
      </w:r>
      <w:r>
        <w:t>средства фонда се могу користити и за финансирање поступка реструктурирања банака у обиму и под условима утврђеним законом којим се уређују банке. У случају недостајућих средстава у фонду за осигурање депозита, Република Србија обезбеђује исплату било сред</w:t>
      </w:r>
      <w:r>
        <w:t xml:space="preserve">ствима из буџета, било давањем гаранције за задуживање АОД. </w:t>
      </w:r>
    </w:p>
    <w:p w:rsidR="00E8309B" w:rsidRDefault="009D0949">
      <w:pPr>
        <w:ind w:left="-5" w:right="17"/>
      </w:pPr>
      <w:r>
        <w:t>Гаранција исплате осигураних депозита од стране државе, било директно средствима из буџета, или индиректно издавањем гаранција за задуживање АОД, извор је фискалних ризика и могућих фискалних тро</w:t>
      </w:r>
      <w:r>
        <w:t>шкова. Међутим, захваљујући постигнутој стабилности банкарског сектора, од 2015. године није било потребе за коришћењем средстава фонда за осигурање депозита, нити државе по основу исплата осигураних износа депозита. Умањење фискалних ризика по овом основу</w:t>
      </w:r>
      <w:r>
        <w:t xml:space="preserve"> зависи од стабилности и одрживости банкарског система. Надзор над банкарским системом, обазривост у пласирању средстава и унапређење квалитета имовине банака су основни стубови стабилног банкарског система. </w:t>
      </w:r>
    </w:p>
    <w:p w:rsidR="00E8309B" w:rsidRDefault="009D0949">
      <w:pPr>
        <w:spacing w:after="104"/>
        <w:ind w:left="-5" w:right="17"/>
      </w:pPr>
      <w:r>
        <w:t>Остварени резултати банкарског сектора Републик</w:t>
      </w:r>
      <w:r>
        <w:t>е Србије на крају 2019. и првих десет месеци 2020. показују стабилну профитабилност банака. Банкарски сектор Републике Србије је и у првих десет месеци 2020. године пословао профитабилно, са нето добитком пре опорезивања у износу од 45,8 милијарди динара и</w:t>
      </w:r>
      <w:r>
        <w:t xml:space="preserve"> показатељима РОА од 1,28% и РОЕ 7,72%. Банкарски сектор Републике Србије адекватно је капитализован, како са становишта оствареног нивоа показатеља адекватности капитала, тако и са становишта структуре регулаторног капитала. На крају септембра 2020. годин</w:t>
      </w:r>
      <w:r>
        <w:t xml:space="preserve">е, просечна вредност показатеља адекватности капитала на нивоу банкарског сектора Републике Србије износила је 22,41% (након корекција једне банке спроведених у поступку посредне контроле овај показатељ би износио 22,27%), што је значајно изнад прописаног </w:t>
      </w:r>
      <w:r>
        <w:t xml:space="preserve">регулаторног минимума за 8% и више него довољно за покриће свих ризика којима је сектор изложен, што потврђују и макропруденцијални стрес тестови које НБС редовно спроводи. </w:t>
      </w:r>
    </w:p>
    <w:p w:rsidR="00E8309B" w:rsidRDefault="009D0949">
      <w:pPr>
        <w:ind w:left="-5" w:right="17"/>
      </w:pPr>
      <w:r>
        <w:t>Имајући у виду ситуацију насталу проглашењем ванредног стања у Републици Србији, к</w:t>
      </w:r>
      <w:r>
        <w:t>ако би се омогућило ублажавање економских и финансијских последица насталих услед пандемије болести Ковид-19 предузете су мере подршке привреди које су имале за циљ повећање ликвидности привредних субјеката. Једна од мера јесте била и доношење Уредбе однос</w:t>
      </w:r>
      <w:r>
        <w:t xml:space="preserve">но Закона о утврђивању гарантне шеме као мера подршке привреди за ублажавање последица пандемије болести Ковид-19 изазване вирусом SARS-CоV-2. </w:t>
      </w:r>
    </w:p>
    <w:p w:rsidR="00E8309B" w:rsidRDefault="009D0949">
      <w:pPr>
        <w:ind w:left="-5" w:right="17"/>
      </w:pPr>
      <w:r>
        <w:t>Овим законом је конституисано утврђивање националне гарантне шеме. Повећање ликвидности привредних субјеката кро</w:t>
      </w:r>
      <w:r>
        <w:t>з механизам гарантовања Републике Србије за кредите које банке одобравају привредним субјектима за финансирање ликвидности и обртних средстава, а које се омогућава закључењем Уговора о гаранцији Републике Србије за кредитирање привреде с циљем ублажавања н</w:t>
      </w:r>
      <w:r>
        <w:t xml:space="preserve">егативних последица пандемије болести </w:t>
      </w:r>
      <w:r>
        <w:lastRenderedPageBreak/>
        <w:t>Ковид19, јесте мера која у себи сублимира изузетно важан и нужан механизам ефеката за сва лица са седиштем у Републици Србији укључујући и пољопривредна газдинства, која су регистрована у АПР Републике Србије и класифи</w:t>
      </w:r>
      <w:r>
        <w:t xml:space="preserve">кована као предузетник, или микро, мало и средње привредно друштво у складу са законом којим се уређује рачуноводство, а чија је ликвидност предуслов функционисања привреде Републике Србије. </w:t>
      </w:r>
    </w:p>
    <w:p w:rsidR="00E8309B" w:rsidRDefault="009D0949">
      <w:pPr>
        <w:ind w:left="-5" w:right="17"/>
      </w:pPr>
      <w:r>
        <w:t>Бaнкe мoгу дa зa рeaлизaциjу крeдитa плaсирajу изнoс дo две мили</w:t>
      </w:r>
      <w:r>
        <w:t>јарде eврa, при чему је износ од једне милијарде евра, односно износ иницијалног максималног осигураног портфолија по банкама утврђен сходно тржишном учешћу банке према извештају НБС на дан 29. фебруар 2020. године. Након што банка достигне 90% искоришћено</w:t>
      </w:r>
      <w:r>
        <w:t>сти максималног осигураног портфолија, банка може конкурисати за повећање његовог лимита из преосталог износа средстава из гарантне шеме по истим условима за повећање максималног осигураног портфолија неограничен број пута, с тим да сваки појединачни захте</w:t>
      </w:r>
      <w:r>
        <w:t xml:space="preserve">в не може бити мањи од пет милиона евра нити већи од 25 милиона евра. </w:t>
      </w:r>
    </w:p>
    <w:p w:rsidR="00E8309B" w:rsidRDefault="009D0949">
      <w:pPr>
        <w:ind w:left="-5" w:right="17"/>
      </w:pPr>
      <w:r>
        <w:t>Уговор о гаранцији Републике Србије за кредитирање привреде с циљем ублажавања негативних последица пандемије болести Ковид-19 са Републиком Србијом и НБС до сада је потписало 25 банака</w:t>
      </w:r>
      <w:r>
        <w:t xml:space="preserve"> и Влада је одобрила 22 захтева за повећање максималног осигураног портфолија у износу од 502,5 милиона евра. </w:t>
      </w:r>
    </w:p>
    <w:p w:rsidR="00E8309B" w:rsidRDefault="009D0949">
      <w:pPr>
        <w:ind w:left="-5" w:right="17"/>
      </w:pPr>
      <w:r>
        <w:t>У складу са изнетим, прojeкциje фискaлних бруто oдливa буџeтa Републике Србије пo oснoву предметне националне Гaрaнтнe шeмe износе 24 милиона евр</w:t>
      </w:r>
      <w:r>
        <w:t>а за 2021. годину, 112 милиона евра за 2022. годину и 34 милиона евра за 2023. годину. Такође, извршена је и пројекција прилива по основу наплате проблематичних потраживања по основу предметне гарантне шеме Републике Србије која износе 14 милиона евра за 2</w:t>
      </w:r>
      <w:r>
        <w:t xml:space="preserve">022. годину и 23 милиона евра за 2023, годину. </w:t>
      </w:r>
    </w:p>
    <w:p w:rsidR="00E8309B" w:rsidRDefault="009D0949">
      <w:pPr>
        <w:ind w:left="-5" w:right="17"/>
      </w:pPr>
      <w:r>
        <w:t>Поред наведених фискалних ризика постоје и друге околности које, уколико се реализују, могу довести до фискалних трошкова. За поједине ризике не постоје систематизовани подаци, али имајући у виду да су се пој</w:t>
      </w:r>
      <w:r>
        <w:t xml:space="preserve">едини остварили у ближој прошлости може се сагледати величина њиховог утицаја на јавне финансије. Само њихово идентификовање помаже сагледавању могућих утицаја на фискалну позицију земље у наредном периоду. </w:t>
      </w:r>
    </w:p>
    <w:p w:rsidR="00E8309B" w:rsidRDefault="009D0949">
      <w:pPr>
        <w:ind w:left="-5" w:right="17"/>
      </w:pPr>
      <w:r>
        <w:t>Пословање јединица локалне самоуправе може имати</w:t>
      </w:r>
      <w:r>
        <w:t xml:space="preserve"> фискалне импликације на буџет опште државе. Посебним фискалним правилима за локалне самоуправе постављено је тзв. „златно правилоˮ тј. дефицит је могућ само за реализацију капиталних инвестиција. Постоје и правила о висини задужености јединица локалне сам</w:t>
      </w:r>
      <w:r>
        <w:t>оуправе, која би доследном применом одржала стабилност јавних финансија на локалном нивоу. У пракси се дешавало да нереалним планирањем како прихода, тако и расхода дође до нагомилавања доспелих а неизмирених обавеза које угрожавају функционисање појединих</w:t>
      </w:r>
      <w:r>
        <w:t xml:space="preserve"> градова и општина. Како би се избегла реализација фискалних ризика по овом основу Министарство финансија ће у наредном периоду значајно унапредити систем контроле јавних финансија локалних самоуправа у циљу поштовања постављених правила од планирања до ре</w:t>
      </w:r>
      <w:r>
        <w:t xml:space="preserve">ализације буџета на локалном нивоу. </w:t>
      </w:r>
    </w:p>
    <w:p w:rsidR="00E8309B" w:rsidRDefault="009D0949">
      <w:pPr>
        <w:spacing w:after="83"/>
        <w:ind w:left="-5" w:right="17"/>
      </w:pPr>
      <w:r>
        <w:t>Постоје значајни фискални ризици по основу судских одлука, домаћих и међународних судова, казни и накнада штете од стране државних органа. Република Србија је по основу судских одлука у периоду 2009–2018. године из буџе</w:t>
      </w:r>
      <w:r>
        <w:t>та платила 80,5 млрд динара</w:t>
      </w:r>
      <w:r>
        <w:rPr>
          <w:vertAlign w:val="superscript"/>
        </w:rPr>
        <w:footnoteReference w:id="17"/>
      </w:r>
      <w:r>
        <w:t>. У 2019. години по основу судских одлука плаћено је 17,6 млрд динара из буџета Републике Србије, док је у првој половини 2020. године по том основу из буџета Републике Србије плаћено 17,4 млрд динара. Одлука Европског суда за љ</w:t>
      </w:r>
      <w:r>
        <w:t xml:space="preserve">удска права обавезала је Републику Србију да исплати јавни дуг по основу неисплаћене девизне штедње коју су држављани бивших република СФРЈ и држављани Републике Србије положили код банака са седиштем на територији Републике </w:t>
      </w:r>
      <w:r>
        <w:lastRenderedPageBreak/>
        <w:t xml:space="preserve">Србије и њиховим филијалама на </w:t>
      </w:r>
      <w:r>
        <w:t>територијама бивших република СФРЈ. Такође, потенцијалне обавезе могу проистећи и из одлука Уставног суда по основу поднетих уставних жалби и одлука Европског суда за људска права по поднетим представкама радника некадашњих друштвених предузећа (неисплаћен</w:t>
      </w:r>
      <w:r>
        <w:t xml:space="preserve">е зараде, доприноси за обавезно социјално осигурање, затезне камате, трошкови поступка, потраживања по основу комерцијалних трансакција). </w:t>
      </w:r>
    </w:p>
    <w:p w:rsidR="00E8309B" w:rsidRDefault="009D0949">
      <w:pPr>
        <w:spacing w:after="160"/>
        <w:ind w:left="-5" w:right="17"/>
      </w:pPr>
      <w:r>
        <w:t>Стално присутан ризик од елементарних непогода и природних катастрофа обавезује улагање у програме превенције како би</w:t>
      </w:r>
      <w:r>
        <w:t xml:space="preserve"> се умањили потенцијални фискални трошкови за отклањање штета насталих по том основу. Република Србија се у 2014. години суочила са катастрофалним последицама поплава, чија је укупна штета (са губицима) процењена на више од 1,7 млрд евра. Имајући у виду ст</w:t>
      </w:r>
      <w:r>
        <w:t>ално присутне ризике од елементарних непогода, смањење фискалних ризика који могу настати по овом основу подразумева улагање у превентивне програме. Влада је у децембру 2014. године усвојила Национални програм за управљање ризицима од елементарних непогода</w:t>
      </w:r>
      <w:r>
        <w:t>, који ће бити реализован у сарадњи са Светском банком, Уједињеним нацијама и ЕУ. У оквиру Националног програма, новембра 2018. године је донет још један кровни закон који се бави проблематиком елементарних непогода и катастрофа, а то је Закон о смањењу ри</w:t>
      </w:r>
      <w:r>
        <w:t>зика од катастрофа и управљању ванредним ситуацијама. Република Србија је у 2019. години платила из буџета 4,22 млрд динара за накнаде штете за повреде или штете настале услед елементарних непогода. У првој половини 2020. године Републику Србију задесио је</w:t>
      </w:r>
      <w:r>
        <w:t xml:space="preserve"> већи број непогода проузрокованих поплавама. Према подацима Канцеларије за управљање јавним улагањима ове поплаве су изазвале штету на 1.200 стамбених објеката у 27 општина у Србији. </w:t>
      </w:r>
    </w:p>
    <w:p w:rsidR="00E8309B" w:rsidRDefault="009D0949">
      <w:pPr>
        <w:spacing w:after="79" w:line="271" w:lineRule="auto"/>
        <w:ind w:left="-5" w:right="9"/>
      </w:pPr>
      <w:r>
        <w:rPr>
          <w:b/>
        </w:rPr>
        <w:t xml:space="preserve">Алтернативни сценарио фискалних кретања у периоду 2020–2023. године </w:t>
      </w:r>
    </w:p>
    <w:p w:rsidR="00E8309B" w:rsidRDefault="009D0949">
      <w:pPr>
        <w:spacing w:after="86"/>
        <w:ind w:left="-5" w:right="17"/>
      </w:pPr>
      <w:r>
        <w:t xml:space="preserve">На следећем графикону приказано је кретање учешћа дефицита и јавног дуга у БДП на основу алтернативног макроекономског сценарија , а који подразумева стопе раста од 3,2%, 3,0% и 3,0% у наредном трогодишњем периоду. </w:t>
      </w:r>
    </w:p>
    <w:p w:rsidR="00E8309B" w:rsidRDefault="009D0949">
      <w:pPr>
        <w:spacing w:after="375"/>
        <w:ind w:left="-5" w:right="17"/>
      </w:pPr>
      <w:r>
        <w:t>Графикон 12. Основни и алтернативни сцен</w:t>
      </w:r>
      <w:r>
        <w:t xml:space="preserve">арио фискалних кретања у периоду 2020–2023. </w:t>
      </w:r>
    </w:p>
    <w:p w:rsidR="00E8309B" w:rsidRDefault="009D0949">
      <w:pPr>
        <w:spacing w:after="0" w:line="265" w:lineRule="auto"/>
        <w:ind w:right="413"/>
        <w:jc w:val="right"/>
      </w:pPr>
      <w:r>
        <w:rPr>
          <w:noProof/>
        </w:rPr>
        <w:drawing>
          <wp:anchor distT="0" distB="0" distL="114300" distR="114300" simplePos="0" relativeHeight="251659264" behindDoc="0" locked="0" layoutInCell="1" allowOverlap="0">
            <wp:simplePos x="0" y="0"/>
            <wp:positionH relativeFrom="column">
              <wp:posOffset>-9448</wp:posOffset>
            </wp:positionH>
            <wp:positionV relativeFrom="paragraph">
              <wp:posOffset>-253122</wp:posOffset>
            </wp:positionV>
            <wp:extent cx="5958840" cy="2441448"/>
            <wp:effectExtent l="0" t="0" r="0" b="0"/>
            <wp:wrapSquare wrapText="bothSides"/>
            <wp:docPr id="867946" name="Picture 867946"/>
            <wp:cNvGraphicFramePr/>
            <a:graphic xmlns:a="http://schemas.openxmlformats.org/drawingml/2006/main">
              <a:graphicData uri="http://schemas.openxmlformats.org/drawingml/2006/picture">
                <pic:pic xmlns:pic="http://schemas.openxmlformats.org/drawingml/2006/picture">
                  <pic:nvPicPr>
                    <pic:cNvPr id="867946" name="Picture 867946"/>
                    <pic:cNvPicPr/>
                  </pic:nvPicPr>
                  <pic:blipFill>
                    <a:blip r:embed="rId156"/>
                    <a:stretch>
                      <a:fillRect/>
                    </a:stretch>
                  </pic:blipFill>
                  <pic:spPr>
                    <a:xfrm>
                      <a:off x="0" y="0"/>
                      <a:ext cx="5958840" cy="2441448"/>
                    </a:xfrm>
                    <a:prstGeom prst="rect">
                      <a:avLst/>
                    </a:prstGeom>
                  </pic:spPr>
                </pic:pic>
              </a:graphicData>
            </a:graphic>
          </wp:anchor>
        </w:drawing>
      </w:r>
      <w:r>
        <w:rPr>
          <w:sz w:val="18"/>
        </w:rPr>
        <w:t>-1,0</w:t>
      </w:r>
    </w:p>
    <w:p w:rsidR="00E8309B" w:rsidRDefault="009D0949">
      <w:pPr>
        <w:spacing w:after="4" w:line="268" w:lineRule="auto"/>
        <w:ind w:left="283" w:right="0"/>
        <w:jc w:val="left"/>
      </w:pPr>
      <w:r>
        <w:rPr>
          <w:sz w:val="18"/>
        </w:rPr>
        <w:t>60,0</w:t>
      </w:r>
    </w:p>
    <w:p w:rsidR="00E8309B" w:rsidRDefault="009D0949">
      <w:pPr>
        <w:spacing w:after="31" w:line="265" w:lineRule="auto"/>
        <w:ind w:right="413"/>
        <w:jc w:val="right"/>
      </w:pPr>
      <w:r>
        <w:rPr>
          <w:sz w:val="18"/>
        </w:rPr>
        <w:t>-2,0</w:t>
      </w:r>
    </w:p>
    <w:p w:rsidR="00E8309B" w:rsidRDefault="009D0949">
      <w:pPr>
        <w:tabs>
          <w:tab w:val="center" w:pos="430"/>
          <w:tab w:val="center" w:pos="9096"/>
        </w:tabs>
        <w:spacing w:after="73" w:line="268" w:lineRule="auto"/>
        <w:ind w:left="0" w:right="0" w:firstLine="0"/>
        <w:jc w:val="left"/>
      </w:pPr>
      <w:r>
        <w:rPr>
          <w:rFonts w:ascii="Calibri" w:eastAsia="Calibri" w:hAnsi="Calibri" w:cs="Calibri"/>
          <w:sz w:val="22"/>
        </w:rPr>
        <w:tab/>
      </w:r>
      <w:r>
        <w:rPr>
          <w:sz w:val="18"/>
        </w:rPr>
        <w:t>50,0</w:t>
      </w:r>
      <w:r>
        <w:rPr>
          <w:sz w:val="18"/>
        </w:rPr>
        <w:tab/>
        <w:t>-3,0</w:t>
      </w:r>
    </w:p>
    <w:p w:rsidR="00E8309B" w:rsidRDefault="009D0949">
      <w:pPr>
        <w:spacing w:after="2606" w:line="265" w:lineRule="auto"/>
        <w:ind w:right="413"/>
        <w:jc w:val="right"/>
      </w:pPr>
      <w:r>
        <w:rPr>
          <w:sz w:val="18"/>
        </w:rPr>
        <w:t>-4,0</w:t>
      </w:r>
    </w:p>
    <w:p w:rsidR="00E8309B" w:rsidRDefault="009D0949">
      <w:pPr>
        <w:ind w:left="-5" w:right="17"/>
      </w:pPr>
      <w:r>
        <w:lastRenderedPageBreak/>
        <w:t>Спорији раст утицао би, преко својих компоненти, и на остварење фискалних агрегата, превасходно на приходну страну, и то највише на приходе по основу рада и порезе на потрошњу. Ов</w:t>
      </w:r>
      <w:r>
        <w:t xml:space="preserve">аква динамика БДП довела би до вишег нивоа дефицита и јавног дуга. Повећање дефицита би утицало на раст нивоа јавног дуга који би се стабилизовао у 2023. години. </w:t>
      </w:r>
    </w:p>
    <w:p w:rsidR="00E8309B" w:rsidRDefault="009D0949">
      <w:pPr>
        <w:spacing w:after="158"/>
        <w:ind w:left="-5" w:right="17"/>
      </w:pPr>
      <w:r>
        <w:t>Претпоставка у овом сценарију је да би се задржала мера кретања плата и пензија у складу са р</w:t>
      </w:r>
      <w:r>
        <w:t xml:space="preserve">астом БДП, то јест у све три године учешће плата и пензија остаје на истом нивоу учешћа у БДП, док су номинални износи предвиђени за капиталне инвестиције исти као у основном сценарију. </w:t>
      </w:r>
    </w:p>
    <w:p w:rsidR="00E8309B" w:rsidRDefault="009D0949">
      <w:pPr>
        <w:spacing w:after="166" w:line="271" w:lineRule="auto"/>
        <w:ind w:left="-5" w:right="9"/>
      </w:pPr>
      <w:r>
        <w:rPr>
          <w:b/>
        </w:rPr>
        <w:t xml:space="preserve">Поређење са претходним програмом </w:t>
      </w:r>
    </w:p>
    <w:p w:rsidR="00E8309B" w:rsidRDefault="009D0949">
      <w:pPr>
        <w:ind w:left="-5" w:right="17"/>
      </w:pPr>
      <w:r>
        <w:t>Средњорочни фискални оквир значајно je промењен у односу на претходни документ</w:t>
      </w:r>
      <w:r>
        <w:rPr>
          <w:vertAlign w:val="superscript"/>
        </w:rPr>
        <w:t>19</w:t>
      </w:r>
      <w:r>
        <w:t xml:space="preserve"> с обзиром на негативне ефекте пандемије на економска кретања. Пад прихода и раст расхода и дефицита су основне разлике у односу на претходни документ. У 2020. години пад прихо</w:t>
      </w:r>
      <w:r>
        <w:t xml:space="preserve">да је узрокован делом применом мера за стабилизацију привреде, а делом и неповољним макроекономским кретањима. </w:t>
      </w:r>
    </w:p>
    <w:p w:rsidR="00E8309B" w:rsidRDefault="009D0949">
      <w:pPr>
        <w:ind w:left="-5" w:right="17"/>
      </w:pPr>
      <w:r>
        <w:t xml:space="preserve">У наредном периоду се очекује побољшање перформанси прихода, али и даље слабије него што би било у нормалним околностима. </w:t>
      </w:r>
    </w:p>
    <w:p w:rsidR="00E8309B" w:rsidRDefault="009D0949">
      <w:pPr>
        <w:spacing w:after="89"/>
        <w:ind w:left="-5" w:right="17"/>
      </w:pPr>
      <w:r>
        <w:t>На расходној страни п</w:t>
      </w:r>
      <w:r>
        <w:t xml:space="preserve">римена мера је узроковала повећање, пре свега преко значајног улагања у здравствени систем, а онда и преко субвенција и других фискалних стимуланса у циљу ублажавања ефеката кризе у привреди и код становништва. </w:t>
      </w:r>
    </w:p>
    <w:p w:rsidR="00E8309B" w:rsidRDefault="009D0949">
      <w:pPr>
        <w:spacing w:after="90"/>
        <w:ind w:left="-5" w:right="17"/>
      </w:pPr>
      <w:r>
        <w:t xml:space="preserve"> </w:t>
      </w:r>
      <w:r>
        <w:t xml:space="preserve">У наредном периоду расходи ће се постепено смањивати у смислу учешћа у БДП. У наредном периоду, док год траје неизвесност везана за пандемију, биће вођена нешто експанзивнија фискална политика. Планирани дефицити омогућавају смањивање учешћа јавног дуга у </w:t>
      </w:r>
      <w:r>
        <w:t xml:space="preserve">БДП, а у дугорочном периоду планира се враћање на годишњи дефицит од 0,5% БДП. </w:t>
      </w:r>
    </w:p>
    <w:p w:rsidR="00E8309B" w:rsidRDefault="009D0949">
      <w:pPr>
        <w:spacing w:after="6"/>
        <w:ind w:left="-5" w:right="17"/>
      </w:pPr>
      <w:r>
        <w:t xml:space="preserve">Табела 14. Поређење фискалних показатеља два програма, у % БДП </w:t>
      </w:r>
    </w:p>
    <w:tbl>
      <w:tblPr>
        <w:tblStyle w:val="TableGrid"/>
        <w:tblW w:w="9547" w:type="dxa"/>
        <w:tblInd w:w="94" w:type="dxa"/>
        <w:tblCellMar>
          <w:top w:w="0" w:type="dxa"/>
          <w:left w:w="0" w:type="dxa"/>
          <w:bottom w:w="0" w:type="dxa"/>
          <w:right w:w="63" w:type="dxa"/>
        </w:tblCellMar>
        <w:tblLook w:val="04A0" w:firstRow="1" w:lastRow="0" w:firstColumn="1" w:lastColumn="0" w:noHBand="0" w:noVBand="1"/>
      </w:tblPr>
      <w:tblGrid>
        <w:gridCol w:w="3628"/>
        <w:gridCol w:w="1364"/>
        <w:gridCol w:w="1363"/>
        <w:gridCol w:w="1361"/>
        <w:gridCol w:w="1363"/>
        <w:gridCol w:w="468"/>
      </w:tblGrid>
      <w:tr w:rsidR="00E8309B">
        <w:trPr>
          <w:trHeight w:val="293"/>
        </w:trPr>
        <w:tc>
          <w:tcPr>
            <w:tcW w:w="3627" w:type="dxa"/>
            <w:vMerge w:val="restart"/>
            <w:tcBorders>
              <w:top w:val="single" w:sz="4" w:space="0" w:color="002060"/>
              <w:left w:val="nil"/>
              <w:bottom w:val="nil"/>
              <w:right w:val="nil"/>
            </w:tcBorders>
          </w:tcPr>
          <w:p w:rsidR="00E8309B" w:rsidRDefault="009D0949">
            <w:pPr>
              <w:spacing w:after="150" w:line="259" w:lineRule="auto"/>
              <w:ind w:left="122" w:right="0" w:firstLine="0"/>
              <w:jc w:val="left"/>
            </w:pPr>
            <w:r>
              <w:rPr>
                <w:sz w:val="18"/>
              </w:rPr>
              <w:t xml:space="preserve"> </w:t>
            </w:r>
          </w:p>
          <w:p w:rsidR="00E8309B" w:rsidRDefault="009D0949">
            <w:pPr>
              <w:spacing w:after="115" w:line="259" w:lineRule="auto"/>
              <w:ind w:left="122" w:right="0" w:firstLine="0"/>
              <w:jc w:val="left"/>
            </w:pPr>
            <w:r>
              <w:rPr>
                <w:b/>
                <w:sz w:val="18"/>
              </w:rPr>
              <w:t>ЕРП 2020–2022</w:t>
            </w:r>
            <w:r>
              <w:rPr>
                <w:b/>
                <w:sz w:val="18"/>
                <w:vertAlign w:val="superscript"/>
              </w:rPr>
              <w:t>20</w:t>
            </w:r>
            <w:r>
              <w:rPr>
                <w:sz w:val="18"/>
              </w:rPr>
              <w:t xml:space="preserve"> </w:t>
            </w:r>
          </w:p>
          <w:p w:rsidR="00E8309B" w:rsidRDefault="009D0949">
            <w:pPr>
              <w:spacing w:after="0" w:line="259" w:lineRule="auto"/>
              <w:ind w:left="122" w:right="0" w:firstLine="0"/>
              <w:jc w:val="left"/>
            </w:pPr>
            <w:r>
              <w:rPr>
                <w:b/>
                <w:sz w:val="18"/>
              </w:rPr>
              <w:t>Приходи</w:t>
            </w:r>
            <w:r>
              <w:rPr>
                <w:sz w:val="18"/>
              </w:rPr>
              <w:t xml:space="preserve"> </w:t>
            </w:r>
          </w:p>
        </w:tc>
        <w:tc>
          <w:tcPr>
            <w:tcW w:w="1364" w:type="dxa"/>
            <w:tcBorders>
              <w:top w:val="single" w:sz="4" w:space="0" w:color="002060"/>
              <w:left w:val="nil"/>
              <w:bottom w:val="single" w:sz="4" w:space="0" w:color="002060"/>
              <w:right w:val="nil"/>
            </w:tcBorders>
          </w:tcPr>
          <w:p w:rsidR="00E8309B" w:rsidRDefault="009D0949">
            <w:pPr>
              <w:spacing w:after="0" w:line="259" w:lineRule="auto"/>
              <w:ind w:left="0" w:right="0" w:firstLine="0"/>
              <w:jc w:val="left"/>
            </w:pPr>
            <w:r>
              <w:rPr>
                <w:b/>
                <w:sz w:val="18"/>
              </w:rPr>
              <w:t>2019</w:t>
            </w:r>
            <w:r>
              <w:rPr>
                <w:sz w:val="18"/>
              </w:rPr>
              <w:t xml:space="preserve"> </w:t>
            </w:r>
          </w:p>
        </w:tc>
        <w:tc>
          <w:tcPr>
            <w:tcW w:w="1363" w:type="dxa"/>
            <w:tcBorders>
              <w:top w:val="single" w:sz="4" w:space="0" w:color="002060"/>
              <w:left w:val="nil"/>
              <w:bottom w:val="single" w:sz="4" w:space="0" w:color="002060"/>
              <w:right w:val="nil"/>
            </w:tcBorders>
          </w:tcPr>
          <w:p w:rsidR="00E8309B" w:rsidRDefault="009D0949">
            <w:pPr>
              <w:spacing w:after="0" w:line="259" w:lineRule="auto"/>
              <w:ind w:left="0" w:right="0" w:firstLine="0"/>
              <w:jc w:val="left"/>
            </w:pPr>
            <w:r>
              <w:rPr>
                <w:b/>
                <w:sz w:val="18"/>
              </w:rPr>
              <w:t>2020</w:t>
            </w:r>
            <w:r>
              <w:rPr>
                <w:sz w:val="18"/>
              </w:rPr>
              <w:t xml:space="preserve"> </w:t>
            </w:r>
          </w:p>
        </w:tc>
        <w:tc>
          <w:tcPr>
            <w:tcW w:w="1361" w:type="dxa"/>
            <w:tcBorders>
              <w:top w:val="single" w:sz="4" w:space="0" w:color="002060"/>
              <w:left w:val="nil"/>
              <w:bottom w:val="single" w:sz="4" w:space="0" w:color="002060"/>
              <w:right w:val="nil"/>
            </w:tcBorders>
          </w:tcPr>
          <w:p w:rsidR="00E8309B" w:rsidRDefault="009D0949">
            <w:pPr>
              <w:spacing w:after="0" w:line="259" w:lineRule="auto"/>
              <w:ind w:left="0" w:right="0" w:firstLine="0"/>
              <w:jc w:val="left"/>
            </w:pPr>
            <w:r>
              <w:rPr>
                <w:b/>
                <w:sz w:val="18"/>
              </w:rPr>
              <w:t>2021</w:t>
            </w:r>
            <w:r>
              <w:rPr>
                <w:sz w:val="18"/>
              </w:rPr>
              <w:t xml:space="preserve"> </w:t>
            </w:r>
          </w:p>
        </w:tc>
        <w:tc>
          <w:tcPr>
            <w:tcW w:w="1363" w:type="dxa"/>
            <w:tcBorders>
              <w:top w:val="single" w:sz="4" w:space="0" w:color="002060"/>
              <w:left w:val="nil"/>
              <w:bottom w:val="single" w:sz="4" w:space="0" w:color="002060"/>
              <w:right w:val="nil"/>
            </w:tcBorders>
          </w:tcPr>
          <w:p w:rsidR="00E8309B" w:rsidRDefault="009D0949">
            <w:pPr>
              <w:spacing w:after="0" w:line="259" w:lineRule="auto"/>
              <w:ind w:left="0" w:right="0" w:firstLine="0"/>
              <w:jc w:val="left"/>
            </w:pPr>
            <w:r>
              <w:rPr>
                <w:b/>
                <w:sz w:val="18"/>
              </w:rPr>
              <w:t>2022</w:t>
            </w:r>
            <w:r>
              <w:rPr>
                <w:sz w:val="18"/>
              </w:rPr>
              <w:t xml:space="preserve"> </w:t>
            </w:r>
          </w:p>
        </w:tc>
        <w:tc>
          <w:tcPr>
            <w:tcW w:w="468" w:type="dxa"/>
            <w:tcBorders>
              <w:top w:val="single" w:sz="4" w:space="0" w:color="002060"/>
              <w:left w:val="nil"/>
              <w:bottom w:val="single" w:sz="4" w:space="0" w:color="002060"/>
              <w:right w:val="nil"/>
            </w:tcBorders>
          </w:tcPr>
          <w:p w:rsidR="00E8309B" w:rsidRDefault="009D0949">
            <w:pPr>
              <w:spacing w:after="0" w:line="259" w:lineRule="auto"/>
              <w:ind w:left="0" w:right="0" w:firstLine="0"/>
            </w:pPr>
            <w:r>
              <w:rPr>
                <w:b/>
                <w:sz w:val="18"/>
              </w:rPr>
              <w:t>2023</w:t>
            </w:r>
            <w:r>
              <w:rPr>
                <w:sz w:val="18"/>
              </w:rPr>
              <w:t xml:space="preserve"> </w:t>
            </w:r>
          </w:p>
        </w:tc>
      </w:tr>
      <w:tr w:rsidR="00E8309B">
        <w:trPr>
          <w:trHeight w:val="575"/>
        </w:trPr>
        <w:tc>
          <w:tcPr>
            <w:tcW w:w="0" w:type="auto"/>
            <w:vMerge/>
            <w:tcBorders>
              <w:top w:val="nil"/>
              <w:left w:val="nil"/>
              <w:bottom w:val="nil"/>
              <w:right w:val="nil"/>
            </w:tcBorders>
          </w:tcPr>
          <w:p w:rsidR="00E8309B" w:rsidRDefault="00E8309B">
            <w:pPr>
              <w:spacing w:after="160" w:line="259" w:lineRule="auto"/>
              <w:ind w:left="0" w:right="0" w:firstLine="0"/>
              <w:jc w:val="left"/>
            </w:pPr>
          </w:p>
        </w:tc>
        <w:tc>
          <w:tcPr>
            <w:tcW w:w="1364" w:type="dxa"/>
            <w:tcBorders>
              <w:top w:val="single" w:sz="4" w:space="0" w:color="002060"/>
              <w:left w:val="nil"/>
              <w:bottom w:val="nil"/>
              <w:right w:val="nil"/>
            </w:tcBorders>
          </w:tcPr>
          <w:p w:rsidR="00E8309B" w:rsidRDefault="009D0949">
            <w:pPr>
              <w:spacing w:after="120" w:line="259" w:lineRule="auto"/>
              <w:ind w:left="360" w:right="0" w:firstLine="0"/>
              <w:jc w:val="left"/>
            </w:pPr>
            <w:r>
              <w:rPr>
                <w:sz w:val="18"/>
              </w:rPr>
              <w:t xml:space="preserve"> </w:t>
            </w:r>
          </w:p>
          <w:p w:rsidR="00E8309B" w:rsidRDefault="009D0949">
            <w:pPr>
              <w:spacing w:after="0" w:line="259" w:lineRule="auto"/>
              <w:ind w:left="46" w:right="0" w:firstLine="0"/>
              <w:jc w:val="left"/>
            </w:pPr>
            <w:r>
              <w:rPr>
                <w:sz w:val="18"/>
              </w:rPr>
              <w:t xml:space="preserve">41,4 </w:t>
            </w:r>
          </w:p>
        </w:tc>
        <w:tc>
          <w:tcPr>
            <w:tcW w:w="1363" w:type="dxa"/>
            <w:tcBorders>
              <w:top w:val="single" w:sz="4" w:space="0" w:color="002060"/>
              <w:left w:val="nil"/>
              <w:bottom w:val="nil"/>
              <w:right w:val="nil"/>
            </w:tcBorders>
          </w:tcPr>
          <w:p w:rsidR="00E8309B" w:rsidRDefault="009D0949">
            <w:pPr>
              <w:spacing w:after="120" w:line="259" w:lineRule="auto"/>
              <w:ind w:left="360" w:right="0" w:firstLine="0"/>
              <w:jc w:val="left"/>
            </w:pPr>
            <w:r>
              <w:rPr>
                <w:sz w:val="18"/>
              </w:rPr>
              <w:t xml:space="preserve"> </w:t>
            </w:r>
          </w:p>
          <w:p w:rsidR="00E8309B" w:rsidRDefault="009D0949">
            <w:pPr>
              <w:spacing w:after="0" w:line="259" w:lineRule="auto"/>
              <w:ind w:left="46" w:right="0" w:firstLine="0"/>
              <w:jc w:val="left"/>
            </w:pPr>
            <w:r>
              <w:rPr>
                <w:sz w:val="18"/>
              </w:rPr>
              <w:t xml:space="preserve">42,4 </w:t>
            </w:r>
          </w:p>
        </w:tc>
        <w:tc>
          <w:tcPr>
            <w:tcW w:w="1361" w:type="dxa"/>
            <w:tcBorders>
              <w:top w:val="single" w:sz="4" w:space="0" w:color="002060"/>
              <w:left w:val="nil"/>
              <w:bottom w:val="nil"/>
              <w:right w:val="nil"/>
            </w:tcBorders>
          </w:tcPr>
          <w:p w:rsidR="00E8309B" w:rsidRDefault="009D0949">
            <w:pPr>
              <w:spacing w:after="120" w:line="259" w:lineRule="auto"/>
              <w:ind w:left="360" w:right="0" w:firstLine="0"/>
              <w:jc w:val="left"/>
            </w:pPr>
            <w:r>
              <w:rPr>
                <w:sz w:val="18"/>
              </w:rPr>
              <w:t xml:space="preserve"> </w:t>
            </w:r>
          </w:p>
          <w:p w:rsidR="00E8309B" w:rsidRDefault="009D0949">
            <w:pPr>
              <w:spacing w:after="0" w:line="259" w:lineRule="auto"/>
              <w:ind w:left="46" w:right="0" w:firstLine="0"/>
              <w:jc w:val="left"/>
            </w:pPr>
            <w:r>
              <w:rPr>
                <w:sz w:val="18"/>
              </w:rPr>
              <w:t xml:space="preserve">41,1 </w:t>
            </w:r>
          </w:p>
        </w:tc>
        <w:tc>
          <w:tcPr>
            <w:tcW w:w="1363" w:type="dxa"/>
            <w:tcBorders>
              <w:top w:val="single" w:sz="4" w:space="0" w:color="002060"/>
              <w:left w:val="nil"/>
              <w:bottom w:val="nil"/>
              <w:right w:val="nil"/>
            </w:tcBorders>
          </w:tcPr>
          <w:p w:rsidR="00E8309B" w:rsidRDefault="009D0949">
            <w:pPr>
              <w:spacing w:after="120" w:line="259" w:lineRule="auto"/>
              <w:ind w:left="360" w:right="0" w:firstLine="0"/>
              <w:jc w:val="left"/>
            </w:pPr>
            <w:r>
              <w:rPr>
                <w:sz w:val="18"/>
              </w:rPr>
              <w:t xml:space="preserve"> </w:t>
            </w:r>
          </w:p>
          <w:p w:rsidR="00E8309B" w:rsidRDefault="009D0949">
            <w:pPr>
              <w:spacing w:after="0" w:line="259" w:lineRule="auto"/>
              <w:ind w:left="46" w:right="0" w:firstLine="0"/>
              <w:jc w:val="left"/>
            </w:pPr>
            <w:r>
              <w:rPr>
                <w:sz w:val="18"/>
              </w:rPr>
              <w:t xml:space="preserve">40,7 </w:t>
            </w:r>
          </w:p>
        </w:tc>
        <w:tc>
          <w:tcPr>
            <w:tcW w:w="468" w:type="dxa"/>
            <w:tcBorders>
              <w:top w:val="single" w:sz="4" w:space="0" w:color="002060"/>
              <w:left w:val="nil"/>
              <w:bottom w:val="nil"/>
              <w:right w:val="nil"/>
            </w:tcBorders>
          </w:tcPr>
          <w:p w:rsidR="00E8309B" w:rsidRDefault="009D0949">
            <w:pPr>
              <w:spacing w:after="144" w:line="259" w:lineRule="auto"/>
              <w:ind w:left="0" w:right="0" w:firstLine="0"/>
              <w:jc w:val="right"/>
            </w:pPr>
            <w:r>
              <w:rPr>
                <w:sz w:val="18"/>
              </w:rPr>
              <w:t xml:space="preserve"> </w:t>
            </w:r>
          </w:p>
          <w:p w:rsidR="00E8309B" w:rsidRDefault="009D0949">
            <w:pPr>
              <w:spacing w:after="0" w:line="259" w:lineRule="auto"/>
              <w:ind w:left="0" w:right="46" w:firstLine="0"/>
              <w:jc w:val="right"/>
            </w:pPr>
            <w:r>
              <w:rPr>
                <w:sz w:val="18"/>
              </w:rPr>
              <w:t xml:space="preserve">– </w:t>
            </w:r>
          </w:p>
        </w:tc>
      </w:tr>
      <w:tr w:rsidR="00E8309B">
        <w:trPr>
          <w:trHeight w:val="283"/>
        </w:trPr>
        <w:tc>
          <w:tcPr>
            <w:tcW w:w="3627" w:type="dxa"/>
            <w:tcBorders>
              <w:top w:val="nil"/>
              <w:left w:val="nil"/>
              <w:bottom w:val="nil"/>
              <w:right w:val="nil"/>
            </w:tcBorders>
          </w:tcPr>
          <w:p w:rsidR="00E8309B" w:rsidRDefault="009D0949">
            <w:pPr>
              <w:spacing w:after="0" w:line="259" w:lineRule="auto"/>
              <w:ind w:left="122" w:right="0" w:firstLine="0"/>
              <w:jc w:val="left"/>
            </w:pPr>
            <w:r>
              <w:rPr>
                <w:b/>
                <w:sz w:val="18"/>
              </w:rPr>
              <w:t>Расходи</w:t>
            </w:r>
            <w:r>
              <w:rPr>
                <w:sz w:val="18"/>
              </w:rPr>
              <w:t xml:space="preserve"> </w:t>
            </w:r>
          </w:p>
        </w:tc>
        <w:tc>
          <w:tcPr>
            <w:tcW w:w="1364" w:type="dxa"/>
            <w:tcBorders>
              <w:top w:val="nil"/>
              <w:left w:val="nil"/>
              <w:bottom w:val="nil"/>
              <w:right w:val="nil"/>
            </w:tcBorders>
          </w:tcPr>
          <w:p w:rsidR="00E8309B" w:rsidRDefault="009D0949">
            <w:pPr>
              <w:spacing w:after="0" w:line="259" w:lineRule="auto"/>
              <w:ind w:left="46" w:right="0" w:firstLine="0"/>
              <w:jc w:val="left"/>
            </w:pPr>
            <w:r>
              <w:rPr>
                <w:sz w:val="18"/>
              </w:rPr>
              <w:t xml:space="preserve">41,9 </w:t>
            </w:r>
          </w:p>
        </w:tc>
        <w:tc>
          <w:tcPr>
            <w:tcW w:w="1363" w:type="dxa"/>
            <w:tcBorders>
              <w:top w:val="nil"/>
              <w:left w:val="nil"/>
              <w:bottom w:val="nil"/>
              <w:right w:val="nil"/>
            </w:tcBorders>
          </w:tcPr>
          <w:p w:rsidR="00E8309B" w:rsidRDefault="009D0949">
            <w:pPr>
              <w:spacing w:after="0" w:line="259" w:lineRule="auto"/>
              <w:ind w:left="46" w:right="0" w:firstLine="0"/>
              <w:jc w:val="left"/>
            </w:pPr>
            <w:r>
              <w:rPr>
                <w:sz w:val="18"/>
              </w:rPr>
              <w:t xml:space="preserve">42,9 </w:t>
            </w:r>
          </w:p>
        </w:tc>
        <w:tc>
          <w:tcPr>
            <w:tcW w:w="1361" w:type="dxa"/>
            <w:tcBorders>
              <w:top w:val="nil"/>
              <w:left w:val="nil"/>
              <w:bottom w:val="nil"/>
              <w:right w:val="nil"/>
            </w:tcBorders>
          </w:tcPr>
          <w:p w:rsidR="00E8309B" w:rsidRDefault="009D0949">
            <w:pPr>
              <w:spacing w:after="0" w:line="259" w:lineRule="auto"/>
              <w:ind w:left="46" w:right="0" w:firstLine="0"/>
              <w:jc w:val="left"/>
            </w:pPr>
            <w:r>
              <w:rPr>
                <w:sz w:val="18"/>
              </w:rPr>
              <w:t xml:space="preserve">41,7 </w:t>
            </w:r>
          </w:p>
        </w:tc>
        <w:tc>
          <w:tcPr>
            <w:tcW w:w="1363" w:type="dxa"/>
            <w:tcBorders>
              <w:top w:val="nil"/>
              <w:left w:val="nil"/>
              <w:bottom w:val="nil"/>
              <w:right w:val="nil"/>
            </w:tcBorders>
          </w:tcPr>
          <w:p w:rsidR="00E8309B" w:rsidRDefault="009D0949">
            <w:pPr>
              <w:spacing w:after="0" w:line="259" w:lineRule="auto"/>
              <w:ind w:left="46" w:right="0" w:firstLine="0"/>
              <w:jc w:val="left"/>
            </w:pPr>
            <w:r>
              <w:rPr>
                <w:sz w:val="18"/>
              </w:rPr>
              <w:t xml:space="preserve">41,3 </w:t>
            </w:r>
          </w:p>
        </w:tc>
        <w:tc>
          <w:tcPr>
            <w:tcW w:w="468" w:type="dxa"/>
            <w:tcBorders>
              <w:top w:val="nil"/>
              <w:left w:val="nil"/>
              <w:bottom w:val="nil"/>
              <w:right w:val="nil"/>
            </w:tcBorders>
          </w:tcPr>
          <w:p w:rsidR="00E8309B" w:rsidRDefault="009D0949">
            <w:pPr>
              <w:spacing w:after="0" w:line="259" w:lineRule="auto"/>
              <w:ind w:left="0" w:right="46" w:firstLine="0"/>
              <w:jc w:val="right"/>
            </w:pPr>
            <w:r>
              <w:rPr>
                <w:sz w:val="18"/>
              </w:rPr>
              <w:t xml:space="preserve">– </w:t>
            </w:r>
          </w:p>
        </w:tc>
      </w:tr>
      <w:tr w:rsidR="00E8309B">
        <w:trPr>
          <w:trHeight w:val="287"/>
        </w:trPr>
        <w:tc>
          <w:tcPr>
            <w:tcW w:w="3627" w:type="dxa"/>
            <w:tcBorders>
              <w:top w:val="nil"/>
              <w:left w:val="nil"/>
              <w:bottom w:val="nil"/>
              <w:right w:val="nil"/>
            </w:tcBorders>
          </w:tcPr>
          <w:p w:rsidR="00E8309B" w:rsidRDefault="009D0949">
            <w:pPr>
              <w:spacing w:after="0" w:line="259" w:lineRule="auto"/>
              <w:ind w:left="122" w:right="0" w:firstLine="0"/>
              <w:jc w:val="left"/>
            </w:pPr>
            <w:r>
              <w:rPr>
                <w:b/>
                <w:sz w:val="18"/>
              </w:rPr>
              <w:t>Резултат</w:t>
            </w:r>
            <w:r>
              <w:rPr>
                <w:sz w:val="18"/>
              </w:rPr>
              <w:t xml:space="preserve"> </w:t>
            </w:r>
          </w:p>
        </w:tc>
        <w:tc>
          <w:tcPr>
            <w:tcW w:w="1364" w:type="dxa"/>
            <w:tcBorders>
              <w:top w:val="nil"/>
              <w:left w:val="nil"/>
              <w:bottom w:val="nil"/>
              <w:right w:val="nil"/>
            </w:tcBorders>
          </w:tcPr>
          <w:p w:rsidR="00E8309B" w:rsidRDefault="009D0949">
            <w:pPr>
              <w:spacing w:after="0" w:line="259" w:lineRule="auto"/>
              <w:ind w:left="74" w:right="0" w:firstLine="0"/>
              <w:jc w:val="left"/>
            </w:pPr>
            <w:r>
              <w:rPr>
                <w:sz w:val="18"/>
              </w:rPr>
              <w:t xml:space="preserve">-0,5 </w:t>
            </w:r>
          </w:p>
        </w:tc>
        <w:tc>
          <w:tcPr>
            <w:tcW w:w="1363" w:type="dxa"/>
            <w:tcBorders>
              <w:top w:val="nil"/>
              <w:left w:val="nil"/>
              <w:bottom w:val="nil"/>
              <w:right w:val="nil"/>
            </w:tcBorders>
          </w:tcPr>
          <w:p w:rsidR="00E8309B" w:rsidRDefault="009D0949">
            <w:pPr>
              <w:spacing w:after="0" w:line="259" w:lineRule="auto"/>
              <w:ind w:left="74" w:right="0" w:firstLine="0"/>
              <w:jc w:val="left"/>
            </w:pPr>
            <w:r>
              <w:rPr>
                <w:sz w:val="18"/>
              </w:rPr>
              <w:t xml:space="preserve">-0,5 </w:t>
            </w:r>
          </w:p>
        </w:tc>
        <w:tc>
          <w:tcPr>
            <w:tcW w:w="1361" w:type="dxa"/>
            <w:tcBorders>
              <w:top w:val="nil"/>
              <w:left w:val="nil"/>
              <w:bottom w:val="nil"/>
              <w:right w:val="nil"/>
            </w:tcBorders>
          </w:tcPr>
          <w:p w:rsidR="00E8309B" w:rsidRDefault="009D0949">
            <w:pPr>
              <w:spacing w:after="0" w:line="259" w:lineRule="auto"/>
              <w:ind w:left="74" w:right="0" w:firstLine="0"/>
              <w:jc w:val="left"/>
            </w:pPr>
            <w:r>
              <w:rPr>
                <w:sz w:val="18"/>
              </w:rPr>
              <w:t xml:space="preserve">-0,6 </w:t>
            </w:r>
          </w:p>
        </w:tc>
        <w:tc>
          <w:tcPr>
            <w:tcW w:w="1363" w:type="dxa"/>
            <w:tcBorders>
              <w:top w:val="nil"/>
              <w:left w:val="nil"/>
              <w:bottom w:val="nil"/>
              <w:right w:val="nil"/>
            </w:tcBorders>
          </w:tcPr>
          <w:p w:rsidR="00E8309B" w:rsidRDefault="009D0949">
            <w:pPr>
              <w:spacing w:after="0" w:line="259" w:lineRule="auto"/>
              <w:ind w:left="74" w:right="0" w:firstLine="0"/>
              <w:jc w:val="left"/>
            </w:pPr>
            <w:r>
              <w:rPr>
                <w:sz w:val="18"/>
              </w:rPr>
              <w:t xml:space="preserve">-0,6 </w:t>
            </w:r>
          </w:p>
        </w:tc>
        <w:tc>
          <w:tcPr>
            <w:tcW w:w="468" w:type="dxa"/>
            <w:tcBorders>
              <w:top w:val="nil"/>
              <w:left w:val="nil"/>
              <w:bottom w:val="nil"/>
              <w:right w:val="nil"/>
            </w:tcBorders>
          </w:tcPr>
          <w:p w:rsidR="00E8309B" w:rsidRDefault="009D0949">
            <w:pPr>
              <w:spacing w:after="0" w:line="259" w:lineRule="auto"/>
              <w:ind w:left="0" w:right="46" w:firstLine="0"/>
              <w:jc w:val="right"/>
            </w:pPr>
            <w:r>
              <w:rPr>
                <w:sz w:val="18"/>
              </w:rPr>
              <w:t xml:space="preserve">– </w:t>
            </w:r>
          </w:p>
        </w:tc>
      </w:tr>
      <w:tr w:rsidR="00E8309B">
        <w:trPr>
          <w:trHeight w:val="565"/>
        </w:trPr>
        <w:tc>
          <w:tcPr>
            <w:tcW w:w="3627" w:type="dxa"/>
            <w:tcBorders>
              <w:top w:val="nil"/>
              <w:left w:val="nil"/>
              <w:bottom w:val="nil"/>
              <w:right w:val="nil"/>
            </w:tcBorders>
          </w:tcPr>
          <w:p w:rsidR="00E8309B" w:rsidRDefault="009D0949">
            <w:pPr>
              <w:spacing w:after="94" w:line="259" w:lineRule="auto"/>
              <w:ind w:left="122" w:right="0" w:firstLine="0"/>
              <w:jc w:val="left"/>
            </w:pPr>
            <w:r>
              <w:rPr>
                <w:b/>
                <w:sz w:val="18"/>
              </w:rPr>
              <w:t>ЕРП 2021–2023</w:t>
            </w:r>
            <w:r>
              <w:rPr>
                <w:sz w:val="18"/>
              </w:rPr>
              <w:t xml:space="preserve"> </w:t>
            </w:r>
          </w:p>
          <w:p w:rsidR="00E8309B" w:rsidRDefault="009D0949">
            <w:pPr>
              <w:spacing w:after="0" w:line="259" w:lineRule="auto"/>
              <w:ind w:left="122" w:right="0" w:firstLine="0"/>
              <w:jc w:val="left"/>
            </w:pPr>
            <w:r>
              <w:rPr>
                <w:b/>
                <w:sz w:val="18"/>
              </w:rPr>
              <w:t>Приходи</w:t>
            </w:r>
            <w:r>
              <w:rPr>
                <w:sz w:val="18"/>
              </w:rPr>
              <w:t xml:space="preserve"> </w:t>
            </w:r>
          </w:p>
        </w:tc>
        <w:tc>
          <w:tcPr>
            <w:tcW w:w="1364" w:type="dxa"/>
            <w:tcBorders>
              <w:top w:val="nil"/>
              <w:left w:val="nil"/>
              <w:bottom w:val="nil"/>
              <w:right w:val="nil"/>
            </w:tcBorders>
          </w:tcPr>
          <w:p w:rsidR="00E8309B" w:rsidRDefault="009D0949">
            <w:pPr>
              <w:spacing w:after="118" w:line="259" w:lineRule="auto"/>
              <w:ind w:left="360" w:right="0" w:firstLine="0"/>
              <w:jc w:val="left"/>
            </w:pPr>
            <w:r>
              <w:rPr>
                <w:sz w:val="18"/>
              </w:rPr>
              <w:t xml:space="preserve"> </w:t>
            </w:r>
          </w:p>
          <w:p w:rsidR="00E8309B" w:rsidRDefault="009D0949">
            <w:pPr>
              <w:spacing w:after="0" w:line="259" w:lineRule="auto"/>
              <w:ind w:left="46" w:right="0" w:firstLine="0"/>
              <w:jc w:val="left"/>
            </w:pPr>
            <w:r>
              <w:rPr>
                <w:sz w:val="18"/>
              </w:rPr>
              <w:t xml:space="preserve">42,1 </w:t>
            </w:r>
          </w:p>
        </w:tc>
        <w:tc>
          <w:tcPr>
            <w:tcW w:w="1363" w:type="dxa"/>
            <w:tcBorders>
              <w:top w:val="nil"/>
              <w:left w:val="nil"/>
              <w:bottom w:val="nil"/>
              <w:right w:val="nil"/>
            </w:tcBorders>
          </w:tcPr>
          <w:p w:rsidR="00E8309B" w:rsidRDefault="009D0949">
            <w:pPr>
              <w:spacing w:after="118" w:line="259" w:lineRule="auto"/>
              <w:ind w:left="360" w:right="0" w:firstLine="0"/>
              <w:jc w:val="left"/>
            </w:pPr>
            <w:r>
              <w:rPr>
                <w:sz w:val="18"/>
              </w:rPr>
              <w:t xml:space="preserve"> </w:t>
            </w:r>
          </w:p>
          <w:p w:rsidR="00E8309B" w:rsidRDefault="009D0949">
            <w:pPr>
              <w:spacing w:after="0" w:line="259" w:lineRule="auto"/>
              <w:ind w:left="46" w:right="0" w:firstLine="0"/>
              <w:jc w:val="left"/>
            </w:pPr>
            <w:r>
              <w:rPr>
                <w:sz w:val="18"/>
              </w:rPr>
              <w:t xml:space="preserve">40,3 </w:t>
            </w:r>
          </w:p>
        </w:tc>
        <w:tc>
          <w:tcPr>
            <w:tcW w:w="1361" w:type="dxa"/>
            <w:tcBorders>
              <w:top w:val="nil"/>
              <w:left w:val="nil"/>
              <w:bottom w:val="nil"/>
              <w:right w:val="nil"/>
            </w:tcBorders>
          </w:tcPr>
          <w:p w:rsidR="00E8309B" w:rsidRDefault="009D0949">
            <w:pPr>
              <w:spacing w:after="118" w:line="259" w:lineRule="auto"/>
              <w:ind w:left="360" w:right="0" w:firstLine="0"/>
              <w:jc w:val="left"/>
            </w:pPr>
            <w:r>
              <w:rPr>
                <w:sz w:val="18"/>
              </w:rPr>
              <w:t xml:space="preserve"> </w:t>
            </w:r>
          </w:p>
          <w:p w:rsidR="00E8309B" w:rsidRDefault="009D0949">
            <w:pPr>
              <w:spacing w:after="0" w:line="259" w:lineRule="auto"/>
              <w:ind w:left="46" w:right="0" w:firstLine="0"/>
              <w:jc w:val="left"/>
            </w:pPr>
            <w:r>
              <w:rPr>
                <w:sz w:val="18"/>
              </w:rPr>
              <w:t xml:space="preserve">40,4 </w:t>
            </w:r>
          </w:p>
        </w:tc>
        <w:tc>
          <w:tcPr>
            <w:tcW w:w="1363" w:type="dxa"/>
            <w:tcBorders>
              <w:top w:val="nil"/>
              <w:left w:val="nil"/>
              <w:bottom w:val="nil"/>
              <w:right w:val="nil"/>
            </w:tcBorders>
          </w:tcPr>
          <w:p w:rsidR="00E8309B" w:rsidRDefault="009D0949">
            <w:pPr>
              <w:spacing w:after="118" w:line="259" w:lineRule="auto"/>
              <w:ind w:left="360" w:right="0" w:firstLine="0"/>
              <w:jc w:val="left"/>
            </w:pPr>
            <w:r>
              <w:rPr>
                <w:sz w:val="18"/>
              </w:rPr>
              <w:t xml:space="preserve"> </w:t>
            </w:r>
          </w:p>
          <w:p w:rsidR="00E8309B" w:rsidRDefault="009D0949">
            <w:pPr>
              <w:spacing w:after="0" w:line="259" w:lineRule="auto"/>
              <w:ind w:left="46" w:right="0" w:firstLine="0"/>
              <w:jc w:val="left"/>
            </w:pPr>
            <w:r>
              <w:rPr>
                <w:sz w:val="18"/>
              </w:rPr>
              <w:t xml:space="preserve">40,5 </w:t>
            </w:r>
          </w:p>
        </w:tc>
        <w:tc>
          <w:tcPr>
            <w:tcW w:w="468" w:type="dxa"/>
            <w:tcBorders>
              <w:top w:val="nil"/>
              <w:left w:val="nil"/>
              <w:bottom w:val="nil"/>
              <w:right w:val="nil"/>
            </w:tcBorders>
          </w:tcPr>
          <w:p w:rsidR="00E8309B" w:rsidRDefault="009D0949">
            <w:pPr>
              <w:spacing w:after="118" w:line="259" w:lineRule="auto"/>
              <w:ind w:left="0" w:right="0" w:firstLine="0"/>
              <w:jc w:val="right"/>
            </w:pPr>
            <w:r>
              <w:rPr>
                <w:sz w:val="18"/>
              </w:rPr>
              <w:t xml:space="preserve"> </w:t>
            </w:r>
          </w:p>
          <w:p w:rsidR="00E8309B" w:rsidRDefault="009D0949">
            <w:pPr>
              <w:spacing w:after="0" w:line="259" w:lineRule="auto"/>
              <w:ind w:left="46" w:right="0" w:firstLine="0"/>
            </w:pPr>
            <w:r>
              <w:rPr>
                <w:sz w:val="18"/>
              </w:rPr>
              <w:t xml:space="preserve">39,7 </w:t>
            </w:r>
          </w:p>
        </w:tc>
      </w:tr>
      <w:tr w:rsidR="00E8309B">
        <w:trPr>
          <w:trHeight w:val="284"/>
        </w:trPr>
        <w:tc>
          <w:tcPr>
            <w:tcW w:w="3627" w:type="dxa"/>
            <w:tcBorders>
              <w:top w:val="nil"/>
              <w:left w:val="nil"/>
              <w:bottom w:val="nil"/>
              <w:right w:val="nil"/>
            </w:tcBorders>
          </w:tcPr>
          <w:p w:rsidR="00E8309B" w:rsidRDefault="009D0949">
            <w:pPr>
              <w:spacing w:after="0" w:line="259" w:lineRule="auto"/>
              <w:ind w:left="122" w:right="0" w:firstLine="0"/>
              <w:jc w:val="left"/>
            </w:pPr>
            <w:r>
              <w:rPr>
                <w:b/>
                <w:sz w:val="18"/>
              </w:rPr>
              <w:t>Расходи</w:t>
            </w:r>
            <w:r>
              <w:rPr>
                <w:sz w:val="18"/>
              </w:rPr>
              <w:t xml:space="preserve"> </w:t>
            </w:r>
          </w:p>
        </w:tc>
        <w:tc>
          <w:tcPr>
            <w:tcW w:w="1364" w:type="dxa"/>
            <w:tcBorders>
              <w:top w:val="nil"/>
              <w:left w:val="nil"/>
              <w:bottom w:val="nil"/>
              <w:right w:val="nil"/>
            </w:tcBorders>
          </w:tcPr>
          <w:p w:rsidR="00E8309B" w:rsidRDefault="009D0949">
            <w:pPr>
              <w:spacing w:after="0" w:line="259" w:lineRule="auto"/>
              <w:ind w:left="46" w:right="0" w:firstLine="0"/>
              <w:jc w:val="left"/>
            </w:pPr>
            <w:r>
              <w:rPr>
                <w:sz w:val="18"/>
              </w:rPr>
              <w:t xml:space="preserve">42,3 </w:t>
            </w:r>
          </w:p>
        </w:tc>
        <w:tc>
          <w:tcPr>
            <w:tcW w:w="1363" w:type="dxa"/>
            <w:tcBorders>
              <w:top w:val="nil"/>
              <w:left w:val="nil"/>
              <w:bottom w:val="nil"/>
              <w:right w:val="nil"/>
            </w:tcBorders>
          </w:tcPr>
          <w:p w:rsidR="00E8309B" w:rsidRDefault="009D0949">
            <w:pPr>
              <w:spacing w:after="0" w:line="259" w:lineRule="auto"/>
              <w:ind w:left="46" w:right="0" w:firstLine="0"/>
              <w:jc w:val="left"/>
            </w:pPr>
            <w:r>
              <w:rPr>
                <w:sz w:val="18"/>
              </w:rPr>
              <w:t xml:space="preserve">49,2 </w:t>
            </w:r>
          </w:p>
        </w:tc>
        <w:tc>
          <w:tcPr>
            <w:tcW w:w="1361" w:type="dxa"/>
            <w:tcBorders>
              <w:top w:val="nil"/>
              <w:left w:val="nil"/>
              <w:bottom w:val="nil"/>
              <w:right w:val="nil"/>
            </w:tcBorders>
          </w:tcPr>
          <w:p w:rsidR="00E8309B" w:rsidRDefault="009D0949">
            <w:pPr>
              <w:spacing w:after="0" w:line="259" w:lineRule="auto"/>
              <w:ind w:left="46" w:right="0" w:firstLine="0"/>
              <w:jc w:val="left"/>
            </w:pPr>
            <w:r>
              <w:rPr>
                <w:sz w:val="18"/>
              </w:rPr>
              <w:t xml:space="preserve">43,4 </w:t>
            </w:r>
          </w:p>
        </w:tc>
        <w:tc>
          <w:tcPr>
            <w:tcW w:w="1363" w:type="dxa"/>
            <w:tcBorders>
              <w:top w:val="nil"/>
              <w:left w:val="nil"/>
              <w:bottom w:val="nil"/>
              <w:right w:val="nil"/>
            </w:tcBorders>
          </w:tcPr>
          <w:p w:rsidR="00E8309B" w:rsidRDefault="009D0949">
            <w:pPr>
              <w:spacing w:after="0" w:line="259" w:lineRule="auto"/>
              <w:ind w:left="46" w:right="0" w:firstLine="0"/>
              <w:jc w:val="left"/>
            </w:pPr>
            <w:r>
              <w:rPr>
                <w:sz w:val="18"/>
              </w:rPr>
              <w:t xml:space="preserve">42,1 </w:t>
            </w:r>
          </w:p>
        </w:tc>
        <w:tc>
          <w:tcPr>
            <w:tcW w:w="468" w:type="dxa"/>
            <w:tcBorders>
              <w:top w:val="nil"/>
              <w:left w:val="nil"/>
              <w:bottom w:val="nil"/>
              <w:right w:val="nil"/>
            </w:tcBorders>
          </w:tcPr>
          <w:p w:rsidR="00E8309B" w:rsidRDefault="009D0949">
            <w:pPr>
              <w:spacing w:after="0" w:line="259" w:lineRule="auto"/>
              <w:ind w:left="46" w:right="0" w:firstLine="0"/>
            </w:pPr>
            <w:r>
              <w:rPr>
                <w:sz w:val="18"/>
              </w:rPr>
              <w:t xml:space="preserve">40,7 </w:t>
            </w:r>
          </w:p>
        </w:tc>
      </w:tr>
      <w:tr w:rsidR="00E8309B">
        <w:trPr>
          <w:trHeight w:val="306"/>
        </w:trPr>
        <w:tc>
          <w:tcPr>
            <w:tcW w:w="3627" w:type="dxa"/>
            <w:tcBorders>
              <w:top w:val="nil"/>
              <w:left w:val="nil"/>
              <w:bottom w:val="nil"/>
              <w:right w:val="nil"/>
            </w:tcBorders>
          </w:tcPr>
          <w:p w:rsidR="00E8309B" w:rsidRDefault="009D0949">
            <w:pPr>
              <w:spacing w:after="0" w:line="259" w:lineRule="auto"/>
              <w:ind w:left="122" w:right="0" w:firstLine="0"/>
              <w:jc w:val="left"/>
            </w:pPr>
            <w:r>
              <w:rPr>
                <w:b/>
                <w:sz w:val="18"/>
              </w:rPr>
              <w:t>Резултат</w:t>
            </w:r>
            <w:r>
              <w:rPr>
                <w:sz w:val="18"/>
              </w:rPr>
              <w:t xml:space="preserve"> </w:t>
            </w:r>
          </w:p>
        </w:tc>
        <w:tc>
          <w:tcPr>
            <w:tcW w:w="1364" w:type="dxa"/>
            <w:tcBorders>
              <w:top w:val="nil"/>
              <w:left w:val="nil"/>
              <w:bottom w:val="nil"/>
              <w:right w:val="nil"/>
            </w:tcBorders>
          </w:tcPr>
          <w:p w:rsidR="00E8309B" w:rsidRDefault="009D0949">
            <w:pPr>
              <w:spacing w:after="0" w:line="259" w:lineRule="auto"/>
              <w:ind w:left="74" w:right="0" w:firstLine="0"/>
              <w:jc w:val="left"/>
            </w:pPr>
            <w:r>
              <w:rPr>
                <w:sz w:val="18"/>
              </w:rPr>
              <w:t xml:space="preserve">-0,2 </w:t>
            </w:r>
          </w:p>
        </w:tc>
        <w:tc>
          <w:tcPr>
            <w:tcW w:w="1363" w:type="dxa"/>
            <w:tcBorders>
              <w:top w:val="nil"/>
              <w:left w:val="nil"/>
              <w:bottom w:val="nil"/>
              <w:right w:val="nil"/>
            </w:tcBorders>
          </w:tcPr>
          <w:p w:rsidR="00E8309B" w:rsidRDefault="009D0949">
            <w:pPr>
              <w:spacing w:after="0" w:line="259" w:lineRule="auto"/>
              <w:ind w:left="74" w:right="0" w:firstLine="0"/>
              <w:jc w:val="left"/>
            </w:pPr>
            <w:r>
              <w:rPr>
                <w:sz w:val="18"/>
              </w:rPr>
              <w:t xml:space="preserve">-8,9 </w:t>
            </w:r>
          </w:p>
        </w:tc>
        <w:tc>
          <w:tcPr>
            <w:tcW w:w="1361" w:type="dxa"/>
            <w:tcBorders>
              <w:top w:val="nil"/>
              <w:left w:val="nil"/>
              <w:bottom w:val="nil"/>
              <w:right w:val="nil"/>
            </w:tcBorders>
          </w:tcPr>
          <w:p w:rsidR="00E8309B" w:rsidRDefault="009D0949">
            <w:pPr>
              <w:spacing w:after="0" w:line="259" w:lineRule="auto"/>
              <w:ind w:left="74" w:right="0" w:firstLine="0"/>
              <w:jc w:val="left"/>
            </w:pPr>
            <w:r>
              <w:rPr>
                <w:sz w:val="18"/>
              </w:rPr>
              <w:t xml:space="preserve">-3,0 </w:t>
            </w:r>
          </w:p>
        </w:tc>
        <w:tc>
          <w:tcPr>
            <w:tcW w:w="1363" w:type="dxa"/>
            <w:tcBorders>
              <w:top w:val="nil"/>
              <w:left w:val="nil"/>
              <w:bottom w:val="nil"/>
              <w:right w:val="nil"/>
            </w:tcBorders>
          </w:tcPr>
          <w:p w:rsidR="00E8309B" w:rsidRDefault="009D0949">
            <w:pPr>
              <w:spacing w:after="0" w:line="259" w:lineRule="auto"/>
              <w:ind w:left="74" w:right="0" w:firstLine="0"/>
              <w:jc w:val="left"/>
            </w:pPr>
            <w:r>
              <w:rPr>
                <w:sz w:val="18"/>
              </w:rPr>
              <w:t xml:space="preserve">-1,6 </w:t>
            </w:r>
          </w:p>
        </w:tc>
        <w:tc>
          <w:tcPr>
            <w:tcW w:w="468" w:type="dxa"/>
            <w:tcBorders>
              <w:top w:val="nil"/>
              <w:left w:val="nil"/>
              <w:bottom w:val="nil"/>
              <w:right w:val="nil"/>
            </w:tcBorders>
          </w:tcPr>
          <w:p w:rsidR="00E8309B" w:rsidRDefault="009D0949">
            <w:pPr>
              <w:spacing w:after="0" w:line="259" w:lineRule="auto"/>
              <w:ind w:left="74" w:right="0" w:firstLine="0"/>
              <w:jc w:val="left"/>
            </w:pPr>
            <w:r>
              <w:rPr>
                <w:sz w:val="18"/>
              </w:rPr>
              <w:t xml:space="preserve">-1,0 </w:t>
            </w:r>
          </w:p>
        </w:tc>
      </w:tr>
      <w:tr w:rsidR="00E8309B">
        <w:trPr>
          <w:trHeight w:val="546"/>
        </w:trPr>
        <w:tc>
          <w:tcPr>
            <w:tcW w:w="3627" w:type="dxa"/>
            <w:tcBorders>
              <w:top w:val="nil"/>
              <w:left w:val="nil"/>
              <w:bottom w:val="nil"/>
              <w:right w:val="nil"/>
            </w:tcBorders>
          </w:tcPr>
          <w:p w:rsidR="00E8309B" w:rsidRDefault="009D0949">
            <w:pPr>
              <w:spacing w:after="94" w:line="259" w:lineRule="auto"/>
              <w:ind w:left="122" w:right="0" w:firstLine="0"/>
              <w:jc w:val="left"/>
            </w:pPr>
            <w:r>
              <w:rPr>
                <w:b/>
                <w:sz w:val="18"/>
              </w:rPr>
              <w:t>Разлика</w:t>
            </w:r>
            <w:r>
              <w:rPr>
                <w:sz w:val="18"/>
              </w:rPr>
              <w:t xml:space="preserve"> </w:t>
            </w:r>
          </w:p>
          <w:p w:rsidR="00E8309B" w:rsidRDefault="009D0949">
            <w:pPr>
              <w:spacing w:after="0" w:line="259" w:lineRule="auto"/>
              <w:ind w:left="122" w:right="0" w:firstLine="0"/>
              <w:jc w:val="left"/>
            </w:pPr>
            <w:r>
              <w:rPr>
                <w:b/>
                <w:sz w:val="18"/>
              </w:rPr>
              <w:t>Приходи</w:t>
            </w:r>
            <w:r>
              <w:rPr>
                <w:sz w:val="18"/>
              </w:rPr>
              <w:t xml:space="preserve"> </w:t>
            </w:r>
          </w:p>
        </w:tc>
        <w:tc>
          <w:tcPr>
            <w:tcW w:w="1364" w:type="dxa"/>
            <w:tcBorders>
              <w:top w:val="nil"/>
              <w:left w:val="nil"/>
              <w:bottom w:val="nil"/>
              <w:right w:val="nil"/>
            </w:tcBorders>
          </w:tcPr>
          <w:p w:rsidR="00E8309B" w:rsidRDefault="009D0949">
            <w:pPr>
              <w:spacing w:after="118" w:line="259" w:lineRule="auto"/>
              <w:ind w:left="360" w:right="0" w:firstLine="0"/>
              <w:jc w:val="left"/>
            </w:pPr>
            <w:r>
              <w:rPr>
                <w:sz w:val="18"/>
              </w:rPr>
              <w:t xml:space="preserve"> </w:t>
            </w:r>
          </w:p>
          <w:p w:rsidR="00E8309B" w:rsidRDefault="009D0949">
            <w:pPr>
              <w:spacing w:after="0" w:line="259" w:lineRule="auto"/>
              <w:ind w:left="134" w:right="0" w:firstLine="0"/>
              <w:jc w:val="left"/>
            </w:pPr>
            <w:r>
              <w:rPr>
                <w:sz w:val="18"/>
              </w:rPr>
              <w:t xml:space="preserve">0,7 </w:t>
            </w:r>
          </w:p>
        </w:tc>
        <w:tc>
          <w:tcPr>
            <w:tcW w:w="1363" w:type="dxa"/>
            <w:tcBorders>
              <w:top w:val="nil"/>
              <w:left w:val="nil"/>
              <w:bottom w:val="nil"/>
              <w:right w:val="nil"/>
            </w:tcBorders>
          </w:tcPr>
          <w:p w:rsidR="00E8309B" w:rsidRDefault="009D0949">
            <w:pPr>
              <w:spacing w:after="118" w:line="259" w:lineRule="auto"/>
              <w:ind w:left="360" w:right="0" w:firstLine="0"/>
              <w:jc w:val="left"/>
            </w:pPr>
            <w:r>
              <w:rPr>
                <w:sz w:val="18"/>
              </w:rPr>
              <w:t xml:space="preserve"> </w:t>
            </w:r>
          </w:p>
          <w:p w:rsidR="00E8309B" w:rsidRDefault="009D0949">
            <w:pPr>
              <w:spacing w:after="0" w:line="259" w:lineRule="auto"/>
              <w:ind w:left="74" w:right="0" w:firstLine="0"/>
              <w:jc w:val="left"/>
            </w:pPr>
            <w:r>
              <w:rPr>
                <w:sz w:val="18"/>
              </w:rPr>
              <w:t xml:space="preserve">-2,1 </w:t>
            </w:r>
          </w:p>
        </w:tc>
        <w:tc>
          <w:tcPr>
            <w:tcW w:w="1361" w:type="dxa"/>
            <w:tcBorders>
              <w:top w:val="nil"/>
              <w:left w:val="nil"/>
              <w:bottom w:val="nil"/>
              <w:right w:val="nil"/>
            </w:tcBorders>
          </w:tcPr>
          <w:p w:rsidR="00E8309B" w:rsidRDefault="009D0949">
            <w:pPr>
              <w:spacing w:after="118" w:line="259" w:lineRule="auto"/>
              <w:ind w:left="360" w:right="0" w:firstLine="0"/>
              <w:jc w:val="left"/>
            </w:pPr>
            <w:r>
              <w:rPr>
                <w:sz w:val="18"/>
              </w:rPr>
              <w:t xml:space="preserve"> </w:t>
            </w:r>
          </w:p>
          <w:p w:rsidR="00E8309B" w:rsidRDefault="009D0949">
            <w:pPr>
              <w:spacing w:after="0" w:line="259" w:lineRule="auto"/>
              <w:ind w:left="74" w:right="0" w:firstLine="0"/>
              <w:jc w:val="left"/>
            </w:pPr>
            <w:r>
              <w:rPr>
                <w:sz w:val="18"/>
              </w:rPr>
              <w:t xml:space="preserve">-0,7 </w:t>
            </w:r>
          </w:p>
        </w:tc>
        <w:tc>
          <w:tcPr>
            <w:tcW w:w="1363" w:type="dxa"/>
            <w:tcBorders>
              <w:top w:val="nil"/>
              <w:left w:val="nil"/>
              <w:bottom w:val="nil"/>
              <w:right w:val="nil"/>
            </w:tcBorders>
          </w:tcPr>
          <w:p w:rsidR="00E8309B" w:rsidRDefault="009D0949">
            <w:pPr>
              <w:spacing w:after="118" w:line="259" w:lineRule="auto"/>
              <w:ind w:left="360" w:right="0" w:firstLine="0"/>
              <w:jc w:val="left"/>
            </w:pPr>
            <w:r>
              <w:rPr>
                <w:sz w:val="18"/>
              </w:rPr>
              <w:t xml:space="preserve"> </w:t>
            </w:r>
          </w:p>
          <w:p w:rsidR="00E8309B" w:rsidRDefault="009D0949">
            <w:pPr>
              <w:spacing w:after="0" w:line="259" w:lineRule="auto"/>
              <w:ind w:left="74" w:right="0" w:firstLine="0"/>
              <w:jc w:val="left"/>
            </w:pPr>
            <w:r>
              <w:rPr>
                <w:sz w:val="18"/>
              </w:rPr>
              <w:t xml:space="preserve">-0,2 </w:t>
            </w:r>
          </w:p>
        </w:tc>
        <w:tc>
          <w:tcPr>
            <w:tcW w:w="468" w:type="dxa"/>
            <w:tcBorders>
              <w:top w:val="nil"/>
              <w:left w:val="nil"/>
              <w:bottom w:val="nil"/>
              <w:right w:val="nil"/>
            </w:tcBorders>
          </w:tcPr>
          <w:p w:rsidR="00E8309B" w:rsidRDefault="009D0949">
            <w:pPr>
              <w:spacing w:after="142" w:line="259" w:lineRule="auto"/>
              <w:ind w:left="0" w:right="0" w:firstLine="0"/>
              <w:jc w:val="right"/>
            </w:pPr>
            <w:r>
              <w:rPr>
                <w:sz w:val="18"/>
              </w:rPr>
              <w:t xml:space="preserve"> </w:t>
            </w:r>
          </w:p>
          <w:p w:rsidR="00E8309B" w:rsidRDefault="009D0949">
            <w:pPr>
              <w:spacing w:after="0" w:line="259" w:lineRule="auto"/>
              <w:ind w:left="0" w:right="46" w:firstLine="0"/>
              <w:jc w:val="right"/>
            </w:pPr>
            <w:r>
              <w:rPr>
                <w:sz w:val="18"/>
              </w:rPr>
              <w:t xml:space="preserve">– </w:t>
            </w:r>
          </w:p>
        </w:tc>
      </w:tr>
      <w:tr w:rsidR="00E8309B">
        <w:trPr>
          <w:trHeight w:val="284"/>
        </w:trPr>
        <w:tc>
          <w:tcPr>
            <w:tcW w:w="3627" w:type="dxa"/>
            <w:tcBorders>
              <w:top w:val="nil"/>
              <w:left w:val="nil"/>
              <w:bottom w:val="nil"/>
              <w:right w:val="nil"/>
            </w:tcBorders>
          </w:tcPr>
          <w:p w:rsidR="00E8309B" w:rsidRDefault="009D0949">
            <w:pPr>
              <w:spacing w:after="0" w:line="259" w:lineRule="auto"/>
              <w:ind w:left="122" w:right="0" w:firstLine="0"/>
              <w:jc w:val="left"/>
            </w:pPr>
            <w:r>
              <w:rPr>
                <w:b/>
                <w:sz w:val="18"/>
              </w:rPr>
              <w:t>Расходи</w:t>
            </w:r>
            <w:r>
              <w:rPr>
                <w:sz w:val="18"/>
              </w:rPr>
              <w:t xml:space="preserve"> </w:t>
            </w:r>
          </w:p>
        </w:tc>
        <w:tc>
          <w:tcPr>
            <w:tcW w:w="1364" w:type="dxa"/>
            <w:tcBorders>
              <w:top w:val="nil"/>
              <w:left w:val="nil"/>
              <w:bottom w:val="nil"/>
              <w:right w:val="nil"/>
            </w:tcBorders>
          </w:tcPr>
          <w:p w:rsidR="00E8309B" w:rsidRDefault="009D0949">
            <w:pPr>
              <w:spacing w:after="0" w:line="259" w:lineRule="auto"/>
              <w:ind w:left="134" w:right="0" w:firstLine="0"/>
              <w:jc w:val="left"/>
            </w:pPr>
            <w:r>
              <w:rPr>
                <w:sz w:val="18"/>
              </w:rPr>
              <w:t xml:space="preserve">0,4 </w:t>
            </w:r>
          </w:p>
        </w:tc>
        <w:tc>
          <w:tcPr>
            <w:tcW w:w="1363" w:type="dxa"/>
            <w:tcBorders>
              <w:top w:val="nil"/>
              <w:left w:val="nil"/>
              <w:bottom w:val="nil"/>
              <w:right w:val="nil"/>
            </w:tcBorders>
          </w:tcPr>
          <w:p w:rsidR="00E8309B" w:rsidRDefault="009D0949">
            <w:pPr>
              <w:spacing w:after="0" w:line="259" w:lineRule="auto"/>
              <w:ind w:left="134" w:right="0" w:firstLine="0"/>
              <w:jc w:val="left"/>
            </w:pPr>
            <w:r>
              <w:rPr>
                <w:sz w:val="18"/>
              </w:rPr>
              <w:t xml:space="preserve">6,3 </w:t>
            </w:r>
          </w:p>
        </w:tc>
        <w:tc>
          <w:tcPr>
            <w:tcW w:w="1361" w:type="dxa"/>
            <w:tcBorders>
              <w:top w:val="nil"/>
              <w:left w:val="nil"/>
              <w:bottom w:val="nil"/>
              <w:right w:val="nil"/>
            </w:tcBorders>
          </w:tcPr>
          <w:p w:rsidR="00E8309B" w:rsidRDefault="009D0949">
            <w:pPr>
              <w:spacing w:after="0" w:line="259" w:lineRule="auto"/>
              <w:ind w:left="134" w:right="0" w:firstLine="0"/>
              <w:jc w:val="left"/>
            </w:pPr>
            <w:r>
              <w:rPr>
                <w:sz w:val="18"/>
              </w:rPr>
              <w:t xml:space="preserve">1,7 </w:t>
            </w:r>
          </w:p>
        </w:tc>
        <w:tc>
          <w:tcPr>
            <w:tcW w:w="1363" w:type="dxa"/>
            <w:tcBorders>
              <w:top w:val="nil"/>
              <w:left w:val="nil"/>
              <w:bottom w:val="nil"/>
              <w:right w:val="nil"/>
            </w:tcBorders>
          </w:tcPr>
          <w:p w:rsidR="00E8309B" w:rsidRDefault="009D0949">
            <w:pPr>
              <w:spacing w:after="0" w:line="259" w:lineRule="auto"/>
              <w:ind w:left="134" w:right="0" w:firstLine="0"/>
              <w:jc w:val="left"/>
            </w:pPr>
            <w:r>
              <w:rPr>
                <w:sz w:val="18"/>
              </w:rPr>
              <w:t xml:space="preserve">0,8 </w:t>
            </w:r>
          </w:p>
        </w:tc>
        <w:tc>
          <w:tcPr>
            <w:tcW w:w="468" w:type="dxa"/>
            <w:tcBorders>
              <w:top w:val="nil"/>
              <w:left w:val="nil"/>
              <w:bottom w:val="nil"/>
              <w:right w:val="nil"/>
            </w:tcBorders>
          </w:tcPr>
          <w:p w:rsidR="00E8309B" w:rsidRDefault="009D0949">
            <w:pPr>
              <w:spacing w:after="0" w:line="259" w:lineRule="auto"/>
              <w:ind w:left="0" w:right="46" w:firstLine="0"/>
              <w:jc w:val="right"/>
            </w:pPr>
            <w:r>
              <w:rPr>
                <w:sz w:val="18"/>
              </w:rPr>
              <w:t xml:space="preserve">– </w:t>
            </w:r>
          </w:p>
        </w:tc>
      </w:tr>
      <w:tr w:rsidR="00E8309B">
        <w:trPr>
          <w:trHeight w:val="286"/>
        </w:trPr>
        <w:tc>
          <w:tcPr>
            <w:tcW w:w="3627" w:type="dxa"/>
            <w:tcBorders>
              <w:top w:val="nil"/>
              <w:left w:val="nil"/>
              <w:bottom w:val="single" w:sz="4" w:space="0" w:color="002060"/>
              <w:right w:val="nil"/>
            </w:tcBorders>
          </w:tcPr>
          <w:p w:rsidR="00E8309B" w:rsidRDefault="009D0949">
            <w:pPr>
              <w:spacing w:after="0" w:line="259" w:lineRule="auto"/>
              <w:ind w:left="122" w:right="0" w:firstLine="0"/>
              <w:jc w:val="left"/>
            </w:pPr>
            <w:r>
              <w:rPr>
                <w:b/>
                <w:sz w:val="18"/>
              </w:rPr>
              <w:t>Резултат</w:t>
            </w:r>
            <w:r>
              <w:rPr>
                <w:sz w:val="18"/>
              </w:rPr>
              <w:t xml:space="preserve"> </w:t>
            </w:r>
          </w:p>
        </w:tc>
        <w:tc>
          <w:tcPr>
            <w:tcW w:w="1364" w:type="dxa"/>
            <w:tcBorders>
              <w:top w:val="nil"/>
              <w:left w:val="nil"/>
              <w:bottom w:val="single" w:sz="4" w:space="0" w:color="002060"/>
              <w:right w:val="nil"/>
            </w:tcBorders>
          </w:tcPr>
          <w:p w:rsidR="00E8309B" w:rsidRDefault="009D0949">
            <w:pPr>
              <w:spacing w:after="0" w:line="259" w:lineRule="auto"/>
              <w:ind w:left="134" w:right="0" w:firstLine="0"/>
              <w:jc w:val="left"/>
            </w:pPr>
            <w:r>
              <w:rPr>
                <w:sz w:val="18"/>
              </w:rPr>
              <w:t xml:space="preserve">0,3 </w:t>
            </w:r>
          </w:p>
        </w:tc>
        <w:tc>
          <w:tcPr>
            <w:tcW w:w="1363" w:type="dxa"/>
            <w:tcBorders>
              <w:top w:val="nil"/>
              <w:left w:val="nil"/>
              <w:bottom w:val="single" w:sz="4" w:space="0" w:color="002060"/>
              <w:right w:val="nil"/>
            </w:tcBorders>
          </w:tcPr>
          <w:p w:rsidR="00E8309B" w:rsidRDefault="009D0949">
            <w:pPr>
              <w:spacing w:after="0" w:line="259" w:lineRule="auto"/>
              <w:ind w:left="74" w:right="0" w:firstLine="0"/>
              <w:jc w:val="left"/>
            </w:pPr>
            <w:r>
              <w:rPr>
                <w:sz w:val="18"/>
              </w:rPr>
              <w:t xml:space="preserve">-8,4 </w:t>
            </w:r>
          </w:p>
        </w:tc>
        <w:tc>
          <w:tcPr>
            <w:tcW w:w="1361" w:type="dxa"/>
            <w:tcBorders>
              <w:top w:val="nil"/>
              <w:left w:val="nil"/>
              <w:bottom w:val="single" w:sz="4" w:space="0" w:color="002060"/>
              <w:right w:val="nil"/>
            </w:tcBorders>
          </w:tcPr>
          <w:p w:rsidR="00E8309B" w:rsidRDefault="009D0949">
            <w:pPr>
              <w:spacing w:after="0" w:line="259" w:lineRule="auto"/>
              <w:ind w:left="74" w:right="0" w:firstLine="0"/>
              <w:jc w:val="left"/>
            </w:pPr>
            <w:r>
              <w:rPr>
                <w:sz w:val="18"/>
              </w:rPr>
              <w:t xml:space="preserve">-2,4 </w:t>
            </w:r>
          </w:p>
        </w:tc>
        <w:tc>
          <w:tcPr>
            <w:tcW w:w="1363" w:type="dxa"/>
            <w:tcBorders>
              <w:top w:val="nil"/>
              <w:left w:val="nil"/>
              <w:bottom w:val="single" w:sz="4" w:space="0" w:color="002060"/>
              <w:right w:val="nil"/>
            </w:tcBorders>
          </w:tcPr>
          <w:p w:rsidR="00E8309B" w:rsidRDefault="009D0949">
            <w:pPr>
              <w:spacing w:after="0" w:line="259" w:lineRule="auto"/>
              <w:ind w:left="74" w:right="0" w:firstLine="0"/>
              <w:jc w:val="left"/>
            </w:pPr>
            <w:r>
              <w:rPr>
                <w:sz w:val="18"/>
              </w:rPr>
              <w:t xml:space="preserve">-1,0 </w:t>
            </w:r>
          </w:p>
        </w:tc>
        <w:tc>
          <w:tcPr>
            <w:tcW w:w="468" w:type="dxa"/>
            <w:tcBorders>
              <w:top w:val="nil"/>
              <w:left w:val="nil"/>
              <w:bottom w:val="single" w:sz="4" w:space="0" w:color="002060"/>
              <w:right w:val="nil"/>
            </w:tcBorders>
          </w:tcPr>
          <w:p w:rsidR="00E8309B" w:rsidRDefault="009D0949">
            <w:pPr>
              <w:spacing w:after="0" w:line="259" w:lineRule="auto"/>
              <w:ind w:left="0" w:right="46" w:firstLine="0"/>
              <w:jc w:val="right"/>
            </w:pPr>
            <w:r>
              <w:rPr>
                <w:sz w:val="18"/>
              </w:rPr>
              <w:t xml:space="preserve">– </w:t>
            </w:r>
          </w:p>
        </w:tc>
      </w:tr>
    </w:tbl>
    <w:p w:rsidR="00E8309B" w:rsidRDefault="009D0949">
      <w:pPr>
        <w:spacing w:after="465" w:line="269" w:lineRule="auto"/>
        <w:ind w:left="-5" w:right="53"/>
        <w:jc w:val="left"/>
      </w:pPr>
      <w:r>
        <w:rPr>
          <w:sz w:val="16"/>
        </w:rPr>
        <w:t xml:space="preserve">Извор: Министарство финансија </w:t>
      </w:r>
    </w:p>
    <w:p w:rsidR="00E8309B" w:rsidRDefault="009D0949">
      <w:pPr>
        <w:pStyle w:val="Heading2"/>
        <w:spacing w:after="221"/>
        <w:ind w:left="405" w:right="9" w:hanging="420"/>
      </w:pPr>
      <w:r>
        <w:t xml:space="preserve">КВАЛИТЕТ ЈАВНИХ ФИНАНСИЈА </w:t>
      </w:r>
    </w:p>
    <w:p w:rsidR="00E8309B" w:rsidRDefault="009D0949">
      <w:pPr>
        <w:ind w:left="-5" w:right="17"/>
      </w:pPr>
      <w:r>
        <w:t>У тренутку писања овог документа, у условима незапамћеним у новијој светској историји проузрокованим пандемијом Ковид-</w:t>
      </w:r>
      <w:r>
        <w:t>19, приводи се крају Инструмент за координацију политика – PCI (</w:t>
      </w:r>
      <w:r>
        <w:rPr>
          <w:i/>
        </w:rPr>
        <w:t>Policy Coordination Instrument</w:t>
      </w:r>
      <w:r>
        <w:t xml:space="preserve">) – аранжман који је Република Србија склопила са ММФ у јулу 2018. године, у трајању од 30 месеци, којим је био предвиђен наставак </w:t>
      </w:r>
      <w:r>
        <w:lastRenderedPageBreak/>
        <w:t>спровођења институционалних и с</w:t>
      </w:r>
      <w:r>
        <w:t xml:space="preserve">труктурних реформи, након успешно спроведене фискалне консолидације и претходног аранжмана из предострожности са ММФ. </w:t>
      </w:r>
    </w:p>
    <w:p w:rsidR="00E8309B" w:rsidRDefault="009D0949">
      <w:pPr>
        <w:spacing w:after="141"/>
        <w:ind w:left="-5" w:right="17"/>
      </w:pPr>
      <w:r>
        <w:t>Програм је помогао у очувању макроекономске и фискалне стабилности, с тим да је у текућој години, сходно новонасталим околностима, програ</w:t>
      </w:r>
      <w:r>
        <w:t xml:space="preserve">м редефинисан и усмерен на ублажавање негативних последица изазваних пандемијом Ковид-19. Шок који је изазвала пандемија имао је посебно негативан ефекат на економију Републике Србије, извозну тражњу, СДИ, дознаке </w:t>
      </w:r>
    </w:p>
    <w:p w:rsidR="00E8309B" w:rsidRDefault="009D0949">
      <w:pPr>
        <w:spacing w:after="0" w:line="259" w:lineRule="auto"/>
        <w:ind w:left="0" w:right="0" w:firstLine="0"/>
        <w:jc w:val="left"/>
      </w:pPr>
      <w:r>
        <w:rPr>
          <w:rFonts w:ascii="Calibri" w:eastAsia="Calibri" w:hAnsi="Calibri" w:cs="Calibri"/>
          <w:strike/>
          <w:sz w:val="22"/>
        </w:rPr>
        <w:t xml:space="preserve">                                                         </w:t>
      </w:r>
      <w:r>
        <w:rPr>
          <w:rFonts w:ascii="Calibri" w:eastAsia="Calibri" w:hAnsi="Calibri" w:cs="Calibri"/>
          <w:sz w:val="22"/>
        </w:rPr>
        <w:t xml:space="preserve"> </w:t>
      </w:r>
    </w:p>
    <w:p w:rsidR="00E8309B" w:rsidRDefault="009D0949">
      <w:pPr>
        <w:numPr>
          <w:ilvl w:val="0"/>
          <w:numId w:val="6"/>
        </w:numPr>
        <w:spacing w:after="13" w:line="269" w:lineRule="auto"/>
        <w:ind w:right="53" w:hanging="142"/>
        <w:jc w:val="left"/>
      </w:pPr>
      <w:r>
        <w:rPr>
          <w:sz w:val="16"/>
        </w:rPr>
        <w:t xml:space="preserve">Програм економских реформи за 2020. годину са пројекцијама за 2021. и 2022. годину. </w:t>
      </w:r>
    </w:p>
    <w:p w:rsidR="00E8309B" w:rsidRDefault="009D0949">
      <w:pPr>
        <w:numPr>
          <w:ilvl w:val="0"/>
          <w:numId w:val="6"/>
        </w:numPr>
        <w:spacing w:after="170" w:line="269" w:lineRule="auto"/>
        <w:ind w:right="53" w:hanging="142"/>
        <w:jc w:val="left"/>
      </w:pPr>
      <w:r>
        <w:rPr>
          <w:sz w:val="16"/>
        </w:rPr>
        <w:t xml:space="preserve">Износи су прерачунати на основу ревизије података серије БДП од 2019. до 2022. године. </w:t>
      </w:r>
    </w:p>
    <w:p w:rsidR="00E8309B" w:rsidRDefault="009D0949">
      <w:pPr>
        <w:ind w:left="-5" w:right="17"/>
      </w:pPr>
      <w:r>
        <w:t>и ланце снабдевања, наро</w:t>
      </w:r>
      <w:r>
        <w:t>чито током другог квартала 2020. године након чега креће значајан економски опоравак. Захваљујући одговорној фискалној политици у претходном периоду као одговор на кризу изазвану пандемијом примењен је значајан пакет фискалних и монетарних мера којима је п</w:t>
      </w:r>
      <w:r>
        <w:t>отпомогнута привреда и грађани, очувана су радна места, опремљен здравствени систем и пружена помоћ најугроженијим групама. Све ове мере, уз истовремени шок на приходној страни, имали су за резултат значајно повећање фискалног дефицита и јавног дуга. У нар</w:t>
      </w:r>
      <w:r>
        <w:t>едној години и у средњем року очекује се стабилизација и повратак ових категорија на одрживу путању. Монетарна политика је подржала привредни опоравак, уз ниску и стабилну инфлацију и очување релативне стабилности девизног курса, уз даље јачање процеса дин</w:t>
      </w:r>
      <w:r>
        <w:t>аризације. У финансијском сектору, где је удео проблематичних кредита у септембру снижен на ниво од 3,4%, што је најнижи износ од када се прате, наставиће се активности на њиховом даљем смањивању, уз наставак реформи финансијских институција (банака у држа</w:t>
      </w:r>
      <w:r>
        <w:t>вном власништву, државних развојних агенција, итд.), у складу са Програмом. Структурне и институционалне реформе у наредном средњорочном периоду имаће за циљ унапређење пословног окружења, што доприноси успешнијем процесу приступања земље ЕУ. Ове реформе ф</w:t>
      </w:r>
      <w:r>
        <w:t xml:space="preserve">окусираће се на реструктурирање државних предузећа, финансијских институција и јавне управе, као и на даље смањење сиве економије. </w:t>
      </w:r>
    </w:p>
    <w:p w:rsidR="00E8309B" w:rsidRDefault="009D0949">
      <w:pPr>
        <w:ind w:left="-5" w:right="17"/>
      </w:pPr>
      <w:r>
        <w:t>Побољшање управљања јавним финансијама је нужно не само као подршка мерама фискалне консолидације и структурним реформама, в</w:t>
      </w:r>
      <w:r>
        <w:t>ећ као процес који подиже квалитет државне управе и осигурава амбијент који је привлачно и пожељно тло за инвеститоре. Реформске активности у оквиру различитих подсистема управљања јавним финансијама (УЈФ) обухваћене су ревидираним Програмом реформе управљ</w:t>
      </w:r>
      <w:r>
        <w:t xml:space="preserve">ања јавним финансијама 2016–2020. године (Програм РУЈФ). Министарство финансија је приступило изради новог Програма реформе управљања јавним финансијама за период од 2021–2025. године. </w:t>
      </w:r>
    </w:p>
    <w:p w:rsidR="00E8309B" w:rsidRDefault="009D0949">
      <w:pPr>
        <w:ind w:left="-5" w:right="17"/>
      </w:pPr>
      <w:r>
        <w:t xml:space="preserve">У наредном периоду очекује се наставак реформи у области запошљавања, </w:t>
      </w:r>
      <w:r>
        <w:t xml:space="preserve">управљања кадровима и система плата у сектору државе. Циљ фискалне политике у средњем року је задржавање расхода за запослене на одрживом нивоу, уз адекватну структуру запослених, како би се обезбедио већи квалитет пружених услуга. У наредном средњорочном </w:t>
      </w:r>
      <w:r>
        <w:t xml:space="preserve">периоду акценат је на структурним мерама, које би преко оптимизације броја запослених с једне стране, и успостављања новог система плата у сектору државе, с друге стране, допринеле повећању ефикасности и квалитету пружених јавних услуга. </w:t>
      </w:r>
    </w:p>
    <w:p w:rsidR="00E8309B" w:rsidRDefault="009D0949">
      <w:pPr>
        <w:ind w:left="-5" w:right="17"/>
      </w:pPr>
      <w:r>
        <w:t xml:space="preserve">Протеклих година </w:t>
      </w:r>
      <w:r>
        <w:t>усвојени су закони и подзаконски акти како би се прецизно одредио обухват и број запослених у јавном сектору. Закон о начину одређивања максималног броја запослених у јавном сектору утврђивао је начин одређивања максималног броја запослених у јавном сектор</w:t>
      </w:r>
      <w:r>
        <w:t xml:space="preserve">у, обим и рокове смањења броја запослених до достизања утврђеног максималног броја запослених и примењивао се као </w:t>
      </w:r>
      <w:r>
        <w:rPr>
          <w:i/>
        </w:rPr>
        <w:t>lex specialis</w:t>
      </w:r>
      <w:r>
        <w:t xml:space="preserve"> до 31. децембра 2019. године. Влада је својим актом односно Одлуком утврђивала максималан број запослених на неодређено време у </w:t>
      </w:r>
      <w:r>
        <w:t xml:space="preserve">јавном сектору који је обухватио систем државних органа, јавних служби, аутономне покрајине и локалне самоуправе. Било је планирано да нови систем платних разреда за све запослене у </w:t>
      </w:r>
      <w:r>
        <w:lastRenderedPageBreak/>
        <w:t>јавном сектору (укључујући војску и полицију), односно нови Закон о платам</w:t>
      </w:r>
      <w:r>
        <w:t>а државних службеника и намештеника и измене Уредбе о каталогу радних места у јавним службама и другим организацијама у јавном сектору, буде израђен ове године, како би био спреман за имплементацију с буџетом за 2021. годину. Због познатих околности које с</w:t>
      </w:r>
      <w:r>
        <w:t>у утицале на ток формирања нових органа власти, које би затим учествовале у преговорима о новом систему плата и коефицијената са синдикатима, целокупан процес је одложен за наредну годину. Нови систем платних разреда требало би да буде имплементиран од 202</w:t>
      </w:r>
      <w:r>
        <w:t xml:space="preserve">2. године. </w:t>
      </w:r>
    </w:p>
    <w:p w:rsidR="00E8309B" w:rsidRDefault="009D0949">
      <w:pPr>
        <w:spacing w:after="70"/>
        <w:ind w:left="-5" w:right="17"/>
      </w:pPr>
      <w:r>
        <w:t>Постојећи систем запошљавања, којим руководи Владина Комисија за давање сагласности за ново запошљавање и додатно радно ангажовање код корисника јавних средстава је имао својих мањкавости и доводио до проблема у правовременом и адекватном управ</w:t>
      </w:r>
      <w:r>
        <w:t xml:space="preserve">љању кадровима. Због тога је потребно заменити постојеће решење новим, где би се кадровима управљало на нивоу сваке организације јавног сектора и то на средњи рок и у складу с буџетским ограничењима. У прелазном периоду је омогућено да институције могу да </w:t>
      </w:r>
      <w:r>
        <w:t>ангажују нова лица до нивоа од 70% оних који напуштају институцију или одлазе у пензију, док је дозвола Комисије потребна уколико број новозапослених пређе 70%. Такође, биће постављени и лимити за укупан број запослених у односу на број на крају 2020. годи</w:t>
      </w:r>
      <w:r>
        <w:t xml:space="preserve">не.  </w:t>
      </w:r>
    </w:p>
    <w:p w:rsidR="00E8309B" w:rsidRDefault="009D0949">
      <w:pPr>
        <w:spacing w:after="102"/>
        <w:ind w:left="-5" w:right="17"/>
      </w:pPr>
      <w:r>
        <w:t>У циљу прецизног, правовременог, управљивог и аутоматизованог планирања јавних средстава и расхода за запослене у Републици Србији, Министарство финансија је формирало Регистар за јединствену евиденцију корисника јавних средстава за потребе управљања</w:t>
      </w:r>
      <w:r>
        <w:t xml:space="preserve"> људским ресурсима (РЈЕКЈС) у циљу планирања расхода за запослене</w:t>
      </w:r>
      <w:r>
        <w:rPr>
          <w:rFonts w:ascii="Arial" w:eastAsia="Arial" w:hAnsi="Arial" w:cs="Arial"/>
          <w:sz w:val="20"/>
        </w:rPr>
        <w:t xml:space="preserve"> </w:t>
      </w:r>
      <w:r>
        <w:t>у Републици Србији који је оперативан од 2020. године. Поред тога, Регистар је прикупио и одржава податке о организационој структури, систематизацији, кадровском плану и распореду запослених</w:t>
      </w:r>
      <w:r>
        <w:t xml:space="preserve"> и других кадровских евиденција релевантних за обрачун зарада за 120 корисника буџетских средстава који је оперативан од јануара 2021. године. У току је и израда Информационoг система за обрачун зарада (ЦИСОЗ) запослених у јавном сектору који би требало да</w:t>
      </w:r>
      <w:r>
        <w:t xml:space="preserve"> буде завршен фазно до 2023. године.  </w:t>
      </w:r>
    </w:p>
    <w:p w:rsidR="00E8309B" w:rsidRDefault="009D0949">
      <w:pPr>
        <w:spacing w:after="73"/>
        <w:ind w:left="-5" w:right="17"/>
      </w:pPr>
      <w:r>
        <w:t>Област управљања јавним финансијама којој је озбиљно посвећена пажња и на чијем се унапређењу ради је управљање јавним инвестицијама. Јачањем оквира управљања јавним инвестицијама интензивирају се нови инфраструктурни</w:t>
      </w:r>
      <w:r>
        <w:t xml:space="preserve"> пројекти и подиже квалитет постојеће инфраструктуре. Капитални пројекти, односно пројектни кредити су постали саставни део буџета. У априлу 2018. године усвојен је Закон о планском систему Републике Србије, којим је успостављен национални оквир за планира</w:t>
      </w:r>
      <w:r>
        <w:t>ње и којим су дефинисани План развоја и Инвестициони план. Како би се унапредио оквир управљања јавним инвестицијама, у складу са препорукама техничке помоћи ММФ и Светске банке, а на основу Уредбе о садржини, начину припреме и оцене, као и праћењу спровођ</w:t>
      </w:r>
      <w:r>
        <w:t>ења и извештавању о реализацији капиталних пројеката, а до краја године би требао да буде усвојен правилник у којем ће се налазити краћи приказ студија изводљивости за велике и стратешке инфраструктурне пројекте. Систем управљања јавним инвестицијама укључ</w:t>
      </w:r>
      <w:r>
        <w:t>ује интегрисану базу података о инвестиционим пројектима, која је тренутно у развоју и успостављену јединствену листу приоритетних пројеката (</w:t>
      </w:r>
      <w:r>
        <w:rPr>
          <w:i/>
        </w:rPr>
        <w:t>Single Project Pipeline</w:t>
      </w:r>
      <w:r>
        <w:t xml:space="preserve">), како би систем почео с функционисањем током 2021. године, а постао потпуно функционалан </w:t>
      </w:r>
      <w:r>
        <w:t xml:space="preserve">током 2022. године. </w:t>
      </w:r>
    </w:p>
    <w:p w:rsidR="00E8309B" w:rsidRDefault="009D0949">
      <w:pPr>
        <w:ind w:left="-5" w:right="17"/>
      </w:pPr>
      <w:r>
        <w:t>Јавно-приватно партнерство (</w:t>
      </w:r>
      <w:r>
        <w:rPr>
          <w:i/>
        </w:rPr>
        <w:t>Public-Private Partnerships</w:t>
      </w:r>
      <w:r>
        <w:t xml:space="preserve"> – </w:t>
      </w:r>
      <w:r>
        <w:rPr>
          <w:i/>
        </w:rPr>
        <w:t>PPP</w:t>
      </w:r>
      <w:r>
        <w:t>), у складу са Законом о јавноприватном партнерству и концесијама, представља дугорочну сарадњу између јавног и приватног партнера ради обезбеђивања финансирања, изградње, ре</w:t>
      </w:r>
      <w:r>
        <w:t>конструкције, управљања или одржавања инфраструктурних и других објеката од јавног значаја и пружања услуга од јавног значаја. Законом је дефинисано да је за пројекте јавно-приватног партнерства и концесионе пројекте, где је наручилац односно јавно тело Ре</w:t>
      </w:r>
      <w:r>
        <w:t xml:space="preserve">публика Србија или  јавно тело у надлежности Републике Србије и чија је вредност већа од 50 милиона евра, неопходно </w:t>
      </w:r>
      <w:r>
        <w:lastRenderedPageBreak/>
        <w:t>прибавити мишљење Министарства финансија, а све у циљу побољшања контроле фискалних импликација и ризика оваквих пројеката из разлога компле</w:t>
      </w:r>
      <w:r>
        <w:t>ксности пројекта, вредности и дужине трајања. Министарство финансија даје мишљење на основу усаглашености непосредних финансијских обавеза јавног тела садржаних у предлогу пројекта јавноприватног партнерства, односно предлогу концесионог акта, са буџетским</w:t>
      </w:r>
      <w:r>
        <w:t xml:space="preserve"> и фискалним пројекцијама, условима и ограничењима одређеним посебним прописима.  </w:t>
      </w:r>
    </w:p>
    <w:p w:rsidR="00E8309B" w:rsidRDefault="009D0949">
      <w:pPr>
        <w:ind w:left="-5" w:right="17"/>
      </w:pPr>
      <w:r>
        <w:t xml:space="preserve">У циљу смањења различитих облика буџетске подршке јавним и државним предузећима наставља се са реформама највећих јавних и државних предузећа. Смањење буџетске подршке овим </w:t>
      </w:r>
      <w:r>
        <w:t>предузећима подразумева: а) ограничење директних и индиректних субвенција, б) стриктно ограничење у издавању гаранција за нове кредите и в) јачање одговорности и транспарентности у пословању ових предузећа, укључујући и контролу и смањење доцњи у плаћањима</w:t>
      </w:r>
      <w:r>
        <w:t xml:space="preserve">, нарочито према ЈП ЕПС и ЈП „Србијагасˮ. У наредном периоду ће бити израђен план отплате нагомиланих доцњи насталих услед пандемије и усвојене нове мере како би се спречило њихово гомилање у будућности. </w:t>
      </w:r>
    </w:p>
    <w:p w:rsidR="00E8309B" w:rsidRDefault="009D0949">
      <w:pPr>
        <w:ind w:left="-5" w:right="17"/>
      </w:pPr>
      <w:r>
        <w:t>Статус предузећа из портфолија бивше Агенције за пр</w:t>
      </w:r>
      <w:r>
        <w:t>иватизацију решава се кроз поступак стечаја или приватизације. До септембра 2020. године проглашен је стечај за више од 300 предузећа, док је 67 приватизовано од краја 2014. године. Око 35.600 запослених из 355 предузећа прихватило је социјални програм. Ин</w:t>
      </w:r>
      <w:r>
        <w:t xml:space="preserve">тензивно се ради на проналажењу решења за још 72 предузећа са готово 29.000 запослених. </w:t>
      </w:r>
    </w:p>
    <w:p w:rsidR="00E8309B" w:rsidRDefault="009D0949">
      <w:pPr>
        <w:ind w:left="-5" w:right="17"/>
      </w:pPr>
      <w:r>
        <w:t>За предузећа која чине стратешке компаније из портфолија бивше Агенције за приватизацију, решење се налази или кроз приватизационе тендере, или кроз стечај. За саобраћ</w:t>
      </w:r>
      <w:r>
        <w:t>ајно предузеће „Ластаˮ АД Београд изабран је приватизациони саветник прошле године, међутим поступак приватизације је одложен због кризе. Уз подршку Светске банке дефинисан је акциони план за ЈП ПЕУ „Ресавицаˮ, који обухвата проналажење решења за затварање</w:t>
      </w:r>
      <w:r>
        <w:t xml:space="preserve"> економски неодрживих рудника и план рационализације, уз могућност добровољног одласка уз обезбеђена средства за социјални програм и средства за подршку пословању како не би дошло до гомилања доцњи у плаћањима, нарочито према ЈП ЕПС. За ХИП Петрохемија у т</w:t>
      </w:r>
      <w:r>
        <w:t>оку су разговори са потенцијалним инвеститорима након чега ће бити расписан тендерски поступак. За ХИП Азотара је, након неуспелих покушаја да се пронађе стратешки партнер, проглашен стечај, док се за МСК Кикинда решење тражи у налажењу стратешких партнера</w:t>
      </w:r>
      <w:r>
        <w:t xml:space="preserve"> или инвеститора. </w:t>
      </w:r>
    </w:p>
    <w:p w:rsidR="00E8309B" w:rsidRDefault="009D0949">
      <w:pPr>
        <w:ind w:left="-5" w:right="17"/>
      </w:pPr>
      <w:r>
        <w:t xml:space="preserve">За одређени број компанија у државном власништву се траже стратешки партнери или други модели приватизације, односно спровођење унапред припремљених планова реорганизације (УППР). </w:t>
      </w:r>
    </w:p>
    <w:p w:rsidR="00E8309B" w:rsidRDefault="009D0949">
      <w:pPr>
        <w:ind w:left="-5" w:right="17"/>
      </w:pPr>
      <w:r>
        <w:t>Акциони план трансформације Пореске управе за период 201</w:t>
      </w:r>
      <w:r>
        <w:t>8–2023. године усвојен у децембру 2017. године дефинише стратешке смернице и временске рокове у којим ће бити спроведене активности потребне за стварање модерне пореске администрације, која ће, уз коришћење савремених електронских процеса пружити бољу и св</w:t>
      </w:r>
      <w:r>
        <w:t>еобухватнију услугу пореским обвезницима и бољу контролу и наплату прихода, односно поспешити борбу против сиве економије, заједно са реформом и модернизацијом инспекцијског надзора. У 2019. години спроведено је организационо раздвајање основних активности</w:t>
      </w:r>
      <w:r>
        <w:t xml:space="preserve"> од оних које се сматрају споредним, с тим да се основне активности сад обављају у мањем броју организационих јединица, односно извршена је њихова консолидација. Анализа пословних процеса и потребних ресурса, омогућиће развијање адекватне организационе стр</w:t>
      </w:r>
      <w:r>
        <w:t>уктуре и менаџмента, унапређење управљања пројектима и дизајн адекватне структуре запослених. Следећа фаза реформи је усмерена на информационе системе, а тендер за замену постојећег система новим се очекује током идуће године. Наставља се спровођење мера к</w:t>
      </w:r>
      <w:r>
        <w:t xml:space="preserve">оје за циљ имају смањење просечног времена за повраћај ПДВ, односно поштовање прописаних рокова, уз примену начела опрезности, како би се могућности превара свеле на минимум, а обвезницима с ниским </w:t>
      </w:r>
      <w:r>
        <w:lastRenderedPageBreak/>
        <w:t>ризиком повраћаји били исплаћени што раније. Центар за вел</w:t>
      </w:r>
      <w:r>
        <w:t>ике пореске обвезнике (ЦВПО) ће проширити свој делокруг, односно биће повећан број субјеката који своје пореске обавезе измирују преко овог система, истовремено, ради се и на јачању капацитета ове веома значајне организационе јединице у оквиру Пореске упра</w:t>
      </w:r>
      <w:r>
        <w:t>ве. Усвајањем Закона о утврђивању порекла имовине и посебном порезу и образовањем посебне организационе јединице Пореске управе, створили су се услови за унакрсну анализу имовине и прихода лица, како би се истражили случајеви неоснованог обогаћења и утврди</w:t>
      </w:r>
      <w:r>
        <w:t>о посебан порез. Покренут је поступак за избор екстерног консултанта, који ће извршити преглед постојећих пословних процеса и водити поступак њиховог реинжењеринга и модернизације. Пореска управа је имала значајну улогу у спровођењу дела мера које су преду</w:t>
      </w:r>
      <w:r>
        <w:t xml:space="preserve">зете као одговор на кризу изазвану Ковид-19: одлагање плаћања пореза на зараде и доприносе и њихово плаћање на 24 рате, почевши од 2021. године, одлагање плаћања аконтације пореза на добит правних лица за други квартал 2020. године, тромесечни мораторијум </w:t>
      </w:r>
      <w:r>
        <w:t xml:space="preserve">на принудну наплату и смањење камате на порески дуг. </w:t>
      </w:r>
    </w:p>
    <w:p w:rsidR="00E8309B" w:rsidRDefault="009D0949">
      <w:pPr>
        <w:pStyle w:val="Heading2"/>
        <w:spacing w:after="200"/>
        <w:ind w:left="405" w:right="9" w:hanging="420"/>
      </w:pPr>
      <w:r>
        <w:t xml:space="preserve">ФИСКАЛНО УПРАВЉАЊЕ И БУЏЕТСКИ ОКВИРИ </w:t>
      </w:r>
    </w:p>
    <w:p w:rsidR="00E8309B" w:rsidRDefault="009D0949">
      <w:pPr>
        <w:spacing w:after="91"/>
        <w:ind w:left="-5" w:right="17"/>
      </w:pPr>
      <w:r>
        <w:t>Фискална консолидација и структурне мере спроведене у претходном периоду омогућиле су стабилизацију јавних финансија и обезбедиле фискални простор за нове политике. Како би се обезбедила стабилност и одрживост јавних финансија на дужи рок потребан је функц</w:t>
      </w:r>
      <w:r>
        <w:t>ионалан систем фискалних правила. Тренутно важећа фискална правила су уведена још 2010. године, али нису помогла у заустављању раста дефицита и јавног дуга. Због пандемије је ове године одложено доношење новог сета фискалних правила. Од ове године поново ј</w:t>
      </w:r>
      <w:r>
        <w:t>е уведена индексација пензија, где се пензије усклађују коришћењем „швајцарске формулеˮ, уз поштовање лимита од 11% БДП за укупне расходе за пензије. Следеће године требало би да буде усвојено и фискално правило које би било у употреби од 2022. године, кој</w:t>
      </w:r>
      <w:r>
        <w:t xml:space="preserve">е дефинише ниво дефицита и којим се обезбеђује да ниво јавног дуга буде постављен на силазну путању. Приликом дефинисања новог сета фискалних правила, осим Министарства финансија, активно учешће имаће ММФ и Фискални савет. </w:t>
      </w:r>
    </w:p>
    <w:p w:rsidR="00E8309B" w:rsidRDefault="009D0949">
      <w:pPr>
        <w:ind w:left="-5" w:right="17"/>
      </w:pPr>
      <w:r>
        <w:t>Информациони систем извршења буџ</w:t>
      </w:r>
      <w:r>
        <w:t>ета – ИСИБ – је део система управљања јавним финансијама који обухвата процесе и поступке који се спроводе електронском комуникацијом са Управом за трезор у саставу Министарства финансија. Развој овог система ће омогућити праћење свих индиректних корисника</w:t>
      </w:r>
      <w:r>
        <w:t xml:space="preserve"> централног нивоа власти. У систем су укључени директни корисници јавних средстава, правосудни органи, а од 2018. године и индиректни корисници Министарства културе и информисања и Управе за извршење кривичних санкција, који нису били део претходног систем</w:t>
      </w:r>
      <w:r>
        <w:t>а (ФМИС). Од 2019. године су укључене и институције социјалне заштите, тако да се ван система налазе још само индиректни корисници Министарства просвете, науке и технолошког развоја. Систем је оспособљен да убудуће омогући интеграцију нових корисника. Фина</w:t>
      </w:r>
      <w:r>
        <w:t xml:space="preserve">нсијски планови фондова социјалног осигурања ће и даље садржати податке о својим индиректним корисницима. </w:t>
      </w:r>
    </w:p>
    <w:p w:rsidR="00E8309B" w:rsidRDefault="009D0949">
      <w:pPr>
        <w:ind w:left="-5" w:right="17"/>
      </w:pPr>
      <w:r>
        <w:t xml:space="preserve">Побољшање квалитета и транспарентности националне статистике се врши кроз унапређење свеобухватне, правовремене и аутоматске размене података између </w:t>
      </w:r>
      <w:r>
        <w:t>надлежних институција. У априлу 2018. године објављена је листа институција које чине сектор опште државе, као и остале секторе, у складу са Европским системом рачуна (ESA) 2010 и GFSM 2014, на основу чега ће РЗС (у сарадњи са Министарством финансија и НБС</w:t>
      </w:r>
      <w:r>
        <w:t xml:space="preserve">) од 2021. године достављати податке у Проширени општи систем дисеминације података (e-GDDS). Ови подаци ће бити у складу са методологијом GFSM 2014. Сектор за макроекономске и фискалне анализе и пројекције Министарства финансија уз сарадњу са ММФ је први </w:t>
      </w:r>
      <w:r>
        <w:t xml:space="preserve">покренуо поступак конверзије података о јавним финансијама из националне методологије у методологију GFSM 2014 и њихову консолидацију, обухватајући све нивое опште државе, како би у будућности </w:t>
      </w:r>
      <w:r>
        <w:lastRenderedPageBreak/>
        <w:t>био омогућен потпуни прелазак на нову методологију у смислу обу</w:t>
      </w:r>
      <w:r>
        <w:t xml:space="preserve">хвата, планирања и извештавања. </w:t>
      </w:r>
    </w:p>
    <w:p w:rsidR="00E8309B" w:rsidRDefault="009D0949">
      <w:pPr>
        <w:spacing w:after="0" w:line="259" w:lineRule="auto"/>
        <w:ind w:left="0" w:right="0" w:firstLine="0"/>
        <w:jc w:val="left"/>
      </w:pPr>
      <w:r>
        <w:t xml:space="preserve"> </w:t>
      </w:r>
      <w:r>
        <w:tab/>
        <w:t xml:space="preserve"> </w:t>
      </w:r>
    </w:p>
    <w:p w:rsidR="00E8309B" w:rsidRDefault="009D0949">
      <w:pPr>
        <w:pStyle w:val="Heading1"/>
        <w:spacing w:after="182"/>
        <w:ind w:left="271" w:hanging="286"/>
      </w:pPr>
      <w:r>
        <w:t xml:space="preserve">СТРУКТУРНЕ РЕФОРМЕ У ПЕРИОДУ 2021-2023. ГОДИНЕ </w:t>
      </w:r>
    </w:p>
    <w:p w:rsidR="00E8309B" w:rsidRDefault="009D0949">
      <w:pPr>
        <w:pStyle w:val="Heading2"/>
        <w:spacing w:after="123"/>
        <w:ind w:left="-5" w:right="9"/>
      </w:pPr>
      <w:r>
        <w:t xml:space="preserve">ИДЕНТИФИКАЦИЈА КЉУЧНИХ ПРЕПРЕКА ЗА КОНКУРЕНТНОСТ И ИНКЛУЗИВНИ РАСТ </w:t>
      </w:r>
    </w:p>
    <w:p w:rsidR="00E8309B" w:rsidRDefault="009D0949">
      <w:pPr>
        <w:ind w:left="-5" w:right="17"/>
      </w:pPr>
      <w:r>
        <w:t>Пандемија вируса Ковид-19 утицала је на опадање привредне активности тако да је реални пад БДП-а износи</w:t>
      </w:r>
      <w:r>
        <w:t>о 1,4% у трећем кварталу 2020. године, вођен падом грађевинског сектора (-18%) и сектора трговине, саобраћаја и угоститељских услуга (-3%). С друге стране, сектори информисања и комуникација (6%), као јако важног дела креативних индустрија, финансија и оси</w:t>
      </w:r>
      <w:r>
        <w:t>гурање (4,9%) и пољопривреде (4,5%) забележили су највећи раст, настављајући тренд из претходног периода упркос пандемији. Такође, након динамичног раста из претходног периода, забележен је пад извоза робе и услуга (-7% у периоду јануар-октобар 2020) услед</w:t>
      </w:r>
      <w:r>
        <w:t xml:space="preserve"> пада тражње наших главних спољнотрговинских партнера (земаља зоне евра и </w:t>
      </w:r>
      <w:r>
        <w:rPr>
          <w:i/>
        </w:rPr>
        <w:t>CEFTA</w:t>
      </w:r>
      <w:r>
        <w:t xml:space="preserve">). Нето прилив по основу СДИ у периоду јануар-октобар 2020. износио је 1,9 млрд. евра (пад од 34,5% мг). </w:t>
      </w:r>
    </w:p>
    <w:p w:rsidR="00E8309B" w:rsidRDefault="009D0949">
      <w:pPr>
        <w:ind w:left="-5" w:right="17"/>
      </w:pPr>
      <w:r>
        <w:t>Фискална консолидација и структурне мере спроведене у претходном период</w:t>
      </w:r>
      <w:r>
        <w:t>у омогућиле су стабилизацију јавних финансија и обезбедиле фискални простор за нове политике. Спровођење структурних реформи у оквиру појединачних области интензивираће се у наредном периоду, како би се отклониле кључне препреке/изазови, које су установљен</w:t>
      </w:r>
      <w:r>
        <w:t xml:space="preserve">е кроз ослањање на све доступне анализе и податке. </w:t>
      </w:r>
    </w:p>
    <w:p w:rsidR="00E8309B" w:rsidRDefault="009D0949">
      <w:pPr>
        <w:ind w:left="-5" w:right="17"/>
      </w:pPr>
      <w:r>
        <w:t xml:space="preserve">Обим и динамика реформских активности у области енергетике представља фактор даљег привредног раста и унапређења конкурентности. Због тога ће реформе у оквиру тржишта енергије бити усмерене на унапређење </w:t>
      </w:r>
      <w:r>
        <w:t>инфраструктуре, како би се постигла поузданост и олакшала трговина енергетским производима на националном и прекограничном тржишту. Такође, наставља се са унапређењем услова за повећање енергетске ефикасности спровођењем система енергетског менаџмента. У п</w:t>
      </w:r>
      <w:r>
        <w:t>огледу железничке инфраструктуре, наставља се реконструкција постојећих и изградња нових деоница. Општи циљ реализације важних инфраструктурних пројеката је унапређење енергетског и транспортног система ради стварања повољнијих услова и лакшег повезивања С</w:t>
      </w:r>
      <w:r>
        <w:t xml:space="preserve">рбије у трговинске и транспортне токове. </w:t>
      </w:r>
    </w:p>
    <w:p w:rsidR="00E8309B" w:rsidRDefault="009D0949">
      <w:pPr>
        <w:ind w:left="-5" w:right="17"/>
      </w:pPr>
      <w:r>
        <w:t>Пољопривреда је једна од кључних грана у привредној структури наше земље, а услови за њен развој у Србији су изузетно повољни (географска позиција, природна богатства, климатски фактор). Међутим, недовољно развијен</w:t>
      </w:r>
      <w:r>
        <w:t>а рурална и регулаторна инфраструктура, као и неповољна структура и техничко-технолошка заосталост пољопривредних газдинстава, а посебно у условима растућих стандарда и регулативе у процесу усклађивања са заједничком аграрном политиком ЕУ, додатно отежавај</w:t>
      </w:r>
      <w:r>
        <w:t>у развој пољопривреде. Учешће индустрије у стварању укупног БДВ последњих година расте чему су допринеле СДИ у прерађивачку индустрију. Међутим, ограничени трансфер знања између академске заједнице и сектора индустрије омета потенцијални технолошки развој,</w:t>
      </w:r>
      <w:r>
        <w:t xml:space="preserve"> што за последицу има низак ниво специјализације производа и слабију извозну структуру. Како мере индустријске политике у претходном периоду нису биле довољно фокусиране на кључне компаративне предности и потребе привреде, спроводи се нова индустријска пол</w:t>
      </w:r>
      <w:r>
        <w:t>итика Србије која ће бити усмерена на стварање услова за трансформисање постојеће привреде у економију знања и иновација што је један од основних елемената креативне економије. Планира се и постепено увођење концепта циркуларне економије кроз дефинисање ст</w:t>
      </w:r>
      <w:r>
        <w:t>ратешког оквира</w:t>
      </w:r>
      <w:r>
        <w:rPr>
          <w:rFonts w:ascii="Calibri" w:eastAsia="Calibri" w:hAnsi="Calibri" w:cs="Calibri"/>
          <w:sz w:val="22"/>
        </w:rPr>
        <w:t xml:space="preserve"> </w:t>
      </w:r>
      <w:r>
        <w:t xml:space="preserve">као алата за остваривање одрживог развоја, у складу са Агендом 2030 УН. </w:t>
      </w:r>
    </w:p>
    <w:p w:rsidR="00E8309B" w:rsidRDefault="009D0949">
      <w:pPr>
        <w:ind w:left="-5" w:right="17"/>
      </w:pPr>
      <w:r>
        <w:lastRenderedPageBreak/>
        <w:t>Спровођењем регулаторних реформи које смањују сложеност и трошкове пословања</w:t>
      </w:r>
      <w:r>
        <w:rPr>
          <w:rFonts w:ascii="Calibri" w:eastAsia="Calibri" w:hAnsi="Calibri" w:cs="Calibri"/>
          <w:sz w:val="22"/>
        </w:rPr>
        <w:t xml:space="preserve"> </w:t>
      </w:r>
      <w:r>
        <w:t xml:space="preserve">а повећавају предвидљивост пословног амбијента, Србија и даље бележи напредак и побољшање </w:t>
      </w:r>
      <w:r>
        <w:t>ранга према међународним показатељима конкурентности. С тим у вези очекује се наставак процеса поједностављења и гиљотине поступака за пословање привредних субјеката, као и креирање стратешке дигиталне платформе</w:t>
      </w:r>
      <w:r>
        <w:rPr>
          <w:rFonts w:ascii="Calibri" w:eastAsia="Calibri" w:hAnsi="Calibri" w:cs="Calibri"/>
          <w:sz w:val="22"/>
        </w:rPr>
        <w:t xml:space="preserve"> </w:t>
      </w:r>
      <w:r>
        <w:t>геосектора као подршке инвестиционом одлучивању. Процес администрирања пореза је значајно унапређен кроз увођење нових технологија и развојем електронских система за подношење пореских пријава и плаћање пореза (портал еПорези), што доприноси расту пореских</w:t>
      </w:r>
      <w:r>
        <w:t xml:space="preserve"> прихода и смањењу сиве економије.  </w:t>
      </w:r>
    </w:p>
    <w:p w:rsidR="00E8309B" w:rsidRDefault="009D0949">
      <w:pPr>
        <w:ind w:left="-5" w:right="17"/>
      </w:pPr>
      <w:r>
        <w:t xml:space="preserve">Србија има значајан научни и истраживачки потенцијал, који би требало даље развијати и адекватније користити, уколико је циљ постати „привреда заснована на знању”. Реформа организације и финансирања науке и истраживања </w:t>
      </w:r>
      <w:r>
        <w:t>у Србији као најважније новине дефинише увођење институционалног и компетитивног пројектног финансирања, као и успостављање рада Фонда за науку. У наредном периоду обезбеђује се и већа подршка иновативним стартап компанијама у области креативних индустрија</w:t>
      </w:r>
      <w:r>
        <w:t>, као и дигиталној трансформацији привредних друштава, док ће се кроз активности националне платформе Србија ствара омогућити адекватна комуникација српске креативне индустрије ка свету. У области дигиталне трансформације планира се повећање доступности ел</w:t>
      </w:r>
      <w:r>
        <w:t xml:space="preserve">ектронске управе грађанима и привреди кроз унапређење корисничких сервиса, као и даљи развој националне информационо-комуникационе инфраструктуре. </w:t>
      </w:r>
    </w:p>
    <w:p w:rsidR="00E8309B" w:rsidRDefault="009D0949">
      <w:pPr>
        <w:ind w:left="-5" w:right="17"/>
      </w:pPr>
      <w:r>
        <w:t>За потпуну интегрисаност Србије у међународни економски систем неопходност представља чланство у Светској тр</w:t>
      </w:r>
      <w:r>
        <w:t>говинској организацији (СТО) за шта је у протеклом периоду главна препрека била неусклађеност домаћег законодаства којим се регулише промет ГМО производа. Потребно је и даље јачање регионалне сарадње, идентификовање и уклањање препрека трговини, посебно те</w:t>
      </w:r>
      <w:r>
        <w:t xml:space="preserve">хничких и фитосанитарних мера и олакшавање царинских процедура, као и успостављање јединственог дигиталног сервиса у вези са техничким прописима, са циљем унапређења квалитета производа и подизања конкурентности привреде. </w:t>
      </w:r>
    </w:p>
    <w:p w:rsidR="00E8309B" w:rsidRDefault="009D0949">
      <w:pPr>
        <w:ind w:left="-5" w:right="17"/>
      </w:pPr>
      <w:r>
        <w:t>Улагање у образовање представља н</w:t>
      </w:r>
      <w:r>
        <w:t>еопходан предуслов за развој људског капитала, јер је добро образована и компетентна радна снага веома важна за конкурентност привреде. Међутим, неусклађеност образовних профила и понуде са потребама тржишта рада представља дугорочни и системски проблем, к</w:t>
      </w:r>
      <w:r>
        <w:t>оји се решава успостављањем сарадње између кључних институција на пословима идентификације и планирања квалификација за потребе тржишта рада. Такође, интензивно се наставља са дигитализацијом система образовања и увођењем Јединственог информационог система</w:t>
      </w:r>
      <w:r>
        <w:t xml:space="preserve"> образовања, како би се настава одвијала неометано и ефикасно у условима пандемије вируса Ковид-19, али и након њеног завршетка. </w:t>
      </w:r>
    </w:p>
    <w:p w:rsidR="00E8309B" w:rsidRDefault="009D0949">
      <w:pPr>
        <w:ind w:left="-5" w:right="17"/>
      </w:pPr>
      <w:r>
        <w:t>Тржиште рада Србије се последњих година налази у фази експанзије са растом запослености, повећањем активације и смањењем незап</w:t>
      </w:r>
      <w:r>
        <w:t>ослености становништва. Припремљен је нови шестогодишњи стратешки оквир политике запошљавања (период 2021-2026. година) као и трогодишњи акциони план, који су усклађени са принципима и инструментима ЕУ и осликавају кохерентност јавних политика од значаја и</w:t>
      </w:r>
      <w:r>
        <w:t xml:space="preserve"> утицаја на област политике запошљавања. Међутим, кључни изазов на тржишту радне снаге у Србији представља заустављање одласка високообразованог становништва у иностранство (тзв. „одлив мозгова”) и привлачење талената из земље и иностранства, који ће се ре</w:t>
      </w:r>
      <w:r>
        <w:t>шавати стварањем услова за праћење, подстицање и подршку циркуларним миграцијама. Активностима пројекта „Тачка Повратка“, у оквиру ширих активности платформе Србија ствара, активности мапирања и успоставања сарадње са нашим високообразовним становништвом у</w:t>
      </w:r>
      <w:r>
        <w:t xml:space="preserve"> дијаспори је започет, а ради унапређења услова њиховог повратака и почињања послова у Србији. </w:t>
      </w:r>
    </w:p>
    <w:p w:rsidR="00E8309B" w:rsidRDefault="009D0949">
      <w:pPr>
        <w:ind w:left="-5" w:right="17"/>
      </w:pPr>
      <w:r>
        <w:t>Последњих година показатељи о приходима и условима живота у Србији бележе побољшања, што је у корелацији са растом животног стандарда као резултат опоравка прив</w:t>
      </w:r>
      <w:r>
        <w:t xml:space="preserve">реде и </w:t>
      </w:r>
      <w:r>
        <w:lastRenderedPageBreak/>
        <w:t>кретањима макроекономских показатеља. Међутим, сиромaштво у Србији је и даље рaспрострaњeно</w:t>
      </w:r>
      <w:r>
        <w:rPr>
          <w:rFonts w:ascii="Calibri" w:eastAsia="Calibri" w:hAnsi="Calibri" w:cs="Calibri"/>
          <w:sz w:val="22"/>
        </w:rPr>
        <w:t xml:space="preserve"> </w:t>
      </w:r>
      <w:r>
        <w:t>и погађа различите категорије становништва. У наредном периоду ће, у циљу сагледавања социјалног и материјалног статуса корисника ради праведне расподеле сре</w:t>
      </w:r>
      <w:r>
        <w:t>дстава за социјалну заштиту, бити успостављен Информациони систем Социјална карта за прикупљање и коришћење података из свих доступних извора државне управе. Овај систем ће повезати установе социјалне заштите, а пре свега центре за социјални рад, у јединст</w:t>
      </w:r>
      <w:r>
        <w:t xml:space="preserve">вену мрежу. Епидемија вируса Ковид-19 истакла је потребу за ефикаснијим системом здравствене заштите, чему ће значајно допринети дигитализација истог. </w:t>
      </w:r>
    </w:p>
    <w:p w:rsidR="00E8309B" w:rsidRDefault="009D0949">
      <w:pPr>
        <w:spacing w:after="84"/>
        <w:ind w:left="-5" w:right="17"/>
      </w:pPr>
      <w:r>
        <w:t>На основу сагледаних препрека и изазова на пољу конкурентности дефинисане су структурне реформе, сумарно</w:t>
      </w:r>
      <w:r>
        <w:t xml:space="preserve"> приказане у одељку 5.2 и детаљно у одељку 5.3. Како је ЕРП преносни („rolling“) програм којим се успоставља систем праћења и извештавања о спровођењу структурних реформи за чију реализацију је потребан дужи временски период, реформе представљене у оквиру </w:t>
      </w:r>
      <w:r>
        <w:t xml:space="preserve">ЕРП 2021-2023 су допуњене реформама из ЕРП </w:t>
      </w:r>
      <w:r>
        <w:rPr>
          <w:vertAlign w:val="superscript"/>
        </w:rPr>
        <w:footnoteReference w:id="18"/>
      </w:r>
      <w:r>
        <w:t xml:space="preserve">-2022, а додате су и четири нове реформе: </w:t>
      </w:r>
      <w:r>
        <w:rPr>
          <w:i/>
        </w:rPr>
        <w:t>једна</w:t>
      </w:r>
      <w:r>
        <w:t xml:space="preserve"> са циљем подизања конкурентности индустрије, </w:t>
      </w:r>
      <w:r>
        <w:rPr>
          <w:i/>
        </w:rPr>
        <w:t>друга</w:t>
      </w:r>
      <w:r>
        <w:t xml:space="preserve"> ради увођења новог модела фискализације и прелазак на електронско фактурисање, </w:t>
      </w:r>
      <w:r>
        <w:rPr>
          <w:i/>
        </w:rPr>
        <w:t>трећа</w:t>
      </w:r>
      <w:r>
        <w:t xml:space="preserve"> са циљем унапређења управљањ</w:t>
      </w:r>
      <w:r>
        <w:t xml:space="preserve">а просторним развојем, и </w:t>
      </w:r>
      <w:r>
        <w:rPr>
          <w:i/>
        </w:rPr>
        <w:t>четврта</w:t>
      </w:r>
      <w:r>
        <w:t xml:space="preserve"> ради унапређења здравственог система. Из области пољопривреде у овом циклусу постоје </w:t>
      </w:r>
      <w:r>
        <w:rPr>
          <w:i/>
        </w:rPr>
        <w:t>три</w:t>
      </w:r>
      <w:r>
        <w:t xml:space="preserve"> рефоме настале кроз процес редефинисања реформи (две) из претходног циклуса. </w:t>
      </w:r>
    </w:p>
    <w:p w:rsidR="00E8309B" w:rsidRDefault="009D0949">
      <w:pPr>
        <w:spacing w:after="26" w:line="268" w:lineRule="auto"/>
        <w:ind w:left="-5" w:right="16"/>
      </w:pPr>
      <w:r>
        <w:t xml:space="preserve">Из претходног циклуса нису пренете </w:t>
      </w:r>
      <w:r>
        <w:t xml:space="preserve">укупно три структурне реформе у ЕРП 2021-2023. Две реформе чије активности су испуњене у великој мери и које су прерасле у редовне активности институција које су надлежне за њихово спровођење су </w:t>
      </w:r>
      <w:r>
        <w:rPr>
          <w:i/>
        </w:rPr>
        <w:t>СР 3. Унапређење капацитета и квалитета друмског саобраћаја к</w:t>
      </w:r>
      <w:r>
        <w:rPr>
          <w:i/>
        </w:rPr>
        <w:t>роз реформу путног сектора у погледу формирања уговорног односа између РС и управљача државних путева и даљу примену новог начина уговарања одржавања на основу учинка</w:t>
      </w:r>
      <w:r>
        <w:t xml:space="preserve"> и </w:t>
      </w:r>
      <w:r>
        <w:rPr>
          <w:i/>
        </w:rPr>
        <w:t>СР</w:t>
      </w:r>
      <w:r>
        <w:t xml:space="preserve"> </w:t>
      </w:r>
      <w:r>
        <w:rPr>
          <w:i/>
        </w:rPr>
        <w:t>20. Унапређење националне политике запошљавања у складу са добром праксом и стандард</w:t>
      </w:r>
      <w:r>
        <w:rPr>
          <w:i/>
        </w:rPr>
        <w:t>има ЕУ</w:t>
      </w:r>
      <w:r>
        <w:t xml:space="preserve">. За </w:t>
      </w:r>
      <w:r>
        <w:rPr>
          <w:i/>
        </w:rPr>
        <w:t>СР 10. Успостављање одрживог система финансирања заштите животне средине</w:t>
      </w:r>
      <w:r>
        <w:t xml:space="preserve"> процењено је да, иако је веома значајна, предстоје очекивана нова дешавања која ће бити укључена у наредном циклусу. </w:t>
      </w:r>
    </w:p>
    <w:p w:rsidR="00E8309B" w:rsidRDefault="009D0949">
      <w:pPr>
        <w:spacing w:after="6"/>
        <w:ind w:left="-5" w:right="17"/>
      </w:pPr>
      <w:r>
        <w:t>Одабране структурне реформе, које су прошле кроз широк</w:t>
      </w:r>
      <w:r>
        <w:t xml:space="preserve"> процес јавних консултација, дефинисане су у складу са трогодишњим планом укупних буџетских расхода утврђеним Законом о буџету и приоритетима дефинисаним у националним документима.  </w:t>
      </w:r>
    </w:p>
    <w:p w:rsidR="00E8309B" w:rsidRDefault="009D0949">
      <w:pPr>
        <w:pStyle w:val="Heading2"/>
        <w:spacing w:after="6" w:line="253" w:lineRule="auto"/>
        <w:ind w:left="405" w:right="17" w:hanging="420"/>
      </w:pPr>
      <w:r>
        <w:t xml:space="preserve">РЕЗИМЕ СТРУКТУРНИХ РЕФОРМИ </w:t>
      </w:r>
    </w:p>
    <w:tbl>
      <w:tblPr>
        <w:tblStyle w:val="TableGrid"/>
        <w:tblW w:w="9633" w:type="dxa"/>
        <w:tblInd w:w="7" w:type="dxa"/>
        <w:tblCellMar>
          <w:top w:w="14" w:type="dxa"/>
          <w:left w:w="107" w:type="dxa"/>
          <w:bottom w:w="0" w:type="dxa"/>
          <w:right w:w="65" w:type="dxa"/>
        </w:tblCellMar>
        <w:tblLook w:val="04A0" w:firstRow="1" w:lastRow="0" w:firstColumn="1" w:lastColumn="0" w:noHBand="0" w:noVBand="1"/>
      </w:tblPr>
      <w:tblGrid>
        <w:gridCol w:w="463"/>
        <w:gridCol w:w="1871"/>
        <w:gridCol w:w="2481"/>
        <w:gridCol w:w="1844"/>
        <w:gridCol w:w="2974"/>
      </w:tblGrid>
      <w:tr w:rsidR="00E8309B">
        <w:trPr>
          <w:trHeight w:val="378"/>
        </w:trPr>
        <w:tc>
          <w:tcPr>
            <w:tcW w:w="463" w:type="dxa"/>
            <w:tcBorders>
              <w:top w:val="single" w:sz="4" w:space="0" w:color="000000"/>
              <w:left w:val="single" w:sz="4" w:space="0" w:color="000000"/>
              <w:bottom w:val="single" w:sz="4" w:space="0" w:color="000000"/>
              <w:right w:val="single" w:sz="4" w:space="0" w:color="000000"/>
            </w:tcBorders>
            <w:shd w:val="clear" w:color="auto" w:fill="D9D9D9"/>
          </w:tcPr>
          <w:p w:rsidR="00E8309B" w:rsidRDefault="009D0949">
            <w:pPr>
              <w:spacing w:after="13" w:line="259" w:lineRule="auto"/>
              <w:ind w:left="1" w:right="0" w:firstLine="0"/>
              <w:jc w:val="left"/>
            </w:pPr>
            <w:r>
              <w:rPr>
                <w:b/>
                <w:sz w:val="16"/>
              </w:rPr>
              <w:t xml:space="preserve">СР </w:t>
            </w:r>
          </w:p>
          <w:p w:rsidR="00E8309B" w:rsidRDefault="009D0949">
            <w:pPr>
              <w:spacing w:after="0" w:line="259" w:lineRule="auto"/>
              <w:ind w:left="1" w:right="0" w:firstLine="0"/>
              <w:jc w:val="left"/>
            </w:pPr>
            <w:r>
              <w:rPr>
                <w:b/>
                <w:sz w:val="16"/>
              </w:rPr>
              <w:t xml:space="preserve">Рб. </w:t>
            </w:r>
          </w:p>
        </w:tc>
        <w:tc>
          <w:tcPr>
            <w:tcW w:w="1871" w:type="dxa"/>
            <w:tcBorders>
              <w:top w:val="single" w:sz="4" w:space="0" w:color="000000"/>
              <w:left w:val="single" w:sz="4" w:space="0" w:color="000000"/>
              <w:bottom w:val="single" w:sz="4" w:space="0" w:color="000000"/>
              <w:right w:val="single" w:sz="4" w:space="0" w:color="000000"/>
            </w:tcBorders>
            <w:shd w:val="clear" w:color="auto" w:fill="D9D9D9"/>
          </w:tcPr>
          <w:p w:rsidR="00E8309B" w:rsidRDefault="009D0949">
            <w:pPr>
              <w:spacing w:after="0" w:line="259" w:lineRule="auto"/>
              <w:ind w:left="0" w:right="0" w:firstLine="0"/>
              <w:jc w:val="center"/>
            </w:pPr>
            <w:r>
              <w:rPr>
                <w:b/>
                <w:sz w:val="16"/>
              </w:rPr>
              <w:t xml:space="preserve">Назив структурне реформе </w:t>
            </w:r>
          </w:p>
        </w:tc>
        <w:tc>
          <w:tcPr>
            <w:tcW w:w="2481" w:type="dxa"/>
            <w:tcBorders>
              <w:top w:val="single" w:sz="4" w:space="0" w:color="000000"/>
              <w:left w:val="single" w:sz="4" w:space="0" w:color="000000"/>
              <w:bottom w:val="single" w:sz="4" w:space="0" w:color="000000"/>
              <w:right w:val="single" w:sz="4" w:space="0" w:color="000000"/>
            </w:tcBorders>
            <w:shd w:val="clear" w:color="auto" w:fill="D9D9D9"/>
          </w:tcPr>
          <w:p w:rsidR="00E8309B" w:rsidRDefault="009D0949">
            <w:pPr>
              <w:spacing w:after="0" w:line="259" w:lineRule="auto"/>
              <w:ind w:left="0" w:right="47" w:firstLine="0"/>
              <w:jc w:val="center"/>
            </w:pPr>
            <w:r>
              <w:rPr>
                <w:b/>
                <w:sz w:val="16"/>
              </w:rPr>
              <w:t>Опис струк</w:t>
            </w:r>
            <w:r>
              <w:rPr>
                <w:b/>
                <w:sz w:val="16"/>
              </w:rPr>
              <w:t xml:space="preserve">турне реформе </w:t>
            </w:r>
          </w:p>
        </w:tc>
        <w:tc>
          <w:tcPr>
            <w:tcW w:w="1843" w:type="dxa"/>
            <w:tcBorders>
              <w:top w:val="single" w:sz="4" w:space="0" w:color="000000"/>
              <w:left w:val="single" w:sz="4" w:space="0" w:color="000000"/>
              <w:bottom w:val="single" w:sz="4" w:space="0" w:color="000000"/>
              <w:right w:val="single" w:sz="4" w:space="0" w:color="000000"/>
            </w:tcBorders>
            <w:shd w:val="clear" w:color="auto" w:fill="D9D9D9"/>
          </w:tcPr>
          <w:p w:rsidR="00E8309B" w:rsidRDefault="009D0949">
            <w:pPr>
              <w:spacing w:after="0" w:line="259" w:lineRule="auto"/>
              <w:ind w:left="20" w:right="0" w:firstLine="0"/>
              <w:jc w:val="left"/>
            </w:pPr>
            <w:r>
              <w:rPr>
                <w:b/>
                <w:sz w:val="16"/>
              </w:rPr>
              <w:t xml:space="preserve">Референтни документ </w:t>
            </w:r>
          </w:p>
        </w:tc>
        <w:tc>
          <w:tcPr>
            <w:tcW w:w="2974"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E8309B" w:rsidRDefault="009D0949">
            <w:pPr>
              <w:spacing w:after="0" w:line="259" w:lineRule="auto"/>
              <w:ind w:left="0" w:right="41" w:firstLine="0"/>
              <w:jc w:val="center"/>
            </w:pPr>
            <w:r>
              <w:rPr>
                <w:b/>
                <w:sz w:val="16"/>
              </w:rPr>
              <w:t>Препоруке</w:t>
            </w:r>
            <w:r>
              <w:rPr>
                <w:b/>
                <w:sz w:val="16"/>
                <w:vertAlign w:val="superscript"/>
              </w:rPr>
              <w:footnoteReference w:id="19"/>
            </w:r>
            <w:r>
              <w:rPr>
                <w:b/>
                <w:sz w:val="16"/>
              </w:rPr>
              <w:t xml:space="preserve"> </w:t>
            </w:r>
          </w:p>
        </w:tc>
      </w:tr>
      <w:tr w:rsidR="00E8309B">
        <w:trPr>
          <w:trHeight w:val="404"/>
        </w:trPr>
        <w:tc>
          <w:tcPr>
            <w:tcW w:w="6659" w:type="dxa"/>
            <w:gridSpan w:val="4"/>
            <w:tcBorders>
              <w:top w:val="single" w:sz="4" w:space="0" w:color="000000"/>
              <w:left w:val="single" w:sz="4" w:space="0" w:color="000000"/>
              <w:bottom w:val="single" w:sz="4" w:space="0" w:color="000000"/>
              <w:right w:val="nil"/>
            </w:tcBorders>
            <w:shd w:val="clear" w:color="auto" w:fill="D9D9D9"/>
            <w:vAlign w:val="center"/>
          </w:tcPr>
          <w:p w:rsidR="00E8309B" w:rsidRDefault="009D0949">
            <w:pPr>
              <w:spacing w:after="0" w:line="259" w:lineRule="auto"/>
              <w:ind w:left="1" w:right="0" w:firstLine="0"/>
              <w:jc w:val="left"/>
            </w:pPr>
            <w:r>
              <w:rPr>
                <w:b/>
                <w:sz w:val="16"/>
              </w:rPr>
              <w:t xml:space="preserve">ОБЛАСТ: РЕФОРМА ТРЖИШТА ЕНЕРГИЈЕ И ТРАНСПОРТА </w:t>
            </w:r>
          </w:p>
        </w:tc>
        <w:tc>
          <w:tcPr>
            <w:tcW w:w="2974" w:type="dxa"/>
            <w:tcBorders>
              <w:top w:val="single" w:sz="4" w:space="0" w:color="000000"/>
              <w:left w:val="nil"/>
              <w:bottom w:val="single" w:sz="4" w:space="0" w:color="000000"/>
              <w:right w:val="single" w:sz="4" w:space="0" w:color="000000"/>
            </w:tcBorders>
            <w:shd w:val="clear" w:color="auto" w:fill="D9D9D9"/>
          </w:tcPr>
          <w:p w:rsidR="00E8309B" w:rsidRDefault="00E8309B">
            <w:pPr>
              <w:spacing w:after="160" w:line="259" w:lineRule="auto"/>
              <w:ind w:left="0" w:right="0" w:firstLine="0"/>
              <w:jc w:val="left"/>
            </w:pPr>
          </w:p>
        </w:tc>
      </w:tr>
      <w:tr w:rsidR="00E8309B">
        <w:trPr>
          <w:trHeight w:val="5649"/>
        </w:trPr>
        <w:tc>
          <w:tcPr>
            <w:tcW w:w="463"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1" w:right="0" w:firstLine="0"/>
              <w:jc w:val="left"/>
            </w:pPr>
            <w:r>
              <w:rPr>
                <w:b/>
                <w:sz w:val="16"/>
              </w:rPr>
              <w:lastRenderedPageBreak/>
              <w:t xml:space="preserve">1. </w:t>
            </w:r>
          </w:p>
        </w:tc>
        <w:tc>
          <w:tcPr>
            <w:tcW w:w="1871"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1" w:right="0" w:firstLine="0"/>
              <w:jc w:val="left"/>
            </w:pPr>
            <w:r>
              <w:rPr>
                <w:b/>
                <w:sz w:val="16"/>
              </w:rPr>
              <w:t xml:space="preserve">Развој енергетског тржишта уз изградњу енергетске инфраструктуре </w:t>
            </w:r>
          </w:p>
        </w:tc>
        <w:tc>
          <w:tcPr>
            <w:tcW w:w="2481"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42" w:firstLine="0"/>
            </w:pPr>
            <w:r>
              <w:rPr>
                <w:sz w:val="16"/>
              </w:rPr>
              <w:t>Oбнављање застареле инфраструктуре за пренос електричне енергије, повећавање прекограничних преносних капацитета, као и подизање нивоа сигурности напајања електричном енергијом потрошача у Србији (систем за пренос електричне енергије Трансбалкански коридор</w:t>
            </w:r>
            <w:r>
              <w:rPr>
                <w:sz w:val="16"/>
              </w:rPr>
              <w:t xml:space="preserve">). </w:t>
            </w:r>
          </w:p>
        </w:tc>
        <w:tc>
          <w:tcPr>
            <w:tcW w:w="1843"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67" w:lineRule="auto"/>
              <w:ind w:left="1" w:right="0" w:firstLine="0"/>
              <w:jc w:val="left"/>
            </w:pPr>
            <w:r>
              <w:rPr>
                <w:sz w:val="16"/>
              </w:rPr>
              <w:t xml:space="preserve">Стратегија развоја енергетике Републике Србије до 2025. са пројекцијама до 2030. Берлински процес </w:t>
            </w:r>
          </w:p>
          <w:p w:rsidR="00E8309B" w:rsidRDefault="009D0949">
            <w:pPr>
              <w:spacing w:after="72" w:line="259" w:lineRule="auto"/>
              <w:ind w:left="1" w:right="0" w:firstLine="0"/>
              <w:jc w:val="left"/>
            </w:pPr>
            <w:r>
              <w:rPr>
                <w:sz w:val="16"/>
              </w:rPr>
              <w:t xml:space="preserve">(Connectivity agenda) </w:t>
            </w:r>
          </w:p>
          <w:p w:rsidR="00E8309B" w:rsidRDefault="009D0949">
            <w:pPr>
              <w:spacing w:after="44" w:line="259" w:lineRule="auto"/>
              <w:ind w:left="1" w:right="0" w:firstLine="0"/>
              <w:jc w:val="left"/>
            </w:pPr>
            <w:r>
              <w:rPr>
                <w:sz w:val="16"/>
              </w:rPr>
              <w:t xml:space="preserve">Закон о енергетици </w:t>
            </w:r>
          </w:p>
          <w:p w:rsidR="00E8309B" w:rsidRDefault="009D0949">
            <w:pPr>
              <w:spacing w:after="2" w:line="235" w:lineRule="auto"/>
              <w:ind w:left="1" w:right="0" w:firstLine="0"/>
            </w:pPr>
            <w:r>
              <w:rPr>
                <w:sz w:val="16"/>
              </w:rPr>
              <w:t xml:space="preserve">Закон о просторном плану Републике </w:t>
            </w:r>
          </w:p>
          <w:p w:rsidR="00E8309B" w:rsidRDefault="009D0949">
            <w:pPr>
              <w:spacing w:after="14" w:line="259" w:lineRule="auto"/>
              <w:ind w:left="1" w:right="0" w:firstLine="0"/>
              <w:jc w:val="left"/>
            </w:pPr>
            <w:r>
              <w:rPr>
                <w:sz w:val="16"/>
              </w:rPr>
              <w:t xml:space="preserve">Србије од 2010. до </w:t>
            </w:r>
          </w:p>
          <w:p w:rsidR="00E8309B" w:rsidRDefault="009D0949">
            <w:pPr>
              <w:spacing w:after="0" w:line="259" w:lineRule="auto"/>
              <w:ind w:left="1" w:right="0" w:firstLine="0"/>
              <w:jc w:val="left"/>
            </w:pPr>
            <w:r>
              <w:rPr>
                <w:sz w:val="16"/>
              </w:rPr>
              <w:t xml:space="preserve">2020. године </w:t>
            </w:r>
          </w:p>
        </w:tc>
        <w:tc>
          <w:tcPr>
            <w:tcW w:w="2974"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77" w:lineRule="auto"/>
              <w:ind w:left="1" w:right="0" w:firstLine="0"/>
            </w:pPr>
            <w:r>
              <w:rPr>
                <w:sz w:val="16"/>
              </w:rPr>
              <w:t xml:space="preserve">ПР 2020 стр. 97. - </w:t>
            </w:r>
            <w:r>
              <w:rPr>
                <w:sz w:val="16"/>
              </w:rPr>
              <w:t xml:space="preserve">у потпуности раздвојити и сертификовати </w:t>
            </w:r>
          </w:p>
          <w:p w:rsidR="00E8309B" w:rsidRDefault="009D0949">
            <w:pPr>
              <w:tabs>
                <w:tab w:val="center" w:pos="1769"/>
                <w:tab w:val="right" w:pos="2801"/>
              </w:tabs>
              <w:spacing w:after="0" w:line="259" w:lineRule="auto"/>
              <w:ind w:left="0" w:right="0" w:firstLine="0"/>
              <w:jc w:val="left"/>
            </w:pPr>
            <w:r>
              <w:rPr>
                <w:sz w:val="16"/>
              </w:rPr>
              <w:t xml:space="preserve">„Србијагас“, </w:t>
            </w:r>
            <w:r>
              <w:rPr>
                <w:sz w:val="16"/>
              </w:rPr>
              <w:tab/>
              <w:t xml:space="preserve">„Транспортгас“ </w:t>
            </w:r>
            <w:r>
              <w:rPr>
                <w:sz w:val="16"/>
              </w:rPr>
              <w:tab/>
              <w:t xml:space="preserve">и </w:t>
            </w:r>
          </w:p>
          <w:p w:rsidR="00E8309B" w:rsidRDefault="009D0949">
            <w:pPr>
              <w:spacing w:after="84" w:line="246" w:lineRule="auto"/>
              <w:ind w:left="1" w:right="39" w:firstLine="0"/>
            </w:pPr>
            <w:r>
              <w:rPr>
                <w:sz w:val="16"/>
              </w:rPr>
              <w:t xml:space="preserve">„Југоросгаз“ и развије конкурентност на тржишту гаса, обезбеди приступ треће стране гасној мрежи; </w:t>
            </w:r>
            <w:r>
              <w:rPr>
                <w:sz w:val="16"/>
              </w:rPr>
              <w:t xml:space="preserve">у потпуности спроведе преостале реформске мере повезивања на које се обавезала у оквиру Агенде повезивања, укључујући подношење захтева за хитно лиценцирање „Електросевера“ у контексту успостављања регионалног тржишта електричне енергије. </w:t>
            </w:r>
          </w:p>
          <w:p w:rsidR="00E8309B" w:rsidRDefault="009D0949">
            <w:pPr>
              <w:spacing w:after="84" w:line="243" w:lineRule="auto"/>
              <w:ind w:left="1" w:right="36" w:firstLine="0"/>
            </w:pPr>
            <w:r>
              <w:rPr>
                <w:sz w:val="16"/>
              </w:rPr>
              <w:t>ЕКОФИН 2019 П5 -</w:t>
            </w:r>
            <w:r>
              <w:rPr>
                <w:sz w:val="16"/>
              </w:rPr>
              <w:t xml:space="preserve"> Постепено усклађивати тарифе електричне енергије како би одражавале стварне трошкове, укључујући трошкове неопходног одржавање и инвестиције за унапређење енергетске мреже и испуњавање еколошких стандарда и климатских циљева. </w:t>
            </w:r>
          </w:p>
          <w:p w:rsidR="00E8309B" w:rsidRDefault="009D0949">
            <w:pPr>
              <w:spacing w:after="57" w:line="278" w:lineRule="auto"/>
              <w:ind w:left="1" w:right="0" w:firstLine="0"/>
            </w:pPr>
            <w:r>
              <w:rPr>
                <w:sz w:val="16"/>
              </w:rPr>
              <w:t>ЕКОФИН 2019 П5 - Омогућити т</w:t>
            </w:r>
            <w:r>
              <w:rPr>
                <w:sz w:val="16"/>
              </w:rPr>
              <w:t xml:space="preserve">рећој страни приступ гасној инфраструктури. </w:t>
            </w:r>
          </w:p>
          <w:p w:rsidR="00E8309B" w:rsidRDefault="009D0949">
            <w:pPr>
              <w:spacing w:after="53" w:line="247" w:lineRule="auto"/>
              <w:ind w:left="1" w:right="38" w:firstLine="0"/>
            </w:pPr>
            <w:r>
              <w:rPr>
                <w:sz w:val="16"/>
              </w:rPr>
              <w:t xml:space="preserve">ЕРП ОЦЕНА ЕК 2019 – Један од три главна структурна изазова Србије су искоришћавање потенцијала за уштеду енергије и потпуно отварање енергетског тржишта. </w:t>
            </w:r>
          </w:p>
          <w:p w:rsidR="00E8309B" w:rsidRDefault="009D0949">
            <w:pPr>
              <w:spacing w:after="0" w:line="259" w:lineRule="auto"/>
              <w:ind w:left="1" w:right="0" w:firstLine="0"/>
              <w:jc w:val="left"/>
            </w:pPr>
            <w:r>
              <w:rPr>
                <w:sz w:val="16"/>
              </w:rPr>
              <w:t xml:space="preserve"> </w:t>
            </w:r>
          </w:p>
        </w:tc>
      </w:tr>
    </w:tbl>
    <w:p w:rsidR="00E8309B" w:rsidRDefault="00E8309B">
      <w:pPr>
        <w:spacing w:after="0" w:line="259" w:lineRule="auto"/>
        <w:ind w:left="-1133" w:right="25" w:firstLine="0"/>
        <w:jc w:val="left"/>
      </w:pPr>
    </w:p>
    <w:tbl>
      <w:tblPr>
        <w:tblStyle w:val="TableGrid"/>
        <w:tblW w:w="9633" w:type="dxa"/>
        <w:tblInd w:w="7" w:type="dxa"/>
        <w:tblCellMar>
          <w:top w:w="9" w:type="dxa"/>
          <w:left w:w="0" w:type="dxa"/>
          <w:bottom w:w="0" w:type="dxa"/>
          <w:right w:w="0" w:type="dxa"/>
        </w:tblCellMar>
        <w:tblLook w:val="04A0" w:firstRow="1" w:lastRow="0" w:firstColumn="1" w:lastColumn="0" w:noHBand="0" w:noVBand="1"/>
      </w:tblPr>
      <w:tblGrid>
        <w:gridCol w:w="463"/>
        <w:gridCol w:w="1871"/>
        <w:gridCol w:w="1328"/>
        <w:gridCol w:w="1153"/>
        <w:gridCol w:w="1843"/>
        <w:gridCol w:w="2975"/>
      </w:tblGrid>
      <w:tr w:rsidR="00E8309B">
        <w:trPr>
          <w:trHeight w:val="376"/>
        </w:trPr>
        <w:tc>
          <w:tcPr>
            <w:tcW w:w="463" w:type="dxa"/>
            <w:tcBorders>
              <w:top w:val="single" w:sz="4" w:space="0" w:color="000000"/>
              <w:left w:val="single" w:sz="4" w:space="0" w:color="000000"/>
              <w:bottom w:val="single" w:sz="4" w:space="0" w:color="000000"/>
              <w:right w:val="single" w:sz="4" w:space="0" w:color="000000"/>
            </w:tcBorders>
            <w:shd w:val="clear" w:color="auto" w:fill="D9D9D9"/>
          </w:tcPr>
          <w:p w:rsidR="00E8309B" w:rsidRDefault="009D0949">
            <w:pPr>
              <w:spacing w:after="13" w:line="259" w:lineRule="auto"/>
              <w:ind w:left="108" w:right="0" w:firstLine="0"/>
              <w:jc w:val="left"/>
            </w:pPr>
            <w:r>
              <w:rPr>
                <w:b/>
                <w:sz w:val="16"/>
              </w:rPr>
              <w:t xml:space="preserve">СР </w:t>
            </w:r>
          </w:p>
          <w:p w:rsidR="00E8309B" w:rsidRDefault="009D0949">
            <w:pPr>
              <w:spacing w:after="0" w:line="259" w:lineRule="auto"/>
              <w:ind w:left="108" w:right="0" w:firstLine="0"/>
              <w:jc w:val="left"/>
            </w:pPr>
            <w:r>
              <w:rPr>
                <w:b/>
                <w:sz w:val="16"/>
              </w:rPr>
              <w:t xml:space="preserve">Рб. </w:t>
            </w:r>
          </w:p>
        </w:tc>
        <w:tc>
          <w:tcPr>
            <w:tcW w:w="1871" w:type="dxa"/>
            <w:tcBorders>
              <w:top w:val="single" w:sz="4" w:space="0" w:color="000000"/>
              <w:left w:val="single" w:sz="4" w:space="0" w:color="000000"/>
              <w:bottom w:val="single" w:sz="4" w:space="0" w:color="000000"/>
              <w:right w:val="single" w:sz="4" w:space="0" w:color="000000"/>
            </w:tcBorders>
            <w:shd w:val="clear" w:color="auto" w:fill="D9D9D9"/>
          </w:tcPr>
          <w:p w:rsidR="00E8309B" w:rsidRDefault="009D0949">
            <w:pPr>
              <w:spacing w:after="0" w:line="259" w:lineRule="auto"/>
              <w:ind w:left="0" w:right="0" w:firstLine="0"/>
              <w:jc w:val="center"/>
            </w:pPr>
            <w:r>
              <w:rPr>
                <w:b/>
                <w:sz w:val="16"/>
              </w:rPr>
              <w:t xml:space="preserve">Назив структурне реформе </w:t>
            </w:r>
          </w:p>
        </w:tc>
        <w:tc>
          <w:tcPr>
            <w:tcW w:w="2481" w:type="dxa"/>
            <w:gridSpan w:val="2"/>
            <w:tcBorders>
              <w:top w:val="single" w:sz="4" w:space="0" w:color="000000"/>
              <w:left w:val="single" w:sz="4" w:space="0" w:color="000000"/>
              <w:bottom w:val="single" w:sz="4" w:space="0" w:color="000000"/>
              <w:right w:val="single" w:sz="4" w:space="0" w:color="000000"/>
            </w:tcBorders>
            <w:shd w:val="clear" w:color="auto" w:fill="D9D9D9"/>
          </w:tcPr>
          <w:p w:rsidR="00E8309B" w:rsidRDefault="009D0949">
            <w:pPr>
              <w:spacing w:after="0" w:line="259" w:lineRule="auto"/>
              <w:ind w:left="0" w:right="5" w:firstLine="0"/>
              <w:jc w:val="center"/>
            </w:pPr>
            <w:r>
              <w:rPr>
                <w:b/>
                <w:sz w:val="16"/>
              </w:rPr>
              <w:t xml:space="preserve">Опис структурне реформе </w:t>
            </w:r>
          </w:p>
        </w:tc>
        <w:tc>
          <w:tcPr>
            <w:tcW w:w="1843" w:type="dxa"/>
            <w:tcBorders>
              <w:top w:val="single" w:sz="4" w:space="0" w:color="000000"/>
              <w:left w:val="single" w:sz="4" w:space="0" w:color="000000"/>
              <w:bottom w:val="single" w:sz="4" w:space="0" w:color="000000"/>
              <w:right w:val="single" w:sz="4" w:space="0" w:color="000000"/>
            </w:tcBorders>
            <w:shd w:val="clear" w:color="auto" w:fill="D9D9D9"/>
          </w:tcPr>
          <w:p w:rsidR="00E8309B" w:rsidRDefault="009D0949">
            <w:pPr>
              <w:spacing w:after="0" w:line="259" w:lineRule="auto"/>
              <w:ind w:left="127" w:right="0" w:firstLine="0"/>
              <w:jc w:val="left"/>
            </w:pPr>
            <w:r>
              <w:rPr>
                <w:b/>
                <w:sz w:val="16"/>
              </w:rPr>
              <w:t xml:space="preserve">Референтни документ </w:t>
            </w:r>
          </w:p>
        </w:tc>
        <w:tc>
          <w:tcPr>
            <w:tcW w:w="2974"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E8309B" w:rsidRDefault="009D0949">
            <w:pPr>
              <w:spacing w:after="0" w:line="259" w:lineRule="auto"/>
              <w:ind w:left="1" w:right="0" w:firstLine="0"/>
              <w:jc w:val="center"/>
            </w:pPr>
            <w:r>
              <w:rPr>
                <w:b/>
                <w:sz w:val="16"/>
              </w:rPr>
              <w:t>Препоруке</w:t>
            </w:r>
            <w:r>
              <w:rPr>
                <w:b/>
                <w:sz w:val="16"/>
                <w:vertAlign w:val="superscript"/>
              </w:rPr>
              <w:t>21</w:t>
            </w:r>
            <w:r>
              <w:rPr>
                <w:b/>
                <w:sz w:val="16"/>
              </w:rPr>
              <w:t xml:space="preserve"> </w:t>
            </w:r>
          </w:p>
        </w:tc>
      </w:tr>
      <w:tr w:rsidR="00E8309B">
        <w:trPr>
          <w:trHeight w:val="5160"/>
        </w:trPr>
        <w:tc>
          <w:tcPr>
            <w:tcW w:w="463"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108" w:right="0" w:firstLine="0"/>
              <w:jc w:val="left"/>
            </w:pPr>
            <w:r>
              <w:rPr>
                <w:b/>
                <w:sz w:val="16"/>
              </w:rPr>
              <w:t xml:space="preserve">2. </w:t>
            </w:r>
          </w:p>
        </w:tc>
        <w:tc>
          <w:tcPr>
            <w:tcW w:w="1871"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108" w:right="88" w:firstLine="0"/>
              <w:jc w:val="left"/>
            </w:pPr>
            <w:r>
              <w:rPr>
                <w:b/>
                <w:sz w:val="16"/>
              </w:rPr>
              <w:t xml:space="preserve">Унапређење услова за повећање енергетске ефикасности кроз хармонизацију законодавног оквира и успостављање одрживог начина финансирања пројеката енергетске ефикасности </w:t>
            </w:r>
          </w:p>
        </w:tc>
        <w:tc>
          <w:tcPr>
            <w:tcW w:w="1328" w:type="dxa"/>
            <w:tcBorders>
              <w:top w:val="single" w:sz="4" w:space="0" w:color="000000"/>
              <w:left w:val="single" w:sz="4" w:space="0" w:color="000000"/>
              <w:bottom w:val="single" w:sz="4" w:space="0" w:color="000000"/>
              <w:right w:val="nil"/>
            </w:tcBorders>
          </w:tcPr>
          <w:p w:rsidR="00E8309B" w:rsidRDefault="009D0949">
            <w:pPr>
              <w:spacing w:after="0" w:line="259" w:lineRule="auto"/>
              <w:ind w:left="107" w:right="0" w:firstLine="0"/>
              <w:jc w:val="left"/>
            </w:pPr>
            <w:r>
              <w:rPr>
                <w:sz w:val="16"/>
              </w:rPr>
              <w:t xml:space="preserve">Хармонизација </w:t>
            </w:r>
          </w:p>
          <w:p w:rsidR="00E8309B" w:rsidRDefault="009D0949">
            <w:pPr>
              <w:spacing w:after="3" w:line="259" w:lineRule="auto"/>
              <w:ind w:left="107" w:right="-1044" w:firstLine="0"/>
              <w:jc w:val="left"/>
            </w:pPr>
            <w:r>
              <w:rPr>
                <w:sz w:val="16"/>
              </w:rPr>
              <w:t xml:space="preserve">регулативом ЕУ у области ЕЕ </w:t>
            </w:r>
          </w:p>
          <w:p w:rsidR="00E8309B" w:rsidRDefault="009D0949">
            <w:pPr>
              <w:tabs>
                <w:tab w:val="center" w:pos="259"/>
                <w:tab w:val="right" w:pos="1522"/>
              </w:tabs>
              <w:spacing w:after="0" w:line="259" w:lineRule="auto"/>
              <w:ind w:left="0" w:right="-194" w:firstLine="0"/>
              <w:jc w:val="left"/>
            </w:pPr>
            <w:r>
              <w:rPr>
                <w:rFonts w:ascii="Calibri" w:eastAsia="Calibri" w:hAnsi="Calibri" w:cs="Calibri"/>
                <w:sz w:val="22"/>
              </w:rPr>
              <w:tab/>
            </w:r>
            <w:r>
              <w:rPr>
                <w:sz w:val="16"/>
              </w:rPr>
              <w:t xml:space="preserve">кроз </w:t>
            </w:r>
            <w:r>
              <w:rPr>
                <w:sz w:val="16"/>
              </w:rPr>
              <w:tab/>
              <w:t xml:space="preserve">спровођење </w:t>
            </w:r>
          </w:p>
          <w:p w:rsidR="00E8309B" w:rsidRDefault="009D0949">
            <w:pPr>
              <w:spacing w:after="0" w:line="259" w:lineRule="auto"/>
              <w:ind w:left="107" w:right="-1043" w:firstLine="0"/>
            </w:pPr>
            <w:r>
              <w:rPr>
                <w:sz w:val="16"/>
              </w:rPr>
              <w:t xml:space="preserve">енергетског дизајна и обезбеђење подстицаја за унапређење ефикасности. </w:t>
            </w:r>
          </w:p>
        </w:tc>
        <w:tc>
          <w:tcPr>
            <w:tcW w:w="1153" w:type="dxa"/>
            <w:tcBorders>
              <w:top w:val="single" w:sz="4" w:space="0" w:color="000000"/>
              <w:left w:val="nil"/>
              <w:bottom w:val="single" w:sz="4" w:space="0" w:color="000000"/>
              <w:right w:val="single" w:sz="4" w:space="0" w:color="000000"/>
            </w:tcBorders>
          </w:tcPr>
          <w:p w:rsidR="00E8309B" w:rsidRDefault="009D0949">
            <w:pPr>
              <w:tabs>
                <w:tab w:val="center" w:pos="361"/>
                <w:tab w:val="center" w:pos="972"/>
              </w:tabs>
              <w:spacing w:after="170" w:line="259" w:lineRule="auto"/>
              <w:ind w:left="0" w:right="0" w:firstLine="0"/>
              <w:jc w:val="left"/>
            </w:pPr>
            <w:r>
              <w:rPr>
                <w:rFonts w:ascii="Calibri" w:eastAsia="Calibri" w:hAnsi="Calibri" w:cs="Calibri"/>
                <w:sz w:val="22"/>
              </w:rPr>
              <w:tab/>
            </w:r>
            <w:r>
              <w:rPr>
                <w:sz w:val="16"/>
              </w:rPr>
              <w:t xml:space="preserve">прописа </w:t>
            </w:r>
            <w:r>
              <w:rPr>
                <w:sz w:val="16"/>
              </w:rPr>
              <w:tab/>
              <w:t xml:space="preserve">са </w:t>
            </w:r>
          </w:p>
          <w:p w:rsidR="00E8309B" w:rsidRDefault="009D0949">
            <w:pPr>
              <w:spacing w:after="3" w:line="259" w:lineRule="auto"/>
              <w:ind w:left="0" w:right="112" w:firstLine="0"/>
              <w:jc w:val="right"/>
            </w:pPr>
            <w:r>
              <w:rPr>
                <w:sz w:val="16"/>
              </w:rPr>
              <w:t xml:space="preserve">система </w:t>
            </w:r>
          </w:p>
          <w:p w:rsidR="00E8309B" w:rsidRDefault="009D0949">
            <w:pPr>
              <w:tabs>
                <w:tab w:val="center" w:pos="928"/>
              </w:tabs>
              <w:spacing w:after="170" w:line="259" w:lineRule="auto"/>
              <w:ind w:left="-228" w:right="0" w:firstLine="0"/>
              <w:jc w:val="left"/>
            </w:pPr>
            <w:r>
              <w:rPr>
                <w:sz w:val="16"/>
              </w:rPr>
              <w:t xml:space="preserve">менаџмента, </w:t>
            </w:r>
            <w:r>
              <w:rPr>
                <w:sz w:val="16"/>
              </w:rPr>
              <w:tab/>
              <w:t xml:space="preserve">еко </w:t>
            </w:r>
          </w:p>
          <w:p w:rsidR="00E8309B" w:rsidRDefault="009D0949">
            <w:pPr>
              <w:spacing w:after="0" w:line="259" w:lineRule="auto"/>
              <w:ind w:left="308" w:right="0" w:firstLine="0"/>
              <w:jc w:val="left"/>
            </w:pPr>
            <w:r>
              <w:rPr>
                <w:sz w:val="16"/>
              </w:rPr>
              <w:t xml:space="preserve">енергетске </w:t>
            </w:r>
          </w:p>
        </w:tc>
        <w:tc>
          <w:tcPr>
            <w:tcW w:w="1843" w:type="dxa"/>
            <w:tcBorders>
              <w:top w:val="single" w:sz="4" w:space="0" w:color="000000"/>
              <w:left w:val="single" w:sz="4" w:space="0" w:color="000000"/>
              <w:bottom w:val="single" w:sz="4" w:space="0" w:color="000000"/>
              <w:right w:val="single" w:sz="4" w:space="0" w:color="000000"/>
            </w:tcBorders>
          </w:tcPr>
          <w:p w:rsidR="00E8309B" w:rsidRDefault="009D0949">
            <w:pPr>
              <w:spacing w:after="30" w:line="237" w:lineRule="auto"/>
              <w:ind w:left="108" w:right="50" w:firstLine="0"/>
              <w:jc w:val="left"/>
            </w:pPr>
            <w:r>
              <w:rPr>
                <w:sz w:val="16"/>
              </w:rPr>
              <w:t xml:space="preserve">Програм остваривања Стратегије развоја енергетике Републике Србије до 2025. године са пројекцијама до 2030. године за период од 2017. до 2023. </w:t>
            </w:r>
          </w:p>
          <w:p w:rsidR="00E8309B" w:rsidRDefault="009D0949">
            <w:pPr>
              <w:spacing w:after="41" w:line="259" w:lineRule="auto"/>
              <w:ind w:left="108" w:right="0" w:firstLine="0"/>
              <w:jc w:val="left"/>
            </w:pPr>
            <w:r>
              <w:rPr>
                <w:sz w:val="16"/>
              </w:rPr>
              <w:t xml:space="preserve">године </w:t>
            </w:r>
          </w:p>
          <w:p w:rsidR="00E8309B" w:rsidRDefault="009D0949">
            <w:pPr>
              <w:spacing w:after="29" w:line="238" w:lineRule="auto"/>
              <w:ind w:left="108" w:right="0" w:firstLine="0"/>
            </w:pPr>
            <w:r>
              <w:rPr>
                <w:sz w:val="16"/>
              </w:rPr>
              <w:t xml:space="preserve">Закон о накнадама за коришћење јавних </w:t>
            </w:r>
          </w:p>
          <w:p w:rsidR="00E8309B" w:rsidRDefault="009D0949">
            <w:pPr>
              <w:spacing w:after="0" w:line="259" w:lineRule="auto"/>
              <w:ind w:left="108" w:right="0" w:firstLine="0"/>
              <w:jc w:val="left"/>
            </w:pPr>
            <w:r>
              <w:rPr>
                <w:sz w:val="16"/>
              </w:rPr>
              <w:t xml:space="preserve">добара </w:t>
            </w:r>
          </w:p>
        </w:tc>
        <w:tc>
          <w:tcPr>
            <w:tcW w:w="2974" w:type="dxa"/>
            <w:tcBorders>
              <w:top w:val="single" w:sz="4" w:space="0" w:color="000000"/>
              <w:left w:val="single" w:sz="4" w:space="0" w:color="000000"/>
              <w:bottom w:val="single" w:sz="4" w:space="0" w:color="000000"/>
              <w:right w:val="single" w:sz="4" w:space="0" w:color="000000"/>
            </w:tcBorders>
          </w:tcPr>
          <w:p w:rsidR="00E8309B" w:rsidRDefault="009D0949">
            <w:pPr>
              <w:spacing w:after="74" w:line="257" w:lineRule="auto"/>
              <w:ind w:left="108" w:right="102" w:firstLine="0"/>
            </w:pPr>
            <w:r>
              <w:rPr>
                <w:sz w:val="16"/>
              </w:rPr>
              <w:t>ПР 2020 стр. 97. - постићи напредак у погледу преласка на</w:t>
            </w:r>
            <w:r>
              <w:rPr>
                <w:sz w:val="16"/>
              </w:rPr>
              <w:t xml:space="preserve"> зелену енергију: ојачати капацитете људских ресурса и промовисати улагање у енергетску ефикасност, заменити термоелектране на угаљ електранама које користе гас и обновљиве изворе енергије, спровести мерење и обрачун утрошка енергије на основу потрошње и п</w:t>
            </w:r>
            <w:r>
              <w:rPr>
                <w:sz w:val="16"/>
              </w:rPr>
              <w:t xml:space="preserve">ређе на обрачун цена електричне енергије које јасно одражавају трошкове. </w:t>
            </w:r>
          </w:p>
          <w:p w:rsidR="00E8309B" w:rsidRDefault="009D0949">
            <w:pPr>
              <w:spacing w:after="89" w:line="240" w:lineRule="auto"/>
              <w:ind w:left="108" w:right="103" w:firstLine="0"/>
            </w:pPr>
            <w:r>
              <w:rPr>
                <w:sz w:val="16"/>
              </w:rPr>
              <w:t xml:space="preserve">ПР 2019 стр 79. – </w:t>
            </w:r>
            <w:r>
              <w:rPr>
                <w:sz w:val="16"/>
              </w:rPr>
              <w:t>Да ојача капацитете људских ресурса и подстакне инвестирање у енергетску ефикасност, између осталог кроз успостављање одрживог система финансирања, и да иницира реформе за увођење цена електричне енергије које јасно одражавају трошкове, у потпуности узимај</w:t>
            </w:r>
            <w:r>
              <w:rPr>
                <w:sz w:val="16"/>
              </w:rPr>
              <w:t xml:space="preserve">ући у обзир инвестиционе потребе, обавезе у погледу климатских промена и импликације социјалне сигурности, као и реформу регулације цена електричне енергије. </w:t>
            </w:r>
          </w:p>
          <w:p w:rsidR="00E8309B" w:rsidRDefault="009D0949">
            <w:pPr>
              <w:spacing w:after="0" w:line="259" w:lineRule="auto"/>
              <w:ind w:left="108" w:right="104" w:firstLine="0"/>
            </w:pPr>
            <w:r>
              <w:rPr>
                <w:sz w:val="16"/>
              </w:rPr>
              <w:t xml:space="preserve">ЕКОФИН 2018 П4 – Потребно је повећати инвестиције у енергетску ефикасност. </w:t>
            </w:r>
          </w:p>
        </w:tc>
      </w:tr>
      <w:tr w:rsidR="00E8309B">
        <w:trPr>
          <w:trHeight w:val="4975"/>
        </w:trPr>
        <w:tc>
          <w:tcPr>
            <w:tcW w:w="463"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108" w:right="0" w:firstLine="0"/>
              <w:jc w:val="left"/>
            </w:pPr>
            <w:r>
              <w:rPr>
                <w:b/>
                <w:sz w:val="16"/>
              </w:rPr>
              <w:lastRenderedPageBreak/>
              <w:t xml:space="preserve">3. </w:t>
            </w:r>
          </w:p>
        </w:tc>
        <w:tc>
          <w:tcPr>
            <w:tcW w:w="1871"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108" w:right="96" w:firstLine="0"/>
              <w:jc w:val="left"/>
            </w:pPr>
            <w:r>
              <w:rPr>
                <w:b/>
                <w:sz w:val="16"/>
              </w:rPr>
              <w:t xml:space="preserve">Реформа железнице кроз усаглашавање регулаторног оквира и унапређење безбедности </w:t>
            </w:r>
          </w:p>
        </w:tc>
        <w:tc>
          <w:tcPr>
            <w:tcW w:w="1328" w:type="dxa"/>
            <w:tcBorders>
              <w:top w:val="single" w:sz="4" w:space="0" w:color="000000"/>
              <w:left w:val="single" w:sz="4" w:space="0" w:color="000000"/>
              <w:bottom w:val="single" w:sz="4" w:space="0" w:color="000000"/>
              <w:right w:val="nil"/>
            </w:tcBorders>
          </w:tcPr>
          <w:p w:rsidR="00E8309B" w:rsidRDefault="009D0949">
            <w:pPr>
              <w:spacing w:after="21" w:line="237" w:lineRule="auto"/>
              <w:ind w:left="107" w:right="215" w:firstLine="0"/>
            </w:pPr>
            <w:r>
              <w:rPr>
                <w:sz w:val="16"/>
              </w:rPr>
              <w:t xml:space="preserve">Унапређење оквира кроз примену нове </w:t>
            </w:r>
          </w:p>
          <w:p w:rsidR="00E8309B" w:rsidRDefault="009D0949">
            <w:pPr>
              <w:tabs>
                <w:tab w:val="center" w:pos="387"/>
                <w:tab w:val="center" w:pos="1169"/>
              </w:tabs>
              <w:spacing w:after="0" w:line="259" w:lineRule="auto"/>
              <w:ind w:left="0" w:right="0" w:firstLine="0"/>
              <w:jc w:val="left"/>
            </w:pPr>
            <w:r>
              <w:rPr>
                <w:rFonts w:ascii="Calibri" w:eastAsia="Calibri" w:hAnsi="Calibri" w:cs="Calibri"/>
                <w:sz w:val="22"/>
              </w:rPr>
              <w:tab/>
            </w:r>
            <w:r>
              <w:rPr>
                <w:sz w:val="16"/>
              </w:rPr>
              <w:t xml:space="preserve">обрачун </w:t>
            </w:r>
            <w:r>
              <w:rPr>
                <w:sz w:val="16"/>
              </w:rPr>
              <w:tab/>
              <w:t>цен</w:t>
            </w:r>
          </w:p>
          <w:p w:rsidR="00E8309B" w:rsidRDefault="009D0949">
            <w:pPr>
              <w:spacing w:after="0" w:line="238" w:lineRule="auto"/>
              <w:ind w:left="107" w:right="66" w:firstLine="0"/>
            </w:pPr>
            <w:r>
              <w:rPr>
                <w:sz w:val="16"/>
              </w:rPr>
              <w:t xml:space="preserve">железничкој ин усаглашавање за железнице са </w:t>
            </w:r>
          </w:p>
          <w:p w:rsidR="00E8309B" w:rsidRDefault="009D0949">
            <w:pPr>
              <w:spacing w:after="0" w:line="259" w:lineRule="auto"/>
              <w:ind w:left="107" w:right="10" w:firstLine="0"/>
            </w:pPr>
            <w:r>
              <w:rPr>
                <w:sz w:val="16"/>
              </w:rPr>
              <w:t>железничких ЕУ обнове, рекон модернизације пруга, предви модернизација прелаза</w:t>
            </w:r>
            <w:r>
              <w:rPr>
                <w:sz w:val="16"/>
              </w:rPr>
              <w:t xml:space="preserve">. </w:t>
            </w:r>
          </w:p>
        </w:tc>
        <w:tc>
          <w:tcPr>
            <w:tcW w:w="1153" w:type="dxa"/>
            <w:tcBorders>
              <w:top w:val="single" w:sz="4" w:space="0" w:color="000000"/>
              <w:left w:val="nil"/>
              <w:bottom w:val="single" w:sz="4" w:space="0" w:color="000000"/>
              <w:right w:val="single" w:sz="4" w:space="0" w:color="000000"/>
            </w:tcBorders>
          </w:tcPr>
          <w:p w:rsidR="00E8309B" w:rsidRDefault="009D0949">
            <w:pPr>
              <w:spacing w:after="0" w:line="260" w:lineRule="auto"/>
              <w:ind w:left="17" w:right="0" w:firstLine="115"/>
              <w:jc w:val="left"/>
            </w:pPr>
            <w:r>
              <w:rPr>
                <w:sz w:val="16"/>
              </w:rPr>
              <w:t xml:space="preserve">регулаторног доношење </w:t>
            </w:r>
            <w:r>
              <w:rPr>
                <w:sz w:val="16"/>
              </w:rPr>
              <w:tab/>
              <w:t xml:space="preserve">и </w:t>
            </w:r>
          </w:p>
          <w:p w:rsidR="00E8309B" w:rsidRDefault="009D0949">
            <w:pPr>
              <w:spacing w:after="0" w:line="250" w:lineRule="auto"/>
              <w:ind w:left="-93" w:right="109" w:hanging="41"/>
            </w:pPr>
            <w:r>
              <w:rPr>
                <w:sz w:val="16"/>
              </w:rPr>
              <w:t xml:space="preserve">Методологије за е приступа фраструктури и кона из области </w:t>
            </w:r>
          </w:p>
          <w:p w:rsidR="00E8309B" w:rsidRDefault="009D0949">
            <w:pPr>
              <w:spacing w:after="0" w:line="259" w:lineRule="auto"/>
              <w:ind w:left="-31" w:right="108" w:firstLine="128"/>
            </w:pPr>
            <w:r>
              <w:rPr>
                <w:sz w:val="16"/>
              </w:rPr>
              <w:t xml:space="preserve">IV пакетом прописа. Поред струкције и железничких ђена је и путно-пружних </w:t>
            </w:r>
          </w:p>
        </w:tc>
        <w:tc>
          <w:tcPr>
            <w:tcW w:w="1843" w:type="dxa"/>
            <w:tcBorders>
              <w:top w:val="single" w:sz="4" w:space="0" w:color="000000"/>
              <w:left w:val="single" w:sz="4" w:space="0" w:color="000000"/>
              <w:bottom w:val="single" w:sz="4" w:space="0" w:color="000000"/>
              <w:right w:val="single" w:sz="4" w:space="0" w:color="000000"/>
            </w:tcBorders>
          </w:tcPr>
          <w:p w:rsidR="00E8309B" w:rsidRDefault="009D0949">
            <w:pPr>
              <w:spacing w:after="41" w:line="259" w:lineRule="auto"/>
              <w:ind w:left="108" w:right="0" w:firstLine="0"/>
              <w:jc w:val="left"/>
            </w:pPr>
            <w:r>
              <w:rPr>
                <w:sz w:val="16"/>
              </w:rPr>
              <w:t xml:space="preserve">Закон о железници </w:t>
            </w:r>
          </w:p>
          <w:p w:rsidR="00E8309B" w:rsidRDefault="009D0949">
            <w:pPr>
              <w:spacing w:line="257" w:lineRule="auto"/>
              <w:ind w:left="108" w:right="55" w:firstLine="0"/>
              <w:jc w:val="left"/>
            </w:pPr>
            <w:r>
              <w:rPr>
                <w:sz w:val="16"/>
              </w:rPr>
              <w:t xml:space="preserve">Закон о безбедности у железничком саобраћају </w:t>
            </w:r>
          </w:p>
          <w:p w:rsidR="00E8309B" w:rsidRDefault="009D0949">
            <w:pPr>
              <w:spacing w:line="258" w:lineRule="auto"/>
              <w:ind w:left="108" w:right="0" w:firstLine="0"/>
              <w:jc w:val="left"/>
            </w:pPr>
            <w:r>
              <w:rPr>
                <w:sz w:val="16"/>
              </w:rPr>
              <w:t xml:space="preserve">Закон о интероперабилности железничког система </w:t>
            </w:r>
          </w:p>
          <w:p w:rsidR="00E8309B" w:rsidRDefault="009D0949">
            <w:pPr>
              <w:spacing w:after="51" w:line="247" w:lineRule="auto"/>
              <w:ind w:left="108" w:right="0" w:firstLine="0"/>
              <w:jc w:val="left"/>
            </w:pPr>
            <w:r>
              <w:rPr>
                <w:sz w:val="16"/>
              </w:rPr>
              <w:t xml:space="preserve">Национални програм јавне железничке инфраструктуре за период 2017-2021.  </w:t>
            </w:r>
          </w:p>
          <w:p w:rsidR="00E8309B" w:rsidRDefault="009D0949">
            <w:pPr>
              <w:spacing w:after="0" w:line="259" w:lineRule="auto"/>
              <w:ind w:left="108" w:right="84" w:firstLine="0"/>
              <w:jc w:val="left"/>
            </w:pPr>
            <w:r>
              <w:rPr>
                <w:sz w:val="16"/>
              </w:rPr>
              <w:t xml:space="preserve">Уредба о начину и модалитетима израчунавања трошкова који су настали као директан резултат саобраћања воза </w:t>
            </w:r>
          </w:p>
        </w:tc>
        <w:tc>
          <w:tcPr>
            <w:tcW w:w="2974" w:type="dxa"/>
            <w:tcBorders>
              <w:top w:val="single" w:sz="4" w:space="0" w:color="000000"/>
              <w:left w:val="single" w:sz="4" w:space="0" w:color="000000"/>
              <w:bottom w:val="single" w:sz="4" w:space="0" w:color="000000"/>
              <w:right w:val="single" w:sz="4" w:space="0" w:color="000000"/>
            </w:tcBorders>
          </w:tcPr>
          <w:p w:rsidR="00E8309B" w:rsidRDefault="009D0949">
            <w:pPr>
              <w:spacing w:after="76" w:line="254" w:lineRule="auto"/>
              <w:ind w:left="108" w:right="102" w:firstLine="0"/>
            </w:pPr>
            <w:r>
              <w:rPr>
                <w:sz w:val="16"/>
              </w:rPr>
              <w:t xml:space="preserve">ПР 2020 стр. 94. - </w:t>
            </w:r>
            <w:r>
              <w:rPr>
                <w:sz w:val="16"/>
              </w:rPr>
              <w:t xml:space="preserve">наставити са процесом спровођења реформе железнице, нарочито регулисањем уговорних односа између управљача железничком инфраструктуром и оператора на економичан и транспарентан начин, даље спроводи усвојено законодавство и јача институционалне капацитете. </w:t>
            </w:r>
            <w:r>
              <w:rPr>
                <w:sz w:val="16"/>
              </w:rPr>
              <w:t>ПР 2020 стр. 94. - усвојити реалистичне планове одржавања путне и железничке инфраструктуре и њихове финансијске аспекте и започне са њиховом применом; усклади и поједностави процедуре на граничним прелазима за железнички и друмски саобраћај; побољшати одр</w:t>
            </w:r>
            <w:r>
              <w:rPr>
                <w:sz w:val="16"/>
              </w:rPr>
              <w:t xml:space="preserve">еђивање приоритета и припрему транспортне инфраструктуре да би се постигла најбоља вредност за новац. </w:t>
            </w:r>
          </w:p>
          <w:p w:rsidR="00E8309B" w:rsidRDefault="009D0949">
            <w:pPr>
              <w:spacing w:after="0" w:line="259" w:lineRule="auto"/>
              <w:ind w:left="108" w:right="104" w:firstLine="0"/>
            </w:pPr>
            <w:r>
              <w:rPr>
                <w:sz w:val="16"/>
              </w:rPr>
              <w:t>ПР 2019 стр 77. - Да се фокусира на спровођење реформе железнице, укључујући отварање тржишта, изјаву о мрежи, управљање инфраструктуром и праћење тржишт</w:t>
            </w:r>
            <w:r>
              <w:rPr>
                <w:sz w:val="16"/>
              </w:rPr>
              <w:t xml:space="preserve">а, као и да ојача капацитете регулаторног тела за железнице. </w:t>
            </w:r>
          </w:p>
        </w:tc>
      </w:tr>
      <w:tr w:rsidR="00E8309B">
        <w:trPr>
          <w:trHeight w:val="406"/>
        </w:trPr>
        <w:tc>
          <w:tcPr>
            <w:tcW w:w="3662" w:type="dxa"/>
            <w:gridSpan w:val="3"/>
            <w:tcBorders>
              <w:top w:val="single" w:sz="4" w:space="0" w:color="000000"/>
              <w:left w:val="single" w:sz="4" w:space="0" w:color="000000"/>
              <w:bottom w:val="single" w:sz="4" w:space="0" w:color="000000"/>
              <w:right w:val="nil"/>
            </w:tcBorders>
            <w:shd w:val="clear" w:color="auto" w:fill="D9D9D9"/>
            <w:vAlign w:val="center"/>
          </w:tcPr>
          <w:p w:rsidR="00E8309B" w:rsidRDefault="009D0949">
            <w:pPr>
              <w:spacing w:after="0" w:line="259" w:lineRule="auto"/>
              <w:ind w:left="108" w:right="0" w:firstLine="0"/>
              <w:jc w:val="left"/>
            </w:pPr>
            <w:r>
              <w:rPr>
                <w:b/>
                <w:sz w:val="16"/>
              </w:rPr>
              <w:t xml:space="preserve">ОБЛАСТ: ПОЉОПРИВРЕДА, ИНДУСТРИЈА </w:t>
            </w:r>
          </w:p>
        </w:tc>
        <w:tc>
          <w:tcPr>
            <w:tcW w:w="5971" w:type="dxa"/>
            <w:gridSpan w:val="3"/>
            <w:tcBorders>
              <w:top w:val="single" w:sz="4" w:space="0" w:color="000000"/>
              <w:left w:val="nil"/>
              <w:bottom w:val="single" w:sz="4" w:space="0" w:color="000000"/>
              <w:right w:val="single" w:sz="4" w:space="0" w:color="000000"/>
            </w:tcBorders>
            <w:shd w:val="clear" w:color="auto" w:fill="D9D9D9"/>
            <w:vAlign w:val="center"/>
          </w:tcPr>
          <w:p w:rsidR="00E8309B" w:rsidRDefault="009D0949">
            <w:pPr>
              <w:spacing w:after="0" w:line="259" w:lineRule="auto"/>
              <w:ind w:left="-118" w:right="0" w:firstLine="0"/>
              <w:jc w:val="left"/>
            </w:pPr>
            <w:r>
              <w:rPr>
                <w:b/>
                <w:sz w:val="16"/>
              </w:rPr>
              <w:t xml:space="preserve">И УСЛУГЕ </w:t>
            </w:r>
          </w:p>
        </w:tc>
      </w:tr>
      <w:tr w:rsidR="00E8309B">
        <w:trPr>
          <w:trHeight w:val="2154"/>
        </w:trPr>
        <w:tc>
          <w:tcPr>
            <w:tcW w:w="463"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108" w:right="0" w:firstLine="0"/>
              <w:jc w:val="left"/>
            </w:pPr>
            <w:r>
              <w:rPr>
                <w:b/>
                <w:sz w:val="16"/>
              </w:rPr>
              <w:t xml:space="preserve">4. </w:t>
            </w:r>
          </w:p>
        </w:tc>
        <w:tc>
          <w:tcPr>
            <w:tcW w:w="1871"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108" w:right="0" w:firstLine="0"/>
              <w:jc w:val="left"/>
            </w:pPr>
            <w:r>
              <w:rPr>
                <w:b/>
                <w:sz w:val="16"/>
              </w:rPr>
              <w:t xml:space="preserve">Унапређење процеса комасације </w:t>
            </w:r>
          </w:p>
        </w:tc>
        <w:tc>
          <w:tcPr>
            <w:tcW w:w="2481" w:type="dxa"/>
            <w:gridSpan w:val="2"/>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107" w:right="107" w:firstLine="0"/>
            </w:pPr>
            <w:r>
              <w:rPr>
                <w:sz w:val="16"/>
              </w:rPr>
              <w:t>Реформа подразумева успостављање регулаторног оквира за процес комасације, као и имплементацију информатичких и техничких услова за подршку стручном надзору у овој области, са циљем стварања предуслова за развој пољопривредне производње и изградњу објеката</w:t>
            </w:r>
            <w:r>
              <w:rPr>
                <w:sz w:val="16"/>
              </w:rPr>
              <w:t xml:space="preserve"> јавне инфраструктуре. </w:t>
            </w:r>
          </w:p>
        </w:tc>
        <w:tc>
          <w:tcPr>
            <w:tcW w:w="1843" w:type="dxa"/>
            <w:tcBorders>
              <w:top w:val="single" w:sz="4" w:space="0" w:color="000000"/>
              <w:left w:val="single" w:sz="4" w:space="0" w:color="000000"/>
              <w:bottom w:val="single" w:sz="4" w:space="0" w:color="000000"/>
              <w:right w:val="single" w:sz="4" w:space="0" w:color="000000"/>
            </w:tcBorders>
          </w:tcPr>
          <w:p w:rsidR="00E8309B" w:rsidRDefault="009D0949">
            <w:pPr>
              <w:spacing w:after="46" w:line="256" w:lineRule="auto"/>
              <w:ind w:left="108" w:right="0" w:firstLine="0"/>
              <w:jc w:val="left"/>
            </w:pPr>
            <w:r>
              <w:rPr>
                <w:sz w:val="16"/>
              </w:rPr>
              <w:t xml:space="preserve">Закон о пољопривредном земљишту </w:t>
            </w:r>
          </w:p>
          <w:p w:rsidR="00E8309B" w:rsidRDefault="009D0949">
            <w:pPr>
              <w:spacing w:after="0" w:line="259" w:lineRule="auto"/>
              <w:ind w:left="108" w:right="0" w:firstLine="0"/>
              <w:jc w:val="left"/>
            </w:pPr>
            <w:r>
              <w:rPr>
                <w:sz w:val="16"/>
              </w:rPr>
              <w:t xml:space="preserve">Закон о државном премеру и катастру </w:t>
            </w:r>
          </w:p>
        </w:tc>
        <w:tc>
          <w:tcPr>
            <w:tcW w:w="2974"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108" w:right="0" w:firstLine="0"/>
              <w:jc w:val="left"/>
            </w:pPr>
            <w:r>
              <w:rPr>
                <w:sz w:val="16"/>
              </w:rPr>
              <w:t xml:space="preserve"> </w:t>
            </w:r>
          </w:p>
        </w:tc>
      </w:tr>
      <w:tr w:rsidR="00E8309B">
        <w:trPr>
          <w:trHeight w:val="1484"/>
        </w:trPr>
        <w:tc>
          <w:tcPr>
            <w:tcW w:w="463"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108" w:right="0" w:firstLine="0"/>
              <w:jc w:val="left"/>
            </w:pPr>
            <w:r>
              <w:rPr>
                <w:b/>
                <w:sz w:val="16"/>
              </w:rPr>
              <w:t xml:space="preserve">5.  </w:t>
            </w:r>
          </w:p>
        </w:tc>
        <w:tc>
          <w:tcPr>
            <w:tcW w:w="1871"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108" w:right="4" w:firstLine="0"/>
              <w:jc w:val="left"/>
            </w:pPr>
            <w:r>
              <w:rPr>
                <w:b/>
                <w:sz w:val="16"/>
              </w:rPr>
              <w:t xml:space="preserve">Унапређење система финансијске подршке пољопривреди кроз дигитализацију и аутоматизацију процеса </w:t>
            </w:r>
          </w:p>
        </w:tc>
        <w:tc>
          <w:tcPr>
            <w:tcW w:w="2481" w:type="dxa"/>
            <w:gridSpan w:val="2"/>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107" w:right="107" w:firstLine="0"/>
            </w:pPr>
            <w:r>
              <w:rPr>
                <w:sz w:val="16"/>
              </w:rPr>
              <w:t xml:space="preserve">Успостављање Интегрисаног система контроле и управљања (IACS) који ће дигитализацијом и аутоматизацијом процеса унапредити реализацију система финансијске подршке пољопривредницима и олакшати приступ расположивим </w:t>
            </w:r>
          </w:p>
        </w:tc>
        <w:tc>
          <w:tcPr>
            <w:tcW w:w="1843"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108" w:right="48" w:firstLine="0"/>
              <w:jc w:val="left"/>
            </w:pPr>
            <w:r>
              <w:rPr>
                <w:sz w:val="16"/>
              </w:rPr>
              <w:t xml:space="preserve">Закон о пољопривреди и руралном развоју </w:t>
            </w:r>
          </w:p>
        </w:tc>
        <w:tc>
          <w:tcPr>
            <w:tcW w:w="2974"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108" w:right="104" w:firstLine="0"/>
            </w:pPr>
            <w:r>
              <w:rPr>
                <w:sz w:val="16"/>
              </w:rPr>
              <w:t xml:space="preserve">ПР 2020 стр. 91. - убрза обраду пријава за мере које су већ поверене у склопу програма IPARD II да би се избегао губитак фондова ЕУ и да би се наставило са поверавањем задатака у вези са извршењем буџета за остале мере у оквиру програма. </w:t>
            </w:r>
          </w:p>
        </w:tc>
      </w:tr>
    </w:tbl>
    <w:p w:rsidR="00E8309B" w:rsidRDefault="00E8309B">
      <w:pPr>
        <w:spacing w:after="0" w:line="259" w:lineRule="auto"/>
        <w:ind w:left="-1133" w:right="25" w:firstLine="0"/>
        <w:jc w:val="left"/>
      </w:pPr>
    </w:p>
    <w:tbl>
      <w:tblPr>
        <w:tblStyle w:val="TableGrid"/>
        <w:tblW w:w="9633" w:type="dxa"/>
        <w:tblInd w:w="7" w:type="dxa"/>
        <w:tblCellMar>
          <w:top w:w="8" w:type="dxa"/>
          <w:left w:w="107" w:type="dxa"/>
          <w:bottom w:w="0" w:type="dxa"/>
          <w:right w:w="66" w:type="dxa"/>
        </w:tblCellMar>
        <w:tblLook w:val="04A0" w:firstRow="1" w:lastRow="0" w:firstColumn="1" w:lastColumn="0" w:noHBand="0" w:noVBand="1"/>
      </w:tblPr>
      <w:tblGrid>
        <w:gridCol w:w="464"/>
        <w:gridCol w:w="1871"/>
        <w:gridCol w:w="2481"/>
        <w:gridCol w:w="1843"/>
        <w:gridCol w:w="2974"/>
      </w:tblGrid>
      <w:tr w:rsidR="00E8309B">
        <w:trPr>
          <w:trHeight w:val="376"/>
        </w:trPr>
        <w:tc>
          <w:tcPr>
            <w:tcW w:w="463" w:type="dxa"/>
            <w:tcBorders>
              <w:top w:val="single" w:sz="4" w:space="0" w:color="000000"/>
              <w:left w:val="single" w:sz="4" w:space="0" w:color="000000"/>
              <w:bottom w:val="single" w:sz="4" w:space="0" w:color="000000"/>
              <w:right w:val="single" w:sz="4" w:space="0" w:color="000000"/>
            </w:tcBorders>
            <w:shd w:val="clear" w:color="auto" w:fill="D9D9D9"/>
          </w:tcPr>
          <w:p w:rsidR="00E8309B" w:rsidRDefault="009D0949">
            <w:pPr>
              <w:spacing w:after="13" w:line="259" w:lineRule="auto"/>
              <w:ind w:left="1" w:right="0" w:firstLine="0"/>
              <w:jc w:val="left"/>
            </w:pPr>
            <w:r>
              <w:rPr>
                <w:b/>
                <w:sz w:val="16"/>
              </w:rPr>
              <w:t xml:space="preserve">СР </w:t>
            </w:r>
          </w:p>
          <w:p w:rsidR="00E8309B" w:rsidRDefault="009D0949">
            <w:pPr>
              <w:spacing w:after="0" w:line="259" w:lineRule="auto"/>
              <w:ind w:left="1" w:right="0" w:firstLine="0"/>
              <w:jc w:val="left"/>
            </w:pPr>
            <w:r>
              <w:rPr>
                <w:b/>
                <w:sz w:val="16"/>
              </w:rPr>
              <w:t xml:space="preserve">Рб. </w:t>
            </w:r>
          </w:p>
        </w:tc>
        <w:tc>
          <w:tcPr>
            <w:tcW w:w="1871" w:type="dxa"/>
            <w:tcBorders>
              <w:top w:val="single" w:sz="4" w:space="0" w:color="000000"/>
              <w:left w:val="single" w:sz="4" w:space="0" w:color="000000"/>
              <w:bottom w:val="single" w:sz="4" w:space="0" w:color="000000"/>
              <w:right w:val="single" w:sz="4" w:space="0" w:color="000000"/>
            </w:tcBorders>
            <w:shd w:val="clear" w:color="auto" w:fill="D9D9D9"/>
          </w:tcPr>
          <w:p w:rsidR="00E8309B" w:rsidRDefault="009D0949">
            <w:pPr>
              <w:spacing w:after="0" w:line="259" w:lineRule="auto"/>
              <w:ind w:left="0" w:right="0" w:firstLine="0"/>
              <w:jc w:val="center"/>
            </w:pPr>
            <w:r>
              <w:rPr>
                <w:b/>
                <w:sz w:val="16"/>
              </w:rPr>
              <w:t xml:space="preserve">Назив структурне реформе </w:t>
            </w:r>
          </w:p>
        </w:tc>
        <w:tc>
          <w:tcPr>
            <w:tcW w:w="2481" w:type="dxa"/>
            <w:tcBorders>
              <w:top w:val="single" w:sz="4" w:space="0" w:color="000000"/>
              <w:left w:val="single" w:sz="4" w:space="0" w:color="000000"/>
              <w:bottom w:val="single" w:sz="4" w:space="0" w:color="000000"/>
              <w:right w:val="single" w:sz="4" w:space="0" w:color="000000"/>
            </w:tcBorders>
            <w:shd w:val="clear" w:color="auto" w:fill="D9D9D9"/>
          </w:tcPr>
          <w:p w:rsidR="00E8309B" w:rsidRDefault="009D0949">
            <w:pPr>
              <w:spacing w:after="0" w:line="259" w:lineRule="auto"/>
              <w:ind w:left="0" w:right="47" w:firstLine="0"/>
              <w:jc w:val="center"/>
            </w:pPr>
            <w:r>
              <w:rPr>
                <w:b/>
                <w:sz w:val="16"/>
              </w:rPr>
              <w:t xml:space="preserve">Опис структурне реформе </w:t>
            </w:r>
          </w:p>
        </w:tc>
        <w:tc>
          <w:tcPr>
            <w:tcW w:w="1843" w:type="dxa"/>
            <w:tcBorders>
              <w:top w:val="single" w:sz="4" w:space="0" w:color="000000"/>
              <w:left w:val="single" w:sz="4" w:space="0" w:color="000000"/>
              <w:bottom w:val="single" w:sz="4" w:space="0" w:color="000000"/>
              <w:right w:val="single" w:sz="4" w:space="0" w:color="000000"/>
            </w:tcBorders>
            <w:shd w:val="clear" w:color="auto" w:fill="D9D9D9"/>
          </w:tcPr>
          <w:p w:rsidR="00E8309B" w:rsidRDefault="009D0949">
            <w:pPr>
              <w:spacing w:after="0" w:line="259" w:lineRule="auto"/>
              <w:ind w:left="20" w:right="0" w:firstLine="0"/>
              <w:jc w:val="left"/>
            </w:pPr>
            <w:r>
              <w:rPr>
                <w:b/>
                <w:sz w:val="16"/>
              </w:rPr>
              <w:t xml:space="preserve">Референтни документ </w:t>
            </w:r>
          </w:p>
        </w:tc>
        <w:tc>
          <w:tcPr>
            <w:tcW w:w="2974"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E8309B" w:rsidRDefault="009D0949">
            <w:pPr>
              <w:spacing w:after="0" w:line="259" w:lineRule="auto"/>
              <w:ind w:left="0" w:right="41" w:firstLine="0"/>
              <w:jc w:val="center"/>
            </w:pPr>
            <w:r>
              <w:rPr>
                <w:b/>
                <w:sz w:val="16"/>
              </w:rPr>
              <w:t>Препоруке</w:t>
            </w:r>
            <w:r>
              <w:rPr>
                <w:b/>
                <w:sz w:val="16"/>
                <w:vertAlign w:val="superscript"/>
              </w:rPr>
              <w:t>21</w:t>
            </w:r>
            <w:r>
              <w:rPr>
                <w:b/>
                <w:sz w:val="16"/>
              </w:rPr>
              <w:t xml:space="preserve"> </w:t>
            </w:r>
          </w:p>
        </w:tc>
      </w:tr>
      <w:tr w:rsidR="00E8309B">
        <w:trPr>
          <w:trHeight w:val="1787"/>
        </w:trPr>
        <w:tc>
          <w:tcPr>
            <w:tcW w:w="463" w:type="dxa"/>
            <w:tcBorders>
              <w:top w:val="single" w:sz="4" w:space="0" w:color="000000"/>
              <w:left w:val="single" w:sz="4" w:space="0" w:color="000000"/>
              <w:bottom w:val="single" w:sz="4" w:space="0" w:color="000000"/>
              <w:right w:val="single" w:sz="4" w:space="0" w:color="000000"/>
            </w:tcBorders>
          </w:tcPr>
          <w:p w:rsidR="00E8309B" w:rsidRDefault="00E8309B">
            <w:pPr>
              <w:spacing w:after="160" w:line="259" w:lineRule="auto"/>
              <w:ind w:left="0" w:right="0" w:firstLine="0"/>
              <w:jc w:val="left"/>
            </w:pPr>
          </w:p>
        </w:tc>
        <w:tc>
          <w:tcPr>
            <w:tcW w:w="1871" w:type="dxa"/>
            <w:tcBorders>
              <w:top w:val="single" w:sz="4" w:space="0" w:color="000000"/>
              <w:left w:val="single" w:sz="4" w:space="0" w:color="000000"/>
              <w:bottom w:val="single" w:sz="4" w:space="0" w:color="000000"/>
              <w:right w:val="single" w:sz="4" w:space="0" w:color="000000"/>
            </w:tcBorders>
          </w:tcPr>
          <w:p w:rsidR="00E8309B" w:rsidRDefault="00E8309B">
            <w:pPr>
              <w:spacing w:after="160" w:line="259" w:lineRule="auto"/>
              <w:ind w:left="0" w:right="0" w:firstLine="0"/>
              <w:jc w:val="left"/>
            </w:pPr>
          </w:p>
        </w:tc>
        <w:tc>
          <w:tcPr>
            <w:tcW w:w="2481"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42" w:firstLine="0"/>
            </w:pPr>
            <w:r>
              <w:rPr>
                <w:sz w:val="16"/>
              </w:rPr>
              <w:t xml:space="preserve">субвенцијама, повећати транспарентност и ефективније креирање аграрне политике. </w:t>
            </w:r>
          </w:p>
        </w:tc>
        <w:tc>
          <w:tcPr>
            <w:tcW w:w="1843" w:type="dxa"/>
            <w:tcBorders>
              <w:top w:val="single" w:sz="4" w:space="0" w:color="000000"/>
              <w:left w:val="single" w:sz="4" w:space="0" w:color="000000"/>
              <w:bottom w:val="single" w:sz="4" w:space="0" w:color="000000"/>
              <w:right w:val="single" w:sz="4" w:space="0" w:color="000000"/>
            </w:tcBorders>
          </w:tcPr>
          <w:p w:rsidR="00E8309B" w:rsidRDefault="00E8309B">
            <w:pPr>
              <w:spacing w:after="160" w:line="259" w:lineRule="auto"/>
              <w:ind w:left="0" w:right="0" w:firstLine="0"/>
              <w:jc w:val="left"/>
            </w:pPr>
          </w:p>
        </w:tc>
        <w:tc>
          <w:tcPr>
            <w:tcW w:w="2974" w:type="dxa"/>
            <w:tcBorders>
              <w:top w:val="single" w:sz="4" w:space="0" w:color="000000"/>
              <w:left w:val="single" w:sz="4" w:space="0" w:color="000000"/>
              <w:bottom w:val="single" w:sz="4" w:space="0" w:color="000000"/>
              <w:right w:val="single" w:sz="4" w:space="0" w:color="000000"/>
            </w:tcBorders>
          </w:tcPr>
          <w:p w:rsidR="00E8309B" w:rsidRDefault="009D0949">
            <w:pPr>
              <w:spacing w:after="79" w:line="250" w:lineRule="auto"/>
              <w:ind w:left="1" w:right="41" w:firstLine="0"/>
            </w:pPr>
            <w:r>
              <w:rPr>
                <w:sz w:val="16"/>
              </w:rPr>
              <w:t xml:space="preserve">ПР 2020 стр. 110. - убрзати </w:t>
            </w:r>
            <w:r>
              <w:rPr>
                <w:sz w:val="16"/>
              </w:rPr>
              <w:t xml:space="preserve">спровођење претприступних фондова ИПА II како би се избегла потреба за уговарањем у последњем тренутку. </w:t>
            </w:r>
          </w:p>
          <w:p w:rsidR="00E8309B" w:rsidRDefault="009D0949">
            <w:pPr>
              <w:spacing w:after="0" w:line="259" w:lineRule="auto"/>
              <w:ind w:left="1" w:right="40" w:firstLine="0"/>
            </w:pPr>
            <w:r>
              <w:rPr>
                <w:sz w:val="16"/>
              </w:rPr>
              <w:t>ПР 2019 стр. 74. – Да спроводи мере поверене у оквиру ИПАРД II програма и затражи поверавање задатака у вези са извршењем буџета за друге мере у оквиру</w:t>
            </w:r>
            <w:r>
              <w:rPr>
                <w:sz w:val="16"/>
              </w:rPr>
              <w:t xml:space="preserve"> програма. </w:t>
            </w:r>
          </w:p>
        </w:tc>
      </w:tr>
      <w:tr w:rsidR="00E8309B">
        <w:trPr>
          <w:trHeight w:val="6198"/>
        </w:trPr>
        <w:tc>
          <w:tcPr>
            <w:tcW w:w="463"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1" w:right="0" w:firstLine="0"/>
              <w:jc w:val="left"/>
            </w:pPr>
            <w:r>
              <w:rPr>
                <w:b/>
                <w:sz w:val="16"/>
              </w:rPr>
              <w:lastRenderedPageBreak/>
              <w:t xml:space="preserve">6. </w:t>
            </w:r>
          </w:p>
        </w:tc>
        <w:tc>
          <w:tcPr>
            <w:tcW w:w="1871"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1" w:right="0" w:firstLine="0"/>
              <w:jc w:val="left"/>
            </w:pPr>
            <w:r>
              <w:rPr>
                <w:b/>
                <w:sz w:val="16"/>
              </w:rPr>
              <w:t xml:space="preserve">Унапређење конкурентности пољопривреде </w:t>
            </w:r>
          </w:p>
        </w:tc>
        <w:tc>
          <w:tcPr>
            <w:tcW w:w="2481" w:type="dxa"/>
            <w:tcBorders>
              <w:top w:val="single" w:sz="4" w:space="0" w:color="000000"/>
              <w:left w:val="single" w:sz="4" w:space="0" w:color="000000"/>
              <w:bottom w:val="single" w:sz="4" w:space="0" w:color="000000"/>
              <w:right w:val="single" w:sz="4" w:space="0" w:color="000000"/>
            </w:tcBorders>
          </w:tcPr>
          <w:p w:rsidR="00E8309B" w:rsidRDefault="009D0949">
            <w:pPr>
              <w:spacing w:after="57" w:line="242" w:lineRule="auto"/>
              <w:ind w:left="0" w:right="42" w:firstLine="0"/>
            </w:pPr>
            <w:r>
              <w:rPr>
                <w:sz w:val="16"/>
              </w:rPr>
              <w:t>Унапређење руралне инфраструктуре у виду изградње: локалних путева, електро мреже, водовода, као и улагања у постројења за очување животне средине, што треба да допринесе већем степену развијености руралних подручја и повећању броја производних и прерадних</w:t>
            </w:r>
            <w:r>
              <w:rPr>
                <w:sz w:val="16"/>
              </w:rPr>
              <w:t xml:space="preserve"> капацитета. </w:t>
            </w:r>
          </w:p>
          <w:p w:rsidR="00E8309B" w:rsidRDefault="009D0949">
            <w:pPr>
              <w:spacing w:after="53" w:line="244" w:lineRule="auto"/>
              <w:ind w:left="0" w:right="42" w:firstLine="0"/>
            </w:pPr>
            <w:r>
              <w:rPr>
                <w:sz w:val="16"/>
              </w:rPr>
              <w:t xml:space="preserve">Унапређење правног оквира у области тржишта пољопривредних производа, у складу са ЕУ прописима, са фокусом на увођење стандарда у производњи и формирање произвођачких организација. </w:t>
            </w:r>
          </w:p>
          <w:p w:rsidR="00E8309B" w:rsidRDefault="009D0949">
            <w:pPr>
              <w:spacing w:after="50" w:line="249" w:lineRule="auto"/>
              <w:ind w:left="0" w:right="41" w:firstLine="0"/>
            </w:pPr>
            <w:r>
              <w:rPr>
                <w:sz w:val="16"/>
              </w:rPr>
              <w:t>Развој система заштите ознака географског порекла зa пoљoпри</w:t>
            </w:r>
            <w:r>
              <w:rPr>
                <w:sz w:val="16"/>
              </w:rPr>
              <w:t xml:space="preserve">врeднe и прeхрaмбeнe прoизвoдe, у складу са европским системом, допринеће повећању пољопривредно – прехрамбених производа са додатом вредношћу. </w:t>
            </w:r>
          </w:p>
          <w:p w:rsidR="00E8309B" w:rsidRDefault="009D0949">
            <w:pPr>
              <w:spacing w:after="0" w:line="259" w:lineRule="auto"/>
              <w:ind w:left="0" w:right="42" w:firstLine="0"/>
            </w:pPr>
            <w:r>
              <w:rPr>
                <w:sz w:val="16"/>
              </w:rPr>
              <w:t>Успостављање регулаторног оквира за производњу пољопривредних и прехрамбених органских производа, као и друга п</w:t>
            </w:r>
            <w:r>
              <w:rPr>
                <w:sz w:val="16"/>
              </w:rPr>
              <w:t xml:space="preserve">итања релевантна за органску производњу. </w:t>
            </w:r>
          </w:p>
        </w:tc>
        <w:tc>
          <w:tcPr>
            <w:tcW w:w="1843" w:type="dxa"/>
            <w:tcBorders>
              <w:top w:val="single" w:sz="4" w:space="0" w:color="000000"/>
              <w:left w:val="single" w:sz="4" w:space="0" w:color="000000"/>
              <w:bottom w:val="single" w:sz="4" w:space="0" w:color="000000"/>
              <w:right w:val="single" w:sz="4" w:space="0" w:color="000000"/>
            </w:tcBorders>
          </w:tcPr>
          <w:p w:rsidR="00E8309B" w:rsidRDefault="009D0949">
            <w:pPr>
              <w:spacing w:after="57" w:line="238" w:lineRule="auto"/>
              <w:ind w:left="1" w:right="0" w:firstLine="0"/>
              <w:jc w:val="left"/>
            </w:pPr>
            <w:r>
              <w:rPr>
                <w:sz w:val="16"/>
              </w:rPr>
              <w:t xml:space="preserve">Стратегија пољопривреде и руралног развоја Републике Србије 2014–2024 </w:t>
            </w:r>
          </w:p>
          <w:p w:rsidR="00E8309B" w:rsidRDefault="009D0949">
            <w:pPr>
              <w:spacing w:after="0" w:line="259" w:lineRule="auto"/>
              <w:ind w:left="1" w:right="0" w:firstLine="0"/>
              <w:jc w:val="left"/>
            </w:pPr>
            <w:r>
              <w:rPr>
                <w:sz w:val="16"/>
              </w:rPr>
              <w:t xml:space="preserve">Закон о подстицајима у пољопривреди и руралном развоју </w:t>
            </w:r>
          </w:p>
        </w:tc>
        <w:tc>
          <w:tcPr>
            <w:tcW w:w="2974" w:type="dxa"/>
            <w:tcBorders>
              <w:top w:val="single" w:sz="4" w:space="0" w:color="000000"/>
              <w:left w:val="single" w:sz="4" w:space="0" w:color="000000"/>
              <w:bottom w:val="single" w:sz="4" w:space="0" w:color="000000"/>
              <w:right w:val="single" w:sz="4" w:space="0" w:color="000000"/>
            </w:tcBorders>
          </w:tcPr>
          <w:p w:rsidR="00E8309B" w:rsidRDefault="009D0949">
            <w:pPr>
              <w:spacing w:after="76" w:line="248" w:lineRule="auto"/>
              <w:ind w:left="1" w:right="37" w:firstLine="0"/>
            </w:pPr>
            <w:r>
              <w:rPr>
                <w:sz w:val="16"/>
              </w:rPr>
              <w:t xml:space="preserve">ПР 2020 стр. 91. - </w:t>
            </w:r>
            <w:r>
              <w:rPr>
                <w:sz w:val="16"/>
              </w:rPr>
              <w:t>убрза обраду пријава за мере које су већ поверене у склопу програма IPARD II да би се избегао губитак фондова ЕУ и да би се наставило са поверавањем задатака у вези са извршењем буџета за остале мере у оквиру програма; благовремено наставити са спровођењем</w:t>
            </w:r>
            <w:r>
              <w:rPr>
                <w:sz w:val="16"/>
              </w:rPr>
              <w:t xml:space="preserve"> акционог плана како би се обезбедило усклађивање са правним тековинама ЕУ у области пољопривреде и руралног развоја. </w:t>
            </w:r>
          </w:p>
          <w:p w:rsidR="00E8309B" w:rsidRDefault="009D0949">
            <w:pPr>
              <w:spacing w:after="79" w:line="250" w:lineRule="auto"/>
              <w:ind w:left="1" w:right="41" w:firstLine="0"/>
            </w:pPr>
            <w:r>
              <w:rPr>
                <w:sz w:val="16"/>
              </w:rPr>
              <w:t xml:space="preserve">ПР 2020 стр. 110. - убрзати спровођење претприступних фондова ИПА II како би се избегла потреба за уговарањем у последњем тренутку. </w:t>
            </w:r>
          </w:p>
          <w:p w:rsidR="00E8309B" w:rsidRDefault="009D0949">
            <w:pPr>
              <w:spacing w:after="84" w:line="247" w:lineRule="auto"/>
              <w:ind w:left="1" w:right="40" w:firstLine="0"/>
            </w:pPr>
            <w:r>
              <w:rPr>
                <w:sz w:val="16"/>
              </w:rPr>
              <w:t>ПР 2</w:t>
            </w:r>
            <w:r>
              <w:rPr>
                <w:sz w:val="16"/>
              </w:rPr>
              <w:t xml:space="preserve">019 стр. 74. – Да спроводи мере поверене у оквиру ИПАРД II програма и затражи поверавање задатака у вези са извршењем буџета за друге мере у оквиру програма. </w:t>
            </w:r>
          </w:p>
          <w:p w:rsidR="00E8309B" w:rsidRDefault="009D0949">
            <w:pPr>
              <w:spacing w:after="0" w:line="259" w:lineRule="auto"/>
              <w:ind w:left="1" w:right="39" w:firstLine="0"/>
            </w:pPr>
            <w:r>
              <w:rPr>
                <w:sz w:val="16"/>
              </w:rPr>
              <w:t xml:space="preserve">ПР 2019 стр. 74. – Да настави са спровођењем акционог плана за усклађивање са правним тековинама </w:t>
            </w:r>
            <w:r>
              <w:rPr>
                <w:sz w:val="16"/>
              </w:rPr>
              <w:t xml:space="preserve">ЕУ у области пољопривреде и руралног развоја. </w:t>
            </w:r>
          </w:p>
        </w:tc>
      </w:tr>
      <w:tr w:rsidR="00E8309B">
        <w:trPr>
          <w:trHeight w:val="2156"/>
        </w:trPr>
        <w:tc>
          <w:tcPr>
            <w:tcW w:w="463"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1" w:right="0" w:firstLine="0"/>
              <w:jc w:val="left"/>
            </w:pPr>
            <w:r>
              <w:rPr>
                <w:b/>
                <w:sz w:val="16"/>
              </w:rPr>
              <w:t xml:space="preserve">7. </w:t>
            </w:r>
          </w:p>
        </w:tc>
        <w:tc>
          <w:tcPr>
            <w:tcW w:w="1871"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1" w:right="0" w:firstLine="0"/>
              <w:jc w:val="left"/>
            </w:pPr>
            <w:r>
              <w:rPr>
                <w:b/>
                <w:sz w:val="16"/>
              </w:rPr>
              <w:t xml:space="preserve">Подизање конкурентности индустрије </w:t>
            </w:r>
          </w:p>
        </w:tc>
        <w:tc>
          <w:tcPr>
            <w:tcW w:w="2481"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42" w:firstLine="0"/>
            </w:pPr>
            <w:r>
              <w:rPr>
                <w:sz w:val="16"/>
              </w:rPr>
              <w:t>Стварање фокусиране и боље координисане политике развоја индустрије кроз дигитализацију пословних модела индустријске производње, повећање обима инвестиција у индустрију и унапређење технолошке структуре извоза, а у координацији са Стратегијом паметне спец</w:t>
            </w:r>
            <w:r>
              <w:rPr>
                <w:sz w:val="16"/>
              </w:rPr>
              <w:t xml:space="preserve">ијализације. </w:t>
            </w:r>
          </w:p>
        </w:tc>
        <w:tc>
          <w:tcPr>
            <w:tcW w:w="1843" w:type="dxa"/>
            <w:tcBorders>
              <w:top w:val="single" w:sz="4" w:space="0" w:color="000000"/>
              <w:left w:val="single" w:sz="4" w:space="0" w:color="000000"/>
              <w:bottom w:val="single" w:sz="4" w:space="0" w:color="000000"/>
              <w:right w:val="single" w:sz="4" w:space="0" w:color="000000"/>
            </w:tcBorders>
          </w:tcPr>
          <w:p w:rsidR="00E8309B" w:rsidRDefault="009D0949">
            <w:pPr>
              <w:spacing w:after="15" w:line="258" w:lineRule="auto"/>
              <w:ind w:left="1" w:right="0" w:firstLine="0"/>
              <w:jc w:val="left"/>
            </w:pPr>
            <w:r>
              <w:rPr>
                <w:sz w:val="16"/>
              </w:rPr>
              <w:t xml:space="preserve">Стратегија индустријске политике Републике Србије од </w:t>
            </w:r>
          </w:p>
          <w:p w:rsidR="00E8309B" w:rsidRDefault="009D0949">
            <w:pPr>
              <w:spacing w:after="0" w:line="259" w:lineRule="auto"/>
              <w:ind w:left="1" w:right="0" w:firstLine="0"/>
              <w:jc w:val="left"/>
            </w:pPr>
            <w:r>
              <w:rPr>
                <w:sz w:val="16"/>
              </w:rPr>
              <w:t xml:space="preserve">2021. до 2030. године </w:t>
            </w:r>
          </w:p>
        </w:tc>
        <w:tc>
          <w:tcPr>
            <w:tcW w:w="2974" w:type="dxa"/>
            <w:tcBorders>
              <w:top w:val="single" w:sz="4" w:space="0" w:color="000000"/>
              <w:left w:val="single" w:sz="4" w:space="0" w:color="000000"/>
              <w:bottom w:val="single" w:sz="4" w:space="0" w:color="000000"/>
              <w:right w:val="single" w:sz="4" w:space="0" w:color="000000"/>
            </w:tcBorders>
          </w:tcPr>
          <w:p w:rsidR="00E8309B" w:rsidRDefault="009D0949">
            <w:pPr>
              <w:spacing w:after="83" w:line="245" w:lineRule="auto"/>
              <w:ind w:left="1" w:right="38" w:firstLine="0"/>
            </w:pPr>
            <w:r>
              <w:rPr>
                <w:sz w:val="16"/>
              </w:rPr>
              <w:t xml:space="preserve">ПР 2020 стр 107. - развити </w:t>
            </w:r>
            <w:r>
              <w:rPr>
                <w:sz w:val="16"/>
              </w:rPr>
              <w:t xml:space="preserve">акциони план за спровођење нове индустријске стратегије коришћењем закључака добијених спровођењем паметне специјализације, као и да се започне са њеном применом. </w:t>
            </w:r>
          </w:p>
          <w:p w:rsidR="00E8309B" w:rsidRDefault="009D0949">
            <w:pPr>
              <w:spacing w:after="0" w:line="259" w:lineRule="auto"/>
              <w:ind w:left="1" w:right="40" w:firstLine="0"/>
            </w:pPr>
            <w:r>
              <w:rPr>
                <w:sz w:val="16"/>
              </w:rPr>
              <w:t xml:space="preserve">ЕКОФИН 2019 П4 - Користити резултате спроведених активности паметне специјализације како би </w:t>
            </w:r>
            <w:r>
              <w:rPr>
                <w:sz w:val="16"/>
              </w:rPr>
              <w:t xml:space="preserve">се финализирала нова индустријска стратегија. </w:t>
            </w:r>
          </w:p>
        </w:tc>
      </w:tr>
      <w:tr w:rsidR="00E8309B">
        <w:trPr>
          <w:trHeight w:val="3747"/>
        </w:trPr>
        <w:tc>
          <w:tcPr>
            <w:tcW w:w="463"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1" w:right="0" w:firstLine="0"/>
              <w:jc w:val="left"/>
            </w:pPr>
            <w:r>
              <w:rPr>
                <w:b/>
                <w:sz w:val="16"/>
              </w:rPr>
              <w:t xml:space="preserve">8. </w:t>
            </w:r>
          </w:p>
        </w:tc>
        <w:tc>
          <w:tcPr>
            <w:tcW w:w="1871"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1" w:right="0" w:firstLine="0"/>
              <w:jc w:val="left"/>
            </w:pPr>
            <w:r>
              <w:rPr>
                <w:b/>
                <w:sz w:val="16"/>
              </w:rPr>
              <w:t xml:space="preserve">Увођење концепта циркуларне економије </w:t>
            </w:r>
          </w:p>
        </w:tc>
        <w:tc>
          <w:tcPr>
            <w:tcW w:w="2481" w:type="dxa"/>
            <w:tcBorders>
              <w:top w:val="single" w:sz="4" w:space="0" w:color="000000"/>
              <w:left w:val="single" w:sz="4" w:space="0" w:color="000000"/>
              <w:bottom w:val="single" w:sz="4" w:space="0" w:color="000000"/>
              <w:right w:val="single" w:sz="4" w:space="0" w:color="000000"/>
            </w:tcBorders>
          </w:tcPr>
          <w:p w:rsidR="00E8309B" w:rsidRDefault="009D0949">
            <w:pPr>
              <w:spacing w:after="119" w:line="239" w:lineRule="auto"/>
              <w:ind w:left="0" w:right="42" w:firstLine="0"/>
            </w:pPr>
            <w:r>
              <w:rPr>
                <w:sz w:val="16"/>
              </w:rPr>
              <w:t>Циљ реформе је покретање развоја привреде уз очување животне средине и здравља људи. Предвиђено је дефинисање стратешког оквира за циркуларну економију израдом документа јавне политике, подстицање увођења концепта циркуларне економије у привредним субјекти</w:t>
            </w:r>
            <w:r>
              <w:rPr>
                <w:sz w:val="16"/>
              </w:rPr>
              <w:t xml:space="preserve">ма кроз доделу циркуларних ваучера којима ће се  подстаћи сарадња бизнис и академског сектора, као и подстицање стварања циркуларних заједница израдом мапе пута за циркуларну економију за локалне самоуправе. </w:t>
            </w:r>
          </w:p>
          <w:p w:rsidR="00E8309B" w:rsidRDefault="009D0949">
            <w:pPr>
              <w:spacing w:after="0" w:line="259" w:lineRule="auto"/>
              <w:ind w:left="0" w:right="0" w:firstLine="0"/>
              <w:jc w:val="left"/>
            </w:pPr>
            <w:r>
              <w:rPr>
                <w:sz w:val="16"/>
              </w:rPr>
              <w:t xml:space="preserve"> </w:t>
            </w:r>
          </w:p>
        </w:tc>
        <w:tc>
          <w:tcPr>
            <w:tcW w:w="1843" w:type="dxa"/>
            <w:tcBorders>
              <w:top w:val="single" w:sz="4" w:space="0" w:color="000000"/>
              <w:left w:val="single" w:sz="4" w:space="0" w:color="000000"/>
              <w:bottom w:val="single" w:sz="4" w:space="0" w:color="000000"/>
              <w:right w:val="single" w:sz="4" w:space="0" w:color="000000"/>
            </w:tcBorders>
          </w:tcPr>
          <w:p w:rsidR="00E8309B" w:rsidRDefault="009D0949">
            <w:pPr>
              <w:spacing w:after="46" w:line="256" w:lineRule="auto"/>
              <w:ind w:left="1" w:right="218" w:firstLine="0"/>
            </w:pPr>
            <w:r>
              <w:rPr>
                <w:sz w:val="16"/>
              </w:rPr>
              <w:t xml:space="preserve">Национални програм заштите животне средине </w:t>
            </w:r>
          </w:p>
          <w:p w:rsidR="00E8309B" w:rsidRDefault="009D0949">
            <w:pPr>
              <w:spacing w:after="51" w:line="247" w:lineRule="auto"/>
              <w:ind w:left="1" w:right="0" w:firstLine="0"/>
              <w:jc w:val="left"/>
            </w:pPr>
            <w:r>
              <w:rPr>
                <w:sz w:val="16"/>
              </w:rPr>
              <w:t xml:space="preserve">Добровољни извештај Републике Србије за реализацију циљева Агенде 2030 УН за одрживи развој </w:t>
            </w:r>
          </w:p>
          <w:p w:rsidR="00E8309B" w:rsidRDefault="009D0949">
            <w:pPr>
              <w:spacing w:after="0" w:line="259" w:lineRule="auto"/>
              <w:ind w:left="1" w:right="0" w:firstLine="0"/>
              <w:jc w:val="left"/>
            </w:pPr>
            <w:r>
              <w:rPr>
                <w:sz w:val="16"/>
              </w:rPr>
              <w:t xml:space="preserve">Споразум о стабилизацији и придруживању </w:t>
            </w:r>
          </w:p>
        </w:tc>
        <w:tc>
          <w:tcPr>
            <w:tcW w:w="2974"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1" w:right="0" w:firstLine="0"/>
              <w:jc w:val="left"/>
            </w:pPr>
            <w:r>
              <w:rPr>
                <w:sz w:val="16"/>
              </w:rPr>
              <w:t xml:space="preserve"> </w:t>
            </w:r>
          </w:p>
        </w:tc>
      </w:tr>
    </w:tbl>
    <w:p w:rsidR="00E8309B" w:rsidRDefault="00E8309B">
      <w:pPr>
        <w:spacing w:after="0" w:line="259" w:lineRule="auto"/>
        <w:ind w:left="-1133" w:right="25" w:firstLine="0"/>
        <w:jc w:val="left"/>
      </w:pPr>
    </w:p>
    <w:tbl>
      <w:tblPr>
        <w:tblStyle w:val="TableGrid"/>
        <w:tblW w:w="9633" w:type="dxa"/>
        <w:tblInd w:w="7" w:type="dxa"/>
        <w:tblCellMar>
          <w:top w:w="8" w:type="dxa"/>
          <w:left w:w="107" w:type="dxa"/>
          <w:bottom w:w="0" w:type="dxa"/>
          <w:right w:w="29" w:type="dxa"/>
        </w:tblCellMar>
        <w:tblLook w:val="04A0" w:firstRow="1" w:lastRow="0" w:firstColumn="1" w:lastColumn="0" w:noHBand="0" w:noVBand="1"/>
      </w:tblPr>
      <w:tblGrid>
        <w:gridCol w:w="463"/>
        <w:gridCol w:w="1871"/>
        <w:gridCol w:w="2481"/>
        <w:gridCol w:w="1087"/>
        <w:gridCol w:w="564"/>
        <w:gridCol w:w="193"/>
        <w:gridCol w:w="2974"/>
      </w:tblGrid>
      <w:tr w:rsidR="00E8309B">
        <w:trPr>
          <w:trHeight w:val="377"/>
        </w:trPr>
        <w:tc>
          <w:tcPr>
            <w:tcW w:w="463" w:type="dxa"/>
            <w:tcBorders>
              <w:top w:val="single" w:sz="4" w:space="0" w:color="000000"/>
              <w:left w:val="single" w:sz="4" w:space="0" w:color="000000"/>
              <w:bottom w:val="single" w:sz="4" w:space="0" w:color="000000"/>
              <w:right w:val="single" w:sz="4" w:space="0" w:color="000000"/>
            </w:tcBorders>
            <w:shd w:val="clear" w:color="auto" w:fill="D9D9D9"/>
          </w:tcPr>
          <w:p w:rsidR="00E8309B" w:rsidRDefault="009D0949">
            <w:pPr>
              <w:spacing w:after="13" w:line="259" w:lineRule="auto"/>
              <w:ind w:left="1" w:right="0" w:firstLine="0"/>
              <w:jc w:val="left"/>
            </w:pPr>
            <w:r>
              <w:rPr>
                <w:b/>
                <w:sz w:val="16"/>
              </w:rPr>
              <w:t xml:space="preserve">СР </w:t>
            </w:r>
          </w:p>
          <w:p w:rsidR="00E8309B" w:rsidRDefault="009D0949">
            <w:pPr>
              <w:spacing w:after="0" w:line="259" w:lineRule="auto"/>
              <w:ind w:left="1" w:right="0" w:firstLine="0"/>
              <w:jc w:val="left"/>
            </w:pPr>
            <w:r>
              <w:rPr>
                <w:b/>
                <w:sz w:val="16"/>
              </w:rPr>
              <w:t xml:space="preserve">Рб. </w:t>
            </w:r>
          </w:p>
        </w:tc>
        <w:tc>
          <w:tcPr>
            <w:tcW w:w="1871" w:type="dxa"/>
            <w:tcBorders>
              <w:top w:val="single" w:sz="4" w:space="0" w:color="000000"/>
              <w:left w:val="single" w:sz="4" w:space="0" w:color="000000"/>
              <w:bottom w:val="single" w:sz="4" w:space="0" w:color="000000"/>
              <w:right w:val="single" w:sz="4" w:space="0" w:color="000000"/>
            </w:tcBorders>
            <w:shd w:val="clear" w:color="auto" w:fill="D9D9D9"/>
          </w:tcPr>
          <w:p w:rsidR="00E8309B" w:rsidRDefault="009D0949">
            <w:pPr>
              <w:spacing w:after="0" w:line="259" w:lineRule="auto"/>
              <w:ind w:left="0" w:right="0" w:firstLine="0"/>
              <w:jc w:val="center"/>
            </w:pPr>
            <w:r>
              <w:rPr>
                <w:b/>
                <w:sz w:val="16"/>
              </w:rPr>
              <w:t xml:space="preserve">Назив структурне реформе </w:t>
            </w:r>
          </w:p>
        </w:tc>
        <w:tc>
          <w:tcPr>
            <w:tcW w:w="2481" w:type="dxa"/>
            <w:tcBorders>
              <w:top w:val="single" w:sz="4" w:space="0" w:color="000000"/>
              <w:left w:val="single" w:sz="4" w:space="0" w:color="000000"/>
              <w:bottom w:val="single" w:sz="4" w:space="0" w:color="000000"/>
              <w:right w:val="single" w:sz="4" w:space="0" w:color="000000"/>
            </w:tcBorders>
            <w:shd w:val="clear" w:color="auto" w:fill="D9D9D9"/>
          </w:tcPr>
          <w:p w:rsidR="00E8309B" w:rsidRDefault="009D0949">
            <w:pPr>
              <w:spacing w:after="0" w:line="259" w:lineRule="auto"/>
              <w:ind w:left="0" w:right="83" w:firstLine="0"/>
              <w:jc w:val="center"/>
            </w:pPr>
            <w:r>
              <w:rPr>
                <w:b/>
                <w:sz w:val="16"/>
              </w:rPr>
              <w:t xml:space="preserve">Опис структурне реформе </w:t>
            </w:r>
          </w:p>
        </w:tc>
        <w:tc>
          <w:tcPr>
            <w:tcW w:w="1843" w:type="dxa"/>
            <w:gridSpan w:val="3"/>
            <w:tcBorders>
              <w:top w:val="single" w:sz="4" w:space="0" w:color="000000"/>
              <w:left w:val="single" w:sz="4" w:space="0" w:color="000000"/>
              <w:bottom w:val="single" w:sz="4" w:space="0" w:color="000000"/>
              <w:right w:val="single" w:sz="4" w:space="0" w:color="000000"/>
            </w:tcBorders>
            <w:shd w:val="clear" w:color="auto" w:fill="D9D9D9"/>
          </w:tcPr>
          <w:p w:rsidR="00E8309B" w:rsidRDefault="009D0949">
            <w:pPr>
              <w:spacing w:after="0" w:line="259" w:lineRule="auto"/>
              <w:ind w:left="20" w:right="0" w:firstLine="0"/>
              <w:jc w:val="left"/>
            </w:pPr>
            <w:r>
              <w:rPr>
                <w:b/>
                <w:sz w:val="16"/>
              </w:rPr>
              <w:t xml:space="preserve">Референтни документ </w:t>
            </w:r>
          </w:p>
        </w:tc>
        <w:tc>
          <w:tcPr>
            <w:tcW w:w="2974"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E8309B" w:rsidRDefault="009D0949">
            <w:pPr>
              <w:spacing w:after="0" w:line="259" w:lineRule="auto"/>
              <w:ind w:left="0" w:right="77" w:firstLine="0"/>
              <w:jc w:val="center"/>
            </w:pPr>
            <w:r>
              <w:rPr>
                <w:b/>
                <w:sz w:val="16"/>
              </w:rPr>
              <w:t>Препоруке</w:t>
            </w:r>
            <w:r>
              <w:rPr>
                <w:b/>
                <w:sz w:val="16"/>
                <w:vertAlign w:val="superscript"/>
              </w:rPr>
              <w:t>21</w:t>
            </w:r>
            <w:r>
              <w:rPr>
                <w:b/>
                <w:sz w:val="16"/>
              </w:rPr>
              <w:t xml:space="preserve"> </w:t>
            </w:r>
          </w:p>
        </w:tc>
      </w:tr>
      <w:tr w:rsidR="00E8309B">
        <w:trPr>
          <w:trHeight w:val="407"/>
        </w:trPr>
        <w:tc>
          <w:tcPr>
            <w:tcW w:w="9633" w:type="dxa"/>
            <w:gridSpan w:val="7"/>
            <w:tcBorders>
              <w:top w:val="single" w:sz="4" w:space="0" w:color="000000"/>
              <w:left w:val="single" w:sz="4" w:space="0" w:color="000000"/>
              <w:bottom w:val="single" w:sz="4" w:space="0" w:color="000000"/>
              <w:right w:val="single" w:sz="4" w:space="0" w:color="000000"/>
            </w:tcBorders>
            <w:shd w:val="clear" w:color="auto" w:fill="D9D9D9"/>
            <w:vAlign w:val="center"/>
          </w:tcPr>
          <w:p w:rsidR="00E8309B" w:rsidRDefault="009D0949">
            <w:pPr>
              <w:spacing w:after="0" w:line="259" w:lineRule="auto"/>
              <w:ind w:left="1" w:right="0" w:firstLine="0"/>
              <w:jc w:val="left"/>
            </w:pPr>
            <w:r>
              <w:rPr>
                <w:b/>
                <w:sz w:val="16"/>
              </w:rPr>
              <w:t xml:space="preserve">ОБЛАСТ: ПОСЛОВНИ АМБИЈЕНТ И БОРБА ПРОТИВ СИВЕ ЕКОНОМИЈЕ </w:t>
            </w:r>
          </w:p>
        </w:tc>
      </w:tr>
      <w:tr w:rsidR="00E8309B">
        <w:trPr>
          <w:trHeight w:val="2891"/>
        </w:trPr>
        <w:tc>
          <w:tcPr>
            <w:tcW w:w="463"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1" w:right="0" w:firstLine="0"/>
              <w:jc w:val="left"/>
            </w:pPr>
            <w:r>
              <w:rPr>
                <w:b/>
                <w:sz w:val="16"/>
              </w:rPr>
              <w:lastRenderedPageBreak/>
              <w:t xml:space="preserve">9. </w:t>
            </w:r>
          </w:p>
        </w:tc>
        <w:tc>
          <w:tcPr>
            <w:tcW w:w="1871"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1" w:right="44" w:firstLine="0"/>
              <w:jc w:val="left"/>
            </w:pPr>
            <w:r>
              <w:rPr>
                <w:b/>
                <w:sz w:val="16"/>
              </w:rPr>
              <w:t xml:space="preserve">Унапређење квалитета пружања јавних услуга кроз оптимизацију и дигитализацију административних поступака – еПапир </w:t>
            </w:r>
          </w:p>
        </w:tc>
        <w:tc>
          <w:tcPr>
            <w:tcW w:w="2481"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78" w:firstLine="0"/>
            </w:pPr>
            <w:r>
              <w:rPr>
                <w:sz w:val="16"/>
              </w:rPr>
              <w:t xml:space="preserve">Успостављање Јединственог јавног </w:t>
            </w:r>
            <w:r>
              <w:rPr>
                <w:sz w:val="16"/>
              </w:rPr>
              <w:tab/>
              <w:t xml:space="preserve">регистра административних поступака </w:t>
            </w:r>
            <w:r>
              <w:rPr>
                <w:sz w:val="16"/>
              </w:rPr>
              <w:t>и осталих услова пословања, поједностављење и укидање сувишних поступака (гиљотина прописа) и дигитализација најфреквентнијих административних поступака. Поред административних поступака за привреду, планиран је и попис административних поступака за грађан</w:t>
            </w:r>
            <w:r>
              <w:rPr>
                <w:sz w:val="16"/>
              </w:rPr>
              <w:t xml:space="preserve">е, као и њихова оптимизација и дигитализација. </w:t>
            </w:r>
          </w:p>
        </w:tc>
        <w:tc>
          <w:tcPr>
            <w:tcW w:w="1843" w:type="dxa"/>
            <w:gridSpan w:val="3"/>
            <w:tcBorders>
              <w:top w:val="single" w:sz="4" w:space="0" w:color="000000"/>
              <w:left w:val="single" w:sz="4" w:space="0" w:color="000000"/>
              <w:bottom w:val="single" w:sz="4" w:space="0" w:color="000000"/>
              <w:right w:val="single" w:sz="4" w:space="0" w:color="000000"/>
            </w:tcBorders>
          </w:tcPr>
          <w:p w:rsidR="00E8309B" w:rsidRDefault="009D0949">
            <w:pPr>
              <w:spacing w:after="58" w:line="237" w:lineRule="auto"/>
              <w:ind w:left="1" w:right="0" w:firstLine="0"/>
              <w:jc w:val="left"/>
            </w:pPr>
            <w:r>
              <w:rPr>
                <w:sz w:val="16"/>
              </w:rPr>
              <w:t xml:space="preserve">Програм за поједностављење административних поступака и регулативе „еПапир” за период 2019-2021 </w:t>
            </w:r>
          </w:p>
          <w:p w:rsidR="00E8309B" w:rsidRDefault="009D0949">
            <w:pPr>
              <w:spacing w:after="45" w:line="258" w:lineRule="auto"/>
              <w:ind w:left="1" w:right="193" w:firstLine="0"/>
            </w:pPr>
            <w:r>
              <w:rPr>
                <w:sz w:val="16"/>
              </w:rPr>
              <w:t xml:space="preserve">Програм развоја електронске управе за период 2020. до 2022.  </w:t>
            </w:r>
          </w:p>
          <w:p w:rsidR="00E8309B" w:rsidRDefault="009D0949">
            <w:pPr>
              <w:spacing w:after="0" w:line="259" w:lineRule="auto"/>
              <w:ind w:left="1" w:right="0" w:firstLine="0"/>
              <w:jc w:val="left"/>
            </w:pPr>
            <w:r>
              <w:rPr>
                <w:sz w:val="16"/>
              </w:rPr>
              <w:t xml:space="preserve"> </w:t>
            </w:r>
          </w:p>
        </w:tc>
        <w:tc>
          <w:tcPr>
            <w:tcW w:w="2974" w:type="dxa"/>
            <w:tcBorders>
              <w:top w:val="single" w:sz="4" w:space="0" w:color="000000"/>
              <w:left w:val="single" w:sz="4" w:space="0" w:color="000000"/>
              <w:bottom w:val="single" w:sz="4" w:space="0" w:color="000000"/>
              <w:right w:val="single" w:sz="4" w:space="0" w:color="000000"/>
            </w:tcBorders>
          </w:tcPr>
          <w:p w:rsidR="00E8309B" w:rsidRDefault="009D0949">
            <w:pPr>
              <w:spacing w:after="74" w:line="257" w:lineRule="auto"/>
              <w:ind w:left="1" w:right="75" w:firstLine="0"/>
            </w:pPr>
            <w:r>
              <w:rPr>
                <w:sz w:val="16"/>
              </w:rPr>
              <w:t>ПР 2020 стр. 107. - уложити додатне напоре за п</w:t>
            </w:r>
            <w:r>
              <w:rPr>
                <w:sz w:val="16"/>
              </w:rPr>
              <w:t xml:space="preserve">овећање предвидљивости пословног окружења. </w:t>
            </w:r>
          </w:p>
          <w:p w:rsidR="00E8309B" w:rsidRDefault="009D0949">
            <w:pPr>
              <w:spacing w:after="53" w:line="247" w:lineRule="auto"/>
              <w:ind w:left="1" w:right="74" w:firstLine="0"/>
            </w:pPr>
            <w:r>
              <w:rPr>
                <w:sz w:val="16"/>
              </w:rPr>
              <w:t xml:space="preserve">ЕРП ОЦЕНА ЕК 2019 – Један од три главна структурна изазова Србије су побољшање транспарентности и предвидивости регулаторног окружења и олакашавање конкуренције. </w:t>
            </w:r>
          </w:p>
          <w:p w:rsidR="00E8309B" w:rsidRDefault="009D0949">
            <w:pPr>
              <w:spacing w:after="0" w:line="259" w:lineRule="auto"/>
              <w:ind w:left="1" w:right="0" w:firstLine="0"/>
              <w:jc w:val="left"/>
            </w:pPr>
            <w:r>
              <w:rPr>
                <w:sz w:val="16"/>
              </w:rPr>
              <w:t xml:space="preserve"> </w:t>
            </w:r>
          </w:p>
        </w:tc>
      </w:tr>
      <w:tr w:rsidR="00E8309B">
        <w:trPr>
          <w:trHeight w:val="2890"/>
        </w:trPr>
        <w:tc>
          <w:tcPr>
            <w:tcW w:w="463"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1" w:right="0" w:firstLine="0"/>
              <w:jc w:val="left"/>
            </w:pPr>
            <w:r>
              <w:rPr>
                <w:b/>
                <w:sz w:val="16"/>
              </w:rPr>
              <w:t xml:space="preserve">10. </w:t>
            </w:r>
          </w:p>
        </w:tc>
        <w:tc>
          <w:tcPr>
            <w:tcW w:w="1871" w:type="dxa"/>
            <w:tcBorders>
              <w:top w:val="single" w:sz="4" w:space="0" w:color="000000"/>
              <w:left w:val="single" w:sz="4" w:space="0" w:color="000000"/>
              <w:bottom w:val="single" w:sz="4" w:space="0" w:color="000000"/>
              <w:right w:val="single" w:sz="4" w:space="0" w:color="000000"/>
            </w:tcBorders>
          </w:tcPr>
          <w:p w:rsidR="00E8309B" w:rsidRDefault="009D0949">
            <w:pPr>
              <w:spacing w:after="17" w:line="259" w:lineRule="auto"/>
              <w:ind w:left="1" w:right="0" w:firstLine="0"/>
              <w:jc w:val="left"/>
            </w:pPr>
            <w:r>
              <w:rPr>
                <w:b/>
                <w:sz w:val="16"/>
              </w:rPr>
              <w:t xml:space="preserve">Трансформација </w:t>
            </w:r>
          </w:p>
          <w:p w:rsidR="00E8309B" w:rsidRDefault="009D0949">
            <w:pPr>
              <w:spacing w:after="0" w:line="259" w:lineRule="auto"/>
              <w:ind w:left="1" w:right="0" w:firstLine="0"/>
              <w:jc w:val="left"/>
            </w:pPr>
            <w:r>
              <w:rPr>
                <w:b/>
                <w:sz w:val="16"/>
              </w:rPr>
              <w:t xml:space="preserve">Пореске управе </w:t>
            </w:r>
          </w:p>
        </w:tc>
        <w:tc>
          <w:tcPr>
            <w:tcW w:w="2481"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77" w:firstLine="0"/>
            </w:pPr>
            <w:r>
              <w:rPr>
                <w:sz w:val="16"/>
              </w:rPr>
              <w:t>Трансформација Пореске управе као реформски процес са циљем стварања организације коју карактерише модерно дигитално пословање, оријентисаност ка пружању услуга пореским обвезницима, као и пружање услуга у складу са најбољим међународним стандардима. У даљ</w:t>
            </w:r>
            <w:r>
              <w:rPr>
                <w:sz w:val="16"/>
              </w:rPr>
              <w:t xml:space="preserve">ој фази предвиђен је реинжењеринг пословних процеса, даљи развој платформе информационих система, као и набавка система за нову платформу ИКТ. </w:t>
            </w:r>
          </w:p>
        </w:tc>
        <w:tc>
          <w:tcPr>
            <w:tcW w:w="1843" w:type="dxa"/>
            <w:gridSpan w:val="3"/>
            <w:tcBorders>
              <w:top w:val="single" w:sz="4" w:space="0" w:color="000000"/>
              <w:left w:val="single" w:sz="4" w:space="0" w:color="000000"/>
              <w:bottom w:val="single" w:sz="4" w:space="0" w:color="000000"/>
              <w:right w:val="single" w:sz="4" w:space="0" w:color="000000"/>
            </w:tcBorders>
          </w:tcPr>
          <w:p w:rsidR="00E8309B" w:rsidRDefault="009D0949">
            <w:pPr>
              <w:spacing w:after="0" w:line="258" w:lineRule="auto"/>
              <w:ind w:left="1" w:right="0" w:firstLine="0"/>
              <w:jc w:val="left"/>
            </w:pPr>
            <w:r>
              <w:rPr>
                <w:sz w:val="16"/>
              </w:rPr>
              <w:t>Програм трансформације Пореске управе 2015-</w:t>
            </w:r>
          </w:p>
          <w:p w:rsidR="00E8309B" w:rsidRDefault="009D0949">
            <w:pPr>
              <w:spacing w:after="41" w:line="259" w:lineRule="auto"/>
              <w:ind w:left="1" w:right="0" w:firstLine="0"/>
              <w:jc w:val="left"/>
            </w:pPr>
            <w:r>
              <w:rPr>
                <w:sz w:val="16"/>
              </w:rPr>
              <w:t xml:space="preserve">2020 </w:t>
            </w:r>
          </w:p>
          <w:p w:rsidR="00E8309B" w:rsidRDefault="009D0949">
            <w:pPr>
              <w:spacing w:after="0" w:line="259" w:lineRule="auto"/>
              <w:ind w:left="1" w:right="21" w:firstLine="0"/>
              <w:jc w:val="left"/>
            </w:pPr>
            <w:r>
              <w:rPr>
                <w:sz w:val="16"/>
              </w:rPr>
              <w:t xml:space="preserve">Акциони план Програма трансформације Пореске управе 20182023 </w:t>
            </w:r>
          </w:p>
        </w:tc>
        <w:tc>
          <w:tcPr>
            <w:tcW w:w="2974" w:type="dxa"/>
            <w:tcBorders>
              <w:top w:val="single" w:sz="4" w:space="0" w:color="000000"/>
              <w:left w:val="single" w:sz="4" w:space="0" w:color="000000"/>
              <w:bottom w:val="single" w:sz="4" w:space="0" w:color="000000"/>
              <w:right w:val="single" w:sz="4" w:space="0" w:color="000000"/>
            </w:tcBorders>
          </w:tcPr>
          <w:p w:rsidR="00E8309B" w:rsidRDefault="009D0949">
            <w:pPr>
              <w:spacing w:after="83" w:line="243" w:lineRule="auto"/>
              <w:ind w:left="1" w:right="73" w:firstLine="0"/>
            </w:pPr>
            <w:r>
              <w:rPr>
                <w:sz w:val="16"/>
              </w:rPr>
              <w:t>ПР 2020 стр. 100. - наставити спровођење програма реформе Пореске управе ради поједностављења активности Пореске управе, при чему треба да обезбеди довољно људских и технолошких ресурса у ту сврху, побољша наплату пореза и бори се против неформалне економи</w:t>
            </w:r>
            <w:r>
              <w:rPr>
                <w:sz w:val="16"/>
              </w:rPr>
              <w:t xml:space="preserve">је. </w:t>
            </w:r>
          </w:p>
          <w:p w:rsidR="00E8309B" w:rsidRDefault="009D0949">
            <w:pPr>
              <w:spacing w:after="0" w:line="259" w:lineRule="auto"/>
              <w:ind w:left="1" w:right="74" w:firstLine="0"/>
            </w:pPr>
            <w:r>
              <w:rPr>
                <w:sz w:val="16"/>
              </w:rPr>
              <w:t xml:space="preserve">ПР 2020 стр. 107. - уложити додатне напоре за повећање предвидљивости пословног окружења. </w:t>
            </w:r>
          </w:p>
        </w:tc>
      </w:tr>
      <w:tr w:rsidR="00E8309B">
        <w:trPr>
          <w:trHeight w:val="3624"/>
        </w:trPr>
        <w:tc>
          <w:tcPr>
            <w:tcW w:w="463"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1" w:right="0" w:firstLine="0"/>
              <w:jc w:val="left"/>
            </w:pPr>
            <w:r>
              <w:rPr>
                <w:b/>
                <w:sz w:val="16"/>
              </w:rPr>
              <w:t xml:space="preserve">11. </w:t>
            </w:r>
          </w:p>
        </w:tc>
        <w:tc>
          <w:tcPr>
            <w:tcW w:w="1871"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1" w:right="0" w:firstLine="0"/>
              <w:jc w:val="left"/>
            </w:pPr>
            <w:r>
              <w:rPr>
                <w:b/>
                <w:sz w:val="16"/>
              </w:rPr>
              <w:t xml:space="preserve">Увођење новог модела фискализације и прелазак на електронско фактурисање </w:t>
            </w:r>
          </w:p>
        </w:tc>
        <w:tc>
          <w:tcPr>
            <w:tcW w:w="2481"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78" w:firstLine="0"/>
            </w:pPr>
            <w:r>
              <w:rPr>
                <w:sz w:val="16"/>
              </w:rPr>
              <w:t>Структурна реформа подразумева две мере. Прва мера подразумева увођење новог модела фискализације (ефискализација) кроз централизовану дигиталну платформу у оквиру Пореске управе, као и онлајн пренос и верификовање података који се шаљу са фискалних каса у</w:t>
            </w:r>
            <w:r>
              <w:rPr>
                <w:sz w:val="16"/>
              </w:rPr>
              <w:t xml:space="preserve"> Пореску управу. Друга мера подразумева увођење централизоване платформе за размену електронских фактура како у сегменту између правних лица тј. B2B, тако и у сегменту пословања и трансакција приватног сектора са јавним сектором тј. B2G. </w:t>
            </w:r>
          </w:p>
        </w:tc>
        <w:tc>
          <w:tcPr>
            <w:tcW w:w="1087" w:type="dxa"/>
            <w:tcBorders>
              <w:top w:val="single" w:sz="4" w:space="0" w:color="000000"/>
              <w:left w:val="single" w:sz="4" w:space="0" w:color="000000"/>
              <w:bottom w:val="single" w:sz="4" w:space="0" w:color="000000"/>
              <w:right w:val="nil"/>
            </w:tcBorders>
          </w:tcPr>
          <w:p w:rsidR="00E8309B" w:rsidRDefault="009D0949">
            <w:pPr>
              <w:spacing w:after="0" w:line="259" w:lineRule="auto"/>
              <w:ind w:left="1" w:right="0" w:firstLine="0"/>
              <w:jc w:val="left"/>
            </w:pPr>
            <w:r>
              <w:rPr>
                <w:sz w:val="16"/>
              </w:rPr>
              <w:t xml:space="preserve"> </w:t>
            </w:r>
          </w:p>
        </w:tc>
        <w:tc>
          <w:tcPr>
            <w:tcW w:w="564" w:type="dxa"/>
            <w:tcBorders>
              <w:top w:val="single" w:sz="4" w:space="0" w:color="000000"/>
              <w:left w:val="nil"/>
              <w:bottom w:val="single" w:sz="4" w:space="0" w:color="000000"/>
              <w:right w:val="nil"/>
            </w:tcBorders>
          </w:tcPr>
          <w:p w:rsidR="00E8309B" w:rsidRDefault="00E8309B">
            <w:pPr>
              <w:spacing w:after="160" w:line="259" w:lineRule="auto"/>
              <w:ind w:left="0" w:right="0" w:firstLine="0"/>
              <w:jc w:val="left"/>
            </w:pPr>
          </w:p>
        </w:tc>
        <w:tc>
          <w:tcPr>
            <w:tcW w:w="193" w:type="dxa"/>
            <w:tcBorders>
              <w:top w:val="single" w:sz="4" w:space="0" w:color="000000"/>
              <w:left w:val="nil"/>
              <w:bottom w:val="single" w:sz="4" w:space="0" w:color="000000"/>
              <w:right w:val="single" w:sz="4" w:space="0" w:color="000000"/>
            </w:tcBorders>
          </w:tcPr>
          <w:p w:rsidR="00E8309B" w:rsidRDefault="00E8309B">
            <w:pPr>
              <w:spacing w:after="160" w:line="259" w:lineRule="auto"/>
              <w:ind w:left="0" w:right="0" w:firstLine="0"/>
              <w:jc w:val="left"/>
            </w:pPr>
          </w:p>
        </w:tc>
        <w:tc>
          <w:tcPr>
            <w:tcW w:w="2974"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1" w:right="0" w:firstLine="0"/>
              <w:jc w:val="left"/>
            </w:pPr>
            <w:r>
              <w:rPr>
                <w:sz w:val="16"/>
              </w:rPr>
              <w:t xml:space="preserve">ПР 2020 стр. </w:t>
            </w:r>
            <w:r>
              <w:rPr>
                <w:sz w:val="16"/>
              </w:rPr>
              <w:t xml:space="preserve">107. - уложити додатне напоре за повећање предвидљивости пословног окружења. </w:t>
            </w:r>
          </w:p>
        </w:tc>
      </w:tr>
      <w:tr w:rsidR="00E8309B">
        <w:trPr>
          <w:trHeight w:val="4364"/>
        </w:trPr>
        <w:tc>
          <w:tcPr>
            <w:tcW w:w="463"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1" w:right="0" w:firstLine="0"/>
              <w:jc w:val="left"/>
            </w:pPr>
            <w:r>
              <w:rPr>
                <w:b/>
                <w:sz w:val="16"/>
              </w:rPr>
              <w:t xml:space="preserve">12. </w:t>
            </w:r>
          </w:p>
        </w:tc>
        <w:tc>
          <w:tcPr>
            <w:tcW w:w="1871"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1" w:right="0" w:firstLine="0"/>
              <w:jc w:val="left"/>
            </w:pPr>
            <w:r>
              <w:rPr>
                <w:b/>
                <w:sz w:val="16"/>
              </w:rPr>
              <w:t xml:space="preserve">Унапређење геопросторног сектора креирањем стратешке дигиталне платформе као подршка инвестиционом одлучивању </w:t>
            </w:r>
          </w:p>
        </w:tc>
        <w:tc>
          <w:tcPr>
            <w:tcW w:w="2481"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78" w:firstLine="0"/>
            </w:pPr>
            <w:r>
              <w:rPr>
                <w:sz w:val="16"/>
              </w:rPr>
              <w:t>Креирањем стратешке дигиталне платформе геосектора омогућава се доступност комбинованих сетова података путем веб сервиса, њихова ефикасна, брза и квалитетна размена, што грађанима и привредним субјектима омогућава лакшу идентификацију и комфоран приступ ж</w:t>
            </w:r>
            <w:r>
              <w:rPr>
                <w:sz w:val="16"/>
              </w:rPr>
              <w:t>ељеним подацима, пресудним за квалитетно инвестиционо одлучивање. Планирано је ажурирање адресног регистра и успостављање његове интероперабилности, развој регулаторног и стратешког оквира НИГП-а, унапређење Националнe геопросторне платформе, као и усклађи</w:t>
            </w:r>
            <w:r>
              <w:rPr>
                <w:sz w:val="16"/>
              </w:rPr>
              <w:t xml:space="preserve">вање, комбиновање података за развој прототипа система масовне процене. </w:t>
            </w:r>
          </w:p>
        </w:tc>
        <w:tc>
          <w:tcPr>
            <w:tcW w:w="1843" w:type="dxa"/>
            <w:gridSpan w:val="3"/>
            <w:tcBorders>
              <w:top w:val="single" w:sz="4" w:space="0" w:color="000000"/>
              <w:left w:val="single" w:sz="4" w:space="0" w:color="000000"/>
              <w:bottom w:val="single" w:sz="4" w:space="0" w:color="000000"/>
              <w:right w:val="single" w:sz="4" w:space="0" w:color="000000"/>
            </w:tcBorders>
          </w:tcPr>
          <w:p w:rsidR="00E8309B" w:rsidRDefault="009D0949">
            <w:pPr>
              <w:spacing w:after="30" w:line="237" w:lineRule="auto"/>
              <w:ind w:left="1" w:right="76" w:firstLine="0"/>
            </w:pPr>
            <w:r>
              <w:rPr>
                <w:sz w:val="16"/>
              </w:rPr>
              <w:t xml:space="preserve">Стратегија мера и активности за повећање квалитета услуга у области геопросторних података и упис права на непокретностима у званичној државној </w:t>
            </w:r>
          </w:p>
          <w:p w:rsidR="00E8309B" w:rsidRDefault="009D0949">
            <w:pPr>
              <w:spacing w:after="0" w:line="238" w:lineRule="auto"/>
              <w:ind w:left="1" w:right="0" w:firstLine="0"/>
            </w:pPr>
            <w:r>
              <w:rPr>
                <w:sz w:val="16"/>
              </w:rPr>
              <w:t xml:space="preserve">евиденцији –  реформски пут </w:t>
            </w:r>
          </w:p>
          <w:p w:rsidR="00E8309B" w:rsidRDefault="009D0949">
            <w:pPr>
              <w:spacing w:after="0" w:line="259" w:lineRule="auto"/>
              <w:ind w:left="1" w:right="0" w:firstLine="0"/>
              <w:jc w:val="left"/>
            </w:pPr>
            <w:r>
              <w:rPr>
                <w:sz w:val="16"/>
              </w:rPr>
              <w:t xml:space="preserve">Републичког </w:t>
            </w:r>
          </w:p>
          <w:p w:rsidR="00E8309B" w:rsidRDefault="009D0949">
            <w:pPr>
              <w:spacing w:after="60" w:line="277" w:lineRule="auto"/>
              <w:ind w:left="1" w:right="0" w:firstLine="0"/>
            </w:pPr>
            <w:r>
              <w:rPr>
                <w:sz w:val="16"/>
              </w:rPr>
              <w:t xml:space="preserve">геодетског завода до 2020. године </w:t>
            </w:r>
          </w:p>
          <w:p w:rsidR="00E8309B" w:rsidRDefault="009D0949">
            <w:pPr>
              <w:spacing w:after="0" w:line="259" w:lineRule="auto"/>
              <w:ind w:left="1" w:right="0" w:firstLine="0"/>
              <w:jc w:val="left"/>
            </w:pPr>
            <w:r>
              <w:rPr>
                <w:sz w:val="16"/>
              </w:rPr>
              <w:t xml:space="preserve">Закон о НИГП. </w:t>
            </w:r>
          </w:p>
        </w:tc>
        <w:tc>
          <w:tcPr>
            <w:tcW w:w="2974" w:type="dxa"/>
            <w:tcBorders>
              <w:top w:val="single" w:sz="4" w:space="0" w:color="000000"/>
              <w:left w:val="single" w:sz="4" w:space="0" w:color="000000"/>
              <w:bottom w:val="single" w:sz="4" w:space="0" w:color="000000"/>
              <w:right w:val="single" w:sz="4" w:space="0" w:color="000000"/>
            </w:tcBorders>
          </w:tcPr>
          <w:p w:rsidR="00E8309B" w:rsidRDefault="009D0949">
            <w:pPr>
              <w:spacing w:after="73" w:line="258" w:lineRule="auto"/>
              <w:ind w:left="1" w:right="74" w:firstLine="0"/>
            </w:pPr>
            <w:r>
              <w:rPr>
                <w:sz w:val="16"/>
              </w:rPr>
              <w:t xml:space="preserve">ПР 2020 стр. 107. - уложити додатне напоре за повећање предвидљивости пословног окружења. </w:t>
            </w:r>
          </w:p>
          <w:p w:rsidR="00E8309B" w:rsidRDefault="009D0949">
            <w:pPr>
              <w:spacing w:after="0" w:line="259" w:lineRule="auto"/>
              <w:ind w:left="1" w:right="75" w:firstLine="0"/>
            </w:pPr>
            <w:r>
              <w:rPr>
                <w:sz w:val="16"/>
              </w:rPr>
              <w:t>ЕРП ОЦЕНА ЕК 2019 – Процес је с правом идентивикован као главни потенцијални изазов и требао би доприн</w:t>
            </w:r>
            <w:r>
              <w:rPr>
                <w:sz w:val="16"/>
              </w:rPr>
              <w:t xml:space="preserve">ети систему опорезивања некретнина и повећати приходе од пореза на имовину на локалу. Потребно је веће укључивање министарства и правосуђа у процес, који је за сада искључиво одговорност Геодетског завода. </w:t>
            </w:r>
          </w:p>
        </w:tc>
      </w:tr>
    </w:tbl>
    <w:p w:rsidR="00E8309B" w:rsidRDefault="00E8309B">
      <w:pPr>
        <w:spacing w:after="0" w:line="259" w:lineRule="auto"/>
        <w:ind w:left="-1133" w:right="25" w:firstLine="0"/>
        <w:jc w:val="left"/>
      </w:pPr>
    </w:p>
    <w:tbl>
      <w:tblPr>
        <w:tblStyle w:val="TableGrid"/>
        <w:tblW w:w="9633" w:type="dxa"/>
        <w:tblInd w:w="7" w:type="dxa"/>
        <w:tblCellMar>
          <w:top w:w="10" w:type="dxa"/>
          <w:left w:w="107" w:type="dxa"/>
          <w:bottom w:w="0" w:type="dxa"/>
          <w:right w:w="61" w:type="dxa"/>
        </w:tblCellMar>
        <w:tblLook w:val="04A0" w:firstRow="1" w:lastRow="0" w:firstColumn="1" w:lastColumn="0" w:noHBand="0" w:noVBand="1"/>
      </w:tblPr>
      <w:tblGrid>
        <w:gridCol w:w="449"/>
        <w:gridCol w:w="2404"/>
        <w:gridCol w:w="2337"/>
        <w:gridCol w:w="1731"/>
        <w:gridCol w:w="2712"/>
      </w:tblGrid>
      <w:tr w:rsidR="00E8309B">
        <w:trPr>
          <w:trHeight w:val="376"/>
        </w:trPr>
        <w:tc>
          <w:tcPr>
            <w:tcW w:w="463" w:type="dxa"/>
            <w:tcBorders>
              <w:top w:val="single" w:sz="4" w:space="0" w:color="000000"/>
              <w:left w:val="single" w:sz="4" w:space="0" w:color="000000"/>
              <w:bottom w:val="single" w:sz="4" w:space="0" w:color="000000"/>
              <w:right w:val="single" w:sz="4" w:space="0" w:color="000000"/>
            </w:tcBorders>
            <w:shd w:val="clear" w:color="auto" w:fill="D9D9D9"/>
          </w:tcPr>
          <w:p w:rsidR="00E8309B" w:rsidRDefault="009D0949">
            <w:pPr>
              <w:spacing w:after="13" w:line="259" w:lineRule="auto"/>
              <w:ind w:left="1" w:right="0" w:firstLine="0"/>
              <w:jc w:val="left"/>
            </w:pPr>
            <w:r>
              <w:rPr>
                <w:b/>
                <w:sz w:val="16"/>
              </w:rPr>
              <w:t xml:space="preserve">СР </w:t>
            </w:r>
          </w:p>
          <w:p w:rsidR="00E8309B" w:rsidRDefault="009D0949">
            <w:pPr>
              <w:spacing w:after="0" w:line="259" w:lineRule="auto"/>
              <w:ind w:left="1" w:right="0" w:firstLine="0"/>
              <w:jc w:val="left"/>
            </w:pPr>
            <w:r>
              <w:rPr>
                <w:b/>
                <w:sz w:val="16"/>
              </w:rPr>
              <w:t xml:space="preserve">Рб. </w:t>
            </w:r>
          </w:p>
        </w:tc>
        <w:tc>
          <w:tcPr>
            <w:tcW w:w="1871" w:type="dxa"/>
            <w:tcBorders>
              <w:top w:val="single" w:sz="4" w:space="0" w:color="000000"/>
              <w:left w:val="single" w:sz="4" w:space="0" w:color="000000"/>
              <w:bottom w:val="single" w:sz="4" w:space="0" w:color="000000"/>
              <w:right w:val="single" w:sz="4" w:space="0" w:color="000000"/>
            </w:tcBorders>
            <w:shd w:val="clear" w:color="auto" w:fill="D9D9D9"/>
          </w:tcPr>
          <w:p w:rsidR="00E8309B" w:rsidRDefault="009D0949">
            <w:pPr>
              <w:spacing w:after="0" w:line="259" w:lineRule="auto"/>
              <w:ind w:left="0" w:right="0" w:firstLine="0"/>
              <w:jc w:val="center"/>
            </w:pPr>
            <w:r>
              <w:rPr>
                <w:b/>
                <w:sz w:val="16"/>
              </w:rPr>
              <w:t xml:space="preserve">Назив структурне реформе </w:t>
            </w:r>
          </w:p>
        </w:tc>
        <w:tc>
          <w:tcPr>
            <w:tcW w:w="2481" w:type="dxa"/>
            <w:tcBorders>
              <w:top w:val="single" w:sz="4" w:space="0" w:color="000000"/>
              <w:left w:val="single" w:sz="4" w:space="0" w:color="000000"/>
              <w:bottom w:val="single" w:sz="4" w:space="0" w:color="000000"/>
              <w:right w:val="single" w:sz="4" w:space="0" w:color="000000"/>
            </w:tcBorders>
            <w:shd w:val="clear" w:color="auto" w:fill="D9D9D9"/>
          </w:tcPr>
          <w:p w:rsidR="00E8309B" w:rsidRDefault="009D0949">
            <w:pPr>
              <w:spacing w:after="0" w:line="259" w:lineRule="auto"/>
              <w:ind w:left="0" w:right="52" w:firstLine="0"/>
              <w:jc w:val="center"/>
            </w:pPr>
            <w:r>
              <w:rPr>
                <w:b/>
                <w:sz w:val="16"/>
              </w:rPr>
              <w:t xml:space="preserve">Опис структурне реформе </w:t>
            </w:r>
          </w:p>
        </w:tc>
        <w:tc>
          <w:tcPr>
            <w:tcW w:w="1843" w:type="dxa"/>
            <w:tcBorders>
              <w:top w:val="single" w:sz="4" w:space="0" w:color="000000"/>
              <w:left w:val="single" w:sz="4" w:space="0" w:color="000000"/>
              <w:bottom w:val="single" w:sz="4" w:space="0" w:color="000000"/>
              <w:right w:val="single" w:sz="4" w:space="0" w:color="000000"/>
            </w:tcBorders>
            <w:shd w:val="clear" w:color="auto" w:fill="D9D9D9"/>
          </w:tcPr>
          <w:p w:rsidR="00E8309B" w:rsidRDefault="009D0949">
            <w:pPr>
              <w:spacing w:after="0" w:line="259" w:lineRule="auto"/>
              <w:ind w:left="20" w:right="0" w:firstLine="0"/>
              <w:jc w:val="left"/>
            </w:pPr>
            <w:r>
              <w:rPr>
                <w:b/>
                <w:sz w:val="16"/>
              </w:rPr>
              <w:t xml:space="preserve">Референтни документ </w:t>
            </w:r>
          </w:p>
        </w:tc>
        <w:tc>
          <w:tcPr>
            <w:tcW w:w="2974"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E8309B" w:rsidRDefault="009D0949">
            <w:pPr>
              <w:spacing w:after="0" w:line="259" w:lineRule="auto"/>
              <w:ind w:left="0" w:right="46" w:firstLine="0"/>
              <w:jc w:val="center"/>
            </w:pPr>
            <w:r>
              <w:rPr>
                <w:b/>
                <w:sz w:val="16"/>
              </w:rPr>
              <w:t>Препоруке</w:t>
            </w:r>
            <w:r>
              <w:rPr>
                <w:b/>
                <w:sz w:val="16"/>
                <w:vertAlign w:val="superscript"/>
              </w:rPr>
              <w:t>21</w:t>
            </w:r>
            <w:r>
              <w:rPr>
                <w:b/>
                <w:sz w:val="16"/>
              </w:rPr>
              <w:t xml:space="preserve"> </w:t>
            </w:r>
          </w:p>
        </w:tc>
      </w:tr>
      <w:tr w:rsidR="00E8309B">
        <w:trPr>
          <w:trHeight w:val="2525"/>
        </w:trPr>
        <w:tc>
          <w:tcPr>
            <w:tcW w:w="463"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1" w:right="0" w:firstLine="0"/>
              <w:jc w:val="left"/>
            </w:pPr>
            <w:r>
              <w:rPr>
                <w:b/>
                <w:sz w:val="16"/>
              </w:rPr>
              <w:t xml:space="preserve">13. </w:t>
            </w:r>
          </w:p>
        </w:tc>
        <w:tc>
          <w:tcPr>
            <w:tcW w:w="1871"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1" w:right="35" w:firstLine="0"/>
              <w:jc w:val="left"/>
            </w:pPr>
            <w:r>
              <w:rPr>
                <w:b/>
                <w:sz w:val="16"/>
              </w:rPr>
              <w:t xml:space="preserve">Унапређење управљања просторним развојем у Републици Србији кроз успостављање дигиталне платформе е-Простор </w:t>
            </w:r>
          </w:p>
        </w:tc>
        <w:tc>
          <w:tcPr>
            <w:tcW w:w="2481"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47" w:firstLine="0"/>
            </w:pPr>
            <w:r>
              <w:rPr>
                <w:sz w:val="16"/>
              </w:rPr>
              <w:t>Реформа представља дигиталну трансформацију у домену планског управљања просторним развојем ради унапређења ефикасности и ефективности доношења развојних одлука и бољег управљања политиком просторног развоја. Предвиђена је дигитализација података и процеду</w:t>
            </w:r>
            <w:r>
              <w:rPr>
                <w:sz w:val="16"/>
              </w:rPr>
              <w:t xml:space="preserve">ра урбанистичког и просторног планирања и формирање дигиталне платформе е-Простор. </w:t>
            </w:r>
          </w:p>
        </w:tc>
        <w:tc>
          <w:tcPr>
            <w:tcW w:w="1843"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1" w:right="0" w:firstLine="0"/>
              <w:jc w:val="left"/>
            </w:pPr>
            <w:r>
              <w:rPr>
                <w:sz w:val="16"/>
              </w:rPr>
              <w:t xml:space="preserve"> </w:t>
            </w:r>
          </w:p>
        </w:tc>
        <w:tc>
          <w:tcPr>
            <w:tcW w:w="2974"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1" w:right="0" w:firstLine="0"/>
              <w:jc w:val="left"/>
            </w:pPr>
            <w:r>
              <w:rPr>
                <w:sz w:val="16"/>
              </w:rPr>
              <w:t xml:space="preserve">ПР 2020 стр. 107. - уложити додатне напоре за повећање предвидљивости пословног окружења. </w:t>
            </w:r>
          </w:p>
        </w:tc>
      </w:tr>
      <w:tr w:rsidR="00E8309B">
        <w:trPr>
          <w:trHeight w:val="403"/>
        </w:trPr>
        <w:tc>
          <w:tcPr>
            <w:tcW w:w="9633" w:type="dxa"/>
            <w:gridSpan w:val="5"/>
            <w:tcBorders>
              <w:top w:val="single" w:sz="4" w:space="0" w:color="000000"/>
              <w:left w:val="single" w:sz="4" w:space="0" w:color="000000"/>
              <w:bottom w:val="single" w:sz="4" w:space="0" w:color="000000"/>
              <w:right w:val="single" w:sz="4" w:space="0" w:color="000000"/>
            </w:tcBorders>
            <w:shd w:val="clear" w:color="auto" w:fill="D9D9D9"/>
            <w:vAlign w:val="center"/>
          </w:tcPr>
          <w:p w:rsidR="00E8309B" w:rsidRDefault="009D0949">
            <w:pPr>
              <w:spacing w:after="0" w:line="259" w:lineRule="auto"/>
              <w:ind w:left="1" w:right="0" w:firstLine="0"/>
              <w:jc w:val="left"/>
            </w:pPr>
            <w:r>
              <w:rPr>
                <w:b/>
                <w:sz w:val="16"/>
              </w:rPr>
              <w:t xml:space="preserve">ОБЛАСТ: ИСТРАЖИВАЊЕ, РАЗВОЈ И ИНОВАЦИЈЕ И ДИГИТАЛНА ТРАНСФОРМАЦИЈА </w:t>
            </w:r>
          </w:p>
        </w:tc>
      </w:tr>
      <w:tr w:rsidR="00E8309B">
        <w:trPr>
          <w:trHeight w:val="2891"/>
        </w:trPr>
        <w:tc>
          <w:tcPr>
            <w:tcW w:w="463"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1" w:right="0" w:firstLine="0"/>
              <w:jc w:val="left"/>
            </w:pPr>
            <w:r>
              <w:rPr>
                <w:b/>
                <w:sz w:val="16"/>
              </w:rPr>
              <w:t xml:space="preserve">14. </w:t>
            </w:r>
          </w:p>
        </w:tc>
        <w:tc>
          <w:tcPr>
            <w:tcW w:w="1871"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1" w:right="0" w:firstLine="0"/>
              <w:jc w:val="left"/>
            </w:pPr>
            <w:r>
              <w:rPr>
                <w:b/>
                <w:sz w:val="16"/>
              </w:rPr>
              <w:t xml:space="preserve">Подршка </w:t>
            </w:r>
          </w:p>
          <w:p w:rsidR="00E8309B" w:rsidRDefault="009D0949">
            <w:pPr>
              <w:spacing w:after="1" w:line="237" w:lineRule="auto"/>
              <w:ind w:left="1" w:right="0" w:firstLine="0"/>
              <w:jc w:val="left"/>
            </w:pPr>
            <w:r>
              <w:rPr>
                <w:b/>
                <w:sz w:val="16"/>
              </w:rPr>
              <w:t xml:space="preserve">научноистраживачкој делатности кроз jaчање </w:t>
            </w:r>
          </w:p>
          <w:p w:rsidR="00E8309B" w:rsidRDefault="009D0949">
            <w:pPr>
              <w:spacing w:after="0" w:line="259" w:lineRule="auto"/>
              <w:ind w:left="1" w:right="0" w:firstLine="0"/>
              <w:jc w:val="left"/>
            </w:pPr>
            <w:r>
              <w:rPr>
                <w:b/>
                <w:sz w:val="16"/>
              </w:rPr>
              <w:t xml:space="preserve">научноистраживачких капацитета </w:t>
            </w:r>
          </w:p>
        </w:tc>
        <w:tc>
          <w:tcPr>
            <w:tcW w:w="2481"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38" w:lineRule="auto"/>
              <w:ind w:left="0" w:right="0" w:firstLine="0"/>
            </w:pPr>
            <w:r>
              <w:rPr>
                <w:sz w:val="16"/>
              </w:rPr>
              <w:t xml:space="preserve">Реформа истраживачког сектора подразумева сагледавање </w:t>
            </w:r>
          </w:p>
          <w:p w:rsidR="00E8309B" w:rsidRDefault="009D0949">
            <w:pPr>
              <w:spacing w:after="0" w:line="259" w:lineRule="auto"/>
              <w:ind w:left="0" w:right="47" w:firstLine="0"/>
            </w:pPr>
            <w:r>
              <w:rPr>
                <w:sz w:val="16"/>
              </w:rPr>
              <w:t>капацитета научноистраживачких института, са циљем да се унапреди квалитет научноистраживачког рада, адекватно корис</w:t>
            </w:r>
            <w:r>
              <w:rPr>
                <w:sz w:val="16"/>
              </w:rPr>
              <w:t xml:space="preserve">те финансијска средстава и истраживачка опрема. Такође, предвиђен је наставак подршке програмима Фонда за науку, који пружају подршку најквалитетнијим научницима, тимовима и њиховим идејама. </w:t>
            </w:r>
          </w:p>
        </w:tc>
        <w:tc>
          <w:tcPr>
            <w:tcW w:w="1843" w:type="dxa"/>
            <w:tcBorders>
              <w:top w:val="single" w:sz="4" w:space="0" w:color="000000"/>
              <w:left w:val="single" w:sz="4" w:space="0" w:color="000000"/>
              <w:bottom w:val="single" w:sz="4" w:space="0" w:color="000000"/>
              <w:right w:val="single" w:sz="4" w:space="0" w:color="000000"/>
            </w:tcBorders>
          </w:tcPr>
          <w:p w:rsidR="00E8309B" w:rsidRDefault="009D0949">
            <w:pPr>
              <w:spacing w:after="82" w:line="250" w:lineRule="auto"/>
              <w:ind w:left="1" w:right="0" w:firstLine="0"/>
              <w:jc w:val="left"/>
            </w:pPr>
            <w:r>
              <w:rPr>
                <w:sz w:val="16"/>
              </w:rPr>
              <w:t xml:space="preserve">Стратегија научног и технолошког развоја Републике Србије за период од 2016. до 2020. године – истраживања за иновације </w:t>
            </w:r>
          </w:p>
          <w:p w:rsidR="00E8309B" w:rsidRDefault="009D0949">
            <w:pPr>
              <w:spacing w:after="0" w:line="259" w:lineRule="auto"/>
              <w:ind w:left="1" w:right="0" w:firstLine="0"/>
              <w:jc w:val="left"/>
            </w:pPr>
            <w:r>
              <w:rPr>
                <w:sz w:val="16"/>
              </w:rPr>
              <w:t xml:space="preserve">Закон о Фонду за науку </w:t>
            </w:r>
          </w:p>
        </w:tc>
        <w:tc>
          <w:tcPr>
            <w:tcW w:w="2974"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1" w:right="43" w:firstLine="0"/>
            </w:pPr>
            <w:r>
              <w:rPr>
                <w:sz w:val="16"/>
              </w:rPr>
              <w:t>ПР 2020 стр. 112. - додатно повећати национално финансирање истраживања; подстицати интензивнију сарадњу између</w:t>
            </w:r>
            <w:r>
              <w:rPr>
                <w:sz w:val="16"/>
              </w:rPr>
              <w:t xml:space="preserve"> индустрије и академских кругова, у складу са националном стратегијом истраживања. </w:t>
            </w:r>
          </w:p>
        </w:tc>
      </w:tr>
      <w:tr w:rsidR="00E8309B">
        <w:trPr>
          <w:trHeight w:val="3075"/>
        </w:trPr>
        <w:tc>
          <w:tcPr>
            <w:tcW w:w="463"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1" w:right="0" w:firstLine="0"/>
              <w:jc w:val="left"/>
            </w:pPr>
            <w:r>
              <w:rPr>
                <w:b/>
                <w:sz w:val="16"/>
              </w:rPr>
              <w:t xml:space="preserve">15. </w:t>
            </w:r>
          </w:p>
        </w:tc>
        <w:tc>
          <w:tcPr>
            <w:tcW w:w="1871"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1" w:right="0" w:firstLine="0"/>
              <w:jc w:val="left"/>
            </w:pPr>
            <w:r>
              <w:rPr>
                <w:b/>
                <w:sz w:val="16"/>
              </w:rPr>
              <w:t xml:space="preserve">Унапређење институционалне подршке за развој паметних специјализација и иновација </w:t>
            </w:r>
          </w:p>
        </w:tc>
        <w:tc>
          <w:tcPr>
            <w:tcW w:w="2481" w:type="dxa"/>
            <w:tcBorders>
              <w:top w:val="single" w:sz="4" w:space="0" w:color="000000"/>
              <w:left w:val="single" w:sz="4" w:space="0" w:color="000000"/>
              <w:bottom w:val="single" w:sz="4" w:space="0" w:color="000000"/>
              <w:right w:val="single" w:sz="4" w:space="0" w:color="000000"/>
            </w:tcBorders>
          </w:tcPr>
          <w:p w:rsidR="00E8309B" w:rsidRDefault="009D0949">
            <w:pPr>
              <w:spacing w:after="1" w:line="237" w:lineRule="auto"/>
              <w:ind w:left="0" w:right="47" w:firstLine="0"/>
            </w:pPr>
            <w:r>
              <w:rPr>
                <w:sz w:val="16"/>
              </w:rPr>
              <w:t>Успостављање новог инструмента институционалне подршке иновативном предузетништву и развоју сарадње привреде и академског сектора кроз Програм акцелерације пословања који финансира Фонд за иновациону делатност. Такође, предвиђена је подршка за успостављање</w:t>
            </w:r>
            <w:r>
              <w:rPr>
                <w:sz w:val="16"/>
              </w:rPr>
              <w:t xml:space="preserve"> и рад </w:t>
            </w:r>
          </w:p>
          <w:p w:rsidR="00E8309B" w:rsidRDefault="009D0949">
            <w:pPr>
              <w:spacing w:after="0" w:line="259" w:lineRule="auto"/>
              <w:ind w:left="0" w:right="47" w:firstLine="0"/>
            </w:pPr>
            <w:r>
              <w:rPr>
                <w:sz w:val="16"/>
              </w:rPr>
              <w:t xml:space="preserve">Института за вештачку интелигенцију, са циљем употребе вештачке интелигенције у функцији економског раста, запошљавања и квалитетнијег живота. </w:t>
            </w:r>
          </w:p>
        </w:tc>
        <w:tc>
          <w:tcPr>
            <w:tcW w:w="1843" w:type="dxa"/>
            <w:tcBorders>
              <w:top w:val="single" w:sz="4" w:space="0" w:color="000000"/>
              <w:left w:val="single" w:sz="4" w:space="0" w:color="000000"/>
              <w:bottom w:val="single" w:sz="4" w:space="0" w:color="000000"/>
              <w:right w:val="single" w:sz="4" w:space="0" w:color="000000"/>
            </w:tcBorders>
          </w:tcPr>
          <w:p w:rsidR="00E8309B" w:rsidRDefault="009D0949">
            <w:pPr>
              <w:spacing w:after="48" w:line="251" w:lineRule="auto"/>
              <w:ind w:left="1" w:right="0" w:firstLine="0"/>
              <w:jc w:val="left"/>
            </w:pPr>
            <w:r>
              <w:rPr>
                <w:sz w:val="16"/>
              </w:rPr>
              <w:t>Стратегија научног и технолошког развоја Републике Србије за период од 2016. до 2020. године – истражива</w:t>
            </w:r>
            <w:r>
              <w:rPr>
                <w:sz w:val="16"/>
              </w:rPr>
              <w:t xml:space="preserve">ња за иновације </w:t>
            </w:r>
          </w:p>
          <w:p w:rsidR="00E8309B" w:rsidRDefault="009D0949">
            <w:pPr>
              <w:spacing w:after="58" w:line="237" w:lineRule="auto"/>
              <w:ind w:left="1" w:right="0" w:firstLine="0"/>
              <w:jc w:val="left"/>
            </w:pPr>
            <w:r>
              <w:rPr>
                <w:sz w:val="16"/>
              </w:rPr>
              <w:t xml:space="preserve">Стратегија паметне специјализације за период од 2020. до 2027. </w:t>
            </w:r>
          </w:p>
          <w:p w:rsidR="00E8309B" w:rsidRDefault="009D0949">
            <w:pPr>
              <w:spacing w:after="0" w:line="259" w:lineRule="auto"/>
              <w:ind w:left="1" w:right="6" w:firstLine="0"/>
              <w:jc w:val="left"/>
            </w:pPr>
            <w:r>
              <w:rPr>
                <w:sz w:val="16"/>
              </w:rPr>
              <w:t xml:space="preserve">Стратегија за развој вештачке интелигенције у РС за период 2020-2025 </w:t>
            </w:r>
          </w:p>
        </w:tc>
        <w:tc>
          <w:tcPr>
            <w:tcW w:w="2974"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1" w:right="44" w:firstLine="0"/>
            </w:pPr>
            <w:r>
              <w:rPr>
                <w:sz w:val="16"/>
              </w:rPr>
              <w:t>ПР 2020 стр. 112. – почети спровођење Стратегије паметне специјализације. ПР 2019 стр. 8 – Потребно је ра</w:t>
            </w:r>
            <w:r>
              <w:rPr>
                <w:sz w:val="16"/>
              </w:rPr>
              <w:t xml:space="preserve">звити нове финансијске инструменте како би се боље одговорило на потребе привредних друштва, нарочито оних најиновативнијих. </w:t>
            </w:r>
          </w:p>
        </w:tc>
      </w:tr>
      <w:tr w:rsidR="00E8309B">
        <w:trPr>
          <w:trHeight w:val="3260"/>
        </w:trPr>
        <w:tc>
          <w:tcPr>
            <w:tcW w:w="463"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1" w:right="0" w:firstLine="0"/>
              <w:jc w:val="left"/>
            </w:pPr>
            <w:r>
              <w:rPr>
                <w:b/>
                <w:sz w:val="16"/>
              </w:rPr>
              <w:t xml:space="preserve">16. </w:t>
            </w:r>
          </w:p>
        </w:tc>
        <w:tc>
          <w:tcPr>
            <w:tcW w:w="1871" w:type="dxa"/>
            <w:tcBorders>
              <w:top w:val="single" w:sz="4" w:space="0" w:color="000000"/>
              <w:left w:val="single" w:sz="4" w:space="0" w:color="000000"/>
              <w:bottom w:val="single" w:sz="4" w:space="0" w:color="000000"/>
              <w:right w:val="single" w:sz="4" w:space="0" w:color="000000"/>
            </w:tcBorders>
          </w:tcPr>
          <w:p w:rsidR="00E8309B" w:rsidRDefault="009D0949">
            <w:pPr>
              <w:spacing w:after="17" w:line="259" w:lineRule="auto"/>
              <w:ind w:left="1" w:right="0" w:firstLine="0"/>
              <w:jc w:val="left"/>
            </w:pPr>
            <w:r>
              <w:rPr>
                <w:b/>
                <w:sz w:val="16"/>
              </w:rPr>
              <w:t xml:space="preserve">Повећање </w:t>
            </w:r>
          </w:p>
          <w:p w:rsidR="00E8309B" w:rsidRDefault="009D0949">
            <w:pPr>
              <w:spacing w:after="0" w:line="259" w:lineRule="auto"/>
              <w:ind w:left="1" w:right="0" w:firstLine="0"/>
              <w:jc w:val="left"/>
            </w:pPr>
            <w:r>
              <w:rPr>
                <w:b/>
                <w:sz w:val="16"/>
              </w:rPr>
              <w:t xml:space="preserve">доступности е-управе унапређењем инфраструктуре и увођењем нових технологија </w:t>
            </w:r>
          </w:p>
        </w:tc>
        <w:tc>
          <w:tcPr>
            <w:tcW w:w="2481"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37" w:lineRule="auto"/>
              <w:ind w:left="0" w:right="47" w:firstLine="0"/>
            </w:pPr>
            <w:r>
              <w:rPr>
                <w:sz w:val="16"/>
              </w:rPr>
              <w:t xml:space="preserve">Дигитална трансформација јавног сектора, кроз јачање инфраструктуре, као основе за примену ИКТ и електронске управе у поступку пружања услуга привреди, грађанима и јавном сектору. Реформа обухвата успостављање </w:t>
            </w:r>
          </w:p>
          <w:p w:rsidR="00E8309B" w:rsidRDefault="009D0949">
            <w:pPr>
              <w:spacing w:after="0" w:line="259" w:lineRule="auto"/>
              <w:ind w:left="0" w:right="48" w:firstLine="0"/>
            </w:pPr>
            <w:r>
              <w:rPr>
                <w:sz w:val="16"/>
              </w:rPr>
              <w:t xml:space="preserve">Државног центра за управљање и чување података у Крагујевцу, набавку најсавременијег рачунарског система високих перформанси и дигитализацију и аутоматизацију градских подручја кроз масовно постављање сензора, њихово повезивање и комуникацију </w:t>
            </w:r>
          </w:p>
        </w:tc>
        <w:tc>
          <w:tcPr>
            <w:tcW w:w="1843" w:type="dxa"/>
            <w:tcBorders>
              <w:top w:val="single" w:sz="4" w:space="0" w:color="000000"/>
              <w:left w:val="single" w:sz="4" w:space="0" w:color="000000"/>
              <w:bottom w:val="single" w:sz="4" w:space="0" w:color="000000"/>
              <w:right w:val="single" w:sz="4" w:space="0" w:color="000000"/>
            </w:tcBorders>
          </w:tcPr>
          <w:p w:rsidR="00E8309B" w:rsidRDefault="009D0949">
            <w:pPr>
              <w:spacing w:after="53" w:line="244" w:lineRule="auto"/>
              <w:ind w:left="1" w:right="6" w:firstLine="0"/>
              <w:jc w:val="left"/>
            </w:pPr>
            <w:r>
              <w:rPr>
                <w:sz w:val="16"/>
              </w:rPr>
              <w:t xml:space="preserve">Стратегија развоја вештачке интелигенције у Републици Србији за период 2020 – 2025. </w:t>
            </w:r>
          </w:p>
          <w:p w:rsidR="00E8309B" w:rsidRDefault="009D0949">
            <w:pPr>
              <w:spacing w:after="0" w:line="259" w:lineRule="auto"/>
              <w:ind w:left="1" w:right="0" w:firstLine="0"/>
              <w:jc w:val="left"/>
            </w:pPr>
            <w:r>
              <w:rPr>
                <w:sz w:val="16"/>
              </w:rPr>
              <w:t xml:space="preserve">Програм развоја електронске управе у Републици Србији за период од 2020. до 2022. </w:t>
            </w:r>
          </w:p>
        </w:tc>
        <w:tc>
          <w:tcPr>
            <w:tcW w:w="2974"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1" w:right="44" w:firstLine="0"/>
            </w:pPr>
            <w:r>
              <w:rPr>
                <w:sz w:val="16"/>
              </w:rPr>
              <w:t>ПР 2019 стр. 7 – Дигитални економски раст Србије је стабилан; међутим, препоручује се св</w:t>
            </w:r>
            <w:r>
              <w:rPr>
                <w:sz w:val="16"/>
              </w:rPr>
              <w:t xml:space="preserve">еобухватни и кохерентнији приступ дигитализацији и ефикасна координација заинтересованих страна. </w:t>
            </w:r>
          </w:p>
        </w:tc>
      </w:tr>
      <w:tr w:rsidR="00E8309B">
        <w:trPr>
          <w:trHeight w:val="1908"/>
        </w:trPr>
        <w:tc>
          <w:tcPr>
            <w:tcW w:w="463"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1" w:right="0" w:firstLine="0"/>
              <w:jc w:val="left"/>
            </w:pPr>
            <w:r>
              <w:rPr>
                <w:b/>
                <w:sz w:val="16"/>
              </w:rPr>
              <w:lastRenderedPageBreak/>
              <w:t xml:space="preserve">17. </w:t>
            </w:r>
          </w:p>
        </w:tc>
        <w:tc>
          <w:tcPr>
            <w:tcW w:w="1871"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1" w:right="0" w:firstLine="0"/>
              <w:jc w:val="left"/>
            </w:pPr>
            <w:r>
              <w:rPr>
                <w:b/>
                <w:sz w:val="16"/>
              </w:rPr>
              <w:t xml:space="preserve">Развој и унапређење националне информационокомуникационе инфраструктуре </w:t>
            </w:r>
          </w:p>
        </w:tc>
        <w:tc>
          <w:tcPr>
            <w:tcW w:w="2481"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47" w:firstLine="0"/>
            </w:pPr>
            <w:r>
              <w:rPr>
                <w:sz w:val="16"/>
              </w:rPr>
              <w:t>Реформа подразумева развој широкопојасних мрежа за приступ обезбеђивањем подстицаја државе за заједничку изградњу комуникационе инфраструктуре, израду детаљних мапа доступности услуга широкопојасног приступа, побољшање услова за развој дигиталног образовањ</w:t>
            </w:r>
            <w:r>
              <w:rPr>
                <w:sz w:val="16"/>
              </w:rPr>
              <w:t xml:space="preserve">а и </w:t>
            </w:r>
          </w:p>
        </w:tc>
        <w:tc>
          <w:tcPr>
            <w:tcW w:w="1843" w:type="dxa"/>
            <w:tcBorders>
              <w:top w:val="single" w:sz="4" w:space="0" w:color="000000"/>
              <w:left w:val="single" w:sz="4" w:space="0" w:color="000000"/>
              <w:bottom w:val="single" w:sz="4" w:space="0" w:color="000000"/>
              <w:right w:val="single" w:sz="4" w:space="0" w:color="000000"/>
            </w:tcBorders>
          </w:tcPr>
          <w:p w:rsidR="00E8309B" w:rsidRDefault="009D0949">
            <w:pPr>
              <w:spacing w:after="32" w:line="237" w:lineRule="auto"/>
              <w:ind w:left="1" w:right="0" w:firstLine="0"/>
              <w:jc w:val="left"/>
            </w:pPr>
            <w:r>
              <w:rPr>
                <w:sz w:val="16"/>
              </w:rPr>
              <w:t xml:space="preserve">Стратегија развоја електронских комуникација у Републици Србији од </w:t>
            </w:r>
          </w:p>
          <w:p w:rsidR="00E8309B" w:rsidRDefault="009D0949">
            <w:pPr>
              <w:spacing w:after="44" w:line="259" w:lineRule="auto"/>
              <w:ind w:left="1" w:right="0" w:firstLine="0"/>
              <w:jc w:val="left"/>
            </w:pPr>
            <w:r>
              <w:rPr>
                <w:sz w:val="16"/>
              </w:rPr>
              <w:t xml:space="preserve">2010. до 2020. године  </w:t>
            </w:r>
          </w:p>
          <w:p w:rsidR="00E8309B" w:rsidRDefault="009D0949">
            <w:pPr>
              <w:spacing w:after="0" w:line="259" w:lineRule="auto"/>
              <w:ind w:left="1" w:right="0" w:firstLine="0"/>
              <w:jc w:val="left"/>
            </w:pPr>
            <w:r>
              <w:rPr>
                <w:sz w:val="16"/>
              </w:rPr>
              <w:t xml:space="preserve">Стратегија развоја информационог друштва у Републици Србији до 2020. године  </w:t>
            </w:r>
          </w:p>
        </w:tc>
        <w:tc>
          <w:tcPr>
            <w:tcW w:w="2974" w:type="dxa"/>
            <w:tcBorders>
              <w:top w:val="single" w:sz="4" w:space="0" w:color="000000"/>
              <w:left w:val="single" w:sz="4" w:space="0" w:color="000000"/>
              <w:bottom w:val="single" w:sz="4" w:space="0" w:color="000000"/>
              <w:right w:val="single" w:sz="4" w:space="0" w:color="000000"/>
            </w:tcBorders>
          </w:tcPr>
          <w:p w:rsidR="00E8309B" w:rsidRDefault="009D0949">
            <w:pPr>
              <w:spacing w:after="31" w:line="237" w:lineRule="auto"/>
              <w:ind w:left="1" w:right="44" w:firstLine="0"/>
            </w:pPr>
            <w:r>
              <w:rPr>
                <w:sz w:val="16"/>
              </w:rPr>
              <w:t>ПР 2019 стр. 72. - Хармонизује свој законодавни оквир у области електронских кому</w:t>
            </w:r>
            <w:r>
              <w:rPr>
                <w:sz w:val="16"/>
              </w:rPr>
              <w:t xml:space="preserve">никација са регулаторним оквиром ЕУ из 2009. године. (препорука се налази и у ПР </w:t>
            </w:r>
          </w:p>
          <w:p w:rsidR="00E8309B" w:rsidRDefault="009D0949">
            <w:pPr>
              <w:spacing w:after="72" w:line="259" w:lineRule="auto"/>
              <w:ind w:left="1" w:right="0" w:firstLine="0"/>
              <w:jc w:val="left"/>
            </w:pPr>
            <w:r>
              <w:rPr>
                <w:sz w:val="16"/>
              </w:rPr>
              <w:t xml:space="preserve">2018. стр. 68.) </w:t>
            </w:r>
          </w:p>
          <w:p w:rsidR="00E8309B" w:rsidRDefault="009D0949">
            <w:pPr>
              <w:spacing w:after="0" w:line="259" w:lineRule="auto"/>
              <w:ind w:left="1" w:right="44" w:firstLine="0"/>
            </w:pPr>
            <w:r>
              <w:rPr>
                <w:sz w:val="16"/>
              </w:rPr>
              <w:t xml:space="preserve">ПР 2019 стр. 72. - Предузме мере да би обезбедила спровођење мера за заштиту конкуренције и олакшала приступ оператера телекомуникационој </w:t>
            </w:r>
          </w:p>
        </w:tc>
      </w:tr>
    </w:tbl>
    <w:p w:rsidR="00E8309B" w:rsidRDefault="00E8309B">
      <w:pPr>
        <w:spacing w:after="0" w:line="259" w:lineRule="auto"/>
        <w:ind w:left="-1133" w:right="25" w:firstLine="0"/>
        <w:jc w:val="left"/>
      </w:pPr>
    </w:p>
    <w:tbl>
      <w:tblPr>
        <w:tblStyle w:val="TableGrid"/>
        <w:tblW w:w="9633" w:type="dxa"/>
        <w:tblInd w:w="7" w:type="dxa"/>
        <w:tblCellMar>
          <w:top w:w="10" w:type="dxa"/>
          <w:left w:w="107" w:type="dxa"/>
          <w:bottom w:w="0" w:type="dxa"/>
          <w:right w:w="65" w:type="dxa"/>
        </w:tblCellMar>
        <w:tblLook w:val="04A0" w:firstRow="1" w:lastRow="0" w:firstColumn="1" w:lastColumn="0" w:noHBand="0" w:noVBand="1"/>
      </w:tblPr>
      <w:tblGrid>
        <w:gridCol w:w="463"/>
        <w:gridCol w:w="1871"/>
        <w:gridCol w:w="2481"/>
        <w:gridCol w:w="1843"/>
        <w:gridCol w:w="2975"/>
      </w:tblGrid>
      <w:tr w:rsidR="00E8309B">
        <w:trPr>
          <w:trHeight w:val="376"/>
        </w:trPr>
        <w:tc>
          <w:tcPr>
            <w:tcW w:w="463" w:type="dxa"/>
            <w:tcBorders>
              <w:top w:val="single" w:sz="4" w:space="0" w:color="000000"/>
              <w:left w:val="single" w:sz="4" w:space="0" w:color="000000"/>
              <w:bottom w:val="single" w:sz="4" w:space="0" w:color="000000"/>
              <w:right w:val="single" w:sz="4" w:space="0" w:color="000000"/>
            </w:tcBorders>
            <w:shd w:val="clear" w:color="auto" w:fill="D9D9D9"/>
          </w:tcPr>
          <w:p w:rsidR="00E8309B" w:rsidRDefault="009D0949">
            <w:pPr>
              <w:spacing w:after="13" w:line="259" w:lineRule="auto"/>
              <w:ind w:left="1" w:right="0" w:firstLine="0"/>
              <w:jc w:val="left"/>
            </w:pPr>
            <w:r>
              <w:rPr>
                <w:b/>
                <w:sz w:val="16"/>
              </w:rPr>
              <w:t xml:space="preserve">СР </w:t>
            </w:r>
          </w:p>
          <w:p w:rsidR="00E8309B" w:rsidRDefault="009D0949">
            <w:pPr>
              <w:spacing w:after="0" w:line="259" w:lineRule="auto"/>
              <w:ind w:left="1" w:right="0" w:firstLine="0"/>
              <w:jc w:val="left"/>
            </w:pPr>
            <w:r>
              <w:rPr>
                <w:b/>
                <w:sz w:val="16"/>
              </w:rPr>
              <w:t xml:space="preserve">Рб. </w:t>
            </w:r>
          </w:p>
        </w:tc>
        <w:tc>
          <w:tcPr>
            <w:tcW w:w="1871" w:type="dxa"/>
            <w:tcBorders>
              <w:top w:val="single" w:sz="4" w:space="0" w:color="000000"/>
              <w:left w:val="single" w:sz="4" w:space="0" w:color="000000"/>
              <w:bottom w:val="single" w:sz="4" w:space="0" w:color="000000"/>
              <w:right w:val="single" w:sz="4" w:space="0" w:color="000000"/>
            </w:tcBorders>
            <w:shd w:val="clear" w:color="auto" w:fill="D9D9D9"/>
          </w:tcPr>
          <w:p w:rsidR="00E8309B" w:rsidRDefault="009D0949">
            <w:pPr>
              <w:spacing w:after="0" w:line="259" w:lineRule="auto"/>
              <w:ind w:left="0" w:right="0" w:firstLine="0"/>
              <w:jc w:val="center"/>
            </w:pPr>
            <w:r>
              <w:rPr>
                <w:b/>
                <w:sz w:val="16"/>
              </w:rPr>
              <w:t xml:space="preserve">Назив структурне реформе </w:t>
            </w:r>
          </w:p>
        </w:tc>
        <w:tc>
          <w:tcPr>
            <w:tcW w:w="2481" w:type="dxa"/>
            <w:tcBorders>
              <w:top w:val="single" w:sz="4" w:space="0" w:color="000000"/>
              <w:left w:val="single" w:sz="4" w:space="0" w:color="000000"/>
              <w:bottom w:val="single" w:sz="4" w:space="0" w:color="000000"/>
              <w:right w:val="single" w:sz="4" w:space="0" w:color="000000"/>
            </w:tcBorders>
            <w:shd w:val="clear" w:color="auto" w:fill="D9D9D9"/>
          </w:tcPr>
          <w:p w:rsidR="00E8309B" w:rsidRDefault="009D0949">
            <w:pPr>
              <w:spacing w:after="0" w:line="259" w:lineRule="auto"/>
              <w:ind w:left="0" w:right="47" w:firstLine="0"/>
              <w:jc w:val="center"/>
            </w:pPr>
            <w:r>
              <w:rPr>
                <w:b/>
                <w:sz w:val="16"/>
              </w:rPr>
              <w:t xml:space="preserve">Опис структурне реформе </w:t>
            </w:r>
          </w:p>
        </w:tc>
        <w:tc>
          <w:tcPr>
            <w:tcW w:w="1843" w:type="dxa"/>
            <w:tcBorders>
              <w:top w:val="single" w:sz="4" w:space="0" w:color="000000"/>
              <w:left w:val="single" w:sz="4" w:space="0" w:color="000000"/>
              <w:bottom w:val="single" w:sz="4" w:space="0" w:color="000000"/>
              <w:right w:val="single" w:sz="4" w:space="0" w:color="000000"/>
            </w:tcBorders>
            <w:shd w:val="clear" w:color="auto" w:fill="D9D9D9"/>
          </w:tcPr>
          <w:p w:rsidR="00E8309B" w:rsidRDefault="009D0949">
            <w:pPr>
              <w:spacing w:after="0" w:line="259" w:lineRule="auto"/>
              <w:ind w:left="20" w:right="0" w:firstLine="0"/>
              <w:jc w:val="left"/>
            </w:pPr>
            <w:r>
              <w:rPr>
                <w:b/>
                <w:sz w:val="16"/>
              </w:rPr>
              <w:t xml:space="preserve">Референтни документ </w:t>
            </w:r>
          </w:p>
        </w:tc>
        <w:tc>
          <w:tcPr>
            <w:tcW w:w="2974"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E8309B" w:rsidRDefault="009D0949">
            <w:pPr>
              <w:spacing w:after="0" w:line="259" w:lineRule="auto"/>
              <w:ind w:left="0" w:right="41" w:firstLine="0"/>
              <w:jc w:val="center"/>
            </w:pPr>
            <w:r>
              <w:rPr>
                <w:b/>
                <w:sz w:val="16"/>
              </w:rPr>
              <w:t>Препоруке</w:t>
            </w:r>
            <w:r>
              <w:rPr>
                <w:b/>
                <w:sz w:val="16"/>
                <w:vertAlign w:val="superscript"/>
              </w:rPr>
              <w:t>21</w:t>
            </w:r>
            <w:r>
              <w:rPr>
                <w:b/>
                <w:sz w:val="16"/>
              </w:rPr>
              <w:t xml:space="preserve"> </w:t>
            </w:r>
          </w:p>
        </w:tc>
      </w:tr>
      <w:tr w:rsidR="00E8309B">
        <w:trPr>
          <w:trHeight w:val="993"/>
        </w:trPr>
        <w:tc>
          <w:tcPr>
            <w:tcW w:w="463" w:type="dxa"/>
            <w:tcBorders>
              <w:top w:val="single" w:sz="4" w:space="0" w:color="000000"/>
              <w:left w:val="single" w:sz="4" w:space="0" w:color="000000"/>
              <w:bottom w:val="single" w:sz="4" w:space="0" w:color="000000"/>
              <w:right w:val="single" w:sz="4" w:space="0" w:color="000000"/>
            </w:tcBorders>
          </w:tcPr>
          <w:p w:rsidR="00E8309B" w:rsidRDefault="00E8309B">
            <w:pPr>
              <w:spacing w:after="160" w:line="259" w:lineRule="auto"/>
              <w:ind w:left="0" w:right="0" w:firstLine="0"/>
              <w:jc w:val="left"/>
            </w:pPr>
          </w:p>
        </w:tc>
        <w:tc>
          <w:tcPr>
            <w:tcW w:w="1871" w:type="dxa"/>
            <w:tcBorders>
              <w:top w:val="single" w:sz="4" w:space="0" w:color="000000"/>
              <w:left w:val="single" w:sz="4" w:space="0" w:color="000000"/>
              <w:bottom w:val="single" w:sz="4" w:space="0" w:color="000000"/>
              <w:right w:val="single" w:sz="4" w:space="0" w:color="000000"/>
            </w:tcBorders>
          </w:tcPr>
          <w:p w:rsidR="00E8309B" w:rsidRDefault="00E8309B">
            <w:pPr>
              <w:spacing w:after="160" w:line="259" w:lineRule="auto"/>
              <w:ind w:left="0" w:right="0" w:firstLine="0"/>
              <w:jc w:val="left"/>
            </w:pPr>
          </w:p>
        </w:tc>
        <w:tc>
          <w:tcPr>
            <w:tcW w:w="2481"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0" w:firstLine="0"/>
            </w:pPr>
            <w:r>
              <w:rPr>
                <w:sz w:val="16"/>
              </w:rPr>
              <w:t xml:space="preserve">повећање коришћења сервиса електронске управе. </w:t>
            </w:r>
          </w:p>
        </w:tc>
        <w:tc>
          <w:tcPr>
            <w:tcW w:w="1843"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1" w:right="0" w:firstLine="0"/>
              <w:jc w:val="left"/>
            </w:pPr>
            <w:r>
              <w:rPr>
                <w:sz w:val="16"/>
              </w:rPr>
              <w:t xml:space="preserve">Стратегија развоја мрежа нове генерације до 2023. године </w:t>
            </w:r>
          </w:p>
        </w:tc>
        <w:tc>
          <w:tcPr>
            <w:tcW w:w="2974"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0" w:lineRule="auto"/>
              <w:ind w:left="1" w:right="41" w:firstLine="0"/>
            </w:pPr>
            <w:r>
              <w:rPr>
                <w:sz w:val="16"/>
              </w:rPr>
              <w:t xml:space="preserve">инфраструктури (каналима, антенама, оптичкој инфраструктури и инфраструктури за фиксну телефонију). (препорука се налази и у ПР 2018. стр. </w:t>
            </w:r>
          </w:p>
          <w:p w:rsidR="00E8309B" w:rsidRDefault="009D0949">
            <w:pPr>
              <w:spacing w:after="0" w:line="259" w:lineRule="auto"/>
              <w:ind w:left="1" w:right="0" w:firstLine="0"/>
              <w:jc w:val="left"/>
            </w:pPr>
            <w:r>
              <w:rPr>
                <w:sz w:val="16"/>
              </w:rPr>
              <w:t xml:space="preserve">68.) </w:t>
            </w:r>
          </w:p>
        </w:tc>
      </w:tr>
      <w:tr w:rsidR="00E8309B">
        <w:trPr>
          <w:trHeight w:val="404"/>
        </w:trPr>
        <w:tc>
          <w:tcPr>
            <w:tcW w:w="9633" w:type="dxa"/>
            <w:gridSpan w:val="5"/>
            <w:tcBorders>
              <w:top w:val="single" w:sz="4" w:space="0" w:color="000000"/>
              <w:left w:val="single" w:sz="4" w:space="0" w:color="000000"/>
              <w:bottom w:val="single" w:sz="4" w:space="0" w:color="000000"/>
              <w:right w:val="single" w:sz="4" w:space="0" w:color="000000"/>
            </w:tcBorders>
            <w:shd w:val="clear" w:color="auto" w:fill="D9D9D9"/>
            <w:vAlign w:val="center"/>
          </w:tcPr>
          <w:p w:rsidR="00E8309B" w:rsidRDefault="009D0949">
            <w:pPr>
              <w:spacing w:after="0" w:line="259" w:lineRule="auto"/>
              <w:ind w:left="1" w:right="0" w:firstLine="0"/>
              <w:jc w:val="left"/>
            </w:pPr>
            <w:r>
              <w:rPr>
                <w:b/>
                <w:sz w:val="16"/>
              </w:rPr>
              <w:t xml:space="preserve">ОБЛАСТ: РЕФОРМЕ У ОБЛАСТИ ЕКОНОМСКИХ ИНТЕГРАЦИЈА </w:t>
            </w:r>
          </w:p>
        </w:tc>
      </w:tr>
      <w:tr w:rsidR="00E8309B">
        <w:trPr>
          <w:trHeight w:val="4667"/>
        </w:trPr>
        <w:tc>
          <w:tcPr>
            <w:tcW w:w="463"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1" w:right="0" w:firstLine="0"/>
              <w:jc w:val="left"/>
            </w:pPr>
            <w:r>
              <w:rPr>
                <w:b/>
                <w:sz w:val="16"/>
              </w:rPr>
              <w:t xml:space="preserve">18. </w:t>
            </w:r>
          </w:p>
        </w:tc>
        <w:tc>
          <w:tcPr>
            <w:tcW w:w="1871"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1" w:right="0" w:firstLine="0"/>
              <w:jc w:val="left"/>
            </w:pPr>
            <w:r>
              <w:rPr>
                <w:b/>
                <w:sz w:val="16"/>
              </w:rPr>
              <w:t xml:space="preserve">Унапређење услова и уклањање препрека трговини </w:t>
            </w:r>
          </w:p>
        </w:tc>
        <w:tc>
          <w:tcPr>
            <w:tcW w:w="2481"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42" w:firstLine="0"/>
            </w:pPr>
            <w:r>
              <w:rPr>
                <w:sz w:val="16"/>
              </w:rPr>
              <w:t>Реформом је предвиђен наставак процеса приступања СТО, имплементација Вишегодишњег акционог плана за стварање регионалне економске области (МАП РЕА), спровођење активности на имплементацији обавеза из ЦЕФТА Додатног протокола 5 и 6 и отварању преговора о Ц</w:t>
            </w:r>
            <w:r>
              <w:rPr>
                <w:sz w:val="16"/>
              </w:rPr>
              <w:t xml:space="preserve">ЕФТА Додатном протоколу 7, као и активности Националног координационог тела за олакшавање трговине (НКТОТ). </w:t>
            </w:r>
          </w:p>
        </w:tc>
        <w:tc>
          <w:tcPr>
            <w:tcW w:w="1843" w:type="dxa"/>
            <w:tcBorders>
              <w:top w:val="single" w:sz="4" w:space="0" w:color="000000"/>
              <w:left w:val="single" w:sz="4" w:space="0" w:color="000000"/>
              <w:bottom w:val="single" w:sz="4" w:space="0" w:color="000000"/>
              <w:right w:val="single" w:sz="4" w:space="0" w:color="000000"/>
            </w:tcBorders>
          </w:tcPr>
          <w:p w:rsidR="00E8309B" w:rsidRDefault="009D0949">
            <w:pPr>
              <w:spacing w:after="1" w:line="237" w:lineRule="auto"/>
              <w:ind w:left="1" w:right="42" w:firstLine="0"/>
              <w:jc w:val="left"/>
            </w:pPr>
            <w:r>
              <w:rPr>
                <w:sz w:val="16"/>
              </w:rPr>
              <w:t xml:space="preserve">Закон о потврђивању Додатног Протокола 5 уз Споразум о измени и приступању </w:t>
            </w:r>
          </w:p>
          <w:p w:rsidR="00E8309B" w:rsidRDefault="009D0949">
            <w:pPr>
              <w:spacing w:line="256" w:lineRule="auto"/>
              <w:ind w:left="1" w:right="0" w:firstLine="0"/>
              <w:jc w:val="left"/>
            </w:pPr>
            <w:r>
              <w:rPr>
                <w:sz w:val="16"/>
              </w:rPr>
              <w:t xml:space="preserve">Споразуму о слободној трговини у Централној Европи (ЦЕФТА 2006) </w:t>
            </w:r>
          </w:p>
          <w:p w:rsidR="00E8309B" w:rsidRDefault="009D0949">
            <w:pPr>
              <w:spacing w:after="0" w:line="237" w:lineRule="auto"/>
              <w:ind w:left="1" w:right="0" w:firstLine="0"/>
              <w:jc w:val="left"/>
            </w:pPr>
            <w:r>
              <w:rPr>
                <w:sz w:val="16"/>
              </w:rPr>
              <w:t xml:space="preserve">Закон о потврђивању Одлуке Мешовитог комитета између држава ЕФТА и Републике Србије број </w:t>
            </w:r>
          </w:p>
          <w:p w:rsidR="00E8309B" w:rsidRDefault="009D0949">
            <w:pPr>
              <w:spacing w:after="55" w:line="245" w:lineRule="auto"/>
              <w:ind w:left="1" w:right="40" w:firstLine="0"/>
              <w:jc w:val="left"/>
            </w:pPr>
            <w:r>
              <w:rPr>
                <w:sz w:val="16"/>
              </w:rPr>
              <w:t xml:space="preserve">2/2018 о измени Анекса IV Споразума о слободној трговини између држава ЕФТА и Републике Србије о олакшавању трговине </w:t>
            </w:r>
          </w:p>
          <w:p w:rsidR="00E8309B" w:rsidRDefault="009D0949">
            <w:pPr>
              <w:spacing w:after="0" w:line="259" w:lineRule="auto"/>
              <w:ind w:left="1" w:right="39" w:firstLine="0"/>
              <w:jc w:val="left"/>
            </w:pPr>
            <w:r>
              <w:rPr>
                <w:sz w:val="16"/>
              </w:rPr>
              <w:t>Одлука Владе Републике Србије о оснивању Национа</w:t>
            </w:r>
            <w:r>
              <w:rPr>
                <w:sz w:val="16"/>
              </w:rPr>
              <w:t xml:space="preserve">лног координационог тела за олакшавање трговине </w:t>
            </w:r>
          </w:p>
        </w:tc>
        <w:tc>
          <w:tcPr>
            <w:tcW w:w="2974"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1" w:right="36" w:firstLine="0"/>
            </w:pPr>
            <w:r>
              <w:rPr>
                <w:sz w:val="16"/>
              </w:rPr>
              <w:t>ПР 2020 стр. 125. – завршити приступање СТО усвајањем измена и допуна Закона о генетички модификованим организмима и комплетирање преосталих билатералних преговора о приступу тржишту; даље јачати администрат</w:t>
            </w:r>
            <w:r>
              <w:rPr>
                <w:sz w:val="16"/>
              </w:rPr>
              <w:t>ивне капацитете МТТТ за управљање трговином са ЕУ, приступање споразуму ЦЕФТА и приступање СТО; спроведе акције према вишегодишњем акционом плану за развој REA, нарочито да: обезбеди пуну примену Додатног протокола 5 о олакшавању трговине уз споразум ЦЕФТА</w:t>
            </w:r>
            <w:r>
              <w:rPr>
                <w:sz w:val="16"/>
              </w:rPr>
              <w:t>; имплементира Додатни протокол 6 о трговини услугама уз споразум ЦЕФТА; преговара и закључи Додатни протокол 7 о решавању спорова уз споразум ЦЕФТА; и усвоји регионалне стандарде за међународне инвестиционе споразуме и настави спровођење појединачног рефо</w:t>
            </w:r>
            <w:r>
              <w:rPr>
                <w:sz w:val="16"/>
              </w:rPr>
              <w:t xml:space="preserve">рмског акционог плана за инвестиције. </w:t>
            </w:r>
          </w:p>
        </w:tc>
      </w:tr>
      <w:tr w:rsidR="00E8309B">
        <w:trPr>
          <w:trHeight w:val="2708"/>
        </w:trPr>
        <w:tc>
          <w:tcPr>
            <w:tcW w:w="463"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1" w:right="0" w:firstLine="0"/>
              <w:jc w:val="left"/>
            </w:pPr>
            <w:r>
              <w:rPr>
                <w:b/>
                <w:sz w:val="16"/>
              </w:rPr>
              <w:t xml:space="preserve">19. </w:t>
            </w:r>
          </w:p>
        </w:tc>
        <w:tc>
          <w:tcPr>
            <w:tcW w:w="1871" w:type="dxa"/>
            <w:tcBorders>
              <w:top w:val="single" w:sz="4" w:space="0" w:color="000000"/>
              <w:left w:val="single" w:sz="4" w:space="0" w:color="000000"/>
              <w:bottom w:val="single" w:sz="4" w:space="0" w:color="000000"/>
              <w:right w:val="single" w:sz="4" w:space="0" w:color="000000"/>
            </w:tcBorders>
          </w:tcPr>
          <w:p w:rsidR="00E8309B" w:rsidRDefault="009D0949">
            <w:pPr>
              <w:spacing w:after="16" w:line="259" w:lineRule="auto"/>
              <w:ind w:left="1" w:right="0" w:firstLine="0"/>
              <w:jc w:val="left"/>
            </w:pPr>
            <w:r>
              <w:rPr>
                <w:b/>
                <w:sz w:val="16"/>
              </w:rPr>
              <w:t xml:space="preserve">Безбедан и </w:t>
            </w:r>
          </w:p>
          <w:p w:rsidR="00E8309B" w:rsidRDefault="009D0949">
            <w:pPr>
              <w:spacing w:after="0" w:line="259" w:lineRule="auto"/>
              <w:ind w:left="1" w:right="55" w:firstLine="0"/>
            </w:pPr>
            <w:r>
              <w:rPr>
                <w:b/>
                <w:sz w:val="16"/>
              </w:rPr>
              <w:t xml:space="preserve">квалитетан производ - фактор развоја индустрије </w:t>
            </w:r>
          </w:p>
        </w:tc>
        <w:tc>
          <w:tcPr>
            <w:tcW w:w="2481"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42" w:firstLine="0"/>
            </w:pPr>
            <w:r>
              <w:rPr>
                <w:sz w:val="16"/>
              </w:rPr>
              <w:t>Реформа предвиђа финансијску подршку привредним субјектима на унапређењу конкурентности, односно безбедности и квалитета производа и услуга, коришћењем најновијих стандарда у производњи и организацији пословања. Такође, предвиђена је и изградња јединствено</w:t>
            </w:r>
            <w:r>
              <w:rPr>
                <w:sz w:val="16"/>
              </w:rPr>
              <w:t xml:space="preserve">г дигиталног сервиса „Производинфо“, са циљем унапређења информисаности и доступности дигиталних услуга у вези са применом техничких прописа. </w:t>
            </w:r>
          </w:p>
        </w:tc>
        <w:tc>
          <w:tcPr>
            <w:tcW w:w="1843" w:type="dxa"/>
            <w:tcBorders>
              <w:top w:val="single" w:sz="4" w:space="0" w:color="000000"/>
              <w:left w:val="single" w:sz="4" w:space="0" w:color="000000"/>
              <w:bottom w:val="single" w:sz="4" w:space="0" w:color="000000"/>
              <w:right w:val="single" w:sz="4" w:space="0" w:color="000000"/>
            </w:tcBorders>
          </w:tcPr>
          <w:p w:rsidR="00E8309B" w:rsidRDefault="009D0949">
            <w:pPr>
              <w:spacing w:after="2" w:line="237" w:lineRule="auto"/>
              <w:ind w:left="1" w:right="0" w:firstLine="0"/>
              <w:jc w:val="left"/>
            </w:pPr>
            <w:r>
              <w:rPr>
                <w:sz w:val="16"/>
              </w:rPr>
              <w:t xml:space="preserve">Стратегија индустријске политике Републике Србије од </w:t>
            </w:r>
          </w:p>
          <w:p w:rsidR="00E8309B" w:rsidRDefault="009D0949">
            <w:pPr>
              <w:spacing w:after="0" w:line="259" w:lineRule="auto"/>
              <w:ind w:left="1" w:right="0" w:firstLine="0"/>
              <w:jc w:val="left"/>
            </w:pPr>
            <w:r>
              <w:rPr>
                <w:sz w:val="16"/>
              </w:rPr>
              <w:t xml:space="preserve">2021-2030 </w:t>
            </w:r>
          </w:p>
        </w:tc>
        <w:tc>
          <w:tcPr>
            <w:tcW w:w="2974" w:type="dxa"/>
            <w:tcBorders>
              <w:top w:val="single" w:sz="4" w:space="0" w:color="000000"/>
              <w:left w:val="single" w:sz="4" w:space="0" w:color="000000"/>
              <w:bottom w:val="single" w:sz="4" w:space="0" w:color="000000"/>
              <w:right w:val="single" w:sz="4" w:space="0" w:color="000000"/>
            </w:tcBorders>
          </w:tcPr>
          <w:p w:rsidR="00E8309B" w:rsidRDefault="009D0949">
            <w:pPr>
              <w:spacing w:after="78" w:line="245" w:lineRule="auto"/>
              <w:ind w:left="1" w:right="39" w:firstLine="0"/>
            </w:pPr>
            <w:r>
              <w:rPr>
                <w:sz w:val="16"/>
              </w:rPr>
              <w:t>ПР 2020 стр. 92. - развити свеобухватну стратеги</w:t>
            </w:r>
            <w:r>
              <w:rPr>
                <w:sz w:val="16"/>
              </w:rPr>
              <w:t xml:space="preserve">ју за усклађивање са правним тековинама ЕУ, спровођење и примену правних тековина ЕУ у области безбедности хране, ветеринарске и фитосанитарне политике. </w:t>
            </w:r>
          </w:p>
          <w:p w:rsidR="00E8309B" w:rsidRDefault="009D0949">
            <w:pPr>
              <w:spacing w:after="0" w:line="259" w:lineRule="auto"/>
              <w:ind w:left="1" w:right="38" w:firstLine="0"/>
            </w:pPr>
            <w:r>
              <w:rPr>
                <w:sz w:val="16"/>
              </w:rPr>
              <w:t xml:space="preserve">ПР 2019 стр. 60. – </w:t>
            </w:r>
            <w:r>
              <w:rPr>
                <w:sz w:val="16"/>
              </w:rPr>
              <w:t xml:space="preserve">У делу нехармонизоване области, као хоризонтална мера, препорука је да се успоставе детаљне процедуре за функционисање Контактне тачке за производе (Product Contact Point – PCP). </w:t>
            </w:r>
          </w:p>
        </w:tc>
      </w:tr>
      <w:tr w:rsidR="00E8309B">
        <w:trPr>
          <w:trHeight w:val="404"/>
        </w:trPr>
        <w:tc>
          <w:tcPr>
            <w:tcW w:w="9633" w:type="dxa"/>
            <w:gridSpan w:val="5"/>
            <w:tcBorders>
              <w:top w:val="single" w:sz="4" w:space="0" w:color="000000"/>
              <w:left w:val="single" w:sz="4" w:space="0" w:color="000000"/>
              <w:bottom w:val="single" w:sz="4" w:space="0" w:color="000000"/>
              <w:right w:val="single" w:sz="4" w:space="0" w:color="000000"/>
            </w:tcBorders>
            <w:shd w:val="clear" w:color="auto" w:fill="D9D9D9"/>
            <w:vAlign w:val="center"/>
          </w:tcPr>
          <w:p w:rsidR="00E8309B" w:rsidRDefault="009D0949">
            <w:pPr>
              <w:spacing w:after="0" w:line="259" w:lineRule="auto"/>
              <w:ind w:left="1" w:right="0" w:firstLine="0"/>
              <w:jc w:val="left"/>
            </w:pPr>
            <w:r>
              <w:rPr>
                <w:b/>
                <w:sz w:val="16"/>
              </w:rPr>
              <w:t xml:space="preserve">ОБЛАСТ: ОБРАЗОВАЊЕ И ВЕШТИНЕ </w:t>
            </w:r>
          </w:p>
        </w:tc>
      </w:tr>
      <w:tr w:rsidR="00E8309B">
        <w:trPr>
          <w:trHeight w:val="4793"/>
        </w:trPr>
        <w:tc>
          <w:tcPr>
            <w:tcW w:w="463"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1" w:right="0" w:firstLine="0"/>
              <w:jc w:val="left"/>
            </w:pPr>
            <w:r>
              <w:rPr>
                <w:b/>
                <w:sz w:val="16"/>
              </w:rPr>
              <w:lastRenderedPageBreak/>
              <w:t xml:space="preserve">20. </w:t>
            </w:r>
          </w:p>
        </w:tc>
        <w:tc>
          <w:tcPr>
            <w:tcW w:w="1871"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1" w:right="0" w:firstLine="0"/>
              <w:jc w:val="left"/>
            </w:pPr>
            <w:r>
              <w:rPr>
                <w:b/>
                <w:sz w:val="16"/>
              </w:rPr>
              <w:t xml:space="preserve">Квалификације оријентисане према потребама тржишта рада </w:t>
            </w:r>
          </w:p>
        </w:tc>
        <w:tc>
          <w:tcPr>
            <w:tcW w:w="2481" w:type="dxa"/>
            <w:tcBorders>
              <w:top w:val="single" w:sz="4" w:space="0" w:color="000000"/>
              <w:left w:val="single" w:sz="4" w:space="0" w:color="000000"/>
              <w:bottom w:val="single" w:sz="4" w:space="0" w:color="000000"/>
              <w:right w:val="single" w:sz="4" w:space="0" w:color="000000"/>
            </w:tcBorders>
          </w:tcPr>
          <w:p w:rsidR="00E8309B" w:rsidRDefault="009D0949">
            <w:pPr>
              <w:spacing w:after="55" w:line="242" w:lineRule="auto"/>
              <w:ind w:left="0" w:right="42" w:firstLine="0"/>
            </w:pPr>
            <w:r>
              <w:rPr>
                <w:sz w:val="16"/>
              </w:rPr>
              <w:t xml:space="preserve">Наставак реформе средњег стручног образовања унапређењем модела дуалног образовања кроз успостављање и примену оквира за праћење и вредновање дуалних образовних профила, чиме се омогућава доношење одлука заснованих на подацима и осигурава квалитет дуалног </w:t>
            </w:r>
            <w:r>
              <w:rPr>
                <w:sz w:val="16"/>
              </w:rPr>
              <w:t>образовања, као и инфраструктурно уређење и опремање тренинг центара. Као један од одговора на нову епидемиолошку ситуацију креираће се онлајн база која ће садржати наставне јединице које се реализују у образовним институцијама и теме за учење кроз рад у к</w:t>
            </w:r>
            <w:r>
              <w:rPr>
                <w:sz w:val="16"/>
              </w:rPr>
              <w:t xml:space="preserve">омпанијама. </w:t>
            </w:r>
          </w:p>
          <w:p w:rsidR="00E8309B" w:rsidRDefault="009D0949">
            <w:pPr>
              <w:spacing w:after="0" w:line="259" w:lineRule="auto"/>
              <w:ind w:left="0" w:right="42" w:firstLine="0"/>
            </w:pPr>
            <w:r>
              <w:rPr>
                <w:sz w:val="16"/>
              </w:rPr>
              <w:t xml:space="preserve">На плану имплементације система НОКС предвиђено је пилотирање поступка признавања претходног учења, као и унос података у Регистар НОКС. </w:t>
            </w:r>
          </w:p>
        </w:tc>
        <w:tc>
          <w:tcPr>
            <w:tcW w:w="1843" w:type="dxa"/>
            <w:tcBorders>
              <w:top w:val="single" w:sz="4" w:space="0" w:color="000000"/>
              <w:left w:val="single" w:sz="4" w:space="0" w:color="000000"/>
              <w:bottom w:val="single" w:sz="4" w:space="0" w:color="000000"/>
              <w:right w:val="single" w:sz="4" w:space="0" w:color="000000"/>
            </w:tcBorders>
          </w:tcPr>
          <w:p w:rsidR="00E8309B" w:rsidRDefault="009D0949">
            <w:pPr>
              <w:spacing w:after="42" w:line="258" w:lineRule="auto"/>
              <w:ind w:left="1" w:right="33" w:firstLine="0"/>
              <w:jc w:val="left"/>
            </w:pPr>
            <w:r>
              <w:rPr>
                <w:sz w:val="16"/>
              </w:rPr>
              <w:t xml:space="preserve">Стратегијa развоја образовања у Србији до 2020. године </w:t>
            </w:r>
          </w:p>
          <w:p w:rsidR="00E8309B" w:rsidRDefault="009D0949">
            <w:pPr>
              <w:spacing w:after="27" w:line="278" w:lineRule="auto"/>
              <w:ind w:left="1" w:right="0" w:firstLine="0"/>
              <w:jc w:val="left"/>
            </w:pPr>
            <w:r>
              <w:rPr>
                <w:sz w:val="16"/>
              </w:rPr>
              <w:t xml:space="preserve">Закон о дуалном образовању </w:t>
            </w:r>
          </w:p>
          <w:p w:rsidR="00E8309B" w:rsidRDefault="009D0949">
            <w:pPr>
              <w:spacing w:after="42" w:line="258" w:lineRule="auto"/>
              <w:ind w:left="1" w:right="4" w:firstLine="0"/>
              <w:jc w:val="left"/>
            </w:pPr>
            <w:r>
              <w:rPr>
                <w:sz w:val="16"/>
              </w:rPr>
              <w:t>Закон о дуалном модел</w:t>
            </w:r>
            <w:r>
              <w:rPr>
                <w:sz w:val="16"/>
              </w:rPr>
              <w:t xml:space="preserve">у студија у високом образовању </w:t>
            </w:r>
          </w:p>
          <w:p w:rsidR="00E8309B" w:rsidRDefault="009D0949">
            <w:pPr>
              <w:spacing w:after="42" w:line="258" w:lineRule="auto"/>
              <w:ind w:left="1" w:right="135" w:firstLine="0"/>
            </w:pPr>
            <w:r>
              <w:rPr>
                <w:sz w:val="16"/>
              </w:rPr>
              <w:t xml:space="preserve">Закон о националном оквиру квалификација Републике Србије </w:t>
            </w:r>
          </w:p>
          <w:p w:rsidR="00E8309B" w:rsidRDefault="009D0949">
            <w:pPr>
              <w:spacing w:after="0" w:line="259" w:lineRule="auto"/>
              <w:ind w:left="1" w:right="0" w:firstLine="0"/>
              <w:jc w:val="left"/>
            </w:pPr>
            <w:r>
              <w:rPr>
                <w:sz w:val="16"/>
              </w:rPr>
              <w:t xml:space="preserve">Закон о образовању одраслих </w:t>
            </w:r>
          </w:p>
        </w:tc>
        <w:tc>
          <w:tcPr>
            <w:tcW w:w="2974" w:type="dxa"/>
            <w:tcBorders>
              <w:top w:val="single" w:sz="4" w:space="0" w:color="000000"/>
              <w:left w:val="single" w:sz="4" w:space="0" w:color="000000"/>
              <w:bottom w:val="single" w:sz="4" w:space="0" w:color="000000"/>
              <w:right w:val="single" w:sz="4" w:space="0" w:color="000000"/>
            </w:tcBorders>
          </w:tcPr>
          <w:p w:rsidR="00E8309B" w:rsidRDefault="009D0949">
            <w:pPr>
              <w:spacing w:after="73" w:line="258" w:lineRule="auto"/>
              <w:ind w:left="1" w:right="38" w:firstLine="0"/>
            </w:pPr>
            <w:r>
              <w:rPr>
                <w:sz w:val="16"/>
              </w:rPr>
              <w:t xml:space="preserve">ПР 2020 стр. 113. - учинити да институционална структура за НОК буде потпуно функционална. </w:t>
            </w:r>
          </w:p>
          <w:p w:rsidR="00E8309B" w:rsidRDefault="009D0949">
            <w:pPr>
              <w:spacing w:after="0" w:line="259" w:lineRule="auto"/>
              <w:ind w:left="1" w:right="39" w:firstLine="0"/>
            </w:pPr>
            <w:r>
              <w:rPr>
                <w:sz w:val="16"/>
              </w:rPr>
              <w:t xml:space="preserve">ПР 2019 стр. 93. - </w:t>
            </w:r>
            <w:r>
              <w:rPr>
                <w:sz w:val="16"/>
              </w:rPr>
              <w:t xml:space="preserve">Повеже НОК са европским оквиром квалификација и учини да институционална структура буде потпуно функционална. </w:t>
            </w:r>
          </w:p>
        </w:tc>
      </w:tr>
    </w:tbl>
    <w:p w:rsidR="00E8309B" w:rsidRDefault="00E8309B">
      <w:pPr>
        <w:spacing w:after="0" w:line="259" w:lineRule="auto"/>
        <w:ind w:left="-1133" w:right="25" w:firstLine="0"/>
        <w:jc w:val="left"/>
      </w:pPr>
    </w:p>
    <w:tbl>
      <w:tblPr>
        <w:tblStyle w:val="TableGrid"/>
        <w:tblW w:w="9633" w:type="dxa"/>
        <w:tblInd w:w="7" w:type="dxa"/>
        <w:tblCellMar>
          <w:top w:w="8" w:type="dxa"/>
          <w:left w:w="107" w:type="dxa"/>
          <w:bottom w:w="0" w:type="dxa"/>
          <w:right w:w="66" w:type="dxa"/>
        </w:tblCellMar>
        <w:tblLook w:val="04A0" w:firstRow="1" w:lastRow="0" w:firstColumn="1" w:lastColumn="0" w:noHBand="0" w:noVBand="1"/>
      </w:tblPr>
      <w:tblGrid>
        <w:gridCol w:w="463"/>
        <w:gridCol w:w="1871"/>
        <w:gridCol w:w="2481"/>
        <w:gridCol w:w="1843"/>
        <w:gridCol w:w="2975"/>
      </w:tblGrid>
      <w:tr w:rsidR="00E8309B">
        <w:trPr>
          <w:trHeight w:val="376"/>
        </w:trPr>
        <w:tc>
          <w:tcPr>
            <w:tcW w:w="463" w:type="dxa"/>
            <w:tcBorders>
              <w:top w:val="single" w:sz="4" w:space="0" w:color="000000"/>
              <w:left w:val="single" w:sz="4" w:space="0" w:color="000000"/>
              <w:bottom w:val="single" w:sz="4" w:space="0" w:color="000000"/>
              <w:right w:val="single" w:sz="4" w:space="0" w:color="000000"/>
            </w:tcBorders>
            <w:shd w:val="clear" w:color="auto" w:fill="D9D9D9"/>
          </w:tcPr>
          <w:p w:rsidR="00E8309B" w:rsidRDefault="009D0949">
            <w:pPr>
              <w:spacing w:after="13" w:line="259" w:lineRule="auto"/>
              <w:ind w:left="1" w:right="0" w:firstLine="0"/>
              <w:jc w:val="left"/>
            </w:pPr>
            <w:r>
              <w:rPr>
                <w:b/>
                <w:sz w:val="16"/>
              </w:rPr>
              <w:t xml:space="preserve">СР </w:t>
            </w:r>
          </w:p>
          <w:p w:rsidR="00E8309B" w:rsidRDefault="009D0949">
            <w:pPr>
              <w:spacing w:after="0" w:line="259" w:lineRule="auto"/>
              <w:ind w:left="1" w:right="0" w:firstLine="0"/>
              <w:jc w:val="left"/>
            </w:pPr>
            <w:r>
              <w:rPr>
                <w:b/>
                <w:sz w:val="16"/>
              </w:rPr>
              <w:t xml:space="preserve">Рб. </w:t>
            </w:r>
          </w:p>
        </w:tc>
        <w:tc>
          <w:tcPr>
            <w:tcW w:w="1871" w:type="dxa"/>
            <w:tcBorders>
              <w:top w:val="single" w:sz="4" w:space="0" w:color="000000"/>
              <w:left w:val="single" w:sz="4" w:space="0" w:color="000000"/>
              <w:bottom w:val="single" w:sz="4" w:space="0" w:color="000000"/>
              <w:right w:val="single" w:sz="4" w:space="0" w:color="000000"/>
            </w:tcBorders>
            <w:shd w:val="clear" w:color="auto" w:fill="D9D9D9"/>
          </w:tcPr>
          <w:p w:rsidR="00E8309B" w:rsidRDefault="009D0949">
            <w:pPr>
              <w:spacing w:after="0" w:line="259" w:lineRule="auto"/>
              <w:ind w:left="0" w:right="0" w:firstLine="0"/>
              <w:jc w:val="center"/>
            </w:pPr>
            <w:r>
              <w:rPr>
                <w:b/>
                <w:sz w:val="16"/>
              </w:rPr>
              <w:t xml:space="preserve">Назив структурне реформе </w:t>
            </w:r>
          </w:p>
        </w:tc>
        <w:tc>
          <w:tcPr>
            <w:tcW w:w="2481" w:type="dxa"/>
            <w:tcBorders>
              <w:top w:val="single" w:sz="4" w:space="0" w:color="000000"/>
              <w:left w:val="single" w:sz="4" w:space="0" w:color="000000"/>
              <w:bottom w:val="single" w:sz="4" w:space="0" w:color="000000"/>
              <w:right w:val="single" w:sz="4" w:space="0" w:color="000000"/>
            </w:tcBorders>
            <w:shd w:val="clear" w:color="auto" w:fill="D9D9D9"/>
          </w:tcPr>
          <w:p w:rsidR="00E8309B" w:rsidRDefault="009D0949">
            <w:pPr>
              <w:spacing w:after="0" w:line="259" w:lineRule="auto"/>
              <w:ind w:left="0" w:right="47" w:firstLine="0"/>
              <w:jc w:val="center"/>
            </w:pPr>
            <w:r>
              <w:rPr>
                <w:b/>
                <w:sz w:val="16"/>
              </w:rPr>
              <w:t xml:space="preserve">Опис структурне реформе </w:t>
            </w:r>
          </w:p>
        </w:tc>
        <w:tc>
          <w:tcPr>
            <w:tcW w:w="1843" w:type="dxa"/>
            <w:tcBorders>
              <w:top w:val="single" w:sz="4" w:space="0" w:color="000000"/>
              <w:left w:val="single" w:sz="4" w:space="0" w:color="000000"/>
              <w:bottom w:val="single" w:sz="4" w:space="0" w:color="000000"/>
              <w:right w:val="single" w:sz="4" w:space="0" w:color="000000"/>
            </w:tcBorders>
            <w:shd w:val="clear" w:color="auto" w:fill="D9D9D9"/>
          </w:tcPr>
          <w:p w:rsidR="00E8309B" w:rsidRDefault="009D0949">
            <w:pPr>
              <w:spacing w:after="0" w:line="259" w:lineRule="auto"/>
              <w:ind w:left="20" w:right="0" w:firstLine="0"/>
              <w:jc w:val="left"/>
            </w:pPr>
            <w:r>
              <w:rPr>
                <w:b/>
                <w:sz w:val="16"/>
              </w:rPr>
              <w:t xml:space="preserve">Референтни документ </w:t>
            </w:r>
          </w:p>
        </w:tc>
        <w:tc>
          <w:tcPr>
            <w:tcW w:w="2974"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E8309B" w:rsidRDefault="009D0949">
            <w:pPr>
              <w:spacing w:after="0" w:line="259" w:lineRule="auto"/>
              <w:ind w:left="0" w:right="41" w:firstLine="0"/>
              <w:jc w:val="center"/>
            </w:pPr>
            <w:r>
              <w:rPr>
                <w:b/>
                <w:sz w:val="16"/>
              </w:rPr>
              <w:t>Препоруке</w:t>
            </w:r>
            <w:r>
              <w:rPr>
                <w:b/>
                <w:sz w:val="16"/>
                <w:vertAlign w:val="superscript"/>
              </w:rPr>
              <w:t>21</w:t>
            </w:r>
            <w:r>
              <w:rPr>
                <w:b/>
                <w:sz w:val="16"/>
              </w:rPr>
              <w:t xml:space="preserve"> </w:t>
            </w:r>
          </w:p>
        </w:tc>
      </w:tr>
      <w:tr w:rsidR="00E8309B">
        <w:trPr>
          <w:trHeight w:val="2889"/>
        </w:trPr>
        <w:tc>
          <w:tcPr>
            <w:tcW w:w="463"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1" w:right="0" w:firstLine="0"/>
              <w:jc w:val="left"/>
            </w:pPr>
            <w:r>
              <w:rPr>
                <w:b/>
                <w:sz w:val="16"/>
              </w:rPr>
              <w:t xml:space="preserve">21. </w:t>
            </w:r>
          </w:p>
        </w:tc>
        <w:tc>
          <w:tcPr>
            <w:tcW w:w="1871"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1" w:right="0" w:firstLine="0"/>
              <w:jc w:val="left"/>
            </w:pPr>
            <w:r>
              <w:rPr>
                <w:b/>
                <w:sz w:val="16"/>
              </w:rPr>
              <w:t xml:space="preserve">Дигитализација система образовања и увођење јединственог информационог система образовања </w:t>
            </w:r>
          </w:p>
        </w:tc>
        <w:tc>
          <w:tcPr>
            <w:tcW w:w="2481" w:type="dxa"/>
            <w:tcBorders>
              <w:top w:val="single" w:sz="4" w:space="0" w:color="000000"/>
              <w:left w:val="single" w:sz="4" w:space="0" w:color="000000"/>
              <w:bottom w:val="single" w:sz="4" w:space="0" w:color="000000"/>
              <w:right w:val="single" w:sz="4" w:space="0" w:color="000000"/>
            </w:tcBorders>
          </w:tcPr>
          <w:p w:rsidR="00E8309B" w:rsidRDefault="009D0949">
            <w:pPr>
              <w:spacing w:after="1" w:line="237" w:lineRule="auto"/>
              <w:ind w:left="0" w:right="42" w:firstLine="0"/>
            </w:pPr>
            <w:r>
              <w:rPr>
                <w:sz w:val="16"/>
              </w:rPr>
              <w:t>Реформа подразумева увођење Јединственог информационог система образовања, као информатичку основу за модернизацију управљања и доношења одлука, који ће допринети ос</w:t>
            </w:r>
            <w:r>
              <w:rPr>
                <w:sz w:val="16"/>
              </w:rPr>
              <w:t xml:space="preserve">авремењавању и дигитализацији система образовања и васпитања. </w:t>
            </w:r>
          </w:p>
          <w:p w:rsidR="00E8309B" w:rsidRDefault="009D0949">
            <w:pPr>
              <w:spacing w:after="0" w:line="259" w:lineRule="auto"/>
              <w:ind w:left="0" w:right="42" w:firstLine="0"/>
            </w:pPr>
            <w:r>
              <w:rPr>
                <w:sz w:val="16"/>
              </w:rPr>
              <w:t xml:space="preserve">Предвиђено је и да се развије репозиторијум отворених образовних ресурса (дидактички материјали), као база дигиталних извора за школе. </w:t>
            </w:r>
          </w:p>
        </w:tc>
        <w:tc>
          <w:tcPr>
            <w:tcW w:w="1843" w:type="dxa"/>
            <w:tcBorders>
              <w:top w:val="single" w:sz="4" w:space="0" w:color="000000"/>
              <w:left w:val="single" w:sz="4" w:space="0" w:color="000000"/>
              <w:bottom w:val="single" w:sz="4" w:space="0" w:color="000000"/>
              <w:right w:val="single" w:sz="4" w:space="0" w:color="000000"/>
            </w:tcBorders>
          </w:tcPr>
          <w:p w:rsidR="00E8309B" w:rsidRDefault="009D0949">
            <w:pPr>
              <w:spacing w:after="46" w:line="256" w:lineRule="auto"/>
              <w:ind w:left="1" w:right="33" w:firstLine="0"/>
              <w:jc w:val="left"/>
            </w:pPr>
            <w:r>
              <w:rPr>
                <w:sz w:val="16"/>
              </w:rPr>
              <w:t xml:space="preserve">Стратегијa развоја образовања у Србији до 2020. године </w:t>
            </w:r>
          </w:p>
          <w:p w:rsidR="00E8309B" w:rsidRDefault="009D0949">
            <w:pPr>
              <w:spacing w:after="46" w:line="256" w:lineRule="auto"/>
              <w:ind w:left="1" w:right="0" w:firstLine="0"/>
              <w:jc w:val="left"/>
            </w:pPr>
            <w:r>
              <w:rPr>
                <w:sz w:val="16"/>
              </w:rPr>
              <w:t xml:space="preserve">Закон о основама система образовања и васпитања </w:t>
            </w:r>
          </w:p>
          <w:p w:rsidR="00E8309B" w:rsidRDefault="009D0949">
            <w:pPr>
              <w:spacing w:after="48" w:line="250" w:lineRule="auto"/>
              <w:ind w:left="1" w:right="476" w:firstLine="0"/>
            </w:pPr>
            <w:r>
              <w:rPr>
                <w:sz w:val="16"/>
              </w:rPr>
              <w:t xml:space="preserve">Правилник о Јединственом информационом систему просвете </w:t>
            </w:r>
          </w:p>
          <w:p w:rsidR="00E8309B" w:rsidRDefault="009D0949">
            <w:pPr>
              <w:spacing w:after="0" w:line="259" w:lineRule="auto"/>
              <w:ind w:left="1" w:right="0" w:firstLine="0"/>
              <w:jc w:val="left"/>
            </w:pPr>
            <w:r>
              <w:rPr>
                <w:sz w:val="16"/>
              </w:rPr>
              <w:t xml:space="preserve">Правилник о ближим условима у поступку доделе јединственог образовног броја </w:t>
            </w:r>
          </w:p>
        </w:tc>
        <w:tc>
          <w:tcPr>
            <w:tcW w:w="2974"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1" w:right="0" w:firstLine="0"/>
              <w:jc w:val="left"/>
            </w:pPr>
            <w:r>
              <w:rPr>
                <w:sz w:val="16"/>
              </w:rPr>
              <w:t>ПР 2020 стр. 113. - повећати учешће деце у предшколском васпитању и образ</w:t>
            </w:r>
            <w:r>
              <w:rPr>
                <w:sz w:val="16"/>
              </w:rPr>
              <w:t xml:space="preserve">овању, нарочито деце из угрожених средина. </w:t>
            </w:r>
          </w:p>
        </w:tc>
      </w:tr>
      <w:tr w:rsidR="00E8309B">
        <w:trPr>
          <w:trHeight w:val="404"/>
        </w:trPr>
        <w:tc>
          <w:tcPr>
            <w:tcW w:w="9633" w:type="dxa"/>
            <w:gridSpan w:val="5"/>
            <w:tcBorders>
              <w:top w:val="single" w:sz="4" w:space="0" w:color="000000"/>
              <w:left w:val="single" w:sz="4" w:space="0" w:color="000000"/>
              <w:bottom w:val="single" w:sz="4" w:space="0" w:color="000000"/>
              <w:right w:val="single" w:sz="4" w:space="0" w:color="000000"/>
            </w:tcBorders>
            <w:shd w:val="clear" w:color="auto" w:fill="D9D9D9"/>
            <w:vAlign w:val="center"/>
          </w:tcPr>
          <w:p w:rsidR="00E8309B" w:rsidRDefault="009D0949">
            <w:pPr>
              <w:spacing w:after="0" w:line="259" w:lineRule="auto"/>
              <w:ind w:left="1" w:right="0" w:firstLine="0"/>
              <w:jc w:val="left"/>
            </w:pPr>
            <w:r>
              <w:rPr>
                <w:b/>
                <w:sz w:val="16"/>
              </w:rPr>
              <w:t xml:space="preserve">ОБЛАСТ: ЗАПОШЉАВАЊЕ И ТРЖИШТЕ РАДА </w:t>
            </w:r>
          </w:p>
        </w:tc>
      </w:tr>
      <w:tr w:rsidR="00E8309B">
        <w:trPr>
          <w:trHeight w:val="3870"/>
        </w:trPr>
        <w:tc>
          <w:tcPr>
            <w:tcW w:w="463"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1" w:right="0" w:firstLine="0"/>
              <w:jc w:val="left"/>
            </w:pPr>
            <w:r>
              <w:rPr>
                <w:b/>
                <w:sz w:val="16"/>
              </w:rPr>
              <w:t xml:space="preserve">22. </w:t>
            </w:r>
          </w:p>
        </w:tc>
        <w:tc>
          <w:tcPr>
            <w:tcW w:w="1871"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1" w:right="35" w:firstLine="0"/>
              <w:jc w:val="left"/>
            </w:pPr>
            <w:r>
              <w:rPr>
                <w:b/>
                <w:sz w:val="16"/>
              </w:rPr>
              <w:t xml:space="preserve">Унапређење амбијента за подстицање, подршку и праћење циркуларних и економских миграција </w:t>
            </w:r>
          </w:p>
        </w:tc>
        <w:tc>
          <w:tcPr>
            <w:tcW w:w="2481"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42" w:firstLine="0"/>
            </w:pPr>
            <w:r>
              <w:rPr>
                <w:sz w:val="16"/>
              </w:rPr>
              <w:t>Реформа подразумева развој јединственог система за прикупљање података о економским миграцијама, јачање механизма за праћење српске дијаспоре и свеопштих економских миграција, као и унапређење и примену процедура за повратак дијаспоре. У циљу подстицања по</w:t>
            </w:r>
            <w:r>
              <w:rPr>
                <w:sz w:val="16"/>
              </w:rPr>
              <w:t>вратка биће додатно промовисани порески и други подстицаји који се односе на ново запошљавање, кроз комуникацију са привредом и повратницима. Један од корака у изградњи поверења са дијаспором биће успостављање дијалога и разумевања кроз низ активности и ис</w:t>
            </w:r>
            <w:r>
              <w:rPr>
                <w:sz w:val="16"/>
              </w:rPr>
              <w:t xml:space="preserve">траживања. </w:t>
            </w:r>
          </w:p>
        </w:tc>
        <w:tc>
          <w:tcPr>
            <w:tcW w:w="1843" w:type="dxa"/>
            <w:tcBorders>
              <w:top w:val="single" w:sz="4" w:space="0" w:color="000000"/>
              <w:left w:val="single" w:sz="4" w:space="0" w:color="000000"/>
              <w:bottom w:val="single" w:sz="4" w:space="0" w:color="000000"/>
              <w:right w:val="single" w:sz="4" w:space="0" w:color="000000"/>
            </w:tcBorders>
          </w:tcPr>
          <w:p w:rsidR="00E8309B" w:rsidRDefault="009D0949">
            <w:pPr>
              <w:spacing w:after="32" w:line="237" w:lineRule="auto"/>
              <w:ind w:left="1" w:right="0" w:firstLine="0"/>
              <w:jc w:val="left"/>
            </w:pPr>
            <w:r>
              <w:rPr>
                <w:sz w:val="16"/>
              </w:rPr>
              <w:t xml:space="preserve">Стратегија о економским миграцијама Републике </w:t>
            </w:r>
          </w:p>
          <w:p w:rsidR="00E8309B" w:rsidRDefault="009D0949">
            <w:pPr>
              <w:spacing w:after="27" w:line="277" w:lineRule="auto"/>
              <w:ind w:left="1" w:right="0" w:firstLine="0"/>
            </w:pPr>
            <w:r>
              <w:rPr>
                <w:sz w:val="16"/>
              </w:rPr>
              <w:t xml:space="preserve">Србије за период 20212027. године </w:t>
            </w:r>
          </w:p>
          <w:p w:rsidR="00E8309B" w:rsidRDefault="009D0949">
            <w:pPr>
              <w:spacing w:after="13" w:line="259" w:lineRule="auto"/>
              <w:ind w:left="1" w:right="0" w:firstLine="0"/>
              <w:jc w:val="left"/>
            </w:pPr>
            <w:r>
              <w:rPr>
                <w:sz w:val="16"/>
              </w:rPr>
              <w:t xml:space="preserve">Експозе председнице </w:t>
            </w:r>
          </w:p>
          <w:p w:rsidR="00E8309B" w:rsidRDefault="009D0949">
            <w:pPr>
              <w:spacing w:after="41" w:line="259" w:lineRule="auto"/>
              <w:ind w:left="1" w:right="0" w:firstLine="0"/>
              <w:jc w:val="left"/>
            </w:pPr>
            <w:r>
              <w:rPr>
                <w:sz w:val="16"/>
              </w:rPr>
              <w:t xml:space="preserve">Владе </w:t>
            </w:r>
          </w:p>
          <w:p w:rsidR="00E8309B" w:rsidRDefault="009D0949">
            <w:pPr>
              <w:spacing w:after="0" w:line="238" w:lineRule="auto"/>
              <w:ind w:left="1" w:right="0" w:firstLine="0"/>
              <w:jc w:val="left"/>
            </w:pPr>
            <w:r>
              <w:rPr>
                <w:sz w:val="16"/>
              </w:rPr>
              <w:t xml:space="preserve">Стратегија индустријске политике </w:t>
            </w:r>
          </w:p>
          <w:p w:rsidR="00E8309B" w:rsidRDefault="009D0949">
            <w:pPr>
              <w:spacing w:after="58" w:line="238" w:lineRule="auto"/>
              <w:ind w:left="1" w:right="0" w:firstLine="0"/>
              <w:jc w:val="left"/>
            </w:pPr>
            <w:r>
              <w:rPr>
                <w:sz w:val="16"/>
              </w:rPr>
              <w:t xml:space="preserve">Републике Србије од 2021-2030 </w:t>
            </w:r>
          </w:p>
          <w:p w:rsidR="00E8309B" w:rsidRDefault="009D0949">
            <w:pPr>
              <w:spacing w:after="61" w:line="237" w:lineRule="auto"/>
              <w:ind w:left="1" w:right="0" w:firstLine="0"/>
              <w:jc w:val="left"/>
            </w:pPr>
            <w:r>
              <w:rPr>
                <w:sz w:val="16"/>
              </w:rPr>
              <w:t xml:space="preserve">Стратегија паметне специјализације за период од 2020. до 2027. </w:t>
            </w:r>
          </w:p>
          <w:p w:rsidR="00E8309B" w:rsidRDefault="009D0949">
            <w:pPr>
              <w:spacing w:after="0" w:line="259" w:lineRule="auto"/>
              <w:ind w:left="1" w:right="1" w:firstLine="0"/>
              <w:jc w:val="left"/>
            </w:pPr>
            <w:r>
              <w:rPr>
                <w:sz w:val="16"/>
              </w:rPr>
              <w:t xml:space="preserve">Стратегија за развој вештачке интелигенције у РС за период 2020-2025 </w:t>
            </w:r>
          </w:p>
        </w:tc>
        <w:tc>
          <w:tcPr>
            <w:tcW w:w="2974"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1" w:right="39" w:firstLine="0"/>
            </w:pPr>
            <w:r>
              <w:rPr>
                <w:sz w:val="16"/>
              </w:rPr>
              <w:t>ОЦЕНА ЕК 2019 - Емиграција радника, првенствено у ЕУ, представља дугорочне ризике за ширење тржишта рада. Поред недостатка могућности за посао, веће плате у иностранству су кључни фактор</w:t>
            </w:r>
            <w:r>
              <w:rPr>
                <w:sz w:val="16"/>
              </w:rPr>
              <w:t xml:space="preserve"> за одлив мозгова. Структурне реформе морају више пажње посветити њиховом задржавању. Знатне разлике у учешћу на тржишту рада, образовању и транзицији из школе у посао још увек нису решене на стратешки начин. Стални одлив мозгова, укључујући људе са одређе</w:t>
            </w:r>
            <w:r>
              <w:rPr>
                <w:sz w:val="16"/>
              </w:rPr>
              <w:t xml:space="preserve">ним вештинама, ризикује да погорша несташицу радне снаге у будућности, с обзиром на демографска кретања. </w:t>
            </w:r>
          </w:p>
        </w:tc>
      </w:tr>
      <w:tr w:rsidR="00E8309B">
        <w:trPr>
          <w:trHeight w:val="403"/>
        </w:trPr>
        <w:tc>
          <w:tcPr>
            <w:tcW w:w="9633" w:type="dxa"/>
            <w:gridSpan w:val="5"/>
            <w:tcBorders>
              <w:top w:val="single" w:sz="4" w:space="0" w:color="000000"/>
              <w:left w:val="single" w:sz="4" w:space="0" w:color="000000"/>
              <w:bottom w:val="single" w:sz="4" w:space="0" w:color="000000"/>
              <w:right w:val="single" w:sz="4" w:space="0" w:color="000000"/>
            </w:tcBorders>
            <w:shd w:val="clear" w:color="auto" w:fill="D9D9D9"/>
            <w:vAlign w:val="center"/>
          </w:tcPr>
          <w:p w:rsidR="00E8309B" w:rsidRDefault="009D0949">
            <w:pPr>
              <w:spacing w:after="0" w:line="259" w:lineRule="auto"/>
              <w:ind w:left="1" w:right="0" w:firstLine="0"/>
              <w:jc w:val="left"/>
            </w:pPr>
            <w:r>
              <w:rPr>
                <w:b/>
                <w:sz w:val="16"/>
              </w:rPr>
              <w:t xml:space="preserve">ОБЛАСТ: СОЦИЈАЛНА ЗАШТИТА И ИНКЛУЗИЈА, УКЉУЧУЈУЋИ ЗДРАВСТВЕНУ ЗАШТИТУ </w:t>
            </w:r>
          </w:p>
        </w:tc>
      </w:tr>
      <w:tr w:rsidR="00E8309B">
        <w:trPr>
          <w:trHeight w:val="3321"/>
        </w:trPr>
        <w:tc>
          <w:tcPr>
            <w:tcW w:w="463"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1" w:right="0" w:firstLine="0"/>
              <w:jc w:val="left"/>
            </w:pPr>
            <w:r>
              <w:rPr>
                <w:b/>
                <w:sz w:val="16"/>
              </w:rPr>
              <w:lastRenderedPageBreak/>
              <w:t xml:space="preserve">23. </w:t>
            </w:r>
          </w:p>
        </w:tc>
        <w:tc>
          <w:tcPr>
            <w:tcW w:w="1871"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1" w:right="0" w:firstLine="0"/>
              <w:jc w:val="left"/>
            </w:pPr>
            <w:r>
              <w:rPr>
                <w:b/>
                <w:sz w:val="16"/>
              </w:rPr>
              <w:t xml:space="preserve">Унапређење адекватности, квалитета и таргетираности мера социјалне заштите </w:t>
            </w:r>
          </w:p>
        </w:tc>
        <w:tc>
          <w:tcPr>
            <w:tcW w:w="2481"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38" w:lineRule="auto"/>
              <w:ind w:left="0" w:right="0" w:firstLine="0"/>
            </w:pPr>
            <w:r>
              <w:rPr>
                <w:sz w:val="16"/>
              </w:rPr>
              <w:t xml:space="preserve">Реформа подразумева успостављање јединственог </w:t>
            </w:r>
          </w:p>
          <w:p w:rsidR="00E8309B" w:rsidRDefault="009D0949">
            <w:pPr>
              <w:spacing w:after="0" w:line="259" w:lineRule="auto"/>
              <w:ind w:left="0" w:right="42" w:firstLine="0"/>
            </w:pPr>
            <w:r>
              <w:rPr>
                <w:sz w:val="16"/>
              </w:rPr>
              <w:t>Регистра социјална карта који ће омогућити сагледавање социјалног и материјалног статуса корисника. Предвиђено је повезивање установа социјалне заштите, а пре свега центара за социјални рад, у јединствену мрежу, као и прикупљање и коришћење података из сви</w:t>
            </w:r>
            <w:r>
              <w:rPr>
                <w:sz w:val="16"/>
              </w:rPr>
              <w:t xml:space="preserve">х доступних извора државне управе. Такође, предвиђено је успостављање регулаторног оквира доношењем одговарајућих законских и подзаконских аката. </w:t>
            </w:r>
          </w:p>
        </w:tc>
        <w:tc>
          <w:tcPr>
            <w:tcW w:w="1843" w:type="dxa"/>
            <w:tcBorders>
              <w:top w:val="single" w:sz="4" w:space="0" w:color="000000"/>
              <w:left w:val="single" w:sz="4" w:space="0" w:color="000000"/>
              <w:bottom w:val="single" w:sz="4" w:space="0" w:color="000000"/>
              <w:right w:val="single" w:sz="4" w:space="0" w:color="000000"/>
            </w:tcBorders>
          </w:tcPr>
          <w:p w:rsidR="00E8309B" w:rsidRDefault="009D0949">
            <w:pPr>
              <w:spacing w:after="51" w:line="247" w:lineRule="auto"/>
              <w:ind w:left="1" w:right="7" w:firstLine="0"/>
              <w:jc w:val="left"/>
            </w:pPr>
            <w:r>
              <w:rPr>
                <w:sz w:val="16"/>
              </w:rPr>
              <w:t xml:space="preserve">Програм реформи политике запошљавања и социјалне политике у процесу приступања ЕУ (ESRP) </w:t>
            </w:r>
          </w:p>
          <w:p w:rsidR="00E8309B" w:rsidRDefault="009D0949">
            <w:pPr>
              <w:spacing w:line="257" w:lineRule="auto"/>
              <w:ind w:left="1" w:right="188" w:firstLine="0"/>
            </w:pPr>
            <w:r>
              <w:rPr>
                <w:sz w:val="16"/>
              </w:rPr>
              <w:t xml:space="preserve">Акциони план за спровођење програма Владе </w:t>
            </w:r>
          </w:p>
          <w:p w:rsidR="00E8309B" w:rsidRDefault="009D0949">
            <w:pPr>
              <w:spacing w:after="48" w:line="251" w:lineRule="auto"/>
              <w:ind w:left="1" w:right="0" w:firstLine="0"/>
              <w:jc w:val="left"/>
            </w:pPr>
            <w:r>
              <w:rPr>
                <w:sz w:val="16"/>
              </w:rPr>
              <w:t xml:space="preserve">Програм развоја еУправе у Републици Србији за период 20202022 </w:t>
            </w:r>
          </w:p>
          <w:p w:rsidR="00E8309B" w:rsidRDefault="009D0949">
            <w:pPr>
              <w:spacing w:after="0" w:line="259" w:lineRule="auto"/>
              <w:ind w:left="1" w:right="0" w:firstLine="0"/>
              <w:jc w:val="left"/>
            </w:pPr>
            <w:r>
              <w:rPr>
                <w:sz w:val="16"/>
              </w:rPr>
              <w:t xml:space="preserve">Закон о социјалној заштити </w:t>
            </w:r>
          </w:p>
        </w:tc>
        <w:tc>
          <w:tcPr>
            <w:tcW w:w="2974" w:type="dxa"/>
            <w:tcBorders>
              <w:top w:val="single" w:sz="4" w:space="0" w:color="000000"/>
              <w:left w:val="single" w:sz="4" w:space="0" w:color="000000"/>
              <w:bottom w:val="single" w:sz="4" w:space="0" w:color="000000"/>
              <w:right w:val="single" w:sz="4" w:space="0" w:color="000000"/>
            </w:tcBorders>
          </w:tcPr>
          <w:p w:rsidR="00E8309B" w:rsidRDefault="009D0949">
            <w:pPr>
              <w:spacing w:after="62" w:line="270" w:lineRule="auto"/>
              <w:ind w:left="1" w:right="38" w:firstLine="0"/>
            </w:pPr>
            <w:r>
              <w:rPr>
                <w:sz w:val="16"/>
              </w:rPr>
              <w:t xml:space="preserve">ЕКОФИН 2020 П4 - Проширити покривеност социјалном заштитом. ЕКОФИН 2020 П6 - </w:t>
            </w:r>
            <w:r>
              <w:rPr>
                <w:sz w:val="16"/>
              </w:rPr>
              <w:t xml:space="preserve">Појачати социјалне трансфере како би се осигурала адекватна подршка за приходе људима који су у ризику од сиромаштва и социјалне искључености. </w:t>
            </w:r>
          </w:p>
          <w:p w:rsidR="00E8309B" w:rsidRDefault="009D0949">
            <w:pPr>
              <w:spacing w:after="0" w:line="259" w:lineRule="auto"/>
              <w:ind w:left="1" w:right="36" w:firstLine="0"/>
            </w:pPr>
            <w:r>
              <w:rPr>
                <w:sz w:val="16"/>
              </w:rPr>
              <w:t>ПР 2020 стр. 105. - обезбедити адекватне финансијске и институционалне ресурсе за запошљавање и социјалну полити</w:t>
            </w:r>
            <w:r>
              <w:rPr>
                <w:sz w:val="16"/>
              </w:rPr>
              <w:t xml:space="preserve">ку како би систематичније били усмерени на младе, жене и дугорочно незапослене, и побољшали адекватност социјалних давања за људе испод прага сиромаштва; обезбедити доследну примену законодавства у области рада и социјалне заштите у целој земљи. </w:t>
            </w:r>
          </w:p>
        </w:tc>
      </w:tr>
      <w:tr w:rsidR="00E8309B">
        <w:trPr>
          <w:trHeight w:val="3137"/>
        </w:trPr>
        <w:tc>
          <w:tcPr>
            <w:tcW w:w="463"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1" w:right="0" w:firstLine="0"/>
              <w:jc w:val="left"/>
            </w:pPr>
            <w:r>
              <w:rPr>
                <w:b/>
                <w:sz w:val="16"/>
              </w:rPr>
              <w:t xml:space="preserve">24. </w:t>
            </w:r>
          </w:p>
        </w:tc>
        <w:tc>
          <w:tcPr>
            <w:tcW w:w="1871"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1" w:right="0" w:firstLine="0"/>
              <w:jc w:val="left"/>
            </w:pPr>
            <w:r>
              <w:rPr>
                <w:b/>
                <w:sz w:val="16"/>
              </w:rPr>
              <w:t>Диг</w:t>
            </w:r>
            <w:r>
              <w:rPr>
                <w:b/>
                <w:sz w:val="16"/>
              </w:rPr>
              <w:t xml:space="preserve">итализација здравственог система </w:t>
            </w:r>
          </w:p>
        </w:tc>
        <w:tc>
          <w:tcPr>
            <w:tcW w:w="2481"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41" w:firstLine="0"/>
            </w:pPr>
            <w:r>
              <w:rPr>
                <w:sz w:val="16"/>
              </w:rPr>
              <w:t>Реформа подразумева успостављање централних електронских здравствених сервиса који ће у великој мери повећати ефикасност система, елиминисати непотребно ангажовање пацијената и допринети квалитету дијагностике и лечења. Јединственим електронским здравствен</w:t>
            </w:r>
            <w:r>
              <w:rPr>
                <w:sz w:val="16"/>
              </w:rPr>
              <w:t xml:space="preserve">им картоном успоставиће се механизам дигиталног ауторизованог приступа информацијама пацијента и биће му омогућен електронски приступ сопственим здравственим информацијама. </w:t>
            </w:r>
          </w:p>
        </w:tc>
        <w:tc>
          <w:tcPr>
            <w:tcW w:w="1843"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1" w:right="0" w:firstLine="0"/>
              <w:jc w:val="left"/>
            </w:pPr>
            <w:r>
              <w:rPr>
                <w:sz w:val="16"/>
              </w:rPr>
              <w:t xml:space="preserve"> </w:t>
            </w:r>
          </w:p>
        </w:tc>
        <w:tc>
          <w:tcPr>
            <w:tcW w:w="2974"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1" w:right="39" w:firstLine="0"/>
            </w:pPr>
            <w:r>
              <w:rPr>
                <w:sz w:val="16"/>
              </w:rPr>
              <w:t xml:space="preserve">ЕКОФИН 2020 П6 - Осигурати одговарајуће и одрживо финансирање за јачање сектора </w:t>
            </w:r>
            <w:r>
              <w:rPr>
                <w:sz w:val="16"/>
              </w:rPr>
              <w:t xml:space="preserve">здравствене заштите с циљем побољшања приступа квалитетној јавној здравственој заштити за све грађане. </w:t>
            </w:r>
          </w:p>
        </w:tc>
      </w:tr>
      <w:tr w:rsidR="00E8309B">
        <w:trPr>
          <w:trHeight w:val="376"/>
        </w:trPr>
        <w:tc>
          <w:tcPr>
            <w:tcW w:w="463" w:type="dxa"/>
            <w:tcBorders>
              <w:top w:val="single" w:sz="4" w:space="0" w:color="000000"/>
              <w:left w:val="single" w:sz="4" w:space="0" w:color="000000"/>
              <w:bottom w:val="single" w:sz="4" w:space="0" w:color="000000"/>
              <w:right w:val="single" w:sz="4" w:space="0" w:color="000000"/>
            </w:tcBorders>
            <w:shd w:val="clear" w:color="auto" w:fill="D9D9D9"/>
          </w:tcPr>
          <w:p w:rsidR="00E8309B" w:rsidRDefault="009D0949">
            <w:pPr>
              <w:spacing w:after="13" w:line="259" w:lineRule="auto"/>
              <w:ind w:left="1" w:right="0" w:firstLine="0"/>
              <w:jc w:val="left"/>
            </w:pPr>
            <w:r>
              <w:rPr>
                <w:b/>
                <w:sz w:val="16"/>
              </w:rPr>
              <w:t xml:space="preserve">СР </w:t>
            </w:r>
          </w:p>
          <w:p w:rsidR="00E8309B" w:rsidRDefault="009D0949">
            <w:pPr>
              <w:spacing w:after="0" w:line="259" w:lineRule="auto"/>
              <w:ind w:left="1" w:right="0" w:firstLine="0"/>
              <w:jc w:val="left"/>
            </w:pPr>
            <w:r>
              <w:rPr>
                <w:b/>
                <w:sz w:val="16"/>
              </w:rPr>
              <w:t xml:space="preserve">Рб. </w:t>
            </w:r>
          </w:p>
        </w:tc>
        <w:tc>
          <w:tcPr>
            <w:tcW w:w="1871" w:type="dxa"/>
            <w:tcBorders>
              <w:top w:val="single" w:sz="4" w:space="0" w:color="000000"/>
              <w:left w:val="single" w:sz="4" w:space="0" w:color="000000"/>
              <w:bottom w:val="single" w:sz="4" w:space="0" w:color="000000"/>
              <w:right w:val="single" w:sz="4" w:space="0" w:color="000000"/>
            </w:tcBorders>
            <w:shd w:val="clear" w:color="auto" w:fill="D9D9D9"/>
          </w:tcPr>
          <w:p w:rsidR="00E8309B" w:rsidRDefault="009D0949">
            <w:pPr>
              <w:spacing w:after="0" w:line="259" w:lineRule="auto"/>
              <w:ind w:left="0" w:right="0" w:firstLine="0"/>
              <w:jc w:val="center"/>
            </w:pPr>
            <w:r>
              <w:rPr>
                <w:b/>
                <w:sz w:val="16"/>
              </w:rPr>
              <w:t xml:space="preserve">Назив структурне реформе </w:t>
            </w:r>
          </w:p>
        </w:tc>
        <w:tc>
          <w:tcPr>
            <w:tcW w:w="2481" w:type="dxa"/>
            <w:tcBorders>
              <w:top w:val="single" w:sz="4" w:space="0" w:color="000000"/>
              <w:left w:val="single" w:sz="4" w:space="0" w:color="000000"/>
              <w:bottom w:val="single" w:sz="4" w:space="0" w:color="000000"/>
              <w:right w:val="single" w:sz="4" w:space="0" w:color="000000"/>
            </w:tcBorders>
            <w:shd w:val="clear" w:color="auto" w:fill="D9D9D9"/>
          </w:tcPr>
          <w:p w:rsidR="00E8309B" w:rsidRDefault="009D0949">
            <w:pPr>
              <w:spacing w:after="0" w:line="259" w:lineRule="auto"/>
              <w:ind w:left="0" w:right="42" w:firstLine="0"/>
              <w:jc w:val="center"/>
            </w:pPr>
            <w:r>
              <w:rPr>
                <w:b/>
                <w:sz w:val="16"/>
              </w:rPr>
              <w:t xml:space="preserve">Опис структурне реформе </w:t>
            </w:r>
          </w:p>
        </w:tc>
        <w:tc>
          <w:tcPr>
            <w:tcW w:w="1843" w:type="dxa"/>
            <w:tcBorders>
              <w:top w:val="single" w:sz="4" w:space="0" w:color="000000"/>
              <w:left w:val="single" w:sz="4" w:space="0" w:color="000000"/>
              <w:bottom w:val="single" w:sz="4" w:space="0" w:color="000000"/>
              <w:right w:val="single" w:sz="4" w:space="0" w:color="000000"/>
            </w:tcBorders>
            <w:shd w:val="clear" w:color="auto" w:fill="D9D9D9"/>
          </w:tcPr>
          <w:p w:rsidR="00E8309B" w:rsidRDefault="009D0949">
            <w:pPr>
              <w:spacing w:after="0" w:line="259" w:lineRule="auto"/>
              <w:ind w:left="20" w:right="0" w:firstLine="0"/>
              <w:jc w:val="left"/>
            </w:pPr>
            <w:r>
              <w:rPr>
                <w:b/>
                <w:sz w:val="16"/>
              </w:rPr>
              <w:t xml:space="preserve">Референтни документ </w:t>
            </w:r>
          </w:p>
        </w:tc>
        <w:tc>
          <w:tcPr>
            <w:tcW w:w="2974"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E8309B" w:rsidRDefault="009D0949">
            <w:pPr>
              <w:spacing w:after="0" w:line="259" w:lineRule="auto"/>
              <w:ind w:left="0" w:right="36" w:firstLine="0"/>
              <w:jc w:val="center"/>
            </w:pPr>
            <w:r>
              <w:rPr>
                <w:b/>
                <w:sz w:val="16"/>
              </w:rPr>
              <w:t>Препоруке</w:t>
            </w:r>
            <w:r>
              <w:rPr>
                <w:b/>
                <w:sz w:val="16"/>
                <w:vertAlign w:val="superscript"/>
              </w:rPr>
              <w:t>21</w:t>
            </w:r>
            <w:r>
              <w:rPr>
                <w:b/>
                <w:sz w:val="16"/>
              </w:rPr>
              <w:t xml:space="preserve"> </w:t>
            </w:r>
          </w:p>
        </w:tc>
      </w:tr>
      <w:tr w:rsidR="00E8309B">
        <w:trPr>
          <w:trHeight w:val="1053"/>
        </w:trPr>
        <w:tc>
          <w:tcPr>
            <w:tcW w:w="463" w:type="dxa"/>
            <w:tcBorders>
              <w:top w:val="single" w:sz="4" w:space="0" w:color="000000"/>
              <w:left w:val="single" w:sz="4" w:space="0" w:color="000000"/>
              <w:bottom w:val="single" w:sz="4" w:space="0" w:color="000000"/>
              <w:right w:val="single" w:sz="4" w:space="0" w:color="000000"/>
            </w:tcBorders>
          </w:tcPr>
          <w:p w:rsidR="00E8309B" w:rsidRDefault="00E8309B">
            <w:pPr>
              <w:spacing w:after="160" w:line="259" w:lineRule="auto"/>
              <w:ind w:left="0" w:right="0" w:firstLine="0"/>
              <w:jc w:val="left"/>
            </w:pPr>
          </w:p>
        </w:tc>
        <w:tc>
          <w:tcPr>
            <w:tcW w:w="1871" w:type="dxa"/>
            <w:tcBorders>
              <w:top w:val="single" w:sz="4" w:space="0" w:color="000000"/>
              <w:left w:val="single" w:sz="4" w:space="0" w:color="000000"/>
              <w:bottom w:val="single" w:sz="4" w:space="0" w:color="000000"/>
              <w:right w:val="single" w:sz="4" w:space="0" w:color="000000"/>
            </w:tcBorders>
          </w:tcPr>
          <w:p w:rsidR="00E8309B" w:rsidRDefault="00E8309B">
            <w:pPr>
              <w:spacing w:after="160" w:line="259" w:lineRule="auto"/>
              <w:ind w:left="0" w:right="0" w:firstLine="0"/>
              <w:jc w:val="left"/>
            </w:pPr>
          </w:p>
        </w:tc>
        <w:tc>
          <w:tcPr>
            <w:tcW w:w="2481"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38" w:firstLine="0"/>
            </w:pPr>
            <w:r>
              <w:rPr>
                <w:sz w:val="16"/>
              </w:rPr>
              <w:t xml:space="preserve">Такође, предвиђено је и увођење дигиталних технологија за радиолошко снимање и централно складиштење радиолошких снимака. </w:t>
            </w:r>
          </w:p>
        </w:tc>
        <w:tc>
          <w:tcPr>
            <w:tcW w:w="1843" w:type="dxa"/>
            <w:tcBorders>
              <w:top w:val="single" w:sz="4" w:space="0" w:color="000000"/>
              <w:left w:val="single" w:sz="4" w:space="0" w:color="000000"/>
              <w:bottom w:val="single" w:sz="4" w:space="0" w:color="000000"/>
              <w:right w:val="single" w:sz="4" w:space="0" w:color="000000"/>
            </w:tcBorders>
          </w:tcPr>
          <w:p w:rsidR="00E8309B" w:rsidRDefault="00E8309B">
            <w:pPr>
              <w:spacing w:after="160" w:line="259" w:lineRule="auto"/>
              <w:ind w:left="0" w:right="0" w:firstLine="0"/>
              <w:jc w:val="left"/>
            </w:pPr>
          </w:p>
        </w:tc>
        <w:tc>
          <w:tcPr>
            <w:tcW w:w="2974" w:type="dxa"/>
            <w:tcBorders>
              <w:top w:val="single" w:sz="4" w:space="0" w:color="000000"/>
              <w:left w:val="single" w:sz="4" w:space="0" w:color="000000"/>
              <w:bottom w:val="single" w:sz="4" w:space="0" w:color="000000"/>
              <w:right w:val="single" w:sz="4" w:space="0" w:color="000000"/>
            </w:tcBorders>
          </w:tcPr>
          <w:p w:rsidR="00E8309B" w:rsidRDefault="00E8309B">
            <w:pPr>
              <w:spacing w:after="160" w:line="259" w:lineRule="auto"/>
              <w:ind w:left="0" w:right="0" w:firstLine="0"/>
              <w:jc w:val="left"/>
            </w:pPr>
          </w:p>
        </w:tc>
      </w:tr>
    </w:tbl>
    <w:p w:rsidR="00E8309B" w:rsidRDefault="009D0949">
      <w:pPr>
        <w:pStyle w:val="Heading2"/>
        <w:spacing w:after="0"/>
        <w:ind w:left="405" w:right="9" w:hanging="420"/>
      </w:pPr>
      <w:r>
        <w:t xml:space="preserve">АНАЛИЗА ПО ОБЛАСТИМА И СТРУКТУРНЕ РЕФОРМЕ </w:t>
      </w:r>
    </w:p>
    <w:tbl>
      <w:tblPr>
        <w:tblStyle w:val="TableGrid"/>
        <w:tblW w:w="9684" w:type="dxa"/>
        <w:tblInd w:w="-15" w:type="dxa"/>
        <w:tblCellMar>
          <w:top w:w="13" w:type="dxa"/>
          <w:left w:w="0" w:type="dxa"/>
          <w:bottom w:w="0" w:type="dxa"/>
          <w:right w:w="4" w:type="dxa"/>
        </w:tblCellMar>
        <w:tblLook w:val="04A0" w:firstRow="1" w:lastRow="0" w:firstColumn="1" w:lastColumn="0" w:noHBand="0" w:noVBand="1"/>
      </w:tblPr>
      <w:tblGrid>
        <w:gridCol w:w="7430"/>
        <w:gridCol w:w="2254"/>
      </w:tblGrid>
      <w:tr w:rsidR="00E8309B">
        <w:trPr>
          <w:trHeight w:val="280"/>
        </w:trPr>
        <w:tc>
          <w:tcPr>
            <w:tcW w:w="7430" w:type="dxa"/>
            <w:tcBorders>
              <w:top w:val="nil"/>
              <w:left w:val="nil"/>
              <w:bottom w:val="nil"/>
              <w:right w:val="nil"/>
            </w:tcBorders>
            <w:shd w:val="clear" w:color="auto" w:fill="D9D9D9"/>
          </w:tcPr>
          <w:p w:rsidR="00E8309B" w:rsidRDefault="009D0949">
            <w:pPr>
              <w:spacing w:after="0" w:line="259" w:lineRule="auto"/>
              <w:ind w:left="15" w:right="0" w:firstLine="0"/>
            </w:pPr>
            <w:r>
              <w:rPr>
                <w:b/>
              </w:rPr>
              <w:t>5.3.1. Област РЕФОРМА ТРЖИШТА ЕНЕРГИЈЕ И ТРАНСПОРТА</w:t>
            </w:r>
          </w:p>
        </w:tc>
        <w:tc>
          <w:tcPr>
            <w:tcW w:w="2254" w:type="dxa"/>
            <w:tcBorders>
              <w:top w:val="nil"/>
              <w:left w:val="nil"/>
              <w:bottom w:val="nil"/>
              <w:right w:val="nil"/>
            </w:tcBorders>
            <w:shd w:val="clear" w:color="auto" w:fill="D9D9D9"/>
          </w:tcPr>
          <w:p w:rsidR="00E8309B" w:rsidRDefault="009D0949">
            <w:pPr>
              <w:spacing w:after="0" w:line="259" w:lineRule="auto"/>
              <w:ind w:left="0" w:right="0" w:firstLine="0"/>
              <w:jc w:val="left"/>
            </w:pPr>
            <w:r>
              <w:rPr>
                <w:b/>
                <w:i/>
              </w:rPr>
              <w:t xml:space="preserve"> </w:t>
            </w:r>
          </w:p>
        </w:tc>
      </w:tr>
    </w:tbl>
    <w:p w:rsidR="00E8309B" w:rsidRDefault="009D0949">
      <w:pPr>
        <w:spacing w:after="129" w:line="271" w:lineRule="auto"/>
        <w:ind w:left="-5" w:right="9"/>
      </w:pPr>
      <w:r>
        <w:rPr>
          <w:b/>
        </w:rPr>
        <w:t>а) Анализа главних препрека</w:t>
      </w:r>
      <w:r>
        <w:rPr>
          <w:i/>
        </w:rPr>
        <w:t xml:space="preserve"> </w:t>
      </w:r>
    </w:p>
    <w:p w:rsidR="00E8309B" w:rsidRDefault="009D0949">
      <w:pPr>
        <w:ind w:left="-5" w:right="17"/>
      </w:pPr>
      <w:r>
        <w:rPr>
          <w:b/>
        </w:rPr>
        <w:t>Енергетски сектор у Србији чини око 4% БДП-а</w:t>
      </w:r>
      <w:r>
        <w:t>. У циљу већег доприноса сектора енергетике привредном расту потребно је унапређење енергетске ефикасности, изградња модерних капацитета, развој унутрашњег тржишта и коришћење обновљивих извора енергије. Неопходн</w:t>
      </w:r>
      <w:r>
        <w:t xml:space="preserve">о је интензивирати реформске мере и активности, ускладити законодавни оквир са правним тековинама ЕУ и остварити већи степен регионалне сарадње.  </w:t>
      </w:r>
    </w:p>
    <w:p w:rsidR="00E8309B" w:rsidRDefault="009D0949">
      <w:pPr>
        <w:spacing w:after="90"/>
        <w:ind w:left="-5" w:right="17"/>
      </w:pPr>
      <w:r>
        <w:rPr>
          <w:b/>
        </w:rPr>
        <w:t>Настављене су активности у вези са функционалним раздвајањима у секторима гаса и електричне енергије</w:t>
      </w:r>
      <w:r>
        <w:rPr>
          <w:vertAlign w:val="superscript"/>
        </w:rPr>
        <w:footnoteReference w:id="20"/>
      </w:r>
      <w:r>
        <w:t>. Поступ</w:t>
      </w:r>
      <w:r>
        <w:t xml:space="preserve">ак правног и функционалног раздвајања АД Електромрежа Србије оператора преносног система електричне енергије (ЕМС) је завршен. АД ЕМС је сертификован, као оператор преносног система., од стране Агенције за енергетику Републике Србије, још од 2017. године, </w:t>
      </w:r>
      <w:r>
        <w:t>у складу са одредбама Закона о енергетици. Поступак раздвајања ЈП ЕПС и ОДС „ЕПС Дистрибуција“ д.о.о. Београд  је у току и одвијаће се у складу са, закључком Владе од 17. децембра 2020. године, прихваћеним Планом за спровођење активности у циљу реорганизац</w:t>
      </w:r>
      <w:r>
        <w:t>ије „ЕПС Дистрибуција“ д.о.о, Београд. Реализацијом овог плана ће се</w:t>
      </w:r>
      <w:r>
        <w:rPr>
          <w:b/>
        </w:rPr>
        <w:t xml:space="preserve"> </w:t>
      </w:r>
      <w:r>
        <w:t xml:space="preserve">обезбедити </w:t>
      </w:r>
      <w:r>
        <w:rPr>
          <w:b/>
        </w:rPr>
        <w:t xml:space="preserve">независност </w:t>
      </w:r>
      <w:r>
        <w:t xml:space="preserve">оператора дистрибутивног система у погледу правне форме, организације и одвајања од других делатности које нису повезане са делатношћу </w:t>
      </w:r>
      <w:r>
        <w:lastRenderedPageBreak/>
        <w:t>дистрибуције електричне енерг</w:t>
      </w:r>
      <w:r>
        <w:t>ије и потпуно усклађивање са Законом о јавним предузећима и Законом о енергетици. Процес реорганизације ће бити завршен до 1. маја 2021. године. Наставља се даље реструктурирање ЈП ЕПС и имплементација активности предвиђена Акционим планом корпоративног уп</w:t>
      </w:r>
      <w:r>
        <w:t xml:space="preserve">рављања ЈП ЕПС. </w:t>
      </w:r>
    </w:p>
    <w:p w:rsidR="00E8309B" w:rsidRDefault="009D0949">
      <w:pPr>
        <w:ind w:left="-5" w:right="17"/>
      </w:pPr>
      <w:r>
        <w:t>Акционим планом за спровођење политике Владе за период 2020-2022 планирана је дигитализација административних поступака у области енергетског сектора до краја 2022. Дигитализација ће убрзати процедуре и олакшати странкама остваривање права</w:t>
      </w:r>
      <w:r>
        <w:t xml:space="preserve"> у области енергетике. </w:t>
      </w:r>
    </w:p>
    <w:p w:rsidR="00E8309B" w:rsidRDefault="009D0949">
      <w:pPr>
        <w:spacing w:after="96"/>
        <w:ind w:left="-5" w:right="17"/>
      </w:pPr>
      <w:r>
        <w:t>Tакође, потребно је и унапређење законске регулативе и дигитализација пословних процеса у оквиру Сектора за геологију и рударство, дигитализација геолошке документације и унапређење пословања Геолошког завода Србије. У циљу бржег по</w:t>
      </w:r>
      <w:r>
        <w:t>дношења захтева и ефикаснијег издавања дозвола, праћења и контроле геолошких истраживања и експлоатације минералних сировина, подземних вода и геотермалних ресурса, као и увођењу е-управе, приступило се измени и допуни Закона о рударству и геолошким истраж</w:t>
      </w:r>
      <w:r>
        <w:t xml:space="preserve">ивањима. Током 2020. године извршена је потпуна дигитализација 10 пословних процеса. Дигитализација геолошке документације би допринела унапређењу рада Геолошког завода Србије и олакшала дистрибуцију геолошких података према потенцијалним корисницима. </w:t>
      </w:r>
    </w:p>
    <w:p w:rsidR="00E8309B" w:rsidRDefault="009D0949">
      <w:pPr>
        <w:ind w:left="-5" w:right="17"/>
      </w:pPr>
      <w:r>
        <w:rPr>
          <w:b/>
        </w:rPr>
        <w:t>Нас</w:t>
      </w:r>
      <w:r>
        <w:rPr>
          <w:b/>
        </w:rPr>
        <w:t>тављене су активности на раздвајању ЈП Србијагас</w:t>
      </w:r>
      <w:r>
        <w:rPr>
          <w:vertAlign w:val="superscript"/>
        </w:rPr>
        <w:footnoteReference w:id="21"/>
      </w:r>
      <w:r>
        <w:t>. Издвајањем делатности из Србијагаса формирано је привредно друштво Транспортгас Србија д.о.о Нови Сад које обавља енергетску делатност транспорта и управљања транспортним системом за природни гас и привред</w:t>
      </w:r>
      <w:r>
        <w:t xml:space="preserve">но друштво Дистрибуцијагас Србија д.о.о. које обавља енергетску делатност дистрибуције и управљања дистрибутивним системом. Неопходно је да Агенција за енергетику РС (АЕРС) прошири сопствене капацитете и унапреди регулаторне активности. </w:t>
      </w:r>
    </w:p>
    <w:p w:rsidR="00E8309B" w:rsidRDefault="009D0949">
      <w:pPr>
        <w:ind w:left="-5" w:right="17"/>
      </w:pPr>
      <w:r>
        <w:t>АЕРС је због неисп</w:t>
      </w:r>
      <w:r>
        <w:t>уњења услова за сертификацију одузела сертификат оператору транспортног система предузећу Југоросгаз – Транспорт д.о.о. Ниш. Влада Републике Србије је 10.12.2020. године усвојила Закључак који се односи на реорганизацију ЈП Србијагас са планом за спровођењ</w:t>
      </w:r>
      <w:r>
        <w:t xml:space="preserve">е активности у циљу реорганизације, који ће се спровести у 2021. години. </w:t>
      </w:r>
      <w:r>
        <w:rPr>
          <w:b/>
          <w:color w:val="1F497D"/>
        </w:rPr>
        <w:t xml:space="preserve"> </w:t>
      </w:r>
      <w:r>
        <w:t xml:space="preserve"> </w:t>
      </w:r>
    </w:p>
    <w:p w:rsidR="00E8309B" w:rsidRDefault="009D0949">
      <w:pPr>
        <w:ind w:left="-5" w:right="17"/>
      </w:pPr>
      <w:r>
        <w:rPr>
          <w:b/>
        </w:rPr>
        <w:t xml:space="preserve">Увођење савременог надзорног и управљачког система и инсталирање савремене опреме је предуслов за унапређење дистрибутивне мреже енергената. </w:t>
      </w:r>
      <w:r>
        <w:t>Планом развоја преносног система за период 2020-2029. и Планом инвестиција у преносни систем за период 2020-2022. предвиђено је обезбеђивање сигурног снабдевања електричном енергијом, развој тржишта електричне енергије на националном и регионалном нивоу, п</w:t>
      </w:r>
      <w:r>
        <w:t>овећање преносних капацитета и развој коридора од регионалног и паневропског значаја. План развоја дистрибутивног система електричне енергије и план имплементације напредних мерних система још увек нису усвојени. Увођење обавезних функционалности напредних</w:t>
      </w:r>
      <w:r>
        <w:t xml:space="preserve"> мерних система у одговарајуће прописе ће помоћи увођењу компатибилних напредних мерних система у Србији, што је посебно важно у сектору природног гаса где 32 оператора дистрибутивног система природног гаса обавља делатност. Започето је успостављање SCADA </w:t>
      </w:r>
      <w:r>
        <w:t xml:space="preserve">система даљинског надзора и управљања гасним транспортним системом. Интензивирани су радови на инсталацији нових трафостаница и увођењу мобилних трафостаница, а наставиће са аутоматизацијом и модернизацијом средњенапонске дистрибутивне мреже. </w:t>
      </w:r>
    </w:p>
    <w:p w:rsidR="00E8309B" w:rsidRDefault="009D0949">
      <w:pPr>
        <w:spacing w:after="22" w:line="271" w:lineRule="auto"/>
        <w:ind w:left="-5" w:right="9"/>
      </w:pPr>
      <w:r>
        <w:rPr>
          <w:b/>
        </w:rPr>
        <w:t>Развој тржиш</w:t>
      </w:r>
      <w:r>
        <w:rPr>
          <w:b/>
        </w:rPr>
        <w:t>та гаса ограничен је услед постојања линијског транспортног система природног гаса са само једним улазом у земљу из правца Мађарске. Неопходно је обезбедити недискриминаторни приступ треће стране гасоводу из правца Мађарске сагласно Закону о енергетици. Пр</w:t>
      </w:r>
      <w:r>
        <w:rPr>
          <w:b/>
        </w:rPr>
        <w:t xml:space="preserve">ојекат гасне интерконекције Бугарска-Србија ће омогућити диверсификацију праваца и извора снабдевања гасом и повезивање са </w:t>
      </w:r>
      <w:r>
        <w:rPr>
          <w:b/>
        </w:rPr>
        <w:lastRenderedPageBreak/>
        <w:t>Јужним гасним коридором. Завршени су радови на линијском делу пројекта Балкански ток и отпочело је снабдевање Републике Србије овим г</w:t>
      </w:r>
      <w:r>
        <w:rPr>
          <w:b/>
        </w:rPr>
        <w:t>асоводом од 1. јануара 2021. године. АЕРС је дала сагласност на правила о раду транспортног система за природни гас Гастранс д.о.о. Нови Сад којима се уређују односи између оператора и корисника и који ће бити повезиван на бугарски и мађарски национални га</w:t>
      </w:r>
      <w:r>
        <w:rPr>
          <w:b/>
        </w:rPr>
        <w:t xml:space="preserve">соводни систем. </w:t>
      </w:r>
    </w:p>
    <w:p w:rsidR="00E8309B" w:rsidRDefault="009D0949">
      <w:pPr>
        <w:spacing w:after="85"/>
        <w:ind w:left="-5" w:right="17"/>
      </w:pPr>
      <w:r>
        <w:rPr>
          <w:b/>
        </w:rPr>
        <w:t xml:space="preserve">Развој електроенергетског сектора и регионалне сарадње ограничавају застарели и неефикасни производни капацитети (просечна старост преко 30 година). </w:t>
      </w:r>
      <w:r>
        <w:t>Инвестирање у изградњу нових, технолошки унапређених, производних капацитета, као и оних к</w:t>
      </w:r>
      <w:r>
        <w:t>оји користе ОИЕ, би допринело очувању животне средине, смањењу губитака у производњи електричне енергије и задовољењу растућих потреба за електричном енергијом и гасом. Настављена је изградња новог блока за угаљ ТЕ Костолац Б снаге 350 MW и план је да блок</w:t>
      </w:r>
      <w:r>
        <w:t xml:space="preserve"> буде на мрежи до краја 2022. године. Као део Трансбалканског коридора започета је изградња далековода од 400 kV на релацији Крагујевац-Краљево, а обезбеђена су и средства за изградњу далековода од 400 kV на релацији Обреновац - Бајина Башта. Настављена је</w:t>
      </w:r>
      <w:r>
        <w:t xml:space="preserve"> изградње ветропаркова од 500 MW и новог гасног блока у Панчеву снаге 200 MW а планира се почетак изградње ХЕ Бук Бјела снаге до 200 МW. У наредном периоду наставиће се развојем пројеката из неискоришћених хидропотенцијала (Морава, Ибар и Дрина), као и про</w:t>
      </w:r>
      <w:r>
        <w:t>јекта  реверзибилне хидроелектране Бистрица. Ревитализовани су агрегати у ХЕ Зворник и ХЕ Ђердап 1 (за ревитализацију је остао још један од 6 агрегата) што ће допринети већој производњи електричне енергије и мањим трошковима одржавања. Остварена је стабилн</w:t>
      </w:r>
      <w:r>
        <w:t>ост и редовна производња угља и електричне енергије током пандемије Ковид-19, што указује и повећање производње угља у априлу 2020. године од 6% мг. Током пандемије није долазило до застоја у снабдевању енергентима и очувана су радна места у сектору енерге</w:t>
      </w:r>
      <w:r>
        <w:t xml:space="preserve">тике. </w:t>
      </w:r>
    </w:p>
    <w:p w:rsidR="00E8309B" w:rsidRDefault="009D0949">
      <w:pPr>
        <w:spacing w:after="95"/>
        <w:ind w:left="-5" w:right="17"/>
      </w:pPr>
      <w:r>
        <w:t xml:space="preserve">На основу </w:t>
      </w:r>
      <w:r>
        <w:rPr>
          <w:b/>
        </w:rPr>
        <w:t>Енергетског биланса РС за 2021. годину</w:t>
      </w:r>
      <w:r>
        <w:t xml:space="preserve"> (,,Сл. гласник РС“, бр. 156/2020) остварени су следећи резултати у 2019. години: </w:t>
      </w:r>
    </w:p>
    <w:p w:rsidR="00E8309B" w:rsidRDefault="009D0949">
      <w:pPr>
        <w:numPr>
          <w:ilvl w:val="0"/>
          <w:numId w:val="7"/>
        </w:numPr>
        <w:ind w:right="17" w:hanging="360"/>
      </w:pPr>
      <w:r>
        <w:t xml:space="preserve">Нето увозна зависност износила је 35,645% (34,8% у 2018. години). </w:t>
      </w:r>
    </w:p>
    <w:p w:rsidR="00E8309B" w:rsidRDefault="009D0949">
      <w:pPr>
        <w:numPr>
          <w:ilvl w:val="0"/>
          <w:numId w:val="7"/>
        </w:numPr>
        <w:ind w:right="17" w:hanging="360"/>
      </w:pPr>
      <w:r>
        <w:t xml:space="preserve">Укупна домаћа производња примарне енергије износила је 10,205 милиона тона еквивалента нафте (Мtoe). Највише је коришћен угаљ 6,826 Мtoe (6,609 Мtoe у 2018.години) у производњи примарне енергије.  </w:t>
      </w:r>
    </w:p>
    <w:p w:rsidR="00E8309B" w:rsidRDefault="009D0949">
      <w:pPr>
        <w:numPr>
          <w:ilvl w:val="0"/>
          <w:numId w:val="7"/>
        </w:numPr>
        <w:ind w:right="17" w:hanging="360"/>
      </w:pPr>
      <w:r>
        <w:t>Укупно снабдевање енергијом износило је 15,265 Мtoe (15,37</w:t>
      </w:r>
      <w:r>
        <w:t xml:space="preserve">0 Мtoe у 2018. години). У структури највише су заступљени угаљ (7,506 Мtoe) и нафта (3,722 Мtoe) (мања потрошња угља и нафте у односу на 2018.). </w:t>
      </w:r>
    </w:p>
    <w:p w:rsidR="00E8309B" w:rsidRDefault="009D0949">
      <w:pPr>
        <w:numPr>
          <w:ilvl w:val="0"/>
          <w:numId w:val="7"/>
        </w:numPr>
        <w:ind w:right="17" w:hanging="360"/>
      </w:pPr>
      <w:r>
        <w:t>Ниво финалне потрошње енергије (без неенергетске потрошње) износио је је 8,386 Мtoe  (8,470 Мtoe у 2018. годин</w:t>
      </w:r>
      <w:r>
        <w:t>и). Бруто производња електричне енергије је износила 3,233 Мtoe  или 37600 GWh (3,218 Мtoe или 37426 GWh у 2018. години). Највећи део је добијен из термоелектрана 2,197 Мtoe или 25546 GWh (већа  производња електричне енергије у термоелектранама у односу на</w:t>
      </w:r>
      <w:r>
        <w:t xml:space="preserve"> 2018. годину када је износила 2,147 Мtoe односно 24975 GWh). </w:t>
      </w:r>
    </w:p>
    <w:p w:rsidR="00E8309B" w:rsidRDefault="009D0949">
      <w:pPr>
        <w:numPr>
          <w:ilvl w:val="0"/>
          <w:numId w:val="7"/>
        </w:numPr>
        <w:spacing w:after="88"/>
        <w:ind w:right="17" w:hanging="360"/>
      </w:pPr>
      <w:r>
        <w:t xml:space="preserve">Домаћа производња електричне енергије задовољава потребе, изузев у зимском периоду када постоји потреба за увозом електричне енергије. Сирова нафта и природни гас се у већој мери обезбеђују из </w:t>
      </w:r>
      <w:r>
        <w:t>увоза. Домаћа производња сирове нафте задовољава 26,8%   потреба (производња 881.000 тона/производња 881.000 тона + увоз 2.407.000 тона), а домаћа производња природног гаса 16,2% потреба (производња 439 милиона м</w:t>
      </w:r>
      <w:r>
        <w:rPr>
          <w:vertAlign w:val="superscript"/>
        </w:rPr>
        <w:t>3</w:t>
      </w:r>
      <w:r>
        <w:t>/производња 439 милиона м</w:t>
      </w:r>
      <w:r>
        <w:rPr>
          <w:vertAlign w:val="superscript"/>
        </w:rPr>
        <w:t>3</w:t>
      </w:r>
      <w:r>
        <w:t>+увоз 2.263 милио</w:t>
      </w:r>
      <w:r>
        <w:t>на м</w:t>
      </w:r>
      <w:r>
        <w:rPr>
          <w:vertAlign w:val="superscript"/>
        </w:rPr>
        <w:t>3</w:t>
      </w:r>
      <w:r>
        <w:t xml:space="preserve">) (у 2018. години 25,1% потреба сирове нафте и 17% потреба природног гаса је било задовољено из домаће производње). </w:t>
      </w:r>
    </w:p>
    <w:p w:rsidR="00E8309B" w:rsidRDefault="009D0949">
      <w:pPr>
        <w:ind w:left="-5" w:right="17"/>
      </w:pPr>
      <w:r>
        <w:rPr>
          <w:b/>
        </w:rPr>
        <w:lastRenderedPageBreak/>
        <w:t>Неопходно је утврдити цену електричне енергије</w:t>
      </w:r>
      <w:r>
        <w:rPr>
          <w:b/>
          <w:vertAlign w:val="superscript"/>
        </w:rPr>
        <w:footnoteReference w:id="22"/>
      </w:r>
      <w:r>
        <w:rPr>
          <w:b/>
        </w:rPr>
        <w:t xml:space="preserve"> за домаћинства и мале купце тако да одражава трошкове производње електричне енергије м</w:t>
      </w:r>
      <w:r>
        <w:rPr>
          <w:b/>
        </w:rPr>
        <w:t xml:space="preserve">режарине и тржишне цене, водећи рачуна о животном стандарду и заштити енергетски угрожених купаца. </w:t>
      </w:r>
      <w:r>
        <w:t xml:space="preserve">Енергетски угрожени купци се утврђују на основу: износа оствареног укупног месечног прихода домаћинства усклађеног са индексом потрошачких цена у претходних </w:t>
      </w:r>
      <w:r>
        <w:t>шест месеци, броја чланова домаћинства и имовинског стања. Домаћинства и мали потрошачи имају право снабдевања електричном енергијом и гасом по регулисаним ценама. Цена електричне енергије је у просеку нижа за 20-45% од цене у другим земљама ЈИЕ. У сектору</w:t>
      </w:r>
      <w:r>
        <w:t xml:space="preserve"> електричне енергије енергетске тарифе за пренос и дистрибуцију одражавају потребан ниво инвестиција и одржавања. Нерегулисано тржиште је чинило 49,2% укупне потрошње електричне енергије и 84,1% укупне потрошње гаса од стране крајњих потрошача у 2019. годи</w:t>
      </w:r>
      <w:r>
        <w:t xml:space="preserve">ни. Последња повећања цене електричне енергије су реализована 2019. и 2020. године.  </w:t>
      </w:r>
    </w:p>
    <w:p w:rsidR="00E8309B" w:rsidRDefault="009D0949">
      <w:pPr>
        <w:spacing w:after="92"/>
        <w:ind w:left="-5" w:right="17"/>
      </w:pPr>
      <w:r>
        <w:rPr>
          <w:b/>
        </w:rPr>
        <w:t xml:space="preserve">Услед постојања високе енергетске интензивности неопходно је спровођење донетих мера енергетске ефикасности и коришћење обновљивих извора енергије. </w:t>
      </w:r>
      <w:r>
        <w:t>Енергетска интензивнос</w:t>
      </w:r>
      <w:r>
        <w:t xml:space="preserve">т у Србији је 4 пута већа од просека земаља ОЕЦД, нарочито због грејања на електричну енергију. Усвојена је </w:t>
      </w:r>
      <w:r>
        <w:rPr>
          <w:i/>
        </w:rPr>
        <w:t>Уредба о критеријумима одрживости биогорива</w:t>
      </w:r>
      <w:r>
        <w:t xml:space="preserve"> (,,Сл. гласник РС“, бр. 89/19) као предуслов за њихову употребу у транспортном сектору. Усвојеном </w:t>
      </w:r>
      <w:r>
        <w:rPr>
          <w:i/>
        </w:rPr>
        <w:t>Уредбо</w:t>
      </w:r>
      <w:r>
        <w:rPr>
          <w:i/>
        </w:rPr>
        <w:t xml:space="preserve">м о уделу биогорива на тржишту </w:t>
      </w:r>
      <w:r>
        <w:t>(,,Сл. гласник РС“, бр. 71/19) прописује се обавезно учешће биогорива у укупној енергији горива која се ставља у промет на тржиште Републике Србије. Националним акционим планом за коришћење обновљивих извора енергије из 2013.</w:t>
      </w:r>
      <w:r>
        <w:t xml:space="preserve"> године, дефинисано је остварење 24,3% учешћа обновљивих извора енергије у бруто финалној потрошњи у 2018. години. Према последњим подацима, остварено је 20,32% у 2018. години (20,6% у 2017.). </w:t>
      </w:r>
    </w:p>
    <w:p w:rsidR="00E8309B" w:rsidRDefault="009D0949">
      <w:pPr>
        <w:ind w:left="-5" w:right="17"/>
      </w:pPr>
      <w:r>
        <w:rPr>
          <w:b/>
        </w:rPr>
        <w:t>Ради успостављања одрживог система финансирања енергетске ефик</w:t>
      </w:r>
      <w:r>
        <w:rPr>
          <w:b/>
        </w:rPr>
        <w:t xml:space="preserve">асности, </w:t>
      </w:r>
      <w:r>
        <w:rPr>
          <w:i/>
        </w:rPr>
        <w:t>Законом о накнадама за коришћење јавних добара</w:t>
      </w:r>
      <w:r>
        <w:t xml:space="preserve"> уведена је накнада за енергетску ефикасност. Побољшање енергетске ефикасности захтева повећање финансијских средстава, успостављање бољег институционалног оквира као и јачање људских капацитета за ене</w:t>
      </w:r>
      <w:r>
        <w:t xml:space="preserve">ргетску ефикасност при Министарству рударства и енергетике, сарадњу и координацију са заинтересованим странама, као и увођење система енергетског менаџмента. Највећи део пројеката који су финансирани из Буџетског фонда за унапређење енергетске ефикасности </w:t>
      </w:r>
      <w:r>
        <w:t xml:space="preserve">се односи на побољшање термичког омотача зграда и термотехничких система. </w:t>
      </w:r>
    </w:p>
    <w:p w:rsidR="00E8309B" w:rsidRDefault="009D0949">
      <w:pPr>
        <w:ind w:left="-5" w:right="17"/>
      </w:pPr>
      <w:r>
        <w:rPr>
          <w:b/>
        </w:rPr>
        <w:t xml:space="preserve">Постојећа енергетска постројења емитују велике количине штетних гасова укључујући и гасове са ефектом стаклене баште, што се одражава на животну средину и здравље људи. </w:t>
      </w:r>
      <w:r>
        <w:t xml:space="preserve">Највећи део </w:t>
      </w:r>
      <w:r>
        <w:t xml:space="preserve">електричне енергије у Републици Србији се производи у термоелектранама (око 2/3) које као гориво користе лигнит што негативно утиче на квалитет ваздуха. </w:t>
      </w:r>
      <w:r>
        <w:rPr>
          <w:i/>
        </w:rPr>
        <w:t>Национални план за смањење емисија загађујућих материја у ваздух које потичу из старих великих построје</w:t>
      </w:r>
      <w:r>
        <w:rPr>
          <w:i/>
        </w:rPr>
        <w:t>ња за сагоревање</w:t>
      </w:r>
      <w:r>
        <w:t>, усвојен у фебруару 2020. године, прописује максималне емисије сумпор диоксида, азотних оксида и прашкастих честица на годишњем нивоу. Смањено је прашкасто загађење ваздуха и остварен допринос у денитрификацији и одсумпоравању димних гасов</w:t>
      </w:r>
      <w:r>
        <w:t>а кроз инвестиције у системе за управљање квалитетом угља, системе за смањење сумпорних и азотних оксида и постављањем електрофилтера. У току су изградње система за одсумпоравање димних гасова (ОДГ) у ТЕ „Никола Тесла А“ у Обреновцу, који треба да буде зав</w:t>
      </w:r>
      <w:r>
        <w:t xml:space="preserve">ршен средином 2022. године што ће допринети 10 пута мањем емитовању сумпор-диоксида и започет је пројекат ОДГ на ТЕНТ Б, који треба да се заврши  у првом кварталу 2024. године. </w:t>
      </w:r>
      <w:r>
        <w:rPr>
          <w:i/>
        </w:rPr>
        <w:t>Законом о накнадама за коришћење јавних добара</w:t>
      </w:r>
      <w:r>
        <w:t>, уведене су накнаде за заштиту и</w:t>
      </w:r>
      <w:r>
        <w:t xml:space="preserve"> унапређење животне средине. Прописани су износи које загађивачи плаћају у зависности од врсте и количине загађења. Висину накнаде утврђују јединице локалне самоуправе за сваку </w:t>
      </w:r>
      <w:r>
        <w:lastRenderedPageBreak/>
        <w:t>календарску годину. Остварени приходи од накнада се уплаћују у буџете градова и</w:t>
      </w:r>
      <w:r>
        <w:t xml:space="preserve"> општина.  </w:t>
      </w:r>
      <w:r>
        <w:rPr>
          <w:b/>
        </w:rPr>
        <w:t>У области транспорта постоји висока усаглашеност са правним тековинама ЕУ</w:t>
      </w:r>
      <w:r>
        <w:t>. Потребно је у наредном периоду унапредити рад инспекцијских служби, олакшати процедуре на граничним прелазима, побољшати путну и железничку инфраструктуру и повећати степ</w:t>
      </w:r>
      <w:r>
        <w:t xml:space="preserve">ен безбедности на путевима.  </w:t>
      </w:r>
    </w:p>
    <w:p w:rsidR="00E8309B" w:rsidRDefault="009D0949">
      <w:pPr>
        <w:ind w:left="-5" w:right="17"/>
      </w:pPr>
      <w:r>
        <w:rPr>
          <w:b/>
        </w:rPr>
        <w:t xml:space="preserve">Изградња и реконструкција деоница путева је ограничена недостатком финансијских средстава. </w:t>
      </w:r>
      <w:r>
        <w:t>У оквиру инфраструктурног пројекта Рута 4 Београд-Јужни Јадран завршена је деоница Сурчин-Прељина дужине 120 км и пуштена у саобраћај (</w:t>
      </w:r>
      <w:r>
        <w:t xml:space="preserve">радови на деоници ПрељинаПожега 30,9 км треба да буду завршени до краја 2022. године). У току је изградња аутопута Београд-Сарајево (Сремска Рача-Кузмин 18 км) и Моравског коридора (Појате-Прељина 109,6 км). Настављени су радови на изградњи обилазнице око </w:t>
      </w:r>
      <w:r>
        <w:t xml:space="preserve">Београда на сектору Б (31 км). Завршена је рехабилитација 161 км аутопута од планираних 200 км у 2020. години. Почиње реконструкција 5.000 км локалних путева. </w:t>
      </w:r>
    </w:p>
    <w:p w:rsidR="00E8309B" w:rsidRDefault="009D0949">
      <w:pPr>
        <w:spacing w:after="15"/>
        <w:ind w:left="-5" w:right="17"/>
      </w:pPr>
      <w:r>
        <w:rPr>
          <w:b/>
        </w:rPr>
        <w:t>Потребно је ускладити цену путарине тако да одговара трошковима потребним за одржавање путне инф</w:t>
      </w:r>
      <w:r>
        <w:rPr>
          <w:b/>
        </w:rPr>
        <w:t xml:space="preserve">раструктуре. </w:t>
      </w:r>
      <w:r>
        <w:t xml:space="preserve">Прелазак на нов систем редовног одржавања путева заснованог на учинку је у току. Усвојена је </w:t>
      </w:r>
      <w:r>
        <w:rPr>
          <w:i/>
        </w:rPr>
        <w:t>Уредба о европској електронској наплати путарине</w:t>
      </w:r>
      <w:r>
        <w:t xml:space="preserve"> у циљу ефикасније наплате путарине и обраде трансакција на наплатним станицама. Под наплатом путарине</w:t>
      </w:r>
      <w:r>
        <w:t xml:space="preserve"> је 820 км аутопутева и у порасту је број корисника електронске наплате путарине. Смањени су приходи од путарина за 3,5% и број возила у друмском саобраћају за 5,4 милиона у периоду јануар-јул 2020. године у односу на исти период прошле године. Због утицај</w:t>
      </w:r>
      <w:r>
        <w:t>а пандемије Ковид-19 остварен је мањи обим путничких (пад од 1,6%) и нетотонских километара (пад од 0,5%) у друмском саобраћају у Q1 2020. у односу на Q1 2019. Смањен је обим и међународног транспорта: укупан број путничких возила која су ушла у Србију мањ</w:t>
      </w:r>
      <w:r>
        <w:t xml:space="preserve">и је за 7,8%, а излаз путничких возила из Србије мањи је за 12,6% у Q1 2020. у односу на исти период 2019. године. Континуитет и редовност превоза робе и путника зависиће у великој мери од отворености граничних прелаза. </w:t>
      </w:r>
      <w:r>
        <w:rPr>
          <w:b/>
        </w:rPr>
        <w:t>Застарела железничка мрежа ограничав</w:t>
      </w:r>
      <w:r>
        <w:rPr>
          <w:b/>
        </w:rPr>
        <w:t>а путнички и теретни железнички саобраћај</w:t>
      </w:r>
      <w:r>
        <w:t xml:space="preserve">. </w:t>
      </w:r>
    </w:p>
    <w:p w:rsidR="00E8309B" w:rsidRDefault="009D0949">
      <w:pPr>
        <w:ind w:left="-5" w:right="17"/>
      </w:pPr>
      <w:r>
        <w:t>Укупна дужина железничке мреже у Србији износи 3.386,1 км (електрифицирано 1.273 км). У 2019. остварено је 286 милиона путничких км и 2,8 милијарде нетотонских км (смањење превоза путника и робе у односу на 2018.</w:t>
      </w:r>
      <w:r>
        <w:t xml:space="preserve"> као последица великог обима инфраструктурних радова), док је у 2020. години, према процењеним подацима, остварено 160 милиона путничких км и 2,69 милијарди нетотонских км (смањење у односу на 2019. годину, узроковано је пандемијом Ковид-19 и великим обимо</w:t>
      </w:r>
      <w:r>
        <w:t>м инфраструктурних радова). На већини деоница које су у фази реконструкције максимална носивост пруга износи 22,5 тона уз максималну брзину возова 10-30 км/ч. Укупно је реконструисано и изграђено 324,7 км регионалних и локалних, док је реконструисано, моде</w:t>
      </w:r>
      <w:r>
        <w:t>рнизовано и изграђено 227,3 км магистралних пруга, а у току су радови на још 116,2 км регионалних и локалних, као и на 143,7 км магистралних пруга. У оквиру пројеката изградње брзе железнице Београд-Будимпешта, у току су радови на прузи Београд-Нови Сад (п</w:t>
      </w:r>
      <w:r>
        <w:t xml:space="preserve">уштање у саобраћај се очекује до краја 2021. године). </w:t>
      </w:r>
    </w:p>
    <w:p w:rsidR="00E8309B" w:rsidRDefault="009D0949">
      <w:pPr>
        <w:ind w:left="-5" w:right="17"/>
      </w:pPr>
      <w:r>
        <w:rPr>
          <w:b/>
        </w:rPr>
        <w:t>Стварају се услови за управљање безбедношћу саобраћаја кроз измену прописа, ради смањења саобраћајних незгода.</w:t>
      </w:r>
      <w:r>
        <w:t xml:space="preserve"> Иако је смањен укупан број саобраћајних несрећа на путевима у 2019. у односу на 2018. годи</w:t>
      </w:r>
      <w:r>
        <w:t>ну (број погинулих особа смањен је за 2%, а број повређених за 3%), број смртних исхода на путевима и даље је изнад просека ЕУ. У циљу повећања степена безбедности у саобраћају потребно је проширити капацитете Дирекције за железнице као регулаторног тела и</w:t>
      </w:r>
      <w:r>
        <w:t xml:space="preserve"> тела надлежног за безбедност железничког саобраћаја, унапредити рад инспекцијских служби и повећати број контрола на путевима, подизати ниво свести кроз едукацију и прилагодити законску регулативу у области безбедности возила, пројектовања и одржавања пут</w:t>
      </w:r>
      <w:r>
        <w:t xml:space="preserve">ева. Припремљеним изменама </w:t>
      </w:r>
      <w:r>
        <w:rPr>
          <w:i/>
        </w:rPr>
        <w:t xml:space="preserve">Закона о безбедности </w:t>
      </w:r>
      <w:r>
        <w:rPr>
          <w:i/>
        </w:rPr>
        <w:lastRenderedPageBreak/>
        <w:t xml:space="preserve">саобраћаја на путевима </w:t>
      </w:r>
      <w:r>
        <w:t>биће</w:t>
      </w:r>
      <w:r>
        <w:rPr>
          <w:i/>
        </w:rPr>
        <w:t xml:space="preserve"> </w:t>
      </w:r>
      <w:r>
        <w:t>омогућено постављање нове саобраћајне сигнализације (семафори и обележавање прелаза пута преко железничке пруге), знакова и наредби којих се морају придржавати учесници у саобраћај</w:t>
      </w:r>
      <w:r>
        <w:t xml:space="preserve">у. Аутоматизацијом путних прелаза (уградња вибро трака, соларних маркера и рефлекторског осветљења) унапређена је безбедност железничког саобраћаја. Порасту безбедносних стандарда и услова рада допринеће и регионално повезивање железничког саобраћаја кроз </w:t>
      </w:r>
      <w:r>
        <w:t xml:space="preserve">Декларацију о безбедносној култури европске железнице коју је Србија потписала крајем 2019. године. </w:t>
      </w:r>
    </w:p>
    <w:p w:rsidR="00E8309B" w:rsidRDefault="009D0949">
      <w:pPr>
        <w:ind w:left="-5" w:right="17"/>
      </w:pPr>
      <w:r>
        <w:rPr>
          <w:b/>
        </w:rPr>
        <w:t xml:space="preserve">Успостављање и јачање капацитета комбинованог/интермодалног транспорта </w:t>
      </w:r>
      <w:r>
        <w:t>наставља се путем стимулативних мера, међутим, иако су за ове намене алоцирана средс</w:t>
      </w:r>
      <w:r>
        <w:t xml:space="preserve">тва у буџету за 2020. годину, због потребе обезбеђења додатних средстава за отклањање негативног утицаја Ковид-19, средства су опредељена за друге намене. Овај вид транспорта доприноси растерећењу центра града, смањењу саобраћајних гужви и оштећења путева </w:t>
      </w:r>
      <w:r>
        <w:t xml:space="preserve">и повећању безбедности саобраћаја на путевима. Изградња Интермодалног терминала у Батајници, Београд, започела је у 2020. години. </w:t>
      </w:r>
    </w:p>
    <w:p w:rsidR="00E8309B" w:rsidRDefault="009D0949">
      <w:pPr>
        <w:ind w:left="-5" w:right="17"/>
      </w:pPr>
      <w:r>
        <w:rPr>
          <w:b/>
        </w:rPr>
        <w:t xml:space="preserve">Велики број процедура ствара гужве на граничним прелазима и оптерећује сигурносне контроле. </w:t>
      </w:r>
      <w:r>
        <w:t>У протеклом периоду започето је п</w:t>
      </w:r>
      <w:r>
        <w:t>роширење граничних прелаза и убрзани су административни процеси увођењем већег броја скенера пасоша и скенера робе. Отпочела је примена система ,,Зелени коридори“ на одређеним граничним прелазима. Реализацијом пројекта ,,Олакшање трговине и транспорта“ омо</w:t>
      </w:r>
      <w:r>
        <w:t>гућиће се и увођење потпуног електронског пословања и унапређење сигурносних контрола у области царинског пословања. Овај пројекат обухвата и увођење система ,,Јединственог националног прозора“ (омогућава синхронизацију рада свих служби на граничним прелаз</w:t>
      </w:r>
      <w:r>
        <w:t>има), као и стварање услова за увођење интелигентних транспортних система (ИТС) на Коридору 10. У припреми је и Национални план за примену европског система за управљање железничким саобраћајем (ЕРТМС), као основе за увођење ИТС-а железничком саобраћају. Т</w:t>
      </w:r>
      <w:r>
        <w:t xml:space="preserve">ренутно је у функцији систем речних информационих система (РИС) на Сави и Дунаву. </w:t>
      </w:r>
      <w:r>
        <w:rPr>
          <w:b/>
        </w:rPr>
        <w:t>У циљу развоја ИТС на простору РС неопходно је донети стратешки оквир, прилагодити законодавство и обезбедити капацитете за имплементацију</w:t>
      </w:r>
      <w:r>
        <w:t>, што ће унапредити пословање царинс</w:t>
      </w:r>
      <w:r>
        <w:t xml:space="preserve">ких служби, смањити и поједноставити граничне процедуре, смањити време задржавања на граничним прелазима и унапредити регионалну сарадњу. </w:t>
      </w:r>
    </w:p>
    <w:p w:rsidR="00E8309B" w:rsidRDefault="009D0949">
      <w:pPr>
        <w:ind w:left="-5" w:right="17"/>
      </w:pPr>
      <w:r>
        <w:rPr>
          <w:b/>
        </w:rPr>
        <w:t>У областима поморског транспорта и транспорта унутрашњим водним путевима остварен је висок степен усклађености са пра</w:t>
      </w:r>
      <w:r>
        <w:rPr>
          <w:b/>
        </w:rPr>
        <w:t xml:space="preserve">вним тековинама ЕУ. </w:t>
      </w:r>
      <w:r>
        <w:t>Укупан обим превоза терета на унутрашњим водним путевима у Републици Србији износи 14,2 милиона тона у 2019. што представља раст од 20% у односу на 2018. Најчешће претоварене врсте терета су шљунак, песак и камени агрегати. Законом о хи</w:t>
      </w:r>
      <w:r>
        <w:t xml:space="preserve">дрографској делатности додатно су побољшани услови пловидбе на унутрашњим водним путевима. Измене и допуне </w:t>
      </w:r>
      <w:r>
        <w:rPr>
          <w:i/>
        </w:rPr>
        <w:t>Закона о пловидби и лукама на унутрашњим водама</w:t>
      </w:r>
      <w:r>
        <w:t xml:space="preserve"> омогућиле су прецизније утврђивање рентабилности лучких услуга, пословање лучких оператера и положај </w:t>
      </w:r>
      <w:r>
        <w:t xml:space="preserve">Агенције за управљање лукама. Допунама Стратегије развоја водног саобраћаја Републике Србије од 2015-2025. године унапређена је безбедност и сигурност поморских бродова и постројења и заштита животне средине од загађења са бродова у складу са међународним </w:t>
      </w:r>
      <w:r>
        <w:t xml:space="preserve">прописима. Усвојеним </w:t>
      </w:r>
      <w:r>
        <w:rPr>
          <w:i/>
        </w:rPr>
        <w:t>Националним програмом сигурносне заштите бродова и бродоградилишта</w:t>
      </w:r>
      <w:r>
        <w:t xml:space="preserve"> створена је основа за повећање безбедности у пловном саобраћају. Настављено је јачање регионалне сарадње, активно учешће у оквиру стратегије ЕУ за дунавску регију и при</w:t>
      </w:r>
      <w:r>
        <w:t xml:space="preserve">мена РИС. </w:t>
      </w:r>
    </w:p>
    <w:p w:rsidR="00E8309B" w:rsidRDefault="009D0949">
      <w:pPr>
        <w:ind w:left="-5" w:right="17"/>
      </w:pPr>
      <w:r>
        <w:rPr>
          <w:b/>
        </w:rPr>
        <w:t>Постојећи инфраструктурни капацитети у области унутрашњег водног транспорта ограничавају брзину претовара у српским лукама и ниво конкурентности српске робе на иностраном тржишту</w:t>
      </w:r>
      <w:r>
        <w:t>, али се континуирано унапређују</w:t>
      </w:r>
      <w:r>
        <w:rPr>
          <w:b/>
        </w:rPr>
        <w:t>.</w:t>
      </w:r>
      <w:r>
        <w:t xml:space="preserve"> </w:t>
      </w:r>
      <w:r>
        <w:t xml:space="preserve">Настављена је реализација пројекта развоја речне транспортне инфраструктуре укупне вредности 400 милиона евра, којим је обухваћена: реконструкција бродских предводница у саставу ХЕ ,,Ђердап 1“ и ,,Ђердап 2“, </w:t>
      </w:r>
      <w:r>
        <w:lastRenderedPageBreak/>
        <w:t>проширење капацитета Луке Смедерево, уређење пло</w:t>
      </w:r>
      <w:r>
        <w:t>вног пута и критичног сектора на реци Сави, вађење потонуле флоте из Другог светског рата, увођење система хидро-метео станица и модерног система за управљање водним саобраћајем. У току је израда комплетне техничке документације за проширивање капацитета л</w:t>
      </w:r>
      <w:r>
        <w:t>ука у Богојеву, Прахову и Сремској Митровици, као и за изградњу нове луке у Београду, за чије радове се средства обезбеђују из кредита ЕИБа за развој лучке инфраструктуре у Србији, кредита за интегрисани развој Коридора Дрина и Сава и буџета РС. Усвојене с</w:t>
      </w:r>
      <w:r>
        <w:t xml:space="preserve">у </w:t>
      </w:r>
      <w:r>
        <w:rPr>
          <w:i/>
        </w:rPr>
        <w:t>Уредба о утврђивању лучког подручја пристаништа за посебне намене</w:t>
      </w:r>
      <w:r>
        <w:t xml:space="preserve"> – марине </w:t>
      </w:r>
      <w:r>
        <w:rPr>
          <w:i/>
        </w:rPr>
        <w:t>у Кладову</w:t>
      </w:r>
      <w:r>
        <w:t xml:space="preserve"> (,,Сл. гласник РС“, бр. 11/20) и Уредба о утврђивању лучког подручја пристаништа за посебне намене – марине </w:t>
      </w:r>
      <w:r>
        <w:rPr>
          <w:i/>
        </w:rPr>
        <w:t>у Голупцу</w:t>
      </w:r>
      <w:r>
        <w:t xml:space="preserve"> (,,Сл. гласник РС“, бр. 104/20), чиме су створени у</w:t>
      </w:r>
      <w:r>
        <w:t xml:space="preserve">слови за даљу изградњу и адаптацију речне инфраструктуре. У току је израда Плана детаљне регулације Лепенски Вир који треба да омогући даљу реализацију Пројекта изградње међународног путничког пристаништа у Лепенском Виру, а у току су и радови на изградњи </w:t>
      </w:r>
      <w:r>
        <w:t xml:space="preserve">међународног путничког пристаништа у насељеном месту Рам. </w:t>
      </w:r>
    </w:p>
    <w:p w:rsidR="00E8309B" w:rsidRDefault="009D0949">
      <w:pPr>
        <w:ind w:left="-5" w:right="17"/>
      </w:pPr>
      <w:r>
        <w:rPr>
          <w:b/>
        </w:rPr>
        <w:t xml:space="preserve">У области ваздухопловства наставља се усклађивање са правним тековинама ЕУ. </w:t>
      </w:r>
      <w:r>
        <w:t xml:space="preserve">Остварен је напредак у имплементацији Споразума о успостављању заједничког европског ваздухопловног подручја. Изменама </w:t>
      </w:r>
      <w:r>
        <w:rPr>
          <w:i/>
        </w:rPr>
        <w:t>За</w:t>
      </w:r>
      <w:r>
        <w:rPr>
          <w:i/>
        </w:rPr>
        <w:t>кона о ваздушном саобраћају</w:t>
      </w:r>
      <w:r>
        <w:t xml:space="preserve"> додатно је унапређено обезбеђење на аеродромима и безбедносне провере и контроле. Уредбом о управљању ваздушним простором омогућено је ефикасније коришћење ваздушног простора. Поред Аеродрома ,,Никола Тесла“ у Београду и Аеродро</w:t>
      </w:r>
      <w:r>
        <w:t>ма ,,Константин Велики“ у Нишу, са радом је почео и трећи међународни Аеродром ,,Морава“ код Краљева (планирано је да овај аеродром буде карго-логистички центар у Србији). Смањен је обим пословне активности услед обустављања међународног путничког саобраћа</w:t>
      </w:r>
      <w:r>
        <w:t xml:space="preserve">ја изазваног избијањем Ковида-19. Број путника на Аеродрому ,,Никола Тесла“ у Београду смањен је за 66,4% у периду јануар-јул 2020. у односу исти период 2019, док је укупна количина превезене робе смањена за 16,3%. На Аеродрому ,,Константин Велики“ у Нишу </w:t>
      </w:r>
      <w:r>
        <w:t>смањен је број путника за 43,7% и превезене робе за 63,8% у периоду јануар-јул 2020. у односу на исти период прошле године. Почевши од маја 2020. постепено се успоставља авио саобраћај.</w:t>
      </w:r>
      <w:r>
        <w:rPr>
          <w:b/>
        </w:rPr>
        <w:t xml:space="preserve"> </w:t>
      </w:r>
    </w:p>
    <w:p w:rsidR="00E8309B" w:rsidRDefault="009D0949">
      <w:pPr>
        <w:spacing w:after="106"/>
        <w:ind w:left="-5" w:right="17"/>
      </w:pPr>
      <w:r>
        <w:t>Забележен је раст броја запослених у грађевинарству за 10%, а највише у оквиру железничких и путарских пројеката за 14% у Q2 2020. у односу на Q2 2019. годину. Тренутно је активно око 61.000 градилишта, што представља 16.000 градилишта више у односу на 201</w:t>
      </w:r>
      <w:r>
        <w:t xml:space="preserve">9. годину. Остварен је континуитет пословања грађевинских компанија које раде на највећим инфраструктурним пројектима у области друмског, железничког и водног саобраћаја и пројектима комуналне инфраструктуре. </w:t>
      </w:r>
    </w:p>
    <w:p w:rsidR="00E8309B" w:rsidRDefault="009D0949">
      <w:pPr>
        <w:spacing w:after="96" w:line="259" w:lineRule="auto"/>
        <w:ind w:left="0" w:right="0" w:firstLine="0"/>
        <w:jc w:val="left"/>
      </w:pPr>
      <w:r>
        <w:rPr>
          <w:b/>
        </w:rPr>
        <w:t xml:space="preserve"> </w:t>
      </w:r>
    </w:p>
    <w:p w:rsidR="00E8309B" w:rsidRDefault="009D0949">
      <w:pPr>
        <w:spacing w:after="96" w:line="259" w:lineRule="auto"/>
        <w:ind w:left="0" w:right="0" w:firstLine="0"/>
        <w:jc w:val="left"/>
      </w:pPr>
      <w:r>
        <w:rPr>
          <w:b/>
        </w:rPr>
        <w:t xml:space="preserve"> </w:t>
      </w:r>
    </w:p>
    <w:p w:rsidR="00E8309B" w:rsidRDefault="009D0949">
      <w:pPr>
        <w:spacing w:after="96" w:line="259" w:lineRule="auto"/>
        <w:ind w:left="0" w:right="0" w:firstLine="0"/>
        <w:jc w:val="left"/>
      </w:pPr>
      <w:r>
        <w:rPr>
          <w:b/>
        </w:rPr>
        <w:t xml:space="preserve"> </w:t>
      </w:r>
    </w:p>
    <w:p w:rsidR="00E8309B" w:rsidRDefault="009D0949">
      <w:pPr>
        <w:spacing w:after="0" w:line="259" w:lineRule="auto"/>
        <w:ind w:left="0" w:right="0" w:firstLine="0"/>
        <w:jc w:val="left"/>
      </w:pPr>
      <w:r>
        <w:rPr>
          <w:b/>
        </w:rPr>
        <w:t xml:space="preserve"> </w:t>
      </w:r>
    </w:p>
    <w:p w:rsidR="00E8309B" w:rsidRDefault="009D0949">
      <w:pPr>
        <w:spacing w:after="247" w:line="271" w:lineRule="auto"/>
        <w:ind w:left="-5" w:right="9"/>
      </w:pPr>
      <w:r>
        <w:rPr>
          <w:b/>
        </w:rPr>
        <w:t>б) Реформе</w:t>
      </w:r>
      <w:r>
        <w:t xml:space="preserve"> </w:t>
      </w:r>
    </w:p>
    <w:p w:rsidR="00E8309B" w:rsidRDefault="009D0949">
      <w:pPr>
        <w:ind w:left="-5" w:right="17"/>
      </w:pPr>
      <w:r>
        <w:rPr>
          <w:b/>
          <w:u w:val="single" w:color="000000"/>
        </w:rPr>
        <w:t>СТРУКТУРНА РЕФОРМА 1:</w:t>
      </w:r>
      <w:r>
        <w:rPr>
          <w:b/>
        </w:rPr>
        <w:t xml:space="preserve"> </w:t>
      </w:r>
      <w:r>
        <w:t>РАЗВ</w:t>
      </w:r>
      <w:r>
        <w:t xml:space="preserve">ОЈ ЕНЕРГЕТСКОГ ТРЖИШТА УЗ ИЗГРАДЊУ </w:t>
      </w:r>
    </w:p>
    <w:p w:rsidR="00E8309B" w:rsidRDefault="009D0949">
      <w:pPr>
        <w:spacing w:after="156"/>
        <w:ind w:left="-5" w:right="17"/>
      </w:pPr>
      <w:r>
        <w:t xml:space="preserve">ЕНЕРГЕТСКЕ ИНФРАСТРУКТУРЕ </w:t>
      </w:r>
    </w:p>
    <w:p w:rsidR="00E8309B" w:rsidRDefault="009D0949">
      <w:pPr>
        <w:spacing w:after="79" w:line="271" w:lineRule="auto"/>
        <w:ind w:left="-5" w:right="9"/>
      </w:pPr>
      <w:r>
        <w:rPr>
          <w:b/>
        </w:rPr>
        <w:t>1.</w:t>
      </w:r>
      <w:r>
        <w:rPr>
          <w:rFonts w:ascii="Arial" w:eastAsia="Arial" w:hAnsi="Arial" w:cs="Arial"/>
          <w:b/>
        </w:rPr>
        <w:t xml:space="preserve"> </w:t>
      </w:r>
      <w:r>
        <w:rPr>
          <w:b/>
        </w:rPr>
        <w:t xml:space="preserve">Опис структурне реформе </w:t>
      </w:r>
    </w:p>
    <w:p w:rsidR="00E8309B" w:rsidRDefault="009D0949">
      <w:pPr>
        <w:spacing w:after="84"/>
        <w:ind w:left="-5" w:right="17"/>
      </w:pPr>
      <w:r>
        <w:t xml:space="preserve">Изградња далековода и доградња трансформаторских станица у оквиру Трансбалканског коридора (I фаза) обухвата скуп пројеката за обнављање застареле инфраструктуре за </w:t>
      </w:r>
      <w:r>
        <w:t xml:space="preserve">пренос електричне енергије, ради подизања нивоа сигурности напајања електричном енергијом потрошача у Србији и олакшавања трговине енергетским производима на националном и прекограничном тржишту. Укупна дужина 400 kV далековода планираних за изградњу у </w:t>
      </w:r>
      <w:r>
        <w:lastRenderedPageBreak/>
        <w:t>нар</w:t>
      </w:r>
      <w:r>
        <w:t xml:space="preserve">едном десетогодишњем периоду износи око 250 км, a укупна процењена вредност око 130 милиона евра. Реформа је у складу са </w:t>
      </w:r>
      <w:r>
        <w:rPr>
          <w:i/>
        </w:rPr>
        <w:t>Програмом остваривања Стратегије развоја енергетике РС до 2025. године са пројекцијама до 2030. за период 2017-2023. године</w:t>
      </w:r>
      <w:r>
        <w:t xml:space="preserve"> и доприноси</w:t>
      </w:r>
      <w:r>
        <w:t xml:space="preserve"> остваривању </w:t>
      </w:r>
      <w:r>
        <w:rPr>
          <w:b/>
        </w:rPr>
        <w:t>ЦОР 7.б</w:t>
      </w:r>
      <w:r>
        <w:t xml:space="preserve"> До 2030. проширити инфраструктуру и унапредити технологију за снабдевање модерном и одрживом енергијом за све у земљама у развоју, у складу са њиховим програмима подршке. </w:t>
      </w:r>
    </w:p>
    <w:p w:rsidR="00E8309B" w:rsidRDefault="009D0949">
      <w:pPr>
        <w:spacing w:after="88"/>
        <w:ind w:left="-5" w:right="17"/>
      </w:pPr>
      <w:r>
        <w:t>Реформа обухвaтa изградњу слeдeћих oбjeката – секција зa прeнoс</w:t>
      </w:r>
      <w:r>
        <w:t xml:space="preserve"> eлeктричнe eнeргиje: </w:t>
      </w:r>
    </w:p>
    <w:p w:rsidR="00E8309B" w:rsidRDefault="009D0949">
      <w:pPr>
        <w:spacing w:after="83"/>
        <w:ind w:left="-5" w:right="17"/>
      </w:pPr>
      <w:r>
        <w:rPr>
          <w:b/>
        </w:rPr>
        <w:t>Секција 1</w:t>
      </w:r>
      <w:r>
        <w:t xml:space="preserve"> – Двоструки интeркoнeктивни далековод 2х400 kV Панчево – Решица, измeђу Србиje и Румуниje је у децембру 2017. године пуштен под напон (од ТС Панчево 2 до границе са Румунијом).</w:t>
      </w:r>
      <w:r>
        <w:rPr>
          <w:b/>
        </w:rPr>
        <w:t xml:space="preserve"> </w:t>
      </w:r>
    </w:p>
    <w:p w:rsidR="00E8309B" w:rsidRDefault="009D0949">
      <w:pPr>
        <w:ind w:left="-5" w:right="17"/>
      </w:pPr>
      <w:r>
        <w:rPr>
          <w:b/>
        </w:rPr>
        <w:t>Секција 2</w:t>
      </w:r>
      <w:r>
        <w:t xml:space="preserve">: Изградња далековода </w:t>
      </w:r>
      <w:r>
        <w:t>400 kV TС Крaгуjeвaц 2 – TС Крaљeвo 3 (у току), сa пoдизaњeм нaпoнскoг нивoa у TС Крaљeвo 3 нa 400 kV, што подразумева изградњу 400 kV постројења у ТС Краљево 3. Радови на изградњи Секције 2 су почели у јуну 2020. године и планирани су да се заврше до крај</w:t>
      </w:r>
      <w:r>
        <w:t xml:space="preserve">а 2021. године.  </w:t>
      </w:r>
    </w:p>
    <w:p w:rsidR="00E8309B" w:rsidRDefault="009D0949">
      <w:pPr>
        <w:spacing w:after="104"/>
        <w:ind w:left="-5" w:right="17"/>
      </w:pPr>
      <w:r>
        <w:rPr>
          <w:b/>
        </w:rPr>
        <w:t>Секција 3</w:t>
      </w:r>
      <w:r>
        <w:t>: Пoдизaњe нaпoнскoг нивoa прeнoснe мрeжe Зaпaднe Србиje нa 400 kV нaпoнски нивo измeђу TС Oбрeнoвaц и TС Бajинa Бaштa, штo пoдрaзумeвa нoви двoструки 2</w:t>
      </w:r>
      <w:r>
        <w:rPr>
          <w:rFonts w:ascii="Segoe UI Symbol" w:eastAsia="Segoe UI Symbol" w:hAnsi="Segoe UI Symbol" w:cs="Segoe UI Symbol"/>
        </w:rPr>
        <w:t></w:t>
      </w:r>
      <w:r>
        <w:t xml:space="preserve">400 kV дaлeкoвoд TС Oбрeнoвaц – TС Бajинa Бaштa доградњу ТС 220/35kV Бајина </w:t>
      </w:r>
      <w:r>
        <w:t>Башта у ТС 400/220/35kV Бајина Башта и опремање два 400 kV ДВ поља у TС 400/220 kV Oбрeнoвaц – у току је израда пројекта за грађевинску дозволу за ТС Бајина Башта са приступним путем и израда  Студије о процени утицаја на животну средину. За далековод је у</w:t>
      </w:r>
      <w:r>
        <w:t xml:space="preserve"> току израда пројекта за грађевинску дозволу. </w:t>
      </w:r>
    </w:p>
    <w:p w:rsidR="00E8309B" w:rsidRDefault="009D0949">
      <w:pPr>
        <w:spacing w:after="151"/>
        <w:ind w:left="-5" w:right="17"/>
      </w:pPr>
      <w:r>
        <w:rPr>
          <w:b/>
        </w:rPr>
        <w:t>Секција 4</w:t>
      </w:r>
      <w:r>
        <w:t>: Двоструки интeркoнeктивни далеководи 2</w:t>
      </w:r>
      <w:r>
        <w:rPr>
          <w:rFonts w:ascii="Segoe UI Symbol" w:eastAsia="Segoe UI Symbol" w:hAnsi="Segoe UI Symbol" w:cs="Segoe UI Symbol"/>
        </w:rPr>
        <w:t></w:t>
      </w:r>
      <w:r>
        <w:t xml:space="preserve">400 kV Бајина Башта (Србија) – Вишеград (БиХ) – Пљевља (Црна Гора) са опремањем једног система проводника - у току је израда пројекта за грађевинску дозволу и </w:t>
      </w:r>
      <w:r>
        <w:t>израда Студије о процени утицаја на животну средину. У току су додатне анализе осетљивости у оквиру економско-финансијске анализе, које треба да покажу потребан ниво донације, како би економски ефекти на друштво Србије били позитивни, за случај постојања с</w:t>
      </w:r>
      <w:r>
        <w:t xml:space="preserve">амо једне жиле подморског кабла између Италије и Црне Горе. На основу идејног пројекта (завршеног у априлу 2020.), поднет је захтев за издавање локацијских услова. </w:t>
      </w:r>
    </w:p>
    <w:p w:rsidR="00E8309B" w:rsidRDefault="009D0949">
      <w:pPr>
        <w:numPr>
          <w:ilvl w:val="0"/>
          <w:numId w:val="8"/>
        </w:numPr>
        <w:spacing w:after="79" w:line="271" w:lineRule="auto"/>
        <w:ind w:right="9" w:hanging="427"/>
      </w:pPr>
      <w:r>
        <w:rPr>
          <w:b/>
        </w:rPr>
        <w:t xml:space="preserve">Ковид-19 – ефекти, мере и изазови </w:t>
      </w:r>
    </w:p>
    <w:p w:rsidR="00E8309B" w:rsidRDefault="009D0949">
      <w:pPr>
        <w:spacing w:after="103"/>
        <w:ind w:left="-5" w:right="17"/>
      </w:pPr>
      <w:r>
        <w:t>На спровођење активности у оквиру реформе пандемија није</w:t>
      </w:r>
      <w:r>
        <w:t xml:space="preserve"> имала утицаја. Изградња се одвијала планираним темпом, а на градилиштима су се примењивале високе мере заштите ради спречавања ширења болести међу радницима. Остварена је стабилност и редовна производња угља и електричне енергије током пандемије. </w:t>
      </w:r>
    </w:p>
    <w:p w:rsidR="00E8309B" w:rsidRDefault="009D0949">
      <w:pPr>
        <w:spacing w:after="96" w:line="259" w:lineRule="auto"/>
        <w:ind w:left="0" w:right="0" w:firstLine="0"/>
        <w:jc w:val="left"/>
      </w:pPr>
      <w:r>
        <w:t xml:space="preserve"> </w:t>
      </w:r>
    </w:p>
    <w:p w:rsidR="00E8309B" w:rsidRDefault="009D0949">
      <w:pPr>
        <w:spacing w:after="96" w:line="259" w:lineRule="auto"/>
        <w:ind w:left="0" w:right="0" w:firstLine="0"/>
        <w:jc w:val="left"/>
      </w:pPr>
      <w:r>
        <w:t xml:space="preserve"> </w:t>
      </w:r>
    </w:p>
    <w:p w:rsidR="00E8309B" w:rsidRDefault="009D0949">
      <w:pPr>
        <w:spacing w:after="96" w:line="259" w:lineRule="auto"/>
        <w:ind w:left="0" w:right="0" w:firstLine="0"/>
        <w:jc w:val="left"/>
      </w:pPr>
      <w:r>
        <w:t xml:space="preserve"> </w:t>
      </w:r>
    </w:p>
    <w:p w:rsidR="00E8309B" w:rsidRDefault="009D0949">
      <w:pPr>
        <w:spacing w:after="0" w:line="259" w:lineRule="auto"/>
        <w:ind w:left="0" w:right="0" w:firstLine="0"/>
        <w:jc w:val="left"/>
      </w:pPr>
      <w:r>
        <w:t xml:space="preserve"> </w:t>
      </w:r>
    </w:p>
    <w:p w:rsidR="00E8309B" w:rsidRDefault="009D0949">
      <w:pPr>
        <w:numPr>
          <w:ilvl w:val="0"/>
          <w:numId w:val="8"/>
        </w:numPr>
        <w:spacing w:after="0" w:line="271" w:lineRule="auto"/>
        <w:ind w:right="9" w:hanging="427"/>
      </w:pPr>
      <w:r>
        <w:rPr>
          <w:b/>
        </w:rPr>
        <w:t xml:space="preserve">Планирање активности по годинама </w:t>
      </w:r>
    </w:p>
    <w:tbl>
      <w:tblPr>
        <w:tblStyle w:val="TableGrid"/>
        <w:tblW w:w="9611" w:type="dxa"/>
        <w:tblInd w:w="10" w:type="dxa"/>
        <w:tblCellMar>
          <w:top w:w="9" w:type="dxa"/>
          <w:left w:w="58" w:type="dxa"/>
          <w:bottom w:w="0" w:type="dxa"/>
          <w:right w:w="8" w:type="dxa"/>
        </w:tblCellMar>
        <w:tblLook w:val="04A0" w:firstRow="1" w:lastRow="0" w:firstColumn="1" w:lastColumn="0" w:noHBand="0" w:noVBand="1"/>
      </w:tblPr>
      <w:tblGrid>
        <w:gridCol w:w="427"/>
        <w:gridCol w:w="4122"/>
        <w:gridCol w:w="419"/>
        <w:gridCol w:w="421"/>
        <w:gridCol w:w="423"/>
        <w:gridCol w:w="421"/>
        <w:gridCol w:w="424"/>
        <w:gridCol w:w="421"/>
        <w:gridCol w:w="423"/>
        <w:gridCol w:w="420"/>
        <w:gridCol w:w="424"/>
        <w:gridCol w:w="422"/>
        <w:gridCol w:w="423"/>
        <w:gridCol w:w="421"/>
      </w:tblGrid>
      <w:tr w:rsidR="00E8309B">
        <w:trPr>
          <w:trHeight w:val="332"/>
        </w:trPr>
        <w:tc>
          <w:tcPr>
            <w:tcW w:w="427" w:type="dxa"/>
            <w:vMerge w:val="restart"/>
            <w:tcBorders>
              <w:top w:val="single" w:sz="8" w:space="0" w:color="000000"/>
              <w:left w:val="single" w:sz="8" w:space="0" w:color="000000"/>
              <w:bottom w:val="single" w:sz="8" w:space="0" w:color="000000"/>
              <w:right w:val="single" w:sz="8" w:space="0" w:color="000000"/>
            </w:tcBorders>
            <w:vAlign w:val="center"/>
          </w:tcPr>
          <w:p w:rsidR="00E8309B" w:rsidRDefault="009D0949">
            <w:pPr>
              <w:spacing w:after="0" w:line="259" w:lineRule="auto"/>
              <w:ind w:left="29" w:right="0" w:firstLine="0"/>
            </w:pPr>
            <w:r>
              <w:rPr>
                <w:b/>
                <w:sz w:val="20"/>
              </w:rPr>
              <w:t xml:space="preserve">РБ </w:t>
            </w:r>
          </w:p>
        </w:tc>
        <w:tc>
          <w:tcPr>
            <w:tcW w:w="4123" w:type="dxa"/>
            <w:vMerge w:val="restart"/>
            <w:tcBorders>
              <w:top w:val="single" w:sz="8" w:space="0" w:color="000000"/>
              <w:left w:val="single" w:sz="8" w:space="0" w:color="000000"/>
              <w:bottom w:val="single" w:sz="8" w:space="0" w:color="000000"/>
              <w:right w:val="single" w:sz="8" w:space="0" w:color="000000"/>
            </w:tcBorders>
            <w:vAlign w:val="center"/>
          </w:tcPr>
          <w:p w:rsidR="00E8309B" w:rsidRDefault="009D0949">
            <w:pPr>
              <w:spacing w:after="0" w:line="259" w:lineRule="auto"/>
              <w:ind w:left="0" w:right="0" w:firstLine="0"/>
              <w:jc w:val="left"/>
            </w:pPr>
            <w:r>
              <w:rPr>
                <w:b/>
                <w:sz w:val="20"/>
              </w:rPr>
              <w:t xml:space="preserve">Планиране активности </w:t>
            </w:r>
          </w:p>
        </w:tc>
        <w:tc>
          <w:tcPr>
            <w:tcW w:w="419" w:type="dxa"/>
            <w:tcBorders>
              <w:top w:val="single" w:sz="8" w:space="0" w:color="000000"/>
              <w:left w:val="single" w:sz="8" w:space="0" w:color="000000"/>
              <w:bottom w:val="single" w:sz="4" w:space="0" w:color="000000"/>
              <w:right w:val="nil"/>
            </w:tcBorders>
          </w:tcPr>
          <w:p w:rsidR="00E8309B" w:rsidRDefault="00E8309B">
            <w:pPr>
              <w:spacing w:after="160" w:line="259" w:lineRule="auto"/>
              <w:ind w:left="0" w:right="0" w:firstLine="0"/>
              <w:jc w:val="left"/>
            </w:pPr>
          </w:p>
        </w:tc>
        <w:tc>
          <w:tcPr>
            <w:tcW w:w="844" w:type="dxa"/>
            <w:gridSpan w:val="2"/>
            <w:tcBorders>
              <w:top w:val="single" w:sz="8" w:space="0" w:color="000000"/>
              <w:left w:val="nil"/>
              <w:bottom w:val="single" w:sz="4" w:space="0" w:color="000000"/>
              <w:right w:val="nil"/>
            </w:tcBorders>
          </w:tcPr>
          <w:p w:rsidR="00E8309B" w:rsidRDefault="009D0949">
            <w:pPr>
              <w:spacing w:after="0" w:line="259" w:lineRule="auto"/>
              <w:ind w:left="0" w:right="45" w:firstLine="0"/>
              <w:jc w:val="center"/>
            </w:pPr>
            <w:r>
              <w:rPr>
                <w:b/>
                <w:sz w:val="20"/>
              </w:rPr>
              <w:t xml:space="preserve">2021 </w:t>
            </w:r>
          </w:p>
        </w:tc>
        <w:tc>
          <w:tcPr>
            <w:tcW w:w="421" w:type="dxa"/>
            <w:tcBorders>
              <w:top w:val="single" w:sz="8" w:space="0" w:color="000000"/>
              <w:left w:val="nil"/>
              <w:bottom w:val="single" w:sz="4" w:space="0" w:color="000000"/>
              <w:right w:val="single" w:sz="8" w:space="0" w:color="000000"/>
            </w:tcBorders>
          </w:tcPr>
          <w:p w:rsidR="00E8309B" w:rsidRDefault="00E8309B">
            <w:pPr>
              <w:spacing w:after="160" w:line="259" w:lineRule="auto"/>
              <w:ind w:left="0" w:right="0" w:firstLine="0"/>
              <w:jc w:val="left"/>
            </w:pPr>
          </w:p>
        </w:tc>
        <w:tc>
          <w:tcPr>
            <w:tcW w:w="424" w:type="dxa"/>
            <w:tcBorders>
              <w:top w:val="single" w:sz="8" w:space="0" w:color="000000"/>
              <w:left w:val="single" w:sz="8" w:space="0" w:color="000000"/>
              <w:bottom w:val="single" w:sz="4" w:space="0" w:color="000000"/>
              <w:right w:val="nil"/>
            </w:tcBorders>
          </w:tcPr>
          <w:p w:rsidR="00E8309B" w:rsidRDefault="00E8309B">
            <w:pPr>
              <w:spacing w:after="160" w:line="259" w:lineRule="auto"/>
              <w:ind w:left="0" w:right="0" w:firstLine="0"/>
              <w:jc w:val="left"/>
            </w:pPr>
          </w:p>
        </w:tc>
        <w:tc>
          <w:tcPr>
            <w:tcW w:w="844" w:type="dxa"/>
            <w:gridSpan w:val="2"/>
            <w:tcBorders>
              <w:top w:val="single" w:sz="8" w:space="0" w:color="000000"/>
              <w:left w:val="nil"/>
              <w:bottom w:val="single" w:sz="4" w:space="0" w:color="000000"/>
              <w:right w:val="nil"/>
            </w:tcBorders>
          </w:tcPr>
          <w:p w:rsidR="00E8309B" w:rsidRDefault="009D0949">
            <w:pPr>
              <w:spacing w:after="0" w:line="259" w:lineRule="auto"/>
              <w:ind w:left="0" w:right="48" w:firstLine="0"/>
              <w:jc w:val="center"/>
            </w:pPr>
            <w:r>
              <w:rPr>
                <w:b/>
                <w:sz w:val="20"/>
              </w:rPr>
              <w:t xml:space="preserve">2022 </w:t>
            </w:r>
          </w:p>
        </w:tc>
        <w:tc>
          <w:tcPr>
            <w:tcW w:w="420" w:type="dxa"/>
            <w:tcBorders>
              <w:top w:val="single" w:sz="8" w:space="0" w:color="000000"/>
              <w:left w:val="nil"/>
              <w:bottom w:val="single" w:sz="4" w:space="0" w:color="000000"/>
              <w:right w:val="single" w:sz="8" w:space="0" w:color="000000"/>
            </w:tcBorders>
          </w:tcPr>
          <w:p w:rsidR="00E8309B" w:rsidRDefault="00E8309B">
            <w:pPr>
              <w:spacing w:after="160" w:line="259" w:lineRule="auto"/>
              <w:ind w:left="0" w:right="0" w:firstLine="0"/>
              <w:jc w:val="left"/>
            </w:pPr>
          </w:p>
        </w:tc>
        <w:tc>
          <w:tcPr>
            <w:tcW w:w="424" w:type="dxa"/>
            <w:tcBorders>
              <w:top w:val="single" w:sz="8" w:space="0" w:color="000000"/>
              <w:left w:val="single" w:sz="8" w:space="0" w:color="000000"/>
              <w:bottom w:val="single" w:sz="4" w:space="0" w:color="000000"/>
              <w:right w:val="nil"/>
            </w:tcBorders>
          </w:tcPr>
          <w:p w:rsidR="00E8309B" w:rsidRDefault="00E8309B">
            <w:pPr>
              <w:spacing w:after="160" w:line="259" w:lineRule="auto"/>
              <w:ind w:left="0" w:right="0" w:firstLine="0"/>
              <w:jc w:val="left"/>
            </w:pPr>
          </w:p>
        </w:tc>
        <w:tc>
          <w:tcPr>
            <w:tcW w:w="845" w:type="dxa"/>
            <w:gridSpan w:val="2"/>
            <w:tcBorders>
              <w:top w:val="single" w:sz="8" w:space="0" w:color="000000"/>
              <w:left w:val="nil"/>
              <w:bottom w:val="single" w:sz="4" w:space="0" w:color="000000"/>
              <w:right w:val="nil"/>
            </w:tcBorders>
          </w:tcPr>
          <w:p w:rsidR="00E8309B" w:rsidRDefault="009D0949">
            <w:pPr>
              <w:spacing w:after="0" w:line="259" w:lineRule="auto"/>
              <w:ind w:left="0" w:right="49" w:firstLine="0"/>
              <w:jc w:val="center"/>
            </w:pPr>
            <w:r>
              <w:rPr>
                <w:b/>
                <w:sz w:val="20"/>
              </w:rPr>
              <w:t xml:space="preserve">2023 </w:t>
            </w:r>
          </w:p>
        </w:tc>
        <w:tc>
          <w:tcPr>
            <w:tcW w:w="421" w:type="dxa"/>
            <w:tcBorders>
              <w:top w:val="single" w:sz="8" w:space="0" w:color="000000"/>
              <w:left w:val="nil"/>
              <w:bottom w:val="single" w:sz="4" w:space="0" w:color="000000"/>
              <w:right w:val="single" w:sz="8" w:space="0" w:color="000000"/>
            </w:tcBorders>
          </w:tcPr>
          <w:p w:rsidR="00E8309B" w:rsidRDefault="00E8309B">
            <w:pPr>
              <w:spacing w:after="160" w:line="259" w:lineRule="auto"/>
              <w:ind w:left="0" w:right="0" w:firstLine="0"/>
              <w:jc w:val="left"/>
            </w:pPr>
          </w:p>
        </w:tc>
      </w:tr>
      <w:tr w:rsidR="00E8309B">
        <w:trPr>
          <w:trHeight w:val="326"/>
        </w:trPr>
        <w:tc>
          <w:tcPr>
            <w:tcW w:w="0" w:type="auto"/>
            <w:vMerge/>
            <w:tcBorders>
              <w:top w:val="nil"/>
              <w:left w:val="single" w:sz="8" w:space="0" w:color="000000"/>
              <w:bottom w:val="single" w:sz="8" w:space="0" w:color="000000"/>
              <w:right w:val="single" w:sz="8" w:space="0" w:color="000000"/>
            </w:tcBorders>
          </w:tcPr>
          <w:p w:rsidR="00E8309B" w:rsidRDefault="00E8309B">
            <w:pPr>
              <w:spacing w:after="160" w:line="259" w:lineRule="auto"/>
              <w:ind w:left="0" w:right="0" w:firstLine="0"/>
              <w:jc w:val="left"/>
            </w:pPr>
          </w:p>
        </w:tc>
        <w:tc>
          <w:tcPr>
            <w:tcW w:w="0" w:type="auto"/>
            <w:vMerge/>
            <w:tcBorders>
              <w:top w:val="nil"/>
              <w:left w:val="single" w:sz="8" w:space="0" w:color="000000"/>
              <w:bottom w:val="single" w:sz="8" w:space="0" w:color="000000"/>
              <w:right w:val="single" w:sz="8" w:space="0" w:color="000000"/>
            </w:tcBorders>
          </w:tcPr>
          <w:p w:rsidR="00E8309B" w:rsidRDefault="00E8309B">
            <w:pPr>
              <w:spacing w:after="160" w:line="259" w:lineRule="auto"/>
              <w:ind w:left="0" w:right="0" w:firstLine="0"/>
              <w:jc w:val="left"/>
            </w:pPr>
          </w:p>
        </w:tc>
        <w:tc>
          <w:tcPr>
            <w:tcW w:w="419" w:type="dxa"/>
            <w:tcBorders>
              <w:top w:val="single" w:sz="4" w:space="0" w:color="000000"/>
              <w:left w:val="single" w:sz="8" w:space="0" w:color="000000"/>
              <w:bottom w:val="single" w:sz="8" w:space="0" w:color="000000"/>
              <w:right w:val="single" w:sz="4" w:space="0" w:color="000000"/>
            </w:tcBorders>
          </w:tcPr>
          <w:p w:rsidR="00E8309B" w:rsidRDefault="009D0949">
            <w:pPr>
              <w:spacing w:after="0" w:line="259" w:lineRule="auto"/>
              <w:ind w:left="42" w:right="0" w:firstLine="0"/>
              <w:jc w:val="left"/>
            </w:pPr>
            <w:r>
              <w:rPr>
                <w:i/>
                <w:sz w:val="18"/>
              </w:rPr>
              <w:t xml:space="preserve">Q1 </w:t>
            </w:r>
          </w:p>
        </w:tc>
        <w:tc>
          <w:tcPr>
            <w:tcW w:w="421" w:type="dxa"/>
            <w:tcBorders>
              <w:top w:val="single" w:sz="4" w:space="0" w:color="000000"/>
              <w:left w:val="single" w:sz="4" w:space="0" w:color="000000"/>
              <w:bottom w:val="single" w:sz="8" w:space="0" w:color="000000"/>
              <w:right w:val="single" w:sz="4" w:space="0" w:color="000000"/>
            </w:tcBorders>
          </w:tcPr>
          <w:p w:rsidR="00E8309B" w:rsidRDefault="009D0949">
            <w:pPr>
              <w:spacing w:after="0" w:line="259" w:lineRule="auto"/>
              <w:ind w:left="43" w:right="0" w:firstLine="0"/>
              <w:jc w:val="left"/>
            </w:pPr>
            <w:r>
              <w:rPr>
                <w:i/>
                <w:sz w:val="18"/>
              </w:rPr>
              <w:t xml:space="preserve">Q2 </w:t>
            </w:r>
          </w:p>
        </w:tc>
        <w:tc>
          <w:tcPr>
            <w:tcW w:w="422" w:type="dxa"/>
            <w:tcBorders>
              <w:top w:val="single" w:sz="4" w:space="0" w:color="000000"/>
              <w:left w:val="single" w:sz="4" w:space="0" w:color="000000"/>
              <w:bottom w:val="single" w:sz="8" w:space="0" w:color="000000"/>
              <w:right w:val="single" w:sz="4" w:space="0" w:color="000000"/>
            </w:tcBorders>
          </w:tcPr>
          <w:p w:rsidR="00E8309B" w:rsidRDefault="009D0949">
            <w:pPr>
              <w:spacing w:after="0" w:line="259" w:lineRule="auto"/>
              <w:ind w:left="44" w:right="0" w:firstLine="0"/>
              <w:jc w:val="left"/>
            </w:pPr>
            <w:r>
              <w:rPr>
                <w:i/>
                <w:sz w:val="18"/>
              </w:rPr>
              <w:t xml:space="preserve">Q3 </w:t>
            </w:r>
          </w:p>
        </w:tc>
        <w:tc>
          <w:tcPr>
            <w:tcW w:w="421" w:type="dxa"/>
            <w:tcBorders>
              <w:top w:val="single" w:sz="4" w:space="0" w:color="000000"/>
              <w:left w:val="single" w:sz="4" w:space="0" w:color="000000"/>
              <w:bottom w:val="single" w:sz="8" w:space="0" w:color="000000"/>
              <w:right w:val="single" w:sz="8" w:space="0" w:color="000000"/>
            </w:tcBorders>
          </w:tcPr>
          <w:p w:rsidR="00E8309B" w:rsidRDefault="009D0949">
            <w:pPr>
              <w:spacing w:after="0" w:line="259" w:lineRule="auto"/>
              <w:ind w:left="44" w:right="0" w:firstLine="0"/>
              <w:jc w:val="left"/>
            </w:pPr>
            <w:r>
              <w:rPr>
                <w:i/>
                <w:sz w:val="18"/>
              </w:rPr>
              <w:t xml:space="preserve">Q4 </w:t>
            </w:r>
          </w:p>
        </w:tc>
        <w:tc>
          <w:tcPr>
            <w:tcW w:w="424" w:type="dxa"/>
            <w:tcBorders>
              <w:top w:val="single" w:sz="4" w:space="0" w:color="000000"/>
              <w:left w:val="single" w:sz="8" w:space="0" w:color="000000"/>
              <w:bottom w:val="single" w:sz="8" w:space="0" w:color="000000"/>
              <w:right w:val="single" w:sz="4" w:space="0" w:color="000000"/>
            </w:tcBorders>
          </w:tcPr>
          <w:p w:rsidR="00E8309B" w:rsidRDefault="009D0949">
            <w:pPr>
              <w:spacing w:after="0" w:line="259" w:lineRule="auto"/>
              <w:ind w:left="46" w:right="0" w:firstLine="0"/>
              <w:jc w:val="left"/>
            </w:pPr>
            <w:r>
              <w:rPr>
                <w:i/>
                <w:sz w:val="18"/>
              </w:rPr>
              <w:t xml:space="preserve">Q1 </w:t>
            </w:r>
          </w:p>
        </w:tc>
        <w:tc>
          <w:tcPr>
            <w:tcW w:w="421" w:type="dxa"/>
            <w:tcBorders>
              <w:top w:val="single" w:sz="4" w:space="0" w:color="000000"/>
              <w:left w:val="single" w:sz="4" w:space="0" w:color="000000"/>
              <w:bottom w:val="single" w:sz="8" w:space="0" w:color="000000"/>
              <w:right w:val="single" w:sz="4" w:space="0" w:color="000000"/>
            </w:tcBorders>
          </w:tcPr>
          <w:p w:rsidR="00E8309B" w:rsidRDefault="009D0949">
            <w:pPr>
              <w:spacing w:after="0" w:line="259" w:lineRule="auto"/>
              <w:ind w:left="44" w:right="0" w:firstLine="0"/>
              <w:jc w:val="left"/>
            </w:pPr>
            <w:r>
              <w:rPr>
                <w:i/>
                <w:sz w:val="18"/>
              </w:rPr>
              <w:t xml:space="preserve">Q2 </w:t>
            </w:r>
          </w:p>
        </w:tc>
        <w:tc>
          <w:tcPr>
            <w:tcW w:w="423" w:type="dxa"/>
            <w:tcBorders>
              <w:top w:val="single" w:sz="4" w:space="0" w:color="000000"/>
              <w:left w:val="single" w:sz="4" w:space="0" w:color="000000"/>
              <w:bottom w:val="single" w:sz="8" w:space="0" w:color="000000"/>
              <w:right w:val="single" w:sz="4" w:space="0" w:color="000000"/>
            </w:tcBorders>
          </w:tcPr>
          <w:p w:rsidR="00E8309B" w:rsidRDefault="009D0949">
            <w:pPr>
              <w:spacing w:after="0" w:line="259" w:lineRule="auto"/>
              <w:ind w:left="46" w:right="0" w:firstLine="0"/>
              <w:jc w:val="left"/>
            </w:pPr>
            <w:r>
              <w:rPr>
                <w:i/>
                <w:sz w:val="18"/>
              </w:rPr>
              <w:t xml:space="preserve">Q3 </w:t>
            </w:r>
          </w:p>
        </w:tc>
        <w:tc>
          <w:tcPr>
            <w:tcW w:w="420" w:type="dxa"/>
            <w:tcBorders>
              <w:top w:val="single" w:sz="4" w:space="0" w:color="000000"/>
              <w:left w:val="single" w:sz="4" w:space="0" w:color="000000"/>
              <w:bottom w:val="single" w:sz="8" w:space="0" w:color="000000"/>
              <w:right w:val="single" w:sz="8" w:space="0" w:color="000000"/>
            </w:tcBorders>
          </w:tcPr>
          <w:p w:rsidR="00E8309B" w:rsidRDefault="009D0949">
            <w:pPr>
              <w:spacing w:after="0" w:line="259" w:lineRule="auto"/>
              <w:ind w:left="43" w:right="0" w:firstLine="0"/>
              <w:jc w:val="left"/>
            </w:pPr>
            <w:r>
              <w:rPr>
                <w:i/>
                <w:sz w:val="18"/>
              </w:rPr>
              <w:t xml:space="preserve">Q4 </w:t>
            </w:r>
          </w:p>
        </w:tc>
        <w:tc>
          <w:tcPr>
            <w:tcW w:w="424" w:type="dxa"/>
            <w:tcBorders>
              <w:top w:val="single" w:sz="4" w:space="0" w:color="000000"/>
              <w:left w:val="single" w:sz="8" w:space="0" w:color="000000"/>
              <w:bottom w:val="single" w:sz="8" w:space="0" w:color="000000"/>
              <w:right w:val="single" w:sz="4" w:space="0" w:color="000000"/>
            </w:tcBorders>
          </w:tcPr>
          <w:p w:rsidR="00E8309B" w:rsidRDefault="009D0949">
            <w:pPr>
              <w:spacing w:after="0" w:line="259" w:lineRule="auto"/>
              <w:ind w:left="46" w:right="0" w:firstLine="0"/>
              <w:jc w:val="left"/>
            </w:pPr>
            <w:r>
              <w:rPr>
                <w:i/>
                <w:sz w:val="18"/>
              </w:rPr>
              <w:t xml:space="preserve">Q1 </w:t>
            </w:r>
          </w:p>
        </w:tc>
        <w:tc>
          <w:tcPr>
            <w:tcW w:w="422" w:type="dxa"/>
            <w:tcBorders>
              <w:top w:val="single" w:sz="4" w:space="0" w:color="000000"/>
              <w:left w:val="single" w:sz="4" w:space="0" w:color="000000"/>
              <w:bottom w:val="single" w:sz="8" w:space="0" w:color="000000"/>
              <w:right w:val="single" w:sz="4" w:space="0" w:color="000000"/>
            </w:tcBorders>
          </w:tcPr>
          <w:p w:rsidR="00E8309B" w:rsidRDefault="009D0949">
            <w:pPr>
              <w:spacing w:after="0" w:line="259" w:lineRule="auto"/>
              <w:ind w:left="44" w:right="0" w:firstLine="0"/>
              <w:jc w:val="left"/>
            </w:pPr>
            <w:r>
              <w:rPr>
                <w:i/>
                <w:sz w:val="18"/>
              </w:rPr>
              <w:t xml:space="preserve">Q2 </w:t>
            </w:r>
          </w:p>
        </w:tc>
        <w:tc>
          <w:tcPr>
            <w:tcW w:w="422" w:type="dxa"/>
            <w:tcBorders>
              <w:top w:val="single" w:sz="4" w:space="0" w:color="000000"/>
              <w:left w:val="single" w:sz="4" w:space="0" w:color="000000"/>
              <w:bottom w:val="single" w:sz="8" w:space="0" w:color="000000"/>
              <w:right w:val="single" w:sz="4" w:space="0" w:color="000000"/>
            </w:tcBorders>
          </w:tcPr>
          <w:p w:rsidR="00E8309B" w:rsidRDefault="009D0949">
            <w:pPr>
              <w:spacing w:after="0" w:line="259" w:lineRule="auto"/>
              <w:ind w:left="44" w:right="0" w:firstLine="0"/>
              <w:jc w:val="left"/>
            </w:pPr>
            <w:r>
              <w:rPr>
                <w:i/>
                <w:sz w:val="18"/>
              </w:rPr>
              <w:t xml:space="preserve">Q3 </w:t>
            </w:r>
          </w:p>
        </w:tc>
        <w:tc>
          <w:tcPr>
            <w:tcW w:w="421" w:type="dxa"/>
            <w:tcBorders>
              <w:top w:val="single" w:sz="4" w:space="0" w:color="000000"/>
              <w:left w:val="single" w:sz="4" w:space="0" w:color="000000"/>
              <w:bottom w:val="single" w:sz="8" w:space="0" w:color="000000"/>
              <w:right w:val="single" w:sz="8" w:space="0" w:color="000000"/>
            </w:tcBorders>
          </w:tcPr>
          <w:p w:rsidR="00E8309B" w:rsidRDefault="009D0949">
            <w:pPr>
              <w:spacing w:after="0" w:line="259" w:lineRule="auto"/>
              <w:ind w:left="44" w:right="0" w:firstLine="0"/>
              <w:jc w:val="left"/>
            </w:pPr>
            <w:r>
              <w:rPr>
                <w:i/>
                <w:sz w:val="18"/>
              </w:rPr>
              <w:t xml:space="preserve">Q4 </w:t>
            </w:r>
          </w:p>
        </w:tc>
      </w:tr>
      <w:tr w:rsidR="00E8309B">
        <w:trPr>
          <w:trHeight w:val="473"/>
        </w:trPr>
        <w:tc>
          <w:tcPr>
            <w:tcW w:w="427" w:type="dxa"/>
            <w:tcBorders>
              <w:top w:val="single" w:sz="8" w:space="0" w:color="000000"/>
              <w:left w:val="single" w:sz="8" w:space="0" w:color="000000"/>
              <w:bottom w:val="single" w:sz="4" w:space="0" w:color="000000"/>
              <w:right w:val="single" w:sz="8" w:space="0" w:color="000000"/>
            </w:tcBorders>
          </w:tcPr>
          <w:p w:rsidR="00E8309B" w:rsidRDefault="009D0949">
            <w:pPr>
              <w:spacing w:after="0" w:line="259" w:lineRule="auto"/>
              <w:ind w:left="0" w:right="51" w:firstLine="0"/>
              <w:jc w:val="right"/>
            </w:pPr>
            <w:r>
              <w:rPr>
                <w:sz w:val="20"/>
              </w:rPr>
              <w:t xml:space="preserve">1 </w:t>
            </w:r>
          </w:p>
        </w:tc>
        <w:tc>
          <w:tcPr>
            <w:tcW w:w="4123" w:type="dxa"/>
            <w:tcBorders>
              <w:top w:val="single" w:sz="8" w:space="0" w:color="000000"/>
              <w:left w:val="single" w:sz="8" w:space="0" w:color="000000"/>
              <w:bottom w:val="single" w:sz="4" w:space="0" w:color="000000"/>
              <w:right w:val="single" w:sz="8" w:space="0" w:color="000000"/>
            </w:tcBorders>
          </w:tcPr>
          <w:p w:rsidR="00E8309B" w:rsidRDefault="009D0949">
            <w:pPr>
              <w:spacing w:after="0" w:line="259" w:lineRule="auto"/>
              <w:ind w:left="0" w:right="0" w:firstLine="0"/>
              <w:jc w:val="left"/>
            </w:pPr>
            <w:r>
              <w:rPr>
                <w:sz w:val="20"/>
              </w:rPr>
              <w:t xml:space="preserve">Припрема техничке документације за ДВ Б. Башта - Вишеград - Пљевља </w:t>
            </w:r>
          </w:p>
        </w:tc>
        <w:tc>
          <w:tcPr>
            <w:tcW w:w="419" w:type="dxa"/>
            <w:tcBorders>
              <w:top w:val="single" w:sz="8" w:space="0" w:color="000000"/>
              <w:left w:val="single" w:sz="8"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1" w:right="0" w:firstLine="0"/>
              <w:jc w:val="center"/>
            </w:pPr>
            <w:r>
              <w:rPr>
                <w:sz w:val="20"/>
              </w:rPr>
              <w:t xml:space="preserve"> </w:t>
            </w:r>
          </w:p>
        </w:tc>
        <w:tc>
          <w:tcPr>
            <w:tcW w:w="421" w:type="dxa"/>
            <w:tcBorders>
              <w:top w:val="single" w:sz="8" w:space="0" w:color="000000"/>
              <w:left w:val="single" w:sz="4"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1" w:right="0" w:firstLine="0"/>
              <w:jc w:val="center"/>
            </w:pPr>
            <w:r>
              <w:rPr>
                <w:sz w:val="20"/>
              </w:rPr>
              <w:t xml:space="preserve"> </w:t>
            </w:r>
          </w:p>
        </w:tc>
        <w:tc>
          <w:tcPr>
            <w:tcW w:w="422" w:type="dxa"/>
            <w:tcBorders>
              <w:top w:val="single" w:sz="8" w:space="0" w:color="000000"/>
              <w:left w:val="single" w:sz="4"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2" w:right="0" w:firstLine="0"/>
              <w:jc w:val="center"/>
            </w:pPr>
            <w:r>
              <w:rPr>
                <w:sz w:val="20"/>
              </w:rPr>
              <w:t xml:space="preserve"> </w:t>
            </w:r>
          </w:p>
        </w:tc>
        <w:tc>
          <w:tcPr>
            <w:tcW w:w="421" w:type="dxa"/>
            <w:tcBorders>
              <w:top w:val="single" w:sz="8" w:space="0" w:color="000000"/>
              <w:left w:val="single" w:sz="4" w:space="0" w:color="000000"/>
              <w:bottom w:val="single" w:sz="4" w:space="0" w:color="000000"/>
              <w:right w:val="single" w:sz="8" w:space="0" w:color="000000"/>
            </w:tcBorders>
            <w:shd w:val="clear" w:color="auto" w:fill="BFBFBF"/>
            <w:vAlign w:val="center"/>
          </w:tcPr>
          <w:p w:rsidR="00E8309B" w:rsidRDefault="009D0949">
            <w:pPr>
              <w:spacing w:after="0" w:line="259" w:lineRule="auto"/>
              <w:ind w:left="4" w:right="0" w:firstLine="0"/>
              <w:jc w:val="center"/>
            </w:pPr>
            <w:r>
              <w:rPr>
                <w:sz w:val="20"/>
              </w:rPr>
              <w:t xml:space="preserve"> </w:t>
            </w:r>
          </w:p>
        </w:tc>
        <w:tc>
          <w:tcPr>
            <w:tcW w:w="424" w:type="dxa"/>
            <w:tcBorders>
              <w:top w:val="single" w:sz="8" w:space="0" w:color="000000"/>
              <w:left w:val="single" w:sz="8" w:space="0" w:color="000000"/>
              <w:bottom w:val="single" w:sz="4" w:space="0" w:color="000000"/>
              <w:right w:val="single" w:sz="4" w:space="0" w:color="000000"/>
            </w:tcBorders>
            <w:vAlign w:val="center"/>
          </w:tcPr>
          <w:p w:rsidR="00E8309B" w:rsidRDefault="009D0949">
            <w:pPr>
              <w:spacing w:after="0" w:line="259" w:lineRule="auto"/>
              <w:ind w:left="4" w:right="0" w:firstLine="0"/>
              <w:jc w:val="center"/>
            </w:pPr>
            <w:r>
              <w:rPr>
                <w:sz w:val="20"/>
              </w:rPr>
              <w:t xml:space="preserve"> </w:t>
            </w:r>
          </w:p>
        </w:tc>
        <w:tc>
          <w:tcPr>
            <w:tcW w:w="421" w:type="dxa"/>
            <w:tcBorders>
              <w:top w:val="single" w:sz="8"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4" w:right="0" w:firstLine="0"/>
              <w:jc w:val="center"/>
            </w:pPr>
            <w:r>
              <w:rPr>
                <w:sz w:val="20"/>
              </w:rPr>
              <w:t xml:space="preserve"> </w:t>
            </w:r>
          </w:p>
        </w:tc>
        <w:tc>
          <w:tcPr>
            <w:tcW w:w="423" w:type="dxa"/>
            <w:tcBorders>
              <w:top w:val="single" w:sz="8"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5" w:right="0" w:firstLine="0"/>
              <w:jc w:val="center"/>
            </w:pPr>
            <w:r>
              <w:rPr>
                <w:sz w:val="20"/>
              </w:rPr>
              <w:t xml:space="preserve"> </w:t>
            </w:r>
          </w:p>
        </w:tc>
        <w:tc>
          <w:tcPr>
            <w:tcW w:w="420" w:type="dxa"/>
            <w:tcBorders>
              <w:top w:val="single" w:sz="8" w:space="0" w:color="000000"/>
              <w:left w:val="single" w:sz="4" w:space="0" w:color="000000"/>
              <w:bottom w:val="single" w:sz="4" w:space="0" w:color="000000"/>
              <w:right w:val="single" w:sz="8" w:space="0" w:color="000000"/>
            </w:tcBorders>
            <w:vAlign w:val="center"/>
          </w:tcPr>
          <w:p w:rsidR="00E8309B" w:rsidRDefault="009D0949">
            <w:pPr>
              <w:spacing w:after="0" w:line="259" w:lineRule="auto"/>
              <w:ind w:left="2" w:right="0" w:firstLine="0"/>
              <w:jc w:val="center"/>
            </w:pPr>
            <w:r>
              <w:rPr>
                <w:sz w:val="20"/>
              </w:rPr>
              <w:t xml:space="preserve"> </w:t>
            </w:r>
          </w:p>
        </w:tc>
        <w:tc>
          <w:tcPr>
            <w:tcW w:w="424" w:type="dxa"/>
            <w:tcBorders>
              <w:top w:val="single" w:sz="8" w:space="0" w:color="000000"/>
              <w:left w:val="single" w:sz="8" w:space="0" w:color="000000"/>
              <w:bottom w:val="single" w:sz="4" w:space="0" w:color="000000"/>
              <w:right w:val="single" w:sz="4" w:space="0" w:color="000000"/>
            </w:tcBorders>
            <w:vAlign w:val="center"/>
          </w:tcPr>
          <w:p w:rsidR="00E8309B" w:rsidRDefault="009D0949">
            <w:pPr>
              <w:spacing w:after="0" w:line="259" w:lineRule="auto"/>
              <w:ind w:left="4" w:right="0" w:firstLine="0"/>
              <w:jc w:val="center"/>
            </w:pPr>
            <w:r>
              <w:rPr>
                <w:sz w:val="20"/>
              </w:rPr>
              <w:t xml:space="preserve"> </w:t>
            </w:r>
          </w:p>
        </w:tc>
        <w:tc>
          <w:tcPr>
            <w:tcW w:w="422" w:type="dxa"/>
            <w:tcBorders>
              <w:top w:val="single" w:sz="8"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2" w:right="0" w:firstLine="0"/>
              <w:jc w:val="center"/>
            </w:pPr>
            <w:r>
              <w:rPr>
                <w:sz w:val="20"/>
              </w:rPr>
              <w:t xml:space="preserve"> </w:t>
            </w:r>
          </w:p>
        </w:tc>
        <w:tc>
          <w:tcPr>
            <w:tcW w:w="422" w:type="dxa"/>
            <w:tcBorders>
              <w:top w:val="single" w:sz="8"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2" w:right="0" w:firstLine="0"/>
              <w:jc w:val="center"/>
            </w:pPr>
            <w:r>
              <w:rPr>
                <w:sz w:val="20"/>
              </w:rPr>
              <w:t xml:space="preserve"> </w:t>
            </w:r>
          </w:p>
        </w:tc>
        <w:tc>
          <w:tcPr>
            <w:tcW w:w="421" w:type="dxa"/>
            <w:tcBorders>
              <w:top w:val="single" w:sz="8" w:space="0" w:color="000000"/>
              <w:left w:val="single" w:sz="4" w:space="0" w:color="000000"/>
              <w:bottom w:val="single" w:sz="4" w:space="0" w:color="000000"/>
              <w:right w:val="single" w:sz="8" w:space="0" w:color="000000"/>
            </w:tcBorders>
            <w:vAlign w:val="center"/>
          </w:tcPr>
          <w:p w:rsidR="00E8309B" w:rsidRDefault="009D0949">
            <w:pPr>
              <w:spacing w:after="0" w:line="259" w:lineRule="auto"/>
              <w:ind w:left="4" w:right="0" w:firstLine="0"/>
              <w:jc w:val="center"/>
            </w:pPr>
            <w:r>
              <w:rPr>
                <w:sz w:val="20"/>
              </w:rPr>
              <w:t xml:space="preserve"> </w:t>
            </w:r>
          </w:p>
        </w:tc>
      </w:tr>
      <w:tr w:rsidR="00E8309B">
        <w:trPr>
          <w:trHeight w:val="470"/>
        </w:trPr>
        <w:tc>
          <w:tcPr>
            <w:tcW w:w="427" w:type="dxa"/>
            <w:tcBorders>
              <w:top w:val="single" w:sz="4" w:space="0" w:color="000000"/>
              <w:left w:val="single" w:sz="8" w:space="0" w:color="000000"/>
              <w:bottom w:val="single" w:sz="4" w:space="0" w:color="000000"/>
              <w:right w:val="single" w:sz="8" w:space="0" w:color="000000"/>
            </w:tcBorders>
          </w:tcPr>
          <w:p w:rsidR="00E8309B" w:rsidRDefault="009D0949">
            <w:pPr>
              <w:spacing w:after="0" w:line="259" w:lineRule="auto"/>
              <w:ind w:left="0" w:right="51" w:firstLine="0"/>
              <w:jc w:val="right"/>
            </w:pPr>
            <w:r>
              <w:rPr>
                <w:sz w:val="20"/>
              </w:rPr>
              <w:t xml:space="preserve">2 </w:t>
            </w:r>
          </w:p>
        </w:tc>
        <w:tc>
          <w:tcPr>
            <w:tcW w:w="4123" w:type="dxa"/>
            <w:tcBorders>
              <w:top w:val="single" w:sz="4" w:space="0" w:color="000000"/>
              <w:left w:val="single" w:sz="8" w:space="0" w:color="000000"/>
              <w:bottom w:val="single" w:sz="4" w:space="0" w:color="000000"/>
              <w:right w:val="single" w:sz="8" w:space="0" w:color="000000"/>
            </w:tcBorders>
          </w:tcPr>
          <w:p w:rsidR="00E8309B" w:rsidRDefault="009D0949">
            <w:pPr>
              <w:spacing w:after="0" w:line="259" w:lineRule="auto"/>
              <w:ind w:left="0" w:right="0" w:firstLine="0"/>
              <w:jc w:val="left"/>
            </w:pPr>
            <w:r>
              <w:rPr>
                <w:sz w:val="20"/>
              </w:rPr>
              <w:t xml:space="preserve">Припрема техничке документације за ДВ Обреновац – Б. Башта </w:t>
            </w:r>
          </w:p>
        </w:tc>
        <w:tc>
          <w:tcPr>
            <w:tcW w:w="419" w:type="dxa"/>
            <w:tcBorders>
              <w:top w:val="single" w:sz="4" w:space="0" w:color="000000"/>
              <w:left w:val="single" w:sz="8"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1" w:right="0" w:firstLine="0"/>
              <w:jc w:val="center"/>
            </w:pPr>
            <w:r>
              <w:rPr>
                <w:sz w:val="20"/>
              </w:rPr>
              <w:t xml:space="preserve"> </w:t>
            </w:r>
          </w:p>
        </w:tc>
        <w:tc>
          <w:tcPr>
            <w:tcW w:w="421"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1" w:right="0" w:firstLine="0"/>
              <w:jc w:val="center"/>
            </w:pPr>
            <w:r>
              <w:rPr>
                <w:sz w:val="20"/>
              </w:rPr>
              <w:t xml:space="preserve"> </w:t>
            </w:r>
          </w:p>
        </w:tc>
        <w:tc>
          <w:tcPr>
            <w:tcW w:w="422"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2" w:right="0" w:firstLine="0"/>
              <w:jc w:val="center"/>
            </w:pPr>
            <w:r>
              <w:rPr>
                <w:sz w:val="20"/>
              </w:rPr>
              <w:t xml:space="preserve"> </w:t>
            </w:r>
          </w:p>
        </w:tc>
        <w:tc>
          <w:tcPr>
            <w:tcW w:w="421" w:type="dxa"/>
            <w:tcBorders>
              <w:top w:val="single" w:sz="4" w:space="0" w:color="000000"/>
              <w:left w:val="single" w:sz="4" w:space="0" w:color="000000"/>
              <w:bottom w:val="single" w:sz="4" w:space="0" w:color="000000"/>
              <w:right w:val="single" w:sz="8" w:space="0" w:color="000000"/>
            </w:tcBorders>
            <w:shd w:val="clear" w:color="auto" w:fill="BFBFBF"/>
            <w:vAlign w:val="center"/>
          </w:tcPr>
          <w:p w:rsidR="00E8309B" w:rsidRDefault="009D0949">
            <w:pPr>
              <w:spacing w:after="0" w:line="259" w:lineRule="auto"/>
              <w:ind w:left="4" w:right="0" w:firstLine="0"/>
              <w:jc w:val="center"/>
            </w:pPr>
            <w:r>
              <w:rPr>
                <w:sz w:val="20"/>
              </w:rPr>
              <w:t xml:space="preserve"> </w:t>
            </w:r>
          </w:p>
        </w:tc>
        <w:tc>
          <w:tcPr>
            <w:tcW w:w="424" w:type="dxa"/>
            <w:tcBorders>
              <w:top w:val="single" w:sz="4" w:space="0" w:color="000000"/>
              <w:left w:val="single" w:sz="8" w:space="0" w:color="000000"/>
              <w:bottom w:val="single" w:sz="4" w:space="0" w:color="000000"/>
              <w:right w:val="single" w:sz="4" w:space="0" w:color="000000"/>
            </w:tcBorders>
            <w:vAlign w:val="center"/>
          </w:tcPr>
          <w:p w:rsidR="00E8309B" w:rsidRDefault="009D0949">
            <w:pPr>
              <w:spacing w:after="0" w:line="259" w:lineRule="auto"/>
              <w:ind w:left="4" w:right="0" w:firstLine="0"/>
              <w:jc w:val="center"/>
            </w:pPr>
            <w:r>
              <w:rPr>
                <w:sz w:val="20"/>
              </w:rPr>
              <w:t xml:space="preserve"> </w:t>
            </w:r>
          </w:p>
        </w:tc>
        <w:tc>
          <w:tcPr>
            <w:tcW w:w="421"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4" w:right="0" w:firstLine="0"/>
              <w:jc w:val="center"/>
            </w:pPr>
            <w:r>
              <w:rPr>
                <w:sz w:val="20"/>
              </w:rPr>
              <w:t xml:space="preserve"> </w:t>
            </w:r>
          </w:p>
        </w:tc>
        <w:tc>
          <w:tcPr>
            <w:tcW w:w="423"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5" w:right="0" w:firstLine="0"/>
              <w:jc w:val="center"/>
            </w:pPr>
            <w:r>
              <w:rPr>
                <w:sz w:val="20"/>
              </w:rPr>
              <w:t xml:space="preserve"> </w:t>
            </w:r>
          </w:p>
        </w:tc>
        <w:tc>
          <w:tcPr>
            <w:tcW w:w="420" w:type="dxa"/>
            <w:tcBorders>
              <w:top w:val="single" w:sz="4" w:space="0" w:color="000000"/>
              <w:left w:val="single" w:sz="4" w:space="0" w:color="000000"/>
              <w:bottom w:val="single" w:sz="4" w:space="0" w:color="000000"/>
              <w:right w:val="single" w:sz="8" w:space="0" w:color="000000"/>
            </w:tcBorders>
            <w:vAlign w:val="center"/>
          </w:tcPr>
          <w:p w:rsidR="00E8309B" w:rsidRDefault="009D0949">
            <w:pPr>
              <w:spacing w:after="0" w:line="259" w:lineRule="auto"/>
              <w:ind w:left="2" w:right="0" w:firstLine="0"/>
              <w:jc w:val="center"/>
            </w:pPr>
            <w:r>
              <w:rPr>
                <w:sz w:val="20"/>
              </w:rPr>
              <w:t xml:space="preserve"> </w:t>
            </w:r>
          </w:p>
        </w:tc>
        <w:tc>
          <w:tcPr>
            <w:tcW w:w="424" w:type="dxa"/>
            <w:tcBorders>
              <w:top w:val="single" w:sz="4" w:space="0" w:color="000000"/>
              <w:left w:val="single" w:sz="8" w:space="0" w:color="000000"/>
              <w:bottom w:val="single" w:sz="4" w:space="0" w:color="000000"/>
              <w:right w:val="single" w:sz="4" w:space="0" w:color="000000"/>
            </w:tcBorders>
            <w:vAlign w:val="center"/>
          </w:tcPr>
          <w:p w:rsidR="00E8309B" w:rsidRDefault="009D0949">
            <w:pPr>
              <w:spacing w:after="0" w:line="259" w:lineRule="auto"/>
              <w:ind w:left="4" w:right="0" w:firstLine="0"/>
              <w:jc w:val="center"/>
            </w:pPr>
            <w:r>
              <w:rPr>
                <w:sz w:val="20"/>
              </w:rPr>
              <w:t xml:space="preserve"> </w:t>
            </w:r>
          </w:p>
        </w:tc>
        <w:tc>
          <w:tcPr>
            <w:tcW w:w="422"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2" w:right="0" w:firstLine="0"/>
              <w:jc w:val="center"/>
            </w:pPr>
            <w:r>
              <w:rPr>
                <w:sz w:val="20"/>
              </w:rPr>
              <w:t xml:space="preserve"> </w:t>
            </w:r>
          </w:p>
        </w:tc>
        <w:tc>
          <w:tcPr>
            <w:tcW w:w="422"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2" w:right="0" w:firstLine="0"/>
              <w:jc w:val="center"/>
            </w:pPr>
            <w:r>
              <w:rPr>
                <w:sz w:val="20"/>
              </w:rPr>
              <w:t xml:space="preserve"> </w:t>
            </w:r>
          </w:p>
        </w:tc>
        <w:tc>
          <w:tcPr>
            <w:tcW w:w="421" w:type="dxa"/>
            <w:tcBorders>
              <w:top w:val="single" w:sz="4" w:space="0" w:color="000000"/>
              <w:left w:val="single" w:sz="4" w:space="0" w:color="000000"/>
              <w:bottom w:val="single" w:sz="4" w:space="0" w:color="000000"/>
              <w:right w:val="single" w:sz="8" w:space="0" w:color="000000"/>
            </w:tcBorders>
            <w:vAlign w:val="center"/>
          </w:tcPr>
          <w:p w:rsidR="00E8309B" w:rsidRDefault="009D0949">
            <w:pPr>
              <w:spacing w:after="0" w:line="259" w:lineRule="auto"/>
              <w:ind w:left="4" w:right="0" w:firstLine="0"/>
              <w:jc w:val="center"/>
            </w:pPr>
            <w:r>
              <w:rPr>
                <w:sz w:val="20"/>
              </w:rPr>
              <w:t xml:space="preserve"> </w:t>
            </w:r>
          </w:p>
        </w:tc>
      </w:tr>
      <w:tr w:rsidR="00E8309B">
        <w:trPr>
          <w:trHeight w:val="929"/>
        </w:trPr>
        <w:tc>
          <w:tcPr>
            <w:tcW w:w="427" w:type="dxa"/>
            <w:tcBorders>
              <w:top w:val="single" w:sz="4" w:space="0" w:color="000000"/>
              <w:left w:val="single" w:sz="8" w:space="0" w:color="000000"/>
              <w:bottom w:val="single" w:sz="4" w:space="0" w:color="000000"/>
              <w:right w:val="single" w:sz="8" w:space="0" w:color="000000"/>
            </w:tcBorders>
          </w:tcPr>
          <w:p w:rsidR="00E8309B" w:rsidRDefault="009D0949">
            <w:pPr>
              <w:spacing w:after="0" w:line="259" w:lineRule="auto"/>
              <w:ind w:left="0" w:right="51" w:firstLine="0"/>
              <w:jc w:val="right"/>
            </w:pPr>
            <w:r>
              <w:rPr>
                <w:sz w:val="20"/>
              </w:rPr>
              <w:lastRenderedPageBreak/>
              <w:t xml:space="preserve">3 </w:t>
            </w:r>
          </w:p>
        </w:tc>
        <w:tc>
          <w:tcPr>
            <w:tcW w:w="4123" w:type="dxa"/>
            <w:tcBorders>
              <w:top w:val="single" w:sz="4" w:space="0" w:color="000000"/>
              <w:left w:val="single" w:sz="8" w:space="0" w:color="000000"/>
              <w:bottom w:val="single" w:sz="4" w:space="0" w:color="000000"/>
              <w:right w:val="single" w:sz="8" w:space="0" w:color="000000"/>
            </w:tcBorders>
          </w:tcPr>
          <w:p w:rsidR="00E8309B" w:rsidRDefault="009D0949">
            <w:pPr>
              <w:spacing w:after="0" w:line="259" w:lineRule="auto"/>
              <w:ind w:left="0" w:right="0" w:firstLine="0"/>
              <w:jc w:val="left"/>
            </w:pPr>
            <w:r>
              <w:rPr>
                <w:sz w:val="20"/>
              </w:rPr>
              <w:t xml:space="preserve">Реконструкција и доградња ТС Краљево 3 и реконструкција ТС Крагујевац 2, неопходна за увођење новог далековода Крагујевац - Краљево* </w:t>
            </w:r>
          </w:p>
        </w:tc>
        <w:tc>
          <w:tcPr>
            <w:tcW w:w="419" w:type="dxa"/>
            <w:tcBorders>
              <w:top w:val="single" w:sz="4" w:space="0" w:color="000000"/>
              <w:left w:val="single" w:sz="8"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1" w:right="0" w:firstLine="0"/>
              <w:jc w:val="center"/>
            </w:pPr>
            <w:r>
              <w:rPr>
                <w:sz w:val="20"/>
              </w:rPr>
              <w:t xml:space="preserve"> </w:t>
            </w:r>
          </w:p>
        </w:tc>
        <w:tc>
          <w:tcPr>
            <w:tcW w:w="421"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1" w:right="0" w:firstLine="0"/>
              <w:jc w:val="center"/>
            </w:pPr>
            <w:r>
              <w:rPr>
                <w:sz w:val="20"/>
              </w:rPr>
              <w:t xml:space="preserve"> </w:t>
            </w:r>
          </w:p>
        </w:tc>
        <w:tc>
          <w:tcPr>
            <w:tcW w:w="422"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2" w:right="0" w:firstLine="0"/>
              <w:jc w:val="center"/>
            </w:pPr>
            <w:r>
              <w:rPr>
                <w:sz w:val="20"/>
              </w:rPr>
              <w:t xml:space="preserve"> </w:t>
            </w:r>
          </w:p>
        </w:tc>
        <w:tc>
          <w:tcPr>
            <w:tcW w:w="421" w:type="dxa"/>
            <w:tcBorders>
              <w:top w:val="single" w:sz="4" w:space="0" w:color="000000"/>
              <w:left w:val="single" w:sz="4" w:space="0" w:color="000000"/>
              <w:bottom w:val="single" w:sz="4" w:space="0" w:color="000000"/>
              <w:right w:val="single" w:sz="8" w:space="0" w:color="000000"/>
            </w:tcBorders>
            <w:shd w:val="clear" w:color="auto" w:fill="BFBFBF"/>
            <w:vAlign w:val="center"/>
          </w:tcPr>
          <w:p w:rsidR="00E8309B" w:rsidRDefault="009D0949">
            <w:pPr>
              <w:spacing w:after="0" w:line="259" w:lineRule="auto"/>
              <w:ind w:left="4" w:right="0" w:firstLine="0"/>
              <w:jc w:val="center"/>
            </w:pPr>
            <w:r>
              <w:rPr>
                <w:sz w:val="20"/>
              </w:rPr>
              <w:t xml:space="preserve"> </w:t>
            </w:r>
          </w:p>
        </w:tc>
        <w:tc>
          <w:tcPr>
            <w:tcW w:w="424" w:type="dxa"/>
            <w:tcBorders>
              <w:top w:val="single" w:sz="4" w:space="0" w:color="000000"/>
              <w:left w:val="single" w:sz="8"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4" w:right="0" w:firstLine="0"/>
              <w:jc w:val="center"/>
            </w:pPr>
            <w:r>
              <w:rPr>
                <w:sz w:val="20"/>
              </w:rPr>
              <w:t xml:space="preserve"> </w:t>
            </w:r>
          </w:p>
        </w:tc>
        <w:tc>
          <w:tcPr>
            <w:tcW w:w="421"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4" w:right="0" w:firstLine="0"/>
              <w:jc w:val="center"/>
            </w:pPr>
            <w:r>
              <w:rPr>
                <w:sz w:val="20"/>
              </w:rPr>
              <w:t xml:space="preserve"> </w:t>
            </w:r>
          </w:p>
        </w:tc>
        <w:tc>
          <w:tcPr>
            <w:tcW w:w="423"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5" w:right="0" w:firstLine="0"/>
              <w:jc w:val="center"/>
            </w:pPr>
            <w:r>
              <w:rPr>
                <w:sz w:val="20"/>
              </w:rPr>
              <w:t xml:space="preserve"> </w:t>
            </w:r>
          </w:p>
        </w:tc>
        <w:tc>
          <w:tcPr>
            <w:tcW w:w="420" w:type="dxa"/>
            <w:tcBorders>
              <w:top w:val="single" w:sz="4" w:space="0" w:color="000000"/>
              <w:left w:val="single" w:sz="4" w:space="0" w:color="000000"/>
              <w:bottom w:val="single" w:sz="4" w:space="0" w:color="000000"/>
              <w:right w:val="single" w:sz="8" w:space="0" w:color="000000"/>
            </w:tcBorders>
            <w:shd w:val="clear" w:color="auto" w:fill="BFBFBF"/>
            <w:vAlign w:val="center"/>
          </w:tcPr>
          <w:p w:rsidR="00E8309B" w:rsidRDefault="009D0949">
            <w:pPr>
              <w:spacing w:after="0" w:line="259" w:lineRule="auto"/>
              <w:ind w:left="2" w:right="0" w:firstLine="0"/>
              <w:jc w:val="center"/>
            </w:pPr>
            <w:r>
              <w:rPr>
                <w:sz w:val="20"/>
              </w:rPr>
              <w:t xml:space="preserve"> </w:t>
            </w:r>
          </w:p>
        </w:tc>
        <w:tc>
          <w:tcPr>
            <w:tcW w:w="424" w:type="dxa"/>
            <w:tcBorders>
              <w:top w:val="single" w:sz="4" w:space="0" w:color="000000"/>
              <w:left w:val="single" w:sz="8" w:space="0" w:color="000000"/>
              <w:bottom w:val="single" w:sz="4" w:space="0" w:color="000000"/>
              <w:right w:val="single" w:sz="4" w:space="0" w:color="000000"/>
            </w:tcBorders>
            <w:vAlign w:val="center"/>
          </w:tcPr>
          <w:p w:rsidR="00E8309B" w:rsidRDefault="009D0949">
            <w:pPr>
              <w:spacing w:after="0" w:line="259" w:lineRule="auto"/>
              <w:ind w:left="4" w:right="0" w:firstLine="0"/>
              <w:jc w:val="center"/>
            </w:pPr>
            <w:r>
              <w:rPr>
                <w:sz w:val="20"/>
              </w:rPr>
              <w:t xml:space="preserve"> </w:t>
            </w:r>
          </w:p>
        </w:tc>
        <w:tc>
          <w:tcPr>
            <w:tcW w:w="422"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2" w:right="0" w:firstLine="0"/>
              <w:jc w:val="center"/>
            </w:pPr>
            <w:r>
              <w:rPr>
                <w:sz w:val="20"/>
              </w:rPr>
              <w:t xml:space="preserve"> </w:t>
            </w:r>
          </w:p>
        </w:tc>
        <w:tc>
          <w:tcPr>
            <w:tcW w:w="422"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2" w:right="0" w:firstLine="0"/>
              <w:jc w:val="center"/>
            </w:pPr>
            <w:r>
              <w:rPr>
                <w:sz w:val="20"/>
              </w:rPr>
              <w:t xml:space="preserve"> </w:t>
            </w:r>
          </w:p>
        </w:tc>
        <w:tc>
          <w:tcPr>
            <w:tcW w:w="421" w:type="dxa"/>
            <w:tcBorders>
              <w:top w:val="single" w:sz="4" w:space="0" w:color="000000"/>
              <w:left w:val="single" w:sz="4" w:space="0" w:color="000000"/>
              <w:bottom w:val="single" w:sz="4" w:space="0" w:color="000000"/>
              <w:right w:val="single" w:sz="8" w:space="0" w:color="000000"/>
            </w:tcBorders>
            <w:vAlign w:val="center"/>
          </w:tcPr>
          <w:p w:rsidR="00E8309B" w:rsidRDefault="009D0949">
            <w:pPr>
              <w:spacing w:after="0" w:line="259" w:lineRule="auto"/>
              <w:ind w:left="4" w:right="0" w:firstLine="0"/>
              <w:jc w:val="center"/>
            </w:pPr>
            <w:r>
              <w:rPr>
                <w:sz w:val="20"/>
              </w:rPr>
              <w:t xml:space="preserve"> </w:t>
            </w:r>
          </w:p>
        </w:tc>
      </w:tr>
      <w:tr w:rsidR="00E8309B">
        <w:trPr>
          <w:trHeight w:val="311"/>
        </w:trPr>
        <w:tc>
          <w:tcPr>
            <w:tcW w:w="427" w:type="dxa"/>
            <w:tcBorders>
              <w:top w:val="single" w:sz="4" w:space="0" w:color="000000"/>
              <w:left w:val="single" w:sz="8" w:space="0" w:color="000000"/>
              <w:bottom w:val="single" w:sz="4" w:space="0" w:color="000000"/>
              <w:right w:val="single" w:sz="8" w:space="0" w:color="000000"/>
            </w:tcBorders>
          </w:tcPr>
          <w:p w:rsidR="00E8309B" w:rsidRDefault="009D0949">
            <w:pPr>
              <w:spacing w:after="0" w:line="259" w:lineRule="auto"/>
              <w:ind w:left="0" w:right="51" w:firstLine="0"/>
              <w:jc w:val="right"/>
            </w:pPr>
            <w:r>
              <w:rPr>
                <w:sz w:val="20"/>
              </w:rPr>
              <w:t xml:space="preserve">4 </w:t>
            </w:r>
          </w:p>
        </w:tc>
        <w:tc>
          <w:tcPr>
            <w:tcW w:w="4123" w:type="dxa"/>
            <w:tcBorders>
              <w:top w:val="single" w:sz="4" w:space="0" w:color="000000"/>
              <w:left w:val="single" w:sz="8" w:space="0" w:color="000000"/>
              <w:bottom w:val="single" w:sz="4" w:space="0" w:color="000000"/>
              <w:right w:val="single" w:sz="8" w:space="0" w:color="000000"/>
            </w:tcBorders>
          </w:tcPr>
          <w:p w:rsidR="00E8309B" w:rsidRDefault="009D0949">
            <w:pPr>
              <w:spacing w:after="0" w:line="259" w:lineRule="auto"/>
              <w:ind w:left="0" w:right="0" w:firstLine="0"/>
              <w:jc w:val="left"/>
            </w:pPr>
            <w:r>
              <w:rPr>
                <w:sz w:val="20"/>
              </w:rPr>
              <w:t xml:space="preserve">Изградња далековода Крагујевац - Краљево* </w:t>
            </w:r>
          </w:p>
        </w:tc>
        <w:tc>
          <w:tcPr>
            <w:tcW w:w="419" w:type="dxa"/>
            <w:tcBorders>
              <w:top w:val="single" w:sz="4" w:space="0" w:color="000000"/>
              <w:left w:val="single" w:sz="8" w:space="0" w:color="000000"/>
              <w:bottom w:val="single" w:sz="4" w:space="0" w:color="000000"/>
              <w:right w:val="single" w:sz="4" w:space="0" w:color="000000"/>
            </w:tcBorders>
            <w:shd w:val="clear" w:color="auto" w:fill="BFBFBF"/>
          </w:tcPr>
          <w:p w:rsidR="00E8309B" w:rsidRDefault="009D0949">
            <w:pPr>
              <w:spacing w:after="0" w:line="259" w:lineRule="auto"/>
              <w:ind w:left="1" w:right="0" w:firstLine="0"/>
              <w:jc w:val="center"/>
            </w:pPr>
            <w:r>
              <w:rPr>
                <w:sz w:val="20"/>
              </w:rPr>
              <w:t xml:space="preserve"> </w:t>
            </w:r>
          </w:p>
        </w:tc>
        <w:tc>
          <w:tcPr>
            <w:tcW w:w="421" w:type="dxa"/>
            <w:tcBorders>
              <w:top w:val="single" w:sz="4" w:space="0" w:color="000000"/>
              <w:left w:val="single" w:sz="4" w:space="0" w:color="000000"/>
              <w:bottom w:val="single" w:sz="4" w:space="0" w:color="000000"/>
              <w:right w:val="single" w:sz="4" w:space="0" w:color="000000"/>
            </w:tcBorders>
            <w:shd w:val="clear" w:color="auto" w:fill="BFBFBF"/>
          </w:tcPr>
          <w:p w:rsidR="00E8309B" w:rsidRDefault="009D0949">
            <w:pPr>
              <w:spacing w:after="0" w:line="259" w:lineRule="auto"/>
              <w:ind w:left="1" w:right="0" w:firstLine="0"/>
              <w:jc w:val="center"/>
            </w:pPr>
            <w:r>
              <w:rPr>
                <w:sz w:val="20"/>
              </w:rPr>
              <w:t xml:space="preserve"> </w:t>
            </w:r>
          </w:p>
        </w:tc>
        <w:tc>
          <w:tcPr>
            <w:tcW w:w="422" w:type="dxa"/>
            <w:tcBorders>
              <w:top w:val="single" w:sz="4" w:space="0" w:color="000000"/>
              <w:left w:val="single" w:sz="4" w:space="0" w:color="000000"/>
              <w:bottom w:val="single" w:sz="4" w:space="0" w:color="000000"/>
              <w:right w:val="single" w:sz="4" w:space="0" w:color="000000"/>
            </w:tcBorders>
            <w:shd w:val="clear" w:color="auto" w:fill="BFBFBF"/>
          </w:tcPr>
          <w:p w:rsidR="00E8309B" w:rsidRDefault="009D0949">
            <w:pPr>
              <w:spacing w:after="0" w:line="259" w:lineRule="auto"/>
              <w:ind w:left="2" w:right="0" w:firstLine="0"/>
              <w:jc w:val="center"/>
            </w:pPr>
            <w:r>
              <w:rPr>
                <w:sz w:val="20"/>
              </w:rPr>
              <w:t xml:space="preserve"> </w:t>
            </w:r>
          </w:p>
        </w:tc>
        <w:tc>
          <w:tcPr>
            <w:tcW w:w="421" w:type="dxa"/>
            <w:tcBorders>
              <w:top w:val="single" w:sz="4" w:space="0" w:color="000000"/>
              <w:left w:val="single" w:sz="4" w:space="0" w:color="000000"/>
              <w:bottom w:val="single" w:sz="4" w:space="0" w:color="000000"/>
              <w:right w:val="single" w:sz="8" w:space="0" w:color="000000"/>
            </w:tcBorders>
            <w:shd w:val="clear" w:color="auto" w:fill="BFBFBF"/>
          </w:tcPr>
          <w:p w:rsidR="00E8309B" w:rsidRDefault="009D0949">
            <w:pPr>
              <w:spacing w:after="0" w:line="259" w:lineRule="auto"/>
              <w:ind w:left="4" w:right="0" w:firstLine="0"/>
              <w:jc w:val="center"/>
            </w:pPr>
            <w:r>
              <w:rPr>
                <w:sz w:val="20"/>
              </w:rPr>
              <w:t xml:space="preserve"> </w:t>
            </w:r>
          </w:p>
        </w:tc>
        <w:tc>
          <w:tcPr>
            <w:tcW w:w="424" w:type="dxa"/>
            <w:tcBorders>
              <w:top w:val="single" w:sz="4" w:space="0" w:color="000000"/>
              <w:left w:val="single" w:sz="8" w:space="0" w:color="000000"/>
              <w:bottom w:val="single" w:sz="4" w:space="0" w:color="000000"/>
              <w:right w:val="single" w:sz="4" w:space="0" w:color="000000"/>
            </w:tcBorders>
            <w:shd w:val="clear" w:color="auto" w:fill="BFBFBF"/>
          </w:tcPr>
          <w:p w:rsidR="00E8309B" w:rsidRDefault="009D0949">
            <w:pPr>
              <w:spacing w:after="0" w:line="259" w:lineRule="auto"/>
              <w:ind w:left="4" w:right="0" w:firstLine="0"/>
              <w:jc w:val="center"/>
            </w:pPr>
            <w:r>
              <w:rPr>
                <w:sz w:val="20"/>
              </w:rPr>
              <w:t xml:space="preserve"> </w:t>
            </w:r>
          </w:p>
        </w:tc>
        <w:tc>
          <w:tcPr>
            <w:tcW w:w="421" w:type="dxa"/>
            <w:tcBorders>
              <w:top w:val="single" w:sz="4" w:space="0" w:color="000000"/>
              <w:left w:val="single" w:sz="4" w:space="0" w:color="000000"/>
              <w:bottom w:val="single" w:sz="4" w:space="0" w:color="000000"/>
              <w:right w:val="single" w:sz="4" w:space="0" w:color="000000"/>
            </w:tcBorders>
            <w:shd w:val="clear" w:color="auto" w:fill="BFBFBF"/>
          </w:tcPr>
          <w:p w:rsidR="00E8309B" w:rsidRDefault="009D0949">
            <w:pPr>
              <w:spacing w:after="0" w:line="259" w:lineRule="auto"/>
              <w:ind w:left="4" w:right="0" w:firstLine="0"/>
              <w:jc w:val="center"/>
            </w:pPr>
            <w:r>
              <w:rPr>
                <w:sz w:val="20"/>
              </w:rPr>
              <w:t xml:space="preserve"> </w:t>
            </w:r>
          </w:p>
        </w:tc>
        <w:tc>
          <w:tcPr>
            <w:tcW w:w="423" w:type="dxa"/>
            <w:tcBorders>
              <w:top w:val="single" w:sz="4" w:space="0" w:color="000000"/>
              <w:left w:val="single" w:sz="4" w:space="0" w:color="000000"/>
              <w:bottom w:val="single" w:sz="4" w:space="0" w:color="000000"/>
              <w:right w:val="single" w:sz="4" w:space="0" w:color="000000"/>
            </w:tcBorders>
            <w:shd w:val="clear" w:color="auto" w:fill="BFBFBF"/>
          </w:tcPr>
          <w:p w:rsidR="00E8309B" w:rsidRDefault="009D0949">
            <w:pPr>
              <w:spacing w:after="0" w:line="259" w:lineRule="auto"/>
              <w:ind w:left="5" w:right="0" w:firstLine="0"/>
              <w:jc w:val="center"/>
            </w:pPr>
            <w:r>
              <w:rPr>
                <w:sz w:val="20"/>
              </w:rPr>
              <w:t xml:space="preserve"> </w:t>
            </w:r>
          </w:p>
        </w:tc>
        <w:tc>
          <w:tcPr>
            <w:tcW w:w="420" w:type="dxa"/>
            <w:tcBorders>
              <w:top w:val="single" w:sz="4" w:space="0" w:color="000000"/>
              <w:left w:val="single" w:sz="4" w:space="0" w:color="000000"/>
              <w:bottom w:val="single" w:sz="4" w:space="0" w:color="000000"/>
              <w:right w:val="single" w:sz="8" w:space="0" w:color="000000"/>
            </w:tcBorders>
            <w:shd w:val="clear" w:color="auto" w:fill="BFBFBF"/>
          </w:tcPr>
          <w:p w:rsidR="00E8309B" w:rsidRDefault="009D0949">
            <w:pPr>
              <w:spacing w:after="0" w:line="259" w:lineRule="auto"/>
              <w:ind w:left="2" w:right="0" w:firstLine="0"/>
              <w:jc w:val="center"/>
            </w:pPr>
            <w:r>
              <w:rPr>
                <w:sz w:val="20"/>
              </w:rPr>
              <w:t xml:space="preserve"> </w:t>
            </w:r>
          </w:p>
        </w:tc>
        <w:tc>
          <w:tcPr>
            <w:tcW w:w="424" w:type="dxa"/>
            <w:tcBorders>
              <w:top w:val="single" w:sz="4" w:space="0" w:color="000000"/>
              <w:left w:val="single" w:sz="8" w:space="0" w:color="000000"/>
              <w:bottom w:val="single" w:sz="4" w:space="0" w:color="000000"/>
              <w:right w:val="single" w:sz="4" w:space="0" w:color="000000"/>
            </w:tcBorders>
          </w:tcPr>
          <w:p w:rsidR="00E8309B" w:rsidRDefault="009D0949">
            <w:pPr>
              <w:spacing w:after="0" w:line="259" w:lineRule="auto"/>
              <w:ind w:left="4" w:right="0" w:firstLine="0"/>
              <w:jc w:val="center"/>
            </w:pPr>
            <w:r>
              <w:rPr>
                <w:sz w:val="20"/>
              </w:rPr>
              <w:t xml:space="preserve"> </w:t>
            </w:r>
          </w:p>
        </w:tc>
        <w:tc>
          <w:tcPr>
            <w:tcW w:w="422"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2" w:right="0" w:firstLine="0"/>
              <w:jc w:val="center"/>
            </w:pPr>
            <w:r>
              <w:rPr>
                <w:sz w:val="20"/>
              </w:rPr>
              <w:t xml:space="preserve"> </w:t>
            </w:r>
          </w:p>
        </w:tc>
        <w:tc>
          <w:tcPr>
            <w:tcW w:w="422"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2" w:right="0" w:firstLine="0"/>
              <w:jc w:val="center"/>
            </w:pPr>
            <w:r>
              <w:rPr>
                <w:sz w:val="20"/>
              </w:rPr>
              <w:t xml:space="preserve"> </w:t>
            </w:r>
          </w:p>
        </w:tc>
        <w:tc>
          <w:tcPr>
            <w:tcW w:w="421" w:type="dxa"/>
            <w:tcBorders>
              <w:top w:val="single" w:sz="4" w:space="0" w:color="000000"/>
              <w:left w:val="single" w:sz="4" w:space="0" w:color="000000"/>
              <w:bottom w:val="single" w:sz="4" w:space="0" w:color="000000"/>
              <w:right w:val="single" w:sz="8" w:space="0" w:color="000000"/>
            </w:tcBorders>
          </w:tcPr>
          <w:p w:rsidR="00E8309B" w:rsidRDefault="009D0949">
            <w:pPr>
              <w:spacing w:after="0" w:line="259" w:lineRule="auto"/>
              <w:ind w:left="4" w:right="0" w:firstLine="0"/>
              <w:jc w:val="center"/>
            </w:pPr>
            <w:r>
              <w:rPr>
                <w:sz w:val="20"/>
              </w:rPr>
              <w:t xml:space="preserve"> </w:t>
            </w:r>
          </w:p>
        </w:tc>
      </w:tr>
      <w:tr w:rsidR="00E8309B">
        <w:trPr>
          <w:trHeight w:val="468"/>
        </w:trPr>
        <w:tc>
          <w:tcPr>
            <w:tcW w:w="427"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51" w:firstLine="0"/>
              <w:jc w:val="right"/>
            </w:pPr>
            <w:r>
              <w:rPr>
                <w:sz w:val="20"/>
              </w:rPr>
              <w:t xml:space="preserve">5 </w:t>
            </w:r>
          </w:p>
        </w:tc>
        <w:tc>
          <w:tcPr>
            <w:tcW w:w="4123"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0" w:firstLine="0"/>
              <w:jc w:val="left"/>
            </w:pPr>
            <w:r>
              <w:rPr>
                <w:sz w:val="20"/>
              </w:rPr>
              <w:t xml:space="preserve">Изградња далековода Обреновац - Бајина Башта** </w:t>
            </w:r>
          </w:p>
        </w:tc>
        <w:tc>
          <w:tcPr>
            <w:tcW w:w="419"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1" w:right="0" w:firstLine="0"/>
              <w:jc w:val="center"/>
            </w:pPr>
            <w:r>
              <w:rPr>
                <w:b/>
                <w:sz w:val="20"/>
              </w:rPr>
              <w:t xml:space="preserve"> </w:t>
            </w:r>
          </w:p>
        </w:tc>
        <w:tc>
          <w:tcPr>
            <w:tcW w:w="421"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1" w:right="0" w:firstLine="0"/>
              <w:jc w:val="center"/>
            </w:pPr>
            <w:r>
              <w:rPr>
                <w:b/>
                <w:sz w:val="20"/>
              </w:rPr>
              <w:t xml:space="preserve"> </w:t>
            </w:r>
          </w:p>
        </w:tc>
        <w:tc>
          <w:tcPr>
            <w:tcW w:w="422"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2" w:right="0" w:firstLine="0"/>
              <w:jc w:val="center"/>
            </w:pPr>
            <w:r>
              <w:rPr>
                <w:b/>
                <w:sz w:val="20"/>
              </w:rPr>
              <w:t xml:space="preserve"> </w:t>
            </w:r>
          </w:p>
        </w:tc>
        <w:tc>
          <w:tcPr>
            <w:tcW w:w="421"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4" w:right="0" w:firstLine="0"/>
              <w:jc w:val="center"/>
            </w:pPr>
            <w:r>
              <w:rPr>
                <w:b/>
                <w:sz w:val="20"/>
              </w:rPr>
              <w:t xml:space="preserve"> </w:t>
            </w:r>
          </w:p>
        </w:tc>
        <w:tc>
          <w:tcPr>
            <w:tcW w:w="424"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4" w:right="0" w:firstLine="0"/>
              <w:jc w:val="center"/>
            </w:pPr>
            <w:r>
              <w:rPr>
                <w:b/>
                <w:sz w:val="20"/>
              </w:rPr>
              <w:t xml:space="preserve"> </w:t>
            </w:r>
          </w:p>
        </w:tc>
        <w:tc>
          <w:tcPr>
            <w:tcW w:w="421"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4" w:right="0" w:firstLine="0"/>
              <w:jc w:val="center"/>
            </w:pPr>
            <w:r>
              <w:rPr>
                <w:b/>
                <w:sz w:val="20"/>
              </w:rPr>
              <w:t xml:space="preserve"> </w:t>
            </w:r>
          </w:p>
        </w:tc>
        <w:tc>
          <w:tcPr>
            <w:tcW w:w="423"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5" w:right="0" w:firstLine="0"/>
              <w:jc w:val="center"/>
            </w:pPr>
            <w:r>
              <w:rPr>
                <w:b/>
                <w:sz w:val="20"/>
              </w:rPr>
              <w:t xml:space="preserve"> </w:t>
            </w:r>
          </w:p>
        </w:tc>
        <w:tc>
          <w:tcPr>
            <w:tcW w:w="420"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2" w:right="0" w:firstLine="0"/>
              <w:jc w:val="center"/>
            </w:pPr>
            <w:r>
              <w:rPr>
                <w:b/>
                <w:sz w:val="20"/>
              </w:rPr>
              <w:t xml:space="preserve"> </w:t>
            </w:r>
          </w:p>
        </w:tc>
        <w:tc>
          <w:tcPr>
            <w:tcW w:w="424"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4" w:right="0" w:firstLine="0"/>
              <w:jc w:val="center"/>
            </w:pPr>
            <w:r>
              <w:rPr>
                <w:b/>
                <w:sz w:val="20"/>
              </w:rPr>
              <w:t xml:space="preserve"> </w:t>
            </w:r>
          </w:p>
        </w:tc>
        <w:tc>
          <w:tcPr>
            <w:tcW w:w="422"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2" w:right="0" w:firstLine="0"/>
              <w:jc w:val="center"/>
            </w:pPr>
            <w:r>
              <w:rPr>
                <w:b/>
                <w:sz w:val="20"/>
              </w:rPr>
              <w:t xml:space="preserve"> </w:t>
            </w:r>
          </w:p>
        </w:tc>
        <w:tc>
          <w:tcPr>
            <w:tcW w:w="422"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2" w:right="0" w:firstLine="0"/>
              <w:jc w:val="center"/>
            </w:pPr>
            <w:r>
              <w:rPr>
                <w:b/>
                <w:sz w:val="20"/>
              </w:rPr>
              <w:t xml:space="preserve"> </w:t>
            </w:r>
          </w:p>
        </w:tc>
        <w:tc>
          <w:tcPr>
            <w:tcW w:w="421"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4" w:right="0" w:firstLine="0"/>
              <w:jc w:val="center"/>
            </w:pPr>
            <w:r>
              <w:rPr>
                <w:b/>
                <w:sz w:val="20"/>
              </w:rPr>
              <w:t xml:space="preserve"> </w:t>
            </w:r>
          </w:p>
        </w:tc>
      </w:tr>
    </w:tbl>
    <w:p w:rsidR="00E8309B" w:rsidRDefault="009D0949">
      <w:pPr>
        <w:spacing w:after="4" w:line="268" w:lineRule="auto"/>
        <w:ind w:left="-5" w:right="0"/>
        <w:jc w:val="left"/>
      </w:pPr>
      <w:r>
        <w:rPr>
          <w:sz w:val="18"/>
        </w:rPr>
        <w:t xml:space="preserve">* Грађевински радови на ТС и ДВ су планирани да се заврше до краја 2021. </w:t>
      </w:r>
      <w:r>
        <w:rPr>
          <w:sz w:val="18"/>
        </w:rPr>
        <w:t xml:space="preserve">године. Прибављање употребне дозволе се очекује до краја 2022. године. </w:t>
      </w:r>
    </w:p>
    <w:p w:rsidR="00E8309B" w:rsidRDefault="009D0949">
      <w:pPr>
        <w:spacing w:after="323" w:line="268" w:lineRule="auto"/>
        <w:ind w:left="-5" w:right="0"/>
        <w:jc w:val="left"/>
      </w:pPr>
      <w:r>
        <w:rPr>
          <w:sz w:val="18"/>
        </w:rPr>
        <w:t xml:space="preserve">** Почетак изградње далековода је везан за добијање одговарајућег износа донације, као и за потписивање уговора о зајму. </w:t>
      </w:r>
    </w:p>
    <w:p w:rsidR="00E8309B" w:rsidRDefault="009D0949">
      <w:pPr>
        <w:numPr>
          <w:ilvl w:val="0"/>
          <w:numId w:val="9"/>
        </w:numPr>
        <w:spacing w:after="0" w:line="271" w:lineRule="auto"/>
        <w:ind w:right="9" w:hanging="427"/>
      </w:pPr>
      <w:r>
        <w:rPr>
          <w:b/>
        </w:rPr>
        <w:t xml:space="preserve">Индикатори рeзултата </w:t>
      </w:r>
    </w:p>
    <w:tbl>
      <w:tblPr>
        <w:tblStyle w:val="TableGrid"/>
        <w:tblW w:w="9635" w:type="dxa"/>
        <w:tblInd w:w="5" w:type="dxa"/>
        <w:tblCellMar>
          <w:top w:w="36" w:type="dxa"/>
          <w:left w:w="110" w:type="dxa"/>
          <w:bottom w:w="0" w:type="dxa"/>
          <w:right w:w="56" w:type="dxa"/>
        </w:tblCellMar>
        <w:tblLook w:val="04A0" w:firstRow="1" w:lastRow="0" w:firstColumn="1" w:lastColumn="0" w:noHBand="0" w:noVBand="1"/>
      </w:tblPr>
      <w:tblGrid>
        <w:gridCol w:w="4107"/>
        <w:gridCol w:w="1841"/>
        <w:gridCol w:w="1844"/>
        <w:gridCol w:w="1843"/>
      </w:tblGrid>
      <w:tr w:rsidR="00E8309B">
        <w:trPr>
          <w:trHeight w:val="470"/>
        </w:trPr>
        <w:tc>
          <w:tcPr>
            <w:tcW w:w="4107"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0" w:right="0" w:firstLine="0"/>
              <w:jc w:val="left"/>
            </w:pPr>
            <w:r>
              <w:rPr>
                <w:b/>
                <w:sz w:val="20"/>
              </w:rPr>
              <w:t xml:space="preserve">Показатељ </w:t>
            </w:r>
          </w:p>
        </w:tc>
        <w:tc>
          <w:tcPr>
            <w:tcW w:w="1841"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7" w:right="50" w:firstLine="0"/>
              <w:jc w:val="right"/>
            </w:pPr>
            <w:r>
              <w:rPr>
                <w:b/>
                <w:sz w:val="20"/>
              </w:rPr>
              <w:t xml:space="preserve">Почетна вредност (година) </w:t>
            </w:r>
          </w:p>
        </w:tc>
        <w:tc>
          <w:tcPr>
            <w:tcW w:w="1844"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50" w:firstLine="0"/>
              <w:jc w:val="right"/>
            </w:pPr>
            <w:r>
              <w:rPr>
                <w:b/>
                <w:sz w:val="20"/>
              </w:rPr>
              <w:t xml:space="preserve">Међурезултат (година) </w:t>
            </w:r>
          </w:p>
        </w:tc>
        <w:tc>
          <w:tcPr>
            <w:tcW w:w="1843"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49" w:firstLine="0"/>
              <w:jc w:val="right"/>
            </w:pPr>
            <w:r>
              <w:rPr>
                <w:b/>
                <w:sz w:val="20"/>
              </w:rPr>
              <w:t xml:space="preserve">Циљна вредност (година) </w:t>
            </w:r>
          </w:p>
        </w:tc>
      </w:tr>
      <w:tr w:rsidR="00E8309B">
        <w:trPr>
          <w:trHeight w:val="293"/>
        </w:trPr>
        <w:tc>
          <w:tcPr>
            <w:tcW w:w="4107"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0" w:firstLine="0"/>
              <w:jc w:val="left"/>
            </w:pPr>
            <w:r>
              <w:rPr>
                <w:sz w:val="20"/>
              </w:rPr>
              <w:t xml:space="preserve">Број изграђених км далековода (секција 2) </w:t>
            </w:r>
          </w:p>
        </w:tc>
        <w:tc>
          <w:tcPr>
            <w:tcW w:w="1841"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48" w:firstLine="0"/>
              <w:jc w:val="right"/>
            </w:pPr>
            <w:r>
              <w:rPr>
                <w:sz w:val="20"/>
              </w:rPr>
              <w:t xml:space="preserve">0 (2020) </w:t>
            </w:r>
          </w:p>
        </w:tc>
        <w:tc>
          <w:tcPr>
            <w:tcW w:w="1844"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48" w:firstLine="0"/>
              <w:jc w:val="right"/>
            </w:pPr>
            <w:r>
              <w:rPr>
                <w:sz w:val="20"/>
              </w:rPr>
              <w:t xml:space="preserve">60 (2021) </w:t>
            </w:r>
          </w:p>
        </w:tc>
        <w:tc>
          <w:tcPr>
            <w:tcW w:w="1843"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50" w:firstLine="0"/>
              <w:jc w:val="right"/>
            </w:pPr>
            <w:r>
              <w:rPr>
                <w:sz w:val="20"/>
              </w:rPr>
              <w:t xml:space="preserve">60 (2021) </w:t>
            </w:r>
          </w:p>
        </w:tc>
      </w:tr>
      <w:tr w:rsidR="00E8309B">
        <w:trPr>
          <w:trHeight w:val="295"/>
        </w:trPr>
        <w:tc>
          <w:tcPr>
            <w:tcW w:w="4107"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0" w:firstLine="0"/>
              <w:jc w:val="left"/>
            </w:pPr>
            <w:r>
              <w:rPr>
                <w:sz w:val="20"/>
              </w:rPr>
              <w:t>Потписан уговор о изградњи (секција 2)</w:t>
            </w:r>
            <w:r>
              <w:rPr>
                <w:b/>
                <w:sz w:val="20"/>
              </w:rPr>
              <w:t xml:space="preserve"> </w:t>
            </w:r>
          </w:p>
        </w:tc>
        <w:tc>
          <w:tcPr>
            <w:tcW w:w="1841"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50" w:firstLine="0"/>
              <w:jc w:val="right"/>
            </w:pPr>
            <w:r>
              <w:rPr>
                <w:sz w:val="20"/>
              </w:rPr>
              <w:t xml:space="preserve">0 (2020) </w:t>
            </w:r>
          </w:p>
        </w:tc>
        <w:tc>
          <w:tcPr>
            <w:tcW w:w="1844"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51" w:firstLine="0"/>
              <w:jc w:val="right"/>
            </w:pPr>
            <w:r>
              <w:rPr>
                <w:sz w:val="20"/>
              </w:rPr>
              <w:t xml:space="preserve">- </w:t>
            </w:r>
          </w:p>
        </w:tc>
        <w:tc>
          <w:tcPr>
            <w:tcW w:w="1843"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50" w:firstLine="0"/>
              <w:jc w:val="right"/>
            </w:pPr>
            <w:r>
              <w:rPr>
                <w:sz w:val="20"/>
              </w:rPr>
              <w:t xml:space="preserve">1 (2020) </w:t>
            </w:r>
          </w:p>
        </w:tc>
      </w:tr>
      <w:tr w:rsidR="00E8309B">
        <w:trPr>
          <w:trHeight w:val="293"/>
        </w:trPr>
        <w:tc>
          <w:tcPr>
            <w:tcW w:w="4107"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0" w:firstLine="0"/>
              <w:jc w:val="left"/>
            </w:pPr>
            <w:r>
              <w:rPr>
                <w:sz w:val="20"/>
              </w:rPr>
              <w:t>Изградња (секција 2)</w:t>
            </w:r>
            <w:r>
              <w:rPr>
                <w:b/>
                <w:sz w:val="20"/>
              </w:rPr>
              <w:t xml:space="preserve"> </w:t>
            </w:r>
          </w:p>
        </w:tc>
        <w:tc>
          <w:tcPr>
            <w:tcW w:w="1841"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49" w:firstLine="0"/>
              <w:jc w:val="right"/>
            </w:pPr>
            <w:r>
              <w:rPr>
                <w:sz w:val="20"/>
              </w:rPr>
              <w:t>10% (2020)</w:t>
            </w:r>
            <w:r>
              <w:rPr>
                <w:b/>
                <w:sz w:val="20"/>
              </w:rPr>
              <w:t xml:space="preserve"> </w:t>
            </w:r>
          </w:p>
        </w:tc>
        <w:tc>
          <w:tcPr>
            <w:tcW w:w="1844"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50" w:firstLine="0"/>
              <w:jc w:val="right"/>
            </w:pPr>
            <w:r>
              <w:rPr>
                <w:sz w:val="20"/>
              </w:rPr>
              <w:t>85% (2021)</w:t>
            </w:r>
            <w:r>
              <w:rPr>
                <w:b/>
                <w:sz w:val="20"/>
              </w:rPr>
              <w:t xml:space="preserve"> </w:t>
            </w:r>
          </w:p>
        </w:tc>
        <w:tc>
          <w:tcPr>
            <w:tcW w:w="1843"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49" w:firstLine="0"/>
              <w:jc w:val="right"/>
            </w:pPr>
            <w:r>
              <w:rPr>
                <w:sz w:val="20"/>
              </w:rPr>
              <w:t>100% (2022)</w:t>
            </w:r>
            <w:r>
              <w:rPr>
                <w:b/>
                <w:sz w:val="20"/>
              </w:rPr>
              <w:t xml:space="preserve"> </w:t>
            </w:r>
          </w:p>
        </w:tc>
      </w:tr>
      <w:tr w:rsidR="00E8309B">
        <w:trPr>
          <w:trHeight w:val="295"/>
        </w:trPr>
        <w:tc>
          <w:tcPr>
            <w:tcW w:w="4107"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0" w:firstLine="0"/>
              <w:jc w:val="left"/>
            </w:pPr>
            <w:r>
              <w:rPr>
                <w:sz w:val="20"/>
              </w:rPr>
              <w:t xml:space="preserve">Пуштање у функцију (секција 2) </w:t>
            </w:r>
          </w:p>
        </w:tc>
        <w:tc>
          <w:tcPr>
            <w:tcW w:w="1841"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50" w:firstLine="0"/>
              <w:jc w:val="right"/>
            </w:pPr>
            <w:r>
              <w:rPr>
                <w:sz w:val="20"/>
              </w:rPr>
              <w:t xml:space="preserve">0 (2020) </w:t>
            </w:r>
          </w:p>
        </w:tc>
        <w:tc>
          <w:tcPr>
            <w:tcW w:w="1844"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50" w:firstLine="0"/>
              <w:jc w:val="right"/>
            </w:pPr>
            <w:r>
              <w:rPr>
                <w:sz w:val="20"/>
              </w:rPr>
              <w:t xml:space="preserve">0 (2021) </w:t>
            </w:r>
          </w:p>
        </w:tc>
        <w:tc>
          <w:tcPr>
            <w:tcW w:w="1843"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50" w:firstLine="0"/>
              <w:jc w:val="right"/>
            </w:pPr>
            <w:r>
              <w:rPr>
                <w:sz w:val="20"/>
              </w:rPr>
              <w:t xml:space="preserve">1 (2022) </w:t>
            </w:r>
          </w:p>
        </w:tc>
      </w:tr>
      <w:tr w:rsidR="00E8309B">
        <w:trPr>
          <w:trHeight w:val="293"/>
        </w:trPr>
        <w:tc>
          <w:tcPr>
            <w:tcW w:w="4107"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0" w:firstLine="0"/>
              <w:jc w:val="left"/>
            </w:pPr>
            <w:r>
              <w:rPr>
                <w:sz w:val="20"/>
              </w:rPr>
              <w:t xml:space="preserve">Потписан уговор о изградњи (секција 3) </w:t>
            </w:r>
          </w:p>
        </w:tc>
        <w:tc>
          <w:tcPr>
            <w:tcW w:w="1841"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50" w:firstLine="0"/>
              <w:jc w:val="right"/>
            </w:pPr>
            <w:r>
              <w:rPr>
                <w:sz w:val="20"/>
              </w:rPr>
              <w:t xml:space="preserve">0 (2020) </w:t>
            </w:r>
          </w:p>
        </w:tc>
        <w:tc>
          <w:tcPr>
            <w:tcW w:w="1844"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51" w:firstLine="0"/>
              <w:jc w:val="right"/>
            </w:pPr>
            <w:r>
              <w:rPr>
                <w:sz w:val="20"/>
              </w:rPr>
              <w:t xml:space="preserve">- </w:t>
            </w:r>
          </w:p>
        </w:tc>
        <w:tc>
          <w:tcPr>
            <w:tcW w:w="1843"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50" w:firstLine="0"/>
              <w:jc w:val="right"/>
            </w:pPr>
            <w:r>
              <w:rPr>
                <w:sz w:val="20"/>
              </w:rPr>
              <w:t xml:space="preserve">1 (2022) </w:t>
            </w:r>
          </w:p>
        </w:tc>
      </w:tr>
      <w:tr w:rsidR="00E8309B">
        <w:trPr>
          <w:trHeight w:val="296"/>
        </w:trPr>
        <w:tc>
          <w:tcPr>
            <w:tcW w:w="4107"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0" w:firstLine="0"/>
              <w:jc w:val="left"/>
            </w:pPr>
            <w:r>
              <w:rPr>
                <w:sz w:val="20"/>
              </w:rPr>
              <w:t xml:space="preserve">Изградња (секција 3) </w:t>
            </w:r>
          </w:p>
        </w:tc>
        <w:tc>
          <w:tcPr>
            <w:tcW w:w="1841"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50" w:firstLine="0"/>
              <w:jc w:val="right"/>
            </w:pPr>
            <w:r>
              <w:rPr>
                <w:sz w:val="20"/>
              </w:rPr>
              <w:t xml:space="preserve">0 (2020) </w:t>
            </w:r>
          </w:p>
        </w:tc>
        <w:tc>
          <w:tcPr>
            <w:tcW w:w="1844"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51" w:firstLine="0"/>
              <w:jc w:val="right"/>
            </w:pPr>
            <w:r>
              <w:rPr>
                <w:sz w:val="20"/>
              </w:rPr>
              <w:t xml:space="preserve">- </w:t>
            </w:r>
          </w:p>
        </w:tc>
        <w:tc>
          <w:tcPr>
            <w:tcW w:w="1843"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50" w:firstLine="0"/>
              <w:jc w:val="right"/>
            </w:pPr>
            <w:r>
              <w:rPr>
                <w:sz w:val="20"/>
              </w:rPr>
              <w:t xml:space="preserve">40% (2023) </w:t>
            </w:r>
          </w:p>
        </w:tc>
      </w:tr>
    </w:tbl>
    <w:p w:rsidR="00E8309B" w:rsidRDefault="009D0949">
      <w:pPr>
        <w:numPr>
          <w:ilvl w:val="0"/>
          <w:numId w:val="9"/>
        </w:numPr>
        <w:spacing w:after="126" w:line="271" w:lineRule="auto"/>
        <w:ind w:right="9" w:hanging="427"/>
      </w:pPr>
      <w:r>
        <w:rPr>
          <w:b/>
        </w:rPr>
        <w:t xml:space="preserve">Очекивани утицај на конкурентност </w:t>
      </w:r>
    </w:p>
    <w:p w:rsidR="00E8309B" w:rsidRDefault="009D0949">
      <w:pPr>
        <w:spacing w:after="161"/>
        <w:ind w:left="-5" w:right="17"/>
      </w:pPr>
      <w:r>
        <w:t xml:space="preserve">Реформа </w:t>
      </w:r>
      <w:r>
        <w:t>може да има утицаја на умањење разлика у велепродајној цени електричне енергије између нашег региона и Италије. На умањење разлика у цени, велики утицај има и динамика изградње подморског кабла између Црне Горе и Италије. Прва фаза изградње овог кабла је з</w:t>
      </w:r>
      <w:r>
        <w:t xml:space="preserve">авршена, и кабл капацитета 600 MW је пуштен у погон у новембру 2019. године. </w:t>
      </w:r>
    </w:p>
    <w:p w:rsidR="00E8309B" w:rsidRDefault="009D0949">
      <w:pPr>
        <w:numPr>
          <w:ilvl w:val="0"/>
          <w:numId w:val="9"/>
        </w:numPr>
        <w:spacing w:after="79" w:line="271" w:lineRule="auto"/>
        <w:ind w:right="9" w:hanging="427"/>
      </w:pPr>
      <w:r>
        <w:rPr>
          <w:b/>
        </w:rPr>
        <w:t xml:space="preserve">Процењени трошкови спровођења структурне реформе и предвиђени извори њиховог финансирања </w:t>
      </w:r>
    </w:p>
    <w:p w:rsidR="00E8309B" w:rsidRDefault="009D0949">
      <w:pPr>
        <w:spacing w:after="83"/>
        <w:ind w:left="-5" w:right="17"/>
      </w:pPr>
      <w:r>
        <w:t xml:space="preserve">Изградња система за пренос електричне енергије Трансбалкански коридор финансираће се из </w:t>
      </w:r>
      <w:r>
        <w:t xml:space="preserve">сопствених средстава ЕМС АД, донација и кредита. </w:t>
      </w:r>
    </w:p>
    <w:p w:rsidR="00E8309B" w:rsidRDefault="009D0949">
      <w:pPr>
        <w:numPr>
          <w:ilvl w:val="0"/>
          <w:numId w:val="10"/>
        </w:numPr>
        <w:spacing w:after="136"/>
        <w:ind w:right="17"/>
      </w:pPr>
      <w:r>
        <w:t xml:space="preserve">– планирана сопствена средства ЕМС АД 179.010,96 евра, кредитна средства 12.307.841,35 евра, донација 4.854.736,30 евра; </w:t>
      </w:r>
    </w:p>
    <w:p w:rsidR="00E8309B" w:rsidRDefault="009D0949">
      <w:pPr>
        <w:numPr>
          <w:ilvl w:val="0"/>
          <w:numId w:val="10"/>
        </w:numPr>
        <w:spacing w:after="143"/>
        <w:ind w:right="17"/>
      </w:pPr>
      <w:r>
        <w:t>– планирана сопствена средства ЕМС АД 105.841,76 евра, кредитна средства 1.581.866,8</w:t>
      </w:r>
      <w:r>
        <w:t xml:space="preserve">7 евра, донација 1.511.324,79 евра. </w:t>
      </w:r>
    </w:p>
    <w:p w:rsidR="00E8309B" w:rsidRDefault="009D0949">
      <w:pPr>
        <w:numPr>
          <w:ilvl w:val="0"/>
          <w:numId w:val="10"/>
        </w:numPr>
        <w:spacing w:after="156"/>
        <w:ind w:right="17"/>
      </w:pPr>
      <w:r>
        <w:t xml:space="preserve">– планирана сопствена средства ЕМС АД 18.906,72 евра, кредитна средства 15.620.000 евра, донација 7.210.000 евра. </w:t>
      </w:r>
    </w:p>
    <w:p w:rsidR="00E8309B" w:rsidRDefault="009D0949">
      <w:pPr>
        <w:numPr>
          <w:ilvl w:val="0"/>
          <w:numId w:val="11"/>
        </w:numPr>
        <w:spacing w:after="79" w:line="271" w:lineRule="auto"/>
        <w:ind w:right="9" w:hanging="427"/>
      </w:pPr>
      <w:r>
        <w:rPr>
          <w:b/>
        </w:rPr>
        <w:t xml:space="preserve">Очекивани утицај на социјалне циљеве, као што су запосленост, смањење сиромаштва, једнакост и род </w:t>
      </w:r>
    </w:p>
    <w:p w:rsidR="00E8309B" w:rsidRDefault="009D0949">
      <w:pPr>
        <w:ind w:left="-5" w:right="17"/>
      </w:pPr>
      <w:r>
        <w:t>Нова енергетска инфраструктура може довести до појаве нових корисника преносног система у области у којој се гради и до очекиваног повећања броја запослених. Утицај развоја тржишта енергије на родни аспект на дужи рок се огледа кроз развој друштва у целини</w:t>
      </w:r>
      <w:r>
        <w:t xml:space="preserve"> што са друге стране имплицитно отвара веће могућности за помоћ државе друштвено рањивим групама. </w:t>
      </w:r>
    </w:p>
    <w:p w:rsidR="00E8309B" w:rsidRDefault="009D0949">
      <w:pPr>
        <w:spacing w:after="0" w:line="259" w:lineRule="auto"/>
        <w:ind w:left="0" w:right="0" w:firstLine="0"/>
        <w:jc w:val="left"/>
      </w:pPr>
      <w:r>
        <w:t xml:space="preserve"> </w:t>
      </w:r>
    </w:p>
    <w:p w:rsidR="00E8309B" w:rsidRDefault="009D0949">
      <w:pPr>
        <w:numPr>
          <w:ilvl w:val="0"/>
          <w:numId w:val="11"/>
        </w:numPr>
        <w:spacing w:after="79" w:line="271" w:lineRule="auto"/>
        <w:ind w:right="9" w:hanging="427"/>
      </w:pPr>
      <w:r>
        <w:rPr>
          <w:b/>
        </w:rPr>
        <w:t xml:space="preserve">Очекивани утицај на животну средину </w:t>
      </w:r>
    </w:p>
    <w:p w:rsidR="00E8309B" w:rsidRDefault="009D0949">
      <w:pPr>
        <w:spacing w:after="156"/>
        <w:ind w:left="-5" w:right="17"/>
      </w:pPr>
      <w:r>
        <w:t xml:space="preserve">Очекује се минимални утицај на животну средину, пошто се припрема и градња обављају у складу са Законом о процени утицаја на животну средину и одговарајућим правилницима. </w:t>
      </w:r>
      <w:r>
        <w:lastRenderedPageBreak/>
        <w:t>Трансбалкански коридор је део Инвестиционог плана ЕУ за Западни Балкан, којим се пруж</w:t>
      </w:r>
      <w:r>
        <w:t xml:space="preserve">а финансијска подршка за циљеве постављене Европским зеленим договором. </w:t>
      </w:r>
    </w:p>
    <w:p w:rsidR="00E8309B" w:rsidRDefault="009D0949">
      <w:pPr>
        <w:numPr>
          <w:ilvl w:val="0"/>
          <w:numId w:val="11"/>
        </w:numPr>
        <w:spacing w:after="0" w:line="271" w:lineRule="auto"/>
        <w:ind w:right="9" w:hanging="427"/>
      </w:pPr>
      <w:r>
        <w:rPr>
          <w:b/>
        </w:rPr>
        <w:t xml:space="preserve">Потенцијални ризици </w:t>
      </w:r>
    </w:p>
    <w:tbl>
      <w:tblPr>
        <w:tblStyle w:val="TableGrid"/>
        <w:tblW w:w="9696" w:type="dxa"/>
        <w:tblInd w:w="0" w:type="dxa"/>
        <w:tblCellMar>
          <w:top w:w="46" w:type="dxa"/>
          <w:left w:w="108" w:type="dxa"/>
          <w:bottom w:w="0" w:type="dxa"/>
          <w:right w:w="115" w:type="dxa"/>
        </w:tblCellMar>
        <w:tblLook w:val="04A0" w:firstRow="1" w:lastRow="0" w:firstColumn="1" w:lastColumn="0" w:noHBand="0" w:noVBand="1"/>
      </w:tblPr>
      <w:tblGrid>
        <w:gridCol w:w="3330"/>
        <w:gridCol w:w="2201"/>
        <w:gridCol w:w="4165"/>
      </w:tblGrid>
      <w:tr w:rsidR="00E8309B">
        <w:trPr>
          <w:trHeight w:val="590"/>
        </w:trPr>
        <w:tc>
          <w:tcPr>
            <w:tcW w:w="3330"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0" w:right="0" w:firstLine="0"/>
              <w:jc w:val="left"/>
            </w:pPr>
            <w:r>
              <w:rPr>
                <w:b/>
                <w:sz w:val="20"/>
              </w:rPr>
              <w:t xml:space="preserve">Ризик </w:t>
            </w:r>
          </w:p>
        </w:tc>
        <w:tc>
          <w:tcPr>
            <w:tcW w:w="2201"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2" w:right="0" w:firstLine="0"/>
              <w:jc w:val="left"/>
            </w:pPr>
            <w:r>
              <w:rPr>
                <w:b/>
                <w:sz w:val="20"/>
              </w:rPr>
              <w:t xml:space="preserve">Вероватноћа за остваривање ризика </w:t>
            </w:r>
          </w:p>
        </w:tc>
        <w:tc>
          <w:tcPr>
            <w:tcW w:w="4165"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0" w:firstLine="0"/>
              <w:jc w:val="left"/>
            </w:pPr>
            <w:r>
              <w:rPr>
                <w:b/>
                <w:sz w:val="20"/>
              </w:rPr>
              <w:t xml:space="preserve">Активност за ублажавање негативних ефеката ризика </w:t>
            </w:r>
          </w:p>
        </w:tc>
      </w:tr>
      <w:tr w:rsidR="00E8309B">
        <w:trPr>
          <w:trHeight w:val="590"/>
        </w:trPr>
        <w:tc>
          <w:tcPr>
            <w:tcW w:w="3330"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0" w:firstLine="0"/>
              <w:jc w:val="left"/>
            </w:pPr>
            <w:r>
              <w:rPr>
                <w:sz w:val="20"/>
              </w:rPr>
              <w:t xml:space="preserve">Необезбеђење финансирања пројекта </w:t>
            </w:r>
          </w:p>
        </w:tc>
        <w:tc>
          <w:tcPr>
            <w:tcW w:w="2201"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2" w:right="0" w:firstLine="0"/>
              <w:jc w:val="left"/>
            </w:pPr>
            <w:r>
              <w:rPr>
                <w:sz w:val="20"/>
              </w:rPr>
              <w:t xml:space="preserve">Висока </w:t>
            </w:r>
          </w:p>
        </w:tc>
        <w:tc>
          <w:tcPr>
            <w:tcW w:w="4165"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0" w:firstLine="0"/>
              <w:jc w:val="left"/>
            </w:pPr>
            <w:r>
              <w:rPr>
                <w:sz w:val="20"/>
              </w:rPr>
              <w:t xml:space="preserve">Сопствено финансирање уз потписивање уговора о кредиту </w:t>
            </w:r>
          </w:p>
        </w:tc>
      </w:tr>
      <w:tr w:rsidR="00E8309B">
        <w:trPr>
          <w:trHeight w:val="591"/>
        </w:trPr>
        <w:tc>
          <w:tcPr>
            <w:tcW w:w="3330"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0" w:firstLine="0"/>
              <w:jc w:val="left"/>
            </w:pPr>
            <w:r>
              <w:rPr>
                <w:sz w:val="20"/>
              </w:rPr>
              <w:t>Обезбеђивање кредитних средстава</w:t>
            </w:r>
            <w:r>
              <w:rPr>
                <w:b/>
                <w:sz w:val="20"/>
              </w:rPr>
              <w:t xml:space="preserve"> </w:t>
            </w:r>
          </w:p>
        </w:tc>
        <w:tc>
          <w:tcPr>
            <w:tcW w:w="2201"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2" w:right="0" w:firstLine="0"/>
              <w:jc w:val="left"/>
            </w:pPr>
            <w:r>
              <w:rPr>
                <w:sz w:val="20"/>
              </w:rPr>
              <w:t>Ниска</w:t>
            </w:r>
            <w:r>
              <w:rPr>
                <w:b/>
                <w:sz w:val="20"/>
              </w:rPr>
              <w:t xml:space="preserve"> </w:t>
            </w:r>
          </w:p>
        </w:tc>
        <w:tc>
          <w:tcPr>
            <w:tcW w:w="4165" w:type="dxa"/>
            <w:tcBorders>
              <w:top w:val="single" w:sz="4" w:space="0" w:color="000000"/>
              <w:left w:val="single" w:sz="4" w:space="0" w:color="000000"/>
              <w:bottom w:val="single" w:sz="4" w:space="0" w:color="000000"/>
              <w:right w:val="single" w:sz="4" w:space="0" w:color="000000"/>
            </w:tcBorders>
          </w:tcPr>
          <w:p w:rsidR="00E8309B" w:rsidRDefault="009D0949">
            <w:pPr>
              <w:spacing w:after="20" w:line="259" w:lineRule="auto"/>
              <w:ind w:left="0" w:right="0" w:firstLine="0"/>
              <w:jc w:val="left"/>
            </w:pPr>
            <w:r>
              <w:rPr>
                <w:sz w:val="20"/>
              </w:rPr>
              <w:t xml:space="preserve">Диверсификација захтева према </w:t>
            </w:r>
          </w:p>
          <w:p w:rsidR="00E8309B" w:rsidRDefault="009D0949">
            <w:pPr>
              <w:spacing w:after="0" w:line="259" w:lineRule="auto"/>
              <w:ind w:left="0" w:right="0" w:firstLine="0"/>
              <w:jc w:val="left"/>
            </w:pPr>
            <w:r>
              <w:rPr>
                <w:sz w:val="20"/>
              </w:rPr>
              <w:t>међународним финансијским институцијама</w:t>
            </w:r>
            <w:r>
              <w:rPr>
                <w:b/>
                <w:sz w:val="20"/>
              </w:rPr>
              <w:t xml:space="preserve"> </w:t>
            </w:r>
          </w:p>
        </w:tc>
      </w:tr>
    </w:tbl>
    <w:p w:rsidR="00E8309B" w:rsidRDefault="009D0949">
      <w:pPr>
        <w:ind w:left="-5" w:right="17"/>
      </w:pPr>
      <w:r>
        <w:rPr>
          <w:b/>
          <w:u w:val="single" w:color="000000"/>
        </w:rPr>
        <w:t>СТРУКТУРНА РЕФОРМА 2:</w:t>
      </w:r>
      <w:r>
        <w:rPr>
          <w:b/>
        </w:rPr>
        <w:t xml:space="preserve"> </w:t>
      </w:r>
      <w:r>
        <w:t xml:space="preserve">УНАПРЕЂЕЊЕ УСЛОВА ЗА ПОВЕЋАЊЕ ЕНЕРГЕТСКЕ ЕФИКАСНОСТИ КРОЗ ХАРМОНИЗАЦИЈУ ЗАКОНОДАВНОГ ОКВИРА И УСПОСТАВЉАЊЕ ОДРЖИВОГ НАЧИНА ФИНАНСИРАЊА ПРОЈЕКАТА ЕНЕРГЕТСКЕ </w:t>
      </w:r>
    </w:p>
    <w:p w:rsidR="00E8309B" w:rsidRDefault="009D0949">
      <w:pPr>
        <w:spacing w:after="156"/>
        <w:ind w:left="-5" w:right="17"/>
      </w:pPr>
      <w:r>
        <w:t xml:space="preserve">ЕФИКАСНОСТИ </w:t>
      </w:r>
    </w:p>
    <w:p w:rsidR="00E8309B" w:rsidRDefault="009D0949">
      <w:pPr>
        <w:numPr>
          <w:ilvl w:val="0"/>
          <w:numId w:val="12"/>
        </w:numPr>
        <w:spacing w:after="79" w:line="271" w:lineRule="auto"/>
        <w:ind w:right="9" w:hanging="427"/>
      </w:pPr>
      <w:r>
        <w:rPr>
          <w:b/>
        </w:rPr>
        <w:t xml:space="preserve">Опис структурне реформе </w:t>
      </w:r>
    </w:p>
    <w:p w:rsidR="00E8309B" w:rsidRDefault="009D0949">
      <w:pPr>
        <w:ind w:left="-5" w:right="17"/>
      </w:pPr>
      <w:r>
        <w:t>Реформа ће се обухватити доношење новог Закона о ефикасном ко</w:t>
      </w:r>
      <w:r>
        <w:t>ришћењу енергије (ЗЕКЕ) у циљу хармонизације регулативе у Србији са регулативом ЕУ у области енергетске ефикасности, доношење подзаконских аката, јачање капацитета за спровођење политике енергетске ефикасности, наставак активности у погледу финансирања ене</w:t>
      </w:r>
      <w:r>
        <w:t xml:space="preserve">ргетске ефикасности и успостављање одрживог механизма финансирања енергетске ефикасности. Реформа се спроводи у складу са </w:t>
      </w:r>
      <w:r>
        <w:rPr>
          <w:i/>
        </w:rPr>
        <w:t>Програмом остваривања Стратегије развоја енергетике Републике Србије до 2025. године са пројекцијама до 2030. године за период од 2017</w:t>
      </w:r>
      <w:r>
        <w:rPr>
          <w:i/>
        </w:rPr>
        <w:t>. до 2023. године</w:t>
      </w:r>
      <w:r>
        <w:t xml:space="preserve">, </w:t>
      </w:r>
      <w:r>
        <w:rPr>
          <w:i/>
        </w:rPr>
        <w:t>Поглављем 3.7. Област Енергетске ефикасности у сектору потрошње енергије</w:t>
      </w:r>
      <w:r>
        <w:t xml:space="preserve"> и доприноси остварењу </w:t>
      </w:r>
      <w:r>
        <w:rPr>
          <w:b/>
        </w:rPr>
        <w:t>ЦОР 7.3.</w:t>
      </w:r>
      <w:r>
        <w:t xml:space="preserve"> До 2030. удвостручити глобалну стопу побољшања енергетске ефикасности. </w:t>
      </w:r>
    </w:p>
    <w:p w:rsidR="00E8309B" w:rsidRDefault="009D0949">
      <w:pPr>
        <w:spacing w:after="101"/>
        <w:ind w:left="-5" w:right="17"/>
      </w:pPr>
      <w:r>
        <w:t xml:space="preserve">У претходном периоду припремљен је </w:t>
      </w:r>
      <w:r>
        <w:rPr>
          <w:i/>
        </w:rPr>
        <w:t>Нацрт новог Закона о ефика</w:t>
      </w:r>
      <w:r>
        <w:rPr>
          <w:i/>
        </w:rPr>
        <w:t xml:space="preserve">сном коришћењу енергије </w:t>
      </w:r>
      <w:r>
        <w:t xml:space="preserve">чије усвајање се очекује почетком 2021. године, након чега ће се приступити изради подзаконских аката. Прикупљања накнаде за енергетску ефикасност по основу Закона о накнадама континуирано се одвија током целе године, а финансирање </w:t>
      </w:r>
      <w:r>
        <w:t>пројеката енергетске ефикасности спроводи се кроз активности Буџетског фонда за унапређење енергетске ефикасности, кредите међународних финансијских институција и билатералне донације. Одржив начин финансирања енергетске ефикасности није успостављен како ј</w:t>
      </w:r>
      <w:r>
        <w:t xml:space="preserve">е планирано. Урађена је анализа могућих опција за успостављање овог механизма у оквиру ИПА пројекта, али није донета коначна одлука избору модалитета.  </w:t>
      </w:r>
    </w:p>
    <w:p w:rsidR="00E8309B" w:rsidRDefault="009D0949">
      <w:pPr>
        <w:spacing w:after="152"/>
        <w:ind w:left="-5" w:right="17"/>
      </w:pPr>
      <w:r>
        <w:t>У циљу јачања капацитета Министарства рударства и енергетике у сектору надлежном за енергетску ефикасно</w:t>
      </w:r>
      <w:r>
        <w:t xml:space="preserve">ст систематизована су 3 нова радна места, а јачање капацитета врши се и кроз ИПА. </w:t>
      </w:r>
    </w:p>
    <w:p w:rsidR="00E8309B" w:rsidRDefault="009D0949">
      <w:pPr>
        <w:numPr>
          <w:ilvl w:val="0"/>
          <w:numId w:val="12"/>
        </w:numPr>
        <w:spacing w:after="126" w:line="271" w:lineRule="auto"/>
        <w:ind w:right="9" w:hanging="427"/>
      </w:pPr>
      <w:r>
        <w:rPr>
          <w:b/>
        </w:rPr>
        <w:t xml:space="preserve">Ковид-19 – ефекти, мере и изазови </w:t>
      </w:r>
    </w:p>
    <w:p w:rsidR="00E8309B" w:rsidRDefault="009D0949">
      <w:pPr>
        <w:spacing w:after="103"/>
        <w:ind w:left="-5" w:right="17"/>
      </w:pPr>
      <w:r>
        <w:t>Због ситуације са пандемијом Ковид-19 на око 10 пројеката финансираних средствима Буџетског фонда дошло је до кашњења са радовима па је би</w:t>
      </w:r>
      <w:r>
        <w:t xml:space="preserve">ло неопходно да се уговори анексирају како би се продужио рок за реализацију пројеката у просеку 2 до 4 месеца. Активности на ИПА пројектима незнатно су успорене. </w:t>
      </w:r>
    </w:p>
    <w:p w:rsidR="00E8309B" w:rsidRDefault="009D0949">
      <w:pPr>
        <w:spacing w:after="96" w:line="259" w:lineRule="auto"/>
        <w:ind w:left="0" w:right="0" w:firstLine="0"/>
        <w:jc w:val="left"/>
      </w:pPr>
      <w:r>
        <w:t xml:space="preserve"> </w:t>
      </w:r>
    </w:p>
    <w:p w:rsidR="00E8309B" w:rsidRDefault="009D0949">
      <w:pPr>
        <w:spacing w:after="0" w:line="259" w:lineRule="auto"/>
        <w:ind w:left="0" w:right="0" w:firstLine="0"/>
        <w:jc w:val="left"/>
      </w:pPr>
      <w:r>
        <w:t xml:space="preserve"> </w:t>
      </w:r>
    </w:p>
    <w:p w:rsidR="00E8309B" w:rsidRDefault="009D0949">
      <w:pPr>
        <w:numPr>
          <w:ilvl w:val="0"/>
          <w:numId w:val="12"/>
        </w:numPr>
        <w:spacing w:after="0" w:line="271" w:lineRule="auto"/>
        <w:ind w:right="9" w:hanging="427"/>
      </w:pPr>
      <w:r>
        <w:rPr>
          <w:b/>
        </w:rPr>
        <w:t xml:space="preserve">Планирање активности по годинама </w:t>
      </w:r>
    </w:p>
    <w:tbl>
      <w:tblPr>
        <w:tblStyle w:val="TableGrid"/>
        <w:tblW w:w="9610" w:type="dxa"/>
        <w:tblInd w:w="10" w:type="dxa"/>
        <w:tblCellMar>
          <w:top w:w="9" w:type="dxa"/>
          <w:left w:w="58" w:type="dxa"/>
          <w:bottom w:w="0" w:type="dxa"/>
          <w:right w:w="8" w:type="dxa"/>
        </w:tblCellMar>
        <w:tblLook w:val="04A0" w:firstRow="1" w:lastRow="0" w:firstColumn="1" w:lastColumn="0" w:noHBand="0" w:noVBand="1"/>
      </w:tblPr>
      <w:tblGrid>
        <w:gridCol w:w="427"/>
        <w:gridCol w:w="4122"/>
        <w:gridCol w:w="419"/>
        <w:gridCol w:w="421"/>
        <w:gridCol w:w="423"/>
        <w:gridCol w:w="421"/>
        <w:gridCol w:w="424"/>
        <w:gridCol w:w="421"/>
        <w:gridCol w:w="423"/>
        <w:gridCol w:w="420"/>
        <w:gridCol w:w="424"/>
        <w:gridCol w:w="422"/>
        <w:gridCol w:w="423"/>
        <w:gridCol w:w="420"/>
      </w:tblGrid>
      <w:tr w:rsidR="00E8309B">
        <w:trPr>
          <w:trHeight w:val="332"/>
        </w:trPr>
        <w:tc>
          <w:tcPr>
            <w:tcW w:w="427" w:type="dxa"/>
            <w:vMerge w:val="restart"/>
            <w:tcBorders>
              <w:top w:val="single" w:sz="8" w:space="0" w:color="000000"/>
              <w:left w:val="single" w:sz="8" w:space="0" w:color="000000"/>
              <w:bottom w:val="single" w:sz="8" w:space="0" w:color="000000"/>
              <w:right w:val="single" w:sz="8" w:space="0" w:color="000000"/>
            </w:tcBorders>
            <w:vAlign w:val="center"/>
          </w:tcPr>
          <w:p w:rsidR="00E8309B" w:rsidRDefault="009D0949">
            <w:pPr>
              <w:spacing w:after="0" w:line="259" w:lineRule="auto"/>
              <w:ind w:left="29" w:right="0" w:firstLine="0"/>
            </w:pPr>
            <w:r>
              <w:rPr>
                <w:b/>
                <w:sz w:val="20"/>
              </w:rPr>
              <w:lastRenderedPageBreak/>
              <w:t xml:space="preserve">РБ </w:t>
            </w:r>
          </w:p>
        </w:tc>
        <w:tc>
          <w:tcPr>
            <w:tcW w:w="4123" w:type="dxa"/>
            <w:vMerge w:val="restart"/>
            <w:tcBorders>
              <w:top w:val="single" w:sz="8" w:space="0" w:color="000000"/>
              <w:left w:val="single" w:sz="8" w:space="0" w:color="000000"/>
              <w:bottom w:val="single" w:sz="8" w:space="0" w:color="000000"/>
              <w:right w:val="single" w:sz="8" w:space="0" w:color="000000"/>
            </w:tcBorders>
            <w:vAlign w:val="center"/>
          </w:tcPr>
          <w:p w:rsidR="00E8309B" w:rsidRDefault="009D0949">
            <w:pPr>
              <w:spacing w:after="0" w:line="259" w:lineRule="auto"/>
              <w:ind w:left="0" w:right="0" w:firstLine="0"/>
              <w:jc w:val="left"/>
            </w:pPr>
            <w:r>
              <w:rPr>
                <w:b/>
                <w:sz w:val="20"/>
              </w:rPr>
              <w:t xml:space="preserve">Планиране активности </w:t>
            </w:r>
          </w:p>
        </w:tc>
        <w:tc>
          <w:tcPr>
            <w:tcW w:w="1263" w:type="dxa"/>
            <w:gridSpan w:val="3"/>
            <w:tcBorders>
              <w:top w:val="single" w:sz="8" w:space="0" w:color="000000"/>
              <w:left w:val="single" w:sz="8" w:space="0" w:color="000000"/>
              <w:bottom w:val="single" w:sz="4" w:space="0" w:color="000000"/>
              <w:right w:val="nil"/>
            </w:tcBorders>
          </w:tcPr>
          <w:p w:rsidR="00E8309B" w:rsidRDefault="009D0949">
            <w:pPr>
              <w:spacing w:after="0" w:line="259" w:lineRule="auto"/>
              <w:ind w:left="585" w:right="0" w:firstLine="0"/>
              <w:jc w:val="left"/>
            </w:pPr>
            <w:r>
              <w:rPr>
                <w:b/>
                <w:sz w:val="20"/>
              </w:rPr>
              <w:t xml:space="preserve">2021 </w:t>
            </w:r>
          </w:p>
        </w:tc>
        <w:tc>
          <w:tcPr>
            <w:tcW w:w="421" w:type="dxa"/>
            <w:tcBorders>
              <w:top w:val="single" w:sz="8" w:space="0" w:color="000000"/>
              <w:left w:val="nil"/>
              <w:bottom w:val="single" w:sz="4" w:space="0" w:color="000000"/>
              <w:right w:val="single" w:sz="8" w:space="0" w:color="000000"/>
            </w:tcBorders>
          </w:tcPr>
          <w:p w:rsidR="00E8309B" w:rsidRDefault="00E8309B">
            <w:pPr>
              <w:spacing w:after="160" w:line="259" w:lineRule="auto"/>
              <w:ind w:left="0" w:right="0" w:firstLine="0"/>
              <w:jc w:val="left"/>
            </w:pPr>
          </w:p>
        </w:tc>
        <w:tc>
          <w:tcPr>
            <w:tcW w:w="424" w:type="dxa"/>
            <w:tcBorders>
              <w:top w:val="single" w:sz="8" w:space="0" w:color="000000"/>
              <w:left w:val="single" w:sz="8" w:space="0" w:color="000000"/>
              <w:bottom w:val="single" w:sz="4" w:space="0" w:color="000000"/>
              <w:right w:val="nil"/>
            </w:tcBorders>
          </w:tcPr>
          <w:p w:rsidR="00E8309B" w:rsidRDefault="00E8309B">
            <w:pPr>
              <w:spacing w:after="160" w:line="259" w:lineRule="auto"/>
              <w:ind w:left="0" w:right="0" w:firstLine="0"/>
              <w:jc w:val="left"/>
            </w:pPr>
          </w:p>
        </w:tc>
        <w:tc>
          <w:tcPr>
            <w:tcW w:w="1264" w:type="dxa"/>
            <w:gridSpan w:val="3"/>
            <w:tcBorders>
              <w:top w:val="single" w:sz="8" w:space="0" w:color="000000"/>
              <w:left w:val="nil"/>
              <w:bottom w:val="single" w:sz="4" w:space="0" w:color="000000"/>
              <w:right w:val="single" w:sz="8" w:space="0" w:color="000000"/>
            </w:tcBorders>
          </w:tcPr>
          <w:p w:rsidR="00E8309B" w:rsidRDefault="009D0949">
            <w:pPr>
              <w:spacing w:after="0" w:line="259" w:lineRule="auto"/>
              <w:ind w:left="164" w:right="0" w:firstLine="0"/>
              <w:jc w:val="left"/>
            </w:pPr>
            <w:r>
              <w:rPr>
                <w:b/>
                <w:sz w:val="20"/>
              </w:rPr>
              <w:t xml:space="preserve">2022 </w:t>
            </w:r>
          </w:p>
        </w:tc>
        <w:tc>
          <w:tcPr>
            <w:tcW w:w="424" w:type="dxa"/>
            <w:tcBorders>
              <w:top w:val="single" w:sz="8" w:space="0" w:color="000000"/>
              <w:left w:val="single" w:sz="8" w:space="0" w:color="000000"/>
              <w:bottom w:val="single" w:sz="4" w:space="0" w:color="000000"/>
              <w:right w:val="nil"/>
            </w:tcBorders>
          </w:tcPr>
          <w:p w:rsidR="00E8309B" w:rsidRDefault="00E8309B">
            <w:pPr>
              <w:spacing w:after="160" w:line="259" w:lineRule="auto"/>
              <w:ind w:left="0" w:right="0" w:firstLine="0"/>
              <w:jc w:val="left"/>
            </w:pPr>
          </w:p>
        </w:tc>
        <w:tc>
          <w:tcPr>
            <w:tcW w:w="845" w:type="dxa"/>
            <w:gridSpan w:val="2"/>
            <w:tcBorders>
              <w:top w:val="single" w:sz="8" w:space="0" w:color="000000"/>
              <w:left w:val="nil"/>
              <w:bottom w:val="single" w:sz="4" w:space="0" w:color="000000"/>
              <w:right w:val="nil"/>
            </w:tcBorders>
          </w:tcPr>
          <w:p w:rsidR="00E8309B" w:rsidRDefault="009D0949">
            <w:pPr>
              <w:spacing w:after="0" w:line="259" w:lineRule="auto"/>
              <w:ind w:left="0" w:right="49" w:firstLine="0"/>
              <w:jc w:val="center"/>
            </w:pPr>
            <w:r>
              <w:rPr>
                <w:b/>
                <w:sz w:val="20"/>
              </w:rPr>
              <w:t xml:space="preserve">2023 </w:t>
            </w:r>
          </w:p>
        </w:tc>
        <w:tc>
          <w:tcPr>
            <w:tcW w:w="420" w:type="dxa"/>
            <w:tcBorders>
              <w:top w:val="single" w:sz="8" w:space="0" w:color="000000"/>
              <w:left w:val="nil"/>
              <w:bottom w:val="single" w:sz="4" w:space="0" w:color="000000"/>
              <w:right w:val="single" w:sz="8" w:space="0" w:color="000000"/>
            </w:tcBorders>
            <w:vAlign w:val="bottom"/>
          </w:tcPr>
          <w:p w:rsidR="00E8309B" w:rsidRDefault="00E8309B">
            <w:pPr>
              <w:spacing w:after="160" w:line="259" w:lineRule="auto"/>
              <w:ind w:left="0" w:right="0" w:firstLine="0"/>
              <w:jc w:val="left"/>
            </w:pPr>
          </w:p>
        </w:tc>
      </w:tr>
      <w:tr w:rsidR="00E8309B">
        <w:trPr>
          <w:trHeight w:val="326"/>
        </w:trPr>
        <w:tc>
          <w:tcPr>
            <w:tcW w:w="0" w:type="auto"/>
            <w:vMerge/>
            <w:tcBorders>
              <w:top w:val="nil"/>
              <w:left w:val="single" w:sz="8" w:space="0" w:color="000000"/>
              <w:bottom w:val="single" w:sz="8" w:space="0" w:color="000000"/>
              <w:right w:val="single" w:sz="8" w:space="0" w:color="000000"/>
            </w:tcBorders>
          </w:tcPr>
          <w:p w:rsidR="00E8309B" w:rsidRDefault="00E8309B">
            <w:pPr>
              <w:spacing w:after="160" w:line="259" w:lineRule="auto"/>
              <w:ind w:left="0" w:right="0" w:firstLine="0"/>
              <w:jc w:val="left"/>
            </w:pPr>
          </w:p>
        </w:tc>
        <w:tc>
          <w:tcPr>
            <w:tcW w:w="0" w:type="auto"/>
            <w:vMerge/>
            <w:tcBorders>
              <w:top w:val="nil"/>
              <w:left w:val="single" w:sz="8" w:space="0" w:color="000000"/>
              <w:bottom w:val="single" w:sz="8" w:space="0" w:color="000000"/>
              <w:right w:val="single" w:sz="8" w:space="0" w:color="000000"/>
            </w:tcBorders>
          </w:tcPr>
          <w:p w:rsidR="00E8309B" w:rsidRDefault="00E8309B">
            <w:pPr>
              <w:spacing w:after="160" w:line="259" w:lineRule="auto"/>
              <w:ind w:left="0" w:right="0" w:firstLine="0"/>
              <w:jc w:val="left"/>
            </w:pPr>
          </w:p>
        </w:tc>
        <w:tc>
          <w:tcPr>
            <w:tcW w:w="419" w:type="dxa"/>
            <w:tcBorders>
              <w:top w:val="single" w:sz="4" w:space="0" w:color="000000"/>
              <w:left w:val="single" w:sz="8" w:space="0" w:color="000000"/>
              <w:bottom w:val="single" w:sz="8" w:space="0" w:color="000000"/>
              <w:right w:val="single" w:sz="4" w:space="0" w:color="000000"/>
            </w:tcBorders>
          </w:tcPr>
          <w:p w:rsidR="00E8309B" w:rsidRDefault="009D0949">
            <w:pPr>
              <w:spacing w:after="0" w:line="259" w:lineRule="auto"/>
              <w:ind w:left="42" w:right="0" w:firstLine="0"/>
              <w:jc w:val="left"/>
            </w:pPr>
            <w:r>
              <w:rPr>
                <w:i/>
                <w:sz w:val="18"/>
              </w:rPr>
              <w:t xml:space="preserve">Q1 </w:t>
            </w:r>
          </w:p>
        </w:tc>
        <w:tc>
          <w:tcPr>
            <w:tcW w:w="421" w:type="dxa"/>
            <w:tcBorders>
              <w:top w:val="single" w:sz="4" w:space="0" w:color="000000"/>
              <w:left w:val="single" w:sz="4" w:space="0" w:color="000000"/>
              <w:bottom w:val="single" w:sz="8" w:space="0" w:color="000000"/>
              <w:right w:val="single" w:sz="4" w:space="0" w:color="000000"/>
            </w:tcBorders>
          </w:tcPr>
          <w:p w:rsidR="00E8309B" w:rsidRDefault="009D0949">
            <w:pPr>
              <w:spacing w:after="0" w:line="259" w:lineRule="auto"/>
              <w:ind w:left="43" w:right="0" w:firstLine="0"/>
              <w:jc w:val="left"/>
            </w:pPr>
            <w:r>
              <w:rPr>
                <w:i/>
                <w:sz w:val="18"/>
              </w:rPr>
              <w:t xml:space="preserve">Q2 </w:t>
            </w:r>
          </w:p>
        </w:tc>
        <w:tc>
          <w:tcPr>
            <w:tcW w:w="422" w:type="dxa"/>
            <w:tcBorders>
              <w:top w:val="single" w:sz="4" w:space="0" w:color="000000"/>
              <w:left w:val="single" w:sz="4" w:space="0" w:color="000000"/>
              <w:bottom w:val="single" w:sz="8" w:space="0" w:color="000000"/>
              <w:right w:val="single" w:sz="4" w:space="0" w:color="000000"/>
            </w:tcBorders>
          </w:tcPr>
          <w:p w:rsidR="00E8309B" w:rsidRDefault="009D0949">
            <w:pPr>
              <w:spacing w:after="0" w:line="259" w:lineRule="auto"/>
              <w:ind w:left="44" w:right="0" w:firstLine="0"/>
              <w:jc w:val="left"/>
            </w:pPr>
            <w:r>
              <w:rPr>
                <w:i/>
                <w:sz w:val="18"/>
              </w:rPr>
              <w:t xml:space="preserve">Q3 </w:t>
            </w:r>
          </w:p>
        </w:tc>
        <w:tc>
          <w:tcPr>
            <w:tcW w:w="421" w:type="dxa"/>
            <w:tcBorders>
              <w:top w:val="single" w:sz="4" w:space="0" w:color="000000"/>
              <w:left w:val="single" w:sz="4" w:space="0" w:color="000000"/>
              <w:bottom w:val="single" w:sz="8" w:space="0" w:color="000000"/>
              <w:right w:val="single" w:sz="8" w:space="0" w:color="000000"/>
            </w:tcBorders>
          </w:tcPr>
          <w:p w:rsidR="00E8309B" w:rsidRDefault="009D0949">
            <w:pPr>
              <w:spacing w:after="0" w:line="259" w:lineRule="auto"/>
              <w:ind w:left="44" w:right="0" w:firstLine="0"/>
              <w:jc w:val="left"/>
            </w:pPr>
            <w:r>
              <w:rPr>
                <w:i/>
                <w:sz w:val="18"/>
              </w:rPr>
              <w:t xml:space="preserve">Q4 </w:t>
            </w:r>
          </w:p>
        </w:tc>
        <w:tc>
          <w:tcPr>
            <w:tcW w:w="424" w:type="dxa"/>
            <w:tcBorders>
              <w:top w:val="single" w:sz="4" w:space="0" w:color="000000"/>
              <w:left w:val="single" w:sz="8" w:space="0" w:color="000000"/>
              <w:bottom w:val="single" w:sz="8" w:space="0" w:color="000000"/>
              <w:right w:val="single" w:sz="4" w:space="0" w:color="000000"/>
            </w:tcBorders>
          </w:tcPr>
          <w:p w:rsidR="00E8309B" w:rsidRDefault="009D0949">
            <w:pPr>
              <w:spacing w:after="0" w:line="259" w:lineRule="auto"/>
              <w:ind w:left="46" w:right="0" w:firstLine="0"/>
              <w:jc w:val="left"/>
            </w:pPr>
            <w:r>
              <w:rPr>
                <w:i/>
                <w:sz w:val="18"/>
              </w:rPr>
              <w:t xml:space="preserve">Q1 </w:t>
            </w:r>
          </w:p>
        </w:tc>
        <w:tc>
          <w:tcPr>
            <w:tcW w:w="421" w:type="dxa"/>
            <w:tcBorders>
              <w:top w:val="single" w:sz="4" w:space="0" w:color="000000"/>
              <w:left w:val="single" w:sz="4" w:space="0" w:color="000000"/>
              <w:bottom w:val="single" w:sz="8" w:space="0" w:color="000000"/>
              <w:right w:val="single" w:sz="4" w:space="0" w:color="000000"/>
            </w:tcBorders>
          </w:tcPr>
          <w:p w:rsidR="00E8309B" w:rsidRDefault="009D0949">
            <w:pPr>
              <w:spacing w:after="0" w:line="259" w:lineRule="auto"/>
              <w:ind w:left="44" w:right="0" w:firstLine="0"/>
              <w:jc w:val="left"/>
            </w:pPr>
            <w:r>
              <w:rPr>
                <w:i/>
                <w:sz w:val="18"/>
              </w:rPr>
              <w:t xml:space="preserve">Q2 </w:t>
            </w:r>
          </w:p>
        </w:tc>
        <w:tc>
          <w:tcPr>
            <w:tcW w:w="423" w:type="dxa"/>
            <w:tcBorders>
              <w:top w:val="single" w:sz="4" w:space="0" w:color="000000"/>
              <w:left w:val="single" w:sz="4" w:space="0" w:color="000000"/>
              <w:bottom w:val="single" w:sz="8" w:space="0" w:color="000000"/>
              <w:right w:val="single" w:sz="4" w:space="0" w:color="000000"/>
            </w:tcBorders>
          </w:tcPr>
          <w:p w:rsidR="00E8309B" w:rsidRDefault="009D0949">
            <w:pPr>
              <w:spacing w:after="0" w:line="259" w:lineRule="auto"/>
              <w:ind w:left="46" w:right="0" w:firstLine="0"/>
              <w:jc w:val="left"/>
            </w:pPr>
            <w:r>
              <w:rPr>
                <w:i/>
                <w:sz w:val="18"/>
              </w:rPr>
              <w:t xml:space="preserve">Q3 </w:t>
            </w:r>
          </w:p>
        </w:tc>
        <w:tc>
          <w:tcPr>
            <w:tcW w:w="420" w:type="dxa"/>
            <w:tcBorders>
              <w:top w:val="single" w:sz="4" w:space="0" w:color="000000"/>
              <w:left w:val="single" w:sz="4" w:space="0" w:color="000000"/>
              <w:bottom w:val="single" w:sz="8" w:space="0" w:color="000000"/>
              <w:right w:val="single" w:sz="8" w:space="0" w:color="000000"/>
            </w:tcBorders>
          </w:tcPr>
          <w:p w:rsidR="00E8309B" w:rsidRDefault="009D0949">
            <w:pPr>
              <w:spacing w:after="0" w:line="259" w:lineRule="auto"/>
              <w:ind w:left="43" w:right="0" w:firstLine="0"/>
              <w:jc w:val="left"/>
            </w:pPr>
            <w:r>
              <w:rPr>
                <w:i/>
                <w:sz w:val="18"/>
              </w:rPr>
              <w:t xml:space="preserve">Q4 </w:t>
            </w:r>
          </w:p>
        </w:tc>
        <w:tc>
          <w:tcPr>
            <w:tcW w:w="424" w:type="dxa"/>
            <w:tcBorders>
              <w:top w:val="single" w:sz="4" w:space="0" w:color="000000"/>
              <w:left w:val="single" w:sz="8" w:space="0" w:color="000000"/>
              <w:bottom w:val="single" w:sz="8" w:space="0" w:color="000000"/>
              <w:right w:val="single" w:sz="4" w:space="0" w:color="000000"/>
            </w:tcBorders>
          </w:tcPr>
          <w:p w:rsidR="00E8309B" w:rsidRDefault="009D0949">
            <w:pPr>
              <w:spacing w:after="0" w:line="259" w:lineRule="auto"/>
              <w:ind w:left="46" w:right="0" w:firstLine="0"/>
              <w:jc w:val="left"/>
            </w:pPr>
            <w:r>
              <w:rPr>
                <w:i/>
                <w:sz w:val="18"/>
              </w:rPr>
              <w:t xml:space="preserve">Q1 </w:t>
            </w:r>
          </w:p>
        </w:tc>
        <w:tc>
          <w:tcPr>
            <w:tcW w:w="422" w:type="dxa"/>
            <w:tcBorders>
              <w:top w:val="single" w:sz="4" w:space="0" w:color="000000"/>
              <w:left w:val="single" w:sz="4" w:space="0" w:color="000000"/>
              <w:bottom w:val="single" w:sz="8" w:space="0" w:color="000000"/>
              <w:right w:val="single" w:sz="4" w:space="0" w:color="000000"/>
            </w:tcBorders>
          </w:tcPr>
          <w:p w:rsidR="00E8309B" w:rsidRDefault="009D0949">
            <w:pPr>
              <w:spacing w:after="0" w:line="259" w:lineRule="auto"/>
              <w:ind w:left="44" w:right="0" w:firstLine="0"/>
              <w:jc w:val="left"/>
            </w:pPr>
            <w:r>
              <w:rPr>
                <w:i/>
                <w:sz w:val="18"/>
              </w:rPr>
              <w:t xml:space="preserve">Q2 </w:t>
            </w:r>
          </w:p>
        </w:tc>
        <w:tc>
          <w:tcPr>
            <w:tcW w:w="422" w:type="dxa"/>
            <w:tcBorders>
              <w:top w:val="single" w:sz="4" w:space="0" w:color="000000"/>
              <w:left w:val="single" w:sz="4" w:space="0" w:color="000000"/>
              <w:bottom w:val="single" w:sz="8" w:space="0" w:color="000000"/>
              <w:right w:val="single" w:sz="4" w:space="0" w:color="000000"/>
            </w:tcBorders>
          </w:tcPr>
          <w:p w:rsidR="00E8309B" w:rsidRDefault="009D0949">
            <w:pPr>
              <w:spacing w:after="0" w:line="259" w:lineRule="auto"/>
              <w:ind w:left="44" w:right="0" w:firstLine="0"/>
              <w:jc w:val="left"/>
            </w:pPr>
            <w:r>
              <w:rPr>
                <w:i/>
                <w:sz w:val="18"/>
              </w:rPr>
              <w:t xml:space="preserve">Q3 </w:t>
            </w:r>
          </w:p>
        </w:tc>
        <w:tc>
          <w:tcPr>
            <w:tcW w:w="420" w:type="dxa"/>
            <w:tcBorders>
              <w:top w:val="single" w:sz="4" w:space="0" w:color="000000"/>
              <w:left w:val="single" w:sz="4" w:space="0" w:color="000000"/>
              <w:bottom w:val="single" w:sz="8" w:space="0" w:color="000000"/>
              <w:right w:val="single" w:sz="8" w:space="0" w:color="000000"/>
            </w:tcBorders>
          </w:tcPr>
          <w:p w:rsidR="00E8309B" w:rsidRDefault="009D0949">
            <w:pPr>
              <w:spacing w:after="0" w:line="259" w:lineRule="auto"/>
              <w:ind w:left="44" w:right="0" w:firstLine="0"/>
              <w:jc w:val="left"/>
            </w:pPr>
            <w:r>
              <w:rPr>
                <w:i/>
                <w:sz w:val="18"/>
              </w:rPr>
              <w:t xml:space="preserve">Q4 </w:t>
            </w:r>
          </w:p>
        </w:tc>
      </w:tr>
      <w:tr w:rsidR="00E8309B">
        <w:trPr>
          <w:trHeight w:val="473"/>
        </w:trPr>
        <w:tc>
          <w:tcPr>
            <w:tcW w:w="427" w:type="dxa"/>
            <w:tcBorders>
              <w:top w:val="single" w:sz="8" w:space="0" w:color="000000"/>
              <w:left w:val="single" w:sz="8" w:space="0" w:color="000000"/>
              <w:bottom w:val="single" w:sz="4" w:space="0" w:color="000000"/>
              <w:right w:val="single" w:sz="8" w:space="0" w:color="000000"/>
            </w:tcBorders>
          </w:tcPr>
          <w:p w:rsidR="00E8309B" w:rsidRDefault="009D0949">
            <w:pPr>
              <w:spacing w:after="0" w:line="259" w:lineRule="auto"/>
              <w:ind w:left="0" w:right="51" w:firstLine="0"/>
              <w:jc w:val="right"/>
            </w:pPr>
            <w:r>
              <w:rPr>
                <w:sz w:val="20"/>
              </w:rPr>
              <w:t xml:space="preserve">1 </w:t>
            </w:r>
          </w:p>
        </w:tc>
        <w:tc>
          <w:tcPr>
            <w:tcW w:w="4123" w:type="dxa"/>
            <w:tcBorders>
              <w:top w:val="single" w:sz="8" w:space="0" w:color="000000"/>
              <w:left w:val="single" w:sz="8" w:space="0" w:color="000000"/>
              <w:bottom w:val="single" w:sz="4" w:space="0" w:color="000000"/>
              <w:right w:val="single" w:sz="8" w:space="0" w:color="000000"/>
            </w:tcBorders>
          </w:tcPr>
          <w:p w:rsidR="00E8309B" w:rsidRDefault="009D0949">
            <w:pPr>
              <w:spacing w:after="0" w:line="259" w:lineRule="auto"/>
              <w:ind w:left="0" w:right="0" w:firstLine="0"/>
              <w:jc w:val="left"/>
            </w:pPr>
            <w:r>
              <w:rPr>
                <w:sz w:val="20"/>
              </w:rPr>
              <w:t xml:space="preserve">Измена Закона о ефикасном коришћењу енергије </w:t>
            </w:r>
          </w:p>
        </w:tc>
        <w:tc>
          <w:tcPr>
            <w:tcW w:w="419" w:type="dxa"/>
            <w:tcBorders>
              <w:top w:val="single" w:sz="8" w:space="0" w:color="000000"/>
              <w:left w:val="single" w:sz="8"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1" w:right="0" w:firstLine="0"/>
              <w:jc w:val="center"/>
            </w:pPr>
            <w:r>
              <w:rPr>
                <w:sz w:val="20"/>
              </w:rPr>
              <w:t xml:space="preserve"> </w:t>
            </w:r>
          </w:p>
        </w:tc>
        <w:tc>
          <w:tcPr>
            <w:tcW w:w="421" w:type="dxa"/>
            <w:tcBorders>
              <w:top w:val="single" w:sz="8"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1" w:right="0" w:firstLine="0"/>
              <w:jc w:val="center"/>
            </w:pPr>
            <w:r>
              <w:rPr>
                <w:sz w:val="20"/>
              </w:rPr>
              <w:t xml:space="preserve"> </w:t>
            </w:r>
          </w:p>
        </w:tc>
        <w:tc>
          <w:tcPr>
            <w:tcW w:w="422" w:type="dxa"/>
            <w:tcBorders>
              <w:top w:val="single" w:sz="8"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2" w:right="0" w:firstLine="0"/>
              <w:jc w:val="center"/>
            </w:pPr>
            <w:r>
              <w:rPr>
                <w:sz w:val="20"/>
              </w:rPr>
              <w:t xml:space="preserve"> </w:t>
            </w:r>
          </w:p>
        </w:tc>
        <w:tc>
          <w:tcPr>
            <w:tcW w:w="421" w:type="dxa"/>
            <w:tcBorders>
              <w:top w:val="single" w:sz="8" w:space="0" w:color="000000"/>
              <w:left w:val="single" w:sz="4" w:space="0" w:color="000000"/>
              <w:bottom w:val="single" w:sz="4" w:space="0" w:color="000000"/>
              <w:right w:val="single" w:sz="8" w:space="0" w:color="000000"/>
            </w:tcBorders>
            <w:vAlign w:val="center"/>
          </w:tcPr>
          <w:p w:rsidR="00E8309B" w:rsidRDefault="009D0949">
            <w:pPr>
              <w:spacing w:after="0" w:line="259" w:lineRule="auto"/>
              <w:ind w:left="4" w:right="0" w:firstLine="0"/>
              <w:jc w:val="center"/>
            </w:pPr>
            <w:r>
              <w:rPr>
                <w:sz w:val="20"/>
              </w:rPr>
              <w:t xml:space="preserve"> </w:t>
            </w:r>
          </w:p>
        </w:tc>
        <w:tc>
          <w:tcPr>
            <w:tcW w:w="424" w:type="dxa"/>
            <w:tcBorders>
              <w:top w:val="single" w:sz="8" w:space="0" w:color="000000"/>
              <w:left w:val="single" w:sz="8" w:space="0" w:color="000000"/>
              <w:bottom w:val="single" w:sz="4" w:space="0" w:color="000000"/>
              <w:right w:val="single" w:sz="4" w:space="0" w:color="000000"/>
            </w:tcBorders>
            <w:vAlign w:val="center"/>
          </w:tcPr>
          <w:p w:rsidR="00E8309B" w:rsidRDefault="009D0949">
            <w:pPr>
              <w:spacing w:after="0" w:line="259" w:lineRule="auto"/>
              <w:ind w:left="4" w:right="0" w:firstLine="0"/>
              <w:jc w:val="center"/>
            </w:pPr>
            <w:r>
              <w:rPr>
                <w:sz w:val="20"/>
              </w:rPr>
              <w:t xml:space="preserve"> </w:t>
            </w:r>
          </w:p>
        </w:tc>
        <w:tc>
          <w:tcPr>
            <w:tcW w:w="421" w:type="dxa"/>
            <w:tcBorders>
              <w:top w:val="single" w:sz="8"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4" w:right="0" w:firstLine="0"/>
              <w:jc w:val="center"/>
            </w:pPr>
            <w:r>
              <w:rPr>
                <w:sz w:val="20"/>
              </w:rPr>
              <w:t xml:space="preserve"> </w:t>
            </w:r>
          </w:p>
        </w:tc>
        <w:tc>
          <w:tcPr>
            <w:tcW w:w="423" w:type="dxa"/>
            <w:tcBorders>
              <w:top w:val="single" w:sz="8"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5" w:right="0" w:firstLine="0"/>
              <w:jc w:val="center"/>
            </w:pPr>
            <w:r>
              <w:rPr>
                <w:sz w:val="20"/>
              </w:rPr>
              <w:t xml:space="preserve"> </w:t>
            </w:r>
          </w:p>
        </w:tc>
        <w:tc>
          <w:tcPr>
            <w:tcW w:w="420" w:type="dxa"/>
            <w:tcBorders>
              <w:top w:val="single" w:sz="8" w:space="0" w:color="000000"/>
              <w:left w:val="single" w:sz="4" w:space="0" w:color="000000"/>
              <w:bottom w:val="single" w:sz="4" w:space="0" w:color="000000"/>
              <w:right w:val="single" w:sz="8" w:space="0" w:color="000000"/>
            </w:tcBorders>
            <w:vAlign w:val="center"/>
          </w:tcPr>
          <w:p w:rsidR="00E8309B" w:rsidRDefault="009D0949">
            <w:pPr>
              <w:spacing w:after="0" w:line="259" w:lineRule="auto"/>
              <w:ind w:left="2" w:right="0" w:firstLine="0"/>
              <w:jc w:val="center"/>
            </w:pPr>
            <w:r>
              <w:rPr>
                <w:sz w:val="20"/>
              </w:rPr>
              <w:t xml:space="preserve"> </w:t>
            </w:r>
          </w:p>
        </w:tc>
        <w:tc>
          <w:tcPr>
            <w:tcW w:w="424" w:type="dxa"/>
            <w:tcBorders>
              <w:top w:val="single" w:sz="8" w:space="0" w:color="000000"/>
              <w:left w:val="single" w:sz="8" w:space="0" w:color="000000"/>
              <w:bottom w:val="single" w:sz="4" w:space="0" w:color="000000"/>
              <w:right w:val="single" w:sz="4" w:space="0" w:color="000000"/>
            </w:tcBorders>
            <w:vAlign w:val="center"/>
          </w:tcPr>
          <w:p w:rsidR="00E8309B" w:rsidRDefault="009D0949">
            <w:pPr>
              <w:spacing w:after="0" w:line="259" w:lineRule="auto"/>
              <w:ind w:left="4" w:right="0" w:firstLine="0"/>
              <w:jc w:val="center"/>
            </w:pPr>
            <w:r>
              <w:rPr>
                <w:sz w:val="20"/>
              </w:rPr>
              <w:t xml:space="preserve"> </w:t>
            </w:r>
          </w:p>
        </w:tc>
        <w:tc>
          <w:tcPr>
            <w:tcW w:w="422" w:type="dxa"/>
            <w:tcBorders>
              <w:top w:val="single" w:sz="8"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2" w:right="0" w:firstLine="0"/>
              <w:jc w:val="center"/>
            </w:pPr>
            <w:r>
              <w:rPr>
                <w:sz w:val="20"/>
              </w:rPr>
              <w:t xml:space="preserve"> </w:t>
            </w:r>
          </w:p>
        </w:tc>
        <w:tc>
          <w:tcPr>
            <w:tcW w:w="422" w:type="dxa"/>
            <w:tcBorders>
              <w:top w:val="single" w:sz="8"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2" w:right="0" w:firstLine="0"/>
              <w:jc w:val="center"/>
            </w:pPr>
            <w:r>
              <w:rPr>
                <w:sz w:val="20"/>
              </w:rPr>
              <w:t xml:space="preserve"> </w:t>
            </w:r>
          </w:p>
        </w:tc>
        <w:tc>
          <w:tcPr>
            <w:tcW w:w="420" w:type="dxa"/>
            <w:tcBorders>
              <w:top w:val="single" w:sz="8" w:space="0" w:color="000000"/>
              <w:left w:val="single" w:sz="4" w:space="0" w:color="000000"/>
              <w:bottom w:val="single" w:sz="4" w:space="0" w:color="000000"/>
              <w:right w:val="single" w:sz="8" w:space="0" w:color="000000"/>
            </w:tcBorders>
            <w:vAlign w:val="center"/>
          </w:tcPr>
          <w:p w:rsidR="00E8309B" w:rsidRDefault="009D0949">
            <w:pPr>
              <w:spacing w:after="0" w:line="259" w:lineRule="auto"/>
              <w:ind w:left="5" w:right="0" w:firstLine="0"/>
              <w:jc w:val="center"/>
            </w:pPr>
            <w:r>
              <w:rPr>
                <w:sz w:val="20"/>
              </w:rPr>
              <w:t xml:space="preserve"> </w:t>
            </w:r>
          </w:p>
        </w:tc>
      </w:tr>
      <w:tr w:rsidR="00E8309B">
        <w:trPr>
          <w:trHeight w:val="470"/>
        </w:trPr>
        <w:tc>
          <w:tcPr>
            <w:tcW w:w="427" w:type="dxa"/>
            <w:tcBorders>
              <w:top w:val="single" w:sz="4" w:space="0" w:color="000000"/>
              <w:left w:val="single" w:sz="8" w:space="0" w:color="000000"/>
              <w:bottom w:val="single" w:sz="4" w:space="0" w:color="000000"/>
              <w:right w:val="single" w:sz="8" w:space="0" w:color="000000"/>
            </w:tcBorders>
          </w:tcPr>
          <w:p w:rsidR="00E8309B" w:rsidRDefault="009D0949">
            <w:pPr>
              <w:spacing w:after="0" w:line="259" w:lineRule="auto"/>
              <w:ind w:left="0" w:right="51" w:firstLine="0"/>
              <w:jc w:val="right"/>
            </w:pPr>
            <w:r>
              <w:rPr>
                <w:sz w:val="20"/>
              </w:rPr>
              <w:t xml:space="preserve">2 </w:t>
            </w:r>
          </w:p>
        </w:tc>
        <w:tc>
          <w:tcPr>
            <w:tcW w:w="4123" w:type="dxa"/>
            <w:tcBorders>
              <w:top w:val="single" w:sz="4" w:space="0" w:color="000000"/>
              <w:left w:val="single" w:sz="8" w:space="0" w:color="000000"/>
              <w:bottom w:val="single" w:sz="4" w:space="0" w:color="000000"/>
              <w:right w:val="single" w:sz="8" w:space="0" w:color="000000"/>
            </w:tcBorders>
          </w:tcPr>
          <w:p w:rsidR="00E8309B" w:rsidRDefault="009D0949">
            <w:pPr>
              <w:spacing w:after="0" w:line="259" w:lineRule="auto"/>
              <w:ind w:left="0" w:right="0" w:firstLine="0"/>
              <w:jc w:val="left"/>
            </w:pPr>
            <w:r>
              <w:rPr>
                <w:sz w:val="20"/>
              </w:rPr>
              <w:t xml:space="preserve">Успостављање одрживог начина финансирања енергетске ефикасности </w:t>
            </w:r>
          </w:p>
        </w:tc>
        <w:tc>
          <w:tcPr>
            <w:tcW w:w="419" w:type="dxa"/>
            <w:tcBorders>
              <w:top w:val="single" w:sz="4" w:space="0" w:color="000000"/>
              <w:left w:val="single" w:sz="8"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1" w:right="0" w:firstLine="0"/>
              <w:jc w:val="center"/>
            </w:pPr>
            <w:r>
              <w:rPr>
                <w:sz w:val="20"/>
              </w:rPr>
              <w:t xml:space="preserve"> </w:t>
            </w:r>
          </w:p>
        </w:tc>
        <w:tc>
          <w:tcPr>
            <w:tcW w:w="421"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1" w:right="0" w:firstLine="0"/>
              <w:jc w:val="center"/>
            </w:pPr>
            <w:r>
              <w:rPr>
                <w:sz w:val="20"/>
              </w:rPr>
              <w:t xml:space="preserve"> </w:t>
            </w:r>
          </w:p>
        </w:tc>
        <w:tc>
          <w:tcPr>
            <w:tcW w:w="422"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2" w:right="0" w:firstLine="0"/>
              <w:jc w:val="center"/>
            </w:pPr>
            <w:r>
              <w:rPr>
                <w:sz w:val="20"/>
              </w:rPr>
              <w:t xml:space="preserve"> </w:t>
            </w:r>
          </w:p>
        </w:tc>
        <w:tc>
          <w:tcPr>
            <w:tcW w:w="421" w:type="dxa"/>
            <w:tcBorders>
              <w:top w:val="single" w:sz="4" w:space="0" w:color="000000"/>
              <w:left w:val="single" w:sz="4" w:space="0" w:color="000000"/>
              <w:bottom w:val="single" w:sz="4" w:space="0" w:color="000000"/>
              <w:right w:val="single" w:sz="8" w:space="0" w:color="000000"/>
            </w:tcBorders>
            <w:vAlign w:val="center"/>
          </w:tcPr>
          <w:p w:rsidR="00E8309B" w:rsidRDefault="009D0949">
            <w:pPr>
              <w:spacing w:after="0" w:line="259" w:lineRule="auto"/>
              <w:ind w:left="4" w:right="0" w:firstLine="0"/>
              <w:jc w:val="center"/>
            </w:pPr>
            <w:r>
              <w:rPr>
                <w:sz w:val="20"/>
              </w:rPr>
              <w:t xml:space="preserve"> </w:t>
            </w:r>
          </w:p>
        </w:tc>
        <w:tc>
          <w:tcPr>
            <w:tcW w:w="424" w:type="dxa"/>
            <w:tcBorders>
              <w:top w:val="single" w:sz="4" w:space="0" w:color="000000"/>
              <w:left w:val="single" w:sz="8" w:space="0" w:color="000000"/>
              <w:bottom w:val="single" w:sz="4" w:space="0" w:color="000000"/>
              <w:right w:val="single" w:sz="4" w:space="0" w:color="000000"/>
            </w:tcBorders>
            <w:vAlign w:val="center"/>
          </w:tcPr>
          <w:p w:rsidR="00E8309B" w:rsidRDefault="009D0949">
            <w:pPr>
              <w:spacing w:after="0" w:line="259" w:lineRule="auto"/>
              <w:ind w:left="4" w:right="0" w:firstLine="0"/>
              <w:jc w:val="center"/>
            </w:pPr>
            <w:r>
              <w:rPr>
                <w:sz w:val="20"/>
              </w:rPr>
              <w:t xml:space="preserve"> </w:t>
            </w:r>
          </w:p>
        </w:tc>
        <w:tc>
          <w:tcPr>
            <w:tcW w:w="421"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4" w:right="0" w:firstLine="0"/>
              <w:jc w:val="center"/>
            </w:pPr>
            <w:r>
              <w:rPr>
                <w:sz w:val="20"/>
              </w:rPr>
              <w:t xml:space="preserve"> </w:t>
            </w:r>
          </w:p>
        </w:tc>
        <w:tc>
          <w:tcPr>
            <w:tcW w:w="423"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5" w:right="0" w:firstLine="0"/>
              <w:jc w:val="center"/>
            </w:pPr>
            <w:r>
              <w:rPr>
                <w:sz w:val="20"/>
              </w:rPr>
              <w:t xml:space="preserve"> </w:t>
            </w:r>
          </w:p>
        </w:tc>
        <w:tc>
          <w:tcPr>
            <w:tcW w:w="420" w:type="dxa"/>
            <w:tcBorders>
              <w:top w:val="single" w:sz="4" w:space="0" w:color="000000"/>
              <w:left w:val="single" w:sz="4" w:space="0" w:color="000000"/>
              <w:bottom w:val="single" w:sz="4" w:space="0" w:color="000000"/>
              <w:right w:val="single" w:sz="8" w:space="0" w:color="000000"/>
            </w:tcBorders>
            <w:vAlign w:val="center"/>
          </w:tcPr>
          <w:p w:rsidR="00E8309B" w:rsidRDefault="009D0949">
            <w:pPr>
              <w:spacing w:after="0" w:line="259" w:lineRule="auto"/>
              <w:ind w:left="2" w:right="0" w:firstLine="0"/>
              <w:jc w:val="center"/>
            </w:pPr>
            <w:r>
              <w:rPr>
                <w:sz w:val="20"/>
              </w:rPr>
              <w:t xml:space="preserve"> </w:t>
            </w:r>
          </w:p>
        </w:tc>
        <w:tc>
          <w:tcPr>
            <w:tcW w:w="424" w:type="dxa"/>
            <w:tcBorders>
              <w:top w:val="single" w:sz="4" w:space="0" w:color="000000"/>
              <w:left w:val="single" w:sz="8" w:space="0" w:color="000000"/>
              <w:bottom w:val="single" w:sz="4" w:space="0" w:color="000000"/>
              <w:right w:val="single" w:sz="4" w:space="0" w:color="000000"/>
            </w:tcBorders>
            <w:vAlign w:val="center"/>
          </w:tcPr>
          <w:p w:rsidR="00E8309B" w:rsidRDefault="009D0949">
            <w:pPr>
              <w:spacing w:after="0" w:line="259" w:lineRule="auto"/>
              <w:ind w:left="4" w:right="0" w:firstLine="0"/>
              <w:jc w:val="center"/>
            </w:pPr>
            <w:r>
              <w:rPr>
                <w:sz w:val="20"/>
              </w:rPr>
              <w:t xml:space="preserve"> </w:t>
            </w:r>
          </w:p>
        </w:tc>
        <w:tc>
          <w:tcPr>
            <w:tcW w:w="422"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2" w:right="0" w:firstLine="0"/>
              <w:jc w:val="center"/>
            </w:pPr>
            <w:r>
              <w:rPr>
                <w:sz w:val="20"/>
              </w:rPr>
              <w:t xml:space="preserve"> </w:t>
            </w:r>
          </w:p>
        </w:tc>
        <w:tc>
          <w:tcPr>
            <w:tcW w:w="422"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2" w:right="0" w:firstLine="0"/>
              <w:jc w:val="center"/>
            </w:pPr>
            <w:r>
              <w:rPr>
                <w:sz w:val="20"/>
              </w:rPr>
              <w:t xml:space="preserve"> </w:t>
            </w:r>
          </w:p>
        </w:tc>
        <w:tc>
          <w:tcPr>
            <w:tcW w:w="420" w:type="dxa"/>
            <w:tcBorders>
              <w:top w:val="single" w:sz="4" w:space="0" w:color="000000"/>
              <w:left w:val="single" w:sz="4" w:space="0" w:color="000000"/>
              <w:bottom w:val="single" w:sz="4" w:space="0" w:color="000000"/>
              <w:right w:val="single" w:sz="8" w:space="0" w:color="000000"/>
            </w:tcBorders>
            <w:vAlign w:val="center"/>
          </w:tcPr>
          <w:p w:rsidR="00E8309B" w:rsidRDefault="009D0949">
            <w:pPr>
              <w:spacing w:after="0" w:line="259" w:lineRule="auto"/>
              <w:ind w:left="5" w:right="0" w:firstLine="0"/>
              <w:jc w:val="center"/>
            </w:pPr>
            <w:r>
              <w:rPr>
                <w:sz w:val="20"/>
              </w:rPr>
              <w:t xml:space="preserve"> </w:t>
            </w:r>
          </w:p>
        </w:tc>
      </w:tr>
      <w:tr w:rsidR="00E8309B">
        <w:trPr>
          <w:trHeight w:val="700"/>
        </w:trPr>
        <w:tc>
          <w:tcPr>
            <w:tcW w:w="427" w:type="dxa"/>
            <w:tcBorders>
              <w:top w:val="single" w:sz="4" w:space="0" w:color="000000"/>
              <w:left w:val="single" w:sz="8" w:space="0" w:color="000000"/>
              <w:bottom w:val="single" w:sz="4" w:space="0" w:color="000000"/>
              <w:right w:val="single" w:sz="8" w:space="0" w:color="000000"/>
            </w:tcBorders>
          </w:tcPr>
          <w:p w:rsidR="00E8309B" w:rsidRDefault="009D0949">
            <w:pPr>
              <w:spacing w:after="0" w:line="259" w:lineRule="auto"/>
              <w:ind w:left="0" w:right="51" w:firstLine="0"/>
              <w:jc w:val="right"/>
            </w:pPr>
            <w:r>
              <w:rPr>
                <w:sz w:val="20"/>
              </w:rPr>
              <w:t xml:space="preserve">3 </w:t>
            </w:r>
          </w:p>
        </w:tc>
        <w:tc>
          <w:tcPr>
            <w:tcW w:w="4123" w:type="dxa"/>
            <w:tcBorders>
              <w:top w:val="single" w:sz="4" w:space="0" w:color="000000"/>
              <w:left w:val="single" w:sz="8" w:space="0" w:color="000000"/>
              <w:bottom w:val="single" w:sz="4" w:space="0" w:color="000000"/>
              <w:right w:val="single" w:sz="8" w:space="0" w:color="000000"/>
            </w:tcBorders>
          </w:tcPr>
          <w:p w:rsidR="00E8309B" w:rsidRDefault="009D0949">
            <w:pPr>
              <w:spacing w:after="0" w:line="259" w:lineRule="auto"/>
              <w:ind w:left="0" w:right="0" w:firstLine="0"/>
              <w:jc w:val="left"/>
            </w:pPr>
            <w:r>
              <w:rPr>
                <w:sz w:val="20"/>
              </w:rPr>
              <w:t xml:space="preserve">Доношење подзаконске регулативе у циљу потпуног усаглашавања са регулативом ЕУ у области енергетске ефикасности </w:t>
            </w:r>
          </w:p>
        </w:tc>
        <w:tc>
          <w:tcPr>
            <w:tcW w:w="419" w:type="dxa"/>
            <w:tcBorders>
              <w:top w:val="single" w:sz="4" w:space="0" w:color="000000"/>
              <w:left w:val="single" w:sz="8" w:space="0" w:color="000000"/>
              <w:bottom w:val="single" w:sz="4" w:space="0" w:color="000000"/>
              <w:right w:val="single" w:sz="4" w:space="0" w:color="000000"/>
            </w:tcBorders>
            <w:vAlign w:val="center"/>
          </w:tcPr>
          <w:p w:rsidR="00E8309B" w:rsidRDefault="009D0949">
            <w:pPr>
              <w:spacing w:after="0" w:line="259" w:lineRule="auto"/>
              <w:ind w:left="1" w:right="0" w:firstLine="0"/>
              <w:jc w:val="center"/>
            </w:pPr>
            <w:r>
              <w:rPr>
                <w:sz w:val="20"/>
              </w:rPr>
              <w:t xml:space="preserve"> </w:t>
            </w:r>
          </w:p>
        </w:tc>
        <w:tc>
          <w:tcPr>
            <w:tcW w:w="421"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1" w:right="0" w:firstLine="0"/>
              <w:jc w:val="center"/>
            </w:pPr>
            <w:r>
              <w:rPr>
                <w:sz w:val="20"/>
              </w:rPr>
              <w:t xml:space="preserve"> </w:t>
            </w:r>
          </w:p>
        </w:tc>
        <w:tc>
          <w:tcPr>
            <w:tcW w:w="422"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2" w:right="0" w:firstLine="0"/>
              <w:jc w:val="center"/>
            </w:pPr>
            <w:r>
              <w:rPr>
                <w:sz w:val="20"/>
              </w:rPr>
              <w:t xml:space="preserve"> </w:t>
            </w:r>
          </w:p>
        </w:tc>
        <w:tc>
          <w:tcPr>
            <w:tcW w:w="421" w:type="dxa"/>
            <w:tcBorders>
              <w:top w:val="single" w:sz="4" w:space="0" w:color="000000"/>
              <w:left w:val="single" w:sz="4" w:space="0" w:color="000000"/>
              <w:bottom w:val="single" w:sz="4" w:space="0" w:color="000000"/>
              <w:right w:val="single" w:sz="8" w:space="0" w:color="000000"/>
            </w:tcBorders>
            <w:shd w:val="clear" w:color="auto" w:fill="BFBFBF"/>
            <w:vAlign w:val="center"/>
          </w:tcPr>
          <w:p w:rsidR="00E8309B" w:rsidRDefault="009D0949">
            <w:pPr>
              <w:spacing w:after="0" w:line="259" w:lineRule="auto"/>
              <w:ind w:left="4" w:right="0" w:firstLine="0"/>
              <w:jc w:val="center"/>
            </w:pPr>
            <w:r>
              <w:rPr>
                <w:sz w:val="20"/>
              </w:rPr>
              <w:t xml:space="preserve"> </w:t>
            </w:r>
          </w:p>
        </w:tc>
        <w:tc>
          <w:tcPr>
            <w:tcW w:w="424" w:type="dxa"/>
            <w:tcBorders>
              <w:top w:val="single" w:sz="4" w:space="0" w:color="000000"/>
              <w:left w:val="single" w:sz="8"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4" w:right="0" w:firstLine="0"/>
              <w:jc w:val="center"/>
            </w:pPr>
            <w:r>
              <w:rPr>
                <w:sz w:val="20"/>
              </w:rPr>
              <w:t xml:space="preserve"> </w:t>
            </w:r>
          </w:p>
        </w:tc>
        <w:tc>
          <w:tcPr>
            <w:tcW w:w="421"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4" w:right="0" w:firstLine="0"/>
              <w:jc w:val="center"/>
            </w:pPr>
            <w:r>
              <w:rPr>
                <w:sz w:val="20"/>
              </w:rPr>
              <w:t xml:space="preserve"> </w:t>
            </w:r>
          </w:p>
        </w:tc>
        <w:tc>
          <w:tcPr>
            <w:tcW w:w="423"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5" w:right="0" w:firstLine="0"/>
              <w:jc w:val="center"/>
            </w:pPr>
            <w:r>
              <w:rPr>
                <w:sz w:val="20"/>
              </w:rPr>
              <w:t xml:space="preserve"> </w:t>
            </w:r>
          </w:p>
        </w:tc>
        <w:tc>
          <w:tcPr>
            <w:tcW w:w="420" w:type="dxa"/>
            <w:tcBorders>
              <w:top w:val="single" w:sz="4" w:space="0" w:color="000000"/>
              <w:left w:val="single" w:sz="4" w:space="0" w:color="000000"/>
              <w:bottom w:val="single" w:sz="4" w:space="0" w:color="000000"/>
              <w:right w:val="single" w:sz="8" w:space="0" w:color="000000"/>
            </w:tcBorders>
            <w:shd w:val="clear" w:color="auto" w:fill="BFBFBF"/>
            <w:vAlign w:val="center"/>
          </w:tcPr>
          <w:p w:rsidR="00E8309B" w:rsidRDefault="009D0949">
            <w:pPr>
              <w:spacing w:after="0" w:line="259" w:lineRule="auto"/>
              <w:ind w:left="2" w:right="0" w:firstLine="0"/>
              <w:jc w:val="center"/>
            </w:pPr>
            <w:r>
              <w:rPr>
                <w:sz w:val="20"/>
              </w:rPr>
              <w:t xml:space="preserve"> </w:t>
            </w:r>
          </w:p>
        </w:tc>
        <w:tc>
          <w:tcPr>
            <w:tcW w:w="424" w:type="dxa"/>
            <w:tcBorders>
              <w:top w:val="single" w:sz="4" w:space="0" w:color="000000"/>
              <w:left w:val="single" w:sz="8" w:space="0" w:color="000000"/>
              <w:bottom w:val="single" w:sz="4" w:space="0" w:color="000000"/>
              <w:right w:val="single" w:sz="4" w:space="0" w:color="000000"/>
            </w:tcBorders>
            <w:vAlign w:val="center"/>
          </w:tcPr>
          <w:p w:rsidR="00E8309B" w:rsidRDefault="009D0949">
            <w:pPr>
              <w:spacing w:after="0" w:line="259" w:lineRule="auto"/>
              <w:ind w:left="4" w:right="0" w:firstLine="0"/>
              <w:jc w:val="center"/>
            </w:pPr>
            <w:r>
              <w:rPr>
                <w:sz w:val="20"/>
              </w:rPr>
              <w:t xml:space="preserve"> </w:t>
            </w:r>
          </w:p>
        </w:tc>
        <w:tc>
          <w:tcPr>
            <w:tcW w:w="422"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2" w:right="0" w:firstLine="0"/>
              <w:jc w:val="center"/>
            </w:pPr>
            <w:r>
              <w:rPr>
                <w:sz w:val="20"/>
              </w:rPr>
              <w:t xml:space="preserve"> </w:t>
            </w:r>
          </w:p>
        </w:tc>
        <w:tc>
          <w:tcPr>
            <w:tcW w:w="422"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2" w:right="0" w:firstLine="0"/>
              <w:jc w:val="center"/>
            </w:pPr>
            <w:r>
              <w:rPr>
                <w:sz w:val="20"/>
              </w:rPr>
              <w:t xml:space="preserve"> </w:t>
            </w:r>
          </w:p>
        </w:tc>
        <w:tc>
          <w:tcPr>
            <w:tcW w:w="420" w:type="dxa"/>
            <w:tcBorders>
              <w:top w:val="single" w:sz="4" w:space="0" w:color="000000"/>
              <w:left w:val="single" w:sz="4" w:space="0" w:color="000000"/>
              <w:bottom w:val="single" w:sz="4" w:space="0" w:color="000000"/>
              <w:right w:val="single" w:sz="8" w:space="0" w:color="000000"/>
            </w:tcBorders>
            <w:vAlign w:val="center"/>
          </w:tcPr>
          <w:p w:rsidR="00E8309B" w:rsidRDefault="009D0949">
            <w:pPr>
              <w:spacing w:after="0" w:line="259" w:lineRule="auto"/>
              <w:ind w:left="5" w:right="0" w:firstLine="0"/>
              <w:jc w:val="center"/>
            </w:pPr>
            <w:r>
              <w:rPr>
                <w:sz w:val="20"/>
              </w:rPr>
              <w:t xml:space="preserve"> </w:t>
            </w:r>
          </w:p>
        </w:tc>
      </w:tr>
      <w:tr w:rsidR="00E8309B">
        <w:trPr>
          <w:trHeight w:val="469"/>
        </w:trPr>
        <w:tc>
          <w:tcPr>
            <w:tcW w:w="427" w:type="dxa"/>
            <w:tcBorders>
              <w:top w:val="single" w:sz="4" w:space="0" w:color="000000"/>
              <w:left w:val="single" w:sz="8" w:space="0" w:color="000000"/>
              <w:bottom w:val="single" w:sz="4" w:space="0" w:color="000000"/>
              <w:right w:val="single" w:sz="8" w:space="0" w:color="000000"/>
            </w:tcBorders>
          </w:tcPr>
          <w:p w:rsidR="00E8309B" w:rsidRDefault="009D0949">
            <w:pPr>
              <w:spacing w:after="0" w:line="259" w:lineRule="auto"/>
              <w:ind w:left="0" w:right="51" w:firstLine="0"/>
              <w:jc w:val="right"/>
            </w:pPr>
            <w:r>
              <w:rPr>
                <w:sz w:val="20"/>
              </w:rPr>
              <w:t xml:space="preserve">4 </w:t>
            </w:r>
          </w:p>
        </w:tc>
        <w:tc>
          <w:tcPr>
            <w:tcW w:w="4123" w:type="dxa"/>
            <w:tcBorders>
              <w:top w:val="single" w:sz="4" w:space="0" w:color="000000"/>
              <w:left w:val="single" w:sz="8" w:space="0" w:color="000000"/>
              <w:bottom w:val="single" w:sz="4" w:space="0" w:color="000000"/>
              <w:right w:val="single" w:sz="8" w:space="0" w:color="000000"/>
            </w:tcBorders>
          </w:tcPr>
          <w:p w:rsidR="00E8309B" w:rsidRDefault="009D0949">
            <w:pPr>
              <w:spacing w:after="0" w:line="259" w:lineRule="auto"/>
              <w:ind w:left="0" w:right="0" w:firstLine="0"/>
              <w:jc w:val="left"/>
            </w:pPr>
            <w:r>
              <w:rPr>
                <w:sz w:val="20"/>
              </w:rPr>
              <w:t xml:space="preserve">Прикупљања накнаде за енергетску ефикасност по основу Закона о накнадама </w:t>
            </w:r>
          </w:p>
        </w:tc>
        <w:tc>
          <w:tcPr>
            <w:tcW w:w="419" w:type="dxa"/>
            <w:tcBorders>
              <w:top w:val="single" w:sz="4" w:space="0" w:color="000000"/>
              <w:left w:val="single" w:sz="8"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1" w:right="0" w:firstLine="0"/>
              <w:jc w:val="center"/>
            </w:pPr>
            <w:r>
              <w:rPr>
                <w:sz w:val="20"/>
              </w:rPr>
              <w:t xml:space="preserve"> </w:t>
            </w:r>
          </w:p>
        </w:tc>
        <w:tc>
          <w:tcPr>
            <w:tcW w:w="421"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1" w:right="0" w:firstLine="0"/>
              <w:jc w:val="center"/>
            </w:pPr>
            <w:r>
              <w:rPr>
                <w:sz w:val="20"/>
              </w:rPr>
              <w:t xml:space="preserve"> </w:t>
            </w:r>
          </w:p>
        </w:tc>
        <w:tc>
          <w:tcPr>
            <w:tcW w:w="422"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2" w:right="0" w:firstLine="0"/>
              <w:jc w:val="center"/>
            </w:pPr>
            <w:r>
              <w:rPr>
                <w:sz w:val="20"/>
              </w:rPr>
              <w:t xml:space="preserve"> </w:t>
            </w:r>
          </w:p>
        </w:tc>
        <w:tc>
          <w:tcPr>
            <w:tcW w:w="421" w:type="dxa"/>
            <w:tcBorders>
              <w:top w:val="single" w:sz="4" w:space="0" w:color="000000"/>
              <w:left w:val="single" w:sz="4" w:space="0" w:color="000000"/>
              <w:bottom w:val="single" w:sz="4" w:space="0" w:color="000000"/>
              <w:right w:val="single" w:sz="8" w:space="0" w:color="000000"/>
            </w:tcBorders>
            <w:shd w:val="clear" w:color="auto" w:fill="BFBFBF"/>
            <w:vAlign w:val="center"/>
          </w:tcPr>
          <w:p w:rsidR="00E8309B" w:rsidRDefault="009D0949">
            <w:pPr>
              <w:spacing w:after="0" w:line="259" w:lineRule="auto"/>
              <w:ind w:left="4" w:right="0" w:firstLine="0"/>
              <w:jc w:val="center"/>
            </w:pPr>
            <w:r>
              <w:rPr>
                <w:sz w:val="20"/>
              </w:rPr>
              <w:t xml:space="preserve"> </w:t>
            </w:r>
          </w:p>
        </w:tc>
        <w:tc>
          <w:tcPr>
            <w:tcW w:w="424" w:type="dxa"/>
            <w:tcBorders>
              <w:top w:val="single" w:sz="4" w:space="0" w:color="000000"/>
              <w:left w:val="single" w:sz="8"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4" w:right="0" w:firstLine="0"/>
              <w:jc w:val="center"/>
            </w:pPr>
            <w:r>
              <w:rPr>
                <w:sz w:val="20"/>
              </w:rPr>
              <w:t xml:space="preserve"> </w:t>
            </w:r>
          </w:p>
        </w:tc>
        <w:tc>
          <w:tcPr>
            <w:tcW w:w="421"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4" w:right="0" w:firstLine="0"/>
              <w:jc w:val="center"/>
            </w:pPr>
            <w:r>
              <w:rPr>
                <w:sz w:val="20"/>
              </w:rPr>
              <w:t xml:space="preserve"> </w:t>
            </w:r>
          </w:p>
        </w:tc>
        <w:tc>
          <w:tcPr>
            <w:tcW w:w="423"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5" w:right="0" w:firstLine="0"/>
              <w:jc w:val="center"/>
            </w:pPr>
            <w:r>
              <w:rPr>
                <w:sz w:val="20"/>
              </w:rPr>
              <w:t xml:space="preserve"> </w:t>
            </w:r>
          </w:p>
        </w:tc>
        <w:tc>
          <w:tcPr>
            <w:tcW w:w="420" w:type="dxa"/>
            <w:tcBorders>
              <w:top w:val="single" w:sz="4" w:space="0" w:color="000000"/>
              <w:left w:val="single" w:sz="4" w:space="0" w:color="000000"/>
              <w:bottom w:val="single" w:sz="4" w:space="0" w:color="000000"/>
              <w:right w:val="single" w:sz="8" w:space="0" w:color="000000"/>
            </w:tcBorders>
            <w:shd w:val="clear" w:color="auto" w:fill="BFBFBF"/>
            <w:vAlign w:val="center"/>
          </w:tcPr>
          <w:p w:rsidR="00E8309B" w:rsidRDefault="009D0949">
            <w:pPr>
              <w:spacing w:after="0" w:line="259" w:lineRule="auto"/>
              <w:ind w:left="2" w:right="0" w:firstLine="0"/>
              <w:jc w:val="center"/>
            </w:pPr>
            <w:r>
              <w:rPr>
                <w:sz w:val="20"/>
              </w:rPr>
              <w:t xml:space="preserve"> </w:t>
            </w:r>
          </w:p>
        </w:tc>
        <w:tc>
          <w:tcPr>
            <w:tcW w:w="424" w:type="dxa"/>
            <w:tcBorders>
              <w:top w:val="single" w:sz="4" w:space="0" w:color="000000"/>
              <w:left w:val="single" w:sz="8"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4" w:right="0" w:firstLine="0"/>
              <w:jc w:val="center"/>
            </w:pPr>
            <w:r>
              <w:rPr>
                <w:sz w:val="20"/>
              </w:rPr>
              <w:t xml:space="preserve"> </w:t>
            </w:r>
          </w:p>
        </w:tc>
        <w:tc>
          <w:tcPr>
            <w:tcW w:w="422"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2" w:right="0" w:firstLine="0"/>
              <w:jc w:val="center"/>
            </w:pPr>
            <w:r>
              <w:rPr>
                <w:sz w:val="20"/>
              </w:rPr>
              <w:t xml:space="preserve"> </w:t>
            </w:r>
          </w:p>
        </w:tc>
        <w:tc>
          <w:tcPr>
            <w:tcW w:w="422"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2" w:right="0" w:firstLine="0"/>
              <w:jc w:val="center"/>
            </w:pPr>
            <w:r>
              <w:rPr>
                <w:sz w:val="20"/>
              </w:rPr>
              <w:t xml:space="preserve"> </w:t>
            </w:r>
          </w:p>
        </w:tc>
        <w:tc>
          <w:tcPr>
            <w:tcW w:w="420" w:type="dxa"/>
            <w:tcBorders>
              <w:top w:val="single" w:sz="4" w:space="0" w:color="000000"/>
              <w:left w:val="single" w:sz="4" w:space="0" w:color="000000"/>
              <w:bottom w:val="single" w:sz="4" w:space="0" w:color="000000"/>
              <w:right w:val="single" w:sz="8" w:space="0" w:color="000000"/>
            </w:tcBorders>
            <w:shd w:val="clear" w:color="auto" w:fill="BFBFBF"/>
            <w:vAlign w:val="center"/>
          </w:tcPr>
          <w:p w:rsidR="00E8309B" w:rsidRDefault="009D0949">
            <w:pPr>
              <w:spacing w:after="0" w:line="259" w:lineRule="auto"/>
              <w:ind w:left="5" w:right="0" w:firstLine="0"/>
              <w:jc w:val="center"/>
            </w:pPr>
            <w:r>
              <w:rPr>
                <w:sz w:val="20"/>
              </w:rPr>
              <w:t xml:space="preserve"> </w:t>
            </w:r>
          </w:p>
        </w:tc>
      </w:tr>
      <w:tr w:rsidR="00E8309B">
        <w:trPr>
          <w:trHeight w:val="470"/>
        </w:trPr>
        <w:tc>
          <w:tcPr>
            <w:tcW w:w="427" w:type="dxa"/>
            <w:tcBorders>
              <w:top w:val="single" w:sz="4" w:space="0" w:color="000000"/>
              <w:left w:val="single" w:sz="8" w:space="0" w:color="000000"/>
              <w:bottom w:val="single" w:sz="4" w:space="0" w:color="000000"/>
              <w:right w:val="single" w:sz="8" w:space="0" w:color="000000"/>
            </w:tcBorders>
          </w:tcPr>
          <w:p w:rsidR="00E8309B" w:rsidRDefault="009D0949">
            <w:pPr>
              <w:spacing w:after="0" w:line="259" w:lineRule="auto"/>
              <w:ind w:left="0" w:right="51" w:firstLine="0"/>
              <w:jc w:val="right"/>
            </w:pPr>
            <w:r>
              <w:rPr>
                <w:sz w:val="20"/>
              </w:rPr>
              <w:t xml:space="preserve">5 </w:t>
            </w:r>
          </w:p>
        </w:tc>
        <w:tc>
          <w:tcPr>
            <w:tcW w:w="4123" w:type="dxa"/>
            <w:tcBorders>
              <w:top w:val="single" w:sz="4" w:space="0" w:color="000000"/>
              <w:left w:val="single" w:sz="8" w:space="0" w:color="000000"/>
              <w:bottom w:val="single" w:sz="4" w:space="0" w:color="000000"/>
              <w:right w:val="single" w:sz="8" w:space="0" w:color="000000"/>
            </w:tcBorders>
          </w:tcPr>
          <w:p w:rsidR="00E8309B" w:rsidRDefault="009D0949">
            <w:pPr>
              <w:spacing w:after="0" w:line="259" w:lineRule="auto"/>
              <w:ind w:left="0" w:right="0" w:firstLine="0"/>
              <w:jc w:val="left"/>
            </w:pPr>
            <w:r>
              <w:rPr>
                <w:sz w:val="20"/>
              </w:rPr>
              <w:t xml:space="preserve">Финансирање пројеката енергетске ефикасности </w:t>
            </w:r>
          </w:p>
        </w:tc>
        <w:tc>
          <w:tcPr>
            <w:tcW w:w="419" w:type="dxa"/>
            <w:tcBorders>
              <w:top w:val="single" w:sz="4" w:space="0" w:color="000000"/>
              <w:left w:val="single" w:sz="8"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1" w:right="0" w:firstLine="0"/>
              <w:jc w:val="center"/>
            </w:pPr>
            <w:r>
              <w:rPr>
                <w:sz w:val="20"/>
              </w:rPr>
              <w:t xml:space="preserve"> </w:t>
            </w:r>
          </w:p>
        </w:tc>
        <w:tc>
          <w:tcPr>
            <w:tcW w:w="421"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1" w:right="0" w:firstLine="0"/>
              <w:jc w:val="center"/>
            </w:pPr>
            <w:r>
              <w:rPr>
                <w:sz w:val="20"/>
              </w:rPr>
              <w:t xml:space="preserve"> </w:t>
            </w:r>
          </w:p>
        </w:tc>
        <w:tc>
          <w:tcPr>
            <w:tcW w:w="422"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2" w:right="0" w:firstLine="0"/>
              <w:jc w:val="center"/>
            </w:pPr>
            <w:r>
              <w:rPr>
                <w:sz w:val="20"/>
              </w:rPr>
              <w:t xml:space="preserve"> </w:t>
            </w:r>
          </w:p>
        </w:tc>
        <w:tc>
          <w:tcPr>
            <w:tcW w:w="421" w:type="dxa"/>
            <w:tcBorders>
              <w:top w:val="single" w:sz="4" w:space="0" w:color="000000"/>
              <w:left w:val="single" w:sz="4" w:space="0" w:color="000000"/>
              <w:bottom w:val="single" w:sz="4" w:space="0" w:color="000000"/>
              <w:right w:val="single" w:sz="8" w:space="0" w:color="000000"/>
            </w:tcBorders>
            <w:shd w:val="clear" w:color="auto" w:fill="BFBFBF"/>
            <w:vAlign w:val="center"/>
          </w:tcPr>
          <w:p w:rsidR="00E8309B" w:rsidRDefault="009D0949">
            <w:pPr>
              <w:spacing w:after="0" w:line="259" w:lineRule="auto"/>
              <w:ind w:left="4" w:right="0" w:firstLine="0"/>
              <w:jc w:val="center"/>
            </w:pPr>
            <w:r>
              <w:rPr>
                <w:sz w:val="20"/>
              </w:rPr>
              <w:t xml:space="preserve"> </w:t>
            </w:r>
          </w:p>
        </w:tc>
        <w:tc>
          <w:tcPr>
            <w:tcW w:w="424" w:type="dxa"/>
            <w:tcBorders>
              <w:top w:val="single" w:sz="4" w:space="0" w:color="000000"/>
              <w:left w:val="single" w:sz="8"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4" w:right="0" w:firstLine="0"/>
              <w:jc w:val="center"/>
            </w:pPr>
            <w:r>
              <w:rPr>
                <w:sz w:val="20"/>
              </w:rPr>
              <w:t xml:space="preserve"> </w:t>
            </w:r>
          </w:p>
        </w:tc>
        <w:tc>
          <w:tcPr>
            <w:tcW w:w="421"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4" w:right="0" w:firstLine="0"/>
              <w:jc w:val="center"/>
            </w:pPr>
            <w:r>
              <w:rPr>
                <w:sz w:val="20"/>
              </w:rPr>
              <w:t xml:space="preserve"> </w:t>
            </w:r>
          </w:p>
        </w:tc>
        <w:tc>
          <w:tcPr>
            <w:tcW w:w="423"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5" w:right="0" w:firstLine="0"/>
              <w:jc w:val="center"/>
            </w:pPr>
            <w:r>
              <w:rPr>
                <w:sz w:val="20"/>
              </w:rPr>
              <w:t xml:space="preserve"> </w:t>
            </w:r>
          </w:p>
        </w:tc>
        <w:tc>
          <w:tcPr>
            <w:tcW w:w="420" w:type="dxa"/>
            <w:tcBorders>
              <w:top w:val="single" w:sz="4" w:space="0" w:color="000000"/>
              <w:left w:val="single" w:sz="4" w:space="0" w:color="000000"/>
              <w:bottom w:val="single" w:sz="4" w:space="0" w:color="000000"/>
              <w:right w:val="single" w:sz="8" w:space="0" w:color="000000"/>
            </w:tcBorders>
            <w:shd w:val="clear" w:color="auto" w:fill="BFBFBF"/>
            <w:vAlign w:val="center"/>
          </w:tcPr>
          <w:p w:rsidR="00E8309B" w:rsidRDefault="009D0949">
            <w:pPr>
              <w:spacing w:after="0" w:line="259" w:lineRule="auto"/>
              <w:ind w:left="2" w:right="0" w:firstLine="0"/>
              <w:jc w:val="center"/>
            </w:pPr>
            <w:r>
              <w:rPr>
                <w:sz w:val="20"/>
              </w:rPr>
              <w:t xml:space="preserve"> </w:t>
            </w:r>
          </w:p>
        </w:tc>
        <w:tc>
          <w:tcPr>
            <w:tcW w:w="424" w:type="dxa"/>
            <w:tcBorders>
              <w:top w:val="single" w:sz="4" w:space="0" w:color="000000"/>
              <w:left w:val="single" w:sz="8"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4" w:right="0" w:firstLine="0"/>
              <w:jc w:val="center"/>
            </w:pPr>
            <w:r>
              <w:rPr>
                <w:sz w:val="20"/>
              </w:rPr>
              <w:t xml:space="preserve"> </w:t>
            </w:r>
          </w:p>
        </w:tc>
        <w:tc>
          <w:tcPr>
            <w:tcW w:w="422"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2" w:right="0" w:firstLine="0"/>
              <w:jc w:val="center"/>
            </w:pPr>
            <w:r>
              <w:rPr>
                <w:sz w:val="20"/>
              </w:rPr>
              <w:t xml:space="preserve"> </w:t>
            </w:r>
          </w:p>
        </w:tc>
        <w:tc>
          <w:tcPr>
            <w:tcW w:w="422"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2" w:right="0" w:firstLine="0"/>
              <w:jc w:val="center"/>
            </w:pPr>
            <w:r>
              <w:rPr>
                <w:sz w:val="20"/>
              </w:rPr>
              <w:t xml:space="preserve"> </w:t>
            </w:r>
          </w:p>
        </w:tc>
        <w:tc>
          <w:tcPr>
            <w:tcW w:w="420" w:type="dxa"/>
            <w:tcBorders>
              <w:top w:val="single" w:sz="4" w:space="0" w:color="000000"/>
              <w:left w:val="single" w:sz="4" w:space="0" w:color="000000"/>
              <w:bottom w:val="single" w:sz="4" w:space="0" w:color="000000"/>
              <w:right w:val="single" w:sz="8" w:space="0" w:color="000000"/>
            </w:tcBorders>
            <w:shd w:val="clear" w:color="auto" w:fill="BFBFBF"/>
            <w:vAlign w:val="center"/>
          </w:tcPr>
          <w:p w:rsidR="00E8309B" w:rsidRDefault="009D0949">
            <w:pPr>
              <w:spacing w:after="0" w:line="259" w:lineRule="auto"/>
              <w:ind w:left="5" w:right="0" w:firstLine="0"/>
              <w:jc w:val="center"/>
            </w:pPr>
            <w:r>
              <w:rPr>
                <w:sz w:val="20"/>
              </w:rPr>
              <w:t xml:space="preserve"> </w:t>
            </w:r>
          </w:p>
        </w:tc>
      </w:tr>
      <w:tr w:rsidR="00E8309B">
        <w:trPr>
          <w:trHeight w:val="470"/>
        </w:trPr>
        <w:tc>
          <w:tcPr>
            <w:tcW w:w="427"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51" w:firstLine="0"/>
              <w:jc w:val="right"/>
            </w:pPr>
            <w:r>
              <w:rPr>
                <w:sz w:val="20"/>
              </w:rPr>
              <w:t xml:space="preserve">6 </w:t>
            </w:r>
          </w:p>
        </w:tc>
        <w:tc>
          <w:tcPr>
            <w:tcW w:w="4123"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0" w:firstLine="0"/>
              <w:jc w:val="left"/>
            </w:pPr>
            <w:r>
              <w:rPr>
                <w:sz w:val="20"/>
              </w:rPr>
              <w:t xml:space="preserve">Јачање капацитета за спровођење политике енергетске ефикасности </w:t>
            </w:r>
          </w:p>
        </w:tc>
        <w:tc>
          <w:tcPr>
            <w:tcW w:w="419"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1" w:right="0" w:firstLine="0"/>
              <w:jc w:val="center"/>
            </w:pPr>
            <w:r>
              <w:rPr>
                <w:b/>
                <w:sz w:val="20"/>
              </w:rPr>
              <w:t xml:space="preserve"> </w:t>
            </w:r>
          </w:p>
        </w:tc>
        <w:tc>
          <w:tcPr>
            <w:tcW w:w="421"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1" w:right="0" w:firstLine="0"/>
              <w:jc w:val="center"/>
            </w:pPr>
            <w:r>
              <w:rPr>
                <w:b/>
                <w:sz w:val="20"/>
              </w:rPr>
              <w:t xml:space="preserve"> </w:t>
            </w:r>
          </w:p>
        </w:tc>
        <w:tc>
          <w:tcPr>
            <w:tcW w:w="422"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2" w:right="0" w:firstLine="0"/>
              <w:jc w:val="center"/>
            </w:pPr>
            <w:r>
              <w:rPr>
                <w:b/>
                <w:sz w:val="20"/>
              </w:rPr>
              <w:t xml:space="preserve"> </w:t>
            </w:r>
          </w:p>
        </w:tc>
        <w:tc>
          <w:tcPr>
            <w:tcW w:w="421"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4" w:right="0" w:firstLine="0"/>
              <w:jc w:val="center"/>
            </w:pPr>
            <w:r>
              <w:rPr>
                <w:b/>
                <w:sz w:val="20"/>
              </w:rPr>
              <w:t xml:space="preserve"> </w:t>
            </w:r>
          </w:p>
        </w:tc>
        <w:tc>
          <w:tcPr>
            <w:tcW w:w="424"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4" w:right="0" w:firstLine="0"/>
              <w:jc w:val="center"/>
            </w:pPr>
            <w:r>
              <w:rPr>
                <w:b/>
                <w:sz w:val="20"/>
              </w:rPr>
              <w:t xml:space="preserve"> </w:t>
            </w:r>
          </w:p>
        </w:tc>
        <w:tc>
          <w:tcPr>
            <w:tcW w:w="421"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4" w:right="0" w:firstLine="0"/>
              <w:jc w:val="center"/>
            </w:pPr>
            <w:r>
              <w:rPr>
                <w:b/>
                <w:sz w:val="20"/>
              </w:rPr>
              <w:t xml:space="preserve"> </w:t>
            </w:r>
          </w:p>
        </w:tc>
        <w:tc>
          <w:tcPr>
            <w:tcW w:w="423"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5" w:right="0" w:firstLine="0"/>
              <w:jc w:val="center"/>
            </w:pPr>
            <w:r>
              <w:rPr>
                <w:b/>
                <w:sz w:val="20"/>
              </w:rPr>
              <w:t xml:space="preserve"> </w:t>
            </w:r>
          </w:p>
        </w:tc>
        <w:tc>
          <w:tcPr>
            <w:tcW w:w="420"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2" w:right="0" w:firstLine="0"/>
              <w:jc w:val="center"/>
            </w:pPr>
            <w:r>
              <w:rPr>
                <w:b/>
                <w:sz w:val="20"/>
              </w:rPr>
              <w:t xml:space="preserve"> </w:t>
            </w:r>
          </w:p>
        </w:tc>
        <w:tc>
          <w:tcPr>
            <w:tcW w:w="424"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4" w:right="0" w:firstLine="0"/>
              <w:jc w:val="center"/>
            </w:pPr>
            <w:r>
              <w:rPr>
                <w:b/>
                <w:sz w:val="20"/>
              </w:rPr>
              <w:t xml:space="preserve"> </w:t>
            </w:r>
          </w:p>
        </w:tc>
        <w:tc>
          <w:tcPr>
            <w:tcW w:w="422"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2" w:right="0" w:firstLine="0"/>
              <w:jc w:val="center"/>
            </w:pPr>
            <w:r>
              <w:rPr>
                <w:b/>
                <w:sz w:val="20"/>
              </w:rPr>
              <w:t xml:space="preserve"> </w:t>
            </w:r>
          </w:p>
        </w:tc>
        <w:tc>
          <w:tcPr>
            <w:tcW w:w="422"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2" w:right="0" w:firstLine="0"/>
              <w:jc w:val="center"/>
            </w:pPr>
            <w:r>
              <w:rPr>
                <w:b/>
                <w:sz w:val="20"/>
              </w:rPr>
              <w:t xml:space="preserve"> </w:t>
            </w:r>
          </w:p>
        </w:tc>
        <w:tc>
          <w:tcPr>
            <w:tcW w:w="420"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5" w:right="0" w:firstLine="0"/>
              <w:jc w:val="center"/>
            </w:pPr>
            <w:r>
              <w:rPr>
                <w:b/>
                <w:sz w:val="20"/>
              </w:rPr>
              <w:t xml:space="preserve"> </w:t>
            </w:r>
          </w:p>
        </w:tc>
      </w:tr>
    </w:tbl>
    <w:p w:rsidR="00E8309B" w:rsidRDefault="009D0949">
      <w:pPr>
        <w:numPr>
          <w:ilvl w:val="0"/>
          <w:numId w:val="12"/>
        </w:numPr>
        <w:spacing w:after="0" w:line="271" w:lineRule="auto"/>
        <w:ind w:right="9" w:hanging="427"/>
      </w:pPr>
      <w:r>
        <w:rPr>
          <w:b/>
        </w:rPr>
        <w:t xml:space="preserve">Индикатори рeзултата </w:t>
      </w:r>
    </w:p>
    <w:tbl>
      <w:tblPr>
        <w:tblStyle w:val="TableGrid"/>
        <w:tblW w:w="9635" w:type="dxa"/>
        <w:tblInd w:w="5" w:type="dxa"/>
        <w:tblCellMar>
          <w:top w:w="47" w:type="dxa"/>
          <w:left w:w="110" w:type="dxa"/>
          <w:bottom w:w="0" w:type="dxa"/>
          <w:right w:w="56" w:type="dxa"/>
        </w:tblCellMar>
        <w:tblLook w:val="04A0" w:firstRow="1" w:lastRow="0" w:firstColumn="1" w:lastColumn="0" w:noHBand="0" w:noVBand="1"/>
      </w:tblPr>
      <w:tblGrid>
        <w:gridCol w:w="4107"/>
        <w:gridCol w:w="1841"/>
        <w:gridCol w:w="1844"/>
        <w:gridCol w:w="1843"/>
      </w:tblGrid>
      <w:tr w:rsidR="00E8309B">
        <w:trPr>
          <w:trHeight w:val="470"/>
        </w:trPr>
        <w:tc>
          <w:tcPr>
            <w:tcW w:w="4107"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0" w:right="0" w:firstLine="0"/>
              <w:jc w:val="left"/>
            </w:pPr>
            <w:r>
              <w:rPr>
                <w:b/>
                <w:sz w:val="20"/>
              </w:rPr>
              <w:t xml:space="preserve">Показатељ </w:t>
            </w:r>
          </w:p>
        </w:tc>
        <w:tc>
          <w:tcPr>
            <w:tcW w:w="1841"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7" w:right="50" w:firstLine="0"/>
              <w:jc w:val="right"/>
            </w:pPr>
            <w:r>
              <w:rPr>
                <w:b/>
                <w:sz w:val="20"/>
              </w:rPr>
              <w:t xml:space="preserve">Почетна вредност (година) </w:t>
            </w:r>
          </w:p>
        </w:tc>
        <w:tc>
          <w:tcPr>
            <w:tcW w:w="1844"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50" w:firstLine="0"/>
              <w:jc w:val="right"/>
            </w:pPr>
            <w:r>
              <w:rPr>
                <w:b/>
                <w:sz w:val="20"/>
              </w:rPr>
              <w:t xml:space="preserve">Међурезултат (година) </w:t>
            </w:r>
          </w:p>
        </w:tc>
        <w:tc>
          <w:tcPr>
            <w:tcW w:w="1843"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49" w:firstLine="0"/>
              <w:jc w:val="right"/>
            </w:pPr>
            <w:r>
              <w:rPr>
                <w:b/>
                <w:sz w:val="20"/>
              </w:rPr>
              <w:t xml:space="preserve">Циљна вредност (година) </w:t>
            </w:r>
          </w:p>
        </w:tc>
      </w:tr>
      <w:tr w:rsidR="00E8309B">
        <w:trPr>
          <w:trHeight w:val="929"/>
        </w:trPr>
        <w:tc>
          <w:tcPr>
            <w:tcW w:w="4107"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54" w:firstLine="0"/>
            </w:pPr>
            <w:r>
              <w:rPr>
                <w:sz w:val="20"/>
              </w:rPr>
              <w:t xml:space="preserve">% остварене уштеде енергије кроз реализацију пројеката ЕЕ у односу на потрошњу енергије у години пре реализације пројекта </w:t>
            </w:r>
          </w:p>
        </w:tc>
        <w:tc>
          <w:tcPr>
            <w:tcW w:w="1841"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0" w:right="49" w:firstLine="0"/>
              <w:jc w:val="right"/>
            </w:pPr>
            <w:r>
              <w:rPr>
                <w:sz w:val="20"/>
              </w:rPr>
              <w:t xml:space="preserve">0 (2020) </w:t>
            </w:r>
          </w:p>
        </w:tc>
        <w:tc>
          <w:tcPr>
            <w:tcW w:w="1844"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0" w:right="50" w:firstLine="0"/>
              <w:jc w:val="right"/>
            </w:pPr>
            <w:r>
              <w:rPr>
                <w:sz w:val="20"/>
              </w:rPr>
              <w:t>20% (2021)</w:t>
            </w:r>
            <w:r>
              <w:rPr>
                <w:b/>
                <w:sz w:val="20"/>
              </w:rPr>
              <w:t xml:space="preserve"> </w:t>
            </w:r>
          </w:p>
        </w:tc>
        <w:tc>
          <w:tcPr>
            <w:tcW w:w="1843"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0" w:right="49" w:firstLine="0"/>
              <w:jc w:val="right"/>
            </w:pPr>
            <w:r>
              <w:rPr>
                <w:sz w:val="20"/>
              </w:rPr>
              <w:t>20% (2022)</w:t>
            </w:r>
            <w:r>
              <w:rPr>
                <w:b/>
                <w:sz w:val="20"/>
              </w:rPr>
              <w:t xml:space="preserve"> </w:t>
            </w:r>
          </w:p>
        </w:tc>
      </w:tr>
      <w:tr w:rsidR="00E8309B">
        <w:trPr>
          <w:trHeight w:val="667"/>
        </w:trPr>
        <w:tc>
          <w:tcPr>
            <w:tcW w:w="4107"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0" w:firstLine="0"/>
            </w:pPr>
            <w:r>
              <w:rPr>
                <w:sz w:val="20"/>
              </w:rPr>
              <w:t>Успостављен одржив начин финансирања пројеката енергетске ефикасности</w:t>
            </w:r>
            <w:r>
              <w:rPr>
                <w:color w:val="2E74B5"/>
                <w:sz w:val="20"/>
              </w:rPr>
              <w:t xml:space="preserve"> </w:t>
            </w:r>
          </w:p>
        </w:tc>
        <w:tc>
          <w:tcPr>
            <w:tcW w:w="1841"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0" w:right="53" w:firstLine="0"/>
              <w:jc w:val="right"/>
            </w:pPr>
            <w:r>
              <w:rPr>
                <w:sz w:val="20"/>
              </w:rPr>
              <w:t xml:space="preserve">не </w:t>
            </w:r>
          </w:p>
        </w:tc>
        <w:tc>
          <w:tcPr>
            <w:tcW w:w="1844"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0" w:right="50" w:firstLine="0"/>
              <w:jc w:val="right"/>
            </w:pPr>
            <w:r>
              <w:rPr>
                <w:sz w:val="20"/>
              </w:rPr>
              <w:t xml:space="preserve">да (2021) </w:t>
            </w:r>
          </w:p>
        </w:tc>
        <w:tc>
          <w:tcPr>
            <w:tcW w:w="1843"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0" w:right="49" w:firstLine="0"/>
              <w:jc w:val="right"/>
            </w:pPr>
            <w:r>
              <w:rPr>
                <w:sz w:val="20"/>
              </w:rPr>
              <w:t xml:space="preserve">да (2022) </w:t>
            </w:r>
          </w:p>
        </w:tc>
      </w:tr>
    </w:tbl>
    <w:p w:rsidR="00E8309B" w:rsidRDefault="009D0949">
      <w:pPr>
        <w:numPr>
          <w:ilvl w:val="0"/>
          <w:numId w:val="12"/>
        </w:numPr>
        <w:spacing w:after="126" w:line="271" w:lineRule="auto"/>
        <w:ind w:right="9" w:hanging="427"/>
      </w:pPr>
      <w:r>
        <w:rPr>
          <w:b/>
        </w:rPr>
        <w:t xml:space="preserve">Очекивани утицај на конкурентност </w:t>
      </w:r>
    </w:p>
    <w:p w:rsidR="00E8309B" w:rsidRDefault="009D0949">
      <w:pPr>
        <w:spacing w:after="158"/>
        <w:ind w:left="-5" w:right="17"/>
      </w:pPr>
      <w:r>
        <w:t xml:space="preserve">Усаглашавањем са одредбама еко дизајна, на тржишту Србије </w:t>
      </w:r>
      <w:r>
        <w:t>моћи ће да се нађу само енергетски ефикасни уређаји, на основу чега ће се очекује уштеда енергије од око 100 ktoe до 2023. године. Процењује се да ће финансирање енергетске ефикасности на одрживи начин повећати енергетску ефикасност како у јавном сектору (</w:t>
      </w:r>
      <w:r>
        <w:t>око 40% по пројекту), тако и код привреде и грађана. Очекује се да велики потрошачи енергије и обвезници из јавног сектора на годишњем нивоу уштеде око 1% примарне енергије што ће довести и до повећања конкурентности привреде и смањења издатака у буџету ја</w:t>
      </w:r>
      <w:r>
        <w:t xml:space="preserve">вних корисника. </w:t>
      </w:r>
    </w:p>
    <w:p w:rsidR="00E8309B" w:rsidRDefault="009D0949">
      <w:pPr>
        <w:numPr>
          <w:ilvl w:val="0"/>
          <w:numId w:val="12"/>
        </w:numPr>
        <w:spacing w:after="79" w:line="271" w:lineRule="auto"/>
        <w:ind w:right="9" w:hanging="427"/>
      </w:pPr>
      <w:r>
        <w:rPr>
          <w:b/>
        </w:rPr>
        <w:t xml:space="preserve">Процењени трошкови спровођења структурне реформе и предвиђени извори њиховог финансирања </w:t>
      </w:r>
    </w:p>
    <w:p w:rsidR="00E8309B" w:rsidRDefault="009D0949">
      <w:pPr>
        <w:spacing w:after="103"/>
        <w:ind w:left="-5" w:right="17"/>
      </w:pPr>
      <w:r>
        <w:t xml:space="preserve">До успостављања одрживог механизма финансирања, пројекти енергетске ефикасности финансираће се кроз Програмску активност: </w:t>
      </w:r>
      <w:r>
        <w:rPr>
          <w:i/>
        </w:rPr>
        <w:t>Подстицаји за унапређење ен</w:t>
      </w:r>
      <w:r>
        <w:rPr>
          <w:i/>
        </w:rPr>
        <w:t xml:space="preserve">ергетске ефикасности </w:t>
      </w:r>
      <w:r>
        <w:t>(с обзиром да се наменска средства од накнада не сливају директно у Буџетски фонд), као и кроз развојне кредите и подршку донатора. Јачање капацитета ће се и вршити кроз обуке кроз разне пројекте. Осим тога, у оквиру ИПА пројеката спро</w:t>
      </w:r>
      <w:r>
        <w:t xml:space="preserve">вешће се и активности на подизању свести о значају улагања у енергетску ефикасност. </w:t>
      </w:r>
    </w:p>
    <w:p w:rsidR="00E8309B" w:rsidRDefault="009D0949">
      <w:pPr>
        <w:ind w:left="-5" w:right="17"/>
      </w:pPr>
      <w:r>
        <w:t>Почетком 2021. године очекује се успостављање одрживог начина финансирања пројеката енергетске ефикасности. У том смислу предвиђена су средства за запошљавање 2 новa запос</w:t>
      </w:r>
      <w:r>
        <w:t>ленa, набавку ИТ опреме (једнократно), куповина/израда специјализованих софтвера, канцеларијског материјала као и оперативни трошкови и техничка помоћ (око 388.000 евра где су укључени и једнократни и оперативни трошкови)  од чега за око 260.000 евра тек т</w:t>
      </w:r>
      <w:r>
        <w:t>реба да се утврди изовор. Почетком 2021. године очекује се и завршетак измена Закона о ефикасном коришћењу енергије (ЗЕКЕ) уз техничку помоћ са ИПА пројекта као и друге активност за шта су у 2021. години обезбеђена средства из ИПА 2014 (око 0,777 милиона е</w:t>
      </w:r>
      <w:r>
        <w:t xml:space="preserve">вра и контрибуција </w:t>
      </w:r>
      <w:r>
        <w:lastRenderedPageBreak/>
        <w:t>буџета РС од око 0.086 милиона евра). У 2021. предвиђене су и активности на успостављању тела за оцену усаглашености производа по директивама 2009/125 и 2010/30 из средстава ИПА 2016 (0,525 милиона евра без контрибуције буџета). Финансир</w:t>
      </w:r>
      <w:r>
        <w:t xml:space="preserve">ање пројеката енергетске ефикасности реализоваће се из Буџета РС кроз Буџетски фонд за унапређење енергетске ефикасности (4,17 милиона евра) и средства ЈЛС (око 1,79 милионa евра - 30% контрибуције). Средства за финансирање енергетске ефикасности у буџету </w:t>
      </w:r>
      <w:r>
        <w:t>се од 2019. године прикупљају по основу накнада. Приход у 2021. години се очекује на нивоу од око 9 милиона евра. Средства за финансирање енергетске ефикасности се у 2021. години обезбеђују и из донација (инвестиција од  око 5,15 милиона евра из донација S</w:t>
      </w:r>
      <w:r>
        <w:t>ECO, и техничка помоћ за реализацију инвестиција: SECO – 0,43 милиона евра, KfW даљинско грејање V- око 0,8 милиона евра, KfW – ВМА 0,11 милиона евра и ЦЕБ 0,255 милиона евра) и кредита (KfW даљинско грејање V – 1,5 милиона евра, KfW – ВМА 0,2 милиона евра</w:t>
      </w:r>
      <w:r>
        <w:t xml:space="preserve"> и ЦЕБ око 0,483 милиона евра).  </w:t>
      </w:r>
    </w:p>
    <w:p w:rsidR="00E8309B" w:rsidRDefault="009D0949">
      <w:pPr>
        <w:spacing w:after="102"/>
        <w:ind w:left="-5" w:right="17"/>
      </w:pPr>
      <w:r>
        <w:t>У 2022. години предвиђа се запошљавање око 2 нова запослена у оквиру одрживог механизма финансирања, а трошкови за рад покриваће се из Буџета РС (око 52.836 евра за плате и око 0,1 милиона евра за друге трошкови, укључујућ</w:t>
      </w:r>
      <w:r>
        <w:t>и набавку аутомобила). За финансирање пројеката енергетске ефикасности из Буџета (по основу накнада) очекује се 9 милиона евра као и доприноси ЈЛС од око 1,93 милиона евра и учешће грађана од око 6,75 милиона евра (не види се у буџету). Осим тога, као подр</w:t>
      </w:r>
      <w:r>
        <w:t>шка за рад одрживог начина финансирања предвиђена су средства из ИПА 2021 у висини од 4,25 (од чега 0,75 милиона за техничку помоћ и 3,5 милиона евра за инвестиције). У 2021. години очекује се израда подзаконских аката ЗЕКЕ као и спровођење активности на п</w:t>
      </w:r>
      <w:r>
        <w:t>одизању свести и успостављању тела за проверу усаглашености и подизање капацитета тржишне инспекције из средства ИПА 2014 (око 0,116 милиона евра и контрибуција буџета од 0,013 милиона евра) и средства ИПА 2016 (око 0,413 милиона евра). Осим тога за реализ</w:t>
      </w:r>
      <w:r>
        <w:t xml:space="preserve">ацију инвестиционих активности очекују се зајмови од (8,5 милиона евра – CEB, 11 милиона евра KfW DHS фаза V и 5,2 милиона евра - KfW – ВМА) уз пратеће донације (од 5,27 милиона евра за све кредите). </w:t>
      </w:r>
    </w:p>
    <w:p w:rsidR="00E8309B" w:rsidRDefault="009D0949">
      <w:pPr>
        <w:spacing w:after="158"/>
        <w:ind w:left="-5" w:right="17"/>
      </w:pPr>
      <w:r>
        <w:t>У 2023. години предвиђени су трошкови увећани за запошљ</w:t>
      </w:r>
      <w:r>
        <w:t>авање и рад још два нова запослена у оквиру одрживог механизма финансирања. Трошкови за финансирање пројеката енергетске ефикасности из Буџета РС и ЈЛС као и учешће од стране грађана предвиђено је на нивоу претходне године. Из ИПА 2021 средстава очекује се</w:t>
      </w:r>
      <w:r>
        <w:t xml:space="preserve"> да се обезбеди још 5 милиона евра за инвестиције и око 0,75 милиона евра за техничку помоћ одрживом механизму финансирања. Од кредита за реализацију инвестиција предвиђено је да се утроши 48 милиона евра (8 милиона евра  из KfW DHS фаза V, 15 милиона евра</w:t>
      </w:r>
      <w:r>
        <w:t xml:space="preserve"> – CEB, KfW ВМА 25 милиона евра) и донације за реализацију ових кредита (1.37 милиона евра). </w:t>
      </w:r>
    </w:p>
    <w:p w:rsidR="00E8309B" w:rsidRDefault="009D0949">
      <w:pPr>
        <w:numPr>
          <w:ilvl w:val="0"/>
          <w:numId w:val="13"/>
        </w:numPr>
        <w:spacing w:after="79" w:line="271" w:lineRule="auto"/>
        <w:ind w:right="9" w:hanging="427"/>
      </w:pPr>
      <w:r>
        <w:rPr>
          <w:b/>
        </w:rPr>
        <w:t xml:space="preserve">Очекивани утицај на социјалне циљеве, као што су запосленост, смањење сиромаштва, једнакост и род </w:t>
      </w:r>
    </w:p>
    <w:p w:rsidR="00E8309B" w:rsidRDefault="009D0949">
      <w:pPr>
        <w:spacing w:after="159"/>
        <w:ind w:left="-5" w:right="17"/>
      </w:pPr>
      <w:r>
        <w:t>Спровођење реформе може значајно утицати на повећану потребу за запошљавањем радне снаге ради реализације већег броја пројеката енергетске ефикасности, поготово у вези са реализацијом пројеката у сектору зградарства. Реализацијом пројеката енергетске ефика</w:t>
      </w:r>
      <w:r>
        <w:t xml:space="preserve">сности смањују се трошкови за енергенте, што доприноси и борби против сиромаштва. </w:t>
      </w:r>
    </w:p>
    <w:p w:rsidR="00E8309B" w:rsidRDefault="009D0949">
      <w:pPr>
        <w:numPr>
          <w:ilvl w:val="0"/>
          <w:numId w:val="13"/>
        </w:numPr>
        <w:spacing w:after="79" w:line="271" w:lineRule="auto"/>
        <w:ind w:right="9" w:hanging="427"/>
      </w:pPr>
      <w:r>
        <w:rPr>
          <w:b/>
        </w:rPr>
        <w:t xml:space="preserve">Очекивани утицај на животну средину </w:t>
      </w:r>
    </w:p>
    <w:p w:rsidR="00E8309B" w:rsidRDefault="009D0949">
      <w:pPr>
        <w:spacing w:after="155"/>
        <w:ind w:left="-5" w:right="17"/>
      </w:pPr>
      <w:r>
        <w:t>Реформа доприноси смањењу потрошње енергије чиме се позитивно утиче на стање животне средине и смањење емисија свих димних гасова укључу</w:t>
      </w:r>
      <w:r>
        <w:t xml:space="preserve">јући гасове са ефектом стаклене баште, што је у складу са циљевима Европског зеленог договора. </w:t>
      </w:r>
    </w:p>
    <w:p w:rsidR="00E8309B" w:rsidRDefault="009D0949">
      <w:pPr>
        <w:numPr>
          <w:ilvl w:val="0"/>
          <w:numId w:val="13"/>
        </w:numPr>
        <w:spacing w:after="0" w:line="271" w:lineRule="auto"/>
        <w:ind w:right="9" w:hanging="427"/>
      </w:pPr>
      <w:r>
        <w:rPr>
          <w:b/>
        </w:rPr>
        <w:t xml:space="preserve">Потенцијални ризици </w:t>
      </w:r>
    </w:p>
    <w:tbl>
      <w:tblPr>
        <w:tblStyle w:val="TableGrid"/>
        <w:tblW w:w="9696" w:type="dxa"/>
        <w:tblInd w:w="0" w:type="dxa"/>
        <w:tblCellMar>
          <w:top w:w="46" w:type="dxa"/>
          <w:left w:w="108" w:type="dxa"/>
          <w:bottom w:w="0" w:type="dxa"/>
          <w:right w:w="68" w:type="dxa"/>
        </w:tblCellMar>
        <w:tblLook w:val="04A0" w:firstRow="1" w:lastRow="0" w:firstColumn="1" w:lastColumn="0" w:noHBand="0" w:noVBand="1"/>
      </w:tblPr>
      <w:tblGrid>
        <w:gridCol w:w="3330"/>
        <w:gridCol w:w="2201"/>
        <w:gridCol w:w="4165"/>
      </w:tblGrid>
      <w:tr w:rsidR="00E8309B">
        <w:trPr>
          <w:trHeight w:val="470"/>
        </w:trPr>
        <w:tc>
          <w:tcPr>
            <w:tcW w:w="3330"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0" w:right="0" w:firstLine="0"/>
              <w:jc w:val="left"/>
            </w:pPr>
            <w:r>
              <w:rPr>
                <w:b/>
                <w:sz w:val="20"/>
              </w:rPr>
              <w:t xml:space="preserve">Ризик </w:t>
            </w:r>
          </w:p>
        </w:tc>
        <w:tc>
          <w:tcPr>
            <w:tcW w:w="2201"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2" w:right="0" w:firstLine="0"/>
              <w:jc w:val="left"/>
            </w:pPr>
            <w:r>
              <w:rPr>
                <w:b/>
                <w:sz w:val="20"/>
              </w:rPr>
              <w:t xml:space="preserve">Вероватноћа за остваривање ризика </w:t>
            </w:r>
          </w:p>
        </w:tc>
        <w:tc>
          <w:tcPr>
            <w:tcW w:w="4165"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0" w:firstLine="0"/>
              <w:jc w:val="left"/>
            </w:pPr>
            <w:r>
              <w:rPr>
                <w:b/>
                <w:sz w:val="20"/>
              </w:rPr>
              <w:t xml:space="preserve">Активност за ублажавање негативних ефеката ризика </w:t>
            </w:r>
          </w:p>
        </w:tc>
      </w:tr>
      <w:tr w:rsidR="00E8309B">
        <w:trPr>
          <w:trHeight w:val="440"/>
        </w:trPr>
        <w:tc>
          <w:tcPr>
            <w:tcW w:w="3330"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0" w:firstLine="0"/>
              <w:jc w:val="left"/>
            </w:pPr>
            <w:r>
              <w:rPr>
                <w:sz w:val="20"/>
              </w:rPr>
              <w:lastRenderedPageBreak/>
              <w:t xml:space="preserve">Закон неће бити усвојена на време </w:t>
            </w:r>
          </w:p>
        </w:tc>
        <w:tc>
          <w:tcPr>
            <w:tcW w:w="2201"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2" w:right="0" w:firstLine="0"/>
              <w:jc w:val="left"/>
            </w:pPr>
            <w:r>
              <w:rPr>
                <w:sz w:val="20"/>
              </w:rPr>
              <w:t xml:space="preserve">Средња </w:t>
            </w:r>
          </w:p>
        </w:tc>
        <w:tc>
          <w:tcPr>
            <w:tcW w:w="4165"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0" w:firstLine="0"/>
              <w:jc w:val="left"/>
            </w:pPr>
            <w:r>
              <w:rPr>
                <w:sz w:val="20"/>
              </w:rPr>
              <w:t xml:space="preserve">Нацрт закона је припремљен </w:t>
            </w:r>
          </w:p>
        </w:tc>
      </w:tr>
      <w:tr w:rsidR="00E8309B">
        <w:trPr>
          <w:trHeight w:val="545"/>
        </w:trPr>
        <w:tc>
          <w:tcPr>
            <w:tcW w:w="3330"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0" w:firstLine="0"/>
              <w:jc w:val="left"/>
            </w:pPr>
            <w:r>
              <w:rPr>
                <w:sz w:val="20"/>
              </w:rPr>
              <w:t>Кашњење у успостављању одрживог начина финансирања</w:t>
            </w:r>
            <w:r>
              <w:rPr>
                <w:b/>
                <w:sz w:val="20"/>
              </w:rPr>
              <w:t xml:space="preserve"> </w:t>
            </w:r>
          </w:p>
        </w:tc>
        <w:tc>
          <w:tcPr>
            <w:tcW w:w="2201"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2" w:right="0" w:firstLine="0"/>
              <w:jc w:val="left"/>
            </w:pPr>
            <w:r>
              <w:rPr>
                <w:sz w:val="20"/>
              </w:rPr>
              <w:t>Средња</w:t>
            </w:r>
            <w:r>
              <w:rPr>
                <w:b/>
                <w:sz w:val="20"/>
              </w:rPr>
              <w:t xml:space="preserve"> </w:t>
            </w:r>
          </w:p>
        </w:tc>
        <w:tc>
          <w:tcPr>
            <w:tcW w:w="4165"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0" w:firstLine="0"/>
              <w:jc w:val="left"/>
            </w:pPr>
            <w:r>
              <w:rPr>
                <w:sz w:val="20"/>
              </w:rPr>
              <w:t xml:space="preserve">До успостављања одрживог начина финансирања фонда пројекати ће се </w:t>
            </w:r>
          </w:p>
        </w:tc>
      </w:tr>
      <w:tr w:rsidR="00E8309B">
        <w:trPr>
          <w:trHeight w:val="548"/>
        </w:trPr>
        <w:tc>
          <w:tcPr>
            <w:tcW w:w="3330" w:type="dxa"/>
            <w:tcBorders>
              <w:top w:val="single" w:sz="4" w:space="0" w:color="000000"/>
              <w:left w:val="single" w:sz="4" w:space="0" w:color="000000"/>
              <w:bottom w:val="single" w:sz="4" w:space="0" w:color="000000"/>
              <w:right w:val="single" w:sz="4" w:space="0" w:color="000000"/>
            </w:tcBorders>
          </w:tcPr>
          <w:p w:rsidR="00E8309B" w:rsidRDefault="00E8309B">
            <w:pPr>
              <w:spacing w:after="160" w:line="259" w:lineRule="auto"/>
              <w:ind w:left="0" w:right="0" w:firstLine="0"/>
              <w:jc w:val="left"/>
            </w:pPr>
          </w:p>
        </w:tc>
        <w:tc>
          <w:tcPr>
            <w:tcW w:w="2201" w:type="dxa"/>
            <w:tcBorders>
              <w:top w:val="single" w:sz="4" w:space="0" w:color="000000"/>
              <w:left w:val="single" w:sz="4" w:space="0" w:color="000000"/>
              <w:bottom w:val="single" w:sz="4" w:space="0" w:color="000000"/>
              <w:right w:val="single" w:sz="4" w:space="0" w:color="000000"/>
            </w:tcBorders>
          </w:tcPr>
          <w:p w:rsidR="00E8309B" w:rsidRDefault="00E8309B">
            <w:pPr>
              <w:spacing w:after="160" w:line="259" w:lineRule="auto"/>
              <w:ind w:left="0" w:right="0" w:firstLine="0"/>
              <w:jc w:val="left"/>
            </w:pPr>
          </w:p>
        </w:tc>
        <w:tc>
          <w:tcPr>
            <w:tcW w:w="4165"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0" w:firstLine="0"/>
              <w:jc w:val="left"/>
            </w:pPr>
            <w:r>
              <w:rPr>
                <w:sz w:val="20"/>
              </w:rPr>
              <w:t>реализовати кроз Буџетски фонд за унапређење енергетске ефикасности</w:t>
            </w:r>
            <w:r>
              <w:rPr>
                <w:b/>
                <w:sz w:val="20"/>
              </w:rPr>
              <w:t xml:space="preserve"> </w:t>
            </w:r>
          </w:p>
        </w:tc>
      </w:tr>
      <w:tr w:rsidR="00E8309B">
        <w:trPr>
          <w:trHeight w:val="420"/>
        </w:trPr>
        <w:tc>
          <w:tcPr>
            <w:tcW w:w="3330"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0" w:firstLine="0"/>
              <w:jc w:val="left"/>
            </w:pPr>
            <w:r>
              <w:rPr>
                <w:sz w:val="20"/>
              </w:rPr>
              <w:t xml:space="preserve">Слаби административни капацитети </w:t>
            </w:r>
          </w:p>
        </w:tc>
        <w:tc>
          <w:tcPr>
            <w:tcW w:w="2201"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2" w:right="0" w:firstLine="0"/>
              <w:jc w:val="left"/>
            </w:pPr>
            <w:r>
              <w:rPr>
                <w:sz w:val="20"/>
              </w:rPr>
              <w:t xml:space="preserve">Средња </w:t>
            </w:r>
          </w:p>
        </w:tc>
        <w:tc>
          <w:tcPr>
            <w:tcW w:w="4165"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0" w:firstLine="0"/>
              <w:jc w:val="left"/>
            </w:pPr>
            <w:r>
              <w:rPr>
                <w:sz w:val="20"/>
              </w:rPr>
              <w:t xml:space="preserve">Обезбеђена је техничка помоћ </w:t>
            </w:r>
          </w:p>
        </w:tc>
      </w:tr>
    </w:tbl>
    <w:p w:rsidR="00E8309B" w:rsidRDefault="009D0949">
      <w:pPr>
        <w:spacing w:after="11"/>
        <w:ind w:left="-5" w:right="17"/>
      </w:pPr>
      <w:r>
        <w:rPr>
          <w:b/>
          <w:u w:val="single" w:color="000000"/>
        </w:rPr>
        <w:t>СТРУКТУРНА РЕФОРМА 3:</w:t>
      </w:r>
      <w:r>
        <w:rPr>
          <w:b/>
        </w:rPr>
        <w:t xml:space="preserve"> </w:t>
      </w:r>
      <w:r>
        <w:t xml:space="preserve">РЕФОРМА ЖЕЛЕЗНИЦЕ КРОЗ УСАГЛАШАВАЊЕ </w:t>
      </w:r>
    </w:p>
    <w:p w:rsidR="00E8309B" w:rsidRDefault="009D0949">
      <w:pPr>
        <w:spacing w:after="156"/>
        <w:ind w:left="-5" w:right="17"/>
      </w:pPr>
      <w:r>
        <w:t>РЕГУЛАТОРНОГ ОКВИРА И УНАПРЕЂЕЊЕ БЕЗБЕДНОСТИ</w:t>
      </w:r>
      <w:r>
        <w:rPr>
          <w:b/>
          <w:sz w:val="22"/>
        </w:rPr>
        <w:t xml:space="preserve"> </w:t>
      </w:r>
    </w:p>
    <w:p w:rsidR="00E8309B" w:rsidRDefault="009D0949">
      <w:pPr>
        <w:numPr>
          <w:ilvl w:val="0"/>
          <w:numId w:val="14"/>
        </w:numPr>
        <w:spacing w:after="126" w:line="271" w:lineRule="auto"/>
        <w:ind w:right="9" w:hanging="427"/>
      </w:pPr>
      <w:r>
        <w:rPr>
          <w:b/>
        </w:rPr>
        <w:t xml:space="preserve">Опис структурне реформе </w:t>
      </w:r>
    </w:p>
    <w:p w:rsidR="00E8309B" w:rsidRDefault="009D0949">
      <w:pPr>
        <w:spacing w:after="151"/>
        <w:ind w:left="-5" w:right="17"/>
      </w:pPr>
      <w:r>
        <w:t>Србија интензивно спроводи активности на реформи железничког сектора од 2015. године. С обзиром на сложеност и дуготрајност ових процеса (паралелно уз стварање услова за трајно одрживо пословање предузећа, даље отварање тржишта, унапређење услуга и улагања</w:t>
      </w:r>
      <w:r>
        <w:t xml:space="preserve"> у инфраструктуру), од 2019. године ова реформа постаје специфичнија и у њен фокус долази унапређење безбедности и регулаторног оквира. Главне активности које су тада дефинисане, а које ће остати у фокусу и у наредном периоду, јесу: доношење и примена нове</w:t>
      </w:r>
      <w:r>
        <w:t xml:space="preserve"> Методологије за обрачун цене приступа железничкој инфраструктури у складу са Уредбом о начину и модалитетима израчунавања трошкова који су настали као директан резултат саобраћања воза („Сл. гласник РС“, бр. 48/19), односно Имплементационoм Уредбом (ЕУ) 2</w:t>
      </w:r>
      <w:r>
        <w:t xml:space="preserve">015/909, што има за циљ цене приступа засноване на стварним трошковима и омогућавање предвидљивијег тржишта, затим, унапређење безбедности, нарочито када су у питању путно-пружни прелази (допринос остварењу </w:t>
      </w:r>
      <w:r>
        <w:rPr>
          <w:b/>
        </w:rPr>
        <w:t xml:space="preserve">ЦОР 11.2. </w:t>
      </w:r>
      <w:r>
        <w:t>До 2030. обезбедити приступ сигурним, п</w:t>
      </w:r>
      <w:r>
        <w:t xml:space="preserve">риуштивим, доступним и одрживим транспортним системима за све, побољшати безбедност на путевима), са циљем смањења броја несрећа, као и усаглашавање закона са IV пакетом прописа, што ће допринети стварању ефикасног и одрживог железничког система. Додатно, </w:t>
      </w:r>
      <w:r>
        <w:t xml:space="preserve">сва улагања у железницу директно доприносе спровођењу Европског зеленог договора с обзиром на техничке одлике и еколошку повољност овог вида превоза. </w:t>
      </w:r>
    </w:p>
    <w:p w:rsidR="00E8309B" w:rsidRDefault="009D0949">
      <w:pPr>
        <w:numPr>
          <w:ilvl w:val="0"/>
          <w:numId w:val="14"/>
        </w:numPr>
        <w:spacing w:after="126" w:line="271" w:lineRule="auto"/>
        <w:ind w:right="9" w:hanging="427"/>
      </w:pPr>
      <w:r>
        <w:rPr>
          <w:b/>
        </w:rPr>
        <w:t xml:space="preserve">Ковид-19 – ефекти, мере и изазови </w:t>
      </w:r>
    </w:p>
    <w:p w:rsidR="00E8309B" w:rsidRDefault="009D0949">
      <w:pPr>
        <w:spacing w:after="155"/>
        <w:ind w:left="-5" w:right="17"/>
      </w:pPr>
      <w:r>
        <w:t>Активно се прати утицај пандемије Ковид-19 на привредну активност, как</w:t>
      </w:r>
      <w:r>
        <w:t>о би се ефекат на железнички сектор свео на најмању могућу меру. У првој половини 2020. године у односу на исти период 2019. дошло је до пада у обиму превезене робе (национални железнички превозник) за око 11% (нетотонски километри), односно за око 14% (пр</w:t>
      </w:r>
      <w:r>
        <w:t>евезене тоне), док је број превезених путника мањи за 45%. С обзиром на неизвесност епидемиолошке ситуације, па и на неизвесност привредних кретања, није могуће дати јасну процену када се очекује нормализација ових показатеља. Такође, редовност превоза роб</w:t>
      </w:r>
      <w:r>
        <w:t>е и путника зависиће у великој мери од отворености граничних прелаза. Удео железнице у укупном обиму превезене робе је коначан показатељ успешности ове структурне реформе (учешће железничког саобраћаја у укупном превозу робе износио је 22,5% (остварени тон</w:t>
      </w:r>
      <w:r>
        <w:t xml:space="preserve">ски км) у 2019. години). </w:t>
      </w:r>
    </w:p>
    <w:p w:rsidR="00E8309B" w:rsidRDefault="009D0949">
      <w:pPr>
        <w:numPr>
          <w:ilvl w:val="0"/>
          <w:numId w:val="14"/>
        </w:numPr>
        <w:spacing w:after="0" w:line="271" w:lineRule="auto"/>
        <w:ind w:right="9" w:hanging="427"/>
      </w:pPr>
      <w:r>
        <w:rPr>
          <w:b/>
        </w:rPr>
        <w:t xml:space="preserve">Планирање активности по годинама </w:t>
      </w:r>
    </w:p>
    <w:tbl>
      <w:tblPr>
        <w:tblStyle w:val="TableGrid"/>
        <w:tblW w:w="9610" w:type="dxa"/>
        <w:tblInd w:w="10" w:type="dxa"/>
        <w:tblCellMar>
          <w:top w:w="10" w:type="dxa"/>
          <w:left w:w="58" w:type="dxa"/>
          <w:bottom w:w="0" w:type="dxa"/>
          <w:right w:w="8" w:type="dxa"/>
        </w:tblCellMar>
        <w:tblLook w:val="04A0" w:firstRow="1" w:lastRow="0" w:firstColumn="1" w:lastColumn="0" w:noHBand="0" w:noVBand="1"/>
      </w:tblPr>
      <w:tblGrid>
        <w:gridCol w:w="427"/>
        <w:gridCol w:w="4123"/>
        <w:gridCol w:w="419"/>
        <w:gridCol w:w="421"/>
        <w:gridCol w:w="422"/>
        <w:gridCol w:w="422"/>
        <w:gridCol w:w="424"/>
        <w:gridCol w:w="421"/>
        <w:gridCol w:w="423"/>
        <w:gridCol w:w="420"/>
        <w:gridCol w:w="424"/>
        <w:gridCol w:w="422"/>
        <w:gridCol w:w="422"/>
        <w:gridCol w:w="420"/>
      </w:tblGrid>
      <w:tr w:rsidR="00E8309B">
        <w:trPr>
          <w:trHeight w:val="331"/>
        </w:trPr>
        <w:tc>
          <w:tcPr>
            <w:tcW w:w="427" w:type="dxa"/>
            <w:vMerge w:val="restart"/>
            <w:tcBorders>
              <w:top w:val="single" w:sz="8" w:space="0" w:color="000000"/>
              <w:left w:val="single" w:sz="8" w:space="0" w:color="000000"/>
              <w:bottom w:val="single" w:sz="8" w:space="0" w:color="000000"/>
              <w:right w:val="single" w:sz="8" w:space="0" w:color="000000"/>
            </w:tcBorders>
            <w:vAlign w:val="center"/>
          </w:tcPr>
          <w:p w:rsidR="00E8309B" w:rsidRDefault="009D0949">
            <w:pPr>
              <w:spacing w:after="0" w:line="259" w:lineRule="auto"/>
              <w:ind w:left="29" w:right="0" w:firstLine="0"/>
            </w:pPr>
            <w:r>
              <w:rPr>
                <w:b/>
                <w:sz w:val="20"/>
              </w:rPr>
              <w:t xml:space="preserve">РБ </w:t>
            </w:r>
          </w:p>
        </w:tc>
        <w:tc>
          <w:tcPr>
            <w:tcW w:w="4123" w:type="dxa"/>
            <w:vMerge w:val="restart"/>
            <w:tcBorders>
              <w:top w:val="single" w:sz="8" w:space="0" w:color="000000"/>
              <w:left w:val="single" w:sz="8" w:space="0" w:color="000000"/>
              <w:bottom w:val="single" w:sz="8" w:space="0" w:color="000000"/>
              <w:right w:val="single" w:sz="8" w:space="0" w:color="000000"/>
            </w:tcBorders>
            <w:vAlign w:val="center"/>
          </w:tcPr>
          <w:p w:rsidR="00E8309B" w:rsidRDefault="009D0949">
            <w:pPr>
              <w:spacing w:after="0" w:line="259" w:lineRule="auto"/>
              <w:ind w:left="0" w:right="0" w:firstLine="0"/>
              <w:jc w:val="left"/>
            </w:pPr>
            <w:r>
              <w:rPr>
                <w:b/>
                <w:sz w:val="20"/>
              </w:rPr>
              <w:t xml:space="preserve">Планиране активности </w:t>
            </w:r>
          </w:p>
        </w:tc>
        <w:tc>
          <w:tcPr>
            <w:tcW w:w="1684" w:type="dxa"/>
            <w:gridSpan w:val="4"/>
            <w:tcBorders>
              <w:top w:val="single" w:sz="8" w:space="0" w:color="000000"/>
              <w:left w:val="single" w:sz="8" w:space="0" w:color="000000"/>
              <w:bottom w:val="single" w:sz="4" w:space="0" w:color="000000"/>
              <w:right w:val="single" w:sz="8" w:space="0" w:color="000000"/>
            </w:tcBorders>
          </w:tcPr>
          <w:p w:rsidR="00E8309B" w:rsidRDefault="009D0949">
            <w:pPr>
              <w:spacing w:after="0" w:line="259" w:lineRule="auto"/>
              <w:ind w:left="0" w:right="47" w:firstLine="0"/>
              <w:jc w:val="center"/>
            </w:pPr>
            <w:r>
              <w:rPr>
                <w:b/>
                <w:sz w:val="20"/>
              </w:rPr>
              <w:t xml:space="preserve">2021 </w:t>
            </w:r>
          </w:p>
        </w:tc>
        <w:tc>
          <w:tcPr>
            <w:tcW w:w="1688" w:type="dxa"/>
            <w:gridSpan w:val="4"/>
            <w:tcBorders>
              <w:top w:val="single" w:sz="8" w:space="0" w:color="000000"/>
              <w:left w:val="single" w:sz="8" w:space="0" w:color="000000"/>
              <w:bottom w:val="single" w:sz="4" w:space="0" w:color="000000"/>
              <w:right w:val="single" w:sz="8" w:space="0" w:color="000000"/>
            </w:tcBorders>
          </w:tcPr>
          <w:p w:rsidR="00E8309B" w:rsidRDefault="009D0949">
            <w:pPr>
              <w:spacing w:after="0" w:line="259" w:lineRule="auto"/>
              <w:ind w:left="0" w:right="44" w:firstLine="0"/>
              <w:jc w:val="center"/>
            </w:pPr>
            <w:r>
              <w:rPr>
                <w:b/>
                <w:sz w:val="20"/>
              </w:rPr>
              <w:t xml:space="preserve">2022 </w:t>
            </w:r>
          </w:p>
        </w:tc>
        <w:tc>
          <w:tcPr>
            <w:tcW w:w="1688" w:type="dxa"/>
            <w:gridSpan w:val="4"/>
            <w:tcBorders>
              <w:top w:val="single" w:sz="8" w:space="0" w:color="000000"/>
              <w:left w:val="single" w:sz="8" w:space="0" w:color="000000"/>
              <w:bottom w:val="single" w:sz="4" w:space="0" w:color="000000"/>
              <w:right w:val="single" w:sz="8" w:space="0" w:color="000000"/>
            </w:tcBorders>
          </w:tcPr>
          <w:p w:rsidR="00E8309B" w:rsidRDefault="009D0949">
            <w:pPr>
              <w:spacing w:after="0" w:line="259" w:lineRule="auto"/>
              <w:ind w:left="0" w:right="45" w:firstLine="0"/>
              <w:jc w:val="center"/>
            </w:pPr>
            <w:r>
              <w:rPr>
                <w:b/>
                <w:sz w:val="20"/>
              </w:rPr>
              <w:t xml:space="preserve">2023 </w:t>
            </w:r>
          </w:p>
        </w:tc>
      </w:tr>
      <w:tr w:rsidR="00E8309B">
        <w:trPr>
          <w:trHeight w:val="326"/>
        </w:trPr>
        <w:tc>
          <w:tcPr>
            <w:tcW w:w="0" w:type="auto"/>
            <w:vMerge/>
            <w:tcBorders>
              <w:top w:val="nil"/>
              <w:left w:val="single" w:sz="8" w:space="0" w:color="000000"/>
              <w:bottom w:val="single" w:sz="8" w:space="0" w:color="000000"/>
              <w:right w:val="single" w:sz="8" w:space="0" w:color="000000"/>
            </w:tcBorders>
          </w:tcPr>
          <w:p w:rsidR="00E8309B" w:rsidRDefault="00E8309B">
            <w:pPr>
              <w:spacing w:after="160" w:line="259" w:lineRule="auto"/>
              <w:ind w:left="0" w:right="0" w:firstLine="0"/>
              <w:jc w:val="left"/>
            </w:pPr>
          </w:p>
        </w:tc>
        <w:tc>
          <w:tcPr>
            <w:tcW w:w="0" w:type="auto"/>
            <w:vMerge/>
            <w:tcBorders>
              <w:top w:val="nil"/>
              <w:left w:val="single" w:sz="8" w:space="0" w:color="000000"/>
              <w:bottom w:val="single" w:sz="8" w:space="0" w:color="000000"/>
              <w:right w:val="single" w:sz="8" w:space="0" w:color="000000"/>
            </w:tcBorders>
          </w:tcPr>
          <w:p w:rsidR="00E8309B" w:rsidRDefault="00E8309B">
            <w:pPr>
              <w:spacing w:after="160" w:line="259" w:lineRule="auto"/>
              <w:ind w:left="0" w:right="0" w:firstLine="0"/>
              <w:jc w:val="left"/>
            </w:pPr>
          </w:p>
        </w:tc>
        <w:tc>
          <w:tcPr>
            <w:tcW w:w="419" w:type="dxa"/>
            <w:tcBorders>
              <w:top w:val="single" w:sz="4" w:space="0" w:color="000000"/>
              <w:left w:val="single" w:sz="8" w:space="0" w:color="000000"/>
              <w:bottom w:val="single" w:sz="8" w:space="0" w:color="000000"/>
              <w:right w:val="single" w:sz="4" w:space="0" w:color="000000"/>
            </w:tcBorders>
          </w:tcPr>
          <w:p w:rsidR="00E8309B" w:rsidRDefault="009D0949">
            <w:pPr>
              <w:spacing w:after="0" w:line="259" w:lineRule="auto"/>
              <w:ind w:left="42" w:right="0" w:firstLine="0"/>
              <w:jc w:val="left"/>
            </w:pPr>
            <w:r>
              <w:rPr>
                <w:i/>
                <w:sz w:val="18"/>
              </w:rPr>
              <w:t xml:space="preserve">Q1 </w:t>
            </w:r>
          </w:p>
        </w:tc>
        <w:tc>
          <w:tcPr>
            <w:tcW w:w="421" w:type="dxa"/>
            <w:tcBorders>
              <w:top w:val="single" w:sz="4" w:space="0" w:color="000000"/>
              <w:left w:val="single" w:sz="4" w:space="0" w:color="000000"/>
              <w:bottom w:val="single" w:sz="8" w:space="0" w:color="000000"/>
              <w:right w:val="single" w:sz="4" w:space="0" w:color="000000"/>
            </w:tcBorders>
          </w:tcPr>
          <w:p w:rsidR="00E8309B" w:rsidRDefault="009D0949">
            <w:pPr>
              <w:spacing w:after="0" w:line="259" w:lineRule="auto"/>
              <w:ind w:left="43" w:right="0" w:firstLine="0"/>
              <w:jc w:val="left"/>
            </w:pPr>
            <w:r>
              <w:rPr>
                <w:i/>
                <w:sz w:val="18"/>
              </w:rPr>
              <w:t xml:space="preserve">Q2 </w:t>
            </w:r>
          </w:p>
        </w:tc>
        <w:tc>
          <w:tcPr>
            <w:tcW w:w="422" w:type="dxa"/>
            <w:tcBorders>
              <w:top w:val="single" w:sz="4" w:space="0" w:color="000000"/>
              <w:left w:val="single" w:sz="4" w:space="0" w:color="000000"/>
              <w:bottom w:val="single" w:sz="8" w:space="0" w:color="000000"/>
              <w:right w:val="single" w:sz="4" w:space="0" w:color="000000"/>
            </w:tcBorders>
          </w:tcPr>
          <w:p w:rsidR="00E8309B" w:rsidRDefault="009D0949">
            <w:pPr>
              <w:spacing w:after="0" w:line="259" w:lineRule="auto"/>
              <w:ind w:left="44" w:right="0" w:firstLine="0"/>
              <w:jc w:val="left"/>
            </w:pPr>
            <w:r>
              <w:rPr>
                <w:i/>
                <w:sz w:val="18"/>
              </w:rPr>
              <w:t xml:space="preserve">Q3 </w:t>
            </w:r>
          </w:p>
        </w:tc>
        <w:tc>
          <w:tcPr>
            <w:tcW w:w="421" w:type="dxa"/>
            <w:tcBorders>
              <w:top w:val="single" w:sz="4" w:space="0" w:color="000000"/>
              <w:left w:val="single" w:sz="4" w:space="0" w:color="000000"/>
              <w:bottom w:val="single" w:sz="8" w:space="0" w:color="000000"/>
              <w:right w:val="single" w:sz="8" w:space="0" w:color="000000"/>
            </w:tcBorders>
          </w:tcPr>
          <w:p w:rsidR="00E8309B" w:rsidRDefault="009D0949">
            <w:pPr>
              <w:spacing w:after="0" w:line="259" w:lineRule="auto"/>
              <w:ind w:left="44" w:right="0" w:firstLine="0"/>
              <w:jc w:val="left"/>
            </w:pPr>
            <w:r>
              <w:rPr>
                <w:i/>
                <w:sz w:val="18"/>
              </w:rPr>
              <w:t xml:space="preserve">Q4 </w:t>
            </w:r>
          </w:p>
        </w:tc>
        <w:tc>
          <w:tcPr>
            <w:tcW w:w="424" w:type="dxa"/>
            <w:tcBorders>
              <w:top w:val="single" w:sz="4" w:space="0" w:color="000000"/>
              <w:left w:val="single" w:sz="8" w:space="0" w:color="000000"/>
              <w:bottom w:val="single" w:sz="8" w:space="0" w:color="000000"/>
              <w:right w:val="single" w:sz="4" w:space="0" w:color="000000"/>
            </w:tcBorders>
          </w:tcPr>
          <w:p w:rsidR="00E8309B" w:rsidRDefault="009D0949">
            <w:pPr>
              <w:spacing w:after="0" w:line="259" w:lineRule="auto"/>
              <w:ind w:left="46" w:right="0" w:firstLine="0"/>
              <w:jc w:val="left"/>
            </w:pPr>
            <w:r>
              <w:rPr>
                <w:i/>
                <w:sz w:val="18"/>
              </w:rPr>
              <w:t xml:space="preserve">Q1 </w:t>
            </w:r>
          </w:p>
        </w:tc>
        <w:tc>
          <w:tcPr>
            <w:tcW w:w="421" w:type="dxa"/>
            <w:tcBorders>
              <w:top w:val="single" w:sz="4" w:space="0" w:color="000000"/>
              <w:left w:val="single" w:sz="4" w:space="0" w:color="000000"/>
              <w:bottom w:val="single" w:sz="8" w:space="0" w:color="000000"/>
              <w:right w:val="single" w:sz="4" w:space="0" w:color="000000"/>
            </w:tcBorders>
          </w:tcPr>
          <w:p w:rsidR="00E8309B" w:rsidRDefault="009D0949">
            <w:pPr>
              <w:spacing w:after="0" w:line="259" w:lineRule="auto"/>
              <w:ind w:left="44" w:right="0" w:firstLine="0"/>
              <w:jc w:val="left"/>
            </w:pPr>
            <w:r>
              <w:rPr>
                <w:i/>
                <w:sz w:val="18"/>
              </w:rPr>
              <w:t xml:space="preserve">Q2 </w:t>
            </w:r>
          </w:p>
        </w:tc>
        <w:tc>
          <w:tcPr>
            <w:tcW w:w="423" w:type="dxa"/>
            <w:tcBorders>
              <w:top w:val="single" w:sz="4" w:space="0" w:color="000000"/>
              <w:left w:val="single" w:sz="4" w:space="0" w:color="000000"/>
              <w:bottom w:val="single" w:sz="8" w:space="0" w:color="000000"/>
              <w:right w:val="single" w:sz="4" w:space="0" w:color="000000"/>
            </w:tcBorders>
          </w:tcPr>
          <w:p w:rsidR="00E8309B" w:rsidRDefault="009D0949">
            <w:pPr>
              <w:spacing w:after="0" w:line="259" w:lineRule="auto"/>
              <w:ind w:left="46" w:right="0" w:firstLine="0"/>
              <w:jc w:val="left"/>
            </w:pPr>
            <w:r>
              <w:rPr>
                <w:i/>
                <w:sz w:val="18"/>
              </w:rPr>
              <w:t xml:space="preserve">Q3 </w:t>
            </w:r>
          </w:p>
        </w:tc>
        <w:tc>
          <w:tcPr>
            <w:tcW w:w="420" w:type="dxa"/>
            <w:tcBorders>
              <w:top w:val="single" w:sz="4" w:space="0" w:color="000000"/>
              <w:left w:val="single" w:sz="4" w:space="0" w:color="000000"/>
              <w:bottom w:val="single" w:sz="8" w:space="0" w:color="000000"/>
              <w:right w:val="single" w:sz="8" w:space="0" w:color="000000"/>
            </w:tcBorders>
          </w:tcPr>
          <w:p w:rsidR="00E8309B" w:rsidRDefault="009D0949">
            <w:pPr>
              <w:spacing w:after="0" w:line="259" w:lineRule="auto"/>
              <w:ind w:left="43" w:right="0" w:firstLine="0"/>
              <w:jc w:val="left"/>
            </w:pPr>
            <w:r>
              <w:rPr>
                <w:i/>
                <w:sz w:val="18"/>
              </w:rPr>
              <w:t xml:space="preserve">Q4 </w:t>
            </w:r>
          </w:p>
        </w:tc>
        <w:tc>
          <w:tcPr>
            <w:tcW w:w="424" w:type="dxa"/>
            <w:tcBorders>
              <w:top w:val="single" w:sz="4" w:space="0" w:color="000000"/>
              <w:left w:val="single" w:sz="8" w:space="0" w:color="000000"/>
              <w:bottom w:val="single" w:sz="8" w:space="0" w:color="000000"/>
              <w:right w:val="single" w:sz="4" w:space="0" w:color="000000"/>
            </w:tcBorders>
          </w:tcPr>
          <w:p w:rsidR="00E8309B" w:rsidRDefault="009D0949">
            <w:pPr>
              <w:spacing w:after="0" w:line="259" w:lineRule="auto"/>
              <w:ind w:left="46" w:right="0" w:firstLine="0"/>
              <w:jc w:val="left"/>
            </w:pPr>
            <w:r>
              <w:rPr>
                <w:i/>
                <w:sz w:val="18"/>
              </w:rPr>
              <w:t xml:space="preserve">Q1 </w:t>
            </w:r>
          </w:p>
        </w:tc>
        <w:tc>
          <w:tcPr>
            <w:tcW w:w="422" w:type="dxa"/>
            <w:tcBorders>
              <w:top w:val="single" w:sz="4" w:space="0" w:color="000000"/>
              <w:left w:val="single" w:sz="4" w:space="0" w:color="000000"/>
              <w:bottom w:val="single" w:sz="8" w:space="0" w:color="000000"/>
              <w:right w:val="single" w:sz="4" w:space="0" w:color="000000"/>
            </w:tcBorders>
          </w:tcPr>
          <w:p w:rsidR="00E8309B" w:rsidRDefault="009D0949">
            <w:pPr>
              <w:spacing w:after="0" w:line="259" w:lineRule="auto"/>
              <w:ind w:left="44" w:right="0" w:firstLine="0"/>
              <w:jc w:val="left"/>
            </w:pPr>
            <w:r>
              <w:rPr>
                <w:i/>
                <w:sz w:val="18"/>
              </w:rPr>
              <w:t xml:space="preserve">Q2 </w:t>
            </w:r>
          </w:p>
        </w:tc>
        <w:tc>
          <w:tcPr>
            <w:tcW w:w="422" w:type="dxa"/>
            <w:tcBorders>
              <w:top w:val="single" w:sz="4" w:space="0" w:color="000000"/>
              <w:left w:val="single" w:sz="4" w:space="0" w:color="000000"/>
              <w:bottom w:val="single" w:sz="8" w:space="0" w:color="000000"/>
              <w:right w:val="single" w:sz="4" w:space="0" w:color="000000"/>
            </w:tcBorders>
          </w:tcPr>
          <w:p w:rsidR="00E8309B" w:rsidRDefault="009D0949">
            <w:pPr>
              <w:spacing w:after="0" w:line="259" w:lineRule="auto"/>
              <w:ind w:left="44" w:right="0" w:firstLine="0"/>
              <w:jc w:val="left"/>
            </w:pPr>
            <w:r>
              <w:rPr>
                <w:i/>
                <w:sz w:val="18"/>
              </w:rPr>
              <w:t xml:space="preserve">Q3 </w:t>
            </w:r>
          </w:p>
        </w:tc>
        <w:tc>
          <w:tcPr>
            <w:tcW w:w="420" w:type="dxa"/>
            <w:tcBorders>
              <w:top w:val="single" w:sz="4" w:space="0" w:color="000000"/>
              <w:left w:val="single" w:sz="4" w:space="0" w:color="000000"/>
              <w:bottom w:val="single" w:sz="8" w:space="0" w:color="000000"/>
              <w:right w:val="single" w:sz="8" w:space="0" w:color="000000"/>
            </w:tcBorders>
          </w:tcPr>
          <w:p w:rsidR="00E8309B" w:rsidRDefault="009D0949">
            <w:pPr>
              <w:spacing w:after="0" w:line="259" w:lineRule="auto"/>
              <w:ind w:left="44" w:right="0" w:firstLine="0"/>
              <w:jc w:val="left"/>
            </w:pPr>
            <w:r>
              <w:rPr>
                <w:i/>
                <w:sz w:val="18"/>
              </w:rPr>
              <w:t xml:space="preserve">Q4 </w:t>
            </w:r>
          </w:p>
        </w:tc>
      </w:tr>
      <w:tr w:rsidR="00E8309B">
        <w:trPr>
          <w:trHeight w:val="473"/>
        </w:trPr>
        <w:tc>
          <w:tcPr>
            <w:tcW w:w="427" w:type="dxa"/>
            <w:tcBorders>
              <w:top w:val="single" w:sz="8" w:space="0" w:color="000000"/>
              <w:left w:val="single" w:sz="8" w:space="0" w:color="000000"/>
              <w:bottom w:val="single" w:sz="4" w:space="0" w:color="000000"/>
              <w:right w:val="single" w:sz="8" w:space="0" w:color="000000"/>
            </w:tcBorders>
          </w:tcPr>
          <w:p w:rsidR="00E8309B" w:rsidRDefault="009D0949">
            <w:pPr>
              <w:spacing w:after="0" w:line="259" w:lineRule="auto"/>
              <w:ind w:left="0" w:right="51" w:firstLine="0"/>
              <w:jc w:val="right"/>
            </w:pPr>
            <w:r>
              <w:rPr>
                <w:sz w:val="20"/>
              </w:rPr>
              <w:t xml:space="preserve">1 </w:t>
            </w:r>
          </w:p>
        </w:tc>
        <w:tc>
          <w:tcPr>
            <w:tcW w:w="4123" w:type="dxa"/>
            <w:tcBorders>
              <w:top w:val="single" w:sz="8" w:space="0" w:color="000000"/>
              <w:left w:val="single" w:sz="8" w:space="0" w:color="000000"/>
              <w:bottom w:val="single" w:sz="4" w:space="0" w:color="000000"/>
              <w:right w:val="single" w:sz="8" w:space="0" w:color="000000"/>
            </w:tcBorders>
          </w:tcPr>
          <w:p w:rsidR="00E8309B" w:rsidRDefault="009D0949">
            <w:pPr>
              <w:spacing w:after="0" w:line="259" w:lineRule="auto"/>
              <w:ind w:left="0" w:right="0" w:firstLine="0"/>
              <w:jc w:val="left"/>
            </w:pPr>
            <w:r>
              <w:rPr>
                <w:sz w:val="20"/>
              </w:rPr>
              <w:t xml:space="preserve">Усаглашавање закона из области железнице са IV пакетом железничких ЕУ прописа </w:t>
            </w:r>
          </w:p>
        </w:tc>
        <w:tc>
          <w:tcPr>
            <w:tcW w:w="419" w:type="dxa"/>
            <w:tcBorders>
              <w:top w:val="single" w:sz="8" w:space="0" w:color="000000"/>
              <w:left w:val="single" w:sz="8"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1" w:right="0" w:firstLine="0"/>
              <w:jc w:val="center"/>
            </w:pPr>
            <w:r>
              <w:rPr>
                <w:sz w:val="20"/>
              </w:rPr>
              <w:t xml:space="preserve"> </w:t>
            </w:r>
          </w:p>
        </w:tc>
        <w:tc>
          <w:tcPr>
            <w:tcW w:w="421" w:type="dxa"/>
            <w:tcBorders>
              <w:top w:val="single" w:sz="8" w:space="0" w:color="000000"/>
              <w:left w:val="single" w:sz="4"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1" w:right="0" w:firstLine="0"/>
              <w:jc w:val="center"/>
            </w:pPr>
            <w:r>
              <w:rPr>
                <w:sz w:val="20"/>
              </w:rPr>
              <w:t xml:space="preserve"> </w:t>
            </w:r>
          </w:p>
        </w:tc>
        <w:tc>
          <w:tcPr>
            <w:tcW w:w="422" w:type="dxa"/>
            <w:tcBorders>
              <w:top w:val="single" w:sz="8" w:space="0" w:color="000000"/>
              <w:left w:val="single" w:sz="4"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2" w:right="0" w:firstLine="0"/>
              <w:jc w:val="center"/>
            </w:pPr>
            <w:r>
              <w:rPr>
                <w:sz w:val="20"/>
              </w:rPr>
              <w:t xml:space="preserve"> </w:t>
            </w:r>
          </w:p>
        </w:tc>
        <w:tc>
          <w:tcPr>
            <w:tcW w:w="421" w:type="dxa"/>
            <w:tcBorders>
              <w:top w:val="single" w:sz="8" w:space="0" w:color="000000"/>
              <w:left w:val="single" w:sz="4" w:space="0" w:color="000000"/>
              <w:bottom w:val="single" w:sz="4" w:space="0" w:color="000000"/>
              <w:right w:val="single" w:sz="8" w:space="0" w:color="000000"/>
            </w:tcBorders>
            <w:shd w:val="clear" w:color="auto" w:fill="BFBFBF"/>
            <w:vAlign w:val="center"/>
          </w:tcPr>
          <w:p w:rsidR="00E8309B" w:rsidRDefault="009D0949">
            <w:pPr>
              <w:spacing w:after="0" w:line="259" w:lineRule="auto"/>
              <w:ind w:left="4" w:right="0" w:firstLine="0"/>
              <w:jc w:val="center"/>
            </w:pPr>
            <w:r>
              <w:rPr>
                <w:color w:val="FF0000"/>
                <w:sz w:val="20"/>
              </w:rPr>
              <w:t xml:space="preserve"> </w:t>
            </w:r>
          </w:p>
        </w:tc>
        <w:tc>
          <w:tcPr>
            <w:tcW w:w="424" w:type="dxa"/>
            <w:tcBorders>
              <w:top w:val="single" w:sz="8" w:space="0" w:color="000000"/>
              <w:left w:val="single" w:sz="8" w:space="0" w:color="000000"/>
              <w:bottom w:val="single" w:sz="4" w:space="0" w:color="000000"/>
              <w:right w:val="single" w:sz="4" w:space="0" w:color="000000"/>
            </w:tcBorders>
            <w:vAlign w:val="center"/>
          </w:tcPr>
          <w:p w:rsidR="00E8309B" w:rsidRDefault="009D0949">
            <w:pPr>
              <w:spacing w:after="0" w:line="259" w:lineRule="auto"/>
              <w:ind w:left="4" w:right="0" w:firstLine="0"/>
              <w:jc w:val="center"/>
            </w:pPr>
            <w:r>
              <w:rPr>
                <w:sz w:val="20"/>
              </w:rPr>
              <w:t xml:space="preserve"> </w:t>
            </w:r>
          </w:p>
        </w:tc>
        <w:tc>
          <w:tcPr>
            <w:tcW w:w="421" w:type="dxa"/>
            <w:tcBorders>
              <w:top w:val="single" w:sz="8"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4" w:right="0" w:firstLine="0"/>
              <w:jc w:val="center"/>
            </w:pPr>
            <w:r>
              <w:rPr>
                <w:sz w:val="20"/>
              </w:rPr>
              <w:t xml:space="preserve"> </w:t>
            </w:r>
          </w:p>
        </w:tc>
        <w:tc>
          <w:tcPr>
            <w:tcW w:w="423" w:type="dxa"/>
            <w:tcBorders>
              <w:top w:val="single" w:sz="8"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5" w:right="0" w:firstLine="0"/>
              <w:jc w:val="center"/>
            </w:pPr>
            <w:r>
              <w:rPr>
                <w:sz w:val="20"/>
              </w:rPr>
              <w:t xml:space="preserve"> </w:t>
            </w:r>
          </w:p>
        </w:tc>
        <w:tc>
          <w:tcPr>
            <w:tcW w:w="420" w:type="dxa"/>
            <w:tcBorders>
              <w:top w:val="single" w:sz="8" w:space="0" w:color="000000"/>
              <w:left w:val="single" w:sz="4" w:space="0" w:color="000000"/>
              <w:bottom w:val="single" w:sz="4" w:space="0" w:color="000000"/>
              <w:right w:val="single" w:sz="8" w:space="0" w:color="000000"/>
            </w:tcBorders>
            <w:vAlign w:val="center"/>
          </w:tcPr>
          <w:p w:rsidR="00E8309B" w:rsidRDefault="009D0949">
            <w:pPr>
              <w:spacing w:after="0" w:line="259" w:lineRule="auto"/>
              <w:ind w:left="2" w:right="0" w:firstLine="0"/>
              <w:jc w:val="center"/>
            </w:pPr>
            <w:r>
              <w:rPr>
                <w:sz w:val="20"/>
              </w:rPr>
              <w:t xml:space="preserve"> </w:t>
            </w:r>
          </w:p>
        </w:tc>
        <w:tc>
          <w:tcPr>
            <w:tcW w:w="424" w:type="dxa"/>
            <w:tcBorders>
              <w:top w:val="single" w:sz="8" w:space="0" w:color="000000"/>
              <w:left w:val="single" w:sz="8" w:space="0" w:color="000000"/>
              <w:bottom w:val="single" w:sz="4" w:space="0" w:color="000000"/>
              <w:right w:val="single" w:sz="4" w:space="0" w:color="000000"/>
            </w:tcBorders>
            <w:vAlign w:val="center"/>
          </w:tcPr>
          <w:p w:rsidR="00E8309B" w:rsidRDefault="009D0949">
            <w:pPr>
              <w:spacing w:after="0" w:line="259" w:lineRule="auto"/>
              <w:ind w:left="4" w:right="0" w:firstLine="0"/>
              <w:jc w:val="center"/>
            </w:pPr>
            <w:r>
              <w:rPr>
                <w:sz w:val="20"/>
              </w:rPr>
              <w:t xml:space="preserve"> </w:t>
            </w:r>
          </w:p>
        </w:tc>
        <w:tc>
          <w:tcPr>
            <w:tcW w:w="422" w:type="dxa"/>
            <w:tcBorders>
              <w:top w:val="single" w:sz="8"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2" w:right="0" w:firstLine="0"/>
              <w:jc w:val="center"/>
            </w:pPr>
            <w:r>
              <w:rPr>
                <w:sz w:val="20"/>
              </w:rPr>
              <w:t xml:space="preserve"> </w:t>
            </w:r>
          </w:p>
        </w:tc>
        <w:tc>
          <w:tcPr>
            <w:tcW w:w="422" w:type="dxa"/>
            <w:tcBorders>
              <w:top w:val="single" w:sz="8"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2" w:right="0" w:firstLine="0"/>
              <w:jc w:val="center"/>
            </w:pPr>
            <w:r>
              <w:rPr>
                <w:sz w:val="20"/>
              </w:rPr>
              <w:t xml:space="preserve"> </w:t>
            </w:r>
          </w:p>
        </w:tc>
        <w:tc>
          <w:tcPr>
            <w:tcW w:w="420" w:type="dxa"/>
            <w:tcBorders>
              <w:top w:val="single" w:sz="8" w:space="0" w:color="000000"/>
              <w:left w:val="single" w:sz="4" w:space="0" w:color="000000"/>
              <w:bottom w:val="single" w:sz="4" w:space="0" w:color="000000"/>
              <w:right w:val="single" w:sz="8" w:space="0" w:color="000000"/>
            </w:tcBorders>
            <w:vAlign w:val="center"/>
          </w:tcPr>
          <w:p w:rsidR="00E8309B" w:rsidRDefault="009D0949">
            <w:pPr>
              <w:spacing w:after="0" w:line="259" w:lineRule="auto"/>
              <w:ind w:left="5" w:right="0" w:firstLine="0"/>
              <w:jc w:val="center"/>
            </w:pPr>
            <w:r>
              <w:rPr>
                <w:sz w:val="20"/>
              </w:rPr>
              <w:t xml:space="preserve"> </w:t>
            </w:r>
          </w:p>
        </w:tc>
      </w:tr>
      <w:tr w:rsidR="00E8309B">
        <w:trPr>
          <w:trHeight w:val="470"/>
        </w:trPr>
        <w:tc>
          <w:tcPr>
            <w:tcW w:w="427" w:type="dxa"/>
            <w:tcBorders>
              <w:top w:val="single" w:sz="4" w:space="0" w:color="000000"/>
              <w:left w:val="single" w:sz="8" w:space="0" w:color="000000"/>
              <w:bottom w:val="single" w:sz="4" w:space="0" w:color="000000"/>
              <w:right w:val="single" w:sz="8" w:space="0" w:color="000000"/>
            </w:tcBorders>
          </w:tcPr>
          <w:p w:rsidR="00E8309B" w:rsidRDefault="009D0949">
            <w:pPr>
              <w:spacing w:after="0" w:line="259" w:lineRule="auto"/>
              <w:ind w:left="0" w:right="51" w:firstLine="0"/>
              <w:jc w:val="right"/>
            </w:pPr>
            <w:r>
              <w:rPr>
                <w:sz w:val="20"/>
              </w:rPr>
              <w:t xml:space="preserve">2 </w:t>
            </w:r>
          </w:p>
        </w:tc>
        <w:tc>
          <w:tcPr>
            <w:tcW w:w="4123" w:type="dxa"/>
            <w:tcBorders>
              <w:top w:val="single" w:sz="4" w:space="0" w:color="000000"/>
              <w:left w:val="single" w:sz="8" w:space="0" w:color="000000"/>
              <w:bottom w:val="single" w:sz="4" w:space="0" w:color="000000"/>
              <w:right w:val="single" w:sz="8" w:space="0" w:color="000000"/>
            </w:tcBorders>
          </w:tcPr>
          <w:p w:rsidR="00E8309B" w:rsidRDefault="009D0949">
            <w:pPr>
              <w:spacing w:after="0" w:line="259" w:lineRule="auto"/>
              <w:ind w:left="0" w:right="0" w:firstLine="0"/>
              <w:jc w:val="left"/>
            </w:pPr>
            <w:r>
              <w:rPr>
                <w:sz w:val="20"/>
              </w:rPr>
              <w:t xml:space="preserve">Повећање безбедности у железничком саобраћају </w:t>
            </w:r>
          </w:p>
        </w:tc>
        <w:tc>
          <w:tcPr>
            <w:tcW w:w="419" w:type="dxa"/>
            <w:tcBorders>
              <w:top w:val="single" w:sz="4" w:space="0" w:color="000000"/>
              <w:left w:val="single" w:sz="8"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1" w:right="0" w:firstLine="0"/>
              <w:jc w:val="center"/>
            </w:pPr>
            <w:r>
              <w:rPr>
                <w:sz w:val="20"/>
              </w:rPr>
              <w:t xml:space="preserve"> </w:t>
            </w:r>
          </w:p>
        </w:tc>
        <w:tc>
          <w:tcPr>
            <w:tcW w:w="421"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1" w:right="0" w:firstLine="0"/>
              <w:jc w:val="center"/>
            </w:pPr>
            <w:r>
              <w:rPr>
                <w:sz w:val="20"/>
              </w:rPr>
              <w:t xml:space="preserve"> </w:t>
            </w:r>
          </w:p>
        </w:tc>
        <w:tc>
          <w:tcPr>
            <w:tcW w:w="422"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2" w:right="0" w:firstLine="0"/>
              <w:jc w:val="center"/>
            </w:pPr>
            <w:r>
              <w:rPr>
                <w:sz w:val="20"/>
              </w:rPr>
              <w:t xml:space="preserve"> </w:t>
            </w:r>
          </w:p>
        </w:tc>
        <w:tc>
          <w:tcPr>
            <w:tcW w:w="421" w:type="dxa"/>
            <w:tcBorders>
              <w:top w:val="single" w:sz="4" w:space="0" w:color="000000"/>
              <w:left w:val="single" w:sz="4" w:space="0" w:color="000000"/>
              <w:bottom w:val="single" w:sz="4" w:space="0" w:color="000000"/>
              <w:right w:val="single" w:sz="8" w:space="0" w:color="000000"/>
            </w:tcBorders>
            <w:shd w:val="clear" w:color="auto" w:fill="BFBFBF"/>
            <w:vAlign w:val="center"/>
          </w:tcPr>
          <w:p w:rsidR="00E8309B" w:rsidRDefault="009D0949">
            <w:pPr>
              <w:spacing w:after="0" w:line="259" w:lineRule="auto"/>
              <w:ind w:left="4" w:right="0" w:firstLine="0"/>
              <w:jc w:val="center"/>
            </w:pPr>
            <w:r>
              <w:rPr>
                <w:sz w:val="20"/>
              </w:rPr>
              <w:t xml:space="preserve"> </w:t>
            </w:r>
          </w:p>
        </w:tc>
        <w:tc>
          <w:tcPr>
            <w:tcW w:w="424" w:type="dxa"/>
            <w:tcBorders>
              <w:top w:val="single" w:sz="4" w:space="0" w:color="000000"/>
              <w:left w:val="single" w:sz="8"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4" w:right="0" w:firstLine="0"/>
              <w:jc w:val="center"/>
            </w:pPr>
            <w:r>
              <w:rPr>
                <w:sz w:val="20"/>
              </w:rPr>
              <w:t xml:space="preserve"> </w:t>
            </w:r>
          </w:p>
        </w:tc>
        <w:tc>
          <w:tcPr>
            <w:tcW w:w="421"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4" w:right="0" w:firstLine="0"/>
              <w:jc w:val="center"/>
            </w:pPr>
            <w:r>
              <w:rPr>
                <w:sz w:val="20"/>
              </w:rPr>
              <w:t xml:space="preserve"> </w:t>
            </w:r>
          </w:p>
        </w:tc>
        <w:tc>
          <w:tcPr>
            <w:tcW w:w="423"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5" w:right="0" w:firstLine="0"/>
              <w:jc w:val="center"/>
            </w:pPr>
            <w:r>
              <w:rPr>
                <w:sz w:val="20"/>
              </w:rPr>
              <w:t xml:space="preserve"> </w:t>
            </w:r>
          </w:p>
        </w:tc>
        <w:tc>
          <w:tcPr>
            <w:tcW w:w="420" w:type="dxa"/>
            <w:tcBorders>
              <w:top w:val="single" w:sz="4" w:space="0" w:color="000000"/>
              <w:left w:val="single" w:sz="4" w:space="0" w:color="000000"/>
              <w:bottom w:val="single" w:sz="4" w:space="0" w:color="000000"/>
              <w:right w:val="single" w:sz="8" w:space="0" w:color="000000"/>
            </w:tcBorders>
            <w:shd w:val="clear" w:color="auto" w:fill="BFBFBF"/>
            <w:vAlign w:val="center"/>
          </w:tcPr>
          <w:p w:rsidR="00E8309B" w:rsidRDefault="009D0949">
            <w:pPr>
              <w:spacing w:after="0" w:line="259" w:lineRule="auto"/>
              <w:ind w:left="2" w:right="0" w:firstLine="0"/>
              <w:jc w:val="center"/>
            </w:pPr>
            <w:r>
              <w:rPr>
                <w:sz w:val="20"/>
              </w:rPr>
              <w:t xml:space="preserve"> </w:t>
            </w:r>
          </w:p>
        </w:tc>
        <w:tc>
          <w:tcPr>
            <w:tcW w:w="424" w:type="dxa"/>
            <w:tcBorders>
              <w:top w:val="single" w:sz="4" w:space="0" w:color="000000"/>
              <w:left w:val="single" w:sz="8"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4" w:right="0" w:firstLine="0"/>
              <w:jc w:val="center"/>
            </w:pPr>
            <w:r>
              <w:rPr>
                <w:sz w:val="20"/>
              </w:rPr>
              <w:t xml:space="preserve"> </w:t>
            </w:r>
          </w:p>
        </w:tc>
        <w:tc>
          <w:tcPr>
            <w:tcW w:w="422"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2" w:right="0" w:firstLine="0"/>
              <w:jc w:val="center"/>
            </w:pPr>
            <w:r>
              <w:rPr>
                <w:sz w:val="20"/>
              </w:rPr>
              <w:t xml:space="preserve"> </w:t>
            </w:r>
          </w:p>
        </w:tc>
        <w:tc>
          <w:tcPr>
            <w:tcW w:w="422"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2" w:right="0" w:firstLine="0"/>
              <w:jc w:val="center"/>
            </w:pPr>
            <w:r>
              <w:rPr>
                <w:sz w:val="20"/>
              </w:rPr>
              <w:t xml:space="preserve"> </w:t>
            </w:r>
          </w:p>
        </w:tc>
        <w:tc>
          <w:tcPr>
            <w:tcW w:w="420" w:type="dxa"/>
            <w:tcBorders>
              <w:top w:val="single" w:sz="4" w:space="0" w:color="000000"/>
              <w:left w:val="single" w:sz="4" w:space="0" w:color="000000"/>
              <w:bottom w:val="single" w:sz="4" w:space="0" w:color="000000"/>
              <w:right w:val="single" w:sz="8" w:space="0" w:color="000000"/>
            </w:tcBorders>
            <w:shd w:val="clear" w:color="auto" w:fill="BFBFBF"/>
            <w:vAlign w:val="center"/>
          </w:tcPr>
          <w:p w:rsidR="00E8309B" w:rsidRDefault="009D0949">
            <w:pPr>
              <w:spacing w:after="0" w:line="259" w:lineRule="auto"/>
              <w:ind w:left="5" w:right="0" w:firstLine="0"/>
              <w:jc w:val="center"/>
            </w:pPr>
            <w:r>
              <w:rPr>
                <w:sz w:val="20"/>
              </w:rPr>
              <w:t xml:space="preserve"> </w:t>
            </w:r>
          </w:p>
        </w:tc>
      </w:tr>
      <w:tr w:rsidR="00E8309B">
        <w:trPr>
          <w:trHeight w:val="469"/>
        </w:trPr>
        <w:tc>
          <w:tcPr>
            <w:tcW w:w="427" w:type="dxa"/>
            <w:tcBorders>
              <w:top w:val="single" w:sz="4" w:space="0" w:color="000000"/>
              <w:left w:val="single" w:sz="8" w:space="0" w:color="000000"/>
              <w:bottom w:val="single" w:sz="4" w:space="0" w:color="000000"/>
              <w:right w:val="single" w:sz="8" w:space="0" w:color="000000"/>
            </w:tcBorders>
          </w:tcPr>
          <w:p w:rsidR="00E8309B" w:rsidRDefault="009D0949">
            <w:pPr>
              <w:spacing w:after="0" w:line="259" w:lineRule="auto"/>
              <w:ind w:left="0" w:right="51" w:firstLine="0"/>
              <w:jc w:val="right"/>
            </w:pPr>
            <w:r>
              <w:rPr>
                <w:sz w:val="20"/>
              </w:rPr>
              <w:lastRenderedPageBreak/>
              <w:t xml:space="preserve">3 </w:t>
            </w:r>
          </w:p>
        </w:tc>
        <w:tc>
          <w:tcPr>
            <w:tcW w:w="4123" w:type="dxa"/>
            <w:tcBorders>
              <w:top w:val="single" w:sz="4" w:space="0" w:color="000000"/>
              <w:left w:val="single" w:sz="8" w:space="0" w:color="000000"/>
              <w:bottom w:val="single" w:sz="4" w:space="0" w:color="000000"/>
              <w:right w:val="single" w:sz="8" w:space="0" w:color="000000"/>
            </w:tcBorders>
          </w:tcPr>
          <w:p w:rsidR="00E8309B" w:rsidRDefault="009D0949">
            <w:pPr>
              <w:spacing w:after="0" w:line="259" w:lineRule="auto"/>
              <w:ind w:left="0" w:right="51" w:firstLine="0"/>
              <w:jc w:val="left"/>
            </w:pPr>
            <w:r>
              <w:rPr>
                <w:sz w:val="20"/>
              </w:rPr>
              <w:t xml:space="preserve">Примена нове методологије за за обрачун цене приступа железничкој инфраструктури </w:t>
            </w:r>
          </w:p>
        </w:tc>
        <w:tc>
          <w:tcPr>
            <w:tcW w:w="419" w:type="dxa"/>
            <w:tcBorders>
              <w:top w:val="single" w:sz="4" w:space="0" w:color="000000"/>
              <w:left w:val="single" w:sz="8" w:space="0" w:color="000000"/>
              <w:bottom w:val="single" w:sz="4" w:space="0" w:color="000000"/>
              <w:right w:val="single" w:sz="4" w:space="0" w:color="000000"/>
            </w:tcBorders>
            <w:vAlign w:val="center"/>
          </w:tcPr>
          <w:p w:rsidR="00E8309B" w:rsidRDefault="009D0949">
            <w:pPr>
              <w:spacing w:after="0" w:line="259" w:lineRule="auto"/>
              <w:ind w:left="1" w:right="0" w:firstLine="0"/>
              <w:jc w:val="center"/>
            </w:pPr>
            <w:r>
              <w:rPr>
                <w:sz w:val="20"/>
              </w:rPr>
              <w:t xml:space="preserve"> </w:t>
            </w:r>
          </w:p>
        </w:tc>
        <w:tc>
          <w:tcPr>
            <w:tcW w:w="421"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1" w:right="0" w:firstLine="0"/>
              <w:jc w:val="center"/>
            </w:pPr>
            <w:r>
              <w:rPr>
                <w:sz w:val="20"/>
              </w:rPr>
              <w:t xml:space="preserve"> </w:t>
            </w:r>
          </w:p>
        </w:tc>
        <w:tc>
          <w:tcPr>
            <w:tcW w:w="422"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2" w:right="0" w:firstLine="0"/>
              <w:jc w:val="center"/>
            </w:pPr>
            <w:r>
              <w:rPr>
                <w:sz w:val="20"/>
              </w:rPr>
              <w:t xml:space="preserve"> </w:t>
            </w:r>
          </w:p>
        </w:tc>
        <w:tc>
          <w:tcPr>
            <w:tcW w:w="421" w:type="dxa"/>
            <w:tcBorders>
              <w:top w:val="single" w:sz="4" w:space="0" w:color="000000"/>
              <w:left w:val="single" w:sz="4" w:space="0" w:color="000000"/>
              <w:bottom w:val="single" w:sz="4" w:space="0" w:color="000000"/>
              <w:right w:val="single" w:sz="8" w:space="0" w:color="000000"/>
            </w:tcBorders>
            <w:shd w:val="clear" w:color="auto" w:fill="BFBFBF"/>
            <w:vAlign w:val="center"/>
          </w:tcPr>
          <w:p w:rsidR="00E8309B" w:rsidRDefault="009D0949">
            <w:pPr>
              <w:spacing w:after="0" w:line="259" w:lineRule="auto"/>
              <w:ind w:left="4" w:right="0" w:firstLine="0"/>
              <w:jc w:val="center"/>
            </w:pPr>
            <w:r>
              <w:rPr>
                <w:sz w:val="20"/>
              </w:rPr>
              <w:t xml:space="preserve"> </w:t>
            </w:r>
          </w:p>
        </w:tc>
        <w:tc>
          <w:tcPr>
            <w:tcW w:w="424" w:type="dxa"/>
            <w:tcBorders>
              <w:top w:val="single" w:sz="4" w:space="0" w:color="000000"/>
              <w:left w:val="single" w:sz="8"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4" w:right="0" w:firstLine="0"/>
              <w:jc w:val="center"/>
            </w:pPr>
            <w:r>
              <w:rPr>
                <w:sz w:val="20"/>
              </w:rPr>
              <w:t xml:space="preserve"> </w:t>
            </w:r>
          </w:p>
        </w:tc>
        <w:tc>
          <w:tcPr>
            <w:tcW w:w="421"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4" w:right="0" w:firstLine="0"/>
              <w:jc w:val="center"/>
            </w:pPr>
            <w:r>
              <w:rPr>
                <w:sz w:val="20"/>
              </w:rPr>
              <w:t xml:space="preserve"> </w:t>
            </w:r>
          </w:p>
        </w:tc>
        <w:tc>
          <w:tcPr>
            <w:tcW w:w="423"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5" w:right="0" w:firstLine="0"/>
              <w:jc w:val="center"/>
            </w:pPr>
            <w:r>
              <w:rPr>
                <w:sz w:val="20"/>
              </w:rPr>
              <w:t xml:space="preserve"> </w:t>
            </w:r>
          </w:p>
        </w:tc>
        <w:tc>
          <w:tcPr>
            <w:tcW w:w="420" w:type="dxa"/>
            <w:tcBorders>
              <w:top w:val="single" w:sz="4" w:space="0" w:color="000000"/>
              <w:left w:val="single" w:sz="4" w:space="0" w:color="000000"/>
              <w:bottom w:val="single" w:sz="4" w:space="0" w:color="000000"/>
              <w:right w:val="single" w:sz="8" w:space="0" w:color="000000"/>
            </w:tcBorders>
            <w:shd w:val="clear" w:color="auto" w:fill="BFBFBF"/>
            <w:vAlign w:val="center"/>
          </w:tcPr>
          <w:p w:rsidR="00E8309B" w:rsidRDefault="009D0949">
            <w:pPr>
              <w:spacing w:after="0" w:line="259" w:lineRule="auto"/>
              <w:ind w:left="2" w:right="0" w:firstLine="0"/>
              <w:jc w:val="center"/>
            </w:pPr>
            <w:r>
              <w:rPr>
                <w:sz w:val="20"/>
              </w:rPr>
              <w:t xml:space="preserve"> </w:t>
            </w:r>
          </w:p>
        </w:tc>
        <w:tc>
          <w:tcPr>
            <w:tcW w:w="424" w:type="dxa"/>
            <w:tcBorders>
              <w:top w:val="single" w:sz="4" w:space="0" w:color="000000"/>
              <w:left w:val="single" w:sz="8"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4" w:right="0" w:firstLine="0"/>
              <w:jc w:val="center"/>
            </w:pPr>
            <w:r>
              <w:rPr>
                <w:sz w:val="20"/>
              </w:rPr>
              <w:t xml:space="preserve"> </w:t>
            </w:r>
          </w:p>
        </w:tc>
        <w:tc>
          <w:tcPr>
            <w:tcW w:w="422"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2" w:right="0" w:firstLine="0"/>
              <w:jc w:val="center"/>
            </w:pPr>
            <w:r>
              <w:rPr>
                <w:sz w:val="20"/>
              </w:rPr>
              <w:t xml:space="preserve"> </w:t>
            </w:r>
          </w:p>
        </w:tc>
        <w:tc>
          <w:tcPr>
            <w:tcW w:w="422"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2" w:right="0" w:firstLine="0"/>
              <w:jc w:val="center"/>
            </w:pPr>
            <w:r>
              <w:rPr>
                <w:sz w:val="20"/>
              </w:rPr>
              <w:t xml:space="preserve"> </w:t>
            </w:r>
          </w:p>
        </w:tc>
        <w:tc>
          <w:tcPr>
            <w:tcW w:w="420" w:type="dxa"/>
            <w:tcBorders>
              <w:top w:val="single" w:sz="4" w:space="0" w:color="000000"/>
              <w:left w:val="single" w:sz="4" w:space="0" w:color="000000"/>
              <w:bottom w:val="single" w:sz="4" w:space="0" w:color="000000"/>
              <w:right w:val="single" w:sz="8" w:space="0" w:color="000000"/>
            </w:tcBorders>
            <w:shd w:val="clear" w:color="auto" w:fill="BFBFBF"/>
            <w:vAlign w:val="center"/>
          </w:tcPr>
          <w:p w:rsidR="00E8309B" w:rsidRDefault="009D0949">
            <w:pPr>
              <w:spacing w:after="0" w:line="259" w:lineRule="auto"/>
              <w:ind w:left="5" w:right="0" w:firstLine="0"/>
              <w:jc w:val="center"/>
            </w:pPr>
            <w:r>
              <w:rPr>
                <w:sz w:val="20"/>
              </w:rPr>
              <w:t xml:space="preserve"> </w:t>
            </w:r>
          </w:p>
        </w:tc>
      </w:tr>
    </w:tbl>
    <w:p w:rsidR="00E8309B" w:rsidRDefault="009D0949">
      <w:pPr>
        <w:numPr>
          <w:ilvl w:val="0"/>
          <w:numId w:val="14"/>
        </w:numPr>
        <w:spacing w:after="0" w:line="271" w:lineRule="auto"/>
        <w:ind w:right="9" w:hanging="427"/>
      </w:pPr>
      <w:r>
        <w:rPr>
          <w:b/>
        </w:rPr>
        <w:t xml:space="preserve">Индикатори рeзултата </w:t>
      </w:r>
    </w:p>
    <w:tbl>
      <w:tblPr>
        <w:tblStyle w:val="TableGrid"/>
        <w:tblW w:w="9635" w:type="dxa"/>
        <w:tblInd w:w="5" w:type="dxa"/>
        <w:tblCellMar>
          <w:top w:w="36" w:type="dxa"/>
          <w:left w:w="110" w:type="dxa"/>
          <w:bottom w:w="0" w:type="dxa"/>
          <w:right w:w="56" w:type="dxa"/>
        </w:tblCellMar>
        <w:tblLook w:val="04A0" w:firstRow="1" w:lastRow="0" w:firstColumn="1" w:lastColumn="0" w:noHBand="0" w:noVBand="1"/>
      </w:tblPr>
      <w:tblGrid>
        <w:gridCol w:w="3965"/>
        <w:gridCol w:w="1983"/>
        <w:gridCol w:w="1844"/>
        <w:gridCol w:w="1843"/>
      </w:tblGrid>
      <w:tr w:rsidR="00E8309B">
        <w:trPr>
          <w:trHeight w:val="471"/>
        </w:trPr>
        <w:tc>
          <w:tcPr>
            <w:tcW w:w="3965"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0" w:right="0" w:firstLine="0"/>
              <w:jc w:val="left"/>
            </w:pPr>
            <w:r>
              <w:rPr>
                <w:b/>
                <w:sz w:val="20"/>
              </w:rPr>
              <w:t xml:space="preserve">Показатељ </w:t>
            </w:r>
          </w:p>
        </w:tc>
        <w:tc>
          <w:tcPr>
            <w:tcW w:w="1983"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48" w:firstLine="0"/>
              <w:jc w:val="right"/>
            </w:pPr>
            <w:r>
              <w:rPr>
                <w:b/>
                <w:sz w:val="20"/>
              </w:rPr>
              <w:t xml:space="preserve">Почетна вредност (2015) </w:t>
            </w:r>
          </w:p>
        </w:tc>
        <w:tc>
          <w:tcPr>
            <w:tcW w:w="1844"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48" w:firstLine="0"/>
              <w:jc w:val="right"/>
            </w:pPr>
            <w:r>
              <w:rPr>
                <w:b/>
                <w:sz w:val="20"/>
              </w:rPr>
              <w:t xml:space="preserve">Међурезултат (2019) </w:t>
            </w:r>
          </w:p>
        </w:tc>
        <w:tc>
          <w:tcPr>
            <w:tcW w:w="1843"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49" w:firstLine="0"/>
              <w:jc w:val="right"/>
            </w:pPr>
            <w:r>
              <w:rPr>
                <w:b/>
                <w:sz w:val="20"/>
              </w:rPr>
              <w:t xml:space="preserve">Циљна вредност (2023) </w:t>
            </w:r>
          </w:p>
        </w:tc>
      </w:tr>
      <w:tr w:rsidR="00E8309B">
        <w:trPr>
          <w:trHeight w:val="293"/>
        </w:trPr>
        <w:tc>
          <w:tcPr>
            <w:tcW w:w="3965"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0" w:firstLine="0"/>
              <w:jc w:val="left"/>
            </w:pPr>
            <w:r>
              <w:rPr>
                <w:sz w:val="20"/>
              </w:rPr>
              <w:t xml:space="preserve">Количина превезене робе (тоне) </w:t>
            </w:r>
          </w:p>
        </w:tc>
        <w:tc>
          <w:tcPr>
            <w:tcW w:w="1983"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50" w:firstLine="0"/>
              <w:jc w:val="right"/>
            </w:pPr>
            <w:r>
              <w:rPr>
                <w:sz w:val="20"/>
              </w:rPr>
              <w:t xml:space="preserve">11.882.000 </w:t>
            </w:r>
          </w:p>
        </w:tc>
        <w:tc>
          <w:tcPr>
            <w:tcW w:w="1844"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51" w:firstLine="0"/>
              <w:jc w:val="right"/>
            </w:pPr>
            <w:r>
              <w:rPr>
                <w:sz w:val="20"/>
              </w:rPr>
              <w:t xml:space="preserve">11.499.000 </w:t>
            </w:r>
          </w:p>
        </w:tc>
        <w:tc>
          <w:tcPr>
            <w:tcW w:w="1843"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50" w:firstLine="0"/>
              <w:jc w:val="right"/>
            </w:pPr>
            <w:r>
              <w:rPr>
                <w:sz w:val="20"/>
              </w:rPr>
              <w:t xml:space="preserve">13.070.200 </w:t>
            </w:r>
          </w:p>
        </w:tc>
      </w:tr>
      <w:tr w:rsidR="00E8309B">
        <w:trPr>
          <w:trHeight w:val="701"/>
        </w:trPr>
        <w:tc>
          <w:tcPr>
            <w:tcW w:w="3965"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0" w:firstLine="0"/>
              <w:jc w:val="left"/>
            </w:pPr>
            <w:r>
              <w:rPr>
                <w:sz w:val="20"/>
              </w:rPr>
              <w:t xml:space="preserve">Кумулативни број реконструисаних путних прелаза (подизање нивоа осигурања или замена уређаја новим) </w:t>
            </w:r>
          </w:p>
        </w:tc>
        <w:tc>
          <w:tcPr>
            <w:tcW w:w="1983"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0" w:right="51" w:firstLine="0"/>
              <w:jc w:val="right"/>
            </w:pPr>
            <w:r>
              <w:rPr>
                <w:sz w:val="20"/>
              </w:rPr>
              <w:t xml:space="preserve">2 </w:t>
            </w:r>
          </w:p>
        </w:tc>
        <w:tc>
          <w:tcPr>
            <w:tcW w:w="1844"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0" w:right="49" w:firstLine="0"/>
              <w:jc w:val="right"/>
            </w:pPr>
            <w:r>
              <w:rPr>
                <w:sz w:val="20"/>
              </w:rPr>
              <w:t xml:space="preserve">19 </w:t>
            </w:r>
          </w:p>
        </w:tc>
        <w:tc>
          <w:tcPr>
            <w:tcW w:w="1843"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0" w:right="49" w:firstLine="0"/>
              <w:jc w:val="right"/>
            </w:pPr>
            <w:r>
              <w:rPr>
                <w:sz w:val="20"/>
              </w:rPr>
              <w:t xml:space="preserve">220* </w:t>
            </w:r>
          </w:p>
        </w:tc>
      </w:tr>
      <w:tr w:rsidR="00E8309B">
        <w:trPr>
          <w:trHeight w:val="295"/>
        </w:trPr>
        <w:tc>
          <w:tcPr>
            <w:tcW w:w="3965"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0" w:firstLine="0"/>
              <w:jc w:val="left"/>
            </w:pPr>
            <w:r>
              <w:rPr>
                <w:sz w:val="20"/>
              </w:rPr>
              <w:t xml:space="preserve">Број железничких несрећа </w:t>
            </w:r>
          </w:p>
        </w:tc>
        <w:tc>
          <w:tcPr>
            <w:tcW w:w="1983"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49" w:firstLine="0"/>
              <w:jc w:val="right"/>
            </w:pPr>
            <w:r>
              <w:rPr>
                <w:sz w:val="20"/>
              </w:rPr>
              <w:t xml:space="preserve">253** </w:t>
            </w:r>
          </w:p>
        </w:tc>
        <w:tc>
          <w:tcPr>
            <w:tcW w:w="1844"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49" w:firstLine="0"/>
              <w:jc w:val="right"/>
            </w:pPr>
            <w:r>
              <w:rPr>
                <w:sz w:val="20"/>
              </w:rPr>
              <w:t xml:space="preserve">221 </w:t>
            </w:r>
          </w:p>
        </w:tc>
        <w:tc>
          <w:tcPr>
            <w:tcW w:w="1843"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49" w:firstLine="0"/>
              <w:jc w:val="right"/>
            </w:pPr>
            <w:r>
              <w:rPr>
                <w:sz w:val="20"/>
              </w:rPr>
              <w:t xml:space="preserve">150 </w:t>
            </w:r>
          </w:p>
        </w:tc>
      </w:tr>
      <w:tr w:rsidR="00E8309B">
        <w:trPr>
          <w:trHeight w:val="470"/>
        </w:trPr>
        <w:tc>
          <w:tcPr>
            <w:tcW w:w="3965"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0" w:firstLine="0"/>
              <w:jc w:val="left"/>
            </w:pPr>
            <w:r>
              <w:rPr>
                <w:sz w:val="20"/>
              </w:rPr>
              <w:t>Километри реконструисаних (обновљених) пруга (кумулативно од 2015. године)</w:t>
            </w:r>
            <w:r>
              <w:rPr>
                <w:b/>
                <w:sz w:val="20"/>
              </w:rPr>
              <w:t xml:space="preserve"> </w:t>
            </w:r>
          </w:p>
        </w:tc>
        <w:tc>
          <w:tcPr>
            <w:tcW w:w="1983"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0" w:right="49" w:firstLine="0"/>
              <w:jc w:val="right"/>
            </w:pPr>
            <w:r>
              <w:rPr>
                <w:sz w:val="20"/>
              </w:rPr>
              <w:t xml:space="preserve">36,3 </w:t>
            </w:r>
          </w:p>
        </w:tc>
        <w:tc>
          <w:tcPr>
            <w:tcW w:w="1844"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0" w:right="49" w:firstLine="0"/>
              <w:jc w:val="right"/>
            </w:pPr>
            <w:r>
              <w:rPr>
                <w:sz w:val="20"/>
              </w:rPr>
              <w:t xml:space="preserve">552 </w:t>
            </w:r>
          </w:p>
        </w:tc>
        <w:tc>
          <w:tcPr>
            <w:tcW w:w="1843"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0" w:right="50" w:firstLine="0"/>
              <w:jc w:val="right"/>
            </w:pPr>
            <w:r>
              <w:rPr>
                <w:sz w:val="20"/>
              </w:rPr>
              <w:t xml:space="preserve">1.092,3 </w:t>
            </w:r>
          </w:p>
        </w:tc>
      </w:tr>
    </w:tbl>
    <w:p w:rsidR="00E8309B" w:rsidRDefault="009D0949">
      <w:pPr>
        <w:spacing w:after="4" w:line="268" w:lineRule="auto"/>
        <w:ind w:left="-5" w:right="0"/>
        <w:jc w:val="left"/>
      </w:pPr>
      <w:r>
        <w:rPr>
          <w:sz w:val="18"/>
        </w:rPr>
        <w:t xml:space="preserve">*Број зависи од очекиваних измена Закона о безбедности саобраћаја на путевима (планирана је измена техничког решења односно начина осигурања путних прелаза). </w:t>
      </w:r>
    </w:p>
    <w:p w:rsidR="00E8309B" w:rsidRDefault="009D0949">
      <w:pPr>
        <w:spacing w:after="325" w:line="268" w:lineRule="auto"/>
        <w:ind w:left="-5" w:right="0"/>
        <w:jc w:val="left"/>
      </w:pPr>
      <w:r>
        <w:rPr>
          <w:sz w:val="18"/>
        </w:rPr>
        <w:t xml:space="preserve">**Податак за 2017. годину, имајући у виду да су се пре 2017. године ванредни догађаји класификовали на другачији начин. </w:t>
      </w:r>
    </w:p>
    <w:p w:rsidR="00E8309B" w:rsidRDefault="009D0949">
      <w:pPr>
        <w:numPr>
          <w:ilvl w:val="0"/>
          <w:numId w:val="14"/>
        </w:numPr>
        <w:spacing w:after="126" w:line="271" w:lineRule="auto"/>
        <w:ind w:right="9" w:hanging="427"/>
      </w:pPr>
      <w:r>
        <w:rPr>
          <w:b/>
        </w:rPr>
        <w:t xml:space="preserve">Очекивани утицај на конкурентност </w:t>
      </w:r>
    </w:p>
    <w:p w:rsidR="00E8309B" w:rsidRDefault="009D0949">
      <w:pPr>
        <w:spacing w:after="101"/>
        <w:ind w:left="-5" w:right="17"/>
      </w:pPr>
      <w:r>
        <w:t>Реформа железничког сектора за коначан циљ има повећање конкурентности, не само у унутар сектора, ве</w:t>
      </w:r>
      <w:r>
        <w:t>ћ и повећање конкурентности у односу на друге видове саобраћаја. Досадашњом реформом омогућено је постојање отвореног тржишта на националном нивоу (тренутно активно послује 2 државних и 10 приватних превозника). И даље се ради на повећању ефикасности рестр</w:t>
      </w:r>
      <w:r>
        <w:t>уктурираних предузећа, али имајући у виду садашњи степен развоја тржишта, корисници железничких услуга већ имају бенефит у смислу избора превозника. Поред тога, инвестиције у капиталне пројекте утичу на раст индустријске производње, запошљавање домаће прив</w:t>
      </w:r>
      <w:r>
        <w:t xml:space="preserve">реде, смањење незапослености и раст БДП-а. </w:t>
      </w:r>
    </w:p>
    <w:p w:rsidR="00E8309B" w:rsidRDefault="009D0949">
      <w:pPr>
        <w:numPr>
          <w:ilvl w:val="0"/>
          <w:numId w:val="14"/>
        </w:numPr>
        <w:spacing w:after="16" w:line="271" w:lineRule="auto"/>
        <w:ind w:right="9" w:hanging="427"/>
      </w:pPr>
      <w:r>
        <w:rPr>
          <w:b/>
        </w:rPr>
        <w:t xml:space="preserve">Процењени трошкови спровођења структурне реформе и предвиђени извори њиховог финансирања </w:t>
      </w:r>
    </w:p>
    <w:p w:rsidR="00E8309B" w:rsidRDefault="009D0949">
      <w:pPr>
        <w:spacing w:after="162"/>
        <w:ind w:left="-5" w:right="17"/>
      </w:pPr>
      <w:r>
        <w:t>Поред тога што је у току финализација Методологије за обрачун цене приступа железничкој инфраструктури започете су и актив</w:t>
      </w:r>
      <w:r>
        <w:t>ности на усаглашавању са 4. пакетом и унапређењу безбедности. У вези са ове две активности, али и применом Методологије која је планирана по њеном усвајању, додатни трошкови реформе односе се на процењену вредност рада додатно ангажованих лица у МГСИ и Дир</w:t>
      </w:r>
      <w:r>
        <w:t>екцији за железнице (по основу уговора о привременим пословима, финансирано из буџета), у укупном износу од 145.618 евра за период од 3 године (додатно 1.250 евра ДЖ процењује за потребе ангажовања консултанта за примену Методологије током 2021). За повећа</w:t>
      </w:r>
      <w:r>
        <w:t xml:space="preserve">ње безбедности обезбеђена су средства из кредита Светске банке за модернизацију путних прелаза у износу 10,9 милиона евра (реализација започета 2020, процена радова: 40% у 2021, по 30% 2022. и 2023), док је Светска банка начелно одобрила предлог средстава </w:t>
      </w:r>
      <w:r>
        <w:t>за модернизацију путних прелаза у износу од око 22,6 милиона евра (процена реализације по 50% 2022. и 2023. године). У наредном периоду очекује се одобрење захтева за пренамену преосталих средстава из постојећег кредита EBRD</w:t>
      </w:r>
      <w:r>
        <w:rPr>
          <w:vertAlign w:val="superscript"/>
        </w:rPr>
        <w:footnoteReference w:id="23"/>
      </w:r>
      <w:r>
        <w:t xml:space="preserve"> (око 10 милиона евра, процена </w:t>
      </w:r>
      <w:r>
        <w:t xml:space="preserve">реализације по 33% у периоду 2021-2023), док се око 480.000 евра у оквиру постојећих пројеката односи на подизање нивоа безбедности на путним прелазима (2021. године).  </w:t>
      </w:r>
    </w:p>
    <w:p w:rsidR="00E8309B" w:rsidRDefault="009D0949">
      <w:pPr>
        <w:numPr>
          <w:ilvl w:val="0"/>
          <w:numId w:val="14"/>
        </w:numPr>
        <w:spacing w:after="79" w:line="271" w:lineRule="auto"/>
        <w:ind w:right="9" w:hanging="427"/>
      </w:pPr>
      <w:r>
        <w:rPr>
          <w:b/>
        </w:rPr>
        <w:t xml:space="preserve">Очекивани утицај на социјалне циљеве, као што су запосленост, смањење сиромаштва, једнакост и род </w:t>
      </w:r>
    </w:p>
    <w:p w:rsidR="00E8309B" w:rsidRDefault="009D0949">
      <w:pPr>
        <w:spacing w:after="156"/>
        <w:ind w:left="-5" w:right="17"/>
      </w:pPr>
      <w:r>
        <w:lastRenderedPageBreak/>
        <w:t>Повећање привредних активности доприноси повећању броја запослених код учесника и корисника услуга у железничком саобраћају, што директно утиче на смањење си</w:t>
      </w:r>
      <w:r>
        <w:t xml:space="preserve">ромаштва. Код повећања броја запослених у великој мери се узима у обзир родна равноправност. С друге стране, активно се прати утицај који Ковид-19 има на привредне активности, са циљем да се његов утицај на железнички сектор сведе на најмању могућу меру.  </w:t>
      </w:r>
    </w:p>
    <w:p w:rsidR="00E8309B" w:rsidRDefault="009D0949">
      <w:pPr>
        <w:numPr>
          <w:ilvl w:val="0"/>
          <w:numId w:val="14"/>
        </w:numPr>
        <w:spacing w:after="79" w:line="271" w:lineRule="auto"/>
        <w:ind w:right="9" w:hanging="427"/>
      </w:pPr>
      <w:r>
        <w:rPr>
          <w:b/>
        </w:rPr>
        <w:t xml:space="preserve">Очекивани утицај на животну средину </w:t>
      </w:r>
    </w:p>
    <w:p w:rsidR="00E8309B" w:rsidRDefault="009D0949">
      <w:pPr>
        <w:spacing w:after="0"/>
        <w:ind w:left="-5" w:right="17"/>
      </w:pPr>
      <w:r>
        <w:t>Унапређењем железнице као транспортног система, остварује се позитиван утицај на животну средину, имајући у виду да се железница сматра еколошки повољним, чак и „најчистијим“ видом превоза. Ова карактеристика железнице</w:t>
      </w:r>
      <w:r>
        <w:t xml:space="preserve"> последица је њених техничких одлика, тј. да је за одређени утрошак енергије могуће превести већу количину робе и путника у односу на друге конкурентне видове превоза, али и због употребе електричне енергије као погонског горива. Из свих ових разлога повећ</w:t>
      </w:r>
      <w:r>
        <w:t xml:space="preserve">ање удела железнице на тржишту транспортних услуга директно доприноси остварењу циљева Европског зеленог договора. </w:t>
      </w:r>
      <w:r>
        <w:rPr>
          <w:b/>
        </w:rPr>
        <w:t>9.</w:t>
      </w:r>
      <w:r>
        <w:rPr>
          <w:rFonts w:ascii="Arial" w:eastAsia="Arial" w:hAnsi="Arial" w:cs="Arial"/>
          <w:b/>
        </w:rPr>
        <w:t xml:space="preserve"> </w:t>
      </w:r>
      <w:r>
        <w:rPr>
          <w:b/>
        </w:rPr>
        <w:t xml:space="preserve">Потенцијални ризици </w:t>
      </w:r>
    </w:p>
    <w:tbl>
      <w:tblPr>
        <w:tblStyle w:val="TableGrid"/>
        <w:tblW w:w="9696" w:type="dxa"/>
        <w:tblInd w:w="0" w:type="dxa"/>
        <w:tblCellMar>
          <w:top w:w="46" w:type="dxa"/>
          <w:left w:w="108" w:type="dxa"/>
          <w:bottom w:w="0" w:type="dxa"/>
          <w:right w:w="76" w:type="dxa"/>
        </w:tblCellMar>
        <w:tblLook w:val="04A0" w:firstRow="1" w:lastRow="0" w:firstColumn="1" w:lastColumn="0" w:noHBand="0" w:noVBand="1"/>
      </w:tblPr>
      <w:tblGrid>
        <w:gridCol w:w="3330"/>
        <w:gridCol w:w="2201"/>
        <w:gridCol w:w="4165"/>
      </w:tblGrid>
      <w:tr w:rsidR="00E8309B">
        <w:trPr>
          <w:trHeight w:val="470"/>
        </w:trPr>
        <w:tc>
          <w:tcPr>
            <w:tcW w:w="3330"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0" w:right="0" w:firstLine="0"/>
              <w:jc w:val="left"/>
            </w:pPr>
            <w:r>
              <w:rPr>
                <w:b/>
                <w:sz w:val="20"/>
              </w:rPr>
              <w:t xml:space="preserve">Ризик </w:t>
            </w:r>
          </w:p>
        </w:tc>
        <w:tc>
          <w:tcPr>
            <w:tcW w:w="2201"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2" w:right="0" w:firstLine="0"/>
              <w:jc w:val="left"/>
            </w:pPr>
            <w:r>
              <w:rPr>
                <w:b/>
                <w:sz w:val="20"/>
              </w:rPr>
              <w:t xml:space="preserve">Вероватноћа за остваривање ризика </w:t>
            </w:r>
          </w:p>
        </w:tc>
        <w:tc>
          <w:tcPr>
            <w:tcW w:w="4165"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0" w:firstLine="0"/>
              <w:jc w:val="left"/>
            </w:pPr>
            <w:r>
              <w:rPr>
                <w:b/>
                <w:sz w:val="20"/>
              </w:rPr>
              <w:t xml:space="preserve">Активност за ублажавање негативних ефеката ризика </w:t>
            </w:r>
          </w:p>
        </w:tc>
      </w:tr>
      <w:tr w:rsidR="00E8309B">
        <w:trPr>
          <w:trHeight w:val="3461"/>
        </w:trPr>
        <w:tc>
          <w:tcPr>
            <w:tcW w:w="3330"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0" w:firstLine="0"/>
              <w:jc w:val="left"/>
            </w:pPr>
            <w:r>
              <w:rPr>
                <w:sz w:val="20"/>
              </w:rPr>
              <w:t xml:space="preserve">Губитак робе и путника као последица великог обима радова на инфраструктури и утицаја Ковид19* </w:t>
            </w:r>
          </w:p>
        </w:tc>
        <w:tc>
          <w:tcPr>
            <w:tcW w:w="2201"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2" w:right="0" w:firstLine="0"/>
              <w:jc w:val="left"/>
            </w:pPr>
            <w:r>
              <w:rPr>
                <w:sz w:val="20"/>
              </w:rPr>
              <w:t xml:space="preserve">Висока </w:t>
            </w:r>
          </w:p>
        </w:tc>
        <w:tc>
          <w:tcPr>
            <w:tcW w:w="4165"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37" w:firstLine="0"/>
              <w:jc w:val="left"/>
            </w:pPr>
            <w:r>
              <w:rPr>
                <w:sz w:val="20"/>
              </w:rPr>
              <w:t>Ефикаснија реализација пројеката од стране ИЖС, обезбеђивање алтернативних превозних праваца и уклањање свих препрека како би се обављао саобраћај без з</w:t>
            </w:r>
            <w:r>
              <w:rPr>
                <w:sz w:val="20"/>
              </w:rPr>
              <w:t>астоја, израда нове Методологије која је у функцији утицаја Ковид-19 (препорука ЕК да државе ЕУ као привремену меру подршке железничком сектору изаберу смањење цене приступа железничкој јавној инфраструктури, одлагање плаћања или потпуно укидање обавезе пл</w:t>
            </w:r>
            <w:r>
              <w:rPr>
                <w:sz w:val="20"/>
              </w:rPr>
              <w:t xml:space="preserve">аћања, за све железничке превознике који користе железничку инфраструктуру, што се може постићи изменом/доношењем нове методологије)  </w:t>
            </w:r>
          </w:p>
        </w:tc>
      </w:tr>
      <w:tr w:rsidR="00E8309B">
        <w:trPr>
          <w:trHeight w:val="701"/>
        </w:trPr>
        <w:tc>
          <w:tcPr>
            <w:tcW w:w="3330"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0" w:firstLine="0"/>
              <w:jc w:val="left"/>
            </w:pPr>
            <w:r>
              <w:rPr>
                <w:sz w:val="20"/>
              </w:rPr>
              <w:t>Кашњење у доношењу прописа</w:t>
            </w:r>
            <w:r>
              <w:rPr>
                <w:b/>
                <w:sz w:val="20"/>
              </w:rPr>
              <w:t xml:space="preserve"> </w:t>
            </w:r>
          </w:p>
        </w:tc>
        <w:tc>
          <w:tcPr>
            <w:tcW w:w="2201"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2" w:right="0" w:firstLine="0"/>
              <w:jc w:val="left"/>
            </w:pPr>
            <w:r>
              <w:rPr>
                <w:sz w:val="20"/>
              </w:rPr>
              <w:t>Ниска</w:t>
            </w:r>
            <w:r>
              <w:rPr>
                <w:b/>
                <w:sz w:val="20"/>
              </w:rPr>
              <w:t xml:space="preserve"> </w:t>
            </w:r>
          </w:p>
        </w:tc>
        <w:tc>
          <w:tcPr>
            <w:tcW w:w="4165"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0" w:firstLine="0"/>
              <w:jc w:val="left"/>
            </w:pPr>
            <w:r>
              <w:rPr>
                <w:sz w:val="20"/>
              </w:rPr>
              <w:t>Свакодневна комуникација са консултантима који израђују Методологију и организован ра</w:t>
            </w:r>
            <w:r>
              <w:rPr>
                <w:sz w:val="20"/>
              </w:rPr>
              <w:t>д радних група на изради закона</w:t>
            </w:r>
            <w:r>
              <w:rPr>
                <w:b/>
                <w:sz w:val="20"/>
              </w:rPr>
              <w:t xml:space="preserve"> </w:t>
            </w:r>
          </w:p>
        </w:tc>
      </w:tr>
    </w:tbl>
    <w:p w:rsidR="00E8309B" w:rsidRDefault="009D0949">
      <w:pPr>
        <w:spacing w:after="4" w:line="268" w:lineRule="auto"/>
        <w:ind w:left="-5" w:right="0"/>
        <w:jc w:val="left"/>
      </w:pPr>
      <w:r>
        <w:rPr>
          <w:sz w:val="18"/>
        </w:rPr>
        <w:t xml:space="preserve">*Није могуће тачно установити утицај великог обим радова независно од утицаја Ковида-19 на пад обима железничког превоза. </w:t>
      </w:r>
    </w:p>
    <w:tbl>
      <w:tblPr>
        <w:tblStyle w:val="TableGrid"/>
        <w:tblW w:w="9684" w:type="dxa"/>
        <w:tblInd w:w="-15" w:type="dxa"/>
        <w:tblCellMar>
          <w:top w:w="39" w:type="dxa"/>
          <w:left w:w="0" w:type="dxa"/>
          <w:bottom w:w="0" w:type="dxa"/>
          <w:right w:w="4" w:type="dxa"/>
        </w:tblCellMar>
        <w:tblLook w:val="04A0" w:firstRow="1" w:lastRow="0" w:firstColumn="1" w:lastColumn="0" w:noHBand="0" w:noVBand="1"/>
      </w:tblPr>
      <w:tblGrid>
        <w:gridCol w:w="6707"/>
        <w:gridCol w:w="2977"/>
      </w:tblGrid>
      <w:tr w:rsidR="00E8309B">
        <w:trPr>
          <w:trHeight w:val="280"/>
        </w:trPr>
        <w:tc>
          <w:tcPr>
            <w:tcW w:w="6707" w:type="dxa"/>
            <w:tcBorders>
              <w:top w:val="nil"/>
              <w:left w:val="nil"/>
              <w:bottom w:val="nil"/>
              <w:right w:val="nil"/>
            </w:tcBorders>
            <w:shd w:val="clear" w:color="auto" w:fill="D9D9D9"/>
          </w:tcPr>
          <w:p w:rsidR="00E8309B" w:rsidRDefault="009D0949">
            <w:pPr>
              <w:spacing w:after="0" w:line="259" w:lineRule="auto"/>
              <w:ind w:left="15" w:right="0" w:firstLine="0"/>
            </w:pPr>
            <w:r>
              <w:rPr>
                <w:b/>
              </w:rPr>
              <w:t>5.3.2. Област ПОЉОПРИВРЕДА, ИНДУСТРИЈА И УСЛУГЕ</w:t>
            </w:r>
          </w:p>
        </w:tc>
        <w:tc>
          <w:tcPr>
            <w:tcW w:w="2977" w:type="dxa"/>
            <w:tcBorders>
              <w:top w:val="nil"/>
              <w:left w:val="nil"/>
              <w:bottom w:val="nil"/>
              <w:right w:val="nil"/>
            </w:tcBorders>
            <w:shd w:val="clear" w:color="auto" w:fill="D9D9D9"/>
          </w:tcPr>
          <w:p w:rsidR="00E8309B" w:rsidRDefault="009D0949">
            <w:pPr>
              <w:spacing w:after="0" w:line="259" w:lineRule="auto"/>
              <w:ind w:left="-3" w:right="0" w:firstLine="0"/>
              <w:jc w:val="left"/>
            </w:pPr>
            <w:r>
              <w:rPr>
                <w:b/>
              </w:rPr>
              <w:t xml:space="preserve">  </w:t>
            </w:r>
          </w:p>
        </w:tc>
      </w:tr>
    </w:tbl>
    <w:p w:rsidR="00E8309B" w:rsidRDefault="009D0949">
      <w:pPr>
        <w:spacing w:after="79" w:line="271" w:lineRule="auto"/>
        <w:ind w:left="-5" w:right="9"/>
      </w:pPr>
      <w:r>
        <w:rPr>
          <w:b/>
        </w:rPr>
        <w:t>а) Анализа главних препрека</w:t>
      </w:r>
      <w:r>
        <w:t xml:space="preserve"> </w:t>
      </w:r>
    </w:p>
    <w:p w:rsidR="00E8309B" w:rsidRDefault="009D0949">
      <w:pPr>
        <w:spacing w:after="95"/>
        <w:ind w:left="-5" w:right="17"/>
      </w:pPr>
      <w:r>
        <w:rPr>
          <w:b/>
        </w:rPr>
        <w:t>Релативно високо учешће БДВ сектора пољопривреде, шумарства и рибарства и производње прехрамбених производа у укупном БДП</w:t>
      </w:r>
      <w:r>
        <w:t xml:space="preserve"> Србије (6,3% и 2,6% у 2018. и 6,0% и 2,3% у 2019. години) делимично је одраз повољних природних услова (географска позиција, природна </w:t>
      </w:r>
      <w:r>
        <w:t xml:space="preserve">богатства, климатски фактор) и ресурса за пољопривредну производњу (коришћено пољопривредно земљиште чини око 40% територије), али и последица ниског технолошког нивоа остатка привреде. Пољопривредни потенцијал није у потпуности искоришћен услед недовољне </w:t>
      </w:r>
      <w:r>
        <w:t xml:space="preserve">технолошке развијености у свим пољопривредним гранама и слабе насељености руралног подручја.  </w:t>
      </w:r>
    </w:p>
    <w:p w:rsidR="00E8309B" w:rsidRDefault="009D0949">
      <w:pPr>
        <w:spacing w:after="92"/>
        <w:ind w:left="-5" w:right="17"/>
      </w:pPr>
      <w:r>
        <w:rPr>
          <w:b/>
        </w:rPr>
        <w:t>У пољопривреди</w:t>
      </w:r>
      <w:r>
        <w:rPr>
          <w:b/>
          <w:vertAlign w:val="superscript"/>
        </w:rPr>
        <w:footnoteReference w:id="24"/>
      </w:r>
      <w:r>
        <w:rPr>
          <w:b/>
        </w:rPr>
        <w:t xml:space="preserve"> ради око 19,4% укупног броја запослених у трећем кварталу 2020.</w:t>
      </w:r>
      <w:r>
        <w:rPr>
          <w:vertAlign w:val="superscript"/>
        </w:rPr>
        <w:t>27</w:t>
      </w:r>
      <w:r>
        <w:rPr>
          <w:b/>
        </w:rPr>
        <w:t xml:space="preserve"> године</w:t>
      </w:r>
      <w:r>
        <w:t xml:space="preserve"> (230 хиљада формално запослених, али и 341 </w:t>
      </w:r>
      <w:r>
        <w:t xml:space="preserve">хиљада неформално запослених). Због </w:t>
      </w:r>
      <w:r>
        <w:lastRenderedPageBreak/>
        <w:t>посебних карактеристика и услова сезонског рада у сектору пољопривреде, шумарства и рибарства, нови законски пропис омогућава поједностављен начин радног ангажовања лица и плаћања пореза и доприноса за рад на пословима к</w:t>
      </w:r>
      <w:r>
        <w:t xml:space="preserve">оји су сезонског карактера у овој делатности. </w:t>
      </w:r>
    </w:p>
    <w:p w:rsidR="00E8309B" w:rsidRDefault="009D0949">
      <w:pPr>
        <w:spacing w:after="87"/>
        <w:ind w:left="-5" w:right="17"/>
      </w:pPr>
      <w:r>
        <w:rPr>
          <w:b/>
        </w:rPr>
        <w:t>Вредност извезених прерађених пољопривредних производа</w:t>
      </w:r>
      <w:r>
        <w:t xml:space="preserve"> (производа са додатом вредношћу) већа је за 11,9% мг у 2019. години (862,9 милиона евра), а </w:t>
      </w:r>
      <w:r>
        <w:rPr>
          <w:b/>
        </w:rPr>
        <w:t>вредност извоза примарних (непрерађених) пољопривредних произв</w:t>
      </w:r>
      <w:r>
        <w:rPr>
          <w:b/>
        </w:rPr>
        <w:t>ода</w:t>
      </w:r>
      <w:r>
        <w:t xml:space="preserve"> бележи раст од 14,1% мг (2,31 милијарде евра). </w:t>
      </w:r>
      <w:r>
        <w:rPr>
          <w:b/>
        </w:rPr>
        <w:t>Учешће извоза пољопривредно-прехрамбених производа</w:t>
      </w:r>
      <w:r>
        <w:t xml:space="preserve"> у укупном извозу, које износи 18,5% у 2019. години, </w:t>
      </w:r>
      <w:r>
        <w:rPr>
          <w:b/>
        </w:rPr>
        <w:t>повећано</w:t>
      </w:r>
      <w:r>
        <w:t xml:space="preserve"> је за </w:t>
      </w:r>
      <w:r>
        <w:rPr>
          <w:b/>
        </w:rPr>
        <w:t>један процентни поен</w:t>
      </w:r>
      <w:r>
        <w:t xml:space="preserve"> у односу на претходну годину, што је резултат значајнијег повећања</w:t>
      </w:r>
      <w:r>
        <w:t xml:space="preserve"> вредности извоза пољопривреднопрехрамбених производа (3,24 милијарде евра или 13,5%) у односу на повећање укупне вредности извоза (7,7%), током 2019. у поређењу са 2018. годином. Највећи допринос у остваривању високе вредности извоза имали су кукуруз, смр</w:t>
      </w:r>
      <w:r>
        <w:t xml:space="preserve">знуте малине и цигарете. </w:t>
      </w:r>
    </w:p>
    <w:p w:rsidR="00E8309B" w:rsidRDefault="009D0949">
      <w:pPr>
        <w:ind w:left="-5" w:right="17"/>
      </w:pPr>
      <w:r>
        <w:t xml:space="preserve">С друге стране, </w:t>
      </w:r>
      <w:r>
        <w:rPr>
          <w:b/>
        </w:rPr>
        <w:t>учешће увоза пољопривредно-прехрамбених производа</w:t>
      </w:r>
      <w:r>
        <w:t xml:space="preserve"> у укупном увозу, које износи 7,8% у 2019. години, </w:t>
      </w:r>
      <w:r>
        <w:rPr>
          <w:b/>
        </w:rPr>
        <w:t>задржано је на истом нивоу</w:t>
      </w:r>
      <w:r>
        <w:t xml:space="preserve"> као и претходне године, имајући у виду да је раст вредности укупног увоза на истом ниво</w:t>
      </w:r>
      <w:r>
        <w:t xml:space="preserve">у као раст вредности увоза пољопривредно-прехрамбених производа (1,87 милијарде евра или око 9%). </w:t>
      </w:r>
    </w:p>
    <w:p w:rsidR="00E8309B" w:rsidRDefault="009D0949">
      <w:pPr>
        <w:spacing w:after="89"/>
        <w:ind w:left="-5" w:right="17"/>
      </w:pPr>
      <w:r>
        <w:t>Извоз пољопривредних и прехрамбених производа износи 2,3 милијарде евра у периоду јануар-август 2020. године, што представља раст од 9% мг. Нa пoчeтку пандем</w:t>
      </w:r>
      <w:r>
        <w:t>ије Ковид-19 билo je oгрaничeњa у извoзу брaшнa, уљa oд сунцoкрeтa и зрна сунцoкрeтa, дoк сe извoз пшeницe, кукурузa и сoje oдвиjao бeз oгрaничeњa и застоја. Пoгoднe врeмeнскe приликe и дoзвoлa дa сe сeje и у врeмe oгрaничeнoг крeтaњa, дoпринeли су дa прoл</w:t>
      </w:r>
      <w:r>
        <w:t xml:space="preserve">eћнa сeтвa тече пo плaну и бeз вeћих пoтeшкoћa. </w:t>
      </w:r>
    </w:p>
    <w:p w:rsidR="00E8309B" w:rsidRDefault="009D0949">
      <w:pPr>
        <w:spacing w:after="88"/>
        <w:ind w:left="-5" w:right="17"/>
      </w:pPr>
      <w:r>
        <w:t>У току ванредног стања пијаце су из здравствено-безбедносних разлога биле затворене, што је имало велики утицај на промет свежег воћа и поврћа. С тим у вези, Министарство пољопривреде, шумарства и водопривре</w:t>
      </w:r>
      <w:r>
        <w:t xml:space="preserve">де је покренуло </w:t>
      </w:r>
      <w:r>
        <w:rPr>
          <w:b/>
        </w:rPr>
        <w:t>платформу за продају пољопривредних производа еПијаца Србије</w:t>
      </w:r>
      <w:r>
        <w:rPr>
          <w:vertAlign w:val="superscript"/>
        </w:rPr>
        <w:footnoteReference w:id="25"/>
      </w:r>
      <w:r>
        <w:t xml:space="preserve">, која је почела са радом у априлу 2020. Успостављени су сајтови и електронске продајне мреже како би се одржао континуитет у продаји пољопривредних производа. </w:t>
      </w:r>
    </w:p>
    <w:p w:rsidR="00E8309B" w:rsidRDefault="009D0949">
      <w:pPr>
        <w:spacing w:after="77"/>
        <w:ind w:left="-5" w:right="17"/>
      </w:pPr>
      <w:r>
        <w:t xml:space="preserve">Иако је </w:t>
      </w:r>
      <w:r>
        <w:rPr>
          <w:b/>
        </w:rPr>
        <w:t>диверсифик</w:t>
      </w:r>
      <w:r>
        <w:rPr>
          <w:b/>
        </w:rPr>
        <w:t>ација</w:t>
      </w:r>
      <w:r>
        <w:t xml:space="preserve"> дефинисана стратешким оквиром за рурални развој Србије, </w:t>
      </w:r>
      <w:r>
        <w:rPr>
          <w:b/>
        </w:rPr>
        <w:t>још није достигнут ниво инфраструктуре који може да подржи проширење тржишне понуде из пољопривредног сектора.</w:t>
      </w:r>
      <w:r>
        <w:t xml:space="preserve"> Први јавни позив за подношење захтева за одобравање пројекта за ИПАРД подстицаје за</w:t>
      </w:r>
      <w:r>
        <w:t xml:space="preserve"> диверсификацију пољопривредних газдинстава и развој пословања објављен је у 2020. години. </w:t>
      </w:r>
    </w:p>
    <w:p w:rsidR="00E8309B" w:rsidRDefault="009D0949">
      <w:pPr>
        <w:ind w:left="-5" w:right="17"/>
      </w:pPr>
      <w:r>
        <w:rPr>
          <w:b/>
        </w:rPr>
        <w:t>Последњи извештај Светске банке о пословању у пољопривреди</w:t>
      </w:r>
      <w:r>
        <w:t xml:space="preserve"> (</w:t>
      </w:r>
      <w:r>
        <w:rPr>
          <w:i/>
        </w:rPr>
        <w:t>Enabling the Business of Agriculture</w:t>
      </w:r>
      <w:r>
        <w:t xml:space="preserve"> 2019</w:t>
      </w:r>
      <w:r>
        <w:rPr>
          <w:vertAlign w:val="superscript"/>
        </w:rPr>
        <w:t>29</w:t>
      </w:r>
      <w:r>
        <w:t xml:space="preserve">), који укључује стандардизовани сет података за 101 земљу света, говори о великом потенцијалу српске пољопривреде. Укупна вредност за Србију је 81,35 (од могућих 100), односно по појединачним индикаторима: набавка семена – 57,01, квалитет ђубрива - 93,73 </w:t>
      </w:r>
      <w:r>
        <w:t xml:space="preserve">(Србија је увела горњу границу максимално дозвољеног садржаја тешких метала у ђубривима која се користе), управљање водама – 60,00, механизација – 96,83, узгој стоке - 100, заштита биља 90, тржиште хране – 73,24 и приступ финансирању – 80.  </w:t>
      </w:r>
    </w:p>
    <w:p w:rsidR="00E8309B" w:rsidRDefault="009D0949">
      <w:pPr>
        <w:ind w:left="-5" w:right="17"/>
      </w:pPr>
      <w:r>
        <w:rPr>
          <w:b/>
        </w:rPr>
        <w:t>Eкономска слаб</w:t>
      </w:r>
      <w:r>
        <w:rPr>
          <w:b/>
        </w:rPr>
        <w:t xml:space="preserve">ост највећег броја пољопривредних субјеката уз постојање ниске техничко-технолошке опремљености представља главни изазов на путу развоја </w:t>
      </w:r>
      <w:r>
        <w:rPr>
          <w:b/>
        </w:rPr>
        <w:lastRenderedPageBreak/>
        <w:t>пољопривредне делатности у Србији</w:t>
      </w:r>
      <w:r>
        <w:t xml:space="preserve"> (газдинстава и других правних облика). Највећи број газдинстава је мале или средње ве</w:t>
      </w:r>
      <w:r>
        <w:t>личине и практикује екстензивну производњу, без специјализоване производње у одређеном сектору. Газдинства до 5 ha чине 71,47% укупног броја, док је просечна површина коришћеног пољопривредног земљишта на нивоу Србије 6,16 ha</w:t>
      </w:r>
      <w:r>
        <w:rPr>
          <w:vertAlign w:val="superscript"/>
        </w:rPr>
        <w:footnoteReference w:id="26"/>
      </w:r>
      <w:r>
        <w:t>. Фарме таквог просека су прем</w:t>
      </w:r>
      <w:r>
        <w:t xml:space="preserve">але да би биле конкурентне, како за директну продају на европском тржишту, тако и за продају сировина за прераду. На неефикасност процеса комасације који је регулисан </w:t>
      </w:r>
      <w:r>
        <w:rPr>
          <w:i/>
        </w:rPr>
        <w:t>Законом о пољопривредном земљишту</w:t>
      </w:r>
      <w:r>
        <w:t xml:space="preserve"> („Сл. гласник РС“, бр. 62/06, 65/08 - др. закон, 41/09,</w:t>
      </w:r>
      <w:r>
        <w:t xml:space="preserve"> 112/15, 80/17, 95/18 - др. закон) указује просечно трајање поступка од усвајања програма комасације од стране скупштине ЈЛС до увођења власника у посед за комасациона подручја које износи око 3 године и 4 месеца</w:t>
      </w:r>
      <w:r>
        <w:rPr>
          <w:vertAlign w:val="superscript"/>
        </w:rPr>
        <w:t>31</w:t>
      </w:r>
      <w:r>
        <w:t>. Због уситњених поседа, значајан удео обр</w:t>
      </w:r>
      <w:r>
        <w:t>адивог земљишта остаје необрађен, што одвраћа инвестиције у пољопривреду, кочи раст продуктивности и отежава запошљавање. Прилив СДИ у пољопривреду износи свега 1,5% укупних СДИ Србије у 2019. години (4,4% у 2018.), што показује да овај сектор није довољно</w:t>
      </w:r>
      <w:r>
        <w:t xml:space="preserve"> привлачан за стране инвеститоре. У Q1 2020. остварен је прилив СДИ у пољопривреди од 4,4 милиона евра (пад од 67,4% мг). </w:t>
      </w:r>
    </w:p>
    <w:p w:rsidR="00E8309B" w:rsidRDefault="009D0949">
      <w:pPr>
        <w:spacing w:after="96"/>
        <w:ind w:left="-5" w:right="17"/>
      </w:pPr>
      <w:r>
        <w:rPr>
          <w:b/>
        </w:rPr>
        <w:t>Смањење броја сеоског становништва и исељавање младих последица је лошег економског положаја руралног становништва и неповољних инфра</w:t>
      </w:r>
      <w:r>
        <w:rPr>
          <w:b/>
        </w:rPr>
        <w:t xml:space="preserve">структурних услова. </w:t>
      </w:r>
      <w:r>
        <w:t>Код спровођења националних мера подршке руралном развоју, као и код акредитованих ИПАРД мера које се тренутно спроводе, млади пољопривредници имају предност када се врши бодовање и рангирање пројеката/корисника. Уредбом о расподели подс</w:t>
      </w:r>
      <w:r>
        <w:t xml:space="preserve">тицаја у пољопривреди и руралном развоју за подршку младим пољопривредницима опредељено је 200 милиона РСД. </w:t>
      </w:r>
    </w:p>
    <w:p w:rsidR="00E8309B" w:rsidRDefault="009D0949">
      <w:pPr>
        <w:spacing w:after="97"/>
        <w:ind w:left="-5" w:right="17"/>
      </w:pPr>
      <w:r>
        <w:rPr>
          <w:b/>
        </w:rPr>
        <w:t>Учешће наводњаваних површина је ниско (око 5,4% укупне површине коришћеног пољопривредног земљишта)</w:t>
      </w:r>
      <w:r>
        <w:t xml:space="preserve">, али су у претходном периоду, од 2017. године, </w:t>
      </w:r>
      <w:r>
        <w:rPr>
          <w:b/>
        </w:rPr>
        <w:t>завршени радови</w:t>
      </w:r>
      <w:r>
        <w:rPr>
          <w:vertAlign w:val="superscript"/>
        </w:rPr>
        <w:footnoteReference w:id="27"/>
      </w:r>
      <w:r>
        <w:rPr>
          <w:b/>
        </w:rPr>
        <w:t xml:space="preserve"> </w:t>
      </w:r>
      <w:r>
        <w:t xml:space="preserve">који стварају услове за </w:t>
      </w:r>
      <w:r>
        <w:rPr>
          <w:b/>
        </w:rPr>
        <w:t>наводњавање око 47.954 ha</w:t>
      </w:r>
      <w:r>
        <w:t xml:space="preserve"> додатних површина пољопривредног земљишта. У циљу наставка реализације пројекта „Развој система за наводњавање - I фаза” у 2020. години закључено је 10 уговора о извођењу радова на изградњи</w:t>
      </w:r>
      <w:r>
        <w:t>, санацији и уређењу водних објеката на подручју Бачке, Баната и Срема, као и на изградњи, реконструкцији и модернизацији водних објеката у Чачку, Панчевачког рита и Тополе. У 2021. години планира се наставак финансирања извођења радова на изградњи, санаци</w:t>
      </w:r>
      <w:r>
        <w:t>ји и уређењу водних објеката кроз реализацију 8 пројеката на подручју Бачке, Баната и Срема којима ће се обезбедити услови за наводњавање додатних 57.248 ha површина пољопривредног земљишта, као и на изградњи дела хидромелиорационог система на територији о</w:t>
      </w:r>
      <w:r>
        <w:t xml:space="preserve">пштине Параћин. Такође, кроз реализацију Програма за отпорност на климатске промене и наводњавање у Србији - фаза I, планира се изградња и рехабилитација критичне инфраструктуре за наводњавање у подручју источне Србије (општина Неготин) и централне Србије </w:t>
      </w:r>
      <w:r>
        <w:t>(општина Свилајнац). У општини Неготин овај пројекат ће да обезбеди воду за наводњавање њива површине од 870 ha које до сада нису биле наводњаване, као и воду за 1.100 ha земљишта које се тренутно делимично наводњава из постојећег система за наводњавање из</w:t>
      </w:r>
      <w:r>
        <w:t xml:space="preserve"> старих приватизованих црпних станица, док ће у општини Свилајнац, нови систем за наводњавање покривати приближно 1.040 ha земљишта. Набавка система за наводњавање за пољопривредна газдинства је подржана кроз националне мере подршке руралном развоју и кроз</w:t>
      </w:r>
      <w:r>
        <w:t xml:space="preserve"> ИПАРД програм. </w:t>
      </w:r>
    </w:p>
    <w:p w:rsidR="00E8309B" w:rsidRDefault="009D0949">
      <w:pPr>
        <w:ind w:left="-5" w:right="17"/>
      </w:pPr>
      <w:r>
        <w:rPr>
          <w:b/>
        </w:rPr>
        <w:t>Недовољно ефикасни механизми за борбу против суша и других временских непогода умањују приносе у односу на потенцијале</w:t>
      </w:r>
      <w:r>
        <w:t xml:space="preserve">. Да би се смањиле штете које настају услед </w:t>
      </w:r>
      <w:r>
        <w:lastRenderedPageBreak/>
        <w:t>елементарних непогода, Влада субвенционише премије осигурања. Обим опредељени</w:t>
      </w:r>
      <w:r>
        <w:t>х средстава за ову меру се годинама повећавао. Број осигураних газдинстава је порастао од 2006. године са 2.594 на 22.413 поднетих захтева (21.467 захтева за осигурање биљне производње, односно 946 захтева за осигурање животиња) у 2019. години када је испл</w:t>
      </w:r>
      <w:r>
        <w:t xml:space="preserve">аћено 600 милиона РСД. </w:t>
      </w:r>
    </w:p>
    <w:p w:rsidR="00E8309B" w:rsidRDefault="009D0949">
      <w:pPr>
        <w:spacing w:after="65"/>
        <w:ind w:left="-5" w:right="17"/>
      </w:pPr>
      <w:r>
        <w:t>Буџет Министарства пољопривреде, шумарства и водопривреде (МПШВ), у 2020. години износи 50,7 милијарде РСД</w:t>
      </w:r>
      <w:r>
        <w:rPr>
          <w:rFonts w:ascii="Calibri" w:eastAsia="Calibri" w:hAnsi="Calibri" w:cs="Calibri"/>
          <w:sz w:val="21"/>
          <w:vertAlign w:val="superscript"/>
        </w:rPr>
        <w:footnoteReference w:id="28"/>
      </w:r>
      <w:r>
        <w:t>, што је смањење за 7,2% у односу на претходну годину. Такође, поред aпсoлутнoг смањења буџeтских срeдстaвa МПШВ, у 2020. год</w:t>
      </w:r>
      <w:r>
        <w:t xml:space="preserve">ини зaбeлeжeно je и смањење учeшћa у укупнoм буџeту Рeпубликe Србиje зa 0,24 процентна поена. Око 70% укупних средстава буџета МПШВ у 2020. години опредељено је за подстицаје у пољопривреди и руралном развоју, чија је расподела дефинисана </w:t>
      </w:r>
      <w:r>
        <w:rPr>
          <w:i/>
        </w:rPr>
        <w:t>Уредбом о расподе</w:t>
      </w:r>
      <w:r>
        <w:rPr>
          <w:i/>
        </w:rPr>
        <w:t>ли подстицаја у пољопривреди и руралном развоју у 2020. години</w:t>
      </w:r>
      <w:r>
        <w:rPr>
          <w:rFonts w:ascii="Calibri" w:eastAsia="Calibri" w:hAnsi="Calibri" w:cs="Calibri"/>
          <w:sz w:val="21"/>
          <w:vertAlign w:val="superscript"/>
        </w:rPr>
        <w:footnoteReference w:id="29"/>
      </w:r>
      <w:r>
        <w:t xml:space="preserve">.  </w:t>
      </w:r>
    </w:p>
    <w:p w:rsidR="00E8309B" w:rsidRDefault="009D0949">
      <w:pPr>
        <w:spacing w:after="97"/>
        <w:ind w:left="-5" w:right="17"/>
      </w:pPr>
      <w:r>
        <w:t>Пољопривредници морају бити уписани у Регистар пољопривредних газдинстава (РПГ) као комерцијална газдинства у активном статусу како би могли да конкуришу за средства из националних субвенци</w:t>
      </w:r>
      <w:r>
        <w:t>ја или на средства из ИПАРД фонда. Тренутно је у РПГ уписано 444.200</w:t>
      </w:r>
      <w:r>
        <w:rPr>
          <w:vertAlign w:val="superscript"/>
        </w:rPr>
        <w:footnoteReference w:id="30"/>
      </w:r>
      <w:r>
        <w:t xml:space="preserve"> пољопривредних газдинстава (ПГ) од чега је 440.306 регистровано у статусу физичког лица, док је само 3.894 регистровано као ПГ у статусу правног лица. Овакав однос указује на низак степе</w:t>
      </w:r>
      <w:r>
        <w:t xml:space="preserve">н развијености пословног окружења у оквиру пољопривредне делатности.  </w:t>
      </w:r>
    </w:p>
    <w:p w:rsidR="00E8309B" w:rsidRDefault="009D0949">
      <w:pPr>
        <w:ind w:left="-5" w:right="17"/>
      </w:pPr>
      <w:r>
        <w:rPr>
          <w:b/>
        </w:rPr>
        <w:t xml:space="preserve">Расписано је укупно девет јавних позива за ИПАРД подршку. </w:t>
      </w:r>
      <w:r>
        <w:t xml:space="preserve">Укупно је пристигло 1.748 захтева за одобравање пројеката. Одобрено је 564 захтева, укупне вредности 77 милиона евра </w:t>
      </w:r>
      <w:r>
        <w:t>на дан 16.12.2020. Уговорено је 44 милиона евра од одобрених 564 захтева, а укупно је исплаћено 204 захтева вредности 12 милиона евра до 16.12.2020. Општи циљ ИПАРД Програма је да се повећа ефикасност, конкурентност и одрживост пољопривредне производње у п</w:t>
      </w:r>
      <w:r>
        <w:t>ољопривредно-прехрамбеном сектору, нпр. прогресивним усклађивањем са стандардима ЕУ, побољшањем положаја пољопривредника у прехрамбеном ланцу и пружањем подршке младим пољопривредницима. Пољопривредницима је омогућена подршка за набавку нове механизације и</w:t>
      </w:r>
      <w:r>
        <w:t xml:space="preserve"> опреме, набавку нових трактора, изградњу и опремање објеката, складишних капацитета, опремање прерадних капацитета, прераду и пласман на тржиште пољопривредних производа и производа из рибарске делатности, као и подршка инвестицијама у обновљиве изворе ен</w:t>
      </w:r>
      <w:r>
        <w:t>ергије. Објављен је Први јавни позив који се односи на диверсификацију пољопривредних газдинстава и развој пословања (Мера 7) у јуну 2020. који је завршен 30.10.2020. године и за који је стигло 311 захтева. Постоји много потешкоћа у почетној фази имплемент</w:t>
      </w:r>
      <w:r>
        <w:t xml:space="preserve">ације ИПАРД-а. Ограничени број особа које су ангажоване и обучене у Управи за аграрна плаћања довео је до спорије обраде захтева. Процес обраде захтева и трошења средстава додатно је успорен због подношења непотпуних захтева од стране корисника.  </w:t>
      </w:r>
    </w:p>
    <w:p w:rsidR="00E8309B" w:rsidRDefault="009D0949">
      <w:pPr>
        <w:ind w:left="-5" w:right="17"/>
      </w:pPr>
      <w:r>
        <w:rPr>
          <w:b/>
        </w:rPr>
        <w:t>Самостал</w:t>
      </w:r>
      <w:r>
        <w:rPr>
          <w:b/>
        </w:rPr>
        <w:t>ан рад без тенденције ка удруживању, недовољан ниво инвестиција у пољопривреду и фрагментисан тржишни ланац ограничавају развој пољопривредне делатности.</w:t>
      </w:r>
      <w:r>
        <w:t xml:space="preserve"> Неопходно је подржати инвестиције у секторима где Србија има компаративне предности (сектори производњ</w:t>
      </w:r>
      <w:r>
        <w:t xml:space="preserve">е воћа, поврћа, сточарства), унапредити менаџмент у пословању и пружити адекватну логистичку подршку.  </w:t>
      </w:r>
    </w:p>
    <w:p w:rsidR="00E8309B" w:rsidRDefault="009D0949">
      <w:pPr>
        <w:spacing w:after="92"/>
        <w:ind w:left="-5" w:right="17"/>
      </w:pPr>
      <w:r>
        <w:t xml:space="preserve">Као и у случају земаља чланица ЕУ, које ће у наредном периоду у своја национална законодавства и вишегодишње стратешке планове имплементирати одредбе и </w:t>
      </w:r>
      <w:r>
        <w:t xml:space="preserve">постулате </w:t>
      </w:r>
      <w:r>
        <w:rPr>
          <w:b/>
        </w:rPr>
        <w:t>Европског зеленог договора</w:t>
      </w:r>
      <w:r>
        <w:t xml:space="preserve"> (</w:t>
      </w:r>
      <w:r>
        <w:rPr>
          <w:i/>
        </w:rPr>
        <w:t>The European Green Deal)</w:t>
      </w:r>
      <w:r>
        <w:t xml:space="preserve">, будући правни оквир у области пољопривреде у Републици Србији укључиће циљеве и активности овог плана, у смислу </w:t>
      </w:r>
      <w:r>
        <w:lastRenderedPageBreak/>
        <w:t>успостављања праведног, здравог и еколошки прихватљивог тржишног ланца прехрамбе</w:t>
      </w:r>
      <w:r>
        <w:t>них производа, а кроз активности смањења употребе пестицида, вештачког ђубрива и антибиотика, као и смањења ризика њиховог коришћења с једне стране, и унапређења заштите животне средине и очувања биодиверзитета, с друге стране. У току је процес припреме ИП</w:t>
      </w:r>
      <w:r>
        <w:t>АРД III програма који се припрема у складу са Европским зеленим договором. Планирано је поједностављење процедура и увођење авансних плаћања како би се повећала искоришћеност средстава. Све инвестиције у механизацију и опрему које су предмет подршке морају</w:t>
      </w:r>
      <w:r>
        <w:t xml:space="preserve"> да задовоље стандарде који се тичу емисије штетних гасова.  </w:t>
      </w:r>
    </w:p>
    <w:p w:rsidR="00E8309B" w:rsidRDefault="009D0949">
      <w:pPr>
        <w:ind w:left="-5" w:right="17"/>
      </w:pPr>
      <w:r>
        <w:rPr>
          <w:b/>
        </w:rPr>
        <w:t>Индустријска производња забележила је раст</w:t>
      </w:r>
      <w:r>
        <w:t xml:space="preserve"> од 0,3% у 2019. (раст прерађивачке индустрије 0,2% мг). Учешће индустрије у стварању укупног БДВ износило је 24% у 2019. Опоравку индустрије допринеле </w:t>
      </w:r>
      <w:r>
        <w:t xml:space="preserve">су и СДИ у прерађивачку индустрију (26,8% укупних СДИ у 2018, a 26,1% у 2019.). Запосленост у прерађивачкој индустрији повећана је за 3,3% мг (14.759 лица) у 2019. нарочито у производњи прехрамбених производа (раст од 4,1% мг). </w:t>
      </w:r>
      <w:r>
        <w:rPr>
          <w:b/>
        </w:rPr>
        <w:t>Недостатак сировина из увоза</w:t>
      </w:r>
      <w:r>
        <w:rPr>
          <w:b/>
        </w:rPr>
        <w:t>, прекид трговинских ланаца и смањење тражње</w:t>
      </w:r>
      <w:r>
        <w:t xml:space="preserve"> су допринели смањењу пословања у индустријском сектору у </w:t>
      </w:r>
      <w:r>
        <w:rPr>
          <w:b/>
        </w:rPr>
        <w:t xml:space="preserve">периоду пандемије </w:t>
      </w:r>
      <w:r>
        <w:t>Ковид-19. Индустријска производња мања је за 1,8% у периоду јануар-јун 2020. у односу на исти период 2019. Посматрано по секторима, у пе</w:t>
      </w:r>
      <w:r>
        <w:t>риоду јануар-јун 2020. остварен је раст рударства од 3,8% мг, пад прерађивачке индустрије од 1,5% мг и пад снабдевања електричном енергијом, гасом, паром и климатизација од 5,6% мг. Постепени опоравак у сектору индустрије бележи се од јуна 2020. када је ос</w:t>
      </w:r>
      <w:r>
        <w:t xml:space="preserve">тварен раст индустријске производње за 2,6% мг. </w:t>
      </w:r>
    </w:p>
    <w:p w:rsidR="00E8309B" w:rsidRDefault="009D0949">
      <w:pPr>
        <w:ind w:left="-5" w:right="17"/>
      </w:pPr>
      <w:r>
        <w:t>Извоз укупне индустрије бележи раст од 7% мг у 2019. години (прерађивачка индустрија 7,2% мг и чини 91,9% укупног робног извоза), а увоз укупне индустрије у истом периоду расте 10,1% мг (прерађивачка индустр</w:t>
      </w:r>
      <w:r>
        <w:t xml:space="preserve">ија 10,9% мг). Међутим, у периоду јануар-јун 2020. бeлежи се пад извоза индустрије од 10,2% мг и пад увоза индустрије од 7,3% мг. Успоравање раста извоза је последица смањивања домаће и екстерне тражње. </w:t>
      </w:r>
    </w:p>
    <w:p w:rsidR="00E8309B" w:rsidRDefault="009D0949">
      <w:pPr>
        <w:ind w:left="-5" w:right="17"/>
      </w:pPr>
      <w:r>
        <w:rPr>
          <w:b/>
        </w:rPr>
        <w:t xml:space="preserve">Виши степен дигитализације производних процеса, као </w:t>
      </w:r>
      <w:r>
        <w:rPr>
          <w:b/>
        </w:rPr>
        <w:t>и примена иновација из области дигиталних и дисруптивних</w:t>
      </w:r>
      <w:r>
        <w:rPr>
          <w:b/>
          <w:vertAlign w:val="superscript"/>
        </w:rPr>
        <w:footnoteReference w:id="31"/>
      </w:r>
      <w:r>
        <w:rPr>
          <w:b/>
        </w:rPr>
        <w:t xml:space="preserve"> технологија у индустрији су неопходни за побољшање конкурентности. </w:t>
      </w:r>
      <w:r>
        <w:t>Према индикатору раста иновативних компанија Србија заузима 83. позицију од 141 земљe према Извештају о глобалној конкурентности за</w:t>
      </w:r>
      <w:r>
        <w:t xml:space="preserve"> 2019. Овде је неопходно користити резултате креативног сектора и иновативних старт-ап компанија, како би се ефикасно, коришћењем људског капитала Србије и иновативности младих, подигла вредност овог традиционалног сектора.  </w:t>
      </w:r>
    </w:p>
    <w:p w:rsidR="00E8309B" w:rsidRDefault="009D0949">
      <w:pPr>
        <w:ind w:left="-5" w:right="17"/>
      </w:pPr>
      <w:r>
        <w:t>Имајући у виду важност сектора</w:t>
      </w:r>
      <w:r>
        <w:t xml:space="preserve"> МСПП и њихове благовремене информисаности о доступним програмима подршке поново је активиран </w:t>
      </w:r>
      <w:r>
        <w:rPr>
          <w:b/>
        </w:rPr>
        <w:t>Портал предузетништва</w:t>
      </w:r>
      <w:r>
        <w:rPr>
          <w:b/>
          <w:vertAlign w:val="superscript"/>
        </w:rPr>
        <w:footnoteReference w:id="32"/>
      </w:r>
      <w:r>
        <w:t xml:space="preserve"> који пружа актуелне информације о програмима за започињање и развој пословања. Овај портал се показао као изразито користан током спровођењ</w:t>
      </w:r>
      <w:r>
        <w:t xml:space="preserve">а првог пакета мера за помоћ привреди током пандемије Ковид-19, а тренутно се активно ради на додатном унапређењу корисничког искуства.  </w:t>
      </w:r>
    </w:p>
    <w:p w:rsidR="00E8309B" w:rsidRDefault="009D0949">
      <w:pPr>
        <w:spacing w:after="88"/>
        <w:ind w:left="-5" w:right="17"/>
      </w:pPr>
      <w:r>
        <w:t xml:space="preserve">Ради унапређења стратешког приступа индустријској политици Влада Републике Србије је усвојила </w:t>
      </w:r>
      <w:r>
        <w:rPr>
          <w:b/>
        </w:rPr>
        <w:t>Стратегију индустријског</w:t>
      </w:r>
      <w:r>
        <w:rPr>
          <w:b/>
        </w:rPr>
        <w:t xml:space="preserve"> развоја Републике Србије 2021-2030. године</w:t>
      </w:r>
      <w:r>
        <w:t xml:space="preserve"> која се базира на смерницама Европске комисије за дефинисање стратегије индустријске политике са краја 2017. године, као и смерницама везане за преговарачко Поглавље 20 „Предузетништво и индустријска политика”. Н</w:t>
      </w:r>
      <w:r>
        <w:t>ова индустријска политика створиће услове за трансформисање постојеће привреде у економију знања и иновација кроз дигитализацију пословних модела индустријске производње, развој виших фаза технолошке производње, раст квалитета инвестиција, унапређење техно</w:t>
      </w:r>
      <w:r>
        <w:t xml:space="preserve">лошке структуре извоза, као и развој перспективних </w:t>
      </w:r>
      <w:r>
        <w:lastRenderedPageBreak/>
        <w:t>индустријских грана које одговарају захтевима заштите животне средине, што у потпуности подржава циљеве одрживог развоја, као и развоја у складу са Европским зеленим договором</w:t>
      </w:r>
      <w:r>
        <w:rPr>
          <w:i/>
        </w:rPr>
        <w:t>.</w:t>
      </w:r>
      <w:r>
        <w:t xml:space="preserve"> </w:t>
      </w:r>
    </w:p>
    <w:p w:rsidR="00E8309B" w:rsidRDefault="009D0949">
      <w:pPr>
        <w:spacing w:after="90"/>
        <w:ind w:left="-5" w:right="17"/>
      </w:pPr>
      <w:r>
        <w:t xml:space="preserve">Већа активност </w:t>
      </w:r>
      <w:r>
        <w:rPr>
          <w:b/>
        </w:rPr>
        <w:t>услужних сек</w:t>
      </w:r>
      <w:r>
        <w:rPr>
          <w:b/>
        </w:rPr>
        <w:t>тора</w:t>
      </w:r>
      <w:r>
        <w:t xml:space="preserve"> је имала највећи допринос расту БДП, која је, збирно посматрано, повећана за oкo 4% у последње три године. У првом кварталу 2020. године међугодишњи реални раст БДВ забележен је у сектору трговине на велико и мало и поправке моторних возила, саобраћај</w:t>
      </w:r>
      <w:r>
        <w:t>а и складиштења и услуга смештаја и исхране од 1,9% и сектору информисања и комуникација од 11,8%. На већу активност у услужним секторима указује и наставак раста запослености у 2019. за 30.000 у односу на претходну годину. У првих шест месеци 2020. оствар</w:t>
      </w:r>
      <w:r>
        <w:t xml:space="preserve">ен је раст промета у трговини од 4,2% мг. </w:t>
      </w:r>
    </w:p>
    <w:p w:rsidR="00E8309B" w:rsidRDefault="009D0949">
      <w:pPr>
        <w:ind w:left="-5" w:right="17"/>
      </w:pPr>
      <w:r>
        <w:t xml:space="preserve">И поред двоструког раста суфицита (нето извоза) </w:t>
      </w:r>
      <w:r>
        <w:rPr>
          <w:b/>
        </w:rPr>
        <w:t>услуга</w:t>
      </w:r>
      <w:r>
        <w:t xml:space="preserve"> у 2019. (1.049 милиона евра) у односу на 2014. годину (465 милиона евра), учешће суфицита услуга у БДП-у је и даље на релативно скромном нивоу од 2,3% у 2019.</w:t>
      </w:r>
      <w:r>
        <w:t xml:space="preserve"> (повећање за 1 п.п. у односу на 2014. годину). Остварен раст извоза услуга износи 15% мг у 2019, а структура извоза по врстама услуга не мења се у последњем трогодишњем периоду. Доминантне су четири групе услуга: туризам, транспорт, ИТ услуге (телекомуник</w:t>
      </w:r>
      <w:r>
        <w:t>ационе, компјутерске и информацијске услуге) и пословне услуге, са просечним учешћем од око 85%. Повећано је учешће извоза ИКТ услуга у укупном извозу услуга за 7,6 п.п. (са 12,8% у 2014. на 20,4% у 2019. години), што указује на потенцијал овог сектора као</w:t>
      </w:r>
      <w:r>
        <w:t xml:space="preserve"> једне од најздравијих грана привреде. У периоду јануар-јун 2020. извоз услуга бележи пад од 6% мг, а највећи пад је у сектору туризма од 17,9% мг као последица пандемије. </w:t>
      </w:r>
      <w:r>
        <w:rPr>
          <w:b/>
        </w:rPr>
        <w:t>E-трговинa je током 2019. и 2020. године забележила значајан раст. У условима ограни</w:t>
      </w:r>
      <w:r>
        <w:rPr>
          <w:b/>
        </w:rPr>
        <w:t>ченог кретања током трајања ванредног стања због пандемије Ковид-19 нарочито је добила на значају</w:t>
      </w:r>
      <w:r>
        <w:t xml:space="preserve">, па је тако онлајн трговина </w:t>
      </w:r>
      <w:r>
        <w:rPr>
          <w:b/>
        </w:rPr>
        <w:t xml:space="preserve">повећана за 45% </w:t>
      </w:r>
      <w:r>
        <w:t>у периоду од априла до августа 2020. године у односу на период пре избијања кризе. Конкретно, куповина хране је по</w:t>
      </w:r>
      <w:r>
        <w:t>већана за 200%, одеће за 100%, а техничких уређаја и рачунарске опреме за 50%. Истовремено, за око 30% је порастао и број приговора потрошача о начину остваривања њихових права. Раст куповине и продаје преко интернета очекује се и у наредном периоду, према</w:t>
      </w:r>
      <w:r>
        <w:t xml:space="preserve"> истраживању Привредне коморе Србије, као и истраживању страних експерата по којима би е-трговина у Србији до краја године требало да има 3,3 милиона корисника и генерише приход од око 370 милиона евра. Објављивање водича за електронску трговину намењену г</w:t>
      </w:r>
      <w:r>
        <w:t xml:space="preserve">рађанима на онлајн платформи „Паметно и безбедно“ такође води ка јачању електронске трговине у Србији. </w:t>
      </w:r>
    </w:p>
    <w:p w:rsidR="00E8309B" w:rsidRDefault="009D0949">
      <w:pPr>
        <w:ind w:left="-5" w:right="17"/>
      </w:pPr>
      <w:r>
        <w:t>Употреба бесконтактног плаћања у Србији бележи континуирани раст. Приметан је раст броја куповине роба и услуга платним картицама и електронским новцем,</w:t>
      </w:r>
      <w:r>
        <w:t xml:space="preserve"> на домаћим и иностраним интернет сајтовима, тако да је у 2019. извршено преко 12 милиона трансакција што је повећање за 65% у односу на 2018. годину када је извршено скоро 7,7 милиона трансакција. Настављене су позитивне тенденције и током првих шест месе</w:t>
      </w:r>
      <w:r>
        <w:t xml:space="preserve">ци 2020. године (8,8 милиона трансакција, што је раст од 58% у односу на исти период 2019. године). </w:t>
      </w:r>
    </w:p>
    <w:p w:rsidR="00E8309B" w:rsidRDefault="009D0949">
      <w:pPr>
        <w:ind w:left="-5" w:right="17"/>
      </w:pPr>
      <w:r>
        <w:rPr>
          <w:b/>
        </w:rPr>
        <w:t>Повећао се и укупан број виртуелних продајних места</w:t>
      </w:r>
      <w:r>
        <w:t>, тако да је у 2019. било укупно 1.139 виртуелних продајних места (741 у 2018. години), а на крају друго</w:t>
      </w:r>
      <w:r>
        <w:t>г квартала 2020. чак 1.405. Такође, платни систем за инстант плаћања почео је са радом у октобру 2018. године и од почетка рада, бележи стабилан и континуирани раст броја и вредности платних трансакција, (око 3,5 пута већи број трансакција у односу на прет</w:t>
      </w:r>
      <w:r>
        <w:t>ходну годину и око 2,5 пута већа укупна вредност трансакција). Захваљујући инфраструктури овог платног система, инстант плаћања омогућена су и на виртуелним продајним местима. Погодности ових плаћања огледају се у нижим трошковима процесирања и тренутном п</w:t>
      </w:r>
      <w:r>
        <w:t>реносу и расположивости новчаних средстава, као и у томе што платилац обавља инстант плаћања на виртуленим продајним местима у сигурном окружењу своје банке, при чему не мора да уноси нити да оставља било који податак о свом платном инструменту на интернет</w:t>
      </w:r>
      <w:r>
        <w:t xml:space="preserve">у. </w:t>
      </w:r>
    </w:p>
    <w:p w:rsidR="00E8309B" w:rsidRDefault="009D0949">
      <w:pPr>
        <w:ind w:left="-5" w:right="17"/>
      </w:pPr>
      <w:r>
        <w:rPr>
          <w:b/>
        </w:rPr>
        <w:lastRenderedPageBreak/>
        <w:t>У сектору туризма</w:t>
      </w:r>
      <w:r>
        <w:t xml:space="preserve">, укупан број долазака страних туриста бележи годишњи раст од 8% мг, а укупан број ноћења 9,6% мг у 2019. години. Девизни прилив од туризма у Србији износио је 1,44 милијарде евра, што је раст од 9,1% мг. Негативне последице пандемије </w:t>
      </w:r>
      <w:r>
        <w:t>Ковид-19 су у највећој мери присутне у сектору туризма. У периоду јануар-новембар 2020. остварен је пад долазака страних туриста (424.479) за 75,1% мг и пад ноћења страних туриста (1.187.915) за 67,9% мг. У наведеном периоду јануар – октобар 2020. године д</w:t>
      </w:r>
      <w:r>
        <w:t>евизни прилив од туризма је износио 855 милиона евра и смањен је за 26,7% мг. Према првим проценама МТТТ, штета у сектору туризма за првих пет месеци у 2020. износиће 300 милиона евра. Као одговор на кризу у сектору туризма, Влада Републике Србије је усвој</w:t>
      </w:r>
      <w:r>
        <w:t xml:space="preserve">ила Уредбу о понуди заменског путовања за туристичко путовање које је отказано или није реализовано услед пандемије Ковид-19 (,,Сл. гласник РС“, бр. 63/20). Овом уредбом је прописано да грађани који су уплатили туристички аранжман до 15. марта 2020. имају </w:t>
      </w:r>
      <w:r>
        <w:t>могућност да са агенцијама договоре заменско путовање које могу искористити до 31. децембра 2021. Подстицај развоја домаћег туризма спроводи се кроз доделу ваучера за субвенционисано коришћење услуга смештаја у угоститељским објектима, на територији Републ</w:t>
      </w:r>
      <w:r>
        <w:t>ике Србије у трајању од најмање пет ноћења, изван пребивалишта корисника ваучера. У 2020. години укупно су издвојена средства у износу 560.000 динара за домаћи туризм, а новину представња повећање обухвата ових ваучера (студентима, запосленима чија је плат</w:t>
      </w:r>
      <w:r>
        <w:t>а испод 70.000 РСД, као и ратним војним инвалидима и цивилним инвалидима рата са примањима која не прелазе износ од 70.000 РСД месечно је омогућена пријава за ваучере). Како би се превазишла постојећа криза у сектору туризма, поред подршке државе неопходно</w:t>
      </w:r>
      <w:r>
        <w:t xml:space="preserve"> је и прилагодити понуду туристичких производа и услуга у складу са новонасталом ситуацијом. Потребно је додатно унапредити капацитете у туризму како би се остварила одрживост и испунили циљеви очувања животне средине и смањило глобално загревање у складу </w:t>
      </w:r>
      <w:r>
        <w:t xml:space="preserve">са Европским зеленим договором, као и имплементирати системе дестинацијског менаџмента како би домаће дестинације иновирале систем маркетинга и управљања. </w:t>
      </w:r>
    </w:p>
    <w:p w:rsidR="00E8309B" w:rsidRDefault="009D0949">
      <w:pPr>
        <w:spacing w:after="247" w:line="271" w:lineRule="auto"/>
        <w:ind w:left="-5" w:right="9"/>
      </w:pPr>
      <w:r>
        <w:rPr>
          <w:b/>
        </w:rPr>
        <w:t>б) Реформе</w:t>
      </w:r>
      <w:r>
        <w:t xml:space="preserve"> </w:t>
      </w:r>
    </w:p>
    <w:p w:rsidR="00E8309B" w:rsidRDefault="009D0949">
      <w:pPr>
        <w:spacing w:after="156"/>
        <w:ind w:left="-5" w:right="17"/>
      </w:pPr>
      <w:r>
        <w:rPr>
          <w:b/>
          <w:u w:val="single" w:color="000000"/>
        </w:rPr>
        <w:t>СТРУКТУРНА РЕФОРМА 4:</w:t>
      </w:r>
      <w:r>
        <w:rPr>
          <w:b/>
        </w:rPr>
        <w:t xml:space="preserve"> </w:t>
      </w:r>
      <w:r>
        <w:t xml:space="preserve">УНАПРЕЂЕЊЕ ПРОЦЕСА КОМАСАЦИЈЕ </w:t>
      </w:r>
    </w:p>
    <w:p w:rsidR="00E8309B" w:rsidRDefault="009D0949">
      <w:pPr>
        <w:numPr>
          <w:ilvl w:val="0"/>
          <w:numId w:val="15"/>
        </w:numPr>
        <w:spacing w:after="79" w:line="271" w:lineRule="auto"/>
        <w:ind w:right="9" w:hanging="427"/>
      </w:pPr>
      <w:r>
        <w:rPr>
          <w:b/>
        </w:rPr>
        <w:t xml:space="preserve">Опис структурне реформе </w:t>
      </w:r>
    </w:p>
    <w:p w:rsidR="00E8309B" w:rsidRDefault="009D0949">
      <w:pPr>
        <w:spacing w:after="91"/>
        <w:ind w:left="-5" w:right="17"/>
      </w:pPr>
      <w:r>
        <w:t>Процес комасације има за циљ укрупњавање поседа, унапређење услова за развој пољопривредне производње и знатно олакшано стварање услова (нпр. обезбеђивање одговарајућих површина) за изградњу објеката јавне инфраструктуре (атарски путеви, системи за наводња</w:t>
      </w:r>
      <w:r>
        <w:t xml:space="preserve">вање и одводњавање, ветрозаштитни појасеви и др.). Ефикасније спровођење поступка комасације (на уситњеним парцелама и распарчаним поседима пољопривредних произвођача), омогућиће се кроз успостављање законодавног оквира који обухвата припрему и усвајање </w:t>
      </w:r>
      <w:r>
        <w:rPr>
          <w:i/>
        </w:rPr>
        <w:t>За</w:t>
      </w:r>
      <w:r>
        <w:rPr>
          <w:i/>
        </w:rPr>
        <w:t>кона о комасацији</w:t>
      </w:r>
      <w:r>
        <w:t xml:space="preserve">, измене и допуне </w:t>
      </w:r>
      <w:r>
        <w:rPr>
          <w:i/>
        </w:rPr>
        <w:t>Закона о пољопривредном земљишту</w:t>
      </w:r>
      <w:r>
        <w:t xml:space="preserve"> и </w:t>
      </w:r>
      <w:r>
        <w:rPr>
          <w:i/>
        </w:rPr>
        <w:t>Закона о државном премеру и катастру</w:t>
      </w:r>
      <w:r>
        <w:t>. Реформа обухвата и дигитализацију поступка вршења стручног надзора, транспарентност и јачање механизма контроле трошења буџетских средстава, стављањ</w:t>
      </w:r>
      <w:r>
        <w:t xml:space="preserve">е на увид јавности планова који настају у току спровођења комасације на националном геопорталу „Геосрбија” и имплементацију информационог система за подршку спровођењу стручног надзорa у поступку комасације. Реформа је повезана са </w:t>
      </w:r>
      <w:r>
        <w:rPr>
          <w:b/>
        </w:rPr>
        <w:t xml:space="preserve">ЦОР 2. </w:t>
      </w:r>
      <w:r>
        <w:t>Окончати глад, пос</w:t>
      </w:r>
      <w:r>
        <w:t xml:space="preserve">тићи безбедност хране и побољшану исхрану и промовисати одрживу пољопривреду, односно доприноси остваривању </w:t>
      </w:r>
      <w:r>
        <w:rPr>
          <w:b/>
        </w:rPr>
        <w:t>ЦОР 2.3.</w:t>
      </w:r>
      <w:r>
        <w:t xml:space="preserve"> До 2030. удвостручити пољопривредну продуктивност и приходе малих произвођача хране и </w:t>
      </w:r>
      <w:r>
        <w:rPr>
          <w:b/>
        </w:rPr>
        <w:t>ЦОР 2.4.</w:t>
      </w:r>
      <w:r>
        <w:t xml:space="preserve"> До 2030. обезбедити одрживе системе за произ</w:t>
      </w:r>
      <w:r>
        <w:t xml:space="preserve">водњу хране и применити отпорне пољопривредне праксе за повећање продуктивности и производње, као и </w:t>
      </w:r>
      <w:r>
        <w:rPr>
          <w:b/>
        </w:rPr>
        <w:t>ЦОР 2.а</w:t>
      </w:r>
      <w:r>
        <w:t xml:space="preserve"> Повећати инвестирање у руралну инфраструктуру, пољопривредна истраживања и саветодавне услуге, развој технологије (2.а.1 Индекс државних расхода усм</w:t>
      </w:r>
      <w:r>
        <w:t xml:space="preserve">ерених на пољопривреду). </w:t>
      </w:r>
    </w:p>
    <w:p w:rsidR="00E8309B" w:rsidRDefault="009D0949">
      <w:pPr>
        <w:numPr>
          <w:ilvl w:val="0"/>
          <w:numId w:val="15"/>
        </w:numPr>
        <w:spacing w:after="79" w:line="271" w:lineRule="auto"/>
        <w:ind w:right="9" w:hanging="427"/>
      </w:pPr>
      <w:r>
        <w:rPr>
          <w:b/>
        </w:rPr>
        <w:lastRenderedPageBreak/>
        <w:t xml:space="preserve">Ковид-19 – ефекти, мере и изазови </w:t>
      </w:r>
    </w:p>
    <w:p w:rsidR="00E8309B" w:rsidRDefault="009D0949">
      <w:pPr>
        <w:spacing w:after="160"/>
        <w:ind w:left="-5" w:right="17"/>
      </w:pPr>
      <w:r>
        <w:t>Поступак комасације се отежано спроводио због избијања пандемије Ковид-</w:t>
      </w:r>
      <w:r>
        <w:t>19. У највећој мери последице су се испољиле код  поступка утврђивања фактичког стања за чије спровођење Комисија за комасацију позива власнике, односно кориснике земљишта да се изјасне у вези са утврђеним фактичким стањем о чему се сачињава записник и еве</w:t>
      </w:r>
      <w:r>
        <w:t>нтуално улажу примедбе приликом увида у утврђено фактичко стање. Како је у току уведеног ванредног стања кретање временски било органичено, а државне границе  неко време затворене, власници и корисници пољопривредног земљишта су имали потешкоће да се одазо</w:t>
      </w:r>
      <w:r>
        <w:t>ву на позиве комисија за комасацију. На пример, један од разлога због којег је на територији града Смедерево на деловима катастарских општина Шалинац, Кулич и Смедерево поступак увођења у посед учесника комасације у нове парцеле је био у застоју од марта 2</w:t>
      </w:r>
      <w:r>
        <w:t>020. године је и уведено ванредно стање због Ковид-19.</w:t>
      </w:r>
      <w:r>
        <w:rPr>
          <w:b/>
        </w:rPr>
        <w:t xml:space="preserve"> </w:t>
      </w:r>
    </w:p>
    <w:p w:rsidR="00E8309B" w:rsidRDefault="009D0949">
      <w:pPr>
        <w:numPr>
          <w:ilvl w:val="0"/>
          <w:numId w:val="15"/>
        </w:numPr>
        <w:spacing w:after="0" w:line="271" w:lineRule="auto"/>
        <w:ind w:right="9" w:hanging="427"/>
      </w:pPr>
      <w:r>
        <w:rPr>
          <w:b/>
        </w:rPr>
        <w:t xml:space="preserve">Планиране активности по годинама </w:t>
      </w:r>
    </w:p>
    <w:tbl>
      <w:tblPr>
        <w:tblStyle w:val="TableGrid"/>
        <w:tblW w:w="9610" w:type="dxa"/>
        <w:tblInd w:w="10" w:type="dxa"/>
        <w:tblCellMar>
          <w:top w:w="7" w:type="dxa"/>
          <w:left w:w="58" w:type="dxa"/>
          <w:bottom w:w="0" w:type="dxa"/>
          <w:right w:w="8" w:type="dxa"/>
        </w:tblCellMar>
        <w:tblLook w:val="04A0" w:firstRow="1" w:lastRow="0" w:firstColumn="1" w:lastColumn="0" w:noHBand="0" w:noVBand="1"/>
      </w:tblPr>
      <w:tblGrid>
        <w:gridCol w:w="427"/>
        <w:gridCol w:w="4123"/>
        <w:gridCol w:w="419"/>
        <w:gridCol w:w="421"/>
        <w:gridCol w:w="422"/>
        <w:gridCol w:w="422"/>
        <w:gridCol w:w="424"/>
        <w:gridCol w:w="421"/>
        <w:gridCol w:w="423"/>
        <w:gridCol w:w="420"/>
        <w:gridCol w:w="424"/>
        <w:gridCol w:w="422"/>
        <w:gridCol w:w="422"/>
        <w:gridCol w:w="420"/>
      </w:tblGrid>
      <w:tr w:rsidR="00E8309B">
        <w:trPr>
          <w:trHeight w:val="331"/>
        </w:trPr>
        <w:tc>
          <w:tcPr>
            <w:tcW w:w="427" w:type="dxa"/>
            <w:vMerge w:val="restart"/>
            <w:tcBorders>
              <w:top w:val="single" w:sz="8" w:space="0" w:color="000000"/>
              <w:left w:val="single" w:sz="8" w:space="0" w:color="000000"/>
              <w:bottom w:val="single" w:sz="8" w:space="0" w:color="000000"/>
              <w:right w:val="single" w:sz="8" w:space="0" w:color="000000"/>
            </w:tcBorders>
            <w:vAlign w:val="center"/>
          </w:tcPr>
          <w:p w:rsidR="00E8309B" w:rsidRDefault="009D0949">
            <w:pPr>
              <w:spacing w:after="0" w:line="259" w:lineRule="auto"/>
              <w:ind w:left="29" w:right="0" w:firstLine="0"/>
            </w:pPr>
            <w:r>
              <w:rPr>
                <w:b/>
                <w:sz w:val="20"/>
              </w:rPr>
              <w:t xml:space="preserve">РБ </w:t>
            </w:r>
          </w:p>
        </w:tc>
        <w:tc>
          <w:tcPr>
            <w:tcW w:w="4123" w:type="dxa"/>
            <w:vMerge w:val="restart"/>
            <w:tcBorders>
              <w:top w:val="single" w:sz="8" w:space="0" w:color="000000"/>
              <w:left w:val="single" w:sz="8" w:space="0" w:color="000000"/>
              <w:bottom w:val="single" w:sz="8" w:space="0" w:color="000000"/>
              <w:right w:val="single" w:sz="8" w:space="0" w:color="000000"/>
            </w:tcBorders>
            <w:vAlign w:val="center"/>
          </w:tcPr>
          <w:p w:rsidR="00E8309B" w:rsidRDefault="009D0949">
            <w:pPr>
              <w:spacing w:after="0" w:line="259" w:lineRule="auto"/>
              <w:ind w:left="0" w:right="0" w:firstLine="0"/>
              <w:jc w:val="left"/>
            </w:pPr>
            <w:r>
              <w:rPr>
                <w:b/>
                <w:sz w:val="20"/>
              </w:rPr>
              <w:t xml:space="preserve">Планиране активности </w:t>
            </w:r>
          </w:p>
        </w:tc>
        <w:tc>
          <w:tcPr>
            <w:tcW w:w="1684" w:type="dxa"/>
            <w:gridSpan w:val="4"/>
            <w:tcBorders>
              <w:top w:val="single" w:sz="8" w:space="0" w:color="000000"/>
              <w:left w:val="single" w:sz="8" w:space="0" w:color="000000"/>
              <w:bottom w:val="single" w:sz="4" w:space="0" w:color="000000"/>
              <w:right w:val="single" w:sz="8" w:space="0" w:color="000000"/>
            </w:tcBorders>
          </w:tcPr>
          <w:p w:rsidR="00E8309B" w:rsidRDefault="009D0949">
            <w:pPr>
              <w:spacing w:after="0" w:line="259" w:lineRule="auto"/>
              <w:ind w:left="0" w:right="47" w:firstLine="0"/>
              <w:jc w:val="center"/>
            </w:pPr>
            <w:r>
              <w:rPr>
                <w:b/>
                <w:sz w:val="20"/>
              </w:rPr>
              <w:t xml:space="preserve">2021 </w:t>
            </w:r>
          </w:p>
        </w:tc>
        <w:tc>
          <w:tcPr>
            <w:tcW w:w="1688" w:type="dxa"/>
            <w:gridSpan w:val="4"/>
            <w:tcBorders>
              <w:top w:val="single" w:sz="8" w:space="0" w:color="000000"/>
              <w:left w:val="single" w:sz="8" w:space="0" w:color="000000"/>
              <w:bottom w:val="single" w:sz="4" w:space="0" w:color="000000"/>
              <w:right w:val="single" w:sz="8" w:space="0" w:color="000000"/>
            </w:tcBorders>
          </w:tcPr>
          <w:p w:rsidR="00E8309B" w:rsidRDefault="009D0949">
            <w:pPr>
              <w:spacing w:after="0" w:line="259" w:lineRule="auto"/>
              <w:ind w:left="0" w:right="44" w:firstLine="0"/>
              <w:jc w:val="center"/>
            </w:pPr>
            <w:r>
              <w:rPr>
                <w:b/>
                <w:sz w:val="20"/>
              </w:rPr>
              <w:t xml:space="preserve">2022 </w:t>
            </w:r>
          </w:p>
        </w:tc>
        <w:tc>
          <w:tcPr>
            <w:tcW w:w="1688" w:type="dxa"/>
            <w:gridSpan w:val="4"/>
            <w:tcBorders>
              <w:top w:val="single" w:sz="8" w:space="0" w:color="000000"/>
              <w:left w:val="single" w:sz="8" w:space="0" w:color="000000"/>
              <w:bottom w:val="single" w:sz="4" w:space="0" w:color="000000"/>
              <w:right w:val="single" w:sz="8" w:space="0" w:color="000000"/>
            </w:tcBorders>
          </w:tcPr>
          <w:p w:rsidR="00E8309B" w:rsidRDefault="009D0949">
            <w:pPr>
              <w:spacing w:after="0" w:line="259" w:lineRule="auto"/>
              <w:ind w:left="0" w:right="45" w:firstLine="0"/>
              <w:jc w:val="center"/>
            </w:pPr>
            <w:r>
              <w:rPr>
                <w:b/>
                <w:sz w:val="20"/>
              </w:rPr>
              <w:t xml:space="preserve">2023 </w:t>
            </w:r>
          </w:p>
        </w:tc>
      </w:tr>
      <w:tr w:rsidR="00E8309B">
        <w:trPr>
          <w:trHeight w:val="326"/>
        </w:trPr>
        <w:tc>
          <w:tcPr>
            <w:tcW w:w="0" w:type="auto"/>
            <w:vMerge/>
            <w:tcBorders>
              <w:top w:val="nil"/>
              <w:left w:val="single" w:sz="8" w:space="0" w:color="000000"/>
              <w:bottom w:val="single" w:sz="8" w:space="0" w:color="000000"/>
              <w:right w:val="single" w:sz="8" w:space="0" w:color="000000"/>
            </w:tcBorders>
          </w:tcPr>
          <w:p w:rsidR="00E8309B" w:rsidRDefault="00E8309B">
            <w:pPr>
              <w:spacing w:after="160" w:line="259" w:lineRule="auto"/>
              <w:ind w:left="0" w:right="0" w:firstLine="0"/>
              <w:jc w:val="left"/>
            </w:pPr>
          </w:p>
        </w:tc>
        <w:tc>
          <w:tcPr>
            <w:tcW w:w="0" w:type="auto"/>
            <w:vMerge/>
            <w:tcBorders>
              <w:top w:val="nil"/>
              <w:left w:val="single" w:sz="8" w:space="0" w:color="000000"/>
              <w:bottom w:val="single" w:sz="8" w:space="0" w:color="000000"/>
              <w:right w:val="single" w:sz="8" w:space="0" w:color="000000"/>
            </w:tcBorders>
          </w:tcPr>
          <w:p w:rsidR="00E8309B" w:rsidRDefault="00E8309B">
            <w:pPr>
              <w:spacing w:after="160" w:line="259" w:lineRule="auto"/>
              <w:ind w:left="0" w:right="0" w:firstLine="0"/>
              <w:jc w:val="left"/>
            </w:pPr>
          </w:p>
        </w:tc>
        <w:tc>
          <w:tcPr>
            <w:tcW w:w="419" w:type="dxa"/>
            <w:tcBorders>
              <w:top w:val="single" w:sz="4" w:space="0" w:color="000000"/>
              <w:left w:val="single" w:sz="8" w:space="0" w:color="000000"/>
              <w:bottom w:val="single" w:sz="8" w:space="0" w:color="000000"/>
              <w:right w:val="single" w:sz="4" w:space="0" w:color="000000"/>
            </w:tcBorders>
          </w:tcPr>
          <w:p w:rsidR="00E8309B" w:rsidRDefault="009D0949">
            <w:pPr>
              <w:spacing w:after="0" w:line="259" w:lineRule="auto"/>
              <w:ind w:left="42" w:right="0" w:firstLine="0"/>
              <w:jc w:val="left"/>
            </w:pPr>
            <w:r>
              <w:rPr>
                <w:i/>
                <w:sz w:val="18"/>
              </w:rPr>
              <w:t xml:space="preserve">Q1 </w:t>
            </w:r>
          </w:p>
        </w:tc>
        <w:tc>
          <w:tcPr>
            <w:tcW w:w="421" w:type="dxa"/>
            <w:tcBorders>
              <w:top w:val="single" w:sz="4" w:space="0" w:color="000000"/>
              <w:left w:val="single" w:sz="4" w:space="0" w:color="000000"/>
              <w:bottom w:val="single" w:sz="8" w:space="0" w:color="000000"/>
              <w:right w:val="single" w:sz="4" w:space="0" w:color="000000"/>
            </w:tcBorders>
          </w:tcPr>
          <w:p w:rsidR="00E8309B" w:rsidRDefault="009D0949">
            <w:pPr>
              <w:spacing w:after="0" w:line="259" w:lineRule="auto"/>
              <w:ind w:left="43" w:right="0" w:firstLine="0"/>
              <w:jc w:val="left"/>
            </w:pPr>
            <w:r>
              <w:rPr>
                <w:i/>
                <w:sz w:val="18"/>
              </w:rPr>
              <w:t xml:space="preserve">Q2 </w:t>
            </w:r>
          </w:p>
        </w:tc>
        <w:tc>
          <w:tcPr>
            <w:tcW w:w="422" w:type="dxa"/>
            <w:tcBorders>
              <w:top w:val="single" w:sz="4" w:space="0" w:color="000000"/>
              <w:left w:val="single" w:sz="4" w:space="0" w:color="000000"/>
              <w:bottom w:val="single" w:sz="8" w:space="0" w:color="000000"/>
              <w:right w:val="single" w:sz="4" w:space="0" w:color="000000"/>
            </w:tcBorders>
          </w:tcPr>
          <w:p w:rsidR="00E8309B" w:rsidRDefault="009D0949">
            <w:pPr>
              <w:spacing w:after="0" w:line="259" w:lineRule="auto"/>
              <w:ind w:left="44" w:right="0" w:firstLine="0"/>
              <w:jc w:val="left"/>
            </w:pPr>
            <w:r>
              <w:rPr>
                <w:i/>
                <w:sz w:val="18"/>
              </w:rPr>
              <w:t xml:space="preserve">Q3 </w:t>
            </w:r>
          </w:p>
        </w:tc>
        <w:tc>
          <w:tcPr>
            <w:tcW w:w="421" w:type="dxa"/>
            <w:tcBorders>
              <w:top w:val="single" w:sz="4" w:space="0" w:color="000000"/>
              <w:left w:val="single" w:sz="4" w:space="0" w:color="000000"/>
              <w:bottom w:val="single" w:sz="8" w:space="0" w:color="000000"/>
              <w:right w:val="single" w:sz="8" w:space="0" w:color="000000"/>
            </w:tcBorders>
          </w:tcPr>
          <w:p w:rsidR="00E8309B" w:rsidRDefault="009D0949">
            <w:pPr>
              <w:spacing w:after="0" w:line="259" w:lineRule="auto"/>
              <w:ind w:left="44" w:right="0" w:firstLine="0"/>
              <w:jc w:val="left"/>
            </w:pPr>
            <w:r>
              <w:rPr>
                <w:i/>
                <w:sz w:val="18"/>
              </w:rPr>
              <w:t xml:space="preserve">Q4 </w:t>
            </w:r>
          </w:p>
        </w:tc>
        <w:tc>
          <w:tcPr>
            <w:tcW w:w="424" w:type="dxa"/>
            <w:tcBorders>
              <w:top w:val="single" w:sz="4" w:space="0" w:color="000000"/>
              <w:left w:val="single" w:sz="8" w:space="0" w:color="000000"/>
              <w:bottom w:val="single" w:sz="8" w:space="0" w:color="000000"/>
              <w:right w:val="single" w:sz="4" w:space="0" w:color="000000"/>
            </w:tcBorders>
          </w:tcPr>
          <w:p w:rsidR="00E8309B" w:rsidRDefault="009D0949">
            <w:pPr>
              <w:spacing w:after="0" w:line="259" w:lineRule="auto"/>
              <w:ind w:left="46" w:right="0" w:firstLine="0"/>
              <w:jc w:val="left"/>
            </w:pPr>
            <w:r>
              <w:rPr>
                <w:i/>
                <w:sz w:val="18"/>
              </w:rPr>
              <w:t xml:space="preserve">Q1 </w:t>
            </w:r>
          </w:p>
        </w:tc>
        <w:tc>
          <w:tcPr>
            <w:tcW w:w="421" w:type="dxa"/>
            <w:tcBorders>
              <w:top w:val="single" w:sz="4" w:space="0" w:color="000000"/>
              <w:left w:val="single" w:sz="4" w:space="0" w:color="000000"/>
              <w:bottom w:val="single" w:sz="8" w:space="0" w:color="000000"/>
              <w:right w:val="single" w:sz="4" w:space="0" w:color="000000"/>
            </w:tcBorders>
          </w:tcPr>
          <w:p w:rsidR="00E8309B" w:rsidRDefault="009D0949">
            <w:pPr>
              <w:spacing w:after="0" w:line="259" w:lineRule="auto"/>
              <w:ind w:left="44" w:right="0" w:firstLine="0"/>
              <w:jc w:val="left"/>
            </w:pPr>
            <w:r>
              <w:rPr>
                <w:i/>
                <w:sz w:val="18"/>
              </w:rPr>
              <w:t xml:space="preserve">Q2 </w:t>
            </w:r>
          </w:p>
        </w:tc>
        <w:tc>
          <w:tcPr>
            <w:tcW w:w="423" w:type="dxa"/>
            <w:tcBorders>
              <w:top w:val="single" w:sz="4" w:space="0" w:color="000000"/>
              <w:left w:val="single" w:sz="4" w:space="0" w:color="000000"/>
              <w:bottom w:val="single" w:sz="8" w:space="0" w:color="000000"/>
              <w:right w:val="single" w:sz="4" w:space="0" w:color="000000"/>
            </w:tcBorders>
          </w:tcPr>
          <w:p w:rsidR="00E8309B" w:rsidRDefault="009D0949">
            <w:pPr>
              <w:spacing w:after="0" w:line="259" w:lineRule="auto"/>
              <w:ind w:left="46" w:right="0" w:firstLine="0"/>
              <w:jc w:val="left"/>
            </w:pPr>
            <w:r>
              <w:rPr>
                <w:i/>
                <w:sz w:val="18"/>
              </w:rPr>
              <w:t xml:space="preserve">Q3 </w:t>
            </w:r>
          </w:p>
        </w:tc>
        <w:tc>
          <w:tcPr>
            <w:tcW w:w="420" w:type="dxa"/>
            <w:tcBorders>
              <w:top w:val="single" w:sz="4" w:space="0" w:color="000000"/>
              <w:left w:val="single" w:sz="4" w:space="0" w:color="000000"/>
              <w:bottom w:val="single" w:sz="8" w:space="0" w:color="000000"/>
              <w:right w:val="single" w:sz="8" w:space="0" w:color="000000"/>
            </w:tcBorders>
          </w:tcPr>
          <w:p w:rsidR="00E8309B" w:rsidRDefault="009D0949">
            <w:pPr>
              <w:spacing w:after="0" w:line="259" w:lineRule="auto"/>
              <w:ind w:left="43" w:right="0" w:firstLine="0"/>
              <w:jc w:val="left"/>
            </w:pPr>
            <w:r>
              <w:rPr>
                <w:i/>
                <w:sz w:val="18"/>
              </w:rPr>
              <w:t xml:space="preserve">Q4 </w:t>
            </w:r>
          </w:p>
        </w:tc>
        <w:tc>
          <w:tcPr>
            <w:tcW w:w="424" w:type="dxa"/>
            <w:tcBorders>
              <w:top w:val="single" w:sz="4" w:space="0" w:color="000000"/>
              <w:left w:val="single" w:sz="8" w:space="0" w:color="000000"/>
              <w:bottom w:val="single" w:sz="8" w:space="0" w:color="000000"/>
              <w:right w:val="single" w:sz="4" w:space="0" w:color="000000"/>
            </w:tcBorders>
          </w:tcPr>
          <w:p w:rsidR="00E8309B" w:rsidRDefault="009D0949">
            <w:pPr>
              <w:spacing w:after="0" w:line="259" w:lineRule="auto"/>
              <w:ind w:left="46" w:right="0" w:firstLine="0"/>
              <w:jc w:val="left"/>
            </w:pPr>
            <w:r>
              <w:rPr>
                <w:i/>
                <w:sz w:val="18"/>
              </w:rPr>
              <w:t xml:space="preserve">Q1 </w:t>
            </w:r>
          </w:p>
        </w:tc>
        <w:tc>
          <w:tcPr>
            <w:tcW w:w="422" w:type="dxa"/>
            <w:tcBorders>
              <w:top w:val="single" w:sz="4" w:space="0" w:color="000000"/>
              <w:left w:val="single" w:sz="4" w:space="0" w:color="000000"/>
              <w:bottom w:val="single" w:sz="8" w:space="0" w:color="000000"/>
              <w:right w:val="single" w:sz="4" w:space="0" w:color="000000"/>
            </w:tcBorders>
          </w:tcPr>
          <w:p w:rsidR="00E8309B" w:rsidRDefault="009D0949">
            <w:pPr>
              <w:spacing w:after="0" w:line="259" w:lineRule="auto"/>
              <w:ind w:left="44" w:right="0" w:firstLine="0"/>
              <w:jc w:val="left"/>
            </w:pPr>
            <w:r>
              <w:rPr>
                <w:i/>
                <w:sz w:val="18"/>
              </w:rPr>
              <w:t xml:space="preserve">Q2 </w:t>
            </w:r>
          </w:p>
        </w:tc>
        <w:tc>
          <w:tcPr>
            <w:tcW w:w="422" w:type="dxa"/>
            <w:tcBorders>
              <w:top w:val="single" w:sz="4" w:space="0" w:color="000000"/>
              <w:left w:val="single" w:sz="4" w:space="0" w:color="000000"/>
              <w:bottom w:val="single" w:sz="8" w:space="0" w:color="000000"/>
              <w:right w:val="single" w:sz="4" w:space="0" w:color="000000"/>
            </w:tcBorders>
          </w:tcPr>
          <w:p w:rsidR="00E8309B" w:rsidRDefault="009D0949">
            <w:pPr>
              <w:spacing w:after="0" w:line="259" w:lineRule="auto"/>
              <w:ind w:left="44" w:right="0" w:firstLine="0"/>
              <w:jc w:val="left"/>
            </w:pPr>
            <w:r>
              <w:rPr>
                <w:i/>
                <w:sz w:val="18"/>
              </w:rPr>
              <w:t xml:space="preserve">Q3 </w:t>
            </w:r>
          </w:p>
        </w:tc>
        <w:tc>
          <w:tcPr>
            <w:tcW w:w="420" w:type="dxa"/>
            <w:tcBorders>
              <w:top w:val="single" w:sz="4" w:space="0" w:color="000000"/>
              <w:left w:val="single" w:sz="4" w:space="0" w:color="000000"/>
              <w:bottom w:val="single" w:sz="8" w:space="0" w:color="000000"/>
              <w:right w:val="single" w:sz="8" w:space="0" w:color="000000"/>
            </w:tcBorders>
          </w:tcPr>
          <w:p w:rsidR="00E8309B" w:rsidRDefault="009D0949">
            <w:pPr>
              <w:spacing w:after="0" w:line="259" w:lineRule="auto"/>
              <w:ind w:left="44" w:right="0" w:firstLine="0"/>
              <w:jc w:val="left"/>
            </w:pPr>
            <w:r>
              <w:rPr>
                <w:i/>
                <w:sz w:val="18"/>
              </w:rPr>
              <w:t xml:space="preserve">Q4 </w:t>
            </w:r>
          </w:p>
        </w:tc>
      </w:tr>
      <w:tr w:rsidR="00E8309B">
        <w:trPr>
          <w:trHeight w:val="1162"/>
        </w:trPr>
        <w:tc>
          <w:tcPr>
            <w:tcW w:w="427" w:type="dxa"/>
            <w:tcBorders>
              <w:top w:val="single" w:sz="8" w:space="0" w:color="000000"/>
              <w:left w:val="single" w:sz="8" w:space="0" w:color="000000"/>
              <w:bottom w:val="single" w:sz="4" w:space="0" w:color="000000"/>
              <w:right w:val="single" w:sz="8" w:space="0" w:color="000000"/>
            </w:tcBorders>
          </w:tcPr>
          <w:p w:rsidR="00E8309B" w:rsidRDefault="009D0949">
            <w:pPr>
              <w:spacing w:after="0" w:line="259" w:lineRule="auto"/>
              <w:ind w:left="0" w:right="51" w:firstLine="0"/>
              <w:jc w:val="right"/>
            </w:pPr>
            <w:r>
              <w:rPr>
                <w:sz w:val="20"/>
              </w:rPr>
              <w:t xml:space="preserve">1 </w:t>
            </w:r>
          </w:p>
        </w:tc>
        <w:tc>
          <w:tcPr>
            <w:tcW w:w="4123" w:type="dxa"/>
            <w:tcBorders>
              <w:top w:val="single" w:sz="8" w:space="0" w:color="000000"/>
              <w:left w:val="single" w:sz="8" w:space="0" w:color="000000"/>
              <w:bottom w:val="single" w:sz="4" w:space="0" w:color="000000"/>
              <w:right w:val="single" w:sz="8" w:space="0" w:color="000000"/>
            </w:tcBorders>
          </w:tcPr>
          <w:p w:rsidR="00E8309B" w:rsidRDefault="009D0949">
            <w:pPr>
              <w:spacing w:after="0" w:line="259" w:lineRule="auto"/>
              <w:ind w:left="0" w:right="0" w:firstLine="0"/>
              <w:jc w:val="left"/>
            </w:pPr>
            <w:r>
              <w:rPr>
                <w:sz w:val="20"/>
              </w:rPr>
              <w:t>Припрема и усвајање законског оквира  за спровођење комасације (Закон о комасацији, измене и допуне Закона о пољопривредном земљишту, изменe и допуне Закона о државном премеру и катастру)</w:t>
            </w:r>
            <w:r>
              <w:rPr>
                <w:sz w:val="18"/>
              </w:rPr>
              <w:t xml:space="preserve"> </w:t>
            </w:r>
          </w:p>
        </w:tc>
        <w:tc>
          <w:tcPr>
            <w:tcW w:w="419" w:type="dxa"/>
            <w:tcBorders>
              <w:top w:val="single" w:sz="8" w:space="0" w:color="000000"/>
              <w:left w:val="single" w:sz="8"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1" w:right="0" w:firstLine="0"/>
              <w:jc w:val="center"/>
            </w:pPr>
            <w:r>
              <w:rPr>
                <w:sz w:val="20"/>
              </w:rPr>
              <w:t xml:space="preserve"> </w:t>
            </w:r>
          </w:p>
        </w:tc>
        <w:tc>
          <w:tcPr>
            <w:tcW w:w="421" w:type="dxa"/>
            <w:tcBorders>
              <w:top w:val="single" w:sz="8" w:space="0" w:color="000000"/>
              <w:left w:val="single" w:sz="4"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1" w:right="0" w:firstLine="0"/>
              <w:jc w:val="center"/>
            </w:pPr>
            <w:r>
              <w:rPr>
                <w:sz w:val="20"/>
              </w:rPr>
              <w:t xml:space="preserve"> </w:t>
            </w:r>
          </w:p>
        </w:tc>
        <w:tc>
          <w:tcPr>
            <w:tcW w:w="422" w:type="dxa"/>
            <w:tcBorders>
              <w:top w:val="single" w:sz="8" w:space="0" w:color="000000"/>
              <w:left w:val="single" w:sz="4"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2" w:right="0" w:firstLine="0"/>
              <w:jc w:val="center"/>
            </w:pPr>
            <w:r>
              <w:rPr>
                <w:sz w:val="20"/>
              </w:rPr>
              <w:t xml:space="preserve"> </w:t>
            </w:r>
          </w:p>
        </w:tc>
        <w:tc>
          <w:tcPr>
            <w:tcW w:w="421" w:type="dxa"/>
            <w:tcBorders>
              <w:top w:val="single" w:sz="8" w:space="0" w:color="000000"/>
              <w:left w:val="single" w:sz="4" w:space="0" w:color="000000"/>
              <w:bottom w:val="single" w:sz="4" w:space="0" w:color="000000"/>
              <w:right w:val="single" w:sz="8" w:space="0" w:color="000000"/>
            </w:tcBorders>
            <w:shd w:val="clear" w:color="auto" w:fill="BFBFBF"/>
            <w:vAlign w:val="center"/>
          </w:tcPr>
          <w:p w:rsidR="00E8309B" w:rsidRDefault="009D0949">
            <w:pPr>
              <w:spacing w:after="0" w:line="259" w:lineRule="auto"/>
              <w:ind w:left="4" w:right="0" w:firstLine="0"/>
              <w:jc w:val="center"/>
            </w:pPr>
            <w:r>
              <w:rPr>
                <w:sz w:val="20"/>
              </w:rPr>
              <w:t xml:space="preserve"> </w:t>
            </w:r>
          </w:p>
        </w:tc>
        <w:tc>
          <w:tcPr>
            <w:tcW w:w="424" w:type="dxa"/>
            <w:tcBorders>
              <w:top w:val="single" w:sz="8" w:space="0" w:color="000000"/>
              <w:left w:val="single" w:sz="8" w:space="0" w:color="000000"/>
              <w:bottom w:val="single" w:sz="4" w:space="0" w:color="000000"/>
              <w:right w:val="single" w:sz="4" w:space="0" w:color="000000"/>
            </w:tcBorders>
            <w:vAlign w:val="center"/>
          </w:tcPr>
          <w:p w:rsidR="00E8309B" w:rsidRDefault="009D0949">
            <w:pPr>
              <w:spacing w:after="0" w:line="259" w:lineRule="auto"/>
              <w:ind w:left="4" w:right="0" w:firstLine="0"/>
              <w:jc w:val="center"/>
            </w:pPr>
            <w:r>
              <w:rPr>
                <w:sz w:val="20"/>
              </w:rPr>
              <w:t xml:space="preserve"> </w:t>
            </w:r>
          </w:p>
        </w:tc>
        <w:tc>
          <w:tcPr>
            <w:tcW w:w="421" w:type="dxa"/>
            <w:tcBorders>
              <w:top w:val="single" w:sz="8"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4" w:right="0" w:firstLine="0"/>
              <w:jc w:val="center"/>
            </w:pPr>
            <w:r>
              <w:rPr>
                <w:sz w:val="20"/>
              </w:rPr>
              <w:t xml:space="preserve"> </w:t>
            </w:r>
          </w:p>
        </w:tc>
        <w:tc>
          <w:tcPr>
            <w:tcW w:w="423" w:type="dxa"/>
            <w:tcBorders>
              <w:top w:val="single" w:sz="8"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5" w:right="0" w:firstLine="0"/>
              <w:jc w:val="center"/>
            </w:pPr>
            <w:r>
              <w:rPr>
                <w:sz w:val="20"/>
              </w:rPr>
              <w:t xml:space="preserve"> </w:t>
            </w:r>
          </w:p>
        </w:tc>
        <w:tc>
          <w:tcPr>
            <w:tcW w:w="420" w:type="dxa"/>
            <w:tcBorders>
              <w:top w:val="single" w:sz="8" w:space="0" w:color="000000"/>
              <w:left w:val="single" w:sz="4" w:space="0" w:color="000000"/>
              <w:bottom w:val="single" w:sz="4" w:space="0" w:color="000000"/>
              <w:right w:val="single" w:sz="8" w:space="0" w:color="000000"/>
            </w:tcBorders>
            <w:vAlign w:val="center"/>
          </w:tcPr>
          <w:p w:rsidR="00E8309B" w:rsidRDefault="009D0949">
            <w:pPr>
              <w:spacing w:after="0" w:line="259" w:lineRule="auto"/>
              <w:ind w:left="2" w:right="0" w:firstLine="0"/>
              <w:jc w:val="center"/>
            </w:pPr>
            <w:r>
              <w:rPr>
                <w:sz w:val="20"/>
              </w:rPr>
              <w:t xml:space="preserve"> </w:t>
            </w:r>
          </w:p>
        </w:tc>
        <w:tc>
          <w:tcPr>
            <w:tcW w:w="424" w:type="dxa"/>
            <w:tcBorders>
              <w:top w:val="single" w:sz="8" w:space="0" w:color="000000"/>
              <w:left w:val="single" w:sz="8" w:space="0" w:color="000000"/>
              <w:bottom w:val="single" w:sz="4" w:space="0" w:color="000000"/>
              <w:right w:val="single" w:sz="4" w:space="0" w:color="000000"/>
            </w:tcBorders>
            <w:vAlign w:val="center"/>
          </w:tcPr>
          <w:p w:rsidR="00E8309B" w:rsidRDefault="009D0949">
            <w:pPr>
              <w:spacing w:after="0" w:line="259" w:lineRule="auto"/>
              <w:ind w:left="4" w:right="0" w:firstLine="0"/>
              <w:jc w:val="center"/>
            </w:pPr>
            <w:r>
              <w:rPr>
                <w:sz w:val="20"/>
              </w:rPr>
              <w:t xml:space="preserve"> </w:t>
            </w:r>
          </w:p>
        </w:tc>
        <w:tc>
          <w:tcPr>
            <w:tcW w:w="422" w:type="dxa"/>
            <w:tcBorders>
              <w:top w:val="single" w:sz="8"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2" w:right="0" w:firstLine="0"/>
              <w:jc w:val="center"/>
            </w:pPr>
            <w:r>
              <w:rPr>
                <w:sz w:val="20"/>
              </w:rPr>
              <w:t xml:space="preserve"> </w:t>
            </w:r>
          </w:p>
        </w:tc>
        <w:tc>
          <w:tcPr>
            <w:tcW w:w="422" w:type="dxa"/>
            <w:tcBorders>
              <w:top w:val="single" w:sz="8"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2" w:right="0" w:firstLine="0"/>
              <w:jc w:val="center"/>
            </w:pPr>
            <w:r>
              <w:rPr>
                <w:sz w:val="20"/>
              </w:rPr>
              <w:t xml:space="preserve"> </w:t>
            </w:r>
          </w:p>
        </w:tc>
        <w:tc>
          <w:tcPr>
            <w:tcW w:w="420" w:type="dxa"/>
            <w:tcBorders>
              <w:top w:val="single" w:sz="8" w:space="0" w:color="000000"/>
              <w:left w:val="single" w:sz="4" w:space="0" w:color="000000"/>
              <w:bottom w:val="single" w:sz="4" w:space="0" w:color="000000"/>
              <w:right w:val="single" w:sz="8" w:space="0" w:color="000000"/>
            </w:tcBorders>
            <w:vAlign w:val="center"/>
          </w:tcPr>
          <w:p w:rsidR="00E8309B" w:rsidRDefault="009D0949">
            <w:pPr>
              <w:spacing w:after="0" w:line="259" w:lineRule="auto"/>
              <w:ind w:left="5" w:right="0" w:firstLine="0"/>
              <w:jc w:val="center"/>
            </w:pPr>
            <w:r>
              <w:rPr>
                <w:sz w:val="20"/>
              </w:rPr>
              <w:t xml:space="preserve"> </w:t>
            </w:r>
          </w:p>
        </w:tc>
      </w:tr>
      <w:tr w:rsidR="00E8309B">
        <w:trPr>
          <w:trHeight w:val="470"/>
        </w:trPr>
        <w:tc>
          <w:tcPr>
            <w:tcW w:w="427" w:type="dxa"/>
            <w:tcBorders>
              <w:top w:val="single" w:sz="4" w:space="0" w:color="000000"/>
              <w:left w:val="single" w:sz="8" w:space="0" w:color="000000"/>
              <w:bottom w:val="single" w:sz="4" w:space="0" w:color="000000"/>
              <w:right w:val="single" w:sz="8" w:space="0" w:color="000000"/>
            </w:tcBorders>
          </w:tcPr>
          <w:p w:rsidR="00E8309B" w:rsidRDefault="009D0949">
            <w:pPr>
              <w:spacing w:after="0" w:line="259" w:lineRule="auto"/>
              <w:ind w:left="0" w:right="51" w:firstLine="0"/>
              <w:jc w:val="right"/>
            </w:pPr>
            <w:r>
              <w:rPr>
                <w:sz w:val="20"/>
              </w:rPr>
              <w:t xml:space="preserve">2 </w:t>
            </w:r>
          </w:p>
        </w:tc>
        <w:tc>
          <w:tcPr>
            <w:tcW w:w="4123" w:type="dxa"/>
            <w:tcBorders>
              <w:top w:val="single" w:sz="4" w:space="0" w:color="000000"/>
              <w:left w:val="single" w:sz="8" w:space="0" w:color="000000"/>
              <w:bottom w:val="single" w:sz="4" w:space="0" w:color="000000"/>
              <w:right w:val="single" w:sz="8" w:space="0" w:color="000000"/>
            </w:tcBorders>
          </w:tcPr>
          <w:p w:rsidR="00E8309B" w:rsidRDefault="009D0949">
            <w:pPr>
              <w:spacing w:after="0" w:line="259" w:lineRule="auto"/>
              <w:ind w:left="0" w:right="0" w:firstLine="0"/>
              <w:jc w:val="left"/>
            </w:pPr>
            <w:r>
              <w:rPr>
                <w:sz w:val="20"/>
              </w:rPr>
              <w:t>Израда и доношење подзаконских аката на основу донетог сета закона</w:t>
            </w:r>
            <w:r>
              <w:rPr>
                <w:sz w:val="18"/>
              </w:rPr>
              <w:t xml:space="preserve"> </w:t>
            </w:r>
          </w:p>
        </w:tc>
        <w:tc>
          <w:tcPr>
            <w:tcW w:w="419" w:type="dxa"/>
            <w:tcBorders>
              <w:top w:val="single" w:sz="4" w:space="0" w:color="000000"/>
              <w:left w:val="single" w:sz="8" w:space="0" w:color="000000"/>
              <w:bottom w:val="single" w:sz="4" w:space="0" w:color="000000"/>
              <w:right w:val="single" w:sz="4" w:space="0" w:color="000000"/>
            </w:tcBorders>
            <w:vAlign w:val="center"/>
          </w:tcPr>
          <w:p w:rsidR="00E8309B" w:rsidRDefault="009D0949">
            <w:pPr>
              <w:spacing w:after="0" w:line="259" w:lineRule="auto"/>
              <w:ind w:left="1" w:right="0" w:firstLine="0"/>
              <w:jc w:val="center"/>
            </w:pPr>
            <w:r>
              <w:rPr>
                <w:sz w:val="20"/>
              </w:rPr>
              <w:t xml:space="preserve"> </w:t>
            </w:r>
          </w:p>
        </w:tc>
        <w:tc>
          <w:tcPr>
            <w:tcW w:w="421"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1" w:right="0" w:firstLine="0"/>
              <w:jc w:val="center"/>
            </w:pPr>
            <w:r>
              <w:rPr>
                <w:sz w:val="20"/>
              </w:rPr>
              <w:t xml:space="preserve"> </w:t>
            </w:r>
          </w:p>
        </w:tc>
        <w:tc>
          <w:tcPr>
            <w:tcW w:w="422"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2" w:right="0" w:firstLine="0"/>
              <w:jc w:val="center"/>
            </w:pPr>
            <w:r>
              <w:rPr>
                <w:sz w:val="20"/>
              </w:rPr>
              <w:t xml:space="preserve"> </w:t>
            </w:r>
          </w:p>
        </w:tc>
        <w:tc>
          <w:tcPr>
            <w:tcW w:w="421" w:type="dxa"/>
            <w:tcBorders>
              <w:top w:val="single" w:sz="4" w:space="0" w:color="000000"/>
              <w:left w:val="single" w:sz="4" w:space="0" w:color="000000"/>
              <w:bottom w:val="single" w:sz="4" w:space="0" w:color="000000"/>
              <w:right w:val="single" w:sz="8" w:space="0" w:color="000000"/>
            </w:tcBorders>
            <w:vAlign w:val="center"/>
          </w:tcPr>
          <w:p w:rsidR="00E8309B" w:rsidRDefault="009D0949">
            <w:pPr>
              <w:spacing w:after="0" w:line="259" w:lineRule="auto"/>
              <w:ind w:left="4" w:right="0" w:firstLine="0"/>
              <w:jc w:val="center"/>
            </w:pPr>
            <w:r>
              <w:rPr>
                <w:sz w:val="20"/>
              </w:rPr>
              <w:t xml:space="preserve"> </w:t>
            </w:r>
          </w:p>
        </w:tc>
        <w:tc>
          <w:tcPr>
            <w:tcW w:w="424" w:type="dxa"/>
            <w:tcBorders>
              <w:top w:val="single" w:sz="4" w:space="0" w:color="000000"/>
              <w:left w:val="single" w:sz="8"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4" w:right="0" w:firstLine="0"/>
              <w:jc w:val="center"/>
            </w:pPr>
            <w:r>
              <w:rPr>
                <w:sz w:val="20"/>
              </w:rPr>
              <w:t xml:space="preserve"> </w:t>
            </w:r>
          </w:p>
        </w:tc>
        <w:tc>
          <w:tcPr>
            <w:tcW w:w="421"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4" w:right="0" w:firstLine="0"/>
              <w:jc w:val="center"/>
            </w:pPr>
            <w:r>
              <w:rPr>
                <w:sz w:val="20"/>
              </w:rPr>
              <w:t xml:space="preserve"> </w:t>
            </w:r>
          </w:p>
        </w:tc>
        <w:tc>
          <w:tcPr>
            <w:tcW w:w="423"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5" w:right="0" w:firstLine="0"/>
              <w:jc w:val="center"/>
            </w:pPr>
            <w:r>
              <w:rPr>
                <w:sz w:val="20"/>
              </w:rPr>
              <w:t xml:space="preserve"> </w:t>
            </w:r>
          </w:p>
        </w:tc>
        <w:tc>
          <w:tcPr>
            <w:tcW w:w="420" w:type="dxa"/>
            <w:tcBorders>
              <w:top w:val="single" w:sz="4" w:space="0" w:color="000000"/>
              <w:left w:val="single" w:sz="4" w:space="0" w:color="000000"/>
              <w:bottom w:val="single" w:sz="4" w:space="0" w:color="000000"/>
              <w:right w:val="single" w:sz="8" w:space="0" w:color="000000"/>
            </w:tcBorders>
            <w:shd w:val="clear" w:color="auto" w:fill="BFBFBF"/>
            <w:vAlign w:val="center"/>
          </w:tcPr>
          <w:p w:rsidR="00E8309B" w:rsidRDefault="009D0949">
            <w:pPr>
              <w:spacing w:after="0" w:line="259" w:lineRule="auto"/>
              <w:ind w:left="2" w:right="0" w:firstLine="0"/>
              <w:jc w:val="center"/>
            </w:pPr>
            <w:r>
              <w:rPr>
                <w:sz w:val="20"/>
              </w:rPr>
              <w:t xml:space="preserve"> </w:t>
            </w:r>
          </w:p>
        </w:tc>
        <w:tc>
          <w:tcPr>
            <w:tcW w:w="424" w:type="dxa"/>
            <w:tcBorders>
              <w:top w:val="single" w:sz="4" w:space="0" w:color="000000"/>
              <w:left w:val="single" w:sz="8" w:space="0" w:color="000000"/>
              <w:bottom w:val="single" w:sz="4" w:space="0" w:color="000000"/>
              <w:right w:val="single" w:sz="4" w:space="0" w:color="000000"/>
            </w:tcBorders>
            <w:vAlign w:val="center"/>
          </w:tcPr>
          <w:p w:rsidR="00E8309B" w:rsidRDefault="009D0949">
            <w:pPr>
              <w:spacing w:after="0" w:line="259" w:lineRule="auto"/>
              <w:ind w:left="4" w:right="0" w:firstLine="0"/>
              <w:jc w:val="center"/>
            </w:pPr>
            <w:r>
              <w:rPr>
                <w:sz w:val="20"/>
              </w:rPr>
              <w:t xml:space="preserve"> </w:t>
            </w:r>
          </w:p>
        </w:tc>
        <w:tc>
          <w:tcPr>
            <w:tcW w:w="422"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2" w:right="0" w:firstLine="0"/>
              <w:jc w:val="center"/>
            </w:pPr>
            <w:r>
              <w:rPr>
                <w:sz w:val="20"/>
              </w:rPr>
              <w:t xml:space="preserve"> </w:t>
            </w:r>
          </w:p>
        </w:tc>
        <w:tc>
          <w:tcPr>
            <w:tcW w:w="422"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2" w:right="0" w:firstLine="0"/>
              <w:jc w:val="center"/>
            </w:pPr>
            <w:r>
              <w:rPr>
                <w:sz w:val="20"/>
              </w:rPr>
              <w:t xml:space="preserve"> </w:t>
            </w:r>
          </w:p>
        </w:tc>
        <w:tc>
          <w:tcPr>
            <w:tcW w:w="420" w:type="dxa"/>
            <w:tcBorders>
              <w:top w:val="single" w:sz="4" w:space="0" w:color="000000"/>
              <w:left w:val="single" w:sz="4" w:space="0" w:color="000000"/>
              <w:bottom w:val="single" w:sz="4" w:space="0" w:color="000000"/>
              <w:right w:val="single" w:sz="8" w:space="0" w:color="000000"/>
            </w:tcBorders>
            <w:vAlign w:val="center"/>
          </w:tcPr>
          <w:p w:rsidR="00E8309B" w:rsidRDefault="009D0949">
            <w:pPr>
              <w:spacing w:after="0" w:line="259" w:lineRule="auto"/>
              <w:ind w:left="5" w:right="0" w:firstLine="0"/>
              <w:jc w:val="center"/>
            </w:pPr>
            <w:r>
              <w:rPr>
                <w:sz w:val="20"/>
              </w:rPr>
              <w:t xml:space="preserve"> </w:t>
            </w:r>
          </w:p>
        </w:tc>
      </w:tr>
      <w:tr w:rsidR="00E8309B">
        <w:trPr>
          <w:trHeight w:val="930"/>
        </w:trPr>
        <w:tc>
          <w:tcPr>
            <w:tcW w:w="427" w:type="dxa"/>
            <w:tcBorders>
              <w:top w:val="single" w:sz="4" w:space="0" w:color="000000"/>
              <w:left w:val="single" w:sz="8" w:space="0" w:color="000000"/>
              <w:bottom w:val="single" w:sz="4" w:space="0" w:color="000000"/>
              <w:right w:val="single" w:sz="8" w:space="0" w:color="000000"/>
            </w:tcBorders>
          </w:tcPr>
          <w:p w:rsidR="00E8309B" w:rsidRDefault="009D0949">
            <w:pPr>
              <w:spacing w:after="0" w:line="259" w:lineRule="auto"/>
              <w:ind w:left="0" w:right="51" w:firstLine="0"/>
              <w:jc w:val="right"/>
            </w:pPr>
            <w:r>
              <w:rPr>
                <w:sz w:val="20"/>
              </w:rPr>
              <w:t xml:space="preserve">3 </w:t>
            </w:r>
          </w:p>
        </w:tc>
        <w:tc>
          <w:tcPr>
            <w:tcW w:w="4123" w:type="dxa"/>
            <w:tcBorders>
              <w:top w:val="single" w:sz="4" w:space="0" w:color="000000"/>
              <w:left w:val="single" w:sz="8" w:space="0" w:color="000000"/>
              <w:bottom w:val="single" w:sz="4" w:space="0" w:color="000000"/>
              <w:right w:val="single" w:sz="8" w:space="0" w:color="000000"/>
            </w:tcBorders>
          </w:tcPr>
          <w:p w:rsidR="00E8309B" w:rsidRDefault="009D0949">
            <w:pPr>
              <w:spacing w:after="0" w:line="259" w:lineRule="auto"/>
              <w:ind w:left="0" w:right="0" w:firstLine="0"/>
              <w:jc w:val="left"/>
            </w:pPr>
            <w:r>
              <w:rPr>
                <w:sz w:val="20"/>
              </w:rPr>
              <w:t>Спровођење обука 9 запослених лица на пословима комасације у Управи за пољопривредно земљиште (УПЗ) и набавка канцеларијске опреме</w:t>
            </w:r>
            <w:r>
              <w:rPr>
                <w:sz w:val="18"/>
              </w:rPr>
              <w:t xml:space="preserve"> </w:t>
            </w:r>
          </w:p>
        </w:tc>
        <w:tc>
          <w:tcPr>
            <w:tcW w:w="419" w:type="dxa"/>
            <w:tcBorders>
              <w:top w:val="single" w:sz="4" w:space="0" w:color="000000"/>
              <w:left w:val="single" w:sz="8"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1" w:right="0" w:firstLine="0"/>
              <w:jc w:val="center"/>
            </w:pPr>
            <w:r>
              <w:rPr>
                <w:sz w:val="20"/>
              </w:rPr>
              <w:t xml:space="preserve"> </w:t>
            </w:r>
          </w:p>
        </w:tc>
        <w:tc>
          <w:tcPr>
            <w:tcW w:w="421"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1" w:right="0" w:firstLine="0"/>
              <w:jc w:val="center"/>
            </w:pPr>
            <w:r>
              <w:rPr>
                <w:sz w:val="20"/>
              </w:rPr>
              <w:t xml:space="preserve"> </w:t>
            </w:r>
          </w:p>
        </w:tc>
        <w:tc>
          <w:tcPr>
            <w:tcW w:w="422"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2" w:right="0" w:firstLine="0"/>
              <w:jc w:val="center"/>
            </w:pPr>
            <w:r>
              <w:rPr>
                <w:sz w:val="20"/>
              </w:rPr>
              <w:t xml:space="preserve"> </w:t>
            </w:r>
          </w:p>
        </w:tc>
        <w:tc>
          <w:tcPr>
            <w:tcW w:w="421" w:type="dxa"/>
            <w:tcBorders>
              <w:top w:val="single" w:sz="4" w:space="0" w:color="000000"/>
              <w:left w:val="single" w:sz="4" w:space="0" w:color="000000"/>
              <w:bottom w:val="single" w:sz="4" w:space="0" w:color="000000"/>
              <w:right w:val="single" w:sz="8" w:space="0" w:color="000000"/>
            </w:tcBorders>
            <w:shd w:val="clear" w:color="auto" w:fill="BFBFBF"/>
            <w:vAlign w:val="center"/>
          </w:tcPr>
          <w:p w:rsidR="00E8309B" w:rsidRDefault="009D0949">
            <w:pPr>
              <w:spacing w:after="0" w:line="259" w:lineRule="auto"/>
              <w:ind w:left="4" w:right="0" w:firstLine="0"/>
              <w:jc w:val="center"/>
            </w:pPr>
            <w:r>
              <w:rPr>
                <w:sz w:val="20"/>
              </w:rPr>
              <w:t xml:space="preserve"> </w:t>
            </w:r>
          </w:p>
        </w:tc>
        <w:tc>
          <w:tcPr>
            <w:tcW w:w="424" w:type="dxa"/>
            <w:tcBorders>
              <w:top w:val="single" w:sz="4" w:space="0" w:color="000000"/>
              <w:left w:val="single" w:sz="8"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4" w:right="0" w:firstLine="0"/>
              <w:jc w:val="center"/>
            </w:pPr>
            <w:r>
              <w:rPr>
                <w:sz w:val="20"/>
              </w:rPr>
              <w:t xml:space="preserve"> </w:t>
            </w:r>
          </w:p>
        </w:tc>
        <w:tc>
          <w:tcPr>
            <w:tcW w:w="421"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4" w:right="0" w:firstLine="0"/>
              <w:jc w:val="center"/>
            </w:pPr>
            <w:r>
              <w:rPr>
                <w:sz w:val="20"/>
              </w:rPr>
              <w:t xml:space="preserve"> </w:t>
            </w:r>
          </w:p>
        </w:tc>
        <w:tc>
          <w:tcPr>
            <w:tcW w:w="423"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5" w:right="0" w:firstLine="0"/>
              <w:jc w:val="center"/>
            </w:pPr>
            <w:r>
              <w:rPr>
                <w:sz w:val="20"/>
              </w:rPr>
              <w:t xml:space="preserve"> </w:t>
            </w:r>
          </w:p>
        </w:tc>
        <w:tc>
          <w:tcPr>
            <w:tcW w:w="420" w:type="dxa"/>
            <w:tcBorders>
              <w:top w:val="single" w:sz="4" w:space="0" w:color="000000"/>
              <w:left w:val="single" w:sz="4" w:space="0" w:color="000000"/>
              <w:bottom w:val="single" w:sz="4" w:space="0" w:color="000000"/>
              <w:right w:val="single" w:sz="8" w:space="0" w:color="000000"/>
            </w:tcBorders>
            <w:shd w:val="clear" w:color="auto" w:fill="BFBFBF"/>
            <w:vAlign w:val="center"/>
          </w:tcPr>
          <w:p w:rsidR="00E8309B" w:rsidRDefault="009D0949">
            <w:pPr>
              <w:spacing w:after="0" w:line="259" w:lineRule="auto"/>
              <w:ind w:left="2" w:right="0" w:firstLine="0"/>
              <w:jc w:val="center"/>
            </w:pPr>
            <w:r>
              <w:rPr>
                <w:sz w:val="20"/>
              </w:rPr>
              <w:t xml:space="preserve"> </w:t>
            </w:r>
          </w:p>
        </w:tc>
        <w:tc>
          <w:tcPr>
            <w:tcW w:w="424" w:type="dxa"/>
            <w:tcBorders>
              <w:top w:val="single" w:sz="4" w:space="0" w:color="000000"/>
              <w:left w:val="single" w:sz="8"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4" w:right="0" w:firstLine="0"/>
              <w:jc w:val="center"/>
            </w:pPr>
            <w:r>
              <w:rPr>
                <w:sz w:val="20"/>
              </w:rPr>
              <w:t xml:space="preserve"> </w:t>
            </w:r>
          </w:p>
        </w:tc>
        <w:tc>
          <w:tcPr>
            <w:tcW w:w="422"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2" w:right="0" w:firstLine="0"/>
              <w:jc w:val="center"/>
            </w:pPr>
            <w:r>
              <w:rPr>
                <w:sz w:val="20"/>
              </w:rPr>
              <w:t xml:space="preserve"> </w:t>
            </w:r>
          </w:p>
        </w:tc>
        <w:tc>
          <w:tcPr>
            <w:tcW w:w="422"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2" w:right="0" w:firstLine="0"/>
              <w:jc w:val="center"/>
            </w:pPr>
            <w:r>
              <w:rPr>
                <w:sz w:val="20"/>
              </w:rPr>
              <w:t xml:space="preserve"> </w:t>
            </w:r>
          </w:p>
        </w:tc>
        <w:tc>
          <w:tcPr>
            <w:tcW w:w="420" w:type="dxa"/>
            <w:tcBorders>
              <w:top w:val="single" w:sz="4" w:space="0" w:color="000000"/>
              <w:left w:val="single" w:sz="4" w:space="0" w:color="000000"/>
              <w:bottom w:val="single" w:sz="4" w:space="0" w:color="000000"/>
              <w:right w:val="single" w:sz="8" w:space="0" w:color="000000"/>
            </w:tcBorders>
            <w:shd w:val="clear" w:color="auto" w:fill="BFBFBF"/>
            <w:vAlign w:val="center"/>
          </w:tcPr>
          <w:p w:rsidR="00E8309B" w:rsidRDefault="009D0949">
            <w:pPr>
              <w:spacing w:after="0" w:line="259" w:lineRule="auto"/>
              <w:ind w:left="5" w:right="0" w:firstLine="0"/>
              <w:jc w:val="center"/>
            </w:pPr>
            <w:r>
              <w:rPr>
                <w:sz w:val="20"/>
              </w:rPr>
              <w:t xml:space="preserve"> </w:t>
            </w:r>
          </w:p>
        </w:tc>
      </w:tr>
      <w:tr w:rsidR="00E8309B">
        <w:trPr>
          <w:trHeight w:val="698"/>
        </w:trPr>
        <w:tc>
          <w:tcPr>
            <w:tcW w:w="427" w:type="dxa"/>
            <w:tcBorders>
              <w:top w:val="single" w:sz="4" w:space="0" w:color="000000"/>
              <w:left w:val="single" w:sz="8" w:space="0" w:color="000000"/>
              <w:bottom w:val="single" w:sz="4" w:space="0" w:color="000000"/>
              <w:right w:val="single" w:sz="8" w:space="0" w:color="000000"/>
            </w:tcBorders>
          </w:tcPr>
          <w:p w:rsidR="00E8309B" w:rsidRDefault="009D0949">
            <w:pPr>
              <w:spacing w:after="0" w:line="259" w:lineRule="auto"/>
              <w:ind w:left="0" w:right="51" w:firstLine="0"/>
              <w:jc w:val="right"/>
            </w:pPr>
            <w:r>
              <w:rPr>
                <w:sz w:val="20"/>
              </w:rPr>
              <w:t xml:space="preserve">4 </w:t>
            </w:r>
          </w:p>
        </w:tc>
        <w:tc>
          <w:tcPr>
            <w:tcW w:w="4123" w:type="dxa"/>
            <w:tcBorders>
              <w:top w:val="single" w:sz="4" w:space="0" w:color="000000"/>
              <w:left w:val="single" w:sz="8" w:space="0" w:color="000000"/>
              <w:bottom w:val="single" w:sz="4" w:space="0" w:color="000000"/>
              <w:right w:val="single" w:sz="8" w:space="0" w:color="000000"/>
            </w:tcBorders>
          </w:tcPr>
          <w:p w:rsidR="00E8309B" w:rsidRDefault="009D0949">
            <w:pPr>
              <w:spacing w:after="0" w:line="259" w:lineRule="auto"/>
              <w:ind w:left="0" w:right="0" w:firstLine="0"/>
              <w:jc w:val="left"/>
            </w:pPr>
            <w:r>
              <w:rPr>
                <w:sz w:val="20"/>
              </w:rPr>
              <w:t>Доношење подзаконског акта којим се дефинише Методологија за вршење стручног надзора у поступцима комасације (РГЗ)</w:t>
            </w:r>
            <w:r>
              <w:rPr>
                <w:sz w:val="18"/>
              </w:rPr>
              <w:t xml:space="preserve"> </w:t>
            </w:r>
          </w:p>
        </w:tc>
        <w:tc>
          <w:tcPr>
            <w:tcW w:w="419" w:type="dxa"/>
            <w:tcBorders>
              <w:top w:val="single" w:sz="4" w:space="0" w:color="000000"/>
              <w:left w:val="single" w:sz="8"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1" w:right="0" w:firstLine="0"/>
              <w:jc w:val="center"/>
            </w:pPr>
            <w:r>
              <w:rPr>
                <w:sz w:val="20"/>
              </w:rPr>
              <w:t xml:space="preserve"> </w:t>
            </w:r>
          </w:p>
        </w:tc>
        <w:tc>
          <w:tcPr>
            <w:tcW w:w="421"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1" w:right="0" w:firstLine="0"/>
              <w:jc w:val="center"/>
            </w:pPr>
            <w:r>
              <w:rPr>
                <w:sz w:val="20"/>
              </w:rPr>
              <w:t xml:space="preserve"> </w:t>
            </w:r>
          </w:p>
        </w:tc>
        <w:tc>
          <w:tcPr>
            <w:tcW w:w="422"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2" w:right="0" w:firstLine="0"/>
              <w:jc w:val="center"/>
            </w:pPr>
            <w:r>
              <w:rPr>
                <w:sz w:val="20"/>
              </w:rPr>
              <w:t xml:space="preserve"> </w:t>
            </w:r>
          </w:p>
        </w:tc>
        <w:tc>
          <w:tcPr>
            <w:tcW w:w="421" w:type="dxa"/>
            <w:tcBorders>
              <w:top w:val="single" w:sz="4" w:space="0" w:color="000000"/>
              <w:left w:val="single" w:sz="4" w:space="0" w:color="000000"/>
              <w:bottom w:val="single" w:sz="4" w:space="0" w:color="000000"/>
              <w:right w:val="single" w:sz="8" w:space="0" w:color="000000"/>
            </w:tcBorders>
            <w:shd w:val="clear" w:color="auto" w:fill="BFBFBF"/>
            <w:vAlign w:val="center"/>
          </w:tcPr>
          <w:p w:rsidR="00E8309B" w:rsidRDefault="009D0949">
            <w:pPr>
              <w:spacing w:after="0" w:line="259" w:lineRule="auto"/>
              <w:ind w:left="4" w:right="0" w:firstLine="0"/>
              <w:jc w:val="center"/>
            </w:pPr>
            <w:r>
              <w:rPr>
                <w:sz w:val="20"/>
              </w:rPr>
              <w:t xml:space="preserve"> </w:t>
            </w:r>
          </w:p>
        </w:tc>
        <w:tc>
          <w:tcPr>
            <w:tcW w:w="424" w:type="dxa"/>
            <w:tcBorders>
              <w:top w:val="single" w:sz="4" w:space="0" w:color="000000"/>
              <w:left w:val="single" w:sz="8" w:space="0" w:color="000000"/>
              <w:bottom w:val="single" w:sz="4" w:space="0" w:color="000000"/>
              <w:right w:val="single" w:sz="4" w:space="0" w:color="000000"/>
            </w:tcBorders>
            <w:vAlign w:val="center"/>
          </w:tcPr>
          <w:p w:rsidR="00E8309B" w:rsidRDefault="009D0949">
            <w:pPr>
              <w:spacing w:after="0" w:line="259" w:lineRule="auto"/>
              <w:ind w:left="4" w:right="0" w:firstLine="0"/>
              <w:jc w:val="center"/>
            </w:pPr>
            <w:r>
              <w:rPr>
                <w:sz w:val="20"/>
              </w:rPr>
              <w:t xml:space="preserve"> </w:t>
            </w:r>
          </w:p>
        </w:tc>
        <w:tc>
          <w:tcPr>
            <w:tcW w:w="421"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4" w:right="0" w:firstLine="0"/>
              <w:jc w:val="center"/>
            </w:pPr>
            <w:r>
              <w:rPr>
                <w:sz w:val="20"/>
              </w:rPr>
              <w:t xml:space="preserve"> </w:t>
            </w:r>
          </w:p>
        </w:tc>
        <w:tc>
          <w:tcPr>
            <w:tcW w:w="423"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5" w:right="0" w:firstLine="0"/>
              <w:jc w:val="center"/>
            </w:pPr>
            <w:r>
              <w:rPr>
                <w:sz w:val="20"/>
              </w:rPr>
              <w:t xml:space="preserve"> </w:t>
            </w:r>
          </w:p>
        </w:tc>
        <w:tc>
          <w:tcPr>
            <w:tcW w:w="420" w:type="dxa"/>
            <w:tcBorders>
              <w:top w:val="single" w:sz="4" w:space="0" w:color="000000"/>
              <w:left w:val="single" w:sz="4" w:space="0" w:color="000000"/>
              <w:bottom w:val="single" w:sz="4" w:space="0" w:color="000000"/>
              <w:right w:val="single" w:sz="8" w:space="0" w:color="000000"/>
            </w:tcBorders>
            <w:vAlign w:val="center"/>
          </w:tcPr>
          <w:p w:rsidR="00E8309B" w:rsidRDefault="009D0949">
            <w:pPr>
              <w:spacing w:after="0" w:line="259" w:lineRule="auto"/>
              <w:ind w:left="2" w:right="0" w:firstLine="0"/>
              <w:jc w:val="center"/>
            </w:pPr>
            <w:r>
              <w:rPr>
                <w:sz w:val="20"/>
              </w:rPr>
              <w:t xml:space="preserve"> </w:t>
            </w:r>
          </w:p>
        </w:tc>
        <w:tc>
          <w:tcPr>
            <w:tcW w:w="424" w:type="dxa"/>
            <w:tcBorders>
              <w:top w:val="single" w:sz="4" w:space="0" w:color="000000"/>
              <w:left w:val="single" w:sz="8" w:space="0" w:color="000000"/>
              <w:bottom w:val="single" w:sz="4" w:space="0" w:color="000000"/>
              <w:right w:val="single" w:sz="4" w:space="0" w:color="000000"/>
            </w:tcBorders>
            <w:vAlign w:val="center"/>
          </w:tcPr>
          <w:p w:rsidR="00E8309B" w:rsidRDefault="009D0949">
            <w:pPr>
              <w:spacing w:after="0" w:line="259" w:lineRule="auto"/>
              <w:ind w:left="4" w:right="0" w:firstLine="0"/>
              <w:jc w:val="center"/>
            </w:pPr>
            <w:r>
              <w:rPr>
                <w:sz w:val="20"/>
              </w:rPr>
              <w:t xml:space="preserve"> </w:t>
            </w:r>
          </w:p>
        </w:tc>
        <w:tc>
          <w:tcPr>
            <w:tcW w:w="422"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2" w:right="0" w:firstLine="0"/>
              <w:jc w:val="center"/>
            </w:pPr>
            <w:r>
              <w:rPr>
                <w:sz w:val="20"/>
              </w:rPr>
              <w:t xml:space="preserve"> </w:t>
            </w:r>
          </w:p>
        </w:tc>
        <w:tc>
          <w:tcPr>
            <w:tcW w:w="422"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2" w:right="0" w:firstLine="0"/>
              <w:jc w:val="center"/>
            </w:pPr>
            <w:r>
              <w:rPr>
                <w:sz w:val="20"/>
              </w:rPr>
              <w:t xml:space="preserve"> </w:t>
            </w:r>
          </w:p>
        </w:tc>
        <w:tc>
          <w:tcPr>
            <w:tcW w:w="420" w:type="dxa"/>
            <w:tcBorders>
              <w:top w:val="single" w:sz="4" w:space="0" w:color="000000"/>
              <w:left w:val="single" w:sz="4" w:space="0" w:color="000000"/>
              <w:bottom w:val="single" w:sz="4" w:space="0" w:color="000000"/>
              <w:right w:val="single" w:sz="8" w:space="0" w:color="000000"/>
            </w:tcBorders>
            <w:vAlign w:val="center"/>
          </w:tcPr>
          <w:p w:rsidR="00E8309B" w:rsidRDefault="009D0949">
            <w:pPr>
              <w:spacing w:after="0" w:line="259" w:lineRule="auto"/>
              <w:ind w:left="5" w:right="0" w:firstLine="0"/>
              <w:jc w:val="center"/>
            </w:pPr>
            <w:r>
              <w:rPr>
                <w:sz w:val="20"/>
              </w:rPr>
              <w:t xml:space="preserve"> </w:t>
            </w:r>
          </w:p>
        </w:tc>
      </w:tr>
      <w:tr w:rsidR="00E8309B">
        <w:trPr>
          <w:trHeight w:val="699"/>
        </w:trPr>
        <w:tc>
          <w:tcPr>
            <w:tcW w:w="427" w:type="dxa"/>
            <w:tcBorders>
              <w:top w:val="single" w:sz="4" w:space="0" w:color="000000"/>
              <w:left w:val="single" w:sz="8" w:space="0" w:color="000000"/>
              <w:bottom w:val="single" w:sz="4" w:space="0" w:color="000000"/>
              <w:right w:val="single" w:sz="8" w:space="0" w:color="000000"/>
            </w:tcBorders>
          </w:tcPr>
          <w:p w:rsidR="00E8309B" w:rsidRDefault="009D0949">
            <w:pPr>
              <w:spacing w:after="0" w:line="259" w:lineRule="auto"/>
              <w:ind w:left="0" w:right="51" w:firstLine="0"/>
              <w:jc w:val="right"/>
            </w:pPr>
            <w:r>
              <w:rPr>
                <w:sz w:val="20"/>
              </w:rPr>
              <w:t xml:space="preserve">5 </w:t>
            </w:r>
          </w:p>
        </w:tc>
        <w:tc>
          <w:tcPr>
            <w:tcW w:w="4123" w:type="dxa"/>
            <w:tcBorders>
              <w:top w:val="single" w:sz="4" w:space="0" w:color="000000"/>
              <w:left w:val="single" w:sz="8" w:space="0" w:color="000000"/>
              <w:bottom w:val="single" w:sz="4" w:space="0" w:color="000000"/>
              <w:right w:val="single" w:sz="8" w:space="0" w:color="000000"/>
            </w:tcBorders>
          </w:tcPr>
          <w:p w:rsidR="00E8309B" w:rsidRDefault="009D0949">
            <w:pPr>
              <w:spacing w:after="0" w:line="259" w:lineRule="auto"/>
              <w:ind w:left="0" w:right="0" w:firstLine="0"/>
              <w:jc w:val="left"/>
            </w:pPr>
            <w:r>
              <w:rPr>
                <w:sz w:val="20"/>
              </w:rPr>
              <w:t>Имплементација информационог система за подршку спровођењу стручног надзора у поступку комасације – контролни модул</w:t>
            </w:r>
            <w:r>
              <w:rPr>
                <w:sz w:val="18"/>
              </w:rPr>
              <w:t xml:space="preserve"> </w:t>
            </w:r>
          </w:p>
        </w:tc>
        <w:tc>
          <w:tcPr>
            <w:tcW w:w="419" w:type="dxa"/>
            <w:tcBorders>
              <w:top w:val="single" w:sz="4" w:space="0" w:color="000000"/>
              <w:left w:val="single" w:sz="8"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1" w:right="0" w:firstLine="0"/>
              <w:jc w:val="center"/>
            </w:pPr>
            <w:r>
              <w:rPr>
                <w:sz w:val="20"/>
              </w:rPr>
              <w:t xml:space="preserve"> </w:t>
            </w:r>
          </w:p>
        </w:tc>
        <w:tc>
          <w:tcPr>
            <w:tcW w:w="421"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1" w:right="0" w:firstLine="0"/>
              <w:jc w:val="center"/>
            </w:pPr>
            <w:r>
              <w:rPr>
                <w:sz w:val="20"/>
              </w:rPr>
              <w:t xml:space="preserve"> </w:t>
            </w:r>
          </w:p>
        </w:tc>
        <w:tc>
          <w:tcPr>
            <w:tcW w:w="422"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2" w:right="0" w:firstLine="0"/>
              <w:jc w:val="center"/>
            </w:pPr>
            <w:r>
              <w:rPr>
                <w:sz w:val="20"/>
              </w:rPr>
              <w:t xml:space="preserve"> </w:t>
            </w:r>
          </w:p>
        </w:tc>
        <w:tc>
          <w:tcPr>
            <w:tcW w:w="421" w:type="dxa"/>
            <w:tcBorders>
              <w:top w:val="single" w:sz="4" w:space="0" w:color="000000"/>
              <w:left w:val="single" w:sz="4" w:space="0" w:color="000000"/>
              <w:bottom w:val="single" w:sz="4" w:space="0" w:color="000000"/>
              <w:right w:val="single" w:sz="8" w:space="0" w:color="000000"/>
            </w:tcBorders>
            <w:shd w:val="clear" w:color="auto" w:fill="BFBFBF"/>
            <w:vAlign w:val="center"/>
          </w:tcPr>
          <w:p w:rsidR="00E8309B" w:rsidRDefault="009D0949">
            <w:pPr>
              <w:spacing w:after="0" w:line="259" w:lineRule="auto"/>
              <w:ind w:left="4" w:right="0" w:firstLine="0"/>
              <w:jc w:val="center"/>
            </w:pPr>
            <w:r>
              <w:rPr>
                <w:sz w:val="20"/>
              </w:rPr>
              <w:t xml:space="preserve"> </w:t>
            </w:r>
          </w:p>
        </w:tc>
        <w:tc>
          <w:tcPr>
            <w:tcW w:w="424" w:type="dxa"/>
            <w:tcBorders>
              <w:top w:val="single" w:sz="4" w:space="0" w:color="000000"/>
              <w:left w:val="single" w:sz="8" w:space="0" w:color="000000"/>
              <w:bottom w:val="single" w:sz="4" w:space="0" w:color="000000"/>
              <w:right w:val="single" w:sz="4" w:space="0" w:color="000000"/>
            </w:tcBorders>
            <w:vAlign w:val="center"/>
          </w:tcPr>
          <w:p w:rsidR="00E8309B" w:rsidRDefault="009D0949">
            <w:pPr>
              <w:spacing w:after="0" w:line="259" w:lineRule="auto"/>
              <w:ind w:left="4" w:right="0" w:firstLine="0"/>
              <w:jc w:val="center"/>
            </w:pPr>
            <w:r>
              <w:rPr>
                <w:sz w:val="20"/>
              </w:rPr>
              <w:t xml:space="preserve"> </w:t>
            </w:r>
          </w:p>
        </w:tc>
        <w:tc>
          <w:tcPr>
            <w:tcW w:w="421"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4" w:right="0" w:firstLine="0"/>
              <w:jc w:val="center"/>
            </w:pPr>
            <w:r>
              <w:rPr>
                <w:sz w:val="20"/>
              </w:rPr>
              <w:t xml:space="preserve"> </w:t>
            </w:r>
          </w:p>
        </w:tc>
        <w:tc>
          <w:tcPr>
            <w:tcW w:w="423"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5" w:right="0" w:firstLine="0"/>
              <w:jc w:val="center"/>
            </w:pPr>
            <w:r>
              <w:rPr>
                <w:sz w:val="20"/>
              </w:rPr>
              <w:t xml:space="preserve"> </w:t>
            </w:r>
          </w:p>
        </w:tc>
        <w:tc>
          <w:tcPr>
            <w:tcW w:w="420" w:type="dxa"/>
            <w:tcBorders>
              <w:top w:val="single" w:sz="4" w:space="0" w:color="000000"/>
              <w:left w:val="single" w:sz="4" w:space="0" w:color="000000"/>
              <w:bottom w:val="single" w:sz="4" w:space="0" w:color="000000"/>
              <w:right w:val="single" w:sz="8" w:space="0" w:color="000000"/>
            </w:tcBorders>
            <w:vAlign w:val="center"/>
          </w:tcPr>
          <w:p w:rsidR="00E8309B" w:rsidRDefault="009D0949">
            <w:pPr>
              <w:spacing w:after="0" w:line="259" w:lineRule="auto"/>
              <w:ind w:left="2" w:right="0" w:firstLine="0"/>
              <w:jc w:val="center"/>
            </w:pPr>
            <w:r>
              <w:rPr>
                <w:sz w:val="20"/>
              </w:rPr>
              <w:t xml:space="preserve"> </w:t>
            </w:r>
          </w:p>
        </w:tc>
        <w:tc>
          <w:tcPr>
            <w:tcW w:w="424" w:type="dxa"/>
            <w:tcBorders>
              <w:top w:val="single" w:sz="4" w:space="0" w:color="000000"/>
              <w:left w:val="single" w:sz="8" w:space="0" w:color="000000"/>
              <w:bottom w:val="single" w:sz="4" w:space="0" w:color="000000"/>
              <w:right w:val="single" w:sz="4" w:space="0" w:color="000000"/>
            </w:tcBorders>
            <w:vAlign w:val="center"/>
          </w:tcPr>
          <w:p w:rsidR="00E8309B" w:rsidRDefault="009D0949">
            <w:pPr>
              <w:spacing w:after="0" w:line="259" w:lineRule="auto"/>
              <w:ind w:left="4" w:right="0" w:firstLine="0"/>
              <w:jc w:val="center"/>
            </w:pPr>
            <w:r>
              <w:rPr>
                <w:sz w:val="20"/>
              </w:rPr>
              <w:t xml:space="preserve"> </w:t>
            </w:r>
          </w:p>
        </w:tc>
        <w:tc>
          <w:tcPr>
            <w:tcW w:w="422"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2" w:right="0" w:firstLine="0"/>
              <w:jc w:val="center"/>
            </w:pPr>
            <w:r>
              <w:rPr>
                <w:sz w:val="20"/>
              </w:rPr>
              <w:t xml:space="preserve"> </w:t>
            </w:r>
          </w:p>
        </w:tc>
        <w:tc>
          <w:tcPr>
            <w:tcW w:w="422"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2" w:right="0" w:firstLine="0"/>
              <w:jc w:val="center"/>
            </w:pPr>
            <w:r>
              <w:rPr>
                <w:sz w:val="20"/>
              </w:rPr>
              <w:t xml:space="preserve"> </w:t>
            </w:r>
          </w:p>
        </w:tc>
        <w:tc>
          <w:tcPr>
            <w:tcW w:w="420" w:type="dxa"/>
            <w:tcBorders>
              <w:top w:val="single" w:sz="4" w:space="0" w:color="000000"/>
              <w:left w:val="single" w:sz="4" w:space="0" w:color="000000"/>
              <w:bottom w:val="single" w:sz="4" w:space="0" w:color="000000"/>
              <w:right w:val="single" w:sz="8" w:space="0" w:color="000000"/>
            </w:tcBorders>
            <w:vAlign w:val="center"/>
          </w:tcPr>
          <w:p w:rsidR="00E8309B" w:rsidRDefault="009D0949">
            <w:pPr>
              <w:spacing w:after="0" w:line="259" w:lineRule="auto"/>
              <w:ind w:left="5" w:right="0" w:firstLine="0"/>
              <w:jc w:val="center"/>
            </w:pPr>
            <w:r>
              <w:rPr>
                <w:sz w:val="20"/>
              </w:rPr>
              <w:t xml:space="preserve"> </w:t>
            </w:r>
          </w:p>
        </w:tc>
      </w:tr>
      <w:tr w:rsidR="00E8309B">
        <w:trPr>
          <w:trHeight w:val="931"/>
        </w:trPr>
        <w:tc>
          <w:tcPr>
            <w:tcW w:w="427" w:type="dxa"/>
            <w:tcBorders>
              <w:top w:val="single" w:sz="4" w:space="0" w:color="000000"/>
              <w:left w:val="single" w:sz="8" w:space="0" w:color="000000"/>
              <w:bottom w:val="single" w:sz="4" w:space="0" w:color="000000"/>
              <w:right w:val="single" w:sz="8" w:space="0" w:color="000000"/>
            </w:tcBorders>
          </w:tcPr>
          <w:p w:rsidR="00E8309B" w:rsidRDefault="009D0949">
            <w:pPr>
              <w:spacing w:after="0" w:line="259" w:lineRule="auto"/>
              <w:ind w:left="0" w:right="51" w:firstLine="0"/>
              <w:jc w:val="right"/>
            </w:pPr>
            <w:r>
              <w:rPr>
                <w:sz w:val="20"/>
              </w:rPr>
              <w:t xml:space="preserve">6 </w:t>
            </w:r>
          </w:p>
        </w:tc>
        <w:tc>
          <w:tcPr>
            <w:tcW w:w="4123" w:type="dxa"/>
            <w:tcBorders>
              <w:top w:val="single" w:sz="4" w:space="0" w:color="000000"/>
              <w:left w:val="single" w:sz="8" w:space="0" w:color="000000"/>
              <w:bottom w:val="single" w:sz="4" w:space="0" w:color="000000"/>
              <w:right w:val="single" w:sz="8" w:space="0" w:color="000000"/>
            </w:tcBorders>
          </w:tcPr>
          <w:p w:rsidR="00E8309B" w:rsidRDefault="009D0949">
            <w:pPr>
              <w:spacing w:after="0" w:line="259" w:lineRule="auto"/>
              <w:ind w:left="0" w:right="0" w:firstLine="0"/>
              <w:jc w:val="left"/>
            </w:pPr>
            <w:r>
              <w:rPr>
                <w:sz w:val="20"/>
              </w:rPr>
              <w:t>Повезивање информационог система за подршку спровођењу стручног надзора у поступку комасације са информационим системом катастра непокретности</w:t>
            </w:r>
            <w:r>
              <w:rPr>
                <w:sz w:val="18"/>
              </w:rPr>
              <w:t xml:space="preserve"> </w:t>
            </w:r>
          </w:p>
        </w:tc>
        <w:tc>
          <w:tcPr>
            <w:tcW w:w="419" w:type="dxa"/>
            <w:tcBorders>
              <w:top w:val="single" w:sz="4" w:space="0" w:color="000000"/>
              <w:left w:val="single" w:sz="8" w:space="0" w:color="000000"/>
              <w:bottom w:val="single" w:sz="4" w:space="0" w:color="000000"/>
              <w:right w:val="single" w:sz="4" w:space="0" w:color="000000"/>
            </w:tcBorders>
            <w:vAlign w:val="center"/>
          </w:tcPr>
          <w:p w:rsidR="00E8309B" w:rsidRDefault="009D0949">
            <w:pPr>
              <w:spacing w:after="0" w:line="259" w:lineRule="auto"/>
              <w:ind w:left="1" w:right="0" w:firstLine="0"/>
              <w:jc w:val="center"/>
            </w:pPr>
            <w:r>
              <w:rPr>
                <w:sz w:val="20"/>
              </w:rPr>
              <w:t xml:space="preserve"> </w:t>
            </w:r>
          </w:p>
        </w:tc>
        <w:tc>
          <w:tcPr>
            <w:tcW w:w="421"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1" w:right="0" w:firstLine="0"/>
              <w:jc w:val="center"/>
            </w:pPr>
            <w:r>
              <w:rPr>
                <w:sz w:val="20"/>
              </w:rPr>
              <w:t xml:space="preserve"> </w:t>
            </w:r>
          </w:p>
        </w:tc>
        <w:tc>
          <w:tcPr>
            <w:tcW w:w="422"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2" w:right="0" w:firstLine="0"/>
              <w:jc w:val="center"/>
            </w:pPr>
            <w:r>
              <w:rPr>
                <w:sz w:val="20"/>
              </w:rPr>
              <w:t xml:space="preserve"> </w:t>
            </w:r>
          </w:p>
        </w:tc>
        <w:tc>
          <w:tcPr>
            <w:tcW w:w="421" w:type="dxa"/>
            <w:tcBorders>
              <w:top w:val="single" w:sz="4" w:space="0" w:color="000000"/>
              <w:left w:val="single" w:sz="4" w:space="0" w:color="000000"/>
              <w:bottom w:val="single" w:sz="4" w:space="0" w:color="000000"/>
              <w:right w:val="single" w:sz="8" w:space="0" w:color="000000"/>
            </w:tcBorders>
            <w:vAlign w:val="center"/>
          </w:tcPr>
          <w:p w:rsidR="00E8309B" w:rsidRDefault="009D0949">
            <w:pPr>
              <w:spacing w:after="0" w:line="259" w:lineRule="auto"/>
              <w:ind w:left="4" w:right="0" w:firstLine="0"/>
              <w:jc w:val="center"/>
            </w:pPr>
            <w:r>
              <w:rPr>
                <w:sz w:val="20"/>
              </w:rPr>
              <w:t xml:space="preserve"> </w:t>
            </w:r>
          </w:p>
        </w:tc>
        <w:tc>
          <w:tcPr>
            <w:tcW w:w="424" w:type="dxa"/>
            <w:tcBorders>
              <w:top w:val="single" w:sz="4" w:space="0" w:color="000000"/>
              <w:left w:val="single" w:sz="8"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4" w:right="0" w:firstLine="0"/>
              <w:jc w:val="center"/>
            </w:pPr>
            <w:r>
              <w:rPr>
                <w:sz w:val="20"/>
              </w:rPr>
              <w:t xml:space="preserve"> </w:t>
            </w:r>
          </w:p>
        </w:tc>
        <w:tc>
          <w:tcPr>
            <w:tcW w:w="421"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4" w:right="0" w:firstLine="0"/>
              <w:jc w:val="center"/>
            </w:pPr>
            <w:r>
              <w:rPr>
                <w:sz w:val="20"/>
              </w:rPr>
              <w:t xml:space="preserve"> </w:t>
            </w:r>
          </w:p>
        </w:tc>
        <w:tc>
          <w:tcPr>
            <w:tcW w:w="423"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5" w:right="0" w:firstLine="0"/>
              <w:jc w:val="center"/>
            </w:pPr>
            <w:r>
              <w:rPr>
                <w:sz w:val="20"/>
              </w:rPr>
              <w:t xml:space="preserve"> </w:t>
            </w:r>
          </w:p>
        </w:tc>
        <w:tc>
          <w:tcPr>
            <w:tcW w:w="420" w:type="dxa"/>
            <w:tcBorders>
              <w:top w:val="single" w:sz="4" w:space="0" w:color="000000"/>
              <w:left w:val="single" w:sz="4" w:space="0" w:color="000000"/>
              <w:bottom w:val="single" w:sz="4" w:space="0" w:color="000000"/>
              <w:right w:val="single" w:sz="8" w:space="0" w:color="000000"/>
            </w:tcBorders>
            <w:shd w:val="clear" w:color="auto" w:fill="BFBFBF"/>
            <w:vAlign w:val="center"/>
          </w:tcPr>
          <w:p w:rsidR="00E8309B" w:rsidRDefault="009D0949">
            <w:pPr>
              <w:spacing w:after="0" w:line="259" w:lineRule="auto"/>
              <w:ind w:left="2" w:right="0" w:firstLine="0"/>
              <w:jc w:val="center"/>
            </w:pPr>
            <w:r>
              <w:rPr>
                <w:sz w:val="20"/>
              </w:rPr>
              <w:t xml:space="preserve"> </w:t>
            </w:r>
          </w:p>
        </w:tc>
        <w:tc>
          <w:tcPr>
            <w:tcW w:w="424" w:type="dxa"/>
            <w:tcBorders>
              <w:top w:val="single" w:sz="4" w:space="0" w:color="000000"/>
              <w:left w:val="single" w:sz="8" w:space="0" w:color="000000"/>
              <w:bottom w:val="single" w:sz="4" w:space="0" w:color="000000"/>
              <w:right w:val="single" w:sz="4" w:space="0" w:color="000000"/>
            </w:tcBorders>
            <w:vAlign w:val="center"/>
          </w:tcPr>
          <w:p w:rsidR="00E8309B" w:rsidRDefault="009D0949">
            <w:pPr>
              <w:spacing w:after="0" w:line="259" w:lineRule="auto"/>
              <w:ind w:left="4" w:right="0" w:firstLine="0"/>
              <w:jc w:val="center"/>
            </w:pPr>
            <w:r>
              <w:rPr>
                <w:sz w:val="20"/>
              </w:rPr>
              <w:t xml:space="preserve"> </w:t>
            </w:r>
          </w:p>
        </w:tc>
        <w:tc>
          <w:tcPr>
            <w:tcW w:w="422"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2" w:right="0" w:firstLine="0"/>
              <w:jc w:val="center"/>
            </w:pPr>
            <w:r>
              <w:rPr>
                <w:sz w:val="20"/>
              </w:rPr>
              <w:t xml:space="preserve"> </w:t>
            </w:r>
          </w:p>
        </w:tc>
        <w:tc>
          <w:tcPr>
            <w:tcW w:w="422"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2" w:right="0" w:firstLine="0"/>
              <w:jc w:val="center"/>
            </w:pPr>
            <w:r>
              <w:rPr>
                <w:sz w:val="20"/>
              </w:rPr>
              <w:t xml:space="preserve"> </w:t>
            </w:r>
          </w:p>
        </w:tc>
        <w:tc>
          <w:tcPr>
            <w:tcW w:w="420" w:type="dxa"/>
            <w:tcBorders>
              <w:top w:val="single" w:sz="4" w:space="0" w:color="000000"/>
              <w:left w:val="single" w:sz="4" w:space="0" w:color="000000"/>
              <w:bottom w:val="single" w:sz="4" w:space="0" w:color="000000"/>
              <w:right w:val="single" w:sz="8" w:space="0" w:color="000000"/>
            </w:tcBorders>
            <w:vAlign w:val="center"/>
          </w:tcPr>
          <w:p w:rsidR="00E8309B" w:rsidRDefault="009D0949">
            <w:pPr>
              <w:spacing w:after="0" w:line="259" w:lineRule="auto"/>
              <w:ind w:left="5" w:right="0" w:firstLine="0"/>
              <w:jc w:val="center"/>
            </w:pPr>
            <w:r>
              <w:rPr>
                <w:sz w:val="20"/>
              </w:rPr>
              <w:t xml:space="preserve"> </w:t>
            </w:r>
          </w:p>
        </w:tc>
      </w:tr>
      <w:tr w:rsidR="00E8309B">
        <w:trPr>
          <w:trHeight w:val="469"/>
        </w:trPr>
        <w:tc>
          <w:tcPr>
            <w:tcW w:w="427" w:type="dxa"/>
            <w:tcBorders>
              <w:top w:val="single" w:sz="4" w:space="0" w:color="000000"/>
              <w:left w:val="single" w:sz="8" w:space="0" w:color="000000"/>
              <w:bottom w:val="single" w:sz="4" w:space="0" w:color="000000"/>
              <w:right w:val="single" w:sz="8" w:space="0" w:color="000000"/>
            </w:tcBorders>
          </w:tcPr>
          <w:p w:rsidR="00E8309B" w:rsidRDefault="009D0949">
            <w:pPr>
              <w:spacing w:after="0" w:line="259" w:lineRule="auto"/>
              <w:ind w:left="0" w:right="51" w:firstLine="0"/>
              <w:jc w:val="right"/>
            </w:pPr>
            <w:r>
              <w:rPr>
                <w:sz w:val="20"/>
              </w:rPr>
              <w:t xml:space="preserve">7 </w:t>
            </w:r>
          </w:p>
        </w:tc>
        <w:tc>
          <w:tcPr>
            <w:tcW w:w="4123" w:type="dxa"/>
            <w:tcBorders>
              <w:top w:val="single" w:sz="4" w:space="0" w:color="000000"/>
              <w:left w:val="single" w:sz="8" w:space="0" w:color="000000"/>
              <w:bottom w:val="single" w:sz="4" w:space="0" w:color="000000"/>
              <w:right w:val="single" w:sz="8" w:space="0" w:color="000000"/>
            </w:tcBorders>
          </w:tcPr>
          <w:p w:rsidR="00E8309B" w:rsidRDefault="009D0949">
            <w:pPr>
              <w:spacing w:after="0" w:line="259" w:lineRule="auto"/>
              <w:ind w:left="0" w:right="0" w:firstLine="0"/>
              <w:jc w:val="left"/>
            </w:pPr>
            <w:r>
              <w:rPr>
                <w:sz w:val="20"/>
              </w:rPr>
              <w:t>Набавка сервера, софтвера и мрежне инфраструктуре код УПЗ</w:t>
            </w:r>
            <w:r>
              <w:rPr>
                <w:sz w:val="18"/>
              </w:rPr>
              <w:t xml:space="preserve"> </w:t>
            </w:r>
          </w:p>
        </w:tc>
        <w:tc>
          <w:tcPr>
            <w:tcW w:w="419" w:type="dxa"/>
            <w:tcBorders>
              <w:top w:val="single" w:sz="4" w:space="0" w:color="000000"/>
              <w:left w:val="single" w:sz="8" w:space="0" w:color="000000"/>
              <w:bottom w:val="single" w:sz="4" w:space="0" w:color="000000"/>
              <w:right w:val="single" w:sz="4" w:space="0" w:color="000000"/>
            </w:tcBorders>
            <w:vAlign w:val="center"/>
          </w:tcPr>
          <w:p w:rsidR="00E8309B" w:rsidRDefault="009D0949">
            <w:pPr>
              <w:spacing w:after="0" w:line="259" w:lineRule="auto"/>
              <w:ind w:left="1" w:right="0" w:firstLine="0"/>
              <w:jc w:val="center"/>
            </w:pPr>
            <w:r>
              <w:rPr>
                <w:sz w:val="20"/>
              </w:rPr>
              <w:t xml:space="preserve"> </w:t>
            </w:r>
          </w:p>
        </w:tc>
        <w:tc>
          <w:tcPr>
            <w:tcW w:w="421"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1" w:right="0" w:firstLine="0"/>
              <w:jc w:val="center"/>
            </w:pPr>
            <w:r>
              <w:rPr>
                <w:sz w:val="20"/>
              </w:rPr>
              <w:t xml:space="preserve"> </w:t>
            </w:r>
          </w:p>
        </w:tc>
        <w:tc>
          <w:tcPr>
            <w:tcW w:w="422"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2" w:right="0" w:firstLine="0"/>
              <w:jc w:val="center"/>
            </w:pPr>
            <w:r>
              <w:rPr>
                <w:sz w:val="20"/>
              </w:rPr>
              <w:t xml:space="preserve"> </w:t>
            </w:r>
          </w:p>
        </w:tc>
        <w:tc>
          <w:tcPr>
            <w:tcW w:w="421" w:type="dxa"/>
            <w:tcBorders>
              <w:top w:val="single" w:sz="4" w:space="0" w:color="000000"/>
              <w:left w:val="single" w:sz="4" w:space="0" w:color="000000"/>
              <w:bottom w:val="single" w:sz="4" w:space="0" w:color="000000"/>
              <w:right w:val="single" w:sz="8" w:space="0" w:color="000000"/>
            </w:tcBorders>
            <w:vAlign w:val="center"/>
          </w:tcPr>
          <w:p w:rsidR="00E8309B" w:rsidRDefault="009D0949">
            <w:pPr>
              <w:spacing w:after="0" w:line="259" w:lineRule="auto"/>
              <w:ind w:left="4" w:right="0" w:firstLine="0"/>
              <w:jc w:val="center"/>
            </w:pPr>
            <w:r>
              <w:rPr>
                <w:sz w:val="20"/>
              </w:rPr>
              <w:t xml:space="preserve"> </w:t>
            </w:r>
          </w:p>
        </w:tc>
        <w:tc>
          <w:tcPr>
            <w:tcW w:w="424" w:type="dxa"/>
            <w:tcBorders>
              <w:top w:val="single" w:sz="4" w:space="0" w:color="000000"/>
              <w:left w:val="single" w:sz="8"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4" w:right="0" w:firstLine="0"/>
              <w:jc w:val="center"/>
            </w:pPr>
            <w:r>
              <w:rPr>
                <w:sz w:val="20"/>
              </w:rPr>
              <w:t xml:space="preserve"> </w:t>
            </w:r>
          </w:p>
        </w:tc>
        <w:tc>
          <w:tcPr>
            <w:tcW w:w="421"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4" w:right="0" w:firstLine="0"/>
              <w:jc w:val="center"/>
            </w:pPr>
            <w:r>
              <w:rPr>
                <w:sz w:val="20"/>
              </w:rPr>
              <w:t xml:space="preserve"> </w:t>
            </w:r>
          </w:p>
        </w:tc>
        <w:tc>
          <w:tcPr>
            <w:tcW w:w="423"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5" w:right="0" w:firstLine="0"/>
              <w:jc w:val="center"/>
            </w:pPr>
            <w:r>
              <w:rPr>
                <w:sz w:val="20"/>
              </w:rPr>
              <w:t xml:space="preserve"> </w:t>
            </w:r>
          </w:p>
        </w:tc>
        <w:tc>
          <w:tcPr>
            <w:tcW w:w="420" w:type="dxa"/>
            <w:tcBorders>
              <w:top w:val="single" w:sz="4" w:space="0" w:color="000000"/>
              <w:left w:val="single" w:sz="4" w:space="0" w:color="000000"/>
              <w:bottom w:val="single" w:sz="4" w:space="0" w:color="000000"/>
              <w:right w:val="single" w:sz="8" w:space="0" w:color="000000"/>
            </w:tcBorders>
            <w:shd w:val="clear" w:color="auto" w:fill="BFBFBF"/>
            <w:vAlign w:val="center"/>
          </w:tcPr>
          <w:p w:rsidR="00E8309B" w:rsidRDefault="009D0949">
            <w:pPr>
              <w:spacing w:after="0" w:line="259" w:lineRule="auto"/>
              <w:ind w:left="2" w:right="0" w:firstLine="0"/>
              <w:jc w:val="center"/>
            </w:pPr>
            <w:r>
              <w:rPr>
                <w:sz w:val="20"/>
              </w:rPr>
              <w:t xml:space="preserve"> </w:t>
            </w:r>
          </w:p>
        </w:tc>
        <w:tc>
          <w:tcPr>
            <w:tcW w:w="424" w:type="dxa"/>
            <w:tcBorders>
              <w:top w:val="single" w:sz="4" w:space="0" w:color="000000"/>
              <w:left w:val="single" w:sz="8" w:space="0" w:color="000000"/>
              <w:bottom w:val="single" w:sz="4" w:space="0" w:color="000000"/>
              <w:right w:val="single" w:sz="4" w:space="0" w:color="000000"/>
            </w:tcBorders>
            <w:vAlign w:val="center"/>
          </w:tcPr>
          <w:p w:rsidR="00E8309B" w:rsidRDefault="009D0949">
            <w:pPr>
              <w:spacing w:after="0" w:line="259" w:lineRule="auto"/>
              <w:ind w:left="4" w:right="0" w:firstLine="0"/>
              <w:jc w:val="center"/>
            </w:pPr>
            <w:r>
              <w:rPr>
                <w:sz w:val="20"/>
              </w:rPr>
              <w:t xml:space="preserve"> </w:t>
            </w:r>
          </w:p>
        </w:tc>
        <w:tc>
          <w:tcPr>
            <w:tcW w:w="422"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2" w:right="0" w:firstLine="0"/>
              <w:jc w:val="center"/>
            </w:pPr>
            <w:r>
              <w:rPr>
                <w:sz w:val="20"/>
              </w:rPr>
              <w:t xml:space="preserve"> </w:t>
            </w:r>
          </w:p>
        </w:tc>
        <w:tc>
          <w:tcPr>
            <w:tcW w:w="422"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2" w:right="0" w:firstLine="0"/>
              <w:jc w:val="center"/>
            </w:pPr>
            <w:r>
              <w:rPr>
                <w:sz w:val="20"/>
              </w:rPr>
              <w:t xml:space="preserve"> </w:t>
            </w:r>
          </w:p>
        </w:tc>
        <w:tc>
          <w:tcPr>
            <w:tcW w:w="420" w:type="dxa"/>
            <w:tcBorders>
              <w:top w:val="single" w:sz="4" w:space="0" w:color="000000"/>
              <w:left w:val="single" w:sz="4" w:space="0" w:color="000000"/>
              <w:bottom w:val="single" w:sz="4" w:space="0" w:color="000000"/>
              <w:right w:val="single" w:sz="8" w:space="0" w:color="000000"/>
            </w:tcBorders>
            <w:vAlign w:val="center"/>
          </w:tcPr>
          <w:p w:rsidR="00E8309B" w:rsidRDefault="009D0949">
            <w:pPr>
              <w:spacing w:after="0" w:line="259" w:lineRule="auto"/>
              <w:ind w:left="5" w:right="0" w:firstLine="0"/>
              <w:jc w:val="center"/>
            </w:pPr>
            <w:r>
              <w:rPr>
                <w:sz w:val="20"/>
              </w:rPr>
              <w:t xml:space="preserve"> </w:t>
            </w:r>
          </w:p>
        </w:tc>
      </w:tr>
      <w:tr w:rsidR="00E8309B">
        <w:trPr>
          <w:trHeight w:val="700"/>
        </w:trPr>
        <w:tc>
          <w:tcPr>
            <w:tcW w:w="427" w:type="dxa"/>
            <w:tcBorders>
              <w:top w:val="single" w:sz="4" w:space="0" w:color="000000"/>
              <w:left w:val="single" w:sz="8" w:space="0" w:color="000000"/>
              <w:bottom w:val="single" w:sz="4" w:space="0" w:color="000000"/>
              <w:right w:val="single" w:sz="8" w:space="0" w:color="000000"/>
            </w:tcBorders>
          </w:tcPr>
          <w:p w:rsidR="00E8309B" w:rsidRDefault="009D0949">
            <w:pPr>
              <w:spacing w:after="0" w:line="259" w:lineRule="auto"/>
              <w:ind w:left="0" w:right="51" w:firstLine="0"/>
              <w:jc w:val="right"/>
            </w:pPr>
            <w:r>
              <w:rPr>
                <w:sz w:val="20"/>
              </w:rPr>
              <w:t xml:space="preserve">8 </w:t>
            </w:r>
          </w:p>
        </w:tc>
        <w:tc>
          <w:tcPr>
            <w:tcW w:w="4123" w:type="dxa"/>
            <w:tcBorders>
              <w:top w:val="single" w:sz="4" w:space="0" w:color="000000"/>
              <w:left w:val="single" w:sz="8" w:space="0" w:color="000000"/>
              <w:bottom w:val="single" w:sz="4" w:space="0" w:color="000000"/>
              <w:right w:val="single" w:sz="8" w:space="0" w:color="000000"/>
            </w:tcBorders>
          </w:tcPr>
          <w:p w:rsidR="00E8309B" w:rsidRDefault="009D0949">
            <w:pPr>
              <w:spacing w:after="0" w:line="259" w:lineRule="auto"/>
              <w:ind w:left="0" w:right="0" w:firstLine="0"/>
              <w:jc w:val="left"/>
            </w:pPr>
            <w:r>
              <w:rPr>
                <w:sz w:val="20"/>
              </w:rPr>
              <w:t xml:space="preserve">Развој софтвера и мрежне инфраструктуре код Министарства пољопривреде, шумарства и водопривреде </w:t>
            </w:r>
          </w:p>
        </w:tc>
        <w:tc>
          <w:tcPr>
            <w:tcW w:w="419" w:type="dxa"/>
            <w:tcBorders>
              <w:top w:val="single" w:sz="4" w:space="0" w:color="000000"/>
              <w:left w:val="single" w:sz="8" w:space="0" w:color="000000"/>
              <w:bottom w:val="single" w:sz="4" w:space="0" w:color="000000"/>
              <w:right w:val="single" w:sz="4" w:space="0" w:color="000000"/>
            </w:tcBorders>
            <w:vAlign w:val="center"/>
          </w:tcPr>
          <w:p w:rsidR="00E8309B" w:rsidRDefault="009D0949">
            <w:pPr>
              <w:spacing w:after="0" w:line="259" w:lineRule="auto"/>
              <w:ind w:left="1" w:right="0" w:firstLine="0"/>
              <w:jc w:val="center"/>
            </w:pPr>
            <w:r>
              <w:rPr>
                <w:sz w:val="20"/>
              </w:rPr>
              <w:t xml:space="preserve"> </w:t>
            </w:r>
          </w:p>
        </w:tc>
        <w:tc>
          <w:tcPr>
            <w:tcW w:w="421"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1" w:right="0" w:firstLine="0"/>
              <w:jc w:val="center"/>
            </w:pPr>
            <w:r>
              <w:rPr>
                <w:sz w:val="20"/>
              </w:rPr>
              <w:t xml:space="preserve"> </w:t>
            </w:r>
          </w:p>
        </w:tc>
        <w:tc>
          <w:tcPr>
            <w:tcW w:w="422"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2" w:right="0" w:firstLine="0"/>
              <w:jc w:val="center"/>
            </w:pPr>
            <w:r>
              <w:rPr>
                <w:sz w:val="20"/>
              </w:rPr>
              <w:t xml:space="preserve"> </w:t>
            </w:r>
          </w:p>
        </w:tc>
        <w:tc>
          <w:tcPr>
            <w:tcW w:w="421" w:type="dxa"/>
            <w:tcBorders>
              <w:top w:val="single" w:sz="4" w:space="0" w:color="000000"/>
              <w:left w:val="single" w:sz="4" w:space="0" w:color="000000"/>
              <w:bottom w:val="single" w:sz="4" w:space="0" w:color="000000"/>
              <w:right w:val="single" w:sz="8" w:space="0" w:color="000000"/>
            </w:tcBorders>
            <w:vAlign w:val="center"/>
          </w:tcPr>
          <w:p w:rsidR="00E8309B" w:rsidRDefault="009D0949">
            <w:pPr>
              <w:spacing w:after="0" w:line="259" w:lineRule="auto"/>
              <w:ind w:left="4" w:right="0" w:firstLine="0"/>
              <w:jc w:val="center"/>
            </w:pPr>
            <w:r>
              <w:rPr>
                <w:sz w:val="20"/>
              </w:rPr>
              <w:t xml:space="preserve"> </w:t>
            </w:r>
          </w:p>
        </w:tc>
        <w:tc>
          <w:tcPr>
            <w:tcW w:w="424" w:type="dxa"/>
            <w:tcBorders>
              <w:top w:val="single" w:sz="4" w:space="0" w:color="000000"/>
              <w:left w:val="single" w:sz="8"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4" w:right="0" w:firstLine="0"/>
              <w:jc w:val="center"/>
            </w:pPr>
            <w:r>
              <w:rPr>
                <w:sz w:val="20"/>
              </w:rPr>
              <w:t xml:space="preserve"> </w:t>
            </w:r>
          </w:p>
        </w:tc>
        <w:tc>
          <w:tcPr>
            <w:tcW w:w="421"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4" w:right="0" w:firstLine="0"/>
              <w:jc w:val="center"/>
            </w:pPr>
            <w:r>
              <w:rPr>
                <w:sz w:val="20"/>
              </w:rPr>
              <w:t xml:space="preserve"> </w:t>
            </w:r>
          </w:p>
        </w:tc>
        <w:tc>
          <w:tcPr>
            <w:tcW w:w="423"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5" w:right="0" w:firstLine="0"/>
              <w:jc w:val="center"/>
            </w:pPr>
            <w:r>
              <w:rPr>
                <w:sz w:val="20"/>
              </w:rPr>
              <w:t xml:space="preserve"> </w:t>
            </w:r>
          </w:p>
        </w:tc>
        <w:tc>
          <w:tcPr>
            <w:tcW w:w="420" w:type="dxa"/>
            <w:tcBorders>
              <w:top w:val="single" w:sz="4" w:space="0" w:color="000000"/>
              <w:left w:val="single" w:sz="4" w:space="0" w:color="000000"/>
              <w:bottom w:val="single" w:sz="4" w:space="0" w:color="000000"/>
              <w:right w:val="single" w:sz="8" w:space="0" w:color="000000"/>
            </w:tcBorders>
            <w:shd w:val="clear" w:color="auto" w:fill="BFBFBF"/>
            <w:vAlign w:val="center"/>
          </w:tcPr>
          <w:p w:rsidR="00E8309B" w:rsidRDefault="009D0949">
            <w:pPr>
              <w:spacing w:after="0" w:line="259" w:lineRule="auto"/>
              <w:ind w:left="2" w:right="0" w:firstLine="0"/>
              <w:jc w:val="center"/>
            </w:pPr>
            <w:r>
              <w:rPr>
                <w:sz w:val="20"/>
              </w:rPr>
              <w:t xml:space="preserve"> </w:t>
            </w:r>
          </w:p>
        </w:tc>
        <w:tc>
          <w:tcPr>
            <w:tcW w:w="424" w:type="dxa"/>
            <w:tcBorders>
              <w:top w:val="single" w:sz="4" w:space="0" w:color="000000"/>
              <w:left w:val="single" w:sz="8"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4" w:right="0" w:firstLine="0"/>
              <w:jc w:val="center"/>
            </w:pPr>
            <w:r>
              <w:rPr>
                <w:sz w:val="20"/>
              </w:rPr>
              <w:t xml:space="preserve"> </w:t>
            </w:r>
          </w:p>
        </w:tc>
        <w:tc>
          <w:tcPr>
            <w:tcW w:w="422"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2" w:right="0" w:firstLine="0"/>
              <w:jc w:val="center"/>
            </w:pPr>
            <w:r>
              <w:rPr>
                <w:sz w:val="20"/>
              </w:rPr>
              <w:t xml:space="preserve"> </w:t>
            </w:r>
          </w:p>
        </w:tc>
        <w:tc>
          <w:tcPr>
            <w:tcW w:w="422"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2" w:right="0" w:firstLine="0"/>
              <w:jc w:val="center"/>
            </w:pPr>
            <w:r>
              <w:rPr>
                <w:sz w:val="20"/>
              </w:rPr>
              <w:t xml:space="preserve"> </w:t>
            </w:r>
          </w:p>
        </w:tc>
        <w:tc>
          <w:tcPr>
            <w:tcW w:w="420" w:type="dxa"/>
            <w:tcBorders>
              <w:top w:val="single" w:sz="4" w:space="0" w:color="000000"/>
              <w:left w:val="single" w:sz="4" w:space="0" w:color="000000"/>
              <w:bottom w:val="single" w:sz="4" w:space="0" w:color="000000"/>
              <w:right w:val="single" w:sz="8" w:space="0" w:color="000000"/>
            </w:tcBorders>
            <w:shd w:val="clear" w:color="auto" w:fill="BFBFBF"/>
            <w:vAlign w:val="center"/>
          </w:tcPr>
          <w:p w:rsidR="00E8309B" w:rsidRDefault="009D0949">
            <w:pPr>
              <w:spacing w:after="0" w:line="259" w:lineRule="auto"/>
              <w:ind w:left="5" w:right="0" w:firstLine="0"/>
              <w:jc w:val="center"/>
            </w:pPr>
            <w:r>
              <w:rPr>
                <w:sz w:val="20"/>
              </w:rPr>
              <w:t xml:space="preserve"> </w:t>
            </w:r>
          </w:p>
        </w:tc>
      </w:tr>
      <w:tr w:rsidR="00E8309B">
        <w:trPr>
          <w:trHeight w:val="470"/>
        </w:trPr>
        <w:tc>
          <w:tcPr>
            <w:tcW w:w="427" w:type="dxa"/>
            <w:tcBorders>
              <w:top w:val="single" w:sz="4" w:space="0" w:color="000000"/>
              <w:left w:val="single" w:sz="8" w:space="0" w:color="000000"/>
              <w:bottom w:val="single" w:sz="4" w:space="0" w:color="000000"/>
              <w:right w:val="single" w:sz="8" w:space="0" w:color="000000"/>
            </w:tcBorders>
          </w:tcPr>
          <w:p w:rsidR="00E8309B" w:rsidRDefault="009D0949">
            <w:pPr>
              <w:spacing w:after="0" w:line="259" w:lineRule="auto"/>
              <w:ind w:left="0" w:right="51" w:firstLine="0"/>
              <w:jc w:val="right"/>
            </w:pPr>
            <w:r>
              <w:rPr>
                <w:sz w:val="20"/>
              </w:rPr>
              <w:t xml:space="preserve">8 </w:t>
            </w:r>
          </w:p>
        </w:tc>
        <w:tc>
          <w:tcPr>
            <w:tcW w:w="4123" w:type="dxa"/>
            <w:tcBorders>
              <w:top w:val="single" w:sz="4" w:space="0" w:color="000000"/>
              <w:left w:val="single" w:sz="8" w:space="0" w:color="000000"/>
              <w:bottom w:val="single" w:sz="4" w:space="0" w:color="000000"/>
              <w:right w:val="single" w:sz="8" w:space="0" w:color="000000"/>
            </w:tcBorders>
          </w:tcPr>
          <w:p w:rsidR="00E8309B" w:rsidRDefault="009D0949">
            <w:pPr>
              <w:spacing w:after="0" w:line="259" w:lineRule="auto"/>
              <w:ind w:left="0" w:right="0" w:firstLine="0"/>
            </w:pPr>
            <w:r>
              <w:rPr>
                <w:sz w:val="20"/>
              </w:rPr>
              <w:t>Спровођење обука 100 запослених код других органа укључених у процес комасације</w:t>
            </w:r>
            <w:r>
              <w:rPr>
                <w:sz w:val="18"/>
              </w:rPr>
              <w:t xml:space="preserve"> </w:t>
            </w:r>
          </w:p>
        </w:tc>
        <w:tc>
          <w:tcPr>
            <w:tcW w:w="419" w:type="dxa"/>
            <w:tcBorders>
              <w:top w:val="single" w:sz="4" w:space="0" w:color="000000"/>
              <w:left w:val="single" w:sz="8" w:space="0" w:color="000000"/>
              <w:bottom w:val="single" w:sz="4" w:space="0" w:color="000000"/>
              <w:right w:val="single" w:sz="4" w:space="0" w:color="000000"/>
            </w:tcBorders>
            <w:vAlign w:val="center"/>
          </w:tcPr>
          <w:p w:rsidR="00E8309B" w:rsidRDefault="009D0949">
            <w:pPr>
              <w:spacing w:after="0" w:line="259" w:lineRule="auto"/>
              <w:ind w:left="1" w:right="0" w:firstLine="0"/>
              <w:jc w:val="center"/>
            </w:pPr>
            <w:r>
              <w:rPr>
                <w:sz w:val="20"/>
              </w:rPr>
              <w:t xml:space="preserve"> </w:t>
            </w:r>
          </w:p>
        </w:tc>
        <w:tc>
          <w:tcPr>
            <w:tcW w:w="421"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1" w:right="0" w:firstLine="0"/>
              <w:jc w:val="center"/>
            </w:pPr>
            <w:r>
              <w:rPr>
                <w:sz w:val="20"/>
              </w:rPr>
              <w:t xml:space="preserve"> </w:t>
            </w:r>
          </w:p>
        </w:tc>
        <w:tc>
          <w:tcPr>
            <w:tcW w:w="422"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2" w:right="0" w:firstLine="0"/>
              <w:jc w:val="center"/>
            </w:pPr>
            <w:r>
              <w:rPr>
                <w:sz w:val="20"/>
              </w:rPr>
              <w:t xml:space="preserve"> </w:t>
            </w:r>
          </w:p>
        </w:tc>
        <w:tc>
          <w:tcPr>
            <w:tcW w:w="421" w:type="dxa"/>
            <w:tcBorders>
              <w:top w:val="single" w:sz="4" w:space="0" w:color="000000"/>
              <w:left w:val="single" w:sz="4" w:space="0" w:color="000000"/>
              <w:bottom w:val="single" w:sz="4" w:space="0" w:color="000000"/>
              <w:right w:val="single" w:sz="8" w:space="0" w:color="000000"/>
            </w:tcBorders>
            <w:vAlign w:val="center"/>
          </w:tcPr>
          <w:p w:rsidR="00E8309B" w:rsidRDefault="009D0949">
            <w:pPr>
              <w:spacing w:after="0" w:line="259" w:lineRule="auto"/>
              <w:ind w:left="4" w:right="0" w:firstLine="0"/>
              <w:jc w:val="center"/>
            </w:pPr>
            <w:r>
              <w:rPr>
                <w:sz w:val="20"/>
              </w:rPr>
              <w:t xml:space="preserve"> </w:t>
            </w:r>
          </w:p>
        </w:tc>
        <w:tc>
          <w:tcPr>
            <w:tcW w:w="424" w:type="dxa"/>
            <w:tcBorders>
              <w:top w:val="single" w:sz="4" w:space="0" w:color="000000"/>
              <w:left w:val="single" w:sz="8"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4" w:right="0" w:firstLine="0"/>
              <w:jc w:val="center"/>
            </w:pPr>
            <w:r>
              <w:rPr>
                <w:sz w:val="20"/>
              </w:rPr>
              <w:t xml:space="preserve"> </w:t>
            </w:r>
          </w:p>
        </w:tc>
        <w:tc>
          <w:tcPr>
            <w:tcW w:w="421"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4" w:right="0" w:firstLine="0"/>
              <w:jc w:val="center"/>
            </w:pPr>
            <w:r>
              <w:rPr>
                <w:sz w:val="20"/>
              </w:rPr>
              <w:t xml:space="preserve"> </w:t>
            </w:r>
          </w:p>
        </w:tc>
        <w:tc>
          <w:tcPr>
            <w:tcW w:w="423"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5" w:right="0" w:firstLine="0"/>
              <w:jc w:val="center"/>
            </w:pPr>
            <w:r>
              <w:rPr>
                <w:sz w:val="20"/>
              </w:rPr>
              <w:t xml:space="preserve"> </w:t>
            </w:r>
          </w:p>
        </w:tc>
        <w:tc>
          <w:tcPr>
            <w:tcW w:w="420" w:type="dxa"/>
            <w:tcBorders>
              <w:top w:val="single" w:sz="4" w:space="0" w:color="000000"/>
              <w:left w:val="single" w:sz="4" w:space="0" w:color="000000"/>
              <w:bottom w:val="single" w:sz="4" w:space="0" w:color="000000"/>
              <w:right w:val="single" w:sz="8" w:space="0" w:color="000000"/>
            </w:tcBorders>
            <w:shd w:val="clear" w:color="auto" w:fill="BFBFBF"/>
            <w:vAlign w:val="center"/>
          </w:tcPr>
          <w:p w:rsidR="00E8309B" w:rsidRDefault="009D0949">
            <w:pPr>
              <w:spacing w:after="0" w:line="259" w:lineRule="auto"/>
              <w:ind w:left="2" w:right="0" w:firstLine="0"/>
              <w:jc w:val="center"/>
            </w:pPr>
            <w:r>
              <w:rPr>
                <w:sz w:val="20"/>
              </w:rPr>
              <w:t xml:space="preserve"> </w:t>
            </w:r>
          </w:p>
        </w:tc>
        <w:tc>
          <w:tcPr>
            <w:tcW w:w="424" w:type="dxa"/>
            <w:tcBorders>
              <w:top w:val="single" w:sz="4" w:space="0" w:color="000000"/>
              <w:left w:val="single" w:sz="8"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4" w:right="0" w:firstLine="0"/>
              <w:jc w:val="center"/>
            </w:pPr>
            <w:r>
              <w:rPr>
                <w:sz w:val="20"/>
              </w:rPr>
              <w:t xml:space="preserve"> </w:t>
            </w:r>
          </w:p>
        </w:tc>
        <w:tc>
          <w:tcPr>
            <w:tcW w:w="422"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2" w:right="0" w:firstLine="0"/>
              <w:jc w:val="center"/>
            </w:pPr>
            <w:r>
              <w:rPr>
                <w:sz w:val="20"/>
              </w:rPr>
              <w:t xml:space="preserve"> </w:t>
            </w:r>
          </w:p>
        </w:tc>
        <w:tc>
          <w:tcPr>
            <w:tcW w:w="422"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2" w:right="0" w:firstLine="0"/>
              <w:jc w:val="center"/>
            </w:pPr>
            <w:r>
              <w:rPr>
                <w:sz w:val="20"/>
              </w:rPr>
              <w:t xml:space="preserve"> </w:t>
            </w:r>
          </w:p>
        </w:tc>
        <w:tc>
          <w:tcPr>
            <w:tcW w:w="420" w:type="dxa"/>
            <w:tcBorders>
              <w:top w:val="single" w:sz="4" w:space="0" w:color="000000"/>
              <w:left w:val="single" w:sz="4" w:space="0" w:color="000000"/>
              <w:bottom w:val="single" w:sz="4" w:space="0" w:color="000000"/>
              <w:right w:val="single" w:sz="8" w:space="0" w:color="000000"/>
            </w:tcBorders>
            <w:shd w:val="clear" w:color="auto" w:fill="BFBFBF"/>
            <w:vAlign w:val="center"/>
          </w:tcPr>
          <w:p w:rsidR="00E8309B" w:rsidRDefault="009D0949">
            <w:pPr>
              <w:spacing w:after="0" w:line="259" w:lineRule="auto"/>
              <w:ind w:left="5" w:right="0" w:firstLine="0"/>
              <w:jc w:val="center"/>
            </w:pPr>
            <w:r>
              <w:rPr>
                <w:sz w:val="20"/>
              </w:rPr>
              <w:t xml:space="preserve"> </w:t>
            </w:r>
          </w:p>
        </w:tc>
      </w:tr>
      <w:tr w:rsidR="00E8309B">
        <w:trPr>
          <w:trHeight w:val="310"/>
        </w:trPr>
        <w:tc>
          <w:tcPr>
            <w:tcW w:w="427" w:type="dxa"/>
            <w:tcBorders>
              <w:top w:val="single" w:sz="4" w:space="0" w:color="000000"/>
              <w:left w:val="single" w:sz="8" w:space="0" w:color="000000"/>
              <w:bottom w:val="single" w:sz="4" w:space="0" w:color="000000"/>
              <w:right w:val="single" w:sz="8" w:space="0" w:color="000000"/>
            </w:tcBorders>
          </w:tcPr>
          <w:p w:rsidR="00E8309B" w:rsidRDefault="009D0949">
            <w:pPr>
              <w:spacing w:after="0" w:line="259" w:lineRule="auto"/>
              <w:ind w:left="0" w:right="51" w:firstLine="0"/>
              <w:jc w:val="right"/>
            </w:pPr>
            <w:r>
              <w:rPr>
                <w:sz w:val="20"/>
              </w:rPr>
              <w:t xml:space="preserve">9 </w:t>
            </w:r>
          </w:p>
        </w:tc>
        <w:tc>
          <w:tcPr>
            <w:tcW w:w="4123" w:type="dxa"/>
            <w:tcBorders>
              <w:top w:val="single" w:sz="4" w:space="0" w:color="000000"/>
              <w:left w:val="single" w:sz="8" w:space="0" w:color="000000"/>
              <w:bottom w:val="single" w:sz="4" w:space="0" w:color="000000"/>
              <w:right w:val="single" w:sz="8" w:space="0" w:color="000000"/>
            </w:tcBorders>
          </w:tcPr>
          <w:p w:rsidR="00E8309B" w:rsidRDefault="009D0949">
            <w:pPr>
              <w:spacing w:after="0" w:line="259" w:lineRule="auto"/>
              <w:ind w:left="0" w:right="0" w:firstLine="0"/>
              <w:jc w:val="left"/>
            </w:pPr>
            <w:r>
              <w:rPr>
                <w:sz w:val="20"/>
              </w:rPr>
              <w:t xml:space="preserve">Спровођење пилот комасација </w:t>
            </w:r>
            <w:r>
              <w:rPr>
                <w:sz w:val="18"/>
              </w:rPr>
              <w:t xml:space="preserve"> </w:t>
            </w:r>
          </w:p>
        </w:tc>
        <w:tc>
          <w:tcPr>
            <w:tcW w:w="419" w:type="dxa"/>
            <w:tcBorders>
              <w:top w:val="single" w:sz="4" w:space="0" w:color="000000"/>
              <w:left w:val="single" w:sz="8" w:space="0" w:color="000000"/>
              <w:bottom w:val="single" w:sz="4" w:space="0" w:color="000000"/>
              <w:right w:val="single" w:sz="4" w:space="0" w:color="000000"/>
            </w:tcBorders>
          </w:tcPr>
          <w:p w:rsidR="00E8309B" w:rsidRDefault="009D0949">
            <w:pPr>
              <w:spacing w:after="0" w:line="259" w:lineRule="auto"/>
              <w:ind w:left="1" w:right="0" w:firstLine="0"/>
              <w:jc w:val="center"/>
            </w:pPr>
            <w:r>
              <w:rPr>
                <w:sz w:val="20"/>
              </w:rPr>
              <w:t xml:space="preserve"> </w:t>
            </w:r>
          </w:p>
        </w:tc>
        <w:tc>
          <w:tcPr>
            <w:tcW w:w="421"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1" w:right="0" w:firstLine="0"/>
              <w:jc w:val="center"/>
            </w:pPr>
            <w:r>
              <w:rPr>
                <w:sz w:val="20"/>
              </w:rPr>
              <w:t xml:space="preserve"> </w:t>
            </w:r>
          </w:p>
        </w:tc>
        <w:tc>
          <w:tcPr>
            <w:tcW w:w="422"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2" w:right="0" w:firstLine="0"/>
              <w:jc w:val="center"/>
            </w:pPr>
            <w:r>
              <w:rPr>
                <w:sz w:val="20"/>
              </w:rPr>
              <w:t xml:space="preserve"> </w:t>
            </w:r>
          </w:p>
        </w:tc>
        <w:tc>
          <w:tcPr>
            <w:tcW w:w="421" w:type="dxa"/>
            <w:tcBorders>
              <w:top w:val="single" w:sz="4" w:space="0" w:color="000000"/>
              <w:left w:val="single" w:sz="4" w:space="0" w:color="000000"/>
              <w:bottom w:val="single" w:sz="4" w:space="0" w:color="000000"/>
              <w:right w:val="single" w:sz="8" w:space="0" w:color="000000"/>
            </w:tcBorders>
          </w:tcPr>
          <w:p w:rsidR="00E8309B" w:rsidRDefault="009D0949">
            <w:pPr>
              <w:spacing w:after="0" w:line="259" w:lineRule="auto"/>
              <w:ind w:left="4" w:right="0" w:firstLine="0"/>
              <w:jc w:val="center"/>
            </w:pPr>
            <w:r>
              <w:rPr>
                <w:sz w:val="20"/>
              </w:rPr>
              <w:t xml:space="preserve"> </w:t>
            </w:r>
          </w:p>
        </w:tc>
        <w:tc>
          <w:tcPr>
            <w:tcW w:w="424" w:type="dxa"/>
            <w:tcBorders>
              <w:top w:val="single" w:sz="4" w:space="0" w:color="000000"/>
              <w:left w:val="single" w:sz="8" w:space="0" w:color="000000"/>
              <w:bottom w:val="single" w:sz="4" w:space="0" w:color="000000"/>
              <w:right w:val="single" w:sz="4" w:space="0" w:color="000000"/>
            </w:tcBorders>
          </w:tcPr>
          <w:p w:rsidR="00E8309B" w:rsidRDefault="009D0949">
            <w:pPr>
              <w:spacing w:after="0" w:line="259" w:lineRule="auto"/>
              <w:ind w:left="4" w:right="0" w:firstLine="0"/>
              <w:jc w:val="center"/>
            </w:pPr>
            <w:r>
              <w:rPr>
                <w:sz w:val="20"/>
              </w:rPr>
              <w:t xml:space="preserve"> </w:t>
            </w:r>
          </w:p>
        </w:tc>
        <w:tc>
          <w:tcPr>
            <w:tcW w:w="421"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4" w:right="0" w:firstLine="0"/>
              <w:jc w:val="center"/>
            </w:pPr>
            <w:r>
              <w:rPr>
                <w:sz w:val="20"/>
              </w:rPr>
              <w:t xml:space="preserve"> </w:t>
            </w:r>
          </w:p>
        </w:tc>
        <w:tc>
          <w:tcPr>
            <w:tcW w:w="423"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5" w:right="0" w:firstLine="0"/>
              <w:jc w:val="center"/>
            </w:pPr>
            <w:r>
              <w:rPr>
                <w:sz w:val="20"/>
              </w:rPr>
              <w:t xml:space="preserve"> </w:t>
            </w:r>
          </w:p>
        </w:tc>
        <w:tc>
          <w:tcPr>
            <w:tcW w:w="420" w:type="dxa"/>
            <w:tcBorders>
              <w:top w:val="single" w:sz="4" w:space="0" w:color="000000"/>
              <w:left w:val="single" w:sz="4" w:space="0" w:color="000000"/>
              <w:bottom w:val="single" w:sz="4" w:space="0" w:color="000000"/>
              <w:right w:val="single" w:sz="8" w:space="0" w:color="000000"/>
            </w:tcBorders>
          </w:tcPr>
          <w:p w:rsidR="00E8309B" w:rsidRDefault="009D0949">
            <w:pPr>
              <w:spacing w:after="0" w:line="259" w:lineRule="auto"/>
              <w:ind w:left="2" w:right="0" w:firstLine="0"/>
              <w:jc w:val="center"/>
            </w:pPr>
            <w:r>
              <w:rPr>
                <w:sz w:val="20"/>
              </w:rPr>
              <w:t xml:space="preserve"> </w:t>
            </w:r>
          </w:p>
        </w:tc>
        <w:tc>
          <w:tcPr>
            <w:tcW w:w="424" w:type="dxa"/>
            <w:tcBorders>
              <w:top w:val="single" w:sz="4" w:space="0" w:color="000000"/>
              <w:left w:val="single" w:sz="8" w:space="0" w:color="000000"/>
              <w:bottom w:val="single" w:sz="4" w:space="0" w:color="000000"/>
              <w:right w:val="single" w:sz="4" w:space="0" w:color="000000"/>
            </w:tcBorders>
            <w:shd w:val="clear" w:color="auto" w:fill="BFBFBF"/>
          </w:tcPr>
          <w:p w:rsidR="00E8309B" w:rsidRDefault="009D0949">
            <w:pPr>
              <w:spacing w:after="0" w:line="259" w:lineRule="auto"/>
              <w:ind w:left="4" w:right="0" w:firstLine="0"/>
              <w:jc w:val="center"/>
            </w:pPr>
            <w:r>
              <w:rPr>
                <w:sz w:val="20"/>
              </w:rPr>
              <w:t xml:space="preserve"> </w:t>
            </w:r>
          </w:p>
        </w:tc>
        <w:tc>
          <w:tcPr>
            <w:tcW w:w="422" w:type="dxa"/>
            <w:tcBorders>
              <w:top w:val="single" w:sz="4" w:space="0" w:color="000000"/>
              <w:left w:val="single" w:sz="4" w:space="0" w:color="000000"/>
              <w:bottom w:val="single" w:sz="4" w:space="0" w:color="000000"/>
              <w:right w:val="single" w:sz="4" w:space="0" w:color="000000"/>
            </w:tcBorders>
            <w:shd w:val="clear" w:color="auto" w:fill="BFBFBF"/>
          </w:tcPr>
          <w:p w:rsidR="00E8309B" w:rsidRDefault="009D0949">
            <w:pPr>
              <w:spacing w:after="0" w:line="259" w:lineRule="auto"/>
              <w:ind w:left="2" w:right="0" w:firstLine="0"/>
              <w:jc w:val="center"/>
            </w:pPr>
            <w:r>
              <w:rPr>
                <w:sz w:val="20"/>
              </w:rPr>
              <w:t xml:space="preserve"> </w:t>
            </w:r>
          </w:p>
        </w:tc>
        <w:tc>
          <w:tcPr>
            <w:tcW w:w="422" w:type="dxa"/>
            <w:tcBorders>
              <w:top w:val="single" w:sz="4" w:space="0" w:color="000000"/>
              <w:left w:val="single" w:sz="4" w:space="0" w:color="000000"/>
              <w:bottom w:val="single" w:sz="4" w:space="0" w:color="000000"/>
              <w:right w:val="single" w:sz="4" w:space="0" w:color="000000"/>
            </w:tcBorders>
            <w:shd w:val="clear" w:color="auto" w:fill="BFBFBF"/>
          </w:tcPr>
          <w:p w:rsidR="00E8309B" w:rsidRDefault="009D0949">
            <w:pPr>
              <w:spacing w:after="0" w:line="259" w:lineRule="auto"/>
              <w:ind w:left="2" w:right="0" w:firstLine="0"/>
              <w:jc w:val="center"/>
            </w:pPr>
            <w:r>
              <w:rPr>
                <w:sz w:val="20"/>
              </w:rPr>
              <w:t xml:space="preserve"> </w:t>
            </w:r>
          </w:p>
        </w:tc>
        <w:tc>
          <w:tcPr>
            <w:tcW w:w="420" w:type="dxa"/>
            <w:tcBorders>
              <w:top w:val="single" w:sz="4" w:space="0" w:color="000000"/>
              <w:left w:val="single" w:sz="4" w:space="0" w:color="000000"/>
              <w:bottom w:val="single" w:sz="4" w:space="0" w:color="000000"/>
              <w:right w:val="single" w:sz="8" w:space="0" w:color="000000"/>
            </w:tcBorders>
            <w:shd w:val="clear" w:color="auto" w:fill="BFBFBF"/>
          </w:tcPr>
          <w:p w:rsidR="00E8309B" w:rsidRDefault="009D0949">
            <w:pPr>
              <w:spacing w:after="0" w:line="259" w:lineRule="auto"/>
              <w:ind w:left="5" w:right="0" w:firstLine="0"/>
              <w:jc w:val="center"/>
            </w:pPr>
            <w:r>
              <w:rPr>
                <w:sz w:val="20"/>
              </w:rPr>
              <w:t xml:space="preserve"> </w:t>
            </w:r>
          </w:p>
        </w:tc>
      </w:tr>
      <w:tr w:rsidR="00E8309B">
        <w:trPr>
          <w:trHeight w:val="1389"/>
        </w:trPr>
        <w:tc>
          <w:tcPr>
            <w:tcW w:w="427" w:type="dxa"/>
            <w:tcBorders>
              <w:top w:val="single" w:sz="4" w:space="0" w:color="000000"/>
              <w:left w:val="single" w:sz="8" w:space="0" w:color="000000"/>
              <w:bottom w:val="single" w:sz="4" w:space="0" w:color="000000"/>
              <w:right w:val="single" w:sz="8" w:space="0" w:color="000000"/>
            </w:tcBorders>
          </w:tcPr>
          <w:p w:rsidR="00E8309B" w:rsidRDefault="009D0949">
            <w:pPr>
              <w:spacing w:after="0" w:line="259" w:lineRule="auto"/>
              <w:ind w:left="0" w:right="49" w:firstLine="0"/>
              <w:jc w:val="right"/>
            </w:pPr>
            <w:r>
              <w:rPr>
                <w:sz w:val="20"/>
              </w:rPr>
              <w:t xml:space="preserve">10 </w:t>
            </w:r>
          </w:p>
        </w:tc>
        <w:tc>
          <w:tcPr>
            <w:tcW w:w="4123" w:type="dxa"/>
            <w:tcBorders>
              <w:top w:val="single" w:sz="4" w:space="0" w:color="000000"/>
              <w:left w:val="single" w:sz="8" w:space="0" w:color="000000"/>
              <w:bottom w:val="single" w:sz="4" w:space="0" w:color="000000"/>
              <w:right w:val="single" w:sz="8" w:space="0" w:color="000000"/>
            </w:tcBorders>
          </w:tcPr>
          <w:p w:rsidR="00E8309B" w:rsidRDefault="009D0949">
            <w:pPr>
              <w:spacing w:after="0" w:line="259" w:lineRule="auto"/>
              <w:ind w:left="0" w:right="0" w:firstLine="0"/>
              <w:jc w:val="left"/>
            </w:pPr>
            <w:r>
              <w:rPr>
                <w:sz w:val="20"/>
              </w:rPr>
              <w:t>Излагање прегледних планова (постојећег стања, комасационе процене вредности земљишта старог стања, пројекта новог стања, расподеле комасационе м</w:t>
            </w:r>
            <w:r>
              <w:rPr>
                <w:sz w:val="20"/>
              </w:rPr>
              <w:t xml:space="preserve">асе) на јавни увид на геопорталу „Геосрбија” за сва радилишта и пилот пројекте који су започети од 2021. </w:t>
            </w:r>
            <w:r>
              <w:rPr>
                <w:sz w:val="18"/>
              </w:rPr>
              <w:t xml:space="preserve"> </w:t>
            </w:r>
          </w:p>
        </w:tc>
        <w:tc>
          <w:tcPr>
            <w:tcW w:w="419" w:type="dxa"/>
            <w:tcBorders>
              <w:top w:val="single" w:sz="4" w:space="0" w:color="000000"/>
              <w:left w:val="single" w:sz="8" w:space="0" w:color="000000"/>
              <w:bottom w:val="single" w:sz="4" w:space="0" w:color="000000"/>
              <w:right w:val="single" w:sz="4" w:space="0" w:color="000000"/>
            </w:tcBorders>
            <w:vAlign w:val="center"/>
          </w:tcPr>
          <w:p w:rsidR="00E8309B" w:rsidRDefault="009D0949">
            <w:pPr>
              <w:spacing w:after="0" w:line="259" w:lineRule="auto"/>
              <w:ind w:left="1" w:right="0" w:firstLine="0"/>
              <w:jc w:val="center"/>
            </w:pPr>
            <w:r>
              <w:rPr>
                <w:sz w:val="20"/>
              </w:rPr>
              <w:t xml:space="preserve"> </w:t>
            </w:r>
          </w:p>
        </w:tc>
        <w:tc>
          <w:tcPr>
            <w:tcW w:w="421"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1" w:right="0" w:firstLine="0"/>
              <w:jc w:val="center"/>
            </w:pPr>
            <w:r>
              <w:rPr>
                <w:sz w:val="20"/>
              </w:rPr>
              <w:t xml:space="preserve"> </w:t>
            </w:r>
          </w:p>
        </w:tc>
        <w:tc>
          <w:tcPr>
            <w:tcW w:w="422"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2" w:right="0" w:firstLine="0"/>
              <w:jc w:val="center"/>
            </w:pPr>
            <w:r>
              <w:rPr>
                <w:sz w:val="20"/>
              </w:rPr>
              <w:t xml:space="preserve"> </w:t>
            </w:r>
          </w:p>
        </w:tc>
        <w:tc>
          <w:tcPr>
            <w:tcW w:w="421" w:type="dxa"/>
            <w:tcBorders>
              <w:top w:val="single" w:sz="4" w:space="0" w:color="000000"/>
              <w:left w:val="single" w:sz="4" w:space="0" w:color="000000"/>
              <w:bottom w:val="single" w:sz="4" w:space="0" w:color="000000"/>
              <w:right w:val="single" w:sz="8" w:space="0" w:color="000000"/>
            </w:tcBorders>
            <w:vAlign w:val="center"/>
          </w:tcPr>
          <w:p w:rsidR="00E8309B" w:rsidRDefault="009D0949">
            <w:pPr>
              <w:spacing w:after="0" w:line="259" w:lineRule="auto"/>
              <w:ind w:left="4" w:right="0" w:firstLine="0"/>
              <w:jc w:val="center"/>
            </w:pPr>
            <w:r>
              <w:rPr>
                <w:sz w:val="20"/>
              </w:rPr>
              <w:t xml:space="preserve"> </w:t>
            </w:r>
          </w:p>
        </w:tc>
        <w:tc>
          <w:tcPr>
            <w:tcW w:w="424" w:type="dxa"/>
            <w:tcBorders>
              <w:top w:val="single" w:sz="4" w:space="0" w:color="000000"/>
              <w:left w:val="single" w:sz="8" w:space="0" w:color="000000"/>
              <w:bottom w:val="single" w:sz="4" w:space="0" w:color="000000"/>
              <w:right w:val="single" w:sz="4" w:space="0" w:color="000000"/>
            </w:tcBorders>
            <w:vAlign w:val="center"/>
          </w:tcPr>
          <w:p w:rsidR="00E8309B" w:rsidRDefault="009D0949">
            <w:pPr>
              <w:spacing w:after="0" w:line="259" w:lineRule="auto"/>
              <w:ind w:left="4" w:right="0" w:firstLine="0"/>
              <w:jc w:val="center"/>
            </w:pPr>
            <w:r>
              <w:rPr>
                <w:sz w:val="20"/>
              </w:rPr>
              <w:t xml:space="preserve"> </w:t>
            </w:r>
          </w:p>
        </w:tc>
        <w:tc>
          <w:tcPr>
            <w:tcW w:w="421"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4" w:right="0" w:firstLine="0"/>
              <w:jc w:val="center"/>
            </w:pPr>
            <w:r>
              <w:rPr>
                <w:sz w:val="20"/>
              </w:rPr>
              <w:t xml:space="preserve"> </w:t>
            </w:r>
          </w:p>
        </w:tc>
        <w:tc>
          <w:tcPr>
            <w:tcW w:w="423"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5" w:right="0" w:firstLine="0"/>
              <w:jc w:val="center"/>
            </w:pPr>
            <w:r>
              <w:rPr>
                <w:sz w:val="20"/>
              </w:rPr>
              <w:t xml:space="preserve"> </w:t>
            </w:r>
          </w:p>
        </w:tc>
        <w:tc>
          <w:tcPr>
            <w:tcW w:w="420" w:type="dxa"/>
            <w:tcBorders>
              <w:top w:val="single" w:sz="4" w:space="0" w:color="000000"/>
              <w:left w:val="single" w:sz="4" w:space="0" w:color="000000"/>
              <w:bottom w:val="single" w:sz="4" w:space="0" w:color="000000"/>
              <w:right w:val="single" w:sz="8" w:space="0" w:color="000000"/>
            </w:tcBorders>
            <w:vAlign w:val="center"/>
          </w:tcPr>
          <w:p w:rsidR="00E8309B" w:rsidRDefault="009D0949">
            <w:pPr>
              <w:spacing w:after="0" w:line="259" w:lineRule="auto"/>
              <w:ind w:left="2" w:right="0" w:firstLine="0"/>
              <w:jc w:val="center"/>
            </w:pPr>
            <w:r>
              <w:rPr>
                <w:sz w:val="20"/>
              </w:rPr>
              <w:t xml:space="preserve"> </w:t>
            </w:r>
          </w:p>
        </w:tc>
        <w:tc>
          <w:tcPr>
            <w:tcW w:w="424" w:type="dxa"/>
            <w:tcBorders>
              <w:top w:val="single" w:sz="4" w:space="0" w:color="000000"/>
              <w:left w:val="single" w:sz="8"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4" w:right="0" w:firstLine="0"/>
              <w:jc w:val="center"/>
            </w:pPr>
            <w:r>
              <w:rPr>
                <w:sz w:val="20"/>
              </w:rPr>
              <w:t xml:space="preserve"> </w:t>
            </w:r>
          </w:p>
        </w:tc>
        <w:tc>
          <w:tcPr>
            <w:tcW w:w="422"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2" w:right="0" w:firstLine="0"/>
              <w:jc w:val="center"/>
            </w:pPr>
            <w:r>
              <w:rPr>
                <w:sz w:val="20"/>
              </w:rPr>
              <w:t xml:space="preserve"> </w:t>
            </w:r>
          </w:p>
        </w:tc>
        <w:tc>
          <w:tcPr>
            <w:tcW w:w="422"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2" w:right="0" w:firstLine="0"/>
              <w:jc w:val="center"/>
            </w:pPr>
            <w:r>
              <w:rPr>
                <w:sz w:val="20"/>
              </w:rPr>
              <w:t xml:space="preserve"> </w:t>
            </w:r>
          </w:p>
        </w:tc>
        <w:tc>
          <w:tcPr>
            <w:tcW w:w="420" w:type="dxa"/>
            <w:tcBorders>
              <w:top w:val="single" w:sz="4" w:space="0" w:color="000000"/>
              <w:left w:val="single" w:sz="4" w:space="0" w:color="000000"/>
              <w:bottom w:val="single" w:sz="4" w:space="0" w:color="000000"/>
              <w:right w:val="single" w:sz="8" w:space="0" w:color="000000"/>
            </w:tcBorders>
            <w:shd w:val="clear" w:color="auto" w:fill="BFBFBF"/>
            <w:vAlign w:val="center"/>
          </w:tcPr>
          <w:p w:rsidR="00E8309B" w:rsidRDefault="009D0949">
            <w:pPr>
              <w:spacing w:after="0" w:line="259" w:lineRule="auto"/>
              <w:ind w:left="5" w:right="0" w:firstLine="0"/>
              <w:jc w:val="center"/>
            </w:pPr>
            <w:r>
              <w:rPr>
                <w:sz w:val="20"/>
              </w:rPr>
              <w:t xml:space="preserve"> </w:t>
            </w:r>
          </w:p>
        </w:tc>
      </w:tr>
    </w:tbl>
    <w:p w:rsidR="00E8309B" w:rsidRDefault="009D0949">
      <w:pPr>
        <w:numPr>
          <w:ilvl w:val="0"/>
          <w:numId w:val="15"/>
        </w:numPr>
        <w:spacing w:after="0" w:line="271" w:lineRule="auto"/>
        <w:ind w:right="9" w:hanging="427"/>
      </w:pPr>
      <w:r>
        <w:rPr>
          <w:b/>
        </w:rPr>
        <w:t xml:space="preserve">Индикатори рeзултата </w:t>
      </w:r>
    </w:p>
    <w:tbl>
      <w:tblPr>
        <w:tblStyle w:val="TableGrid"/>
        <w:tblW w:w="9635" w:type="dxa"/>
        <w:tblInd w:w="5" w:type="dxa"/>
        <w:tblCellMar>
          <w:top w:w="49" w:type="dxa"/>
          <w:left w:w="110" w:type="dxa"/>
          <w:bottom w:w="0" w:type="dxa"/>
          <w:right w:w="56" w:type="dxa"/>
        </w:tblCellMar>
        <w:tblLook w:val="04A0" w:firstRow="1" w:lastRow="0" w:firstColumn="1" w:lastColumn="0" w:noHBand="0" w:noVBand="1"/>
      </w:tblPr>
      <w:tblGrid>
        <w:gridCol w:w="4107"/>
        <w:gridCol w:w="1841"/>
        <w:gridCol w:w="1844"/>
        <w:gridCol w:w="1843"/>
      </w:tblGrid>
      <w:tr w:rsidR="00E8309B">
        <w:trPr>
          <w:trHeight w:val="470"/>
        </w:trPr>
        <w:tc>
          <w:tcPr>
            <w:tcW w:w="4107"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0" w:right="0" w:firstLine="0"/>
              <w:jc w:val="left"/>
            </w:pPr>
            <w:r>
              <w:rPr>
                <w:b/>
                <w:sz w:val="20"/>
              </w:rPr>
              <w:lastRenderedPageBreak/>
              <w:t xml:space="preserve">Показатељ </w:t>
            </w:r>
          </w:p>
        </w:tc>
        <w:tc>
          <w:tcPr>
            <w:tcW w:w="1841"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7" w:right="50" w:firstLine="0"/>
              <w:jc w:val="right"/>
            </w:pPr>
            <w:r>
              <w:rPr>
                <w:b/>
                <w:sz w:val="20"/>
              </w:rPr>
              <w:t xml:space="preserve">Почетна вредност (година) </w:t>
            </w:r>
          </w:p>
        </w:tc>
        <w:tc>
          <w:tcPr>
            <w:tcW w:w="1844"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50" w:firstLine="0"/>
              <w:jc w:val="right"/>
            </w:pPr>
            <w:r>
              <w:rPr>
                <w:b/>
                <w:sz w:val="20"/>
              </w:rPr>
              <w:t xml:space="preserve">Међурезултат (година) </w:t>
            </w:r>
          </w:p>
        </w:tc>
        <w:tc>
          <w:tcPr>
            <w:tcW w:w="1843"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49" w:firstLine="0"/>
              <w:jc w:val="right"/>
            </w:pPr>
            <w:r>
              <w:rPr>
                <w:b/>
                <w:sz w:val="20"/>
              </w:rPr>
              <w:t xml:space="preserve">Циљна вредност (година) </w:t>
            </w:r>
          </w:p>
        </w:tc>
      </w:tr>
      <w:tr w:rsidR="00E8309B">
        <w:trPr>
          <w:trHeight w:val="470"/>
        </w:trPr>
        <w:tc>
          <w:tcPr>
            <w:tcW w:w="4107"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0" w:firstLine="0"/>
              <w:jc w:val="left"/>
            </w:pPr>
            <w:r>
              <w:rPr>
                <w:sz w:val="20"/>
              </w:rPr>
              <w:t xml:space="preserve">Смањење трајања поступка комасације (у месецима) </w:t>
            </w:r>
          </w:p>
        </w:tc>
        <w:tc>
          <w:tcPr>
            <w:tcW w:w="1841"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0" w:right="49" w:firstLine="0"/>
              <w:jc w:val="right"/>
            </w:pPr>
            <w:r>
              <w:rPr>
                <w:sz w:val="20"/>
              </w:rPr>
              <w:t>50</w:t>
            </w:r>
            <w:r>
              <w:rPr>
                <w:sz w:val="20"/>
                <w:vertAlign w:val="superscript"/>
              </w:rPr>
              <w:footnoteReference w:id="33"/>
            </w:r>
            <w:r>
              <w:rPr>
                <w:sz w:val="20"/>
              </w:rPr>
              <w:t xml:space="preserve"> (2020) </w:t>
            </w:r>
          </w:p>
        </w:tc>
        <w:tc>
          <w:tcPr>
            <w:tcW w:w="1844"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0" w:right="50" w:firstLine="0"/>
              <w:jc w:val="right"/>
            </w:pPr>
            <w:r>
              <w:rPr>
                <w:sz w:val="20"/>
              </w:rPr>
              <w:t xml:space="preserve">/ </w:t>
            </w:r>
          </w:p>
        </w:tc>
        <w:tc>
          <w:tcPr>
            <w:tcW w:w="1843"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619" w:right="0" w:hanging="307"/>
            </w:pPr>
            <w:r>
              <w:rPr>
                <w:sz w:val="20"/>
              </w:rPr>
              <w:t xml:space="preserve">Мање од 36 (на крају 2025.) </w:t>
            </w:r>
          </w:p>
        </w:tc>
      </w:tr>
    </w:tbl>
    <w:p w:rsidR="00E8309B" w:rsidRDefault="009D0949">
      <w:pPr>
        <w:numPr>
          <w:ilvl w:val="0"/>
          <w:numId w:val="15"/>
        </w:numPr>
        <w:spacing w:after="79" w:line="271" w:lineRule="auto"/>
        <w:ind w:right="9" w:hanging="427"/>
      </w:pPr>
      <w:r>
        <w:rPr>
          <w:b/>
        </w:rPr>
        <w:t xml:space="preserve">Очекивани утицај на конкурентност </w:t>
      </w:r>
    </w:p>
    <w:p w:rsidR="00E8309B" w:rsidRDefault="009D0949">
      <w:pPr>
        <w:spacing w:after="162"/>
        <w:ind w:left="-5" w:right="17"/>
      </w:pPr>
      <w:r>
        <w:t>Раст пољопривредне производње и конкурентности и одрживо управљање природним ресурсима кроз повећање земљишних поседа је стратешко опредељење државе. Ефикасније спровођење процеса комасације омогућава: формирање парцела правилног облика погодних за приступ</w:t>
      </w:r>
      <w:r>
        <w:t xml:space="preserve"> механизацији, уређење путева, система за одводњавање и наводњавање и изградњу других објеката који доприносе руралном развоју и стварању услова за спровођење агротехничких мера на државном пољопривредном земљишту и његово давање у закуп. Очекује се повећа</w:t>
      </w:r>
      <w:r>
        <w:t xml:space="preserve">ње укрупњавања земљишта што ће се одразити на повећање пољопривредне производње и раст БДП. </w:t>
      </w:r>
    </w:p>
    <w:p w:rsidR="00E8309B" w:rsidRDefault="009D0949">
      <w:pPr>
        <w:numPr>
          <w:ilvl w:val="0"/>
          <w:numId w:val="15"/>
        </w:numPr>
        <w:spacing w:after="79" w:line="271" w:lineRule="auto"/>
        <w:ind w:right="9" w:hanging="427"/>
      </w:pPr>
      <w:r>
        <w:rPr>
          <w:b/>
        </w:rPr>
        <w:t xml:space="preserve">Процењени трошкови спровођења структурне реформе и предвиђени извори њиховог финансирања </w:t>
      </w:r>
    </w:p>
    <w:p w:rsidR="00E8309B" w:rsidRDefault="009D0949">
      <w:pPr>
        <w:spacing w:after="100"/>
        <w:ind w:left="-5" w:right="17"/>
      </w:pPr>
      <w:r>
        <w:t>Процењени трошкови за комасацију пољопривредног земљишта у складу са проц</w:t>
      </w:r>
      <w:r>
        <w:t>ењеним потребама укупно износе 2,8 милиона евра. Средства која се односе на стручну и административну подршку у управљању пољопривредним земљиштем у 2021. години су предвиђена за трошкове плата, а извор финансирања је буџет РС и то за плату једног запослен</w:t>
      </w:r>
      <w:r>
        <w:t xml:space="preserve">ог службеника у висини од 10.452 евра.  </w:t>
      </w:r>
    </w:p>
    <w:p w:rsidR="00E8309B" w:rsidRDefault="009D0949">
      <w:pPr>
        <w:spacing w:after="90"/>
        <w:ind w:left="-5" w:right="17"/>
      </w:pPr>
      <w:r>
        <w:t>У 2022. години средства у износу од 902.260 евра су предвиђена за потребе ангажовања стручњака у изради подзаконских аката, за трошкове плата, обука и канцеларијске опреме за потребе пет новозапослених службеника, у</w:t>
      </w:r>
      <w:r>
        <w:t>слуга превођења, набавку сервера и развој мрежне инфраструктуре, при чему је извор финансирања је буџет РС и то за плату једног запосленог службеника у висини од 10.452 евра, док извор за плате преостала четири службеника у висини од 41.808 и извор за сред</w:t>
      </w:r>
      <w:r>
        <w:t xml:space="preserve">ства од 650.000 евра за услуге превођења, набавку сервера и развој мрежне инфраструктуре тек треба да се утврди, а преостала средства у износу од 200.000 евра се обезбеђују из пројекта UNDP компонента „Унапређење управљања напуштеним државним земљиштем“.  </w:t>
      </w:r>
    </w:p>
    <w:p w:rsidR="00E8309B" w:rsidRDefault="009D0949">
      <w:pPr>
        <w:spacing w:after="103"/>
        <w:ind w:left="-5" w:right="17"/>
      </w:pPr>
      <w:r>
        <w:t>Средства која се односе на стручну и административну подршку у управљању пољопривредним земљиштем у 2023. години у износу од 1,95 милиона евра су предвиђена за трошкове плата, обука и канцеларијске опреме за потребе пет запослених службеника, развој софтв</w:t>
      </w:r>
      <w:r>
        <w:t>ера и трошкове спровођења пилот комасација а извор финансирања је буџет РС и то у висини од 10.452 евра за плату једног запосленог службеника, док извор за плате преостала четири службеника у висини од 41.808 евра тек треба да се утврди. Средства за развој</w:t>
      </w:r>
      <w:r>
        <w:t xml:space="preserve"> софтвера, обука и канцеларијске опреме у износу од 1,3 милиона евра се обезбеђују из средства из ИПА 2021, а за трошкове спровођења пилот комасација у износу од 600.000 евра извор финансирања је буџет РС путем реализације Годишњег програма заштите, уређењ</w:t>
      </w:r>
      <w:r>
        <w:t xml:space="preserve">а и коришћења пољопривредног земљишта који у складу са Законом о пољопривредном земљишту доноси Влада Републике Србије.  </w:t>
      </w:r>
    </w:p>
    <w:p w:rsidR="00E8309B" w:rsidRDefault="009D0949">
      <w:pPr>
        <w:spacing w:after="184"/>
        <w:ind w:left="-5" w:right="17"/>
      </w:pPr>
      <w:r>
        <w:t>Извори финансирања појединих врста трошкова Министарства пољопривреде, шумарства и водопривреде у наредне три године није могуће преци</w:t>
      </w:r>
      <w:r>
        <w:t xml:space="preserve">зно идентификовати у овом тренутку. Делом ће се финансирати из буџета РС, а делом из: 1) предложеног пројеката ИПА 2021 у циљу реформе система класификације пољопривредног земљишта и идентификације </w:t>
      </w:r>
      <w:r>
        <w:lastRenderedPageBreak/>
        <w:t>напуштеног земљишта у државном власништву на целој територ</w:t>
      </w:r>
      <w:r>
        <w:t>ији РС у износу од 1,3 милиона евра и 2) из пројекта UNDP компонента “Унапређење управљања напуштеним државним земљиштем” која се спроводи у Управи за пољопривредно земљиште (спровођење у току, а планирано је да се у 2022. години определе средства у износу</w:t>
      </w:r>
      <w:r>
        <w:t xml:space="preserve"> од 200.000 евра за спровођење ове структурне реформе). </w:t>
      </w:r>
    </w:p>
    <w:p w:rsidR="00E8309B" w:rsidRDefault="009D0949">
      <w:pPr>
        <w:spacing w:after="160"/>
        <w:ind w:left="-5" w:right="17"/>
      </w:pPr>
      <w:r>
        <w:t>Процењени трошкови</w:t>
      </w:r>
      <w:r>
        <w:rPr>
          <w:sz w:val="28"/>
        </w:rPr>
        <w:t xml:space="preserve"> </w:t>
      </w:r>
      <w:r>
        <w:t>Републичког геодетског завода за потребе</w:t>
      </w:r>
      <w:r>
        <w:rPr>
          <w:sz w:val="28"/>
        </w:rPr>
        <w:t xml:space="preserve"> </w:t>
      </w:r>
      <w:r>
        <w:t>имплементације информационог система за подршку спровођењу стручног надзора у поступку комасације (контролни модул и модул интеграције заје</w:t>
      </w:r>
      <w:r>
        <w:t>дно са трошковима одржавања система) у 2021. години износе око 400.000 евра. Средства за 2022. и 2023. годину ће бити обезбеђена у складу са лимитима. Процењени трошкови израде регулаторног оквира из делокруга рада Републичког геодетског завода (закон и по</w:t>
      </w:r>
      <w:r>
        <w:t xml:space="preserve">дзаконски акти), као и трошкови ангажовања запослених у вршењу стручног надзора спадају у редовне трошкове пословања Републичког геодетског завода који се финансирају из буџета Републике Србије и не захтевају додатне трошкове. </w:t>
      </w:r>
      <w:r>
        <w:rPr>
          <w:i/>
        </w:rPr>
        <w:t xml:space="preserve"> </w:t>
      </w:r>
    </w:p>
    <w:p w:rsidR="00E8309B" w:rsidRDefault="009D0949">
      <w:pPr>
        <w:numPr>
          <w:ilvl w:val="0"/>
          <w:numId w:val="16"/>
        </w:numPr>
        <w:spacing w:after="79" w:line="271" w:lineRule="auto"/>
        <w:ind w:right="9" w:hanging="427"/>
      </w:pPr>
      <w:r>
        <w:rPr>
          <w:b/>
        </w:rPr>
        <w:t>Очекивани утицај на социјал</w:t>
      </w:r>
      <w:r>
        <w:rPr>
          <w:b/>
        </w:rPr>
        <w:t xml:space="preserve">не циљеве, као што су запосленост, смањење сиромаштва, једнакост и род </w:t>
      </w:r>
    </w:p>
    <w:p w:rsidR="00E8309B" w:rsidRDefault="009D0949">
      <w:pPr>
        <w:spacing w:after="159"/>
        <w:ind w:left="-5" w:right="17"/>
      </w:pPr>
      <w:r>
        <w:t>Унапређење руралне инфраструктуре, инфраструктурно опремање земљишта, повећање производне способности земљишта, повећање доступности земљишних ресурса кроз комасацију директно утиче на</w:t>
      </w:r>
      <w:r>
        <w:t xml:space="preserve"> запосленост и смањење сиромаштва. Након спроведеног поступка комасацијe се може успоставити механизам за уступање неискоришћеног земљишта младима и женама.  </w:t>
      </w:r>
    </w:p>
    <w:p w:rsidR="00E8309B" w:rsidRDefault="009D0949">
      <w:pPr>
        <w:numPr>
          <w:ilvl w:val="0"/>
          <w:numId w:val="16"/>
        </w:numPr>
        <w:spacing w:after="79" w:line="271" w:lineRule="auto"/>
        <w:ind w:right="9" w:hanging="427"/>
      </w:pPr>
      <w:r>
        <w:rPr>
          <w:b/>
        </w:rPr>
        <w:t xml:space="preserve">Очекивани утицај на животну средину </w:t>
      </w:r>
    </w:p>
    <w:p w:rsidR="00E8309B" w:rsidRDefault="009D0949">
      <w:pPr>
        <w:ind w:left="-5" w:right="17"/>
      </w:pPr>
      <w:r>
        <w:t>Убрзавањем поступака комасације стварају се услови за укрупњ</w:t>
      </w:r>
      <w:r>
        <w:t>авање катастарских парцела, спречавање поремећаја природних функција земљишта, очување квалитета пољопривредног земљишта. Изградњом система за одводњавање упоредо са комасацијом ствара се повољан водно-ваздушни режим земљишта, што доводи до спречавања нега</w:t>
      </w:r>
      <w:r>
        <w:t xml:space="preserve">тивног утицаја задржавања воде у пољопривредном земљишту и смањења плодности земљишта. Такође, осигураће се транспарентност поступка комасације и јавни приступ информацијама о животној средини на комасационом подручју. </w:t>
      </w:r>
    </w:p>
    <w:p w:rsidR="00E8309B" w:rsidRDefault="009D0949">
      <w:pPr>
        <w:spacing w:after="36" w:line="259" w:lineRule="auto"/>
        <w:ind w:left="0" w:right="0" w:firstLine="0"/>
        <w:jc w:val="left"/>
      </w:pPr>
      <w:r>
        <w:t xml:space="preserve"> </w:t>
      </w:r>
    </w:p>
    <w:p w:rsidR="00E8309B" w:rsidRDefault="009D0949">
      <w:pPr>
        <w:spacing w:after="0" w:line="259" w:lineRule="auto"/>
        <w:ind w:left="0" w:right="0" w:firstLine="0"/>
        <w:jc w:val="left"/>
      </w:pPr>
      <w:r>
        <w:t xml:space="preserve"> </w:t>
      </w:r>
    </w:p>
    <w:p w:rsidR="00E8309B" w:rsidRDefault="009D0949">
      <w:pPr>
        <w:numPr>
          <w:ilvl w:val="0"/>
          <w:numId w:val="16"/>
        </w:numPr>
        <w:spacing w:after="0" w:line="271" w:lineRule="auto"/>
        <w:ind w:right="9" w:hanging="427"/>
      </w:pPr>
      <w:r>
        <w:rPr>
          <w:b/>
        </w:rPr>
        <w:t xml:space="preserve">Потенцијални ризици </w:t>
      </w:r>
    </w:p>
    <w:tbl>
      <w:tblPr>
        <w:tblStyle w:val="TableGrid"/>
        <w:tblW w:w="9696" w:type="dxa"/>
        <w:tblInd w:w="0" w:type="dxa"/>
        <w:tblCellMar>
          <w:top w:w="46" w:type="dxa"/>
          <w:left w:w="108" w:type="dxa"/>
          <w:bottom w:w="0" w:type="dxa"/>
          <w:right w:w="69" w:type="dxa"/>
        </w:tblCellMar>
        <w:tblLook w:val="04A0" w:firstRow="1" w:lastRow="0" w:firstColumn="1" w:lastColumn="0" w:noHBand="0" w:noVBand="1"/>
      </w:tblPr>
      <w:tblGrid>
        <w:gridCol w:w="3330"/>
        <w:gridCol w:w="2201"/>
        <w:gridCol w:w="4165"/>
      </w:tblGrid>
      <w:tr w:rsidR="00E8309B">
        <w:trPr>
          <w:trHeight w:val="471"/>
        </w:trPr>
        <w:tc>
          <w:tcPr>
            <w:tcW w:w="3330"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0" w:right="0" w:firstLine="0"/>
              <w:jc w:val="left"/>
            </w:pPr>
            <w:r>
              <w:rPr>
                <w:b/>
                <w:sz w:val="20"/>
              </w:rPr>
              <w:t xml:space="preserve">Ризик </w:t>
            </w:r>
          </w:p>
        </w:tc>
        <w:tc>
          <w:tcPr>
            <w:tcW w:w="2201"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2" w:right="0" w:firstLine="0"/>
              <w:jc w:val="left"/>
            </w:pPr>
            <w:r>
              <w:rPr>
                <w:b/>
                <w:sz w:val="20"/>
              </w:rPr>
              <w:t xml:space="preserve">Вероватноћа за остваривање ризика </w:t>
            </w:r>
          </w:p>
        </w:tc>
        <w:tc>
          <w:tcPr>
            <w:tcW w:w="4165"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0" w:firstLine="0"/>
              <w:jc w:val="left"/>
            </w:pPr>
            <w:r>
              <w:rPr>
                <w:b/>
                <w:sz w:val="20"/>
              </w:rPr>
              <w:t xml:space="preserve">Активности за ублажавање негативних ефеката ризика </w:t>
            </w:r>
          </w:p>
        </w:tc>
      </w:tr>
      <w:tr w:rsidR="00E8309B">
        <w:trPr>
          <w:trHeight w:val="931"/>
        </w:trPr>
        <w:tc>
          <w:tcPr>
            <w:tcW w:w="3330"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0" w:firstLine="0"/>
              <w:jc w:val="left"/>
            </w:pPr>
            <w:r>
              <w:rPr>
                <w:sz w:val="20"/>
              </w:rPr>
              <w:t>Велики број заинтересованих лица за решавање имовинско- правних односа и сложеност поступака њиховог решавања</w:t>
            </w:r>
            <w:r>
              <w:rPr>
                <w:b/>
                <w:sz w:val="20"/>
              </w:rPr>
              <w:t xml:space="preserve"> </w:t>
            </w:r>
          </w:p>
        </w:tc>
        <w:tc>
          <w:tcPr>
            <w:tcW w:w="2201"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2" w:right="0" w:firstLine="0"/>
              <w:jc w:val="left"/>
            </w:pPr>
            <w:r>
              <w:rPr>
                <w:sz w:val="20"/>
              </w:rPr>
              <w:t>Висока</w:t>
            </w:r>
            <w:r>
              <w:rPr>
                <w:b/>
                <w:sz w:val="20"/>
              </w:rPr>
              <w:t xml:space="preserve"> </w:t>
            </w:r>
          </w:p>
        </w:tc>
        <w:tc>
          <w:tcPr>
            <w:tcW w:w="4165"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0" w:firstLine="0"/>
              <w:jc w:val="left"/>
            </w:pPr>
            <w:r>
              <w:rPr>
                <w:sz w:val="20"/>
              </w:rPr>
              <w:t>Спровођење јавних расправа, округлих столова и други начини за обавештавање заинтересованих страна у поступку усвајања регулаторног оквира</w:t>
            </w:r>
            <w:r>
              <w:rPr>
                <w:b/>
                <w:sz w:val="20"/>
              </w:rPr>
              <w:t xml:space="preserve"> </w:t>
            </w:r>
          </w:p>
        </w:tc>
      </w:tr>
      <w:tr w:rsidR="00E8309B">
        <w:trPr>
          <w:trHeight w:val="2309"/>
        </w:trPr>
        <w:tc>
          <w:tcPr>
            <w:tcW w:w="3330"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0" w:firstLine="0"/>
              <w:jc w:val="left"/>
            </w:pPr>
            <w:r>
              <w:rPr>
                <w:sz w:val="20"/>
              </w:rPr>
              <w:t>Несигуран прилив средстава из буџета Републике Србије за спровођење комасације у делу који се односи на: радове који прате пилот комасације, набавку софтвера и друге опреме неопходне за брзу размену информација, средства расположива и одређена из буџета РС</w:t>
            </w:r>
            <w:r>
              <w:rPr>
                <w:sz w:val="20"/>
              </w:rPr>
              <w:t xml:space="preserve"> се односе на једну календарску годину </w:t>
            </w:r>
          </w:p>
        </w:tc>
        <w:tc>
          <w:tcPr>
            <w:tcW w:w="2201"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2" w:right="0" w:firstLine="0"/>
              <w:jc w:val="left"/>
            </w:pPr>
            <w:r>
              <w:rPr>
                <w:sz w:val="20"/>
              </w:rPr>
              <w:t xml:space="preserve">Велика </w:t>
            </w:r>
          </w:p>
        </w:tc>
        <w:tc>
          <w:tcPr>
            <w:tcW w:w="4165"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2" w:lineRule="auto"/>
              <w:ind w:left="0" w:right="16" w:firstLine="0"/>
              <w:jc w:val="left"/>
            </w:pPr>
            <w:r>
              <w:rPr>
                <w:sz w:val="20"/>
              </w:rPr>
              <w:t xml:space="preserve">Одређена средства у буџету Републике Србије за време трајања реформе и обезбеђени извори додатних средстава до процењене вредности планираних трошкова </w:t>
            </w:r>
          </w:p>
          <w:p w:rsidR="00E8309B" w:rsidRDefault="009D0949">
            <w:pPr>
              <w:spacing w:after="0" w:line="259" w:lineRule="auto"/>
              <w:ind w:left="0" w:right="0" w:firstLine="0"/>
              <w:jc w:val="left"/>
            </w:pPr>
            <w:r>
              <w:rPr>
                <w:sz w:val="20"/>
              </w:rPr>
              <w:t xml:space="preserve"> </w:t>
            </w:r>
          </w:p>
        </w:tc>
      </w:tr>
      <w:tr w:rsidR="00E8309B">
        <w:trPr>
          <w:trHeight w:val="547"/>
        </w:trPr>
        <w:tc>
          <w:tcPr>
            <w:tcW w:w="3330"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0" w:firstLine="0"/>
              <w:jc w:val="left"/>
            </w:pPr>
            <w:r>
              <w:rPr>
                <w:sz w:val="20"/>
              </w:rPr>
              <w:lastRenderedPageBreak/>
              <w:t xml:space="preserve">Немогућност запошљавања недостајућег кадра </w:t>
            </w:r>
            <w:r>
              <w:rPr>
                <w:sz w:val="18"/>
              </w:rPr>
              <w:t xml:space="preserve"> </w:t>
            </w:r>
          </w:p>
        </w:tc>
        <w:tc>
          <w:tcPr>
            <w:tcW w:w="2201"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2" w:right="0" w:firstLine="0"/>
              <w:jc w:val="left"/>
            </w:pPr>
            <w:r>
              <w:rPr>
                <w:sz w:val="20"/>
              </w:rPr>
              <w:t>Средња</w:t>
            </w:r>
            <w:r>
              <w:rPr>
                <w:sz w:val="18"/>
              </w:rPr>
              <w:t xml:space="preserve"> </w:t>
            </w:r>
          </w:p>
        </w:tc>
        <w:tc>
          <w:tcPr>
            <w:tcW w:w="4165"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0" w:firstLine="0"/>
              <w:jc w:val="left"/>
            </w:pPr>
            <w:r>
              <w:rPr>
                <w:sz w:val="20"/>
              </w:rPr>
              <w:t xml:space="preserve">Систематизовати и попунити радна места различитих образовних профила </w:t>
            </w:r>
            <w:r>
              <w:rPr>
                <w:sz w:val="18"/>
              </w:rPr>
              <w:t xml:space="preserve"> </w:t>
            </w:r>
          </w:p>
        </w:tc>
      </w:tr>
      <w:tr w:rsidR="00E8309B">
        <w:trPr>
          <w:trHeight w:val="701"/>
        </w:trPr>
        <w:tc>
          <w:tcPr>
            <w:tcW w:w="3330"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0" w:firstLine="0"/>
              <w:jc w:val="left"/>
            </w:pPr>
            <w:r>
              <w:rPr>
                <w:sz w:val="20"/>
              </w:rPr>
              <w:t xml:space="preserve">Неусвајање регулаторног оквира у планираним временским роковима </w:t>
            </w:r>
          </w:p>
        </w:tc>
        <w:tc>
          <w:tcPr>
            <w:tcW w:w="2201"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2" w:right="0" w:firstLine="0"/>
              <w:jc w:val="left"/>
            </w:pPr>
            <w:r>
              <w:rPr>
                <w:sz w:val="20"/>
              </w:rPr>
              <w:t xml:space="preserve">Средња </w:t>
            </w:r>
          </w:p>
        </w:tc>
        <w:tc>
          <w:tcPr>
            <w:tcW w:w="4165"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0" w:firstLine="0"/>
              <w:jc w:val="left"/>
            </w:pPr>
            <w:r>
              <w:rPr>
                <w:sz w:val="20"/>
              </w:rPr>
              <w:t xml:space="preserve">Предвидети доношење регулаторног оквира у Плану рада Владе за наредну календарску годину </w:t>
            </w:r>
          </w:p>
        </w:tc>
      </w:tr>
    </w:tbl>
    <w:p w:rsidR="00E8309B" w:rsidRDefault="009D0949">
      <w:pPr>
        <w:ind w:left="-5" w:right="17"/>
      </w:pPr>
      <w:r>
        <w:rPr>
          <w:b/>
          <w:u w:val="single" w:color="000000"/>
        </w:rPr>
        <w:t xml:space="preserve">СТРУКТУРНА РЕФОРМА </w:t>
      </w:r>
      <w:r>
        <w:rPr>
          <w:b/>
          <w:u w:val="single" w:color="000000"/>
        </w:rPr>
        <w:t>5:</w:t>
      </w:r>
      <w:r>
        <w:rPr>
          <w:b/>
        </w:rPr>
        <w:t xml:space="preserve"> </w:t>
      </w:r>
      <w:r>
        <w:t xml:space="preserve">УНАПРЕЂЕЊЕ СИСТЕМА ФИНАНСИЈСКЕ ПОДРШКЕ </w:t>
      </w:r>
    </w:p>
    <w:p w:rsidR="00E8309B" w:rsidRDefault="009D0949">
      <w:pPr>
        <w:spacing w:after="156"/>
        <w:ind w:left="-5" w:right="17"/>
      </w:pPr>
      <w:r>
        <w:t xml:space="preserve">ПОЉОПРИВРЕДИ КРОЗ ДИГИТАЛИЗАЦИЈУ И АУТОМАТИЗАЦИЈУ ПРОЦЕСА </w:t>
      </w:r>
    </w:p>
    <w:p w:rsidR="00E8309B" w:rsidRDefault="009D0949">
      <w:pPr>
        <w:spacing w:after="79" w:line="271" w:lineRule="auto"/>
        <w:ind w:left="-5" w:right="9"/>
      </w:pPr>
      <w:r>
        <w:rPr>
          <w:b/>
        </w:rPr>
        <w:t>1.</w:t>
      </w:r>
      <w:r>
        <w:rPr>
          <w:rFonts w:ascii="Arial" w:eastAsia="Arial" w:hAnsi="Arial" w:cs="Arial"/>
          <w:b/>
        </w:rPr>
        <w:t xml:space="preserve"> </w:t>
      </w:r>
      <w:r>
        <w:rPr>
          <w:b/>
        </w:rPr>
        <w:t xml:space="preserve">Опис структурне реформе </w:t>
      </w:r>
    </w:p>
    <w:p w:rsidR="00E8309B" w:rsidRDefault="009D0949">
      <w:pPr>
        <w:spacing w:after="103"/>
        <w:ind w:left="-5" w:right="17"/>
      </w:pPr>
      <w:r>
        <w:t>Како је у процесу приступања ЕУ и усаглашавања домаће пољопривредне полтике Заједничкој пољопривредној политици (ЗПП) неопходн</w:t>
      </w:r>
      <w:r>
        <w:t>о успоставити одговарајуће системе за имплементацију ЗПП указала се потреба да се предефинише структурна реформа 6 из ЕРП 2020-2022 у правцу проширења опсега мере јер је регистар пољопривредних газдинстава само један елемент/инструмент неопходног Интегриса</w:t>
      </w:r>
      <w:r>
        <w:t>ног система управљања и контроле (</w:t>
      </w:r>
      <w:r>
        <w:rPr>
          <w:i/>
        </w:rPr>
        <w:t>Integrated Administrative Contрol System</w:t>
      </w:r>
      <w:r>
        <w:t xml:space="preserve">) (у даљем тексту: IACS). </w:t>
      </w:r>
    </w:p>
    <w:p w:rsidR="00E8309B" w:rsidRDefault="009D0949">
      <w:pPr>
        <w:spacing w:after="103"/>
        <w:ind w:left="-5" w:right="17"/>
      </w:pPr>
      <w:r>
        <w:t>Кроз ову структурну реформу која подразумева постепену дигитализацију и аутоматизацију процеса унапредиће се реализација система финансијске подршке пољопривредницима и олакшати пољопривредницима приступ расположивим подстицајима. Уједно ће се повећати тра</w:t>
      </w:r>
      <w:r>
        <w:t xml:space="preserve">нспарентност и ефективније креирање аграрне политике.  </w:t>
      </w:r>
    </w:p>
    <w:p w:rsidR="00E8309B" w:rsidRDefault="009D0949">
      <w:pPr>
        <w:spacing w:after="100"/>
        <w:ind w:left="-5" w:right="17"/>
      </w:pPr>
      <w:r>
        <w:t>Ова мера, кроз успостављање новог Регистра пољопривредних газдинастава, Система за идентификацију земљишних парцела (</w:t>
      </w:r>
      <w:r>
        <w:rPr>
          <w:i/>
        </w:rPr>
        <w:t>Land Parcel Identification System</w:t>
      </w:r>
      <w:r>
        <w:t>) (у даљем тексту: LPIS),  апликативног система за</w:t>
      </w:r>
      <w:r>
        <w:t xml:space="preserve"> обраду јединиствених захтева пољопривредника у складу са ЕУ (</w:t>
      </w:r>
      <w:r>
        <w:rPr>
          <w:i/>
        </w:rPr>
        <w:t>Single Aid Application</w:t>
      </w:r>
      <w:r>
        <w:t>) и других елемената IACS треба да доведе до успостављања функционалног IACS и аутоматизације поступка подношења захтева и исплате подстицаја. Успостављање функционалне Аге</w:t>
      </w:r>
      <w:r>
        <w:t xml:space="preserve">нције за плаћања у складу са ЕУ правилима, што укључује и успостављање функционалног IACS, према искуствима из претходних приступања, ће бити једно од мерила за затварање преговора у Преговарачком поглављу 11. Реформа је повезана са </w:t>
      </w:r>
      <w:r>
        <w:rPr>
          <w:b/>
        </w:rPr>
        <w:t xml:space="preserve">ЦОР 2. </w:t>
      </w:r>
      <w:r>
        <w:t>Окончати глад, п</w:t>
      </w:r>
      <w:r>
        <w:t xml:space="preserve">остићи безбедност хране и побољшану исхрану и промовисати одрживу пољопривреду, односно доприноси остваривању </w:t>
      </w:r>
      <w:r>
        <w:rPr>
          <w:b/>
        </w:rPr>
        <w:t>ЦОР 2.а</w:t>
      </w:r>
      <w:r>
        <w:t xml:space="preserve"> Повећати инвестирање у руралну инфраструктуру, пољопривредна истраживања и саветодавне услуге, развој технологије. </w:t>
      </w:r>
    </w:p>
    <w:p w:rsidR="00E8309B" w:rsidRDefault="009D0949">
      <w:pPr>
        <w:spacing w:after="124"/>
        <w:ind w:left="-5" w:right="17"/>
      </w:pPr>
      <w:r>
        <w:t>Успостављање функциона</w:t>
      </w:r>
      <w:r>
        <w:t>лног IACS се врши паралелно са процесом успостављања јединствене информационе магистрале МПШВ која ће служити за обједињавање информација генерисаних од стране органа у саставу МПШВ кроз стандардизацију процеса извештавања што ће допринети унапређењу ефика</w:t>
      </w:r>
      <w:r>
        <w:t xml:space="preserve">сности дељења информација између МПШВ и органа у саставу као и између органа у саставу међусобно а све у циљу повећања свеобухватне ефикасности у раду и ефективности у доношењу одлука. Реформа је такође повезана са </w:t>
      </w:r>
      <w:r>
        <w:rPr>
          <w:b/>
        </w:rPr>
        <w:t>ЦОР 15.</w:t>
      </w:r>
      <w:r>
        <w:t xml:space="preserve"> Заштитити и обновити копнене екос</w:t>
      </w:r>
      <w:r>
        <w:t xml:space="preserve">истеме и промовисати њихову одрживу употребу, одрживо управљати шумама, борити се против дезертификације, спречити и поништити деградацију земљишта и спречити губитак биодиверзитета. </w:t>
      </w:r>
    </w:p>
    <w:p w:rsidR="00E8309B" w:rsidRDefault="009D0949">
      <w:pPr>
        <w:spacing w:after="126" w:line="271" w:lineRule="auto"/>
        <w:ind w:left="-5" w:right="9"/>
      </w:pPr>
      <w:r>
        <w:rPr>
          <w:b/>
        </w:rPr>
        <w:t>2.</w:t>
      </w:r>
      <w:r>
        <w:rPr>
          <w:rFonts w:ascii="Arial" w:eastAsia="Arial" w:hAnsi="Arial" w:cs="Arial"/>
          <w:b/>
        </w:rPr>
        <w:t xml:space="preserve"> </w:t>
      </w:r>
      <w:r>
        <w:rPr>
          <w:b/>
        </w:rPr>
        <w:t xml:space="preserve">Ковид-19 – ефекти, мере и изазови </w:t>
      </w:r>
    </w:p>
    <w:p w:rsidR="00E8309B" w:rsidRDefault="009D0949">
      <w:pPr>
        <w:spacing w:after="6"/>
        <w:ind w:left="-5" w:right="17"/>
      </w:pPr>
      <w:r>
        <w:t>Избијање епидемије Ковид-19 је ука</w:t>
      </w:r>
      <w:r>
        <w:t>зало на користи од дигитализације и аутоматизације пословања. Устаљени начин подношења захтева, њиховог пријема, обраде и доношења решења је услед инструкција за обављање активности у процесу у што је већој мери могуће онлајн демонстрирао мањкавости тренут</w:t>
      </w:r>
      <w:r>
        <w:t>ног система рада и потенцијалне бенефите планираних измена. У сваком случају, дигитализацијом пословања се процеси убрзавају и смањује простор за људску грешку али, као што је искуство у раду на даљину у условима епидемије Ковид-19 показало, неопходно је д</w:t>
      </w:r>
      <w:r>
        <w:t xml:space="preserve">а се изврши добро пројектовање система </w:t>
      </w:r>
      <w:r>
        <w:lastRenderedPageBreak/>
        <w:t xml:space="preserve">аутоматизованог пријема, обраде и извршења захтева у дигиталном формату што ће представљати највећи изазов у предстојећем периоду.  </w:t>
      </w:r>
      <w:r>
        <w:rPr>
          <w:b/>
        </w:rPr>
        <w:t>3.</w:t>
      </w:r>
      <w:r>
        <w:rPr>
          <w:rFonts w:ascii="Arial" w:eastAsia="Arial" w:hAnsi="Arial" w:cs="Arial"/>
          <w:b/>
        </w:rPr>
        <w:t xml:space="preserve"> </w:t>
      </w:r>
      <w:r>
        <w:rPr>
          <w:b/>
        </w:rPr>
        <w:t xml:space="preserve">Планиране активности по годинама </w:t>
      </w:r>
    </w:p>
    <w:tbl>
      <w:tblPr>
        <w:tblStyle w:val="TableGrid"/>
        <w:tblW w:w="9639" w:type="dxa"/>
        <w:tblInd w:w="0" w:type="dxa"/>
        <w:tblCellMar>
          <w:top w:w="13" w:type="dxa"/>
          <w:left w:w="60" w:type="dxa"/>
          <w:bottom w:w="0" w:type="dxa"/>
          <w:right w:w="5" w:type="dxa"/>
        </w:tblCellMar>
        <w:tblLook w:val="04A0" w:firstRow="1" w:lastRow="0" w:firstColumn="1" w:lastColumn="0" w:noHBand="0" w:noVBand="1"/>
      </w:tblPr>
      <w:tblGrid>
        <w:gridCol w:w="428"/>
        <w:gridCol w:w="4137"/>
        <w:gridCol w:w="420"/>
        <w:gridCol w:w="425"/>
        <w:gridCol w:w="422"/>
        <w:gridCol w:w="422"/>
        <w:gridCol w:w="425"/>
        <w:gridCol w:w="422"/>
        <w:gridCol w:w="423"/>
        <w:gridCol w:w="422"/>
        <w:gridCol w:w="425"/>
        <w:gridCol w:w="422"/>
        <w:gridCol w:w="423"/>
        <w:gridCol w:w="423"/>
      </w:tblGrid>
      <w:tr w:rsidR="00E8309B">
        <w:trPr>
          <w:trHeight w:val="331"/>
        </w:trPr>
        <w:tc>
          <w:tcPr>
            <w:tcW w:w="427" w:type="dxa"/>
            <w:vMerge w:val="restart"/>
            <w:tcBorders>
              <w:top w:val="single" w:sz="8" w:space="0" w:color="000000"/>
              <w:left w:val="single" w:sz="8" w:space="0" w:color="000000"/>
              <w:bottom w:val="single" w:sz="8" w:space="0" w:color="000000"/>
              <w:right w:val="single" w:sz="8" w:space="0" w:color="000000"/>
            </w:tcBorders>
            <w:vAlign w:val="center"/>
          </w:tcPr>
          <w:p w:rsidR="00E8309B" w:rsidRDefault="009D0949">
            <w:pPr>
              <w:spacing w:after="0" w:line="259" w:lineRule="auto"/>
              <w:ind w:left="27" w:right="0" w:firstLine="0"/>
            </w:pPr>
            <w:r>
              <w:rPr>
                <w:b/>
                <w:sz w:val="20"/>
              </w:rPr>
              <w:t xml:space="preserve">РБ </w:t>
            </w:r>
          </w:p>
        </w:tc>
        <w:tc>
          <w:tcPr>
            <w:tcW w:w="4137" w:type="dxa"/>
            <w:vMerge w:val="restart"/>
            <w:tcBorders>
              <w:top w:val="single" w:sz="8" w:space="0" w:color="000000"/>
              <w:left w:val="single" w:sz="8" w:space="0" w:color="000000"/>
              <w:bottom w:val="single" w:sz="8" w:space="0" w:color="000000"/>
              <w:right w:val="single" w:sz="8" w:space="0" w:color="000000"/>
            </w:tcBorders>
            <w:vAlign w:val="center"/>
          </w:tcPr>
          <w:p w:rsidR="00E8309B" w:rsidRDefault="009D0949">
            <w:pPr>
              <w:spacing w:after="0" w:line="259" w:lineRule="auto"/>
              <w:ind w:left="0" w:right="0" w:firstLine="0"/>
              <w:jc w:val="left"/>
            </w:pPr>
            <w:r>
              <w:rPr>
                <w:b/>
                <w:sz w:val="20"/>
              </w:rPr>
              <w:t xml:space="preserve">Планиране активности </w:t>
            </w:r>
          </w:p>
        </w:tc>
        <w:tc>
          <w:tcPr>
            <w:tcW w:w="420" w:type="dxa"/>
            <w:tcBorders>
              <w:top w:val="single" w:sz="8" w:space="0" w:color="000000"/>
              <w:left w:val="single" w:sz="8" w:space="0" w:color="000000"/>
              <w:bottom w:val="single" w:sz="4" w:space="0" w:color="000000"/>
              <w:right w:val="nil"/>
            </w:tcBorders>
          </w:tcPr>
          <w:p w:rsidR="00E8309B" w:rsidRDefault="00E8309B">
            <w:pPr>
              <w:spacing w:after="160" w:line="259" w:lineRule="auto"/>
              <w:ind w:left="0" w:right="0" w:firstLine="0"/>
              <w:jc w:val="left"/>
            </w:pPr>
          </w:p>
        </w:tc>
        <w:tc>
          <w:tcPr>
            <w:tcW w:w="847" w:type="dxa"/>
            <w:gridSpan w:val="2"/>
            <w:tcBorders>
              <w:top w:val="single" w:sz="8" w:space="0" w:color="000000"/>
              <w:left w:val="nil"/>
              <w:bottom w:val="single" w:sz="4" w:space="0" w:color="000000"/>
              <w:right w:val="nil"/>
            </w:tcBorders>
          </w:tcPr>
          <w:p w:rsidR="00E8309B" w:rsidRDefault="009D0949">
            <w:pPr>
              <w:spacing w:after="0" w:line="259" w:lineRule="auto"/>
              <w:ind w:left="0" w:right="51" w:firstLine="0"/>
              <w:jc w:val="center"/>
            </w:pPr>
            <w:r>
              <w:rPr>
                <w:b/>
                <w:sz w:val="20"/>
              </w:rPr>
              <w:t xml:space="preserve">2021 </w:t>
            </w:r>
          </w:p>
        </w:tc>
        <w:tc>
          <w:tcPr>
            <w:tcW w:w="422" w:type="dxa"/>
            <w:tcBorders>
              <w:top w:val="single" w:sz="8" w:space="0" w:color="000000"/>
              <w:left w:val="nil"/>
              <w:bottom w:val="single" w:sz="4" w:space="0" w:color="000000"/>
              <w:right w:val="single" w:sz="8" w:space="0" w:color="000000"/>
            </w:tcBorders>
          </w:tcPr>
          <w:p w:rsidR="00E8309B" w:rsidRDefault="00E8309B">
            <w:pPr>
              <w:spacing w:after="160" w:line="259" w:lineRule="auto"/>
              <w:ind w:left="0" w:right="0" w:firstLine="0"/>
              <w:jc w:val="left"/>
            </w:pPr>
          </w:p>
        </w:tc>
        <w:tc>
          <w:tcPr>
            <w:tcW w:w="425" w:type="dxa"/>
            <w:tcBorders>
              <w:top w:val="single" w:sz="8" w:space="0" w:color="000000"/>
              <w:left w:val="single" w:sz="8" w:space="0" w:color="000000"/>
              <w:bottom w:val="single" w:sz="4" w:space="0" w:color="000000"/>
              <w:right w:val="nil"/>
            </w:tcBorders>
          </w:tcPr>
          <w:p w:rsidR="00E8309B" w:rsidRDefault="00E8309B">
            <w:pPr>
              <w:spacing w:after="160" w:line="259" w:lineRule="auto"/>
              <w:ind w:left="0" w:right="0" w:firstLine="0"/>
              <w:jc w:val="left"/>
            </w:pPr>
          </w:p>
        </w:tc>
        <w:tc>
          <w:tcPr>
            <w:tcW w:w="845" w:type="dxa"/>
            <w:gridSpan w:val="2"/>
            <w:tcBorders>
              <w:top w:val="single" w:sz="8" w:space="0" w:color="000000"/>
              <w:left w:val="nil"/>
              <w:bottom w:val="single" w:sz="4" w:space="0" w:color="000000"/>
              <w:right w:val="nil"/>
            </w:tcBorders>
          </w:tcPr>
          <w:p w:rsidR="00E8309B" w:rsidRDefault="009D0949">
            <w:pPr>
              <w:spacing w:after="0" w:line="259" w:lineRule="auto"/>
              <w:ind w:left="0" w:right="49" w:firstLine="0"/>
              <w:jc w:val="center"/>
            </w:pPr>
            <w:r>
              <w:rPr>
                <w:b/>
                <w:sz w:val="20"/>
              </w:rPr>
              <w:t xml:space="preserve">2022 </w:t>
            </w:r>
          </w:p>
        </w:tc>
        <w:tc>
          <w:tcPr>
            <w:tcW w:w="422" w:type="dxa"/>
            <w:tcBorders>
              <w:top w:val="single" w:sz="8" w:space="0" w:color="000000"/>
              <w:left w:val="nil"/>
              <w:bottom w:val="single" w:sz="4" w:space="0" w:color="000000"/>
              <w:right w:val="single" w:sz="8" w:space="0" w:color="000000"/>
            </w:tcBorders>
          </w:tcPr>
          <w:p w:rsidR="00E8309B" w:rsidRDefault="00E8309B">
            <w:pPr>
              <w:spacing w:after="160" w:line="259" w:lineRule="auto"/>
              <w:ind w:left="0" w:right="0" w:firstLine="0"/>
              <w:jc w:val="left"/>
            </w:pPr>
          </w:p>
        </w:tc>
        <w:tc>
          <w:tcPr>
            <w:tcW w:w="425" w:type="dxa"/>
            <w:tcBorders>
              <w:top w:val="single" w:sz="8" w:space="0" w:color="000000"/>
              <w:left w:val="single" w:sz="8" w:space="0" w:color="000000"/>
              <w:bottom w:val="single" w:sz="4" w:space="0" w:color="000000"/>
              <w:right w:val="nil"/>
            </w:tcBorders>
            <w:vAlign w:val="bottom"/>
          </w:tcPr>
          <w:p w:rsidR="00E8309B" w:rsidRDefault="00E8309B">
            <w:pPr>
              <w:spacing w:after="160" w:line="259" w:lineRule="auto"/>
              <w:ind w:left="0" w:right="0" w:firstLine="0"/>
              <w:jc w:val="left"/>
            </w:pPr>
          </w:p>
        </w:tc>
        <w:tc>
          <w:tcPr>
            <w:tcW w:w="845" w:type="dxa"/>
            <w:gridSpan w:val="2"/>
            <w:tcBorders>
              <w:top w:val="single" w:sz="8" w:space="0" w:color="000000"/>
              <w:left w:val="nil"/>
              <w:bottom w:val="single" w:sz="4" w:space="0" w:color="000000"/>
              <w:right w:val="nil"/>
            </w:tcBorders>
          </w:tcPr>
          <w:p w:rsidR="00E8309B" w:rsidRDefault="009D0949">
            <w:pPr>
              <w:spacing w:after="0" w:line="259" w:lineRule="auto"/>
              <w:ind w:left="0" w:right="49" w:firstLine="0"/>
              <w:jc w:val="center"/>
            </w:pPr>
            <w:r>
              <w:rPr>
                <w:b/>
                <w:sz w:val="20"/>
              </w:rPr>
              <w:t xml:space="preserve">2023 </w:t>
            </w:r>
          </w:p>
        </w:tc>
        <w:tc>
          <w:tcPr>
            <w:tcW w:w="423" w:type="dxa"/>
            <w:tcBorders>
              <w:top w:val="single" w:sz="8" w:space="0" w:color="000000"/>
              <w:left w:val="nil"/>
              <w:bottom w:val="single" w:sz="4" w:space="0" w:color="000000"/>
              <w:right w:val="single" w:sz="8" w:space="0" w:color="000000"/>
            </w:tcBorders>
          </w:tcPr>
          <w:p w:rsidR="00E8309B" w:rsidRDefault="00E8309B">
            <w:pPr>
              <w:spacing w:after="160" w:line="259" w:lineRule="auto"/>
              <w:ind w:left="0" w:right="0" w:firstLine="0"/>
              <w:jc w:val="left"/>
            </w:pPr>
          </w:p>
        </w:tc>
      </w:tr>
      <w:tr w:rsidR="00E8309B">
        <w:trPr>
          <w:trHeight w:val="326"/>
        </w:trPr>
        <w:tc>
          <w:tcPr>
            <w:tcW w:w="0" w:type="auto"/>
            <w:vMerge/>
            <w:tcBorders>
              <w:top w:val="nil"/>
              <w:left w:val="single" w:sz="8" w:space="0" w:color="000000"/>
              <w:bottom w:val="single" w:sz="8" w:space="0" w:color="000000"/>
              <w:right w:val="single" w:sz="8" w:space="0" w:color="000000"/>
            </w:tcBorders>
          </w:tcPr>
          <w:p w:rsidR="00E8309B" w:rsidRDefault="00E8309B">
            <w:pPr>
              <w:spacing w:after="160" w:line="259" w:lineRule="auto"/>
              <w:ind w:left="0" w:right="0" w:firstLine="0"/>
              <w:jc w:val="left"/>
            </w:pPr>
          </w:p>
        </w:tc>
        <w:tc>
          <w:tcPr>
            <w:tcW w:w="0" w:type="auto"/>
            <w:vMerge/>
            <w:tcBorders>
              <w:top w:val="nil"/>
              <w:left w:val="single" w:sz="8" w:space="0" w:color="000000"/>
              <w:bottom w:val="single" w:sz="8" w:space="0" w:color="000000"/>
              <w:right w:val="single" w:sz="8" w:space="0" w:color="000000"/>
            </w:tcBorders>
          </w:tcPr>
          <w:p w:rsidR="00E8309B" w:rsidRDefault="00E8309B">
            <w:pPr>
              <w:spacing w:after="160" w:line="259" w:lineRule="auto"/>
              <w:ind w:left="0" w:right="0" w:firstLine="0"/>
              <w:jc w:val="left"/>
            </w:pPr>
          </w:p>
        </w:tc>
        <w:tc>
          <w:tcPr>
            <w:tcW w:w="420" w:type="dxa"/>
            <w:tcBorders>
              <w:top w:val="single" w:sz="4" w:space="0" w:color="000000"/>
              <w:left w:val="single" w:sz="8" w:space="0" w:color="000000"/>
              <w:bottom w:val="single" w:sz="8" w:space="0" w:color="000000"/>
              <w:right w:val="single" w:sz="4" w:space="0" w:color="000000"/>
            </w:tcBorders>
          </w:tcPr>
          <w:p w:rsidR="00E8309B" w:rsidRDefault="009D0949">
            <w:pPr>
              <w:spacing w:after="0" w:line="259" w:lineRule="auto"/>
              <w:ind w:left="40" w:right="0" w:firstLine="0"/>
              <w:jc w:val="left"/>
            </w:pPr>
            <w:r>
              <w:rPr>
                <w:i/>
                <w:sz w:val="18"/>
              </w:rPr>
              <w:t xml:space="preserve">Q1 </w:t>
            </w:r>
          </w:p>
        </w:tc>
        <w:tc>
          <w:tcPr>
            <w:tcW w:w="425" w:type="dxa"/>
            <w:tcBorders>
              <w:top w:val="single" w:sz="4" w:space="0" w:color="000000"/>
              <w:left w:val="single" w:sz="4" w:space="0" w:color="000000"/>
              <w:bottom w:val="single" w:sz="8" w:space="0" w:color="000000"/>
              <w:right w:val="single" w:sz="4" w:space="0" w:color="000000"/>
            </w:tcBorders>
          </w:tcPr>
          <w:p w:rsidR="00E8309B" w:rsidRDefault="009D0949">
            <w:pPr>
              <w:spacing w:after="0" w:line="259" w:lineRule="auto"/>
              <w:ind w:left="42" w:right="0" w:firstLine="0"/>
              <w:jc w:val="left"/>
            </w:pPr>
            <w:r>
              <w:rPr>
                <w:i/>
                <w:sz w:val="18"/>
              </w:rPr>
              <w:t xml:space="preserve">Q2 </w:t>
            </w:r>
          </w:p>
        </w:tc>
        <w:tc>
          <w:tcPr>
            <w:tcW w:w="422" w:type="dxa"/>
            <w:tcBorders>
              <w:top w:val="single" w:sz="4" w:space="0" w:color="000000"/>
              <w:left w:val="single" w:sz="4" w:space="0" w:color="000000"/>
              <w:bottom w:val="single" w:sz="8" w:space="0" w:color="000000"/>
              <w:right w:val="single" w:sz="4" w:space="0" w:color="000000"/>
            </w:tcBorders>
          </w:tcPr>
          <w:p w:rsidR="00E8309B" w:rsidRDefault="009D0949">
            <w:pPr>
              <w:spacing w:after="0" w:line="259" w:lineRule="auto"/>
              <w:ind w:left="42" w:right="0" w:firstLine="0"/>
              <w:jc w:val="left"/>
            </w:pPr>
            <w:r>
              <w:rPr>
                <w:i/>
                <w:sz w:val="18"/>
              </w:rPr>
              <w:t xml:space="preserve">Q3 </w:t>
            </w:r>
          </w:p>
        </w:tc>
        <w:tc>
          <w:tcPr>
            <w:tcW w:w="422" w:type="dxa"/>
            <w:tcBorders>
              <w:top w:val="single" w:sz="4" w:space="0" w:color="000000"/>
              <w:left w:val="single" w:sz="4" w:space="0" w:color="000000"/>
              <w:bottom w:val="single" w:sz="8" w:space="0" w:color="000000"/>
              <w:right w:val="single" w:sz="8" w:space="0" w:color="000000"/>
            </w:tcBorders>
          </w:tcPr>
          <w:p w:rsidR="00E8309B" w:rsidRDefault="009D0949">
            <w:pPr>
              <w:spacing w:after="0" w:line="259" w:lineRule="auto"/>
              <w:ind w:left="42" w:right="0" w:firstLine="0"/>
              <w:jc w:val="left"/>
            </w:pPr>
            <w:r>
              <w:rPr>
                <w:i/>
                <w:sz w:val="18"/>
              </w:rPr>
              <w:t xml:space="preserve">Q4 </w:t>
            </w:r>
          </w:p>
        </w:tc>
        <w:tc>
          <w:tcPr>
            <w:tcW w:w="425" w:type="dxa"/>
            <w:tcBorders>
              <w:top w:val="single" w:sz="4" w:space="0" w:color="000000"/>
              <w:left w:val="single" w:sz="8" w:space="0" w:color="000000"/>
              <w:bottom w:val="single" w:sz="8" w:space="0" w:color="000000"/>
              <w:right w:val="single" w:sz="4" w:space="0" w:color="000000"/>
            </w:tcBorders>
          </w:tcPr>
          <w:p w:rsidR="00E8309B" w:rsidRDefault="009D0949">
            <w:pPr>
              <w:spacing w:after="0" w:line="259" w:lineRule="auto"/>
              <w:ind w:left="44" w:right="0" w:firstLine="0"/>
              <w:jc w:val="left"/>
            </w:pPr>
            <w:r>
              <w:rPr>
                <w:i/>
                <w:sz w:val="18"/>
              </w:rPr>
              <w:t xml:space="preserve">Q1 </w:t>
            </w:r>
          </w:p>
        </w:tc>
        <w:tc>
          <w:tcPr>
            <w:tcW w:w="422" w:type="dxa"/>
            <w:tcBorders>
              <w:top w:val="single" w:sz="4" w:space="0" w:color="000000"/>
              <w:left w:val="single" w:sz="4" w:space="0" w:color="000000"/>
              <w:bottom w:val="single" w:sz="8" w:space="0" w:color="000000"/>
              <w:right w:val="single" w:sz="4" w:space="0" w:color="000000"/>
            </w:tcBorders>
          </w:tcPr>
          <w:p w:rsidR="00E8309B" w:rsidRDefault="009D0949">
            <w:pPr>
              <w:spacing w:after="0" w:line="259" w:lineRule="auto"/>
              <w:ind w:left="42" w:right="0" w:firstLine="0"/>
              <w:jc w:val="left"/>
            </w:pPr>
            <w:r>
              <w:rPr>
                <w:i/>
                <w:sz w:val="18"/>
              </w:rPr>
              <w:t xml:space="preserve">Q2 </w:t>
            </w:r>
          </w:p>
        </w:tc>
        <w:tc>
          <w:tcPr>
            <w:tcW w:w="423" w:type="dxa"/>
            <w:tcBorders>
              <w:top w:val="single" w:sz="4" w:space="0" w:color="000000"/>
              <w:left w:val="single" w:sz="4" w:space="0" w:color="000000"/>
              <w:bottom w:val="single" w:sz="8" w:space="0" w:color="000000"/>
              <w:right w:val="single" w:sz="4" w:space="0" w:color="000000"/>
            </w:tcBorders>
          </w:tcPr>
          <w:p w:rsidR="00E8309B" w:rsidRDefault="009D0949">
            <w:pPr>
              <w:spacing w:after="0" w:line="259" w:lineRule="auto"/>
              <w:ind w:left="42" w:right="0" w:firstLine="0"/>
              <w:jc w:val="left"/>
            </w:pPr>
            <w:r>
              <w:rPr>
                <w:i/>
                <w:sz w:val="18"/>
              </w:rPr>
              <w:t xml:space="preserve">Q3 </w:t>
            </w:r>
          </w:p>
        </w:tc>
        <w:tc>
          <w:tcPr>
            <w:tcW w:w="422" w:type="dxa"/>
            <w:tcBorders>
              <w:top w:val="single" w:sz="4" w:space="0" w:color="000000"/>
              <w:left w:val="single" w:sz="4" w:space="0" w:color="000000"/>
              <w:bottom w:val="single" w:sz="8" w:space="0" w:color="000000"/>
              <w:right w:val="single" w:sz="8" w:space="0" w:color="000000"/>
            </w:tcBorders>
          </w:tcPr>
          <w:p w:rsidR="00E8309B" w:rsidRDefault="009D0949">
            <w:pPr>
              <w:spacing w:after="0" w:line="259" w:lineRule="auto"/>
              <w:ind w:left="42" w:right="0" w:firstLine="0"/>
              <w:jc w:val="left"/>
            </w:pPr>
            <w:r>
              <w:rPr>
                <w:i/>
                <w:sz w:val="18"/>
              </w:rPr>
              <w:t xml:space="preserve">Q4 </w:t>
            </w:r>
          </w:p>
        </w:tc>
        <w:tc>
          <w:tcPr>
            <w:tcW w:w="425" w:type="dxa"/>
            <w:tcBorders>
              <w:top w:val="single" w:sz="4" w:space="0" w:color="000000"/>
              <w:left w:val="single" w:sz="8" w:space="0" w:color="000000"/>
              <w:bottom w:val="single" w:sz="8" w:space="0" w:color="000000"/>
              <w:right w:val="single" w:sz="4" w:space="0" w:color="000000"/>
            </w:tcBorders>
          </w:tcPr>
          <w:p w:rsidR="00E8309B" w:rsidRDefault="009D0949">
            <w:pPr>
              <w:spacing w:after="0" w:line="259" w:lineRule="auto"/>
              <w:ind w:left="44" w:right="0" w:firstLine="0"/>
              <w:jc w:val="left"/>
            </w:pPr>
            <w:r>
              <w:rPr>
                <w:i/>
                <w:sz w:val="18"/>
              </w:rPr>
              <w:t xml:space="preserve">Q1 </w:t>
            </w:r>
          </w:p>
        </w:tc>
        <w:tc>
          <w:tcPr>
            <w:tcW w:w="422" w:type="dxa"/>
            <w:tcBorders>
              <w:top w:val="single" w:sz="4" w:space="0" w:color="000000"/>
              <w:left w:val="single" w:sz="4" w:space="0" w:color="000000"/>
              <w:bottom w:val="single" w:sz="8" w:space="0" w:color="000000"/>
              <w:right w:val="single" w:sz="4" w:space="0" w:color="000000"/>
            </w:tcBorders>
          </w:tcPr>
          <w:p w:rsidR="00E8309B" w:rsidRDefault="009D0949">
            <w:pPr>
              <w:spacing w:after="0" w:line="259" w:lineRule="auto"/>
              <w:ind w:left="42" w:right="0" w:firstLine="0"/>
              <w:jc w:val="left"/>
            </w:pPr>
            <w:r>
              <w:rPr>
                <w:i/>
                <w:sz w:val="18"/>
              </w:rPr>
              <w:t xml:space="preserve">Q2 </w:t>
            </w:r>
          </w:p>
        </w:tc>
        <w:tc>
          <w:tcPr>
            <w:tcW w:w="422" w:type="dxa"/>
            <w:tcBorders>
              <w:top w:val="single" w:sz="4" w:space="0" w:color="000000"/>
              <w:left w:val="single" w:sz="4" w:space="0" w:color="000000"/>
              <w:bottom w:val="single" w:sz="8" w:space="0" w:color="000000"/>
              <w:right w:val="single" w:sz="4" w:space="0" w:color="000000"/>
            </w:tcBorders>
          </w:tcPr>
          <w:p w:rsidR="00E8309B" w:rsidRDefault="009D0949">
            <w:pPr>
              <w:spacing w:after="0" w:line="259" w:lineRule="auto"/>
              <w:ind w:left="42" w:right="0" w:firstLine="0"/>
              <w:jc w:val="left"/>
            </w:pPr>
            <w:r>
              <w:rPr>
                <w:i/>
                <w:sz w:val="18"/>
              </w:rPr>
              <w:t xml:space="preserve">Q3 </w:t>
            </w:r>
          </w:p>
        </w:tc>
        <w:tc>
          <w:tcPr>
            <w:tcW w:w="423" w:type="dxa"/>
            <w:tcBorders>
              <w:top w:val="single" w:sz="4" w:space="0" w:color="000000"/>
              <w:left w:val="single" w:sz="4" w:space="0" w:color="000000"/>
              <w:bottom w:val="single" w:sz="8" w:space="0" w:color="000000"/>
              <w:right w:val="single" w:sz="8" w:space="0" w:color="000000"/>
            </w:tcBorders>
          </w:tcPr>
          <w:p w:rsidR="00E8309B" w:rsidRDefault="009D0949">
            <w:pPr>
              <w:spacing w:after="0" w:line="259" w:lineRule="auto"/>
              <w:ind w:left="42" w:right="0" w:firstLine="0"/>
              <w:jc w:val="left"/>
            </w:pPr>
            <w:r>
              <w:rPr>
                <w:i/>
                <w:sz w:val="18"/>
              </w:rPr>
              <w:t xml:space="preserve">Q4 </w:t>
            </w:r>
          </w:p>
        </w:tc>
      </w:tr>
      <w:tr w:rsidR="00E8309B">
        <w:trPr>
          <w:trHeight w:val="478"/>
        </w:trPr>
        <w:tc>
          <w:tcPr>
            <w:tcW w:w="427" w:type="dxa"/>
            <w:tcBorders>
              <w:top w:val="single" w:sz="8" w:space="0" w:color="000000"/>
              <w:left w:val="single" w:sz="8" w:space="0" w:color="000000"/>
              <w:bottom w:val="single" w:sz="8" w:space="0" w:color="000000"/>
              <w:right w:val="single" w:sz="8" w:space="0" w:color="000000"/>
            </w:tcBorders>
            <w:vAlign w:val="center"/>
          </w:tcPr>
          <w:p w:rsidR="00E8309B" w:rsidRDefault="009D0949">
            <w:pPr>
              <w:spacing w:after="0" w:line="259" w:lineRule="auto"/>
              <w:ind w:left="0" w:right="51" w:firstLine="0"/>
              <w:jc w:val="right"/>
            </w:pPr>
            <w:r>
              <w:rPr>
                <w:sz w:val="20"/>
              </w:rPr>
              <w:t xml:space="preserve">1 </w:t>
            </w:r>
          </w:p>
        </w:tc>
        <w:tc>
          <w:tcPr>
            <w:tcW w:w="4137"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0" w:firstLine="0"/>
              <w:jc w:val="left"/>
            </w:pPr>
            <w:r>
              <w:rPr>
                <w:sz w:val="20"/>
              </w:rPr>
              <w:t xml:space="preserve">Израда Студије о успостављању Агенције за аграрна плаћања </w:t>
            </w:r>
          </w:p>
        </w:tc>
        <w:tc>
          <w:tcPr>
            <w:tcW w:w="420" w:type="dxa"/>
            <w:tcBorders>
              <w:top w:val="single" w:sz="8" w:space="0" w:color="000000"/>
              <w:left w:val="single" w:sz="8" w:space="0" w:color="000000"/>
              <w:bottom w:val="single" w:sz="8" w:space="0" w:color="000000"/>
              <w:right w:val="single" w:sz="4" w:space="0" w:color="000000"/>
            </w:tcBorders>
            <w:shd w:val="clear" w:color="auto" w:fill="BFBFBF"/>
            <w:vAlign w:val="center"/>
          </w:tcPr>
          <w:p w:rsidR="00E8309B" w:rsidRDefault="009D0949">
            <w:pPr>
              <w:spacing w:after="0" w:line="259" w:lineRule="auto"/>
              <w:ind w:left="0" w:right="10" w:firstLine="0"/>
              <w:jc w:val="center"/>
            </w:pPr>
            <w:r>
              <w:rPr>
                <w:i/>
                <w:sz w:val="18"/>
              </w:rPr>
              <w:t xml:space="preserve"> </w:t>
            </w:r>
          </w:p>
        </w:tc>
        <w:tc>
          <w:tcPr>
            <w:tcW w:w="425" w:type="dxa"/>
            <w:tcBorders>
              <w:top w:val="single" w:sz="8" w:space="0" w:color="000000"/>
              <w:left w:val="single" w:sz="4" w:space="0" w:color="000000"/>
              <w:bottom w:val="single" w:sz="8" w:space="0" w:color="000000"/>
              <w:right w:val="single" w:sz="4" w:space="0" w:color="000000"/>
            </w:tcBorders>
            <w:vAlign w:val="center"/>
          </w:tcPr>
          <w:p w:rsidR="00E8309B" w:rsidRDefault="009D0949">
            <w:pPr>
              <w:spacing w:after="0" w:line="259" w:lineRule="auto"/>
              <w:ind w:left="0" w:right="10" w:firstLine="0"/>
              <w:jc w:val="center"/>
            </w:pPr>
            <w:r>
              <w:rPr>
                <w:i/>
                <w:sz w:val="18"/>
              </w:rPr>
              <w:t xml:space="preserve"> </w:t>
            </w:r>
          </w:p>
        </w:tc>
        <w:tc>
          <w:tcPr>
            <w:tcW w:w="422" w:type="dxa"/>
            <w:tcBorders>
              <w:top w:val="single" w:sz="8" w:space="0" w:color="000000"/>
              <w:left w:val="single" w:sz="4" w:space="0" w:color="000000"/>
              <w:bottom w:val="single" w:sz="8" w:space="0" w:color="000000"/>
              <w:right w:val="single" w:sz="4" w:space="0" w:color="000000"/>
            </w:tcBorders>
            <w:vAlign w:val="center"/>
          </w:tcPr>
          <w:p w:rsidR="00E8309B" w:rsidRDefault="009D0949">
            <w:pPr>
              <w:spacing w:after="0" w:line="259" w:lineRule="auto"/>
              <w:ind w:left="0" w:right="7" w:firstLine="0"/>
              <w:jc w:val="center"/>
            </w:pPr>
            <w:r>
              <w:rPr>
                <w:i/>
                <w:sz w:val="18"/>
              </w:rPr>
              <w:t xml:space="preserve"> </w:t>
            </w:r>
          </w:p>
        </w:tc>
        <w:tc>
          <w:tcPr>
            <w:tcW w:w="422" w:type="dxa"/>
            <w:tcBorders>
              <w:top w:val="single" w:sz="8" w:space="0" w:color="000000"/>
              <w:left w:val="single" w:sz="4" w:space="0" w:color="000000"/>
              <w:bottom w:val="single" w:sz="8" w:space="0" w:color="000000"/>
              <w:right w:val="single" w:sz="8" w:space="0" w:color="000000"/>
            </w:tcBorders>
            <w:vAlign w:val="center"/>
          </w:tcPr>
          <w:p w:rsidR="00E8309B" w:rsidRDefault="009D0949">
            <w:pPr>
              <w:spacing w:after="0" w:line="259" w:lineRule="auto"/>
              <w:ind w:left="0" w:right="7" w:firstLine="0"/>
              <w:jc w:val="center"/>
            </w:pPr>
            <w:r>
              <w:rPr>
                <w:i/>
                <w:sz w:val="18"/>
              </w:rPr>
              <w:t xml:space="preserve"> </w:t>
            </w:r>
          </w:p>
        </w:tc>
        <w:tc>
          <w:tcPr>
            <w:tcW w:w="425" w:type="dxa"/>
            <w:tcBorders>
              <w:top w:val="single" w:sz="8" w:space="0" w:color="000000"/>
              <w:left w:val="single" w:sz="8" w:space="0" w:color="000000"/>
              <w:bottom w:val="single" w:sz="8" w:space="0" w:color="000000"/>
              <w:right w:val="single" w:sz="4" w:space="0" w:color="000000"/>
            </w:tcBorders>
            <w:vAlign w:val="center"/>
          </w:tcPr>
          <w:p w:rsidR="00E8309B" w:rsidRDefault="009D0949">
            <w:pPr>
              <w:spacing w:after="0" w:line="259" w:lineRule="auto"/>
              <w:ind w:left="0" w:right="5" w:firstLine="0"/>
              <w:jc w:val="center"/>
            </w:pPr>
            <w:r>
              <w:rPr>
                <w:i/>
                <w:sz w:val="18"/>
              </w:rPr>
              <w:t xml:space="preserve"> </w:t>
            </w:r>
          </w:p>
        </w:tc>
        <w:tc>
          <w:tcPr>
            <w:tcW w:w="422" w:type="dxa"/>
            <w:tcBorders>
              <w:top w:val="single" w:sz="8" w:space="0" w:color="000000"/>
              <w:left w:val="single" w:sz="4" w:space="0" w:color="000000"/>
              <w:bottom w:val="single" w:sz="8" w:space="0" w:color="000000"/>
              <w:right w:val="single" w:sz="4" w:space="0" w:color="000000"/>
            </w:tcBorders>
            <w:vAlign w:val="center"/>
          </w:tcPr>
          <w:p w:rsidR="00E8309B" w:rsidRDefault="009D0949">
            <w:pPr>
              <w:spacing w:after="0" w:line="259" w:lineRule="auto"/>
              <w:ind w:left="0" w:right="7" w:firstLine="0"/>
              <w:jc w:val="center"/>
            </w:pPr>
            <w:r>
              <w:rPr>
                <w:i/>
                <w:sz w:val="18"/>
              </w:rPr>
              <w:t xml:space="preserve"> </w:t>
            </w:r>
          </w:p>
        </w:tc>
        <w:tc>
          <w:tcPr>
            <w:tcW w:w="423" w:type="dxa"/>
            <w:tcBorders>
              <w:top w:val="single" w:sz="8" w:space="0" w:color="000000"/>
              <w:left w:val="single" w:sz="4" w:space="0" w:color="000000"/>
              <w:bottom w:val="single" w:sz="8" w:space="0" w:color="000000"/>
              <w:right w:val="single" w:sz="4" w:space="0" w:color="000000"/>
            </w:tcBorders>
            <w:vAlign w:val="center"/>
          </w:tcPr>
          <w:p w:rsidR="00E8309B" w:rsidRDefault="009D0949">
            <w:pPr>
              <w:spacing w:after="0" w:line="259" w:lineRule="auto"/>
              <w:ind w:left="0" w:right="7" w:firstLine="0"/>
              <w:jc w:val="center"/>
            </w:pPr>
            <w:r>
              <w:rPr>
                <w:i/>
                <w:sz w:val="18"/>
              </w:rPr>
              <w:t xml:space="preserve"> </w:t>
            </w:r>
          </w:p>
        </w:tc>
        <w:tc>
          <w:tcPr>
            <w:tcW w:w="422" w:type="dxa"/>
            <w:tcBorders>
              <w:top w:val="single" w:sz="8" w:space="0" w:color="000000"/>
              <w:left w:val="single" w:sz="4" w:space="0" w:color="000000"/>
              <w:bottom w:val="single" w:sz="8" w:space="0" w:color="000000"/>
              <w:right w:val="single" w:sz="8" w:space="0" w:color="000000"/>
            </w:tcBorders>
            <w:vAlign w:val="center"/>
          </w:tcPr>
          <w:p w:rsidR="00E8309B" w:rsidRDefault="009D0949">
            <w:pPr>
              <w:spacing w:after="0" w:line="259" w:lineRule="auto"/>
              <w:ind w:left="0" w:right="7" w:firstLine="0"/>
              <w:jc w:val="center"/>
            </w:pPr>
            <w:r>
              <w:rPr>
                <w:i/>
                <w:sz w:val="18"/>
              </w:rPr>
              <w:t xml:space="preserve"> </w:t>
            </w:r>
          </w:p>
        </w:tc>
        <w:tc>
          <w:tcPr>
            <w:tcW w:w="425" w:type="dxa"/>
            <w:tcBorders>
              <w:top w:val="single" w:sz="8" w:space="0" w:color="000000"/>
              <w:left w:val="single" w:sz="8" w:space="0" w:color="000000"/>
              <w:bottom w:val="single" w:sz="8" w:space="0" w:color="000000"/>
              <w:right w:val="single" w:sz="4" w:space="0" w:color="000000"/>
            </w:tcBorders>
            <w:vAlign w:val="center"/>
          </w:tcPr>
          <w:p w:rsidR="00E8309B" w:rsidRDefault="009D0949">
            <w:pPr>
              <w:spacing w:after="0" w:line="259" w:lineRule="auto"/>
              <w:ind w:left="0" w:right="5" w:firstLine="0"/>
              <w:jc w:val="center"/>
            </w:pPr>
            <w:r>
              <w:rPr>
                <w:i/>
                <w:sz w:val="18"/>
              </w:rPr>
              <w:t xml:space="preserve"> </w:t>
            </w:r>
          </w:p>
        </w:tc>
        <w:tc>
          <w:tcPr>
            <w:tcW w:w="422" w:type="dxa"/>
            <w:tcBorders>
              <w:top w:val="single" w:sz="8" w:space="0" w:color="000000"/>
              <w:left w:val="single" w:sz="4" w:space="0" w:color="000000"/>
              <w:bottom w:val="single" w:sz="8" w:space="0" w:color="000000"/>
              <w:right w:val="single" w:sz="4" w:space="0" w:color="000000"/>
            </w:tcBorders>
            <w:vAlign w:val="center"/>
          </w:tcPr>
          <w:p w:rsidR="00E8309B" w:rsidRDefault="009D0949">
            <w:pPr>
              <w:spacing w:after="0" w:line="259" w:lineRule="auto"/>
              <w:ind w:left="0" w:right="7" w:firstLine="0"/>
              <w:jc w:val="center"/>
            </w:pPr>
            <w:r>
              <w:rPr>
                <w:i/>
                <w:sz w:val="18"/>
              </w:rPr>
              <w:t xml:space="preserve"> </w:t>
            </w:r>
          </w:p>
        </w:tc>
        <w:tc>
          <w:tcPr>
            <w:tcW w:w="422" w:type="dxa"/>
            <w:tcBorders>
              <w:top w:val="single" w:sz="8" w:space="0" w:color="000000"/>
              <w:left w:val="single" w:sz="4" w:space="0" w:color="000000"/>
              <w:bottom w:val="single" w:sz="8" w:space="0" w:color="000000"/>
              <w:right w:val="single" w:sz="4" w:space="0" w:color="000000"/>
            </w:tcBorders>
            <w:vAlign w:val="center"/>
          </w:tcPr>
          <w:p w:rsidR="00E8309B" w:rsidRDefault="009D0949">
            <w:pPr>
              <w:spacing w:after="0" w:line="259" w:lineRule="auto"/>
              <w:ind w:left="0" w:right="7" w:firstLine="0"/>
              <w:jc w:val="center"/>
            </w:pPr>
            <w:r>
              <w:rPr>
                <w:i/>
                <w:sz w:val="18"/>
              </w:rPr>
              <w:t xml:space="preserve"> </w:t>
            </w:r>
          </w:p>
        </w:tc>
        <w:tc>
          <w:tcPr>
            <w:tcW w:w="423" w:type="dxa"/>
            <w:tcBorders>
              <w:top w:val="single" w:sz="8" w:space="0" w:color="000000"/>
              <w:left w:val="single" w:sz="4" w:space="0" w:color="000000"/>
              <w:bottom w:val="single" w:sz="8" w:space="0" w:color="000000"/>
              <w:right w:val="single" w:sz="8" w:space="0" w:color="000000"/>
            </w:tcBorders>
            <w:vAlign w:val="center"/>
          </w:tcPr>
          <w:p w:rsidR="00E8309B" w:rsidRDefault="009D0949">
            <w:pPr>
              <w:spacing w:after="0" w:line="259" w:lineRule="auto"/>
              <w:ind w:left="0" w:right="7" w:firstLine="0"/>
              <w:jc w:val="center"/>
            </w:pPr>
            <w:r>
              <w:rPr>
                <w:i/>
                <w:sz w:val="18"/>
              </w:rPr>
              <w:t xml:space="preserve"> </w:t>
            </w:r>
          </w:p>
        </w:tc>
      </w:tr>
      <w:tr w:rsidR="00E8309B">
        <w:trPr>
          <w:trHeight w:val="319"/>
        </w:trPr>
        <w:tc>
          <w:tcPr>
            <w:tcW w:w="427"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1" w:firstLine="0"/>
              <w:jc w:val="right"/>
            </w:pPr>
            <w:r>
              <w:rPr>
                <w:sz w:val="20"/>
              </w:rPr>
              <w:t xml:space="preserve">2 </w:t>
            </w:r>
          </w:p>
        </w:tc>
        <w:tc>
          <w:tcPr>
            <w:tcW w:w="4137"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0" w:firstLine="0"/>
              <w:jc w:val="left"/>
            </w:pPr>
            <w:r>
              <w:rPr>
                <w:sz w:val="20"/>
              </w:rPr>
              <w:t xml:space="preserve">Израда информационе стратегије МПШВ  </w:t>
            </w:r>
          </w:p>
        </w:tc>
        <w:tc>
          <w:tcPr>
            <w:tcW w:w="420" w:type="dxa"/>
            <w:tcBorders>
              <w:top w:val="single" w:sz="8" w:space="0" w:color="000000"/>
              <w:left w:val="single" w:sz="8" w:space="0" w:color="000000"/>
              <w:bottom w:val="single" w:sz="8" w:space="0" w:color="000000"/>
              <w:right w:val="single" w:sz="4" w:space="0" w:color="000000"/>
            </w:tcBorders>
            <w:shd w:val="clear" w:color="auto" w:fill="BFBFBF"/>
          </w:tcPr>
          <w:p w:rsidR="00E8309B" w:rsidRDefault="009D0949">
            <w:pPr>
              <w:spacing w:after="0" w:line="259" w:lineRule="auto"/>
              <w:ind w:left="0" w:right="10" w:firstLine="0"/>
              <w:jc w:val="center"/>
            </w:pPr>
            <w:r>
              <w:rPr>
                <w:i/>
                <w:sz w:val="18"/>
              </w:rPr>
              <w:t xml:space="preserve"> </w:t>
            </w:r>
          </w:p>
        </w:tc>
        <w:tc>
          <w:tcPr>
            <w:tcW w:w="425" w:type="dxa"/>
            <w:tcBorders>
              <w:top w:val="single" w:sz="8" w:space="0" w:color="000000"/>
              <w:left w:val="single" w:sz="4" w:space="0" w:color="000000"/>
              <w:bottom w:val="single" w:sz="8" w:space="0" w:color="000000"/>
              <w:right w:val="single" w:sz="4" w:space="0" w:color="000000"/>
            </w:tcBorders>
            <w:shd w:val="clear" w:color="auto" w:fill="BFBFBF"/>
          </w:tcPr>
          <w:p w:rsidR="00E8309B" w:rsidRDefault="009D0949">
            <w:pPr>
              <w:spacing w:after="0" w:line="259" w:lineRule="auto"/>
              <w:ind w:left="0" w:right="10" w:firstLine="0"/>
              <w:jc w:val="center"/>
            </w:pPr>
            <w:r>
              <w:rPr>
                <w:i/>
                <w:sz w:val="18"/>
              </w:rPr>
              <w:t xml:space="preserve"> </w:t>
            </w:r>
          </w:p>
        </w:tc>
        <w:tc>
          <w:tcPr>
            <w:tcW w:w="422" w:type="dxa"/>
            <w:tcBorders>
              <w:top w:val="single" w:sz="8" w:space="0" w:color="000000"/>
              <w:left w:val="single" w:sz="4" w:space="0" w:color="000000"/>
              <w:bottom w:val="single" w:sz="8" w:space="0" w:color="000000"/>
              <w:right w:val="single" w:sz="4" w:space="0" w:color="000000"/>
            </w:tcBorders>
          </w:tcPr>
          <w:p w:rsidR="00E8309B" w:rsidRDefault="009D0949">
            <w:pPr>
              <w:spacing w:after="0" w:line="259" w:lineRule="auto"/>
              <w:ind w:left="0" w:right="7" w:firstLine="0"/>
              <w:jc w:val="center"/>
            </w:pPr>
            <w:r>
              <w:rPr>
                <w:i/>
                <w:sz w:val="18"/>
              </w:rPr>
              <w:t xml:space="preserve"> </w:t>
            </w:r>
          </w:p>
        </w:tc>
        <w:tc>
          <w:tcPr>
            <w:tcW w:w="422" w:type="dxa"/>
            <w:tcBorders>
              <w:top w:val="single" w:sz="8" w:space="0" w:color="000000"/>
              <w:left w:val="single" w:sz="4" w:space="0" w:color="000000"/>
              <w:bottom w:val="single" w:sz="8" w:space="0" w:color="000000"/>
              <w:right w:val="single" w:sz="8" w:space="0" w:color="000000"/>
            </w:tcBorders>
          </w:tcPr>
          <w:p w:rsidR="00E8309B" w:rsidRDefault="009D0949">
            <w:pPr>
              <w:spacing w:after="0" w:line="259" w:lineRule="auto"/>
              <w:ind w:left="0" w:right="7" w:firstLine="0"/>
              <w:jc w:val="center"/>
            </w:pPr>
            <w:r>
              <w:rPr>
                <w:i/>
                <w:sz w:val="18"/>
              </w:rPr>
              <w:t xml:space="preserve"> </w:t>
            </w:r>
          </w:p>
        </w:tc>
        <w:tc>
          <w:tcPr>
            <w:tcW w:w="425" w:type="dxa"/>
            <w:tcBorders>
              <w:top w:val="single" w:sz="8" w:space="0" w:color="000000"/>
              <w:left w:val="single" w:sz="8" w:space="0" w:color="000000"/>
              <w:bottom w:val="single" w:sz="8" w:space="0" w:color="000000"/>
              <w:right w:val="single" w:sz="4" w:space="0" w:color="000000"/>
            </w:tcBorders>
          </w:tcPr>
          <w:p w:rsidR="00E8309B" w:rsidRDefault="009D0949">
            <w:pPr>
              <w:spacing w:after="0" w:line="259" w:lineRule="auto"/>
              <w:ind w:left="0" w:right="5" w:firstLine="0"/>
              <w:jc w:val="center"/>
            </w:pPr>
            <w:r>
              <w:rPr>
                <w:i/>
                <w:sz w:val="18"/>
              </w:rPr>
              <w:t xml:space="preserve"> </w:t>
            </w:r>
          </w:p>
        </w:tc>
        <w:tc>
          <w:tcPr>
            <w:tcW w:w="422" w:type="dxa"/>
            <w:tcBorders>
              <w:top w:val="single" w:sz="8" w:space="0" w:color="000000"/>
              <w:left w:val="single" w:sz="4" w:space="0" w:color="000000"/>
              <w:bottom w:val="single" w:sz="8" w:space="0" w:color="000000"/>
              <w:right w:val="single" w:sz="4" w:space="0" w:color="000000"/>
            </w:tcBorders>
          </w:tcPr>
          <w:p w:rsidR="00E8309B" w:rsidRDefault="009D0949">
            <w:pPr>
              <w:spacing w:after="0" w:line="259" w:lineRule="auto"/>
              <w:ind w:left="0" w:right="7" w:firstLine="0"/>
              <w:jc w:val="center"/>
            </w:pPr>
            <w:r>
              <w:rPr>
                <w:i/>
                <w:sz w:val="18"/>
              </w:rPr>
              <w:t xml:space="preserve"> </w:t>
            </w:r>
          </w:p>
        </w:tc>
        <w:tc>
          <w:tcPr>
            <w:tcW w:w="423" w:type="dxa"/>
            <w:tcBorders>
              <w:top w:val="single" w:sz="8" w:space="0" w:color="000000"/>
              <w:left w:val="single" w:sz="4" w:space="0" w:color="000000"/>
              <w:bottom w:val="single" w:sz="8" w:space="0" w:color="000000"/>
              <w:right w:val="single" w:sz="4" w:space="0" w:color="000000"/>
            </w:tcBorders>
          </w:tcPr>
          <w:p w:rsidR="00E8309B" w:rsidRDefault="009D0949">
            <w:pPr>
              <w:spacing w:after="0" w:line="259" w:lineRule="auto"/>
              <w:ind w:left="0" w:right="7" w:firstLine="0"/>
              <w:jc w:val="center"/>
            </w:pPr>
            <w:r>
              <w:rPr>
                <w:i/>
                <w:sz w:val="18"/>
              </w:rPr>
              <w:t xml:space="preserve"> </w:t>
            </w:r>
          </w:p>
        </w:tc>
        <w:tc>
          <w:tcPr>
            <w:tcW w:w="422" w:type="dxa"/>
            <w:tcBorders>
              <w:top w:val="single" w:sz="8" w:space="0" w:color="000000"/>
              <w:left w:val="single" w:sz="4" w:space="0" w:color="000000"/>
              <w:bottom w:val="single" w:sz="8" w:space="0" w:color="000000"/>
              <w:right w:val="single" w:sz="8" w:space="0" w:color="000000"/>
            </w:tcBorders>
          </w:tcPr>
          <w:p w:rsidR="00E8309B" w:rsidRDefault="009D0949">
            <w:pPr>
              <w:spacing w:after="0" w:line="259" w:lineRule="auto"/>
              <w:ind w:left="0" w:right="7" w:firstLine="0"/>
              <w:jc w:val="center"/>
            </w:pPr>
            <w:r>
              <w:rPr>
                <w:i/>
                <w:sz w:val="18"/>
              </w:rPr>
              <w:t xml:space="preserve"> </w:t>
            </w:r>
          </w:p>
        </w:tc>
        <w:tc>
          <w:tcPr>
            <w:tcW w:w="425" w:type="dxa"/>
            <w:tcBorders>
              <w:top w:val="single" w:sz="8" w:space="0" w:color="000000"/>
              <w:left w:val="single" w:sz="8" w:space="0" w:color="000000"/>
              <w:bottom w:val="single" w:sz="8" w:space="0" w:color="000000"/>
              <w:right w:val="single" w:sz="4" w:space="0" w:color="000000"/>
            </w:tcBorders>
          </w:tcPr>
          <w:p w:rsidR="00E8309B" w:rsidRDefault="009D0949">
            <w:pPr>
              <w:spacing w:after="0" w:line="259" w:lineRule="auto"/>
              <w:ind w:left="0" w:right="5" w:firstLine="0"/>
              <w:jc w:val="center"/>
            </w:pPr>
            <w:r>
              <w:rPr>
                <w:i/>
                <w:sz w:val="18"/>
              </w:rPr>
              <w:t xml:space="preserve"> </w:t>
            </w:r>
          </w:p>
        </w:tc>
        <w:tc>
          <w:tcPr>
            <w:tcW w:w="422" w:type="dxa"/>
            <w:tcBorders>
              <w:top w:val="single" w:sz="8" w:space="0" w:color="000000"/>
              <w:left w:val="single" w:sz="4" w:space="0" w:color="000000"/>
              <w:bottom w:val="single" w:sz="8" w:space="0" w:color="000000"/>
              <w:right w:val="single" w:sz="4" w:space="0" w:color="000000"/>
            </w:tcBorders>
          </w:tcPr>
          <w:p w:rsidR="00E8309B" w:rsidRDefault="009D0949">
            <w:pPr>
              <w:spacing w:after="0" w:line="259" w:lineRule="auto"/>
              <w:ind w:left="0" w:right="7" w:firstLine="0"/>
              <w:jc w:val="center"/>
            </w:pPr>
            <w:r>
              <w:rPr>
                <w:i/>
                <w:sz w:val="18"/>
              </w:rPr>
              <w:t xml:space="preserve"> </w:t>
            </w:r>
          </w:p>
        </w:tc>
        <w:tc>
          <w:tcPr>
            <w:tcW w:w="422" w:type="dxa"/>
            <w:tcBorders>
              <w:top w:val="single" w:sz="8" w:space="0" w:color="000000"/>
              <w:left w:val="single" w:sz="4" w:space="0" w:color="000000"/>
              <w:bottom w:val="single" w:sz="8" w:space="0" w:color="000000"/>
              <w:right w:val="single" w:sz="4" w:space="0" w:color="000000"/>
            </w:tcBorders>
          </w:tcPr>
          <w:p w:rsidR="00E8309B" w:rsidRDefault="009D0949">
            <w:pPr>
              <w:spacing w:after="0" w:line="259" w:lineRule="auto"/>
              <w:ind w:left="0" w:right="7" w:firstLine="0"/>
              <w:jc w:val="center"/>
            </w:pPr>
            <w:r>
              <w:rPr>
                <w:i/>
                <w:sz w:val="18"/>
              </w:rPr>
              <w:t xml:space="preserve"> </w:t>
            </w:r>
          </w:p>
        </w:tc>
        <w:tc>
          <w:tcPr>
            <w:tcW w:w="423" w:type="dxa"/>
            <w:tcBorders>
              <w:top w:val="single" w:sz="8" w:space="0" w:color="000000"/>
              <w:left w:val="single" w:sz="4" w:space="0" w:color="000000"/>
              <w:bottom w:val="single" w:sz="8" w:space="0" w:color="000000"/>
              <w:right w:val="single" w:sz="8" w:space="0" w:color="000000"/>
            </w:tcBorders>
          </w:tcPr>
          <w:p w:rsidR="00E8309B" w:rsidRDefault="009D0949">
            <w:pPr>
              <w:spacing w:after="0" w:line="259" w:lineRule="auto"/>
              <w:ind w:left="0" w:right="7" w:firstLine="0"/>
              <w:jc w:val="center"/>
            </w:pPr>
            <w:r>
              <w:rPr>
                <w:i/>
                <w:sz w:val="18"/>
              </w:rPr>
              <w:t xml:space="preserve"> </w:t>
            </w:r>
          </w:p>
        </w:tc>
      </w:tr>
      <w:tr w:rsidR="00E8309B">
        <w:trPr>
          <w:trHeight w:val="319"/>
        </w:trPr>
        <w:tc>
          <w:tcPr>
            <w:tcW w:w="427"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1" w:firstLine="0"/>
              <w:jc w:val="right"/>
            </w:pPr>
            <w:r>
              <w:rPr>
                <w:sz w:val="20"/>
              </w:rPr>
              <w:t xml:space="preserve">3 </w:t>
            </w:r>
          </w:p>
        </w:tc>
        <w:tc>
          <w:tcPr>
            <w:tcW w:w="4137"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0" w:firstLine="0"/>
              <w:jc w:val="left"/>
            </w:pPr>
            <w:r>
              <w:rPr>
                <w:sz w:val="20"/>
              </w:rPr>
              <w:t xml:space="preserve">Израда РПГ софтвера  </w:t>
            </w:r>
          </w:p>
        </w:tc>
        <w:tc>
          <w:tcPr>
            <w:tcW w:w="420" w:type="dxa"/>
            <w:tcBorders>
              <w:top w:val="single" w:sz="8" w:space="0" w:color="000000"/>
              <w:left w:val="single" w:sz="8" w:space="0" w:color="000000"/>
              <w:bottom w:val="single" w:sz="8" w:space="0" w:color="000000"/>
              <w:right w:val="single" w:sz="4" w:space="0" w:color="000000"/>
            </w:tcBorders>
            <w:shd w:val="clear" w:color="auto" w:fill="BFBFBF"/>
          </w:tcPr>
          <w:p w:rsidR="00E8309B" w:rsidRDefault="009D0949">
            <w:pPr>
              <w:spacing w:after="0" w:line="259" w:lineRule="auto"/>
              <w:ind w:left="0" w:right="10" w:firstLine="0"/>
              <w:jc w:val="center"/>
            </w:pPr>
            <w:r>
              <w:rPr>
                <w:i/>
                <w:sz w:val="18"/>
              </w:rPr>
              <w:t xml:space="preserve"> </w:t>
            </w:r>
          </w:p>
        </w:tc>
        <w:tc>
          <w:tcPr>
            <w:tcW w:w="425" w:type="dxa"/>
            <w:tcBorders>
              <w:top w:val="single" w:sz="8" w:space="0" w:color="000000"/>
              <w:left w:val="single" w:sz="4" w:space="0" w:color="000000"/>
              <w:bottom w:val="single" w:sz="8" w:space="0" w:color="000000"/>
              <w:right w:val="single" w:sz="4" w:space="0" w:color="000000"/>
            </w:tcBorders>
            <w:shd w:val="clear" w:color="auto" w:fill="BFBFBF"/>
          </w:tcPr>
          <w:p w:rsidR="00E8309B" w:rsidRDefault="009D0949">
            <w:pPr>
              <w:spacing w:after="0" w:line="259" w:lineRule="auto"/>
              <w:ind w:left="0" w:right="10" w:firstLine="0"/>
              <w:jc w:val="center"/>
            </w:pPr>
            <w:r>
              <w:rPr>
                <w:i/>
                <w:sz w:val="18"/>
              </w:rPr>
              <w:t xml:space="preserve"> </w:t>
            </w:r>
          </w:p>
        </w:tc>
        <w:tc>
          <w:tcPr>
            <w:tcW w:w="422" w:type="dxa"/>
            <w:tcBorders>
              <w:top w:val="single" w:sz="8" w:space="0" w:color="000000"/>
              <w:left w:val="single" w:sz="4" w:space="0" w:color="000000"/>
              <w:bottom w:val="single" w:sz="8" w:space="0" w:color="000000"/>
              <w:right w:val="single" w:sz="4" w:space="0" w:color="000000"/>
            </w:tcBorders>
            <w:shd w:val="clear" w:color="auto" w:fill="BFBFBF"/>
          </w:tcPr>
          <w:p w:rsidR="00E8309B" w:rsidRDefault="009D0949">
            <w:pPr>
              <w:spacing w:after="0" w:line="259" w:lineRule="auto"/>
              <w:ind w:left="0" w:right="7" w:firstLine="0"/>
              <w:jc w:val="center"/>
            </w:pPr>
            <w:r>
              <w:rPr>
                <w:i/>
                <w:sz w:val="18"/>
              </w:rPr>
              <w:t xml:space="preserve"> </w:t>
            </w:r>
          </w:p>
        </w:tc>
        <w:tc>
          <w:tcPr>
            <w:tcW w:w="422" w:type="dxa"/>
            <w:tcBorders>
              <w:top w:val="single" w:sz="8" w:space="0" w:color="000000"/>
              <w:left w:val="single" w:sz="4" w:space="0" w:color="000000"/>
              <w:bottom w:val="single" w:sz="8" w:space="0" w:color="000000"/>
              <w:right w:val="single" w:sz="8" w:space="0" w:color="000000"/>
            </w:tcBorders>
          </w:tcPr>
          <w:p w:rsidR="00E8309B" w:rsidRDefault="009D0949">
            <w:pPr>
              <w:spacing w:after="0" w:line="259" w:lineRule="auto"/>
              <w:ind w:left="0" w:right="7" w:firstLine="0"/>
              <w:jc w:val="center"/>
            </w:pPr>
            <w:r>
              <w:rPr>
                <w:i/>
                <w:sz w:val="18"/>
              </w:rPr>
              <w:t xml:space="preserve"> </w:t>
            </w:r>
          </w:p>
        </w:tc>
        <w:tc>
          <w:tcPr>
            <w:tcW w:w="425" w:type="dxa"/>
            <w:tcBorders>
              <w:top w:val="single" w:sz="8" w:space="0" w:color="000000"/>
              <w:left w:val="single" w:sz="8" w:space="0" w:color="000000"/>
              <w:bottom w:val="single" w:sz="8" w:space="0" w:color="000000"/>
              <w:right w:val="single" w:sz="4" w:space="0" w:color="000000"/>
            </w:tcBorders>
          </w:tcPr>
          <w:p w:rsidR="00E8309B" w:rsidRDefault="009D0949">
            <w:pPr>
              <w:spacing w:after="0" w:line="259" w:lineRule="auto"/>
              <w:ind w:left="0" w:right="5" w:firstLine="0"/>
              <w:jc w:val="center"/>
            </w:pPr>
            <w:r>
              <w:rPr>
                <w:i/>
                <w:sz w:val="18"/>
              </w:rPr>
              <w:t xml:space="preserve"> </w:t>
            </w:r>
          </w:p>
        </w:tc>
        <w:tc>
          <w:tcPr>
            <w:tcW w:w="422" w:type="dxa"/>
            <w:tcBorders>
              <w:top w:val="single" w:sz="8" w:space="0" w:color="000000"/>
              <w:left w:val="single" w:sz="4" w:space="0" w:color="000000"/>
              <w:bottom w:val="single" w:sz="8" w:space="0" w:color="000000"/>
              <w:right w:val="single" w:sz="4" w:space="0" w:color="000000"/>
            </w:tcBorders>
          </w:tcPr>
          <w:p w:rsidR="00E8309B" w:rsidRDefault="009D0949">
            <w:pPr>
              <w:spacing w:after="0" w:line="259" w:lineRule="auto"/>
              <w:ind w:left="0" w:right="7" w:firstLine="0"/>
              <w:jc w:val="center"/>
            </w:pPr>
            <w:r>
              <w:rPr>
                <w:i/>
                <w:sz w:val="18"/>
              </w:rPr>
              <w:t xml:space="preserve"> </w:t>
            </w:r>
          </w:p>
        </w:tc>
        <w:tc>
          <w:tcPr>
            <w:tcW w:w="423" w:type="dxa"/>
            <w:tcBorders>
              <w:top w:val="single" w:sz="8" w:space="0" w:color="000000"/>
              <w:left w:val="single" w:sz="4" w:space="0" w:color="000000"/>
              <w:bottom w:val="single" w:sz="8" w:space="0" w:color="000000"/>
              <w:right w:val="single" w:sz="4" w:space="0" w:color="000000"/>
            </w:tcBorders>
          </w:tcPr>
          <w:p w:rsidR="00E8309B" w:rsidRDefault="009D0949">
            <w:pPr>
              <w:spacing w:after="0" w:line="259" w:lineRule="auto"/>
              <w:ind w:left="0" w:right="7" w:firstLine="0"/>
              <w:jc w:val="center"/>
            </w:pPr>
            <w:r>
              <w:rPr>
                <w:i/>
                <w:sz w:val="18"/>
              </w:rPr>
              <w:t xml:space="preserve"> </w:t>
            </w:r>
          </w:p>
        </w:tc>
        <w:tc>
          <w:tcPr>
            <w:tcW w:w="422" w:type="dxa"/>
            <w:tcBorders>
              <w:top w:val="single" w:sz="8" w:space="0" w:color="000000"/>
              <w:left w:val="single" w:sz="4" w:space="0" w:color="000000"/>
              <w:bottom w:val="single" w:sz="8" w:space="0" w:color="000000"/>
              <w:right w:val="single" w:sz="8" w:space="0" w:color="000000"/>
            </w:tcBorders>
          </w:tcPr>
          <w:p w:rsidR="00E8309B" w:rsidRDefault="009D0949">
            <w:pPr>
              <w:spacing w:after="0" w:line="259" w:lineRule="auto"/>
              <w:ind w:left="0" w:right="7" w:firstLine="0"/>
              <w:jc w:val="center"/>
            </w:pPr>
            <w:r>
              <w:rPr>
                <w:i/>
                <w:sz w:val="18"/>
              </w:rPr>
              <w:t xml:space="preserve"> </w:t>
            </w:r>
          </w:p>
        </w:tc>
        <w:tc>
          <w:tcPr>
            <w:tcW w:w="425" w:type="dxa"/>
            <w:tcBorders>
              <w:top w:val="single" w:sz="8" w:space="0" w:color="000000"/>
              <w:left w:val="single" w:sz="8" w:space="0" w:color="000000"/>
              <w:bottom w:val="single" w:sz="8" w:space="0" w:color="000000"/>
              <w:right w:val="single" w:sz="4" w:space="0" w:color="000000"/>
            </w:tcBorders>
          </w:tcPr>
          <w:p w:rsidR="00E8309B" w:rsidRDefault="009D0949">
            <w:pPr>
              <w:spacing w:after="0" w:line="259" w:lineRule="auto"/>
              <w:ind w:left="0" w:right="5" w:firstLine="0"/>
              <w:jc w:val="center"/>
            </w:pPr>
            <w:r>
              <w:rPr>
                <w:i/>
                <w:sz w:val="18"/>
              </w:rPr>
              <w:t xml:space="preserve"> </w:t>
            </w:r>
          </w:p>
        </w:tc>
        <w:tc>
          <w:tcPr>
            <w:tcW w:w="422" w:type="dxa"/>
            <w:tcBorders>
              <w:top w:val="single" w:sz="8" w:space="0" w:color="000000"/>
              <w:left w:val="single" w:sz="4" w:space="0" w:color="000000"/>
              <w:bottom w:val="single" w:sz="8" w:space="0" w:color="000000"/>
              <w:right w:val="single" w:sz="4" w:space="0" w:color="000000"/>
            </w:tcBorders>
          </w:tcPr>
          <w:p w:rsidR="00E8309B" w:rsidRDefault="009D0949">
            <w:pPr>
              <w:spacing w:after="0" w:line="259" w:lineRule="auto"/>
              <w:ind w:left="0" w:right="7" w:firstLine="0"/>
              <w:jc w:val="center"/>
            </w:pPr>
            <w:r>
              <w:rPr>
                <w:i/>
                <w:sz w:val="18"/>
              </w:rPr>
              <w:t xml:space="preserve"> </w:t>
            </w:r>
          </w:p>
        </w:tc>
        <w:tc>
          <w:tcPr>
            <w:tcW w:w="422" w:type="dxa"/>
            <w:tcBorders>
              <w:top w:val="single" w:sz="8" w:space="0" w:color="000000"/>
              <w:left w:val="single" w:sz="4" w:space="0" w:color="000000"/>
              <w:bottom w:val="single" w:sz="8" w:space="0" w:color="000000"/>
              <w:right w:val="single" w:sz="4" w:space="0" w:color="000000"/>
            </w:tcBorders>
          </w:tcPr>
          <w:p w:rsidR="00E8309B" w:rsidRDefault="009D0949">
            <w:pPr>
              <w:spacing w:after="0" w:line="259" w:lineRule="auto"/>
              <w:ind w:left="0" w:right="7" w:firstLine="0"/>
              <w:jc w:val="center"/>
            </w:pPr>
            <w:r>
              <w:rPr>
                <w:i/>
                <w:sz w:val="18"/>
              </w:rPr>
              <w:t xml:space="preserve"> </w:t>
            </w:r>
          </w:p>
        </w:tc>
        <w:tc>
          <w:tcPr>
            <w:tcW w:w="423" w:type="dxa"/>
            <w:tcBorders>
              <w:top w:val="single" w:sz="8" w:space="0" w:color="000000"/>
              <w:left w:val="single" w:sz="4" w:space="0" w:color="000000"/>
              <w:bottom w:val="single" w:sz="8" w:space="0" w:color="000000"/>
              <w:right w:val="single" w:sz="8" w:space="0" w:color="000000"/>
            </w:tcBorders>
          </w:tcPr>
          <w:p w:rsidR="00E8309B" w:rsidRDefault="009D0949">
            <w:pPr>
              <w:spacing w:after="0" w:line="259" w:lineRule="auto"/>
              <w:ind w:left="0" w:right="7" w:firstLine="0"/>
              <w:jc w:val="center"/>
            </w:pPr>
            <w:r>
              <w:rPr>
                <w:i/>
                <w:sz w:val="18"/>
              </w:rPr>
              <w:t xml:space="preserve"> </w:t>
            </w:r>
          </w:p>
        </w:tc>
      </w:tr>
      <w:tr w:rsidR="00E8309B">
        <w:trPr>
          <w:trHeight w:val="319"/>
        </w:trPr>
        <w:tc>
          <w:tcPr>
            <w:tcW w:w="427"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1" w:firstLine="0"/>
              <w:jc w:val="right"/>
            </w:pPr>
            <w:r>
              <w:rPr>
                <w:sz w:val="20"/>
              </w:rPr>
              <w:t xml:space="preserve">4 </w:t>
            </w:r>
          </w:p>
        </w:tc>
        <w:tc>
          <w:tcPr>
            <w:tcW w:w="4137"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0" w:firstLine="0"/>
              <w:jc w:val="left"/>
            </w:pPr>
            <w:r>
              <w:rPr>
                <w:sz w:val="20"/>
              </w:rPr>
              <w:t xml:space="preserve">Израда LPIS софтвера  </w:t>
            </w:r>
          </w:p>
        </w:tc>
        <w:tc>
          <w:tcPr>
            <w:tcW w:w="420" w:type="dxa"/>
            <w:tcBorders>
              <w:top w:val="single" w:sz="8" w:space="0" w:color="000000"/>
              <w:left w:val="single" w:sz="8" w:space="0" w:color="000000"/>
              <w:bottom w:val="single" w:sz="8" w:space="0" w:color="000000"/>
              <w:right w:val="single" w:sz="4" w:space="0" w:color="000000"/>
            </w:tcBorders>
          </w:tcPr>
          <w:p w:rsidR="00E8309B" w:rsidRDefault="009D0949">
            <w:pPr>
              <w:spacing w:after="0" w:line="259" w:lineRule="auto"/>
              <w:ind w:left="0" w:right="10" w:firstLine="0"/>
              <w:jc w:val="center"/>
            </w:pPr>
            <w:r>
              <w:rPr>
                <w:i/>
                <w:sz w:val="18"/>
              </w:rPr>
              <w:t xml:space="preserve"> </w:t>
            </w:r>
          </w:p>
        </w:tc>
        <w:tc>
          <w:tcPr>
            <w:tcW w:w="425" w:type="dxa"/>
            <w:tcBorders>
              <w:top w:val="single" w:sz="8" w:space="0" w:color="000000"/>
              <w:left w:val="single" w:sz="4" w:space="0" w:color="000000"/>
              <w:bottom w:val="single" w:sz="8" w:space="0" w:color="000000"/>
              <w:right w:val="single" w:sz="4" w:space="0" w:color="000000"/>
            </w:tcBorders>
          </w:tcPr>
          <w:p w:rsidR="00E8309B" w:rsidRDefault="009D0949">
            <w:pPr>
              <w:spacing w:after="0" w:line="259" w:lineRule="auto"/>
              <w:ind w:left="0" w:right="10" w:firstLine="0"/>
              <w:jc w:val="center"/>
            </w:pPr>
            <w:r>
              <w:rPr>
                <w:i/>
                <w:sz w:val="18"/>
              </w:rPr>
              <w:t xml:space="preserve"> </w:t>
            </w:r>
          </w:p>
        </w:tc>
        <w:tc>
          <w:tcPr>
            <w:tcW w:w="422" w:type="dxa"/>
            <w:tcBorders>
              <w:top w:val="single" w:sz="8" w:space="0" w:color="000000"/>
              <w:left w:val="single" w:sz="4" w:space="0" w:color="000000"/>
              <w:bottom w:val="single" w:sz="8" w:space="0" w:color="000000"/>
              <w:right w:val="single" w:sz="4" w:space="0" w:color="000000"/>
            </w:tcBorders>
            <w:shd w:val="clear" w:color="auto" w:fill="BFBFBF"/>
          </w:tcPr>
          <w:p w:rsidR="00E8309B" w:rsidRDefault="009D0949">
            <w:pPr>
              <w:spacing w:after="0" w:line="259" w:lineRule="auto"/>
              <w:ind w:left="0" w:right="7" w:firstLine="0"/>
              <w:jc w:val="center"/>
            </w:pPr>
            <w:r>
              <w:rPr>
                <w:i/>
                <w:sz w:val="18"/>
              </w:rPr>
              <w:t xml:space="preserve"> </w:t>
            </w:r>
          </w:p>
        </w:tc>
        <w:tc>
          <w:tcPr>
            <w:tcW w:w="422" w:type="dxa"/>
            <w:tcBorders>
              <w:top w:val="single" w:sz="8" w:space="0" w:color="000000"/>
              <w:left w:val="single" w:sz="4" w:space="0" w:color="000000"/>
              <w:bottom w:val="single" w:sz="8" w:space="0" w:color="000000"/>
              <w:right w:val="single" w:sz="8" w:space="0" w:color="000000"/>
            </w:tcBorders>
            <w:shd w:val="clear" w:color="auto" w:fill="BFBFBF"/>
          </w:tcPr>
          <w:p w:rsidR="00E8309B" w:rsidRDefault="009D0949">
            <w:pPr>
              <w:spacing w:after="0" w:line="259" w:lineRule="auto"/>
              <w:ind w:left="0" w:right="7" w:firstLine="0"/>
              <w:jc w:val="center"/>
            </w:pPr>
            <w:r>
              <w:rPr>
                <w:i/>
                <w:sz w:val="18"/>
              </w:rPr>
              <w:t xml:space="preserve"> </w:t>
            </w:r>
          </w:p>
        </w:tc>
        <w:tc>
          <w:tcPr>
            <w:tcW w:w="425" w:type="dxa"/>
            <w:tcBorders>
              <w:top w:val="single" w:sz="8" w:space="0" w:color="000000"/>
              <w:left w:val="single" w:sz="8" w:space="0" w:color="000000"/>
              <w:bottom w:val="single" w:sz="8" w:space="0" w:color="000000"/>
              <w:right w:val="single" w:sz="4" w:space="0" w:color="000000"/>
            </w:tcBorders>
            <w:shd w:val="clear" w:color="auto" w:fill="BFBFBF"/>
          </w:tcPr>
          <w:p w:rsidR="00E8309B" w:rsidRDefault="009D0949">
            <w:pPr>
              <w:spacing w:after="0" w:line="259" w:lineRule="auto"/>
              <w:ind w:left="0" w:right="5" w:firstLine="0"/>
              <w:jc w:val="center"/>
            </w:pPr>
            <w:r>
              <w:rPr>
                <w:i/>
                <w:sz w:val="18"/>
              </w:rPr>
              <w:t xml:space="preserve"> </w:t>
            </w:r>
          </w:p>
        </w:tc>
        <w:tc>
          <w:tcPr>
            <w:tcW w:w="422" w:type="dxa"/>
            <w:tcBorders>
              <w:top w:val="single" w:sz="8" w:space="0" w:color="000000"/>
              <w:left w:val="single" w:sz="4" w:space="0" w:color="000000"/>
              <w:bottom w:val="single" w:sz="8" w:space="0" w:color="000000"/>
              <w:right w:val="single" w:sz="4" w:space="0" w:color="000000"/>
            </w:tcBorders>
            <w:shd w:val="clear" w:color="auto" w:fill="BFBFBF"/>
          </w:tcPr>
          <w:p w:rsidR="00E8309B" w:rsidRDefault="009D0949">
            <w:pPr>
              <w:spacing w:after="0" w:line="259" w:lineRule="auto"/>
              <w:ind w:left="0" w:right="7" w:firstLine="0"/>
              <w:jc w:val="center"/>
            </w:pPr>
            <w:r>
              <w:rPr>
                <w:i/>
                <w:sz w:val="18"/>
              </w:rPr>
              <w:t xml:space="preserve"> </w:t>
            </w:r>
          </w:p>
        </w:tc>
        <w:tc>
          <w:tcPr>
            <w:tcW w:w="423" w:type="dxa"/>
            <w:tcBorders>
              <w:top w:val="single" w:sz="8" w:space="0" w:color="000000"/>
              <w:left w:val="single" w:sz="4" w:space="0" w:color="000000"/>
              <w:bottom w:val="single" w:sz="8" w:space="0" w:color="000000"/>
              <w:right w:val="single" w:sz="4" w:space="0" w:color="000000"/>
            </w:tcBorders>
          </w:tcPr>
          <w:p w:rsidR="00E8309B" w:rsidRDefault="009D0949">
            <w:pPr>
              <w:spacing w:after="0" w:line="259" w:lineRule="auto"/>
              <w:ind w:left="0" w:right="7" w:firstLine="0"/>
              <w:jc w:val="center"/>
            </w:pPr>
            <w:r>
              <w:rPr>
                <w:i/>
                <w:sz w:val="18"/>
              </w:rPr>
              <w:t xml:space="preserve"> </w:t>
            </w:r>
          </w:p>
        </w:tc>
        <w:tc>
          <w:tcPr>
            <w:tcW w:w="422" w:type="dxa"/>
            <w:tcBorders>
              <w:top w:val="single" w:sz="8" w:space="0" w:color="000000"/>
              <w:left w:val="single" w:sz="4" w:space="0" w:color="000000"/>
              <w:bottom w:val="single" w:sz="8" w:space="0" w:color="000000"/>
              <w:right w:val="single" w:sz="8" w:space="0" w:color="000000"/>
            </w:tcBorders>
          </w:tcPr>
          <w:p w:rsidR="00E8309B" w:rsidRDefault="009D0949">
            <w:pPr>
              <w:spacing w:after="0" w:line="259" w:lineRule="auto"/>
              <w:ind w:left="0" w:right="7" w:firstLine="0"/>
              <w:jc w:val="center"/>
            </w:pPr>
            <w:r>
              <w:rPr>
                <w:i/>
                <w:sz w:val="18"/>
              </w:rPr>
              <w:t xml:space="preserve"> </w:t>
            </w:r>
          </w:p>
        </w:tc>
        <w:tc>
          <w:tcPr>
            <w:tcW w:w="425" w:type="dxa"/>
            <w:tcBorders>
              <w:top w:val="single" w:sz="8" w:space="0" w:color="000000"/>
              <w:left w:val="single" w:sz="8" w:space="0" w:color="000000"/>
              <w:bottom w:val="single" w:sz="8" w:space="0" w:color="000000"/>
              <w:right w:val="single" w:sz="4" w:space="0" w:color="000000"/>
            </w:tcBorders>
          </w:tcPr>
          <w:p w:rsidR="00E8309B" w:rsidRDefault="009D0949">
            <w:pPr>
              <w:spacing w:after="0" w:line="259" w:lineRule="auto"/>
              <w:ind w:left="0" w:right="5" w:firstLine="0"/>
              <w:jc w:val="center"/>
            </w:pPr>
            <w:r>
              <w:rPr>
                <w:i/>
                <w:sz w:val="18"/>
              </w:rPr>
              <w:t xml:space="preserve"> </w:t>
            </w:r>
          </w:p>
        </w:tc>
        <w:tc>
          <w:tcPr>
            <w:tcW w:w="422" w:type="dxa"/>
            <w:tcBorders>
              <w:top w:val="single" w:sz="8" w:space="0" w:color="000000"/>
              <w:left w:val="single" w:sz="4" w:space="0" w:color="000000"/>
              <w:bottom w:val="single" w:sz="8" w:space="0" w:color="000000"/>
              <w:right w:val="single" w:sz="4" w:space="0" w:color="000000"/>
            </w:tcBorders>
          </w:tcPr>
          <w:p w:rsidR="00E8309B" w:rsidRDefault="009D0949">
            <w:pPr>
              <w:spacing w:after="0" w:line="259" w:lineRule="auto"/>
              <w:ind w:left="0" w:right="7" w:firstLine="0"/>
              <w:jc w:val="center"/>
            </w:pPr>
            <w:r>
              <w:rPr>
                <w:i/>
                <w:sz w:val="18"/>
              </w:rPr>
              <w:t xml:space="preserve"> </w:t>
            </w:r>
          </w:p>
        </w:tc>
        <w:tc>
          <w:tcPr>
            <w:tcW w:w="422" w:type="dxa"/>
            <w:tcBorders>
              <w:top w:val="single" w:sz="8" w:space="0" w:color="000000"/>
              <w:left w:val="single" w:sz="4" w:space="0" w:color="000000"/>
              <w:bottom w:val="single" w:sz="8" w:space="0" w:color="000000"/>
              <w:right w:val="single" w:sz="4" w:space="0" w:color="000000"/>
            </w:tcBorders>
          </w:tcPr>
          <w:p w:rsidR="00E8309B" w:rsidRDefault="009D0949">
            <w:pPr>
              <w:spacing w:after="0" w:line="259" w:lineRule="auto"/>
              <w:ind w:left="0" w:right="7" w:firstLine="0"/>
              <w:jc w:val="center"/>
            </w:pPr>
            <w:r>
              <w:rPr>
                <w:i/>
                <w:sz w:val="18"/>
              </w:rPr>
              <w:t xml:space="preserve"> </w:t>
            </w:r>
          </w:p>
        </w:tc>
        <w:tc>
          <w:tcPr>
            <w:tcW w:w="423" w:type="dxa"/>
            <w:tcBorders>
              <w:top w:val="single" w:sz="8" w:space="0" w:color="000000"/>
              <w:left w:val="single" w:sz="4" w:space="0" w:color="000000"/>
              <w:bottom w:val="single" w:sz="8" w:space="0" w:color="000000"/>
              <w:right w:val="single" w:sz="8" w:space="0" w:color="000000"/>
            </w:tcBorders>
          </w:tcPr>
          <w:p w:rsidR="00E8309B" w:rsidRDefault="009D0949">
            <w:pPr>
              <w:spacing w:after="0" w:line="259" w:lineRule="auto"/>
              <w:ind w:left="0" w:right="7" w:firstLine="0"/>
              <w:jc w:val="center"/>
            </w:pPr>
            <w:r>
              <w:rPr>
                <w:i/>
                <w:sz w:val="18"/>
              </w:rPr>
              <w:t xml:space="preserve"> </w:t>
            </w:r>
          </w:p>
        </w:tc>
      </w:tr>
      <w:tr w:rsidR="00E8309B">
        <w:trPr>
          <w:trHeight w:val="319"/>
        </w:trPr>
        <w:tc>
          <w:tcPr>
            <w:tcW w:w="427"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1" w:firstLine="0"/>
              <w:jc w:val="right"/>
            </w:pPr>
            <w:r>
              <w:rPr>
                <w:sz w:val="20"/>
              </w:rPr>
              <w:t xml:space="preserve">5 </w:t>
            </w:r>
          </w:p>
        </w:tc>
        <w:tc>
          <w:tcPr>
            <w:tcW w:w="4137"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0" w:firstLine="0"/>
              <w:jc w:val="left"/>
            </w:pPr>
            <w:r>
              <w:rPr>
                <w:sz w:val="20"/>
              </w:rPr>
              <w:t xml:space="preserve">Повезивање LPIS, Регистра животиња и РПГ  </w:t>
            </w:r>
          </w:p>
        </w:tc>
        <w:tc>
          <w:tcPr>
            <w:tcW w:w="420" w:type="dxa"/>
            <w:tcBorders>
              <w:top w:val="single" w:sz="8" w:space="0" w:color="000000"/>
              <w:left w:val="single" w:sz="8" w:space="0" w:color="000000"/>
              <w:bottom w:val="single" w:sz="8" w:space="0" w:color="000000"/>
              <w:right w:val="single" w:sz="4" w:space="0" w:color="000000"/>
            </w:tcBorders>
          </w:tcPr>
          <w:p w:rsidR="00E8309B" w:rsidRDefault="009D0949">
            <w:pPr>
              <w:spacing w:after="0" w:line="259" w:lineRule="auto"/>
              <w:ind w:left="0" w:right="10" w:firstLine="0"/>
              <w:jc w:val="center"/>
            </w:pPr>
            <w:r>
              <w:rPr>
                <w:i/>
                <w:sz w:val="18"/>
              </w:rPr>
              <w:t xml:space="preserve"> </w:t>
            </w:r>
          </w:p>
        </w:tc>
        <w:tc>
          <w:tcPr>
            <w:tcW w:w="425" w:type="dxa"/>
            <w:tcBorders>
              <w:top w:val="single" w:sz="8" w:space="0" w:color="000000"/>
              <w:left w:val="single" w:sz="4" w:space="0" w:color="000000"/>
              <w:bottom w:val="single" w:sz="8" w:space="0" w:color="000000"/>
              <w:right w:val="single" w:sz="4" w:space="0" w:color="000000"/>
            </w:tcBorders>
          </w:tcPr>
          <w:p w:rsidR="00E8309B" w:rsidRDefault="009D0949">
            <w:pPr>
              <w:spacing w:after="0" w:line="259" w:lineRule="auto"/>
              <w:ind w:left="0" w:right="10" w:firstLine="0"/>
              <w:jc w:val="center"/>
            </w:pPr>
            <w:r>
              <w:rPr>
                <w:i/>
                <w:sz w:val="18"/>
              </w:rPr>
              <w:t xml:space="preserve"> </w:t>
            </w:r>
          </w:p>
        </w:tc>
        <w:tc>
          <w:tcPr>
            <w:tcW w:w="422" w:type="dxa"/>
            <w:tcBorders>
              <w:top w:val="single" w:sz="8" w:space="0" w:color="000000"/>
              <w:left w:val="single" w:sz="4" w:space="0" w:color="000000"/>
              <w:bottom w:val="single" w:sz="8" w:space="0" w:color="000000"/>
              <w:right w:val="single" w:sz="4" w:space="0" w:color="000000"/>
            </w:tcBorders>
          </w:tcPr>
          <w:p w:rsidR="00E8309B" w:rsidRDefault="009D0949">
            <w:pPr>
              <w:spacing w:after="0" w:line="259" w:lineRule="auto"/>
              <w:ind w:left="0" w:right="7" w:firstLine="0"/>
              <w:jc w:val="center"/>
            </w:pPr>
            <w:r>
              <w:rPr>
                <w:i/>
                <w:sz w:val="18"/>
              </w:rPr>
              <w:t xml:space="preserve"> </w:t>
            </w:r>
          </w:p>
        </w:tc>
        <w:tc>
          <w:tcPr>
            <w:tcW w:w="422" w:type="dxa"/>
            <w:tcBorders>
              <w:top w:val="single" w:sz="8" w:space="0" w:color="000000"/>
              <w:left w:val="single" w:sz="4" w:space="0" w:color="000000"/>
              <w:bottom w:val="single" w:sz="8" w:space="0" w:color="000000"/>
              <w:right w:val="single" w:sz="8" w:space="0" w:color="000000"/>
            </w:tcBorders>
          </w:tcPr>
          <w:p w:rsidR="00E8309B" w:rsidRDefault="009D0949">
            <w:pPr>
              <w:spacing w:after="0" w:line="259" w:lineRule="auto"/>
              <w:ind w:left="0" w:right="7" w:firstLine="0"/>
              <w:jc w:val="center"/>
            </w:pPr>
            <w:r>
              <w:rPr>
                <w:i/>
                <w:sz w:val="18"/>
              </w:rPr>
              <w:t xml:space="preserve"> </w:t>
            </w:r>
          </w:p>
        </w:tc>
        <w:tc>
          <w:tcPr>
            <w:tcW w:w="425" w:type="dxa"/>
            <w:tcBorders>
              <w:top w:val="single" w:sz="8" w:space="0" w:color="000000"/>
              <w:left w:val="single" w:sz="8" w:space="0" w:color="000000"/>
              <w:bottom w:val="single" w:sz="8" w:space="0" w:color="000000"/>
              <w:right w:val="single" w:sz="4" w:space="0" w:color="000000"/>
            </w:tcBorders>
          </w:tcPr>
          <w:p w:rsidR="00E8309B" w:rsidRDefault="009D0949">
            <w:pPr>
              <w:spacing w:after="0" w:line="259" w:lineRule="auto"/>
              <w:ind w:left="0" w:right="5" w:firstLine="0"/>
              <w:jc w:val="center"/>
            </w:pPr>
            <w:r>
              <w:rPr>
                <w:i/>
                <w:sz w:val="18"/>
              </w:rPr>
              <w:t xml:space="preserve"> </w:t>
            </w:r>
          </w:p>
        </w:tc>
        <w:tc>
          <w:tcPr>
            <w:tcW w:w="422" w:type="dxa"/>
            <w:tcBorders>
              <w:top w:val="single" w:sz="8" w:space="0" w:color="000000"/>
              <w:left w:val="single" w:sz="4" w:space="0" w:color="000000"/>
              <w:bottom w:val="single" w:sz="8" w:space="0" w:color="000000"/>
              <w:right w:val="single" w:sz="4" w:space="0" w:color="000000"/>
            </w:tcBorders>
          </w:tcPr>
          <w:p w:rsidR="00E8309B" w:rsidRDefault="009D0949">
            <w:pPr>
              <w:spacing w:after="0" w:line="259" w:lineRule="auto"/>
              <w:ind w:left="0" w:right="7" w:firstLine="0"/>
              <w:jc w:val="center"/>
            </w:pPr>
            <w:r>
              <w:rPr>
                <w:i/>
                <w:sz w:val="18"/>
              </w:rPr>
              <w:t xml:space="preserve"> </w:t>
            </w:r>
          </w:p>
        </w:tc>
        <w:tc>
          <w:tcPr>
            <w:tcW w:w="423" w:type="dxa"/>
            <w:tcBorders>
              <w:top w:val="single" w:sz="8" w:space="0" w:color="000000"/>
              <w:left w:val="single" w:sz="4" w:space="0" w:color="000000"/>
              <w:bottom w:val="single" w:sz="8" w:space="0" w:color="000000"/>
              <w:right w:val="single" w:sz="4" w:space="0" w:color="000000"/>
            </w:tcBorders>
            <w:shd w:val="clear" w:color="auto" w:fill="BFBFBF"/>
          </w:tcPr>
          <w:p w:rsidR="00E8309B" w:rsidRDefault="009D0949">
            <w:pPr>
              <w:spacing w:after="0" w:line="259" w:lineRule="auto"/>
              <w:ind w:left="0" w:right="7" w:firstLine="0"/>
              <w:jc w:val="center"/>
            </w:pPr>
            <w:r>
              <w:rPr>
                <w:i/>
                <w:sz w:val="18"/>
              </w:rPr>
              <w:t xml:space="preserve"> </w:t>
            </w:r>
          </w:p>
        </w:tc>
        <w:tc>
          <w:tcPr>
            <w:tcW w:w="422" w:type="dxa"/>
            <w:tcBorders>
              <w:top w:val="single" w:sz="8" w:space="0" w:color="000000"/>
              <w:left w:val="single" w:sz="4" w:space="0" w:color="000000"/>
              <w:bottom w:val="single" w:sz="8" w:space="0" w:color="000000"/>
              <w:right w:val="single" w:sz="8" w:space="0" w:color="000000"/>
            </w:tcBorders>
            <w:shd w:val="clear" w:color="auto" w:fill="BFBFBF"/>
          </w:tcPr>
          <w:p w:rsidR="00E8309B" w:rsidRDefault="009D0949">
            <w:pPr>
              <w:spacing w:after="0" w:line="259" w:lineRule="auto"/>
              <w:ind w:left="0" w:right="7" w:firstLine="0"/>
              <w:jc w:val="center"/>
            </w:pPr>
            <w:r>
              <w:rPr>
                <w:i/>
                <w:sz w:val="18"/>
              </w:rPr>
              <w:t xml:space="preserve"> </w:t>
            </w:r>
          </w:p>
        </w:tc>
        <w:tc>
          <w:tcPr>
            <w:tcW w:w="425" w:type="dxa"/>
            <w:tcBorders>
              <w:top w:val="single" w:sz="8" w:space="0" w:color="000000"/>
              <w:left w:val="single" w:sz="8" w:space="0" w:color="000000"/>
              <w:bottom w:val="single" w:sz="8" w:space="0" w:color="000000"/>
              <w:right w:val="single" w:sz="4" w:space="0" w:color="000000"/>
            </w:tcBorders>
          </w:tcPr>
          <w:p w:rsidR="00E8309B" w:rsidRDefault="009D0949">
            <w:pPr>
              <w:spacing w:after="0" w:line="259" w:lineRule="auto"/>
              <w:ind w:left="0" w:right="5" w:firstLine="0"/>
              <w:jc w:val="center"/>
            </w:pPr>
            <w:r>
              <w:rPr>
                <w:i/>
                <w:sz w:val="18"/>
              </w:rPr>
              <w:t xml:space="preserve"> </w:t>
            </w:r>
          </w:p>
        </w:tc>
        <w:tc>
          <w:tcPr>
            <w:tcW w:w="422" w:type="dxa"/>
            <w:tcBorders>
              <w:top w:val="single" w:sz="8" w:space="0" w:color="000000"/>
              <w:left w:val="single" w:sz="4" w:space="0" w:color="000000"/>
              <w:bottom w:val="single" w:sz="8" w:space="0" w:color="000000"/>
              <w:right w:val="single" w:sz="4" w:space="0" w:color="000000"/>
            </w:tcBorders>
          </w:tcPr>
          <w:p w:rsidR="00E8309B" w:rsidRDefault="009D0949">
            <w:pPr>
              <w:spacing w:after="0" w:line="259" w:lineRule="auto"/>
              <w:ind w:left="0" w:right="7" w:firstLine="0"/>
              <w:jc w:val="center"/>
            </w:pPr>
            <w:r>
              <w:rPr>
                <w:i/>
                <w:sz w:val="18"/>
              </w:rPr>
              <w:t xml:space="preserve"> </w:t>
            </w:r>
          </w:p>
        </w:tc>
        <w:tc>
          <w:tcPr>
            <w:tcW w:w="422" w:type="dxa"/>
            <w:tcBorders>
              <w:top w:val="single" w:sz="8" w:space="0" w:color="000000"/>
              <w:left w:val="single" w:sz="4" w:space="0" w:color="000000"/>
              <w:bottom w:val="single" w:sz="8" w:space="0" w:color="000000"/>
              <w:right w:val="single" w:sz="4" w:space="0" w:color="000000"/>
            </w:tcBorders>
          </w:tcPr>
          <w:p w:rsidR="00E8309B" w:rsidRDefault="009D0949">
            <w:pPr>
              <w:spacing w:after="0" w:line="259" w:lineRule="auto"/>
              <w:ind w:left="0" w:right="7" w:firstLine="0"/>
              <w:jc w:val="center"/>
            </w:pPr>
            <w:r>
              <w:rPr>
                <w:i/>
                <w:sz w:val="18"/>
              </w:rPr>
              <w:t xml:space="preserve"> </w:t>
            </w:r>
          </w:p>
        </w:tc>
        <w:tc>
          <w:tcPr>
            <w:tcW w:w="423" w:type="dxa"/>
            <w:tcBorders>
              <w:top w:val="single" w:sz="8" w:space="0" w:color="000000"/>
              <w:left w:val="single" w:sz="4" w:space="0" w:color="000000"/>
              <w:bottom w:val="single" w:sz="8" w:space="0" w:color="000000"/>
              <w:right w:val="single" w:sz="8" w:space="0" w:color="000000"/>
            </w:tcBorders>
          </w:tcPr>
          <w:p w:rsidR="00E8309B" w:rsidRDefault="009D0949">
            <w:pPr>
              <w:spacing w:after="0" w:line="259" w:lineRule="auto"/>
              <w:ind w:left="0" w:right="7" w:firstLine="0"/>
              <w:jc w:val="center"/>
            </w:pPr>
            <w:r>
              <w:rPr>
                <w:i/>
                <w:sz w:val="18"/>
              </w:rPr>
              <w:t xml:space="preserve"> </w:t>
            </w:r>
          </w:p>
        </w:tc>
      </w:tr>
      <w:tr w:rsidR="00E8309B">
        <w:trPr>
          <w:trHeight w:val="709"/>
        </w:trPr>
        <w:tc>
          <w:tcPr>
            <w:tcW w:w="427" w:type="dxa"/>
            <w:tcBorders>
              <w:top w:val="single" w:sz="8" w:space="0" w:color="000000"/>
              <w:left w:val="single" w:sz="8" w:space="0" w:color="000000"/>
              <w:bottom w:val="single" w:sz="8" w:space="0" w:color="000000"/>
              <w:right w:val="single" w:sz="8" w:space="0" w:color="000000"/>
            </w:tcBorders>
            <w:vAlign w:val="center"/>
          </w:tcPr>
          <w:p w:rsidR="00E8309B" w:rsidRDefault="009D0949">
            <w:pPr>
              <w:spacing w:after="0" w:line="259" w:lineRule="auto"/>
              <w:ind w:left="0" w:right="51" w:firstLine="0"/>
              <w:jc w:val="right"/>
            </w:pPr>
            <w:r>
              <w:rPr>
                <w:sz w:val="20"/>
              </w:rPr>
              <w:t xml:space="preserve">6 </w:t>
            </w:r>
          </w:p>
        </w:tc>
        <w:tc>
          <w:tcPr>
            <w:tcW w:w="4137"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0" w:firstLine="0"/>
              <w:jc w:val="left"/>
            </w:pPr>
            <w:r>
              <w:rPr>
                <w:sz w:val="20"/>
              </w:rPr>
              <w:t xml:space="preserve">Успостављен Апликативни систем за обраду јединственог захтева пољопривредника у складу са ЕУ  </w:t>
            </w:r>
          </w:p>
        </w:tc>
        <w:tc>
          <w:tcPr>
            <w:tcW w:w="420" w:type="dxa"/>
            <w:tcBorders>
              <w:top w:val="single" w:sz="8" w:space="0" w:color="000000"/>
              <w:left w:val="single" w:sz="8" w:space="0" w:color="000000"/>
              <w:bottom w:val="single" w:sz="8" w:space="0" w:color="000000"/>
              <w:right w:val="single" w:sz="4" w:space="0" w:color="000000"/>
            </w:tcBorders>
            <w:vAlign w:val="center"/>
          </w:tcPr>
          <w:p w:rsidR="00E8309B" w:rsidRDefault="009D0949">
            <w:pPr>
              <w:spacing w:after="0" w:line="259" w:lineRule="auto"/>
              <w:ind w:left="0" w:right="10" w:firstLine="0"/>
              <w:jc w:val="center"/>
            </w:pPr>
            <w:r>
              <w:rPr>
                <w:i/>
                <w:sz w:val="18"/>
              </w:rPr>
              <w:t xml:space="preserve"> </w:t>
            </w:r>
          </w:p>
        </w:tc>
        <w:tc>
          <w:tcPr>
            <w:tcW w:w="425" w:type="dxa"/>
            <w:tcBorders>
              <w:top w:val="single" w:sz="8" w:space="0" w:color="000000"/>
              <w:left w:val="single" w:sz="4" w:space="0" w:color="000000"/>
              <w:bottom w:val="single" w:sz="8" w:space="0" w:color="000000"/>
              <w:right w:val="single" w:sz="4" w:space="0" w:color="000000"/>
            </w:tcBorders>
            <w:vAlign w:val="center"/>
          </w:tcPr>
          <w:p w:rsidR="00E8309B" w:rsidRDefault="009D0949">
            <w:pPr>
              <w:spacing w:after="0" w:line="259" w:lineRule="auto"/>
              <w:ind w:left="0" w:right="10" w:firstLine="0"/>
              <w:jc w:val="center"/>
            </w:pPr>
            <w:r>
              <w:rPr>
                <w:i/>
                <w:sz w:val="18"/>
              </w:rPr>
              <w:t xml:space="preserve"> </w:t>
            </w:r>
          </w:p>
        </w:tc>
        <w:tc>
          <w:tcPr>
            <w:tcW w:w="422" w:type="dxa"/>
            <w:tcBorders>
              <w:top w:val="single" w:sz="8" w:space="0" w:color="000000"/>
              <w:left w:val="single" w:sz="4" w:space="0" w:color="000000"/>
              <w:bottom w:val="single" w:sz="8" w:space="0" w:color="000000"/>
              <w:right w:val="single" w:sz="4" w:space="0" w:color="000000"/>
            </w:tcBorders>
            <w:vAlign w:val="center"/>
          </w:tcPr>
          <w:p w:rsidR="00E8309B" w:rsidRDefault="009D0949">
            <w:pPr>
              <w:spacing w:after="0" w:line="259" w:lineRule="auto"/>
              <w:ind w:left="0" w:right="7" w:firstLine="0"/>
              <w:jc w:val="center"/>
            </w:pPr>
            <w:r>
              <w:rPr>
                <w:i/>
                <w:sz w:val="18"/>
              </w:rPr>
              <w:t xml:space="preserve"> </w:t>
            </w:r>
          </w:p>
        </w:tc>
        <w:tc>
          <w:tcPr>
            <w:tcW w:w="422" w:type="dxa"/>
            <w:tcBorders>
              <w:top w:val="single" w:sz="8" w:space="0" w:color="000000"/>
              <w:left w:val="single" w:sz="4" w:space="0" w:color="000000"/>
              <w:bottom w:val="single" w:sz="8" w:space="0" w:color="000000"/>
              <w:right w:val="single" w:sz="8" w:space="0" w:color="000000"/>
            </w:tcBorders>
            <w:vAlign w:val="center"/>
          </w:tcPr>
          <w:p w:rsidR="00E8309B" w:rsidRDefault="009D0949">
            <w:pPr>
              <w:spacing w:after="0" w:line="259" w:lineRule="auto"/>
              <w:ind w:left="0" w:right="7" w:firstLine="0"/>
              <w:jc w:val="center"/>
            </w:pPr>
            <w:r>
              <w:rPr>
                <w:i/>
                <w:sz w:val="18"/>
              </w:rPr>
              <w:t xml:space="preserve"> </w:t>
            </w:r>
          </w:p>
        </w:tc>
        <w:tc>
          <w:tcPr>
            <w:tcW w:w="425" w:type="dxa"/>
            <w:tcBorders>
              <w:top w:val="single" w:sz="8" w:space="0" w:color="000000"/>
              <w:left w:val="single" w:sz="8" w:space="0" w:color="000000"/>
              <w:bottom w:val="single" w:sz="8" w:space="0" w:color="000000"/>
              <w:right w:val="single" w:sz="4" w:space="0" w:color="000000"/>
            </w:tcBorders>
            <w:vAlign w:val="center"/>
          </w:tcPr>
          <w:p w:rsidR="00E8309B" w:rsidRDefault="009D0949">
            <w:pPr>
              <w:spacing w:after="0" w:line="259" w:lineRule="auto"/>
              <w:ind w:left="0" w:right="5" w:firstLine="0"/>
              <w:jc w:val="center"/>
            </w:pPr>
            <w:r>
              <w:rPr>
                <w:i/>
                <w:sz w:val="18"/>
              </w:rPr>
              <w:t xml:space="preserve"> </w:t>
            </w:r>
          </w:p>
        </w:tc>
        <w:tc>
          <w:tcPr>
            <w:tcW w:w="422" w:type="dxa"/>
            <w:tcBorders>
              <w:top w:val="single" w:sz="8" w:space="0" w:color="000000"/>
              <w:left w:val="single" w:sz="4" w:space="0" w:color="000000"/>
              <w:bottom w:val="single" w:sz="8" w:space="0" w:color="000000"/>
              <w:right w:val="single" w:sz="4" w:space="0" w:color="000000"/>
            </w:tcBorders>
            <w:vAlign w:val="center"/>
          </w:tcPr>
          <w:p w:rsidR="00E8309B" w:rsidRDefault="009D0949">
            <w:pPr>
              <w:spacing w:after="0" w:line="259" w:lineRule="auto"/>
              <w:ind w:left="0" w:right="7" w:firstLine="0"/>
              <w:jc w:val="center"/>
            </w:pPr>
            <w:r>
              <w:rPr>
                <w:i/>
                <w:sz w:val="18"/>
              </w:rPr>
              <w:t xml:space="preserve"> </w:t>
            </w:r>
          </w:p>
        </w:tc>
        <w:tc>
          <w:tcPr>
            <w:tcW w:w="423" w:type="dxa"/>
            <w:tcBorders>
              <w:top w:val="single" w:sz="8" w:space="0" w:color="000000"/>
              <w:left w:val="single" w:sz="4" w:space="0" w:color="000000"/>
              <w:bottom w:val="single" w:sz="8" w:space="0" w:color="000000"/>
              <w:right w:val="single" w:sz="4" w:space="0" w:color="000000"/>
            </w:tcBorders>
            <w:vAlign w:val="center"/>
          </w:tcPr>
          <w:p w:rsidR="00E8309B" w:rsidRDefault="009D0949">
            <w:pPr>
              <w:spacing w:after="0" w:line="259" w:lineRule="auto"/>
              <w:ind w:left="0" w:right="7" w:firstLine="0"/>
              <w:jc w:val="center"/>
            </w:pPr>
            <w:r>
              <w:rPr>
                <w:i/>
                <w:sz w:val="18"/>
              </w:rPr>
              <w:t xml:space="preserve"> </w:t>
            </w:r>
          </w:p>
        </w:tc>
        <w:tc>
          <w:tcPr>
            <w:tcW w:w="422" w:type="dxa"/>
            <w:tcBorders>
              <w:top w:val="single" w:sz="8" w:space="0" w:color="000000"/>
              <w:left w:val="single" w:sz="4" w:space="0" w:color="000000"/>
              <w:bottom w:val="single" w:sz="8" w:space="0" w:color="000000"/>
              <w:right w:val="single" w:sz="8" w:space="0" w:color="000000"/>
            </w:tcBorders>
            <w:shd w:val="clear" w:color="auto" w:fill="BFBFBF"/>
            <w:vAlign w:val="center"/>
          </w:tcPr>
          <w:p w:rsidR="00E8309B" w:rsidRDefault="009D0949">
            <w:pPr>
              <w:spacing w:after="0" w:line="259" w:lineRule="auto"/>
              <w:ind w:left="0" w:right="7" w:firstLine="0"/>
              <w:jc w:val="center"/>
            </w:pPr>
            <w:r>
              <w:rPr>
                <w:i/>
                <w:sz w:val="18"/>
              </w:rPr>
              <w:t xml:space="preserve"> </w:t>
            </w:r>
          </w:p>
        </w:tc>
        <w:tc>
          <w:tcPr>
            <w:tcW w:w="425" w:type="dxa"/>
            <w:tcBorders>
              <w:top w:val="single" w:sz="8" w:space="0" w:color="000000"/>
              <w:left w:val="single" w:sz="8" w:space="0" w:color="000000"/>
              <w:bottom w:val="single" w:sz="8" w:space="0" w:color="000000"/>
              <w:right w:val="single" w:sz="4" w:space="0" w:color="000000"/>
            </w:tcBorders>
            <w:shd w:val="clear" w:color="auto" w:fill="BFBFBF"/>
            <w:vAlign w:val="center"/>
          </w:tcPr>
          <w:p w:rsidR="00E8309B" w:rsidRDefault="009D0949">
            <w:pPr>
              <w:spacing w:after="0" w:line="259" w:lineRule="auto"/>
              <w:ind w:left="0" w:right="5" w:firstLine="0"/>
              <w:jc w:val="center"/>
            </w:pPr>
            <w:r>
              <w:rPr>
                <w:i/>
                <w:sz w:val="18"/>
              </w:rPr>
              <w:t xml:space="preserve"> </w:t>
            </w:r>
          </w:p>
        </w:tc>
        <w:tc>
          <w:tcPr>
            <w:tcW w:w="422" w:type="dxa"/>
            <w:tcBorders>
              <w:top w:val="single" w:sz="8" w:space="0" w:color="000000"/>
              <w:left w:val="single" w:sz="4" w:space="0" w:color="000000"/>
              <w:bottom w:val="single" w:sz="8" w:space="0" w:color="000000"/>
              <w:right w:val="single" w:sz="4" w:space="0" w:color="000000"/>
            </w:tcBorders>
            <w:shd w:val="clear" w:color="auto" w:fill="BFBFBF"/>
            <w:vAlign w:val="center"/>
          </w:tcPr>
          <w:p w:rsidR="00E8309B" w:rsidRDefault="009D0949">
            <w:pPr>
              <w:spacing w:after="0" w:line="259" w:lineRule="auto"/>
              <w:ind w:left="0" w:right="7" w:firstLine="0"/>
              <w:jc w:val="center"/>
            </w:pPr>
            <w:r>
              <w:rPr>
                <w:i/>
                <w:sz w:val="18"/>
              </w:rPr>
              <w:t xml:space="preserve"> </w:t>
            </w:r>
          </w:p>
        </w:tc>
        <w:tc>
          <w:tcPr>
            <w:tcW w:w="422" w:type="dxa"/>
            <w:tcBorders>
              <w:top w:val="single" w:sz="8" w:space="0" w:color="000000"/>
              <w:left w:val="single" w:sz="4" w:space="0" w:color="000000"/>
              <w:bottom w:val="single" w:sz="8" w:space="0" w:color="000000"/>
              <w:right w:val="single" w:sz="4" w:space="0" w:color="000000"/>
            </w:tcBorders>
            <w:shd w:val="clear" w:color="auto" w:fill="BFBFBF"/>
            <w:vAlign w:val="center"/>
          </w:tcPr>
          <w:p w:rsidR="00E8309B" w:rsidRDefault="009D0949">
            <w:pPr>
              <w:spacing w:after="0" w:line="259" w:lineRule="auto"/>
              <w:ind w:left="0" w:right="7" w:firstLine="0"/>
              <w:jc w:val="center"/>
            </w:pPr>
            <w:r>
              <w:rPr>
                <w:i/>
                <w:sz w:val="18"/>
              </w:rPr>
              <w:t xml:space="preserve"> </w:t>
            </w:r>
          </w:p>
        </w:tc>
        <w:tc>
          <w:tcPr>
            <w:tcW w:w="423" w:type="dxa"/>
            <w:tcBorders>
              <w:top w:val="single" w:sz="8" w:space="0" w:color="000000"/>
              <w:left w:val="single" w:sz="4" w:space="0" w:color="000000"/>
              <w:bottom w:val="single" w:sz="8" w:space="0" w:color="000000"/>
              <w:right w:val="single" w:sz="8" w:space="0" w:color="000000"/>
            </w:tcBorders>
            <w:shd w:val="clear" w:color="auto" w:fill="BFBFBF"/>
            <w:vAlign w:val="center"/>
          </w:tcPr>
          <w:p w:rsidR="00E8309B" w:rsidRDefault="009D0949">
            <w:pPr>
              <w:spacing w:after="0" w:line="259" w:lineRule="auto"/>
              <w:ind w:left="0" w:right="7" w:firstLine="0"/>
              <w:jc w:val="center"/>
            </w:pPr>
            <w:r>
              <w:rPr>
                <w:i/>
                <w:sz w:val="18"/>
              </w:rPr>
              <w:t xml:space="preserve"> </w:t>
            </w:r>
          </w:p>
        </w:tc>
      </w:tr>
      <w:tr w:rsidR="00E8309B">
        <w:trPr>
          <w:trHeight w:val="319"/>
        </w:trPr>
        <w:tc>
          <w:tcPr>
            <w:tcW w:w="427"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1" w:firstLine="0"/>
              <w:jc w:val="right"/>
            </w:pPr>
            <w:r>
              <w:rPr>
                <w:sz w:val="20"/>
              </w:rPr>
              <w:t xml:space="preserve">7 </w:t>
            </w:r>
          </w:p>
        </w:tc>
        <w:tc>
          <w:tcPr>
            <w:tcW w:w="4137"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0" w:firstLine="0"/>
              <w:jc w:val="left"/>
            </w:pPr>
            <w:r>
              <w:rPr>
                <w:sz w:val="20"/>
              </w:rPr>
              <w:t xml:space="preserve">Израда дела елемената IACS  </w:t>
            </w:r>
          </w:p>
        </w:tc>
        <w:tc>
          <w:tcPr>
            <w:tcW w:w="420" w:type="dxa"/>
            <w:tcBorders>
              <w:top w:val="single" w:sz="8" w:space="0" w:color="000000"/>
              <w:left w:val="single" w:sz="8" w:space="0" w:color="000000"/>
              <w:bottom w:val="single" w:sz="8" w:space="0" w:color="000000"/>
              <w:right w:val="single" w:sz="4" w:space="0" w:color="000000"/>
            </w:tcBorders>
          </w:tcPr>
          <w:p w:rsidR="00E8309B" w:rsidRDefault="009D0949">
            <w:pPr>
              <w:spacing w:after="0" w:line="259" w:lineRule="auto"/>
              <w:ind w:left="0" w:right="10" w:firstLine="0"/>
              <w:jc w:val="center"/>
            </w:pPr>
            <w:r>
              <w:rPr>
                <w:i/>
                <w:sz w:val="18"/>
              </w:rPr>
              <w:t xml:space="preserve"> </w:t>
            </w:r>
          </w:p>
        </w:tc>
        <w:tc>
          <w:tcPr>
            <w:tcW w:w="425" w:type="dxa"/>
            <w:tcBorders>
              <w:top w:val="single" w:sz="8" w:space="0" w:color="000000"/>
              <w:left w:val="single" w:sz="4" w:space="0" w:color="000000"/>
              <w:bottom w:val="single" w:sz="8" w:space="0" w:color="000000"/>
              <w:right w:val="single" w:sz="4" w:space="0" w:color="000000"/>
            </w:tcBorders>
          </w:tcPr>
          <w:p w:rsidR="00E8309B" w:rsidRDefault="009D0949">
            <w:pPr>
              <w:spacing w:after="0" w:line="259" w:lineRule="auto"/>
              <w:ind w:left="0" w:right="10" w:firstLine="0"/>
              <w:jc w:val="center"/>
            </w:pPr>
            <w:r>
              <w:rPr>
                <w:i/>
                <w:sz w:val="18"/>
              </w:rPr>
              <w:t xml:space="preserve"> </w:t>
            </w:r>
          </w:p>
        </w:tc>
        <w:tc>
          <w:tcPr>
            <w:tcW w:w="422" w:type="dxa"/>
            <w:tcBorders>
              <w:top w:val="single" w:sz="8" w:space="0" w:color="000000"/>
              <w:left w:val="single" w:sz="4" w:space="0" w:color="000000"/>
              <w:bottom w:val="single" w:sz="8" w:space="0" w:color="000000"/>
              <w:right w:val="single" w:sz="4" w:space="0" w:color="000000"/>
            </w:tcBorders>
          </w:tcPr>
          <w:p w:rsidR="00E8309B" w:rsidRDefault="009D0949">
            <w:pPr>
              <w:spacing w:after="0" w:line="259" w:lineRule="auto"/>
              <w:ind w:left="0" w:right="7" w:firstLine="0"/>
              <w:jc w:val="center"/>
            </w:pPr>
            <w:r>
              <w:rPr>
                <w:i/>
                <w:sz w:val="18"/>
              </w:rPr>
              <w:t xml:space="preserve"> </w:t>
            </w:r>
          </w:p>
        </w:tc>
        <w:tc>
          <w:tcPr>
            <w:tcW w:w="422" w:type="dxa"/>
            <w:tcBorders>
              <w:top w:val="single" w:sz="8" w:space="0" w:color="000000"/>
              <w:left w:val="single" w:sz="4" w:space="0" w:color="000000"/>
              <w:bottom w:val="single" w:sz="8" w:space="0" w:color="000000"/>
              <w:right w:val="single" w:sz="8" w:space="0" w:color="000000"/>
            </w:tcBorders>
          </w:tcPr>
          <w:p w:rsidR="00E8309B" w:rsidRDefault="009D0949">
            <w:pPr>
              <w:spacing w:after="0" w:line="259" w:lineRule="auto"/>
              <w:ind w:left="0" w:right="7" w:firstLine="0"/>
              <w:jc w:val="center"/>
            </w:pPr>
            <w:r>
              <w:rPr>
                <w:i/>
                <w:sz w:val="18"/>
              </w:rPr>
              <w:t xml:space="preserve"> </w:t>
            </w:r>
          </w:p>
        </w:tc>
        <w:tc>
          <w:tcPr>
            <w:tcW w:w="425" w:type="dxa"/>
            <w:tcBorders>
              <w:top w:val="single" w:sz="8" w:space="0" w:color="000000"/>
              <w:left w:val="single" w:sz="8" w:space="0" w:color="000000"/>
              <w:bottom w:val="single" w:sz="8" w:space="0" w:color="000000"/>
              <w:right w:val="single" w:sz="4" w:space="0" w:color="000000"/>
            </w:tcBorders>
          </w:tcPr>
          <w:p w:rsidR="00E8309B" w:rsidRDefault="009D0949">
            <w:pPr>
              <w:spacing w:after="0" w:line="259" w:lineRule="auto"/>
              <w:ind w:left="0" w:right="5" w:firstLine="0"/>
              <w:jc w:val="center"/>
            </w:pPr>
            <w:r>
              <w:rPr>
                <w:i/>
                <w:sz w:val="18"/>
              </w:rPr>
              <w:t xml:space="preserve"> </w:t>
            </w:r>
          </w:p>
        </w:tc>
        <w:tc>
          <w:tcPr>
            <w:tcW w:w="422" w:type="dxa"/>
            <w:tcBorders>
              <w:top w:val="single" w:sz="8" w:space="0" w:color="000000"/>
              <w:left w:val="single" w:sz="4" w:space="0" w:color="000000"/>
              <w:bottom w:val="single" w:sz="8" w:space="0" w:color="000000"/>
              <w:right w:val="single" w:sz="4" w:space="0" w:color="000000"/>
            </w:tcBorders>
          </w:tcPr>
          <w:p w:rsidR="00E8309B" w:rsidRDefault="009D0949">
            <w:pPr>
              <w:spacing w:after="0" w:line="259" w:lineRule="auto"/>
              <w:ind w:left="0" w:right="7" w:firstLine="0"/>
              <w:jc w:val="center"/>
            </w:pPr>
            <w:r>
              <w:rPr>
                <w:i/>
                <w:sz w:val="18"/>
              </w:rPr>
              <w:t xml:space="preserve"> </w:t>
            </w:r>
          </w:p>
        </w:tc>
        <w:tc>
          <w:tcPr>
            <w:tcW w:w="423" w:type="dxa"/>
            <w:tcBorders>
              <w:top w:val="single" w:sz="8" w:space="0" w:color="000000"/>
              <w:left w:val="single" w:sz="4" w:space="0" w:color="000000"/>
              <w:bottom w:val="single" w:sz="8" w:space="0" w:color="000000"/>
              <w:right w:val="single" w:sz="4" w:space="0" w:color="000000"/>
            </w:tcBorders>
            <w:shd w:val="clear" w:color="auto" w:fill="BFBFBF"/>
          </w:tcPr>
          <w:p w:rsidR="00E8309B" w:rsidRDefault="009D0949">
            <w:pPr>
              <w:spacing w:after="0" w:line="259" w:lineRule="auto"/>
              <w:ind w:left="0" w:right="7" w:firstLine="0"/>
              <w:jc w:val="center"/>
            </w:pPr>
            <w:r>
              <w:rPr>
                <w:i/>
                <w:sz w:val="18"/>
              </w:rPr>
              <w:t xml:space="preserve"> </w:t>
            </w:r>
          </w:p>
        </w:tc>
        <w:tc>
          <w:tcPr>
            <w:tcW w:w="422" w:type="dxa"/>
            <w:tcBorders>
              <w:top w:val="single" w:sz="8" w:space="0" w:color="000000"/>
              <w:left w:val="single" w:sz="4" w:space="0" w:color="000000"/>
              <w:bottom w:val="single" w:sz="8" w:space="0" w:color="000000"/>
              <w:right w:val="single" w:sz="8" w:space="0" w:color="000000"/>
            </w:tcBorders>
            <w:shd w:val="clear" w:color="auto" w:fill="BFBFBF"/>
          </w:tcPr>
          <w:p w:rsidR="00E8309B" w:rsidRDefault="009D0949">
            <w:pPr>
              <w:spacing w:after="0" w:line="259" w:lineRule="auto"/>
              <w:ind w:left="0" w:right="7" w:firstLine="0"/>
              <w:jc w:val="center"/>
            </w:pPr>
            <w:r>
              <w:rPr>
                <w:i/>
                <w:sz w:val="18"/>
              </w:rPr>
              <w:t xml:space="preserve"> </w:t>
            </w:r>
          </w:p>
        </w:tc>
        <w:tc>
          <w:tcPr>
            <w:tcW w:w="425" w:type="dxa"/>
            <w:tcBorders>
              <w:top w:val="single" w:sz="8" w:space="0" w:color="000000"/>
              <w:left w:val="single" w:sz="8" w:space="0" w:color="000000"/>
              <w:bottom w:val="single" w:sz="8" w:space="0" w:color="000000"/>
              <w:right w:val="single" w:sz="4" w:space="0" w:color="000000"/>
            </w:tcBorders>
            <w:shd w:val="clear" w:color="auto" w:fill="BFBFBF"/>
          </w:tcPr>
          <w:p w:rsidR="00E8309B" w:rsidRDefault="009D0949">
            <w:pPr>
              <w:spacing w:after="0" w:line="259" w:lineRule="auto"/>
              <w:ind w:left="0" w:right="5" w:firstLine="0"/>
              <w:jc w:val="center"/>
            </w:pPr>
            <w:r>
              <w:rPr>
                <w:i/>
                <w:sz w:val="18"/>
              </w:rPr>
              <w:t xml:space="preserve"> </w:t>
            </w:r>
          </w:p>
        </w:tc>
        <w:tc>
          <w:tcPr>
            <w:tcW w:w="422" w:type="dxa"/>
            <w:tcBorders>
              <w:top w:val="single" w:sz="8" w:space="0" w:color="000000"/>
              <w:left w:val="single" w:sz="4" w:space="0" w:color="000000"/>
              <w:bottom w:val="single" w:sz="8" w:space="0" w:color="000000"/>
              <w:right w:val="single" w:sz="4" w:space="0" w:color="000000"/>
            </w:tcBorders>
            <w:shd w:val="clear" w:color="auto" w:fill="BFBFBF"/>
          </w:tcPr>
          <w:p w:rsidR="00E8309B" w:rsidRDefault="009D0949">
            <w:pPr>
              <w:spacing w:after="0" w:line="259" w:lineRule="auto"/>
              <w:ind w:left="0" w:right="7" w:firstLine="0"/>
              <w:jc w:val="center"/>
            </w:pPr>
            <w:r>
              <w:rPr>
                <w:i/>
                <w:sz w:val="18"/>
              </w:rPr>
              <w:t xml:space="preserve"> </w:t>
            </w:r>
          </w:p>
        </w:tc>
        <w:tc>
          <w:tcPr>
            <w:tcW w:w="422" w:type="dxa"/>
            <w:tcBorders>
              <w:top w:val="single" w:sz="8" w:space="0" w:color="000000"/>
              <w:left w:val="single" w:sz="4" w:space="0" w:color="000000"/>
              <w:bottom w:val="single" w:sz="8" w:space="0" w:color="000000"/>
              <w:right w:val="single" w:sz="4" w:space="0" w:color="000000"/>
            </w:tcBorders>
            <w:shd w:val="clear" w:color="auto" w:fill="BFBFBF"/>
          </w:tcPr>
          <w:p w:rsidR="00E8309B" w:rsidRDefault="009D0949">
            <w:pPr>
              <w:spacing w:after="0" w:line="259" w:lineRule="auto"/>
              <w:ind w:left="0" w:right="7" w:firstLine="0"/>
              <w:jc w:val="center"/>
            </w:pPr>
            <w:r>
              <w:rPr>
                <w:i/>
                <w:sz w:val="18"/>
              </w:rPr>
              <w:t xml:space="preserve"> </w:t>
            </w:r>
          </w:p>
        </w:tc>
        <w:tc>
          <w:tcPr>
            <w:tcW w:w="423" w:type="dxa"/>
            <w:tcBorders>
              <w:top w:val="single" w:sz="8" w:space="0" w:color="000000"/>
              <w:left w:val="single" w:sz="4" w:space="0" w:color="000000"/>
              <w:bottom w:val="single" w:sz="8" w:space="0" w:color="000000"/>
              <w:right w:val="single" w:sz="8" w:space="0" w:color="000000"/>
            </w:tcBorders>
            <w:shd w:val="clear" w:color="auto" w:fill="BFBFBF"/>
          </w:tcPr>
          <w:p w:rsidR="00E8309B" w:rsidRDefault="009D0949">
            <w:pPr>
              <w:spacing w:after="0" w:line="259" w:lineRule="auto"/>
              <w:ind w:left="0" w:right="7" w:firstLine="0"/>
              <w:jc w:val="center"/>
            </w:pPr>
            <w:r>
              <w:rPr>
                <w:i/>
                <w:sz w:val="18"/>
              </w:rPr>
              <w:t xml:space="preserve"> </w:t>
            </w:r>
          </w:p>
        </w:tc>
      </w:tr>
      <w:tr w:rsidR="00E8309B">
        <w:trPr>
          <w:trHeight w:val="314"/>
        </w:trPr>
        <w:tc>
          <w:tcPr>
            <w:tcW w:w="427" w:type="dxa"/>
            <w:tcBorders>
              <w:top w:val="single" w:sz="8" w:space="0" w:color="000000"/>
              <w:left w:val="single" w:sz="8" w:space="0" w:color="000000"/>
              <w:bottom w:val="single" w:sz="4" w:space="0" w:color="000000"/>
              <w:right w:val="single" w:sz="8" w:space="0" w:color="000000"/>
            </w:tcBorders>
          </w:tcPr>
          <w:p w:rsidR="00E8309B" w:rsidRDefault="009D0949">
            <w:pPr>
              <w:spacing w:after="0" w:line="259" w:lineRule="auto"/>
              <w:ind w:left="0" w:right="51" w:firstLine="0"/>
              <w:jc w:val="right"/>
            </w:pPr>
            <w:r>
              <w:rPr>
                <w:sz w:val="20"/>
              </w:rPr>
              <w:t xml:space="preserve">8 </w:t>
            </w:r>
          </w:p>
        </w:tc>
        <w:tc>
          <w:tcPr>
            <w:tcW w:w="4137" w:type="dxa"/>
            <w:tcBorders>
              <w:top w:val="single" w:sz="8" w:space="0" w:color="000000"/>
              <w:left w:val="single" w:sz="8" w:space="0" w:color="000000"/>
              <w:bottom w:val="single" w:sz="4" w:space="0" w:color="000000"/>
              <w:right w:val="single" w:sz="8" w:space="0" w:color="000000"/>
            </w:tcBorders>
          </w:tcPr>
          <w:p w:rsidR="00E8309B" w:rsidRDefault="009D0949">
            <w:pPr>
              <w:spacing w:after="0" w:line="259" w:lineRule="auto"/>
              <w:ind w:left="0" w:right="0" w:firstLine="0"/>
              <w:jc w:val="left"/>
            </w:pPr>
            <w:r>
              <w:rPr>
                <w:sz w:val="20"/>
              </w:rPr>
              <w:t xml:space="preserve">Израда информационе магистрале МПШВ  </w:t>
            </w:r>
          </w:p>
        </w:tc>
        <w:tc>
          <w:tcPr>
            <w:tcW w:w="420" w:type="dxa"/>
            <w:tcBorders>
              <w:top w:val="single" w:sz="8" w:space="0" w:color="000000"/>
              <w:left w:val="single" w:sz="8" w:space="0" w:color="000000"/>
              <w:bottom w:val="single" w:sz="4" w:space="0" w:color="000000"/>
              <w:right w:val="single" w:sz="4" w:space="0" w:color="000000"/>
            </w:tcBorders>
            <w:shd w:val="clear" w:color="auto" w:fill="BFBFBF"/>
          </w:tcPr>
          <w:p w:rsidR="00E8309B" w:rsidRDefault="009D0949">
            <w:pPr>
              <w:spacing w:after="0" w:line="259" w:lineRule="auto"/>
              <w:ind w:left="0" w:right="5" w:firstLine="0"/>
              <w:jc w:val="center"/>
            </w:pPr>
            <w:r>
              <w:rPr>
                <w:sz w:val="20"/>
              </w:rPr>
              <w:t xml:space="preserve"> </w:t>
            </w:r>
          </w:p>
        </w:tc>
        <w:tc>
          <w:tcPr>
            <w:tcW w:w="425" w:type="dxa"/>
            <w:tcBorders>
              <w:top w:val="single" w:sz="8" w:space="0" w:color="000000"/>
              <w:left w:val="single" w:sz="4" w:space="0" w:color="000000"/>
              <w:bottom w:val="single" w:sz="4" w:space="0" w:color="000000"/>
              <w:right w:val="single" w:sz="4" w:space="0" w:color="000000"/>
            </w:tcBorders>
            <w:shd w:val="clear" w:color="auto" w:fill="BFBFBF"/>
          </w:tcPr>
          <w:p w:rsidR="00E8309B" w:rsidRDefault="009D0949">
            <w:pPr>
              <w:spacing w:after="0" w:line="259" w:lineRule="auto"/>
              <w:ind w:left="0" w:right="5" w:firstLine="0"/>
              <w:jc w:val="center"/>
            </w:pPr>
            <w:r>
              <w:rPr>
                <w:sz w:val="20"/>
              </w:rPr>
              <w:t xml:space="preserve"> </w:t>
            </w:r>
          </w:p>
        </w:tc>
        <w:tc>
          <w:tcPr>
            <w:tcW w:w="422" w:type="dxa"/>
            <w:tcBorders>
              <w:top w:val="single" w:sz="8" w:space="0" w:color="000000"/>
              <w:left w:val="single" w:sz="4" w:space="0" w:color="000000"/>
              <w:bottom w:val="single" w:sz="4" w:space="0" w:color="000000"/>
              <w:right w:val="single" w:sz="4" w:space="0" w:color="000000"/>
            </w:tcBorders>
            <w:shd w:val="clear" w:color="auto" w:fill="BFBFBF"/>
          </w:tcPr>
          <w:p w:rsidR="00E8309B" w:rsidRDefault="009D0949">
            <w:pPr>
              <w:spacing w:after="0" w:line="259" w:lineRule="auto"/>
              <w:ind w:left="0" w:right="2" w:firstLine="0"/>
              <w:jc w:val="center"/>
            </w:pPr>
            <w:r>
              <w:rPr>
                <w:sz w:val="20"/>
              </w:rPr>
              <w:t xml:space="preserve"> </w:t>
            </w:r>
          </w:p>
        </w:tc>
        <w:tc>
          <w:tcPr>
            <w:tcW w:w="422" w:type="dxa"/>
            <w:tcBorders>
              <w:top w:val="single" w:sz="8" w:space="0" w:color="000000"/>
              <w:left w:val="single" w:sz="4" w:space="0" w:color="000000"/>
              <w:bottom w:val="single" w:sz="4" w:space="0" w:color="000000"/>
              <w:right w:val="single" w:sz="8" w:space="0" w:color="000000"/>
            </w:tcBorders>
            <w:shd w:val="clear" w:color="auto" w:fill="BFBFBF"/>
          </w:tcPr>
          <w:p w:rsidR="00E8309B" w:rsidRDefault="009D0949">
            <w:pPr>
              <w:spacing w:after="0" w:line="259" w:lineRule="auto"/>
              <w:ind w:left="0" w:right="2" w:firstLine="0"/>
              <w:jc w:val="center"/>
            </w:pPr>
            <w:r>
              <w:rPr>
                <w:sz w:val="20"/>
              </w:rPr>
              <w:t xml:space="preserve"> </w:t>
            </w:r>
          </w:p>
        </w:tc>
        <w:tc>
          <w:tcPr>
            <w:tcW w:w="425" w:type="dxa"/>
            <w:tcBorders>
              <w:top w:val="single" w:sz="8" w:space="0" w:color="000000"/>
              <w:left w:val="single" w:sz="8" w:space="0" w:color="000000"/>
              <w:bottom w:val="single" w:sz="4" w:space="0" w:color="000000"/>
              <w:right w:val="single" w:sz="4" w:space="0" w:color="000000"/>
            </w:tcBorders>
            <w:shd w:val="clear" w:color="auto" w:fill="BFBFBF"/>
          </w:tcPr>
          <w:p w:rsidR="00E8309B" w:rsidRDefault="009D0949">
            <w:pPr>
              <w:spacing w:after="0" w:line="259" w:lineRule="auto"/>
              <w:ind w:left="0" w:right="0" w:firstLine="0"/>
              <w:jc w:val="center"/>
            </w:pPr>
            <w:r>
              <w:rPr>
                <w:sz w:val="20"/>
              </w:rPr>
              <w:t xml:space="preserve"> </w:t>
            </w:r>
          </w:p>
        </w:tc>
        <w:tc>
          <w:tcPr>
            <w:tcW w:w="422" w:type="dxa"/>
            <w:tcBorders>
              <w:top w:val="single" w:sz="8" w:space="0" w:color="000000"/>
              <w:left w:val="single" w:sz="4" w:space="0" w:color="000000"/>
              <w:bottom w:val="single" w:sz="4" w:space="0" w:color="000000"/>
              <w:right w:val="single" w:sz="4" w:space="0" w:color="000000"/>
            </w:tcBorders>
            <w:shd w:val="clear" w:color="auto" w:fill="BFBFBF"/>
          </w:tcPr>
          <w:p w:rsidR="00E8309B" w:rsidRDefault="009D0949">
            <w:pPr>
              <w:spacing w:after="0" w:line="259" w:lineRule="auto"/>
              <w:ind w:left="0" w:right="2" w:firstLine="0"/>
              <w:jc w:val="center"/>
            </w:pPr>
            <w:r>
              <w:rPr>
                <w:sz w:val="20"/>
              </w:rPr>
              <w:t xml:space="preserve"> </w:t>
            </w:r>
          </w:p>
        </w:tc>
        <w:tc>
          <w:tcPr>
            <w:tcW w:w="423" w:type="dxa"/>
            <w:tcBorders>
              <w:top w:val="single" w:sz="8" w:space="0" w:color="000000"/>
              <w:left w:val="single" w:sz="4" w:space="0" w:color="000000"/>
              <w:bottom w:val="single" w:sz="4" w:space="0" w:color="000000"/>
              <w:right w:val="single" w:sz="4" w:space="0" w:color="000000"/>
            </w:tcBorders>
            <w:shd w:val="clear" w:color="auto" w:fill="BFBFBF"/>
          </w:tcPr>
          <w:p w:rsidR="00E8309B" w:rsidRDefault="009D0949">
            <w:pPr>
              <w:spacing w:after="0" w:line="259" w:lineRule="auto"/>
              <w:ind w:left="0" w:right="2" w:firstLine="0"/>
              <w:jc w:val="center"/>
            </w:pPr>
            <w:r>
              <w:rPr>
                <w:sz w:val="20"/>
              </w:rPr>
              <w:t xml:space="preserve"> </w:t>
            </w:r>
          </w:p>
        </w:tc>
        <w:tc>
          <w:tcPr>
            <w:tcW w:w="422" w:type="dxa"/>
            <w:tcBorders>
              <w:top w:val="single" w:sz="8" w:space="0" w:color="000000"/>
              <w:left w:val="single" w:sz="4" w:space="0" w:color="000000"/>
              <w:bottom w:val="single" w:sz="4" w:space="0" w:color="000000"/>
              <w:right w:val="single" w:sz="8" w:space="0" w:color="000000"/>
            </w:tcBorders>
            <w:shd w:val="clear" w:color="auto" w:fill="BFBFBF"/>
          </w:tcPr>
          <w:p w:rsidR="00E8309B" w:rsidRDefault="009D0949">
            <w:pPr>
              <w:spacing w:after="0" w:line="259" w:lineRule="auto"/>
              <w:ind w:left="0" w:right="2" w:firstLine="0"/>
              <w:jc w:val="center"/>
            </w:pPr>
            <w:r>
              <w:rPr>
                <w:sz w:val="20"/>
              </w:rPr>
              <w:t xml:space="preserve"> </w:t>
            </w:r>
          </w:p>
        </w:tc>
        <w:tc>
          <w:tcPr>
            <w:tcW w:w="425" w:type="dxa"/>
            <w:tcBorders>
              <w:top w:val="single" w:sz="8" w:space="0" w:color="000000"/>
              <w:left w:val="single" w:sz="8" w:space="0" w:color="000000"/>
              <w:bottom w:val="single" w:sz="4" w:space="0" w:color="000000"/>
              <w:right w:val="single" w:sz="4" w:space="0" w:color="000000"/>
            </w:tcBorders>
            <w:shd w:val="clear" w:color="auto" w:fill="BFBFBF"/>
          </w:tcPr>
          <w:p w:rsidR="00E8309B" w:rsidRDefault="009D0949">
            <w:pPr>
              <w:spacing w:after="0" w:line="259" w:lineRule="auto"/>
              <w:ind w:left="0" w:right="0" w:firstLine="0"/>
              <w:jc w:val="center"/>
            </w:pPr>
            <w:r>
              <w:rPr>
                <w:sz w:val="20"/>
              </w:rPr>
              <w:t xml:space="preserve"> </w:t>
            </w:r>
          </w:p>
        </w:tc>
        <w:tc>
          <w:tcPr>
            <w:tcW w:w="422" w:type="dxa"/>
            <w:tcBorders>
              <w:top w:val="single" w:sz="8" w:space="0" w:color="000000"/>
              <w:left w:val="single" w:sz="4" w:space="0" w:color="000000"/>
              <w:bottom w:val="single" w:sz="4" w:space="0" w:color="000000"/>
              <w:right w:val="single" w:sz="4" w:space="0" w:color="000000"/>
            </w:tcBorders>
            <w:shd w:val="clear" w:color="auto" w:fill="BFBFBF"/>
          </w:tcPr>
          <w:p w:rsidR="00E8309B" w:rsidRDefault="009D0949">
            <w:pPr>
              <w:spacing w:after="0" w:line="259" w:lineRule="auto"/>
              <w:ind w:left="0" w:right="2" w:firstLine="0"/>
              <w:jc w:val="center"/>
            </w:pPr>
            <w:r>
              <w:rPr>
                <w:sz w:val="20"/>
              </w:rPr>
              <w:t xml:space="preserve"> </w:t>
            </w:r>
          </w:p>
        </w:tc>
        <w:tc>
          <w:tcPr>
            <w:tcW w:w="422" w:type="dxa"/>
            <w:tcBorders>
              <w:top w:val="single" w:sz="8" w:space="0" w:color="000000"/>
              <w:left w:val="single" w:sz="4" w:space="0" w:color="000000"/>
              <w:bottom w:val="single" w:sz="4" w:space="0" w:color="000000"/>
              <w:right w:val="single" w:sz="4" w:space="0" w:color="000000"/>
            </w:tcBorders>
            <w:shd w:val="clear" w:color="auto" w:fill="BFBFBF"/>
          </w:tcPr>
          <w:p w:rsidR="00E8309B" w:rsidRDefault="009D0949">
            <w:pPr>
              <w:spacing w:after="0" w:line="259" w:lineRule="auto"/>
              <w:ind w:left="0" w:right="2" w:firstLine="0"/>
              <w:jc w:val="center"/>
            </w:pPr>
            <w:r>
              <w:rPr>
                <w:sz w:val="20"/>
              </w:rPr>
              <w:t xml:space="preserve"> </w:t>
            </w:r>
          </w:p>
        </w:tc>
        <w:tc>
          <w:tcPr>
            <w:tcW w:w="423" w:type="dxa"/>
            <w:tcBorders>
              <w:top w:val="single" w:sz="8" w:space="0" w:color="000000"/>
              <w:left w:val="single" w:sz="4" w:space="0" w:color="000000"/>
              <w:bottom w:val="single" w:sz="4" w:space="0" w:color="000000"/>
              <w:right w:val="single" w:sz="8" w:space="0" w:color="000000"/>
            </w:tcBorders>
            <w:shd w:val="clear" w:color="auto" w:fill="BFBFBF"/>
          </w:tcPr>
          <w:p w:rsidR="00E8309B" w:rsidRDefault="009D0949">
            <w:pPr>
              <w:spacing w:after="0" w:line="259" w:lineRule="auto"/>
              <w:ind w:left="0" w:right="3" w:firstLine="0"/>
              <w:jc w:val="center"/>
            </w:pPr>
            <w:r>
              <w:rPr>
                <w:sz w:val="20"/>
              </w:rPr>
              <w:t xml:space="preserve"> </w:t>
            </w:r>
          </w:p>
        </w:tc>
      </w:tr>
    </w:tbl>
    <w:p w:rsidR="00E8309B" w:rsidRDefault="009D0949">
      <w:pPr>
        <w:numPr>
          <w:ilvl w:val="0"/>
          <w:numId w:val="17"/>
        </w:numPr>
        <w:spacing w:after="0" w:line="271" w:lineRule="auto"/>
        <w:ind w:right="9" w:hanging="360"/>
      </w:pPr>
      <w:r>
        <w:rPr>
          <w:b/>
        </w:rPr>
        <w:t xml:space="preserve">Индикатори резултата </w:t>
      </w:r>
    </w:p>
    <w:tbl>
      <w:tblPr>
        <w:tblStyle w:val="TableGrid"/>
        <w:tblW w:w="9636" w:type="dxa"/>
        <w:tblInd w:w="-5" w:type="dxa"/>
        <w:tblCellMar>
          <w:top w:w="39" w:type="dxa"/>
          <w:left w:w="108" w:type="dxa"/>
          <w:bottom w:w="0" w:type="dxa"/>
          <w:right w:w="9" w:type="dxa"/>
        </w:tblCellMar>
        <w:tblLook w:val="04A0" w:firstRow="1" w:lastRow="0" w:firstColumn="1" w:lastColumn="0" w:noHBand="0" w:noVBand="1"/>
      </w:tblPr>
      <w:tblGrid>
        <w:gridCol w:w="4057"/>
        <w:gridCol w:w="1888"/>
        <w:gridCol w:w="1797"/>
        <w:gridCol w:w="1894"/>
      </w:tblGrid>
      <w:tr w:rsidR="00E8309B">
        <w:trPr>
          <w:trHeight w:val="470"/>
        </w:trPr>
        <w:tc>
          <w:tcPr>
            <w:tcW w:w="4057"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0" w:right="0" w:firstLine="0"/>
              <w:jc w:val="left"/>
            </w:pPr>
            <w:r>
              <w:rPr>
                <w:b/>
                <w:sz w:val="20"/>
              </w:rPr>
              <w:t xml:space="preserve">Показатељ </w:t>
            </w:r>
          </w:p>
        </w:tc>
        <w:tc>
          <w:tcPr>
            <w:tcW w:w="1888" w:type="dxa"/>
            <w:tcBorders>
              <w:top w:val="single" w:sz="4" w:space="0" w:color="000000"/>
              <w:left w:val="single" w:sz="4" w:space="0" w:color="000000"/>
              <w:bottom w:val="single" w:sz="4" w:space="0" w:color="000000"/>
              <w:right w:val="single" w:sz="7" w:space="0" w:color="000000"/>
            </w:tcBorders>
          </w:tcPr>
          <w:p w:rsidR="00E8309B" w:rsidRDefault="009D0949">
            <w:pPr>
              <w:spacing w:after="0" w:line="259" w:lineRule="auto"/>
              <w:ind w:left="0" w:right="92" w:firstLine="0"/>
              <w:jc w:val="right"/>
            </w:pPr>
            <w:r>
              <w:rPr>
                <w:b/>
                <w:sz w:val="20"/>
              </w:rPr>
              <w:t xml:space="preserve">Почетна вредност (година) </w:t>
            </w:r>
          </w:p>
        </w:tc>
        <w:tc>
          <w:tcPr>
            <w:tcW w:w="1797" w:type="dxa"/>
            <w:tcBorders>
              <w:top w:val="single" w:sz="4" w:space="0" w:color="000000"/>
              <w:left w:val="single" w:sz="7" w:space="0" w:color="000000"/>
              <w:bottom w:val="single" w:sz="4" w:space="0" w:color="000000"/>
              <w:right w:val="single" w:sz="4" w:space="0" w:color="000000"/>
            </w:tcBorders>
          </w:tcPr>
          <w:p w:rsidR="00E8309B" w:rsidRDefault="009D0949">
            <w:pPr>
              <w:spacing w:after="0" w:line="259" w:lineRule="auto"/>
              <w:ind w:left="0" w:right="96" w:firstLine="0"/>
              <w:jc w:val="right"/>
            </w:pPr>
            <w:r>
              <w:rPr>
                <w:b/>
                <w:sz w:val="20"/>
              </w:rPr>
              <w:t xml:space="preserve">Међурезултат (година) </w:t>
            </w:r>
          </w:p>
        </w:tc>
        <w:tc>
          <w:tcPr>
            <w:tcW w:w="1894" w:type="dxa"/>
            <w:tcBorders>
              <w:top w:val="single" w:sz="4" w:space="0" w:color="000000"/>
              <w:left w:val="single" w:sz="4" w:space="0" w:color="000000"/>
              <w:bottom w:val="single" w:sz="4" w:space="0" w:color="000000"/>
              <w:right w:val="single" w:sz="8" w:space="0" w:color="000000"/>
            </w:tcBorders>
          </w:tcPr>
          <w:p w:rsidR="00E8309B" w:rsidRDefault="009D0949">
            <w:pPr>
              <w:spacing w:after="0" w:line="259" w:lineRule="auto"/>
              <w:ind w:left="0" w:right="93" w:firstLine="0"/>
              <w:jc w:val="right"/>
            </w:pPr>
            <w:r>
              <w:rPr>
                <w:b/>
                <w:sz w:val="20"/>
              </w:rPr>
              <w:t xml:space="preserve">Циљна вредност (година) </w:t>
            </w:r>
          </w:p>
        </w:tc>
      </w:tr>
      <w:tr w:rsidR="00E8309B">
        <w:trPr>
          <w:trHeight w:val="1280"/>
        </w:trPr>
        <w:tc>
          <w:tcPr>
            <w:tcW w:w="4057"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0" w:firstLine="0"/>
              <w:jc w:val="left"/>
            </w:pPr>
            <w:r>
              <w:rPr>
                <w:sz w:val="20"/>
              </w:rPr>
              <w:t>Оперативан софтвер Информационе магистрале МПШВ</w:t>
            </w:r>
            <w:r>
              <w:rPr>
                <w:sz w:val="20"/>
              </w:rPr>
              <w:t xml:space="preserve"> </w:t>
            </w:r>
          </w:p>
        </w:tc>
        <w:tc>
          <w:tcPr>
            <w:tcW w:w="1888" w:type="dxa"/>
            <w:tcBorders>
              <w:top w:val="single" w:sz="4" w:space="0" w:color="000000"/>
              <w:left w:val="single" w:sz="4" w:space="0" w:color="000000"/>
              <w:bottom w:val="single" w:sz="4" w:space="0" w:color="000000"/>
              <w:right w:val="single" w:sz="7" w:space="0" w:color="000000"/>
            </w:tcBorders>
          </w:tcPr>
          <w:p w:rsidR="00E8309B" w:rsidRDefault="009D0949">
            <w:pPr>
              <w:spacing w:after="0" w:line="259" w:lineRule="auto"/>
              <w:ind w:left="0" w:right="102" w:firstLine="0"/>
              <w:jc w:val="right"/>
            </w:pPr>
            <w:r>
              <w:rPr>
                <w:sz w:val="20"/>
              </w:rPr>
              <w:t xml:space="preserve">Не  (2020) </w:t>
            </w:r>
          </w:p>
        </w:tc>
        <w:tc>
          <w:tcPr>
            <w:tcW w:w="1797" w:type="dxa"/>
            <w:tcBorders>
              <w:top w:val="single" w:sz="4" w:space="0" w:color="000000"/>
              <w:left w:val="single" w:sz="7" w:space="0" w:color="000000"/>
              <w:bottom w:val="single" w:sz="4" w:space="0" w:color="000000"/>
              <w:right w:val="single" w:sz="4" w:space="0" w:color="000000"/>
            </w:tcBorders>
          </w:tcPr>
          <w:p w:rsidR="00E8309B" w:rsidRDefault="009D0949">
            <w:pPr>
              <w:spacing w:after="1" w:line="238" w:lineRule="auto"/>
              <w:ind w:left="203" w:right="0" w:hanging="53"/>
              <w:jc w:val="left"/>
            </w:pPr>
            <w:r>
              <w:rPr>
                <w:sz w:val="20"/>
              </w:rPr>
              <w:t xml:space="preserve">Израда софтвера и успостављање система у току  </w:t>
            </w:r>
          </w:p>
          <w:p w:rsidR="00E8309B" w:rsidRDefault="009D0949">
            <w:pPr>
              <w:spacing w:after="0" w:line="259" w:lineRule="auto"/>
              <w:ind w:left="0" w:right="98" w:firstLine="0"/>
              <w:jc w:val="right"/>
            </w:pPr>
            <w:r>
              <w:rPr>
                <w:sz w:val="20"/>
              </w:rPr>
              <w:t xml:space="preserve">(2022) </w:t>
            </w:r>
          </w:p>
          <w:p w:rsidR="00E8309B" w:rsidRDefault="009D0949">
            <w:pPr>
              <w:spacing w:after="0" w:line="259" w:lineRule="auto"/>
              <w:ind w:left="0" w:right="49" w:firstLine="0"/>
              <w:jc w:val="right"/>
            </w:pPr>
            <w:r>
              <w:rPr>
                <w:sz w:val="20"/>
              </w:rPr>
              <w:t xml:space="preserve"> </w:t>
            </w:r>
          </w:p>
        </w:tc>
        <w:tc>
          <w:tcPr>
            <w:tcW w:w="1894" w:type="dxa"/>
            <w:tcBorders>
              <w:top w:val="single" w:sz="4" w:space="0" w:color="000000"/>
              <w:left w:val="single" w:sz="4" w:space="0" w:color="000000"/>
              <w:bottom w:val="single" w:sz="4" w:space="0" w:color="000000"/>
              <w:right w:val="single" w:sz="8" w:space="0" w:color="000000"/>
            </w:tcBorders>
          </w:tcPr>
          <w:p w:rsidR="00E8309B" w:rsidRDefault="009D0949">
            <w:pPr>
              <w:spacing w:after="2" w:line="237" w:lineRule="auto"/>
              <w:ind w:left="0" w:right="103" w:firstLine="0"/>
              <w:jc w:val="right"/>
            </w:pPr>
            <w:r>
              <w:rPr>
                <w:sz w:val="20"/>
              </w:rPr>
              <w:t xml:space="preserve">Оперативан софтвер </w:t>
            </w:r>
          </w:p>
          <w:p w:rsidR="00E8309B" w:rsidRDefault="009D0949">
            <w:pPr>
              <w:spacing w:after="1" w:line="240" w:lineRule="auto"/>
              <w:ind w:left="0" w:right="105" w:firstLine="0"/>
              <w:jc w:val="right"/>
            </w:pPr>
            <w:r>
              <w:rPr>
                <w:sz w:val="20"/>
              </w:rPr>
              <w:t xml:space="preserve">Информационе магистрале МПШВ </w:t>
            </w:r>
          </w:p>
          <w:p w:rsidR="00E8309B" w:rsidRDefault="009D0949">
            <w:pPr>
              <w:spacing w:after="0" w:line="259" w:lineRule="auto"/>
              <w:ind w:left="0" w:right="103" w:firstLine="0"/>
              <w:jc w:val="right"/>
            </w:pPr>
            <w:r>
              <w:rPr>
                <w:sz w:val="20"/>
              </w:rPr>
              <w:t xml:space="preserve">(2023) </w:t>
            </w:r>
          </w:p>
        </w:tc>
      </w:tr>
      <w:tr w:rsidR="00E8309B">
        <w:trPr>
          <w:trHeight w:val="590"/>
        </w:trPr>
        <w:tc>
          <w:tcPr>
            <w:tcW w:w="4057"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0" w:firstLine="0"/>
              <w:jc w:val="left"/>
            </w:pPr>
            <w:r>
              <w:rPr>
                <w:sz w:val="20"/>
              </w:rPr>
              <w:t xml:space="preserve">БДВ пољопривреде </w:t>
            </w:r>
          </w:p>
        </w:tc>
        <w:tc>
          <w:tcPr>
            <w:tcW w:w="1888" w:type="dxa"/>
            <w:tcBorders>
              <w:top w:val="single" w:sz="4" w:space="0" w:color="000000"/>
              <w:left w:val="single" w:sz="4" w:space="0" w:color="000000"/>
              <w:bottom w:val="single" w:sz="4" w:space="0" w:color="000000"/>
              <w:right w:val="single" w:sz="7" w:space="0" w:color="000000"/>
            </w:tcBorders>
          </w:tcPr>
          <w:p w:rsidR="00E8309B" w:rsidRDefault="009D0949">
            <w:pPr>
              <w:spacing w:after="0" w:line="259" w:lineRule="auto"/>
              <w:ind w:left="0" w:right="101" w:firstLine="0"/>
              <w:jc w:val="right"/>
            </w:pPr>
            <w:r>
              <w:rPr>
                <w:sz w:val="20"/>
              </w:rPr>
              <w:t xml:space="preserve">2,8 милијарде евра (2019) </w:t>
            </w:r>
          </w:p>
        </w:tc>
        <w:tc>
          <w:tcPr>
            <w:tcW w:w="1797" w:type="dxa"/>
            <w:tcBorders>
              <w:top w:val="single" w:sz="4" w:space="0" w:color="000000"/>
              <w:left w:val="single" w:sz="7" w:space="0" w:color="000000"/>
              <w:bottom w:val="single" w:sz="4" w:space="0" w:color="000000"/>
              <w:right w:val="single" w:sz="4" w:space="0" w:color="000000"/>
            </w:tcBorders>
          </w:tcPr>
          <w:p w:rsidR="00E8309B" w:rsidRDefault="009D0949">
            <w:pPr>
              <w:spacing w:after="0" w:line="259" w:lineRule="auto"/>
              <w:ind w:left="33" w:right="98" w:firstLine="0"/>
              <w:jc w:val="right"/>
            </w:pPr>
            <w:r>
              <w:rPr>
                <w:sz w:val="20"/>
              </w:rPr>
              <w:t xml:space="preserve">2,9 милијарде евра (2021) </w:t>
            </w:r>
          </w:p>
        </w:tc>
        <w:tc>
          <w:tcPr>
            <w:tcW w:w="1894" w:type="dxa"/>
            <w:tcBorders>
              <w:top w:val="single" w:sz="4" w:space="0" w:color="000000"/>
              <w:left w:val="single" w:sz="4" w:space="0" w:color="000000"/>
              <w:bottom w:val="single" w:sz="4" w:space="0" w:color="000000"/>
              <w:right w:val="single" w:sz="8" w:space="0" w:color="000000"/>
            </w:tcBorders>
          </w:tcPr>
          <w:p w:rsidR="00E8309B" w:rsidRDefault="009D0949">
            <w:pPr>
              <w:spacing w:after="0" w:line="259" w:lineRule="auto"/>
              <w:ind w:left="0" w:right="103" w:firstLine="0"/>
              <w:jc w:val="right"/>
            </w:pPr>
            <w:r>
              <w:rPr>
                <w:sz w:val="20"/>
              </w:rPr>
              <w:t xml:space="preserve">3 милијарде евра (2022) </w:t>
            </w:r>
          </w:p>
        </w:tc>
      </w:tr>
    </w:tbl>
    <w:p w:rsidR="00E8309B" w:rsidRDefault="009D0949">
      <w:pPr>
        <w:numPr>
          <w:ilvl w:val="0"/>
          <w:numId w:val="17"/>
        </w:numPr>
        <w:spacing w:after="79" w:line="271" w:lineRule="auto"/>
        <w:ind w:right="9" w:hanging="360"/>
      </w:pPr>
      <w:r>
        <w:rPr>
          <w:b/>
        </w:rPr>
        <w:t xml:space="preserve">Очекивани утицај на конкурентност </w:t>
      </w:r>
    </w:p>
    <w:p w:rsidR="00E8309B" w:rsidRDefault="009D0949">
      <w:pPr>
        <w:spacing w:after="98"/>
        <w:ind w:left="-5" w:right="17"/>
      </w:pPr>
      <w:r>
        <w:t xml:space="preserve">Убрзавањем исплата подстицаја доприноси се побољшању ликвидност укупног ланца вредности примарне пољопривредне производње – прераде.  </w:t>
      </w:r>
    </w:p>
    <w:p w:rsidR="00E8309B" w:rsidRDefault="009D0949">
      <w:pPr>
        <w:spacing w:after="102"/>
        <w:ind w:left="-5" w:right="17"/>
      </w:pPr>
      <w:r>
        <w:t>Добијањем средстава у роковима који предстоје пољопривредним радовима смањује се потре</w:t>
      </w:r>
      <w:r>
        <w:t xml:space="preserve">ба за краткорочним задуживањем и отвара се простор за евентуално задуживање које се односи на инвестиционе активности. </w:t>
      </w:r>
    </w:p>
    <w:p w:rsidR="00E8309B" w:rsidRDefault="009D0949">
      <w:pPr>
        <w:ind w:left="-5" w:right="17"/>
      </w:pPr>
      <w:r>
        <w:t>Побољшањем ликвидности се утиче на могућност инвестирања у основна средства што заједно утиче на конкурентност пољопривреде a посредно м</w:t>
      </w:r>
      <w:r>
        <w:t xml:space="preserve">оже да доведе до увећања кредитне подршке у инвестиционе кредите у пољопривреди и преради. </w:t>
      </w:r>
    </w:p>
    <w:p w:rsidR="00E8309B" w:rsidRDefault="009D0949">
      <w:pPr>
        <w:numPr>
          <w:ilvl w:val="0"/>
          <w:numId w:val="17"/>
        </w:numPr>
        <w:spacing w:after="123" w:line="271" w:lineRule="auto"/>
        <w:ind w:right="9" w:hanging="360"/>
      </w:pPr>
      <w:r>
        <w:rPr>
          <w:b/>
        </w:rPr>
        <w:t xml:space="preserve">Процењени трошкови спровођења структурне реформе и предвиђени извори њиховог финансирања </w:t>
      </w:r>
    </w:p>
    <w:p w:rsidR="00E8309B" w:rsidRDefault="009D0949">
      <w:pPr>
        <w:spacing w:after="102"/>
        <w:ind w:left="-5" w:right="17"/>
      </w:pPr>
      <w:r>
        <w:t xml:space="preserve">У првој половини </w:t>
      </w:r>
      <w:r>
        <w:t>2021. године ће се завршити израда Студије о успостављању Агенције за аграрна плаћања (</w:t>
      </w:r>
      <w:r>
        <w:rPr>
          <w:i/>
        </w:rPr>
        <w:t>Roadmap</w:t>
      </w:r>
      <w:r>
        <w:t>) која се финансира као једна од активности пројекта који се тренутно спроводи (ИПА 2015 Јачање капацитета за усклађивање са правним тековима ЕУ у области пољопри</w:t>
      </w:r>
      <w:r>
        <w:t xml:space="preserve">вреде, руралног развоја, безбедности хране, ветеринарске и фитосанитарне политике). Финансирање ИПА 2015 пројекта (укупан износ 2,3 милиона евра) је у потпуности одобрено из ЕУ фондова те се за ову активност не планирају додатна средства.  </w:t>
      </w:r>
    </w:p>
    <w:p w:rsidR="00E8309B" w:rsidRDefault="009D0949">
      <w:pPr>
        <w:spacing w:after="145"/>
        <w:ind w:left="-5" w:right="17"/>
      </w:pPr>
      <w:r>
        <w:t>У току 2021. го</w:t>
      </w:r>
      <w:r>
        <w:t xml:space="preserve">дине ће се израдити Дигитална стратегија која се финансира у оквиру Пројекта конкурентне пољопривреде из кредита Светске банке. </w:t>
      </w:r>
    </w:p>
    <w:p w:rsidR="00E8309B" w:rsidRDefault="009D0949">
      <w:pPr>
        <w:spacing w:after="98"/>
        <w:ind w:left="-5" w:right="17"/>
      </w:pPr>
      <w:r>
        <w:lastRenderedPageBreak/>
        <w:t>У току 2021. године ће се спровести набавка новог софтвера за Регистар пољоприведних газдинстава из буџета Републике Србије – и</w:t>
      </w:r>
      <w:r>
        <w:t xml:space="preserve">звор 01 у износу до 169.704,37 евра а у наредним годинама ће се извршити преузимање Регистра пољоприведних газдинстава од Управе за трезор Министарства финансија. </w:t>
      </w:r>
    </w:p>
    <w:p w:rsidR="00E8309B" w:rsidRDefault="009D0949">
      <w:pPr>
        <w:spacing w:after="144"/>
        <w:ind w:left="-5" w:right="17"/>
      </w:pPr>
      <w:r>
        <w:t>За израду LPIS софтвера су планирана средства у буџету РС и плаћање је планирано по фазама у</w:t>
      </w:r>
      <w:r>
        <w:t xml:space="preserve"> укупном износу до 560.024,44 евра. </w:t>
      </w:r>
    </w:p>
    <w:p w:rsidR="00E8309B" w:rsidRDefault="009D0949">
      <w:pPr>
        <w:spacing w:after="98"/>
        <w:ind w:left="-5" w:right="17"/>
      </w:pPr>
      <w:r>
        <w:t xml:space="preserve">У току 2022. године ће се спровести повезивање LPIS-а, Регистра животиња и РГП. Извор финансирања ове активности биће накнадно одређен.  </w:t>
      </w:r>
    </w:p>
    <w:p w:rsidR="00E8309B" w:rsidRDefault="009D0949">
      <w:pPr>
        <w:spacing w:after="143"/>
        <w:ind w:left="-5" w:right="17"/>
      </w:pPr>
      <w:r>
        <w:t xml:space="preserve">Успостављање Апликативног система за обраду јединствих захтева пољопривредника у </w:t>
      </w:r>
      <w:r>
        <w:t xml:space="preserve">складу са ЕУ ће се финансирати као део </w:t>
      </w:r>
      <w:r>
        <w:rPr>
          <w:i/>
        </w:rPr>
        <w:t xml:space="preserve">IACS, </w:t>
      </w:r>
      <w:r>
        <w:t xml:space="preserve">кроз планиране ИПА фондове, без националног кофинансирања. </w:t>
      </w:r>
    </w:p>
    <w:p w:rsidR="00E8309B" w:rsidRDefault="009D0949">
      <w:pPr>
        <w:spacing w:after="160"/>
        <w:ind w:left="-5" w:right="17"/>
      </w:pPr>
      <w:r>
        <w:t xml:space="preserve">Успостављање </w:t>
      </w:r>
      <w:r>
        <w:rPr>
          <w:i/>
        </w:rPr>
        <w:t xml:space="preserve">IACS </w:t>
      </w:r>
      <w:r>
        <w:t>је планирано кроз ИПА 2018 програмски циклус. Уговор о услугама / техничка помоћ је планирана у износу од 2.900.000 евра. Уговор о на</w:t>
      </w:r>
      <w:r>
        <w:t xml:space="preserve">бавци је планиран у износу од 890.000 евра.   </w:t>
      </w:r>
    </w:p>
    <w:p w:rsidR="00E8309B" w:rsidRDefault="009D0949">
      <w:pPr>
        <w:numPr>
          <w:ilvl w:val="0"/>
          <w:numId w:val="18"/>
        </w:numPr>
        <w:spacing w:after="79" w:line="271" w:lineRule="auto"/>
        <w:ind w:right="9" w:hanging="360"/>
      </w:pPr>
      <w:r>
        <w:rPr>
          <w:b/>
        </w:rPr>
        <w:t xml:space="preserve">Очекивани утицај на социјалне циљеве, као што су запосленост, смањење сиромаштва, једнакост и род, и приступ здравственој заштити </w:t>
      </w:r>
    </w:p>
    <w:p w:rsidR="00E8309B" w:rsidRDefault="009D0949">
      <w:pPr>
        <w:spacing w:after="117"/>
        <w:ind w:left="-5" w:right="17"/>
      </w:pPr>
      <w:r>
        <w:t>Увећањем ефикасности у исплати подршке пољопривредној производњи и увећањем ефективности у планирању мера пољопривредне политике доприноси се убрзавању кретања роба и услуга у пољопривреди ефективно доприносећи увећању запослености и смањењу сиромаштва. Ол</w:t>
      </w:r>
      <w:r>
        <w:t>акшани приступ мерама подршке пољопривредној производњи доприноси једнаким условима пословања између свих актера на тржишту. Крајњи ефекат ће се огледати у правилном распоређивању и бржој исплати подстицаја. Ова структурна мера је неутрална у смислу утицај</w:t>
      </w:r>
      <w:r>
        <w:t>а на родни аспект.</w:t>
      </w:r>
      <w:r>
        <w:rPr>
          <w:sz w:val="28"/>
        </w:rPr>
        <w:t xml:space="preserve"> </w:t>
      </w:r>
    </w:p>
    <w:p w:rsidR="00E8309B" w:rsidRDefault="009D0949">
      <w:pPr>
        <w:numPr>
          <w:ilvl w:val="0"/>
          <w:numId w:val="18"/>
        </w:numPr>
        <w:spacing w:after="124" w:line="271" w:lineRule="auto"/>
        <w:ind w:right="9" w:hanging="360"/>
      </w:pPr>
      <w:r>
        <w:rPr>
          <w:b/>
        </w:rPr>
        <w:t xml:space="preserve">Очекивани утицај на животну средину </w:t>
      </w:r>
    </w:p>
    <w:p w:rsidR="00E8309B" w:rsidRDefault="009D0949">
      <w:pPr>
        <w:spacing w:after="155"/>
        <w:ind w:left="-5" w:right="17"/>
      </w:pPr>
      <w:r>
        <w:t xml:space="preserve">Успостављањем </w:t>
      </w:r>
      <w:r>
        <w:rPr>
          <w:i/>
        </w:rPr>
        <w:t xml:space="preserve">IACS </w:t>
      </w:r>
      <w:r>
        <w:t>стварају се услови за примену правила ЗПП и провере усаглашености (Cross Compliance) са еколошким захтевима за исплату подстицаја као и плаћања по основу подстицаја за еколошке мер</w:t>
      </w:r>
      <w:r>
        <w:t xml:space="preserve">е чиме ће се допринети озељењавању, инвестирању у смањење ефеката стаклене баште у пољопривреди, ефективно доприносећи захтевима Европског зеленог договора. </w:t>
      </w:r>
      <w:r>
        <w:rPr>
          <w:b/>
        </w:rPr>
        <w:t xml:space="preserve"> </w:t>
      </w:r>
    </w:p>
    <w:p w:rsidR="00E8309B" w:rsidRDefault="009D0949">
      <w:pPr>
        <w:numPr>
          <w:ilvl w:val="0"/>
          <w:numId w:val="18"/>
        </w:numPr>
        <w:spacing w:after="0" w:line="271" w:lineRule="auto"/>
        <w:ind w:right="9" w:hanging="360"/>
      </w:pPr>
      <w:r>
        <w:rPr>
          <w:b/>
        </w:rPr>
        <w:t xml:space="preserve">Потенцијални ризици </w:t>
      </w:r>
    </w:p>
    <w:tbl>
      <w:tblPr>
        <w:tblStyle w:val="TableGrid"/>
        <w:tblW w:w="9696" w:type="dxa"/>
        <w:tblInd w:w="0" w:type="dxa"/>
        <w:tblCellMar>
          <w:top w:w="46" w:type="dxa"/>
          <w:left w:w="108" w:type="dxa"/>
          <w:bottom w:w="0" w:type="dxa"/>
          <w:right w:w="102" w:type="dxa"/>
        </w:tblCellMar>
        <w:tblLook w:val="04A0" w:firstRow="1" w:lastRow="0" w:firstColumn="1" w:lastColumn="0" w:noHBand="0" w:noVBand="1"/>
      </w:tblPr>
      <w:tblGrid>
        <w:gridCol w:w="3330"/>
        <w:gridCol w:w="2201"/>
        <w:gridCol w:w="4165"/>
      </w:tblGrid>
      <w:tr w:rsidR="00E8309B">
        <w:trPr>
          <w:trHeight w:val="470"/>
        </w:trPr>
        <w:tc>
          <w:tcPr>
            <w:tcW w:w="3330"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0" w:right="0" w:firstLine="0"/>
              <w:jc w:val="left"/>
            </w:pPr>
            <w:r>
              <w:rPr>
                <w:b/>
                <w:sz w:val="20"/>
              </w:rPr>
              <w:t xml:space="preserve">Ризик </w:t>
            </w:r>
          </w:p>
        </w:tc>
        <w:tc>
          <w:tcPr>
            <w:tcW w:w="2201"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2" w:right="0" w:firstLine="0"/>
              <w:jc w:val="left"/>
            </w:pPr>
            <w:r>
              <w:rPr>
                <w:b/>
                <w:sz w:val="20"/>
              </w:rPr>
              <w:t xml:space="preserve">Вероватноћа за остваривање ризика </w:t>
            </w:r>
          </w:p>
        </w:tc>
        <w:tc>
          <w:tcPr>
            <w:tcW w:w="4165"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0" w:firstLine="0"/>
              <w:jc w:val="left"/>
            </w:pPr>
            <w:r>
              <w:rPr>
                <w:b/>
                <w:sz w:val="20"/>
              </w:rPr>
              <w:t>Активности за ублажавање негативни</w:t>
            </w:r>
            <w:r>
              <w:rPr>
                <w:b/>
                <w:sz w:val="20"/>
              </w:rPr>
              <w:t xml:space="preserve">х ефеката ризика </w:t>
            </w:r>
          </w:p>
        </w:tc>
      </w:tr>
      <w:tr w:rsidR="00E8309B">
        <w:trPr>
          <w:trHeight w:val="932"/>
        </w:trPr>
        <w:tc>
          <w:tcPr>
            <w:tcW w:w="3330"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0" w:firstLine="0"/>
              <w:jc w:val="left"/>
            </w:pPr>
            <w:r>
              <w:rPr>
                <w:sz w:val="20"/>
              </w:rPr>
              <w:t xml:space="preserve">Кашњење у испуњавању услова за уговарање пројекта / расписивање тендера у задатом року / недостатак планираних средстава </w:t>
            </w:r>
            <w:r>
              <w:rPr>
                <w:b/>
                <w:sz w:val="20"/>
              </w:rPr>
              <w:t xml:space="preserve"> </w:t>
            </w:r>
          </w:p>
        </w:tc>
        <w:tc>
          <w:tcPr>
            <w:tcW w:w="2201"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2" w:right="0" w:firstLine="0"/>
              <w:jc w:val="left"/>
            </w:pPr>
            <w:r>
              <w:rPr>
                <w:sz w:val="20"/>
              </w:rPr>
              <w:t xml:space="preserve">Ниска </w:t>
            </w:r>
          </w:p>
        </w:tc>
        <w:tc>
          <w:tcPr>
            <w:tcW w:w="4165"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0" w:firstLine="0"/>
              <w:jc w:val="left"/>
            </w:pPr>
            <w:r>
              <w:rPr>
                <w:sz w:val="20"/>
              </w:rPr>
              <w:t xml:space="preserve">Спровођење свих мера које доприносе поштовању испуњења предуслова </w:t>
            </w:r>
            <w:r>
              <w:rPr>
                <w:b/>
                <w:sz w:val="20"/>
              </w:rPr>
              <w:t xml:space="preserve"> </w:t>
            </w:r>
          </w:p>
        </w:tc>
      </w:tr>
      <w:tr w:rsidR="00E8309B">
        <w:trPr>
          <w:trHeight w:val="701"/>
        </w:trPr>
        <w:tc>
          <w:tcPr>
            <w:tcW w:w="3330"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0" w:firstLine="0"/>
              <w:jc w:val="left"/>
            </w:pPr>
            <w:r>
              <w:rPr>
                <w:sz w:val="20"/>
              </w:rPr>
              <w:t>Недовољни капацитети Управе за аграрна плаћања – број запослених и њихова благовремена обученост</w:t>
            </w:r>
            <w:r>
              <w:rPr>
                <w:b/>
                <w:sz w:val="20"/>
              </w:rPr>
              <w:t xml:space="preserve"> </w:t>
            </w:r>
          </w:p>
        </w:tc>
        <w:tc>
          <w:tcPr>
            <w:tcW w:w="2201"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2" w:right="0" w:firstLine="0"/>
              <w:jc w:val="left"/>
            </w:pPr>
            <w:r>
              <w:rPr>
                <w:sz w:val="20"/>
              </w:rPr>
              <w:t xml:space="preserve">Ниска </w:t>
            </w:r>
          </w:p>
        </w:tc>
        <w:tc>
          <w:tcPr>
            <w:tcW w:w="4165" w:type="dxa"/>
            <w:tcBorders>
              <w:top w:val="single" w:sz="4" w:space="0" w:color="000000"/>
              <w:left w:val="single" w:sz="4" w:space="0" w:color="000000"/>
              <w:bottom w:val="single" w:sz="4" w:space="0" w:color="000000"/>
              <w:right w:val="single" w:sz="4" w:space="0" w:color="000000"/>
            </w:tcBorders>
          </w:tcPr>
          <w:p w:rsidR="00E8309B" w:rsidRDefault="009D0949">
            <w:pPr>
              <w:spacing w:after="19" w:line="259" w:lineRule="auto"/>
              <w:ind w:left="0" w:right="0" w:firstLine="0"/>
              <w:jc w:val="left"/>
            </w:pPr>
            <w:r>
              <w:rPr>
                <w:sz w:val="20"/>
              </w:rPr>
              <w:t xml:space="preserve">Усвојена је измена и допуна систематизације </w:t>
            </w:r>
          </w:p>
          <w:p w:rsidR="00E8309B" w:rsidRDefault="009D0949">
            <w:pPr>
              <w:spacing w:after="0" w:line="259" w:lineRule="auto"/>
              <w:ind w:left="0" w:right="0" w:firstLine="0"/>
              <w:jc w:val="left"/>
            </w:pPr>
            <w:r>
              <w:rPr>
                <w:sz w:val="20"/>
              </w:rPr>
              <w:t>- предвиђено је запошљавање нових службеника у УАП у наредном периоду</w:t>
            </w:r>
            <w:r>
              <w:rPr>
                <w:b/>
                <w:sz w:val="20"/>
              </w:rPr>
              <w:t xml:space="preserve"> </w:t>
            </w:r>
          </w:p>
        </w:tc>
      </w:tr>
    </w:tbl>
    <w:p w:rsidR="00E8309B" w:rsidRDefault="009D0949">
      <w:pPr>
        <w:spacing w:after="156"/>
        <w:ind w:left="-5" w:right="17"/>
      </w:pPr>
      <w:r>
        <w:rPr>
          <w:b/>
          <w:u w:val="single" w:color="000000"/>
        </w:rPr>
        <w:t>СТРУКТУРНА РЕФОРМА 6:</w:t>
      </w:r>
      <w:r>
        <w:rPr>
          <w:b/>
        </w:rPr>
        <w:t xml:space="preserve"> </w:t>
      </w:r>
      <w:r>
        <w:t xml:space="preserve">УНАПРЕЂЕЊЕ КОНКУРЕНТНОСТИ ПОЉОПРИВРЕДЕ </w:t>
      </w:r>
    </w:p>
    <w:p w:rsidR="00E8309B" w:rsidRDefault="009D0949">
      <w:pPr>
        <w:spacing w:after="126" w:line="271" w:lineRule="auto"/>
        <w:ind w:left="-5" w:right="9"/>
      </w:pPr>
      <w:r>
        <w:rPr>
          <w:b/>
        </w:rPr>
        <w:t>1.</w:t>
      </w:r>
      <w:r>
        <w:rPr>
          <w:rFonts w:ascii="Arial" w:eastAsia="Arial" w:hAnsi="Arial" w:cs="Arial"/>
          <w:b/>
        </w:rPr>
        <w:t xml:space="preserve"> </w:t>
      </w:r>
      <w:r>
        <w:rPr>
          <w:b/>
        </w:rPr>
        <w:t xml:space="preserve">Опис структурне реформе </w:t>
      </w:r>
    </w:p>
    <w:p w:rsidR="00E8309B" w:rsidRDefault="009D0949">
      <w:pPr>
        <w:spacing w:after="149"/>
        <w:ind w:left="-5" w:right="17"/>
      </w:pPr>
      <w:r>
        <w:t>Реформа која за циљ има унапређење конкурентности пољопривреде обухвата две компоненте: Унапређење руралне инфраструктуре и Унапређење правног оквира у области уређења тржишта пољопривредн</w:t>
      </w:r>
      <w:r>
        <w:t>их производа, шема квалитета за пољопривредне и прехрамбене производе и у области органске производње.</w:t>
      </w:r>
      <w:r>
        <w:rPr>
          <w:i/>
        </w:rPr>
        <w:t xml:space="preserve"> </w:t>
      </w:r>
    </w:p>
    <w:p w:rsidR="00E8309B" w:rsidRDefault="009D0949">
      <w:pPr>
        <w:spacing w:after="87" w:line="268" w:lineRule="auto"/>
        <w:ind w:left="-5" w:right="16"/>
      </w:pPr>
      <w:r>
        <w:rPr>
          <w:i/>
        </w:rPr>
        <w:lastRenderedPageBreak/>
        <w:t>Унапређење руралне инфраструктуре</w:t>
      </w:r>
      <w:r>
        <w:rPr>
          <w:b/>
        </w:rPr>
        <w:t xml:space="preserve"> </w:t>
      </w:r>
    </w:p>
    <w:p w:rsidR="00E8309B" w:rsidRDefault="009D0949">
      <w:pPr>
        <w:spacing w:after="102"/>
        <w:ind w:left="-5" w:right="17"/>
      </w:pPr>
      <w:r>
        <w:t>Како би се ниво конкурентности пољопривредних произвођача подигао и како би се унапредио квалитет живота у руралним подручјима, потребно је унапредити руралну инфраструктуру кроз изградњу: локалних путева; електро мреже; водовода; као и улагања у постројењ</w:t>
      </w:r>
      <w:r>
        <w:t>а за очување животне средине као што су објекти за прераду отпадних вода или депоније за одлагање отпада (</w:t>
      </w:r>
      <w:r>
        <w:rPr>
          <w:b/>
        </w:rPr>
        <w:t>ЦОР 12.5.</w:t>
      </w:r>
      <w:r>
        <w:t xml:space="preserve"> До 2030. значајно смањити производњу отпада кроз превенцију, редукцију, рециклирање и поновно коришћење). Корисници наведене мере су јединиц</w:t>
      </w:r>
      <w:r>
        <w:t>е локалних самоуправа (општине и градови) које уз квалитетне пројекте за унапређење руралне инфраструктуре стварају услове за повећање конкурентности домаћих пољопривредних произвођача и прерађивача. Наведена мера је у складу са Законом о подстицајима у по</w:t>
      </w:r>
      <w:r>
        <w:t>љопривреди и руралном развоју и Стратегијом пољопривреде и руралног развоја РС 20142024. Спровођење мере на националном нивоу омогућиће припрему државне администрације и крајњих корисника (ЈЛС) за ефикасније кoришћeње ИПAРД прeтприступних фoндoвa EУ нaмeњe</w:t>
      </w:r>
      <w:r>
        <w:t xml:space="preserve">них развоју рурaлне инфрaструктуре, а који су у потпуности усаглашени са Европским зеленим договором. Реформа је повезана са </w:t>
      </w:r>
      <w:r>
        <w:rPr>
          <w:b/>
        </w:rPr>
        <w:t>ЦОР 11.</w:t>
      </w:r>
      <w:r>
        <w:t xml:space="preserve"> Обезбедити отворене, сигурне, и одрживе градове и насеља односно доприноси остваривању </w:t>
      </w:r>
      <w:r>
        <w:rPr>
          <w:b/>
        </w:rPr>
        <w:t>ЦОР 11.3.</w:t>
      </w:r>
      <w:r>
        <w:t xml:space="preserve"> До 2030. унапредити инклуз</w:t>
      </w:r>
      <w:r>
        <w:t xml:space="preserve">ивну и одрживу урбанизацију и капацитете за партиципативно, интегрисано и одрживо планирање и управљање људским насељима. </w:t>
      </w:r>
    </w:p>
    <w:p w:rsidR="00E8309B" w:rsidRDefault="009D0949">
      <w:pPr>
        <w:spacing w:after="131" w:line="268" w:lineRule="auto"/>
        <w:ind w:left="-5" w:right="16"/>
      </w:pPr>
      <w:r>
        <w:rPr>
          <w:i/>
        </w:rPr>
        <w:t>Унапређење правног оквира у области уређења тржишта пољопривредних производа, шема квалитета за пољопривредне и прехрамбене производе</w:t>
      </w:r>
      <w:r>
        <w:rPr>
          <w:i/>
        </w:rPr>
        <w:t xml:space="preserve"> и у области органске производње </w:t>
      </w:r>
    </w:p>
    <w:p w:rsidR="00E8309B" w:rsidRDefault="009D0949">
      <w:pPr>
        <w:spacing w:after="100"/>
        <w:ind w:left="-5" w:right="17"/>
      </w:pPr>
      <w:r>
        <w:t>Унапређење правног оквира у области уређења тржишта пољопривредних производа, шема квалитета за пољопривредне и прехрамбене производе, као и у области органске производње подразумева доношење Закона о уређењу тржишта пољоп</w:t>
      </w:r>
      <w:r>
        <w:t xml:space="preserve">ривредних производа, Зaкoнa o шeмaмa квaлитeтa зa пoљoприврeднe и прeхрaмбeнe прoизвoдe и Закона о органској производњу и пратећих подзаконских аката. Реформа је повезана са </w:t>
      </w:r>
      <w:r>
        <w:rPr>
          <w:b/>
        </w:rPr>
        <w:t xml:space="preserve">ЦОР 2. </w:t>
      </w:r>
      <w:r>
        <w:t>Окончати глад, постићи безбедност хране и побољшану исхрану и промовисати о</w:t>
      </w:r>
      <w:r>
        <w:t xml:space="preserve">држиву пољопривреду, односно доприноси остваривању </w:t>
      </w:r>
      <w:r>
        <w:rPr>
          <w:b/>
        </w:rPr>
        <w:t>ЦОР 2.3.</w:t>
      </w:r>
      <w:r>
        <w:t xml:space="preserve"> До 2030. удвостручити пољопривредну продуктивност и приходе малих произвођача хране и </w:t>
      </w:r>
      <w:r>
        <w:rPr>
          <w:b/>
        </w:rPr>
        <w:t>ЦОР 2.4.</w:t>
      </w:r>
      <w:r>
        <w:t xml:space="preserve"> До 2030. обезбедити одрживе системе за производњу хране и применити отпорне пољопривредне праксе за п</w:t>
      </w:r>
      <w:r>
        <w:t>овећање продуктивности и производње.</w:t>
      </w:r>
      <w:r>
        <w:rPr>
          <w:sz w:val="22"/>
        </w:rPr>
        <w:t xml:space="preserve"> </w:t>
      </w:r>
    </w:p>
    <w:p w:rsidR="00E8309B" w:rsidRDefault="009D0949">
      <w:pPr>
        <w:spacing w:after="128"/>
        <w:ind w:left="-5" w:right="17"/>
      </w:pPr>
      <w:r>
        <w:t>Закон о уређењу тржишта пољопривредних производа треба на јединствен начин да регулише тржишта по секторима са акцентом на увођење стандарда у производњи и омогући формирање произвођачких организација. Доношењем Зaкoнa o шeмaмa квaлитeтa зa пoљoприврeднe и</w:t>
      </w:r>
      <w:r>
        <w:t xml:space="preserve"> прeхрaмбeнe прoизвoдe успоставиће се систем заштите ознака географског порекла и ознаке гарантовано традиционални специјалитет који је једнак европском, што ће омогућити нашим произвођачима да своје производе са заштићеним ознакама географског порекла заш</w:t>
      </w:r>
      <w:r>
        <w:t>тите и на нивоу ЕУ. Такође, успоставиће се ефикаснији систем контроле квалитета производа са заштићеним географским пореклом, а биће омогућено и развијање нaциoнaлних шeма квaлитeтa. Новим Законом о органској производњи прописаће се посебна правила за прои</w:t>
      </w:r>
      <w:r>
        <w:t>зводњу пољопривредних и прехрамбених органских производа, сточне хране, поступци контроле и сертификације у органској производњи, транспорт, складиштење, обележавање, продаја, увоз и извоз органских производа, као и друга питања релевантна за органску прои</w:t>
      </w:r>
      <w:r>
        <w:t xml:space="preserve">зводњу. Реформа такође доприноси остваривању </w:t>
      </w:r>
      <w:r>
        <w:rPr>
          <w:b/>
        </w:rPr>
        <w:t>ЦОР 2.б</w:t>
      </w:r>
      <w:r>
        <w:t xml:space="preserve"> Исправити и спречити трговинска ограничења и деформације на пољопривредним тржиштима у свету.</w:t>
      </w:r>
      <w:r>
        <w:rPr>
          <w:sz w:val="22"/>
        </w:rPr>
        <w:t xml:space="preserve"> </w:t>
      </w:r>
    </w:p>
    <w:p w:rsidR="00E8309B" w:rsidRDefault="009D0949">
      <w:pPr>
        <w:numPr>
          <w:ilvl w:val="0"/>
          <w:numId w:val="19"/>
        </w:numPr>
        <w:spacing w:after="126" w:line="271" w:lineRule="auto"/>
        <w:ind w:right="9" w:hanging="360"/>
      </w:pPr>
      <w:r>
        <w:rPr>
          <w:b/>
        </w:rPr>
        <w:t xml:space="preserve">Ковид-19 – ефекти, мере и изазови </w:t>
      </w:r>
    </w:p>
    <w:p w:rsidR="00E8309B" w:rsidRDefault="009D0949">
      <w:pPr>
        <w:spacing w:after="104"/>
        <w:ind w:left="-5" w:right="17"/>
      </w:pPr>
      <w:r>
        <w:t>Пандемија Ковид-19 и увођење ванредног стања имале су за последицу непово</w:t>
      </w:r>
      <w:r>
        <w:t xml:space="preserve">љне ефекте на пољопривредне произвођаче. Мере уведене у Републици Србији су биле усмерене на све </w:t>
      </w:r>
      <w:r>
        <w:lastRenderedPageBreak/>
        <w:t>грађане, укључујући и становништво ангажовано у пољопривреди. У кратком року се увидело да је неопходно ослободити пољопривреднике неких ограничења и дозволити</w:t>
      </w:r>
      <w:r>
        <w:t xml:space="preserve"> им примену неопходних агротехничких мера, пре свега због сезонске природе посла који се не може надокнадити, а посебно ради заштите од мраза. Министарство пољопривреде, шумарства и водопривреде је са тим у вези почетком априла издало јавно саопштење, које</w:t>
      </w:r>
      <w:r>
        <w:t xml:space="preserve"> садржи упутство за пријаву за добијање дозволе за кретање у време полицијског часа, намењене произвођачима воћа и поврћа.  </w:t>
      </w:r>
    </w:p>
    <w:p w:rsidR="00E8309B" w:rsidRDefault="009D0949">
      <w:pPr>
        <w:spacing w:after="158"/>
        <w:ind w:left="-5" w:right="17"/>
      </w:pPr>
      <w:r>
        <w:t>Програм економских мера за подршку пољопривреди усвојен је у априлу 2020. године, и то кроз три уредбе: Уредба о утврђивању гарантн</w:t>
      </w:r>
      <w:r>
        <w:t>е шеме као мере подршке привреди за ублажавање последица пандемије Ковид-19, као и Уредба о новчаној помоћи пољопривредним газдинствима и Уредба о финансијској подршци пољопривредним газдинствима кроз олакшан приступ коришћењу кредита у отежаним економским</w:t>
      </w:r>
      <w:r>
        <w:t xml:space="preserve"> условима услед пандемије Ковид-19. Пролећна сетва се поклопила са периодом рестриктивних мера, везаним за кретање становништва, па је била доста отежана. Упркос потешкоћама у реализацији обавеза, пољопривредни произвођачи су сетву обавили у року и на очек</w:t>
      </w:r>
      <w:r>
        <w:t xml:space="preserve">иваним површинама. То је један од разлога што се, поред повољних временских прилика, постигли високе приносе код главних ратарских култура. </w:t>
      </w:r>
    </w:p>
    <w:p w:rsidR="00E8309B" w:rsidRDefault="009D0949">
      <w:pPr>
        <w:numPr>
          <w:ilvl w:val="0"/>
          <w:numId w:val="19"/>
        </w:numPr>
        <w:spacing w:after="0" w:line="271" w:lineRule="auto"/>
        <w:ind w:right="9" w:hanging="360"/>
      </w:pPr>
      <w:r>
        <w:rPr>
          <w:b/>
        </w:rPr>
        <w:t xml:space="preserve">Планиране активности по годинама </w:t>
      </w:r>
    </w:p>
    <w:tbl>
      <w:tblPr>
        <w:tblStyle w:val="TableGrid"/>
        <w:tblW w:w="9639" w:type="dxa"/>
        <w:tblInd w:w="0" w:type="dxa"/>
        <w:tblCellMar>
          <w:top w:w="48" w:type="dxa"/>
          <w:left w:w="0" w:type="dxa"/>
          <w:bottom w:w="15" w:type="dxa"/>
          <w:right w:w="2" w:type="dxa"/>
        </w:tblCellMar>
        <w:tblLook w:val="04A0" w:firstRow="1" w:lastRow="0" w:firstColumn="1" w:lastColumn="0" w:noHBand="0" w:noVBand="1"/>
      </w:tblPr>
      <w:tblGrid>
        <w:gridCol w:w="423"/>
        <w:gridCol w:w="3937"/>
        <w:gridCol w:w="685"/>
        <w:gridCol w:w="417"/>
        <w:gridCol w:w="422"/>
        <w:gridCol w:w="415"/>
        <w:gridCol w:w="418"/>
        <w:gridCol w:w="414"/>
        <w:gridCol w:w="423"/>
        <w:gridCol w:w="415"/>
        <w:gridCol w:w="418"/>
        <w:gridCol w:w="414"/>
        <w:gridCol w:w="422"/>
        <w:gridCol w:w="416"/>
      </w:tblGrid>
      <w:tr w:rsidR="00E8309B">
        <w:trPr>
          <w:trHeight w:val="656"/>
        </w:trPr>
        <w:tc>
          <w:tcPr>
            <w:tcW w:w="427" w:type="dxa"/>
            <w:tcBorders>
              <w:top w:val="single" w:sz="8" w:space="0" w:color="000000"/>
              <w:left w:val="single" w:sz="8" w:space="0" w:color="000000"/>
              <w:bottom w:val="single" w:sz="8" w:space="0" w:color="000000"/>
              <w:right w:val="single" w:sz="8" w:space="0" w:color="000000"/>
            </w:tcBorders>
            <w:vAlign w:val="center"/>
          </w:tcPr>
          <w:p w:rsidR="00E8309B" w:rsidRDefault="009D0949">
            <w:pPr>
              <w:spacing w:after="0" w:line="259" w:lineRule="auto"/>
              <w:ind w:left="87" w:right="0" w:firstLine="0"/>
            </w:pPr>
            <w:r>
              <w:rPr>
                <w:b/>
                <w:sz w:val="20"/>
              </w:rPr>
              <w:t xml:space="preserve">РБ </w:t>
            </w:r>
          </w:p>
        </w:tc>
        <w:tc>
          <w:tcPr>
            <w:tcW w:w="4137" w:type="dxa"/>
            <w:tcBorders>
              <w:top w:val="single" w:sz="8" w:space="0" w:color="000000"/>
              <w:left w:val="single" w:sz="8" w:space="0" w:color="000000"/>
              <w:bottom w:val="single" w:sz="8" w:space="0" w:color="000000"/>
              <w:right w:val="single" w:sz="8" w:space="0" w:color="000000"/>
            </w:tcBorders>
            <w:vAlign w:val="center"/>
          </w:tcPr>
          <w:p w:rsidR="00E8309B" w:rsidRDefault="009D0949">
            <w:pPr>
              <w:spacing w:after="0" w:line="259" w:lineRule="auto"/>
              <w:ind w:left="60" w:right="0" w:firstLine="0"/>
              <w:jc w:val="left"/>
            </w:pPr>
            <w:r>
              <w:rPr>
                <w:b/>
                <w:sz w:val="20"/>
              </w:rPr>
              <w:t xml:space="preserve">Планиране активности </w:t>
            </w:r>
          </w:p>
        </w:tc>
        <w:tc>
          <w:tcPr>
            <w:tcW w:w="420" w:type="dxa"/>
            <w:tcBorders>
              <w:top w:val="single" w:sz="8" w:space="0" w:color="000000"/>
              <w:left w:val="single" w:sz="8" w:space="0" w:color="000000"/>
              <w:bottom w:val="single" w:sz="4" w:space="0" w:color="000000"/>
              <w:right w:val="nil"/>
            </w:tcBorders>
            <w:vAlign w:val="bottom"/>
          </w:tcPr>
          <w:p w:rsidR="00E8309B" w:rsidRDefault="009D0949">
            <w:pPr>
              <w:spacing w:after="0" w:line="259" w:lineRule="auto"/>
              <w:ind w:left="100" w:right="0" w:firstLine="0"/>
              <w:jc w:val="left"/>
            </w:pPr>
            <w:r>
              <w:rPr>
                <w:i/>
                <w:sz w:val="18"/>
              </w:rPr>
              <w:t xml:space="preserve">Q1 </w:t>
            </w:r>
          </w:p>
        </w:tc>
        <w:tc>
          <w:tcPr>
            <w:tcW w:w="425" w:type="dxa"/>
            <w:tcBorders>
              <w:top w:val="single" w:sz="8" w:space="0" w:color="000000"/>
              <w:left w:val="nil"/>
              <w:bottom w:val="single" w:sz="4" w:space="0" w:color="000000"/>
              <w:right w:val="nil"/>
            </w:tcBorders>
            <w:vAlign w:val="bottom"/>
          </w:tcPr>
          <w:p w:rsidR="00E8309B" w:rsidRDefault="009D0949">
            <w:pPr>
              <w:spacing w:after="0" w:line="259" w:lineRule="auto"/>
              <w:ind w:left="102" w:right="0" w:firstLine="0"/>
              <w:jc w:val="left"/>
            </w:pPr>
            <w:r>
              <w:rPr>
                <w:i/>
                <w:sz w:val="18"/>
              </w:rPr>
              <w:t xml:space="preserve">Q2 </w:t>
            </w:r>
          </w:p>
        </w:tc>
        <w:tc>
          <w:tcPr>
            <w:tcW w:w="422" w:type="dxa"/>
            <w:tcBorders>
              <w:top w:val="single" w:sz="8" w:space="0" w:color="000000"/>
              <w:left w:val="nil"/>
              <w:bottom w:val="single" w:sz="4" w:space="0" w:color="000000"/>
              <w:right w:val="nil"/>
            </w:tcBorders>
          </w:tcPr>
          <w:p w:rsidR="00E8309B" w:rsidRDefault="009D0949">
            <w:pPr>
              <w:spacing w:after="65" w:line="259" w:lineRule="auto"/>
              <w:ind w:left="-200" w:right="219" w:firstLine="0"/>
              <w:jc w:val="center"/>
            </w:pPr>
            <w:r>
              <w:rPr>
                <w:b/>
                <w:sz w:val="20"/>
              </w:rPr>
              <w:t xml:space="preserve">2021 </w:t>
            </w:r>
          </w:p>
          <w:p w:rsidR="00E8309B" w:rsidRDefault="009D0949">
            <w:pPr>
              <w:spacing w:after="0" w:line="259" w:lineRule="auto"/>
              <w:ind w:left="102" w:right="0" w:firstLine="0"/>
              <w:jc w:val="left"/>
            </w:pPr>
            <w:r>
              <w:rPr>
                <w:i/>
                <w:sz w:val="18"/>
              </w:rPr>
              <w:t xml:space="preserve">Q3 </w:t>
            </w:r>
          </w:p>
        </w:tc>
        <w:tc>
          <w:tcPr>
            <w:tcW w:w="422" w:type="dxa"/>
            <w:tcBorders>
              <w:top w:val="single" w:sz="8" w:space="0" w:color="000000"/>
              <w:left w:val="nil"/>
              <w:bottom w:val="single" w:sz="4" w:space="0" w:color="000000"/>
              <w:right w:val="single" w:sz="8" w:space="0" w:color="000000"/>
            </w:tcBorders>
            <w:vAlign w:val="bottom"/>
          </w:tcPr>
          <w:p w:rsidR="00E8309B" w:rsidRDefault="009D0949">
            <w:pPr>
              <w:spacing w:after="0" w:line="259" w:lineRule="auto"/>
              <w:ind w:left="102" w:right="0" w:firstLine="0"/>
              <w:jc w:val="left"/>
            </w:pPr>
            <w:r>
              <w:rPr>
                <w:i/>
                <w:sz w:val="18"/>
              </w:rPr>
              <w:t xml:space="preserve">Q4 </w:t>
            </w:r>
          </w:p>
        </w:tc>
        <w:tc>
          <w:tcPr>
            <w:tcW w:w="425" w:type="dxa"/>
            <w:tcBorders>
              <w:top w:val="single" w:sz="8" w:space="0" w:color="000000"/>
              <w:left w:val="single" w:sz="8" w:space="0" w:color="000000"/>
              <w:bottom w:val="single" w:sz="4" w:space="0" w:color="000000"/>
              <w:right w:val="nil"/>
            </w:tcBorders>
            <w:vAlign w:val="bottom"/>
          </w:tcPr>
          <w:p w:rsidR="00E8309B" w:rsidRDefault="009D0949">
            <w:pPr>
              <w:spacing w:after="0" w:line="259" w:lineRule="auto"/>
              <w:ind w:left="104" w:right="0" w:firstLine="0"/>
              <w:jc w:val="left"/>
            </w:pPr>
            <w:r>
              <w:rPr>
                <w:i/>
                <w:sz w:val="18"/>
              </w:rPr>
              <w:t xml:space="preserve">Q1 </w:t>
            </w:r>
          </w:p>
        </w:tc>
        <w:tc>
          <w:tcPr>
            <w:tcW w:w="422" w:type="dxa"/>
            <w:tcBorders>
              <w:top w:val="single" w:sz="8" w:space="0" w:color="000000"/>
              <w:left w:val="nil"/>
              <w:bottom w:val="single" w:sz="4" w:space="0" w:color="000000"/>
              <w:right w:val="nil"/>
            </w:tcBorders>
            <w:vAlign w:val="bottom"/>
          </w:tcPr>
          <w:p w:rsidR="00E8309B" w:rsidRDefault="009D0949">
            <w:pPr>
              <w:spacing w:after="0" w:line="259" w:lineRule="auto"/>
              <w:ind w:left="102" w:right="0" w:firstLine="0"/>
              <w:jc w:val="left"/>
            </w:pPr>
            <w:r>
              <w:rPr>
                <w:i/>
                <w:sz w:val="18"/>
              </w:rPr>
              <w:t xml:space="preserve">Q2 </w:t>
            </w:r>
          </w:p>
        </w:tc>
        <w:tc>
          <w:tcPr>
            <w:tcW w:w="423" w:type="dxa"/>
            <w:tcBorders>
              <w:top w:val="single" w:sz="8" w:space="0" w:color="000000"/>
              <w:left w:val="nil"/>
              <w:bottom w:val="single" w:sz="4" w:space="0" w:color="000000"/>
              <w:right w:val="nil"/>
            </w:tcBorders>
          </w:tcPr>
          <w:p w:rsidR="00E8309B" w:rsidRDefault="009D0949">
            <w:pPr>
              <w:spacing w:after="65" w:line="259" w:lineRule="auto"/>
              <w:ind w:left="-198" w:right="217" w:firstLine="0"/>
              <w:jc w:val="center"/>
            </w:pPr>
            <w:r>
              <w:rPr>
                <w:b/>
                <w:sz w:val="20"/>
              </w:rPr>
              <w:t xml:space="preserve">2022 </w:t>
            </w:r>
          </w:p>
          <w:p w:rsidR="00E8309B" w:rsidRDefault="009D0949">
            <w:pPr>
              <w:spacing w:after="0" w:line="259" w:lineRule="auto"/>
              <w:ind w:left="102" w:right="0" w:firstLine="0"/>
              <w:jc w:val="left"/>
            </w:pPr>
            <w:r>
              <w:rPr>
                <w:i/>
                <w:sz w:val="18"/>
              </w:rPr>
              <w:t xml:space="preserve">Q3 </w:t>
            </w:r>
          </w:p>
        </w:tc>
        <w:tc>
          <w:tcPr>
            <w:tcW w:w="422" w:type="dxa"/>
            <w:tcBorders>
              <w:top w:val="single" w:sz="8" w:space="0" w:color="000000"/>
              <w:left w:val="nil"/>
              <w:bottom w:val="single" w:sz="4" w:space="0" w:color="000000"/>
              <w:right w:val="single" w:sz="8" w:space="0" w:color="000000"/>
            </w:tcBorders>
            <w:vAlign w:val="bottom"/>
          </w:tcPr>
          <w:p w:rsidR="00E8309B" w:rsidRDefault="009D0949">
            <w:pPr>
              <w:spacing w:after="0" w:line="259" w:lineRule="auto"/>
              <w:ind w:left="102" w:right="0" w:firstLine="0"/>
              <w:jc w:val="left"/>
            </w:pPr>
            <w:r>
              <w:rPr>
                <w:i/>
                <w:sz w:val="18"/>
              </w:rPr>
              <w:t xml:space="preserve">Q4 </w:t>
            </w:r>
          </w:p>
        </w:tc>
        <w:tc>
          <w:tcPr>
            <w:tcW w:w="425" w:type="dxa"/>
            <w:tcBorders>
              <w:top w:val="single" w:sz="8" w:space="0" w:color="000000"/>
              <w:left w:val="single" w:sz="8" w:space="0" w:color="000000"/>
              <w:bottom w:val="single" w:sz="4" w:space="0" w:color="000000"/>
              <w:right w:val="nil"/>
            </w:tcBorders>
            <w:vAlign w:val="bottom"/>
          </w:tcPr>
          <w:p w:rsidR="00E8309B" w:rsidRDefault="009D0949">
            <w:pPr>
              <w:spacing w:after="0" w:line="259" w:lineRule="auto"/>
              <w:ind w:left="104" w:right="0" w:firstLine="0"/>
              <w:jc w:val="left"/>
            </w:pPr>
            <w:r>
              <w:rPr>
                <w:i/>
                <w:sz w:val="18"/>
              </w:rPr>
              <w:t xml:space="preserve">Q1 </w:t>
            </w:r>
          </w:p>
        </w:tc>
        <w:tc>
          <w:tcPr>
            <w:tcW w:w="422" w:type="dxa"/>
            <w:tcBorders>
              <w:top w:val="single" w:sz="8" w:space="0" w:color="000000"/>
              <w:left w:val="nil"/>
              <w:bottom w:val="single" w:sz="4" w:space="0" w:color="000000"/>
              <w:right w:val="nil"/>
            </w:tcBorders>
            <w:vAlign w:val="bottom"/>
          </w:tcPr>
          <w:p w:rsidR="00E8309B" w:rsidRDefault="009D0949">
            <w:pPr>
              <w:spacing w:after="0" w:line="259" w:lineRule="auto"/>
              <w:ind w:left="102" w:right="0" w:firstLine="0"/>
              <w:jc w:val="left"/>
            </w:pPr>
            <w:r>
              <w:rPr>
                <w:i/>
                <w:sz w:val="18"/>
              </w:rPr>
              <w:t xml:space="preserve">Q2 </w:t>
            </w:r>
          </w:p>
        </w:tc>
        <w:tc>
          <w:tcPr>
            <w:tcW w:w="422" w:type="dxa"/>
            <w:tcBorders>
              <w:top w:val="single" w:sz="8" w:space="0" w:color="000000"/>
              <w:left w:val="nil"/>
              <w:bottom w:val="single" w:sz="4" w:space="0" w:color="000000"/>
              <w:right w:val="nil"/>
            </w:tcBorders>
          </w:tcPr>
          <w:p w:rsidR="00E8309B" w:rsidRDefault="009D0949">
            <w:pPr>
              <w:spacing w:after="65" w:line="259" w:lineRule="auto"/>
              <w:ind w:left="-198" w:right="216" w:firstLine="0"/>
              <w:jc w:val="center"/>
            </w:pPr>
            <w:r>
              <w:rPr>
                <w:b/>
                <w:sz w:val="20"/>
              </w:rPr>
              <w:t xml:space="preserve">2023 </w:t>
            </w:r>
          </w:p>
          <w:p w:rsidR="00E8309B" w:rsidRDefault="009D0949">
            <w:pPr>
              <w:spacing w:after="0" w:line="259" w:lineRule="auto"/>
              <w:ind w:left="102" w:right="0" w:firstLine="0"/>
              <w:jc w:val="left"/>
            </w:pPr>
            <w:r>
              <w:rPr>
                <w:i/>
                <w:sz w:val="18"/>
              </w:rPr>
              <w:t xml:space="preserve">Q3 </w:t>
            </w:r>
          </w:p>
        </w:tc>
        <w:tc>
          <w:tcPr>
            <w:tcW w:w="423" w:type="dxa"/>
            <w:tcBorders>
              <w:top w:val="single" w:sz="8" w:space="0" w:color="000000"/>
              <w:left w:val="nil"/>
              <w:bottom w:val="single" w:sz="4" w:space="0" w:color="000000"/>
              <w:right w:val="single" w:sz="8" w:space="0" w:color="000000"/>
            </w:tcBorders>
            <w:vAlign w:val="bottom"/>
          </w:tcPr>
          <w:p w:rsidR="00E8309B" w:rsidRDefault="009D0949">
            <w:pPr>
              <w:spacing w:after="0" w:line="259" w:lineRule="auto"/>
              <w:ind w:left="102" w:right="0" w:firstLine="0"/>
              <w:jc w:val="left"/>
            </w:pPr>
            <w:r>
              <w:rPr>
                <w:i/>
                <w:sz w:val="18"/>
              </w:rPr>
              <w:t xml:space="preserve">Q4 </w:t>
            </w:r>
          </w:p>
        </w:tc>
      </w:tr>
      <w:tr w:rsidR="00E8309B">
        <w:trPr>
          <w:trHeight w:val="479"/>
        </w:trPr>
        <w:tc>
          <w:tcPr>
            <w:tcW w:w="427" w:type="dxa"/>
            <w:tcBorders>
              <w:top w:val="single" w:sz="8" w:space="0" w:color="000000"/>
              <w:left w:val="single" w:sz="8" w:space="0" w:color="000000"/>
              <w:bottom w:val="single" w:sz="8" w:space="0" w:color="000000"/>
              <w:right w:val="single" w:sz="8" w:space="0" w:color="000000"/>
            </w:tcBorders>
            <w:vAlign w:val="center"/>
          </w:tcPr>
          <w:p w:rsidR="00E8309B" w:rsidRDefault="009D0949">
            <w:pPr>
              <w:spacing w:after="0" w:line="259" w:lineRule="auto"/>
              <w:ind w:left="0" w:right="54" w:firstLine="0"/>
              <w:jc w:val="right"/>
            </w:pPr>
            <w:r>
              <w:rPr>
                <w:sz w:val="20"/>
              </w:rPr>
              <w:t xml:space="preserve">1 </w:t>
            </w:r>
          </w:p>
        </w:tc>
        <w:tc>
          <w:tcPr>
            <w:tcW w:w="4137"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60" w:right="0" w:firstLine="0"/>
              <w:jc w:val="left"/>
            </w:pPr>
            <w:r>
              <w:rPr>
                <w:sz w:val="20"/>
              </w:rPr>
              <w:t xml:space="preserve">Припрема правилника за спровођење мере унапређење руралне инфраструктуре </w:t>
            </w:r>
          </w:p>
        </w:tc>
        <w:tc>
          <w:tcPr>
            <w:tcW w:w="420" w:type="dxa"/>
            <w:tcBorders>
              <w:top w:val="single" w:sz="4" w:space="0" w:color="000000"/>
              <w:left w:val="single" w:sz="8"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47" w:right="0" w:firstLine="0"/>
              <w:jc w:val="center"/>
            </w:pPr>
            <w:r>
              <w:rPr>
                <w:i/>
                <w:sz w:val="18"/>
              </w:rPr>
              <w:t xml:space="preserve"> </w:t>
            </w:r>
          </w:p>
        </w:tc>
        <w:tc>
          <w:tcPr>
            <w:tcW w:w="425"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47" w:right="0" w:firstLine="0"/>
              <w:jc w:val="center"/>
            </w:pPr>
            <w:r>
              <w:rPr>
                <w:i/>
                <w:sz w:val="18"/>
              </w:rPr>
              <w:t xml:space="preserve"> </w:t>
            </w:r>
          </w:p>
        </w:tc>
        <w:tc>
          <w:tcPr>
            <w:tcW w:w="422"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50" w:right="0" w:firstLine="0"/>
              <w:jc w:val="center"/>
            </w:pPr>
            <w:r>
              <w:rPr>
                <w:i/>
                <w:sz w:val="18"/>
              </w:rPr>
              <w:t xml:space="preserve"> </w:t>
            </w:r>
          </w:p>
        </w:tc>
        <w:tc>
          <w:tcPr>
            <w:tcW w:w="422" w:type="dxa"/>
            <w:tcBorders>
              <w:top w:val="single" w:sz="4" w:space="0" w:color="000000"/>
              <w:left w:val="single" w:sz="4" w:space="0" w:color="000000"/>
              <w:bottom w:val="single" w:sz="4" w:space="0" w:color="000000"/>
              <w:right w:val="single" w:sz="8" w:space="0" w:color="000000"/>
            </w:tcBorders>
            <w:shd w:val="clear" w:color="auto" w:fill="BFBFBF"/>
            <w:vAlign w:val="center"/>
          </w:tcPr>
          <w:p w:rsidR="00E8309B" w:rsidRDefault="009D0949">
            <w:pPr>
              <w:spacing w:after="0" w:line="259" w:lineRule="auto"/>
              <w:ind w:left="50" w:right="0" w:firstLine="0"/>
              <w:jc w:val="center"/>
            </w:pPr>
            <w:r>
              <w:rPr>
                <w:i/>
                <w:sz w:val="18"/>
              </w:rPr>
              <w:t xml:space="preserve"> </w:t>
            </w:r>
          </w:p>
        </w:tc>
        <w:tc>
          <w:tcPr>
            <w:tcW w:w="425" w:type="dxa"/>
            <w:tcBorders>
              <w:top w:val="single" w:sz="4" w:space="0" w:color="000000"/>
              <w:left w:val="single" w:sz="8" w:space="0" w:color="000000"/>
              <w:bottom w:val="single" w:sz="4" w:space="0" w:color="000000"/>
              <w:right w:val="single" w:sz="4" w:space="0" w:color="000000"/>
            </w:tcBorders>
            <w:vAlign w:val="center"/>
          </w:tcPr>
          <w:p w:rsidR="00E8309B" w:rsidRDefault="009D0949">
            <w:pPr>
              <w:spacing w:after="0" w:line="259" w:lineRule="auto"/>
              <w:ind w:left="52" w:right="0" w:firstLine="0"/>
              <w:jc w:val="center"/>
            </w:pPr>
            <w:r>
              <w:rPr>
                <w:i/>
                <w:sz w:val="18"/>
              </w:rPr>
              <w:t xml:space="preserve"> </w:t>
            </w:r>
          </w:p>
        </w:tc>
        <w:tc>
          <w:tcPr>
            <w:tcW w:w="422"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50" w:right="0" w:firstLine="0"/>
              <w:jc w:val="center"/>
            </w:pPr>
            <w:r>
              <w:rPr>
                <w:i/>
                <w:sz w:val="18"/>
              </w:rPr>
              <w:t xml:space="preserve"> </w:t>
            </w:r>
          </w:p>
        </w:tc>
        <w:tc>
          <w:tcPr>
            <w:tcW w:w="423"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50" w:right="0" w:firstLine="0"/>
              <w:jc w:val="center"/>
            </w:pPr>
            <w:r>
              <w:rPr>
                <w:i/>
                <w:sz w:val="18"/>
              </w:rPr>
              <w:t xml:space="preserve"> </w:t>
            </w:r>
          </w:p>
        </w:tc>
        <w:tc>
          <w:tcPr>
            <w:tcW w:w="422" w:type="dxa"/>
            <w:tcBorders>
              <w:top w:val="single" w:sz="4" w:space="0" w:color="000000"/>
              <w:left w:val="single" w:sz="4" w:space="0" w:color="000000"/>
              <w:bottom w:val="single" w:sz="4" w:space="0" w:color="000000"/>
              <w:right w:val="single" w:sz="8" w:space="0" w:color="000000"/>
            </w:tcBorders>
            <w:vAlign w:val="center"/>
          </w:tcPr>
          <w:p w:rsidR="00E8309B" w:rsidRDefault="009D0949">
            <w:pPr>
              <w:spacing w:after="0" w:line="259" w:lineRule="auto"/>
              <w:ind w:left="50" w:right="0" w:firstLine="0"/>
              <w:jc w:val="center"/>
            </w:pPr>
            <w:r>
              <w:rPr>
                <w:i/>
                <w:sz w:val="18"/>
              </w:rPr>
              <w:t xml:space="preserve"> </w:t>
            </w:r>
          </w:p>
        </w:tc>
        <w:tc>
          <w:tcPr>
            <w:tcW w:w="425" w:type="dxa"/>
            <w:tcBorders>
              <w:top w:val="single" w:sz="4" w:space="0" w:color="000000"/>
              <w:left w:val="single" w:sz="8" w:space="0" w:color="000000"/>
              <w:bottom w:val="single" w:sz="4" w:space="0" w:color="000000"/>
              <w:right w:val="single" w:sz="4" w:space="0" w:color="000000"/>
            </w:tcBorders>
            <w:vAlign w:val="center"/>
          </w:tcPr>
          <w:p w:rsidR="00E8309B" w:rsidRDefault="009D0949">
            <w:pPr>
              <w:spacing w:after="0" w:line="259" w:lineRule="auto"/>
              <w:ind w:left="52" w:right="0" w:firstLine="0"/>
              <w:jc w:val="center"/>
            </w:pPr>
            <w:r>
              <w:rPr>
                <w:i/>
                <w:sz w:val="18"/>
              </w:rPr>
              <w:t xml:space="preserve"> </w:t>
            </w:r>
          </w:p>
        </w:tc>
        <w:tc>
          <w:tcPr>
            <w:tcW w:w="422"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50" w:right="0" w:firstLine="0"/>
              <w:jc w:val="center"/>
            </w:pPr>
            <w:r>
              <w:rPr>
                <w:i/>
                <w:sz w:val="18"/>
              </w:rPr>
              <w:t xml:space="preserve"> </w:t>
            </w:r>
          </w:p>
        </w:tc>
        <w:tc>
          <w:tcPr>
            <w:tcW w:w="422"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50" w:right="0" w:firstLine="0"/>
              <w:jc w:val="center"/>
            </w:pPr>
            <w:r>
              <w:rPr>
                <w:i/>
                <w:sz w:val="18"/>
              </w:rPr>
              <w:t xml:space="preserve"> </w:t>
            </w:r>
          </w:p>
        </w:tc>
        <w:tc>
          <w:tcPr>
            <w:tcW w:w="423" w:type="dxa"/>
            <w:tcBorders>
              <w:top w:val="single" w:sz="4" w:space="0" w:color="000000"/>
              <w:left w:val="single" w:sz="4" w:space="0" w:color="000000"/>
              <w:bottom w:val="single" w:sz="4" w:space="0" w:color="000000"/>
              <w:right w:val="single" w:sz="8" w:space="0" w:color="000000"/>
            </w:tcBorders>
            <w:vAlign w:val="center"/>
          </w:tcPr>
          <w:p w:rsidR="00E8309B" w:rsidRDefault="009D0949">
            <w:pPr>
              <w:spacing w:after="0" w:line="259" w:lineRule="auto"/>
              <w:ind w:left="50" w:right="0" w:firstLine="0"/>
              <w:jc w:val="center"/>
            </w:pPr>
            <w:r>
              <w:rPr>
                <w:i/>
                <w:sz w:val="18"/>
              </w:rPr>
              <w:t xml:space="preserve"> </w:t>
            </w:r>
          </w:p>
        </w:tc>
      </w:tr>
      <w:tr w:rsidR="00E8309B">
        <w:trPr>
          <w:trHeight w:val="480"/>
        </w:trPr>
        <w:tc>
          <w:tcPr>
            <w:tcW w:w="427" w:type="dxa"/>
            <w:tcBorders>
              <w:top w:val="single" w:sz="8" w:space="0" w:color="000000"/>
              <w:left w:val="single" w:sz="8" w:space="0" w:color="000000"/>
              <w:bottom w:val="single" w:sz="8" w:space="0" w:color="000000"/>
              <w:right w:val="single" w:sz="8" w:space="0" w:color="000000"/>
            </w:tcBorders>
            <w:vAlign w:val="center"/>
          </w:tcPr>
          <w:p w:rsidR="00E8309B" w:rsidRDefault="009D0949">
            <w:pPr>
              <w:spacing w:after="0" w:line="259" w:lineRule="auto"/>
              <w:ind w:left="0" w:right="54" w:firstLine="0"/>
              <w:jc w:val="right"/>
            </w:pPr>
            <w:r>
              <w:rPr>
                <w:sz w:val="20"/>
              </w:rPr>
              <w:t xml:space="preserve">2 </w:t>
            </w:r>
          </w:p>
        </w:tc>
        <w:tc>
          <w:tcPr>
            <w:tcW w:w="4137"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60" w:right="0" w:firstLine="0"/>
              <w:jc w:val="left"/>
            </w:pPr>
            <w:r>
              <w:rPr>
                <w:sz w:val="20"/>
              </w:rPr>
              <w:t xml:space="preserve">Обука запослених који ће спроводити меру унапређење руралне инфраструктуре </w:t>
            </w:r>
          </w:p>
        </w:tc>
        <w:tc>
          <w:tcPr>
            <w:tcW w:w="420" w:type="dxa"/>
            <w:tcBorders>
              <w:top w:val="single" w:sz="4" w:space="0" w:color="000000"/>
              <w:left w:val="single" w:sz="8" w:space="0" w:color="000000"/>
              <w:bottom w:val="single" w:sz="4" w:space="0" w:color="BFBFBF"/>
              <w:right w:val="single" w:sz="4" w:space="0" w:color="000000"/>
            </w:tcBorders>
            <w:shd w:val="clear" w:color="auto" w:fill="BFBFBF"/>
            <w:vAlign w:val="center"/>
          </w:tcPr>
          <w:p w:rsidR="00E8309B" w:rsidRDefault="009D0949">
            <w:pPr>
              <w:spacing w:after="0" w:line="259" w:lineRule="auto"/>
              <w:ind w:left="47" w:right="0" w:firstLine="0"/>
              <w:jc w:val="center"/>
            </w:pPr>
            <w:r>
              <w:rPr>
                <w:i/>
                <w:sz w:val="18"/>
              </w:rPr>
              <w:t xml:space="preserve"> </w:t>
            </w:r>
          </w:p>
        </w:tc>
        <w:tc>
          <w:tcPr>
            <w:tcW w:w="425" w:type="dxa"/>
            <w:tcBorders>
              <w:top w:val="single" w:sz="4" w:space="0" w:color="000000"/>
              <w:left w:val="single" w:sz="4" w:space="0" w:color="000000"/>
              <w:bottom w:val="single" w:sz="4" w:space="0" w:color="BFBFBF"/>
              <w:right w:val="single" w:sz="4" w:space="0" w:color="000000"/>
            </w:tcBorders>
            <w:shd w:val="clear" w:color="auto" w:fill="BFBFBF"/>
            <w:vAlign w:val="center"/>
          </w:tcPr>
          <w:p w:rsidR="00E8309B" w:rsidRDefault="009D0949">
            <w:pPr>
              <w:spacing w:after="0" w:line="259" w:lineRule="auto"/>
              <w:ind w:left="47" w:right="0" w:firstLine="0"/>
              <w:jc w:val="center"/>
            </w:pPr>
            <w:r>
              <w:rPr>
                <w:i/>
                <w:sz w:val="18"/>
              </w:rPr>
              <w:t xml:space="preserve"> </w:t>
            </w:r>
          </w:p>
        </w:tc>
        <w:tc>
          <w:tcPr>
            <w:tcW w:w="422" w:type="dxa"/>
            <w:tcBorders>
              <w:top w:val="single" w:sz="4" w:space="0" w:color="000000"/>
              <w:left w:val="single" w:sz="4" w:space="0" w:color="000000"/>
              <w:bottom w:val="single" w:sz="4" w:space="0" w:color="BFBFBF"/>
              <w:right w:val="single" w:sz="4" w:space="0" w:color="000000"/>
            </w:tcBorders>
            <w:shd w:val="clear" w:color="auto" w:fill="BFBFBF"/>
            <w:vAlign w:val="center"/>
          </w:tcPr>
          <w:p w:rsidR="00E8309B" w:rsidRDefault="009D0949">
            <w:pPr>
              <w:spacing w:after="0" w:line="259" w:lineRule="auto"/>
              <w:ind w:left="50" w:right="0" w:firstLine="0"/>
              <w:jc w:val="center"/>
            </w:pPr>
            <w:r>
              <w:rPr>
                <w:i/>
                <w:sz w:val="18"/>
              </w:rPr>
              <w:t xml:space="preserve"> </w:t>
            </w:r>
          </w:p>
        </w:tc>
        <w:tc>
          <w:tcPr>
            <w:tcW w:w="422" w:type="dxa"/>
            <w:tcBorders>
              <w:top w:val="single" w:sz="4" w:space="0" w:color="000000"/>
              <w:left w:val="single" w:sz="4" w:space="0" w:color="000000"/>
              <w:bottom w:val="single" w:sz="4" w:space="0" w:color="BFBFBF"/>
              <w:right w:val="single" w:sz="8" w:space="0" w:color="000000"/>
            </w:tcBorders>
            <w:shd w:val="clear" w:color="auto" w:fill="BFBFBF"/>
            <w:vAlign w:val="center"/>
          </w:tcPr>
          <w:p w:rsidR="00E8309B" w:rsidRDefault="009D0949">
            <w:pPr>
              <w:spacing w:after="0" w:line="259" w:lineRule="auto"/>
              <w:ind w:left="50" w:right="0" w:firstLine="0"/>
              <w:jc w:val="center"/>
            </w:pPr>
            <w:r>
              <w:rPr>
                <w:i/>
                <w:sz w:val="18"/>
              </w:rPr>
              <w:t xml:space="preserve"> </w:t>
            </w:r>
          </w:p>
        </w:tc>
        <w:tc>
          <w:tcPr>
            <w:tcW w:w="425" w:type="dxa"/>
            <w:tcBorders>
              <w:top w:val="single" w:sz="4" w:space="0" w:color="000000"/>
              <w:left w:val="single" w:sz="8" w:space="0" w:color="000000"/>
              <w:bottom w:val="single" w:sz="4" w:space="0" w:color="BFBFBF"/>
              <w:right w:val="single" w:sz="4" w:space="0" w:color="000000"/>
            </w:tcBorders>
            <w:vAlign w:val="center"/>
          </w:tcPr>
          <w:p w:rsidR="00E8309B" w:rsidRDefault="009D0949">
            <w:pPr>
              <w:spacing w:after="0" w:line="259" w:lineRule="auto"/>
              <w:ind w:left="52" w:right="0" w:firstLine="0"/>
              <w:jc w:val="center"/>
            </w:pPr>
            <w:r>
              <w:rPr>
                <w:i/>
                <w:sz w:val="18"/>
              </w:rPr>
              <w:t xml:space="preserve"> </w:t>
            </w:r>
          </w:p>
        </w:tc>
        <w:tc>
          <w:tcPr>
            <w:tcW w:w="422" w:type="dxa"/>
            <w:tcBorders>
              <w:top w:val="single" w:sz="4" w:space="0" w:color="000000"/>
              <w:left w:val="single" w:sz="4" w:space="0" w:color="000000"/>
              <w:bottom w:val="single" w:sz="4" w:space="0" w:color="BFBFBF"/>
              <w:right w:val="single" w:sz="4" w:space="0" w:color="000000"/>
            </w:tcBorders>
            <w:vAlign w:val="center"/>
          </w:tcPr>
          <w:p w:rsidR="00E8309B" w:rsidRDefault="009D0949">
            <w:pPr>
              <w:spacing w:after="0" w:line="259" w:lineRule="auto"/>
              <w:ind w:left="50" w:right="0" w:firstLine="0"/>
              <w:jc w:val="center"/>
            </w:pPr>
            <w:r>
              <w:rPr>
                <w:i/>
                <w:sz w:val="18"/>
              </w:rPr>
              <w:t xml:space="preserve"> </w:t>
            </w:r>
          </w:p>
        </w:tc>
        <w:tc>
          <w:tcPr>
            <w:tcW w:w="423" w:type="dxa"/>
            <w:tcBorders>
              <w:top w:val="single" w:sz="4" w:space="0" w:color="000000"/>
              <w:left w:val="single" w:sz="4" w:space="0" w:color="000000"/>
              <w:bottom w:val="single" w:sz="4" w:space="0" w:color="BFBFBF"/>
              <w:right w:val="single" w:sz="4" w:space="0" w:color="000000"/>
            </w:tcBorders>
            <w:vAlign w:val="center"/>
          </w:tcPr>
          <w:p w:rsidR="00E8309B" w:rsidRDefault="009D0949">
            <w:pPr>
              <w:spacing w:after="0" w:line="259" w:lineRule="auto"/>
              <w:ind w:left="50" w:right="0" w:firstLine="0"/>
              <w:jc w:val="center"/>
            </w:pPr>
            <w:r>
              <w:rPr>
                <w:i/>
                <w:sz w:val="18"/>
              </w:rPr>
              <w:t xml:space="preserve"> </w:t>
            </w:r>
          </w:p>
        </w:tc>
        <w:tc>
          <w:tcPr>
            <w:tcW w:w="422" w:type="dxa"/>
            <w:tcBorders>
              <w:top w:val="single" w:sz="4" w:space="0" w:color="000000"/>
              <w:left w:val="single" w:sz="4" w:space="0" w:color="000000"/>
              <w:bottom w:val="single" w:sz="4" w:space="0" w:color="BFBFBF"/>
              <w:right w:val="single" w:sz="8" w:space="0" w:color="000000"/>
            </w:tcBorders>
            <w:vAlign w:val="center"/>
          </w:tcPr>
          <w:p w:rsidR="00E8309B" w:rsidRDefault="009D0949">
            <w:pPr>
              <w:spacing w:after="0" w:line="259" w:lineRule="auto"/>
              <w:ind w:left="50" w:right="0" w:firstLine="0"/>
              <w:jc w:val="center"/>
            </w:pPr>
            <w:r>
              <w:rPr>
                <w:i/>
                <w:sz w:val="18"/>
              </w:rPr>
              <w:t xml:space="preserve"> </w:t>
            </w:r>
          </w:p>
        </w:tc>
        <w:tc>
          <w:tcPr>
            <w:tcW w:w="425" w:type="dxa"/>
            <w:tcBorders>
              <w:top w:val="single" w:sz="4" w:space="0" w:color="000000"/>
              <w:left w:val="single" w:sz="8" w:space="0" w:color="000000"/>
              <w:bottom w:val="single" w:sz="4" w:space="0" w:color="BFBFBF"/>
              <w:right w:val="single" w:sz="4" w:space="0" w:color="000000"/>
            </w:tcBorders>
            <w:vAlign w:val="center"/>
          </w:tcPr>
          <w:p w:rsidR="00E8309B" w:rsidRDefault="009D0949">
            <w:pPr>
              <w:spacing w:after="0" w:line="259" w:lineRule="auto"/>
              <w:ind w:left="52" w:right="0" w:firstLine="0"/>
              <w:jc w:val="center"/>
            </w:pPr>
            <w:r>
              <w:rPr>
                <w:i/>
                <w:sz w:val="18"/>
              </w:rPr>
              <w:t xml:space="preserve"> </w:t>
            </w:r>
          </w:p>
        </w:tc>
        <w:tc>
          <w:tcPr>
            <w:tcW w:w="422" w:type="dxa"/>
            <w:tcBorders>
              <w:top w:val="single" w:sz="4" w:space="0" w:color="000000"/>
              <w:left w:val="single" w:sz="4" w:space="0" w:color="000000"/>
              <w:bottom w:val="single" w:sz="4" w:space="0" w:color="BFBFBF"/>
              <w:right w:val="single" w:sz="4" w:space="0" w:color="000000"/>
            </w:tcBorders>
            <w:vAlign w:val="center"/>
          </w:tcPr>
          <w:p w:rsidR="00E8309B" w:rsidRDefault="009D0949">
            <w:pPr>
              <w:spacing w:after="0" w:line="259" w:lineRule="auto"/>
              <w:ind w:left="50" w:right="0" w:firstLine="0"/>
              <w:jc w:val="center"/>
            </w:pPr>
            <w:r>
              <w:rPr>
                <w:i/>
                <w:sz w:val="18"/>
              </w:rPr>
              <w:t xml:space="preserve"> </w:t>
            </w:r>
          </w:p>
        </w:tc>
        <w:tc>
          <w:tcPr>
            <w:tcW w:w="422" w:type="dxa"/>
            <w:tcBorders>
              <w:top w:val="single" w:sz="4" w:space="0" w:color="000000"/>
              <w:left w:val="single" w:sz="4" w:space="0" w:color="000000"/>
              <w:bottom w:val="single" w:sz="4" w:space="0" w:color="BFBFBF"/>
              <w:right w:val="single" w:sz="4" w:space="0" w:color="000000"/>
            </w:tcBorders>
            <w:vAlign w:val="center"/>
          </w:tcPr>
          <w:p w:rsidR="00E8309B" w:rsidRDefault="009D0949">
            <w:pPr>
              <w:spacing w:after="0" w:line="259" w:lineRule="auto"/>
              <w:ind w:left="50" w:right="0" w:firstLine="0"/>
              <w:jc w:val="center"/>
            </w:pPr>
            <w:r>
              <w:rPr>
                <w:i/>
                <w:sz w:val="18"/>
              </w:rPr>
              <w:t xml:space="preserve"> </w:t>
            </w:r>
          </w:p>
        </w:tc>
        <w:tc>
          <w:tcPr>
            <w:tcW w:w="423" w:type="dxa"/>
            <w:tcBorders>
              <w:top w:val="single" w:sz="4" w:space="0" w:color="000000"/>
              <w:left w:val="single" w:sz="4" w:space="0" w:color="000000"/>
              <w:bottom w:val="single" w:sz="4" w:space="0" w:color="BFBFBF"/>
              <w:right w:val="single" w:sz="8" w:space="0" w:color="000000"/>
            </w:tcBorders>
            <w:vAlign w:val="center"/>
          </w:tcPr>
          <w:p w:rsidR="00E8309B" w:rsidRDefault="009D0949">
            <w:pPr>
              <w:spacing w:after="0" w:line="259" w:lineRule="auto"/>
              <w:ind w:left="50" w:right="0" w:firstLine="0"/>
              <w:jc w:val="center"/>
            </w:pPr>
            <w:r>
              <w:rPr>
                <w:i/>
                <w:sz w:val="18"/>
              </w:rPr>
              <w:t xml:space="preserve"> </w:t>
            </w:r>
          </w:p>
        </w:tc>
      </w:tr>
      <w:tr w:rsidR="00E8309B">
        <w:trPr>
          <w:trHeight w:val="480"/>
        </w:trPr>
        <w:tc>
          <w:tcPr>
            <w:tcW w:w="427" w:type="dxa"/>
            <w:tcBorders>
              <w:top w:val="single" w:sz="8" w:space="0" w:color="000000"/>
              <w:left w:val="single" w:sz="8" w:space="0" w:color="000000"/>
              <w:bottom w:val="single" w:sz="8" w:space="0" w:color="000000"/>
              <w:right w:val="single" w:sz="8" w:space="0" w:color="000000"/>
            </w:tcBorders>
            <w:vAlign w:val="center"/>
          </w:tcPr>
          <w:p w:rsidR="00E8309B" w:rsidRDefault="009D0949">
            <w:pPr>
              <w:spacing w:after="0" w:line="259" w:lineRule="auto"/>
              <w:ind w:left="0" w:right="54" w:firstLine="0"/>
              <w:jc w:val="right"/>
            </w:pPr>
            <w:r>
              <w:rPr>
                <w:sz w:val="20"/>
              </w:rPr>
              <w:t xml:space="preserve">3 </w:t>
            </w:r>
          </w:p>
        </w:tc>
        <w:tc>
          <w:tcPr>
            <w:tcW w:w="4137"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60" w:right="0" w:firstLine="0"/>
            </w:pPr>
            <w:r>
              <w:rPr>
                <w:sz w:val="20"/>
              </w:rPr>
              <w:t xml:space="preserve">Спровођење јавног позива за меру унапређење руралне инфраструктуре </w:t>
            </w:r>
          </w:p>
        </w:tc>
        <w:tc>
          <w:tcPr>
            <w:tcW w:w="420" w:type="dxa"/>
            <w:tcBorders>
              <w:top w:val="single" w:sz="4" w:space="0" w:color="BFBFBF"/>
              <w:left w:val="single" w:sz="8"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47" w:right="0" w:firstLine="0"/>
              <w:jc w:val="center"/>
            </w:pPr>
            <w:r>
              <w:rPr>
                <w:i/>
                <w:sz w:val="18"/>
              </w:rPr>
              <w:t xml:space="preserve"> </w:t>
            </w:r>
          </w:p>
        </w:tc>
        <w:tc>
          <w:tcPr>
            <w:tcW w:w="425" w:type="dxa"/>
            <w:tcBorders>
              <w:top w:val="single" w:sz="4" w:space="0" w:color="BFBFBF"/>
              <w:left w:val="single" w:sz="4"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47" w:right="0" w:firstLine="0"/>
              <w:jc w:val="center"/>
            </w:pPr>
            <w:r>
              <w:rPr>
                <w:i/>
                <w:sz w:val="18"/>
              </w:rPr>
              <w:t xml:space="preserve"> </w:t>
            </w:r>
          </w:p>
        </w:tc>
        <w:tc>
          <w:tcPr>
            <w:tcW w:w="422" w:type="dxa"/>
            <w:tcBorders>
              <w:top w:val="single" w:sz="4" w:space="0" w:color="BFBFBF"/>
              <w:left w:val="single" w:sz="4"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50" w:right="0" w:firstLine="0"/>
              <w:jc w:val="center"/>
            </w:pPr>
            <w:r>
              <w:rPr>
                <w:i/>
                <w:sz w:val="18"/>
              </w:rPr>
              <w:t xml:space="preserve"> </w:t>
            </w:r>
          </w:p>
        </w:tc>
        <w:tc>
          <w:tcPr>
            <w:tcW w:w="422" w:type="dxa"/>
            <w:tcBorders>
              <w:top w:val="single" w:sz="4" w:space="0" w:color="BFBFBF"/>
              <w:left w:val="single" w:sz="4" w:space="0" w:color="000000"/>
              <w:bottom w:val="single" w:sz="4" w:space="0" w:color="000000"/>
              <w:right w:val="single" w:sz="8" w:space="0" w:color="000000"/>
            </w:tcBorders>
            <w:shd w:val="clear" w:color="auto" w:fill="BFBFBF"/>
            <w:vAlign w:val="center"/>
          </w:tcPr>
          <w:p w:rsidR="00E8309B" w:rsidRDefault="009D0949">
            <w:pPr>
              <w:spacing w:after="0" w:line="259" w:lineRule="auto"/>
              <w:ind w:left="50" w:right="0" w:firstLine="0"/>
              <w:jc w:val="center"/>
            </w:pPr>
            <w:r>
              <w:rPr>
                <w:i/>
                <w:sz w:val="18"/>
              </w:rPr>
              <w:t xml:space="preserve"> </w:t>
            </w:r>
          </w:p>
        </w:tc>
        <w:tc>
          <w:tcPr>
            <w:tcW w:w="425" w:type="dxa"/>
            <w:tcBorders>
              <w:top w:val="single" w:sz="4" w:space="0" w:color="BFBFBF"/>
              <w:left w:val="single" w:sz="8"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52" w:right="0" w:firstLine="0"/>
              <w:jc w:val="center"/>
            </w:pPr>
            <w:r>
              <w:rPr>
                <w:i/>
                <w:sz w:val="18"/>
              </w:rPr>
              <w:t xml:space="preserve"> </w:t>
            </w:r>
          </w:p>
        </w:tc>
        <w:tc>
          <w:tcPr>
            <w:tcW w:w="422" w:type="dxa"/>
            <w:tcBorders>
              <w:top w:val="single" w:sz="4" w:space="0" w:color="BFBFBF"/>
              <w:left w:val="single" w:sz="4"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50" w:right="0" w:firstLine="0"/>
              <w:jc w:val="center"/>
            </w:pPr>
            <w:r>
              <w:rPr>
                <w:i/>
                <w:sz w:val="18"/>
              </w:rPr>
              <w:t xml:space="preserve"> </w:t>
            </w:r>
          </w:p>
        </w:tc>
        <w:tc>
          <w:tcPr>
            <w:tcW w:w="423" w:type="dxa"/>
            <w:tcBorders>
              <w:top w:val="single" w:sz="4" w:space="0" w:color="BFBFBF"/>
              <w:left w:val="single" w:sz="4"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50" w:right="0" w:firstLine="0"/>
              <w:jc w:val="center"/>
            </w:pPr>
            <w:r>
              <w:rPr>
                <w:i/>
                <w:sz w:val="18"/>
              </w:rPr>
              <w:t xml:space="preserve"> </w:t>
            </w:r>
          </w:p>
        </w:tc>
        <w:tc>
          <w:tcPr>
            <w:tcW w:w="422" w:type="dxa"/>
            <w:tcBorders>
              <w:top w:val="single" w:sz="4" w:space="0" w:color="BFBFBF"/>
              <w:left w:val="single" w:sz="4" w:space="0" w:color="000000"/>
              <w:bottom w:val="single" w:sz="4" w:space="0" w:color="000000"/>
              <w:right w:val="single" w:sz="8" w:space="0" w:color="000000"/>
            </w:tcBorders>
            <w:shd w:val="clear" w:color="auto" w:fill="BFBFBF"/>
            <w:vAlign w:val="center"/>
          </w:tcPr>
          <w:p w:rsidR="00E8309B" w:rsidRDefault="009D0949">
            <w:pPr>
              <w:spacing w:after="0" w:line="259" w:lineRule="auto"/>
              <w:ind w:left="50" w:right="0" w:firstLine="0"/>
              <w:jc w:val="center"/>
            </w:pPr>
            <w:r>
              <w:rPr>
                <w:i/>
                <w:sz w:val="18"/>
              </w:rPr>
              <w:t xml:space="preserve"> </w:t>
            </w:r>
          </w:p>
        </w:tc>
        <w:tc>
          <w:tcPr>
            <w:tcW w:w="425" w:type="dxa"/>
            <w:tcBorders>
              <w:top w:val="single" w:sz="4" w:space="0" w:color="BFBFBF"/>
              <w:left w:val="single" w:sz="8"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52" w:right="0" w:firstLine="0"/>
              <w:jc w:val="center"/>
            </w:pPr>
            <w:r>
              <w:rPr>
                <w:i/>
                <w:sz w:val="18"/>
              </w:rPr>
              <w:t xml:space="preserve"> </w:t>
            </w:r>
          </w:p>
        </w:tc>
        <w:tc>
          <w:tcPr>
            <w:tcW w:w="422" w:type="dxa"/>
            <w:tcBorders>
              <w:top w:val="single" w:sz="4" w:space="0" w:color="BFBFBF"/>
              <w:left w:val="single" w:sz="4"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50" w:right="0" w:firstLine="0"/>
              <w:jc w:val="center"/>
            </w:pPr>
            <w:r>
              <w:rPr>
                <w:i/>
                <w:sz w:val="18"/>
              </w:rPr>
              <w:t xml:space="preserve"> </w:t>
            </w:r>
          </w:p>
        </w:tc>
        <w:tc>
          <w:tcPr>
            <w:tcW w:w="422" w:type="dxa"/>
            <w:tcBorders>
              <w:top w:val="single" w:sz="4" w:space="0" w:color="BFBFBF"/>
              <w:left w:val="single" w:sz="4"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50" w:right="0" w:firstLine="0"/>
              <w:jc w:val="center"/>
            </w:pPr>
            <w:r>
              <w:rPr>
                <w:i/>
                <w:sz w:val="18"/>
              </w:rPr>
              <w:t xml:space="preserve"> </w:t>
            </w:r>
          </w:p>
        </w:tc>
        <w:tc>
          <w:tcPr>
            <w:tcW w:w="423" w:type="dxa"/>
            <w:tcBorders>
              <w:top w:val="single" w:sz="4" w:space="0" w:color="BFBFBF"/>
              <w:left w:val="single" w:sz="4" w:space="0" w:color="000000"/>
              <w:bottom w:val="single" w:sz="4" w:space="0" w:color="000000"/>
              <w:right w:val="single" w:sz="8" w:space="0" w:color="000000"/>
            </w:tcBorders>
            <w:shd w:val="clear" w:color="auto" w:fill="BFBFBF"/>
            <w:vAlign w:val="center"/>
          </w:tcPr>
          <w:p w:rsidR="00E8309B" w:rsidRDefault="009D0949">
            <w:pPr>
              <w:spacing w:after="0" w:line="259" w:lineRule="auto"/>
              <w:ind w:left="50" w:right="0" w:firstLine="0"/>
              <w:jc w:val="center"/>
            </w:pPr>
            <w:r>
              <w:rPr>
                <w:i/>
                <w:sz w:val="18"/>
              </w:rPr>
              <w:t xml:space="preserve"> </w:t>
            </w:r>
          </w:p>
        </w:tc>
      </w:tr>
      <w:tr w:rsidR="00E8309B">
        <w:trPr>
          <w:trHeight w:val="480"/>
        </w:trPr>
        <w:tc>
          <w:tcPr>
            <w:tcW w:w="427" w:type="dxa"/>
            <w:tcBorders>
              <w:top w:val="single" w:sz="8" w:space="0" w:color="000000"/>
              <w:left w:val="single" w:sz="8" w:space="0" w:color="000000"/>
              <w:bottom w:val="single" w:sz="8" w:space="0" w:color="000000"/>
              <w:right w:val="single" w:sz="8" w:space="0" w:color="000000"/>
            </w:tcBorders>
            <w:vAlign w:val="center"/>
          </w:tcPr>
          <w:p w:rsidR="00E8309B" w:rsidRDefault="009D0949">
            <w:pPr>
              <w:spacing w:after="0" w:line="259" w:lineRule="auto"/>
              <w:ind w:left="0" w:right="54" w:firstLine="0"/>
              <w:jc w:val="right"/>
            </w:pPr>
            <w:r>
              <w:rPr>
                <w:sz w:val="20"/>
              </w:rPr>
              <w:t xml:space="preserve">4 </w:t>
            </w:r>
          </w:p>
        </w:tc>
        <w:tc>
          <w:tcPr>
            <w:tcW w:w="4137"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60" w:right="0" w:firstLine="0"/>
            </w:pPr>
            <w:r>
              <w:rPr>
                <w:sz w:val="20"/>
              </w:rPr>
              <w:t xml:space="preserve">Доношење Закона о уређењу тржишта пољопривредних производа             </w:t>
            </w:r>
          </w:p>
        </w:tc>
        <w:tc>
          <w:tcPr>
            <w:tcW w:w="420" w:type="dxa"/>
            <w:tcBorders>
              <w:top w:val="single" w:sz="4" w:space="0" w:color="000000"/>
              <w:left w:val="single" w:sz="8"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47" w:right="0" w:firstLine="0"/>
              <w:jc w:val="center"/>
            </w:pPr>
            <w:r>
              <w:rPr>
                <w:i/>
                <w:sz w:val="18"/>
              </w:rPr>
              <w:t xml:space="preserve"> </w:t>
            </w:r>
          </w:p>
        </w:tc>
        <w:tc>
          <w:tcPr>
            <w:tcW w:w="425"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47" w:right="0" w:firstLine="0"/>
              <w:jc w:val="center"/>
            </w:pPr>
            <w:r>
              <w:rPr>
                <w:i/>
                <w:sz w:val="18"/>
              </w:rPr>
              <w:t xml:space="preserve"> </w:t>
            </w:r>
          </w:p>
        </w:tc>
        <w:tc>
          <w:tcPr>
            <w:tcW w:w="422"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50" w:right="0" w:firstLine="0"/>
              <w:jc w:val="center"/>
            </w:pPr>
            <w:r>
              <w:rPr>
                <w:i/>
                <w:sz w:val="18"/>
              </w:rPr>
              <w:t xml:space="preserve"> </w:t>
            </w:r>
          </w:p>
        </w:tc>
        <w:tc>
          <w:tcPr>
            <w:tcW w:w="422" w:type="dxa"/>
            <w:tcBorders>
              <w:top w:val="single" w:sz="4" w:space="0" w:color="000000"/>
              <w:left w:val="single" w:sz="4" w:space="0" w:color="000000"/>
              <w:bottom w:val="single" w:sz="4" w:space="0" w:color="000000"/>
              <w:right w:val="single" w:sz="8" w:space="0" w:color="000000"/>
            </w:tcBorders>
            <w:shd w:val="clear" w:color="auto" w:fill="BFBFBF"/>
            <w:vAlign w:val="center"/>
          </w:tcPr>
          <w:p w:rsidR="00E8309B" w:rsidRDefault="009D0949">
            <w:pPr>
              <w:spacing w:after="0" w:line="259" w:lineRule="auto"/>
              <w:ind w:left="50" w:right="0" w:firstLine="0"/>
              <w:jc w:val="center"/>
            </w:pPr>
            <w:r>
              <w:rPr>
                <w:i/>
                <w:sz w:val="18"/>
              </w:rPr>
              <w:t xml:space="preserve"> </w:t>
            </w:r>
          </w:p>
        </w:tc>
        <w:tc>
          <w:tcPr>
            <w:tcW w:w="425" w:type="dxa"/>
            <w:tcBorders>
              <w:top w:val="single" w:sz="4" w:space="0" w:color="000000"/>
              <w:left w:val="single" w:sz="8" w:space="0" w:color="000000"/>
              <w:bottom w:val="single" w:sz="4" w:space="0" w:color="BFBFBF"/>
              <w:right w:val="single" w:sz="4" w:space="0" w:color="000000"/>
            </w:tcBorders>
            <w:vAlign w:val="center"/>
          </w:tcPr>
          <w:p w:rsidR="00E8309B" w:rsidRDefault="009D0949">
            <w:pPr>
              <w:spacing w:after="0" w:line="259" w:lineRule="auto"/>
              <w:ind w:left="52" w:right="0" w:firstLine="0"/>
              <w:jc w:val="center"/>
            </w:pPr>
            <w:r>
              <w:rPr>
                <w:i/>
                <w:sz w:val="18"/>
              </w:rPr>
              <w:t xml:space="preserve"> </w:t>
            </w:r>
          </w:p>
        </w:tc>
        <w:tc>
          <w:tcPr>
            <w:tcW w:w="422" w:type="dxa"/>
            <w:tcBorders>
              <w:top w:val="single" w:sz="4" w:space="0" w:color="000000"/>
              <w:left w:val="single" w:sz="4" w:space="0" w:color="000000"/>
              <w:bottom w:val="single" w:sz="4" w:space="0" w:color="BFBFBF"/>
              <w:right w:val="single" w:sz="4" w:space="0" w:color="000000"/>
            </w:tcBorders>
            <w:vAlign w:val="center"/>
          </w:tcPr>
          <w:p w:rsidR="00E8309B" w:rsidRDefault="009D0949">
            <w:pPr>
              <w:spacing w:after="0" w:line="259" w:lineRule="auto"/>
              <w:ind w:left="50" w:right="0" w:firstLine="0"/>
              <w:jc w:val="center"/>
            </w:pPr>
            <w:r>
              <w:rPr>
                <w:i/>
                <w:sz w:val="18"/>
              </w:rPr>
              <w:t xml:space="preserve"> </w:t>
            </w:r>
          </w:p>
        </w:tc>
        <w:tc>
          <w:tcPr>
            <w:tcW w:w="423" w:type="dxa"/>
            <w:tcBorders>
              <w:top w:val="single" w:sz="4" w:space="0" w:color="000000"/>
              <w:left w:val="single" w:sz="4" w:space="0" w:color="000000"/>
              <w:bottom w:val="single" w:sz="4" w:space="0" w:color="BFBFBF"/>
              <w:right w:val="single" w:sz="4" w:space="0" w:color="000000"/>
            </w:tcBorders>
            <w:vAlign w:val="center"/>
          </w:tcPr>
          <w:p w:rsidR="00E8309B" w:rsidRDefault="009D0949">
            <w:pPr>
              <w:spacing w:after="0" w:line="259" w:lineRule="auto"/>
              <w:ind w:left="50" w:right="0" w:firstLine="0"/>
              <w:jc w:val="center"/>
            </w:pPr>
            <w:r>
              <w:rPr>
                <w:i/>
                <w:sz w:val="18"/>
              </w:rPr>
              <w:t xml:space="preserve"> </w:t>
            </w:r>
          </w:p>
        </w:tc>
        <w:tc>
          <w:tcPr>
            <w:tcW w:w="422" w:type="dxa"/>
            <w:tcBorders>
              <w:top w:val="single" w:sz="4" w:space="0" w:color="000000"/>
              <w:left w:val="single" w:sz="4" w:space="0" w:color="000000"/>
              <w:bottom w:val="single" w:sz="4" w:space="0" w:color="BFBFBF"/>
              <w:right w:val="single" w:sz="8" w:space="0" w:color="000000"/>
            </w:tcBorders>
            <w:vAlign w:val="center"/>
          </w:tcPr>
          <w:p w:rsidR="00E8309B" w:rsidRDefault="009D0949">
            <w:pPr>
              <w:spacing w:after="0" w:line="259" w:lineRule="auto"/>
              <w:ind w:left="50" w:right="0" w:firstLine="0"/>
              <w:jc w:val="center"/>
            </w:pPr>
            <w:r>
              <w:rPr>
                <w:i/>
                <w:sz w:val="18"/>
              </w:rPr>
              <w:t xml:space="preserve"> </w:t>
            </w:r>
          </w:p>
        </w:tc>
        <w:tc>
          <w:tcPr>
            <w:tcW w:w="425" w:type="dxa"/>
            <w:tcBorders>
              <w:top w:val="single" w:sz="4" w:space="0" w:color="000000"/>
              <w:left w:val="single" w:sz="8" w:space="0" w:color="000000"/>
              <w:bottom w:val="single" w:sz="4" w:space="0" w:color="BFBFBF"/>
              <w:right w:val="single" w:sz="4" w:space="0" w:color="000000"/>
            </w:tcBorders>
            <w:vAlign w:val="center"/>
          </w:tcPr>
          <w:p w:rsidR="00E8309B" w:rsidRDefault="009D0949">
            <w:pPr>
              <w:spacing w:after="0" w:line="259" w:lineRule="auto"/>
              <w:ind w:left="52" w:right="0" w:firstLine="0"/>
              <w:jc w:val="center"/>
            </w:pPr>
            <w:r>
              <w:rPr>
                <w:i/>
                <w:sz w:val="18"/>
              </w:rPr>
              <w:t xml:space="preserve"> </w:t>
            </w:r>
          </w:p>
        </w:tc>
        <w:tc>
          <w:tcPr>
            <w:tcW w:w="422" w:type="dxa"/>
            <w:tcBorders>
              <w:top w:val="single" w:sz="4" w:space="0" w:color="000000"/>
              <w:left w:val="single" w:sz="4" w:space="0" w:color="000000"/>
              <w:bottom w:val="single" w:sz="4" w:space="0" w:color="BFBFBF"/>
              <w:right w:val="single" w:sz="4" w:space="0" w:color="000000"/>
            </w:tcBorders>
            <w:vAlign w:val="center"/>
          </w:tcPr>
          <w:p w:rsidR="00E8309B" w:rsidRDefault="009D0949">
            <w:pPr>
              <w:spacing w:after="0" w:line="259" w:lineRule="auto"/>
              <w:ind w:left="50" w:right="0" w:firstLine="0"/>
              <w:jc w:val="center"/>
            </w:pPr>
            <w:r>
              <w:rPr>
                <w:i/>
                <w:sz w:val="18"/>
              </w:rPr>
              <w:t xml:space="preserve"> </w:t>
            </w:r>
          </w:p>
        </w:tc>
        <w:tc>
          <w:tcPr>
            <w:tcW w:w="422" w:type="dxa"/>
            <w:tcBorders>
              <w:top w:val="single" w:sz="4" w:space="0" w:color="000000"/>
              <w:left w:val="single" w:sz="4" w:space="0" w:color="000000"/>
              <w:bottom w:val="single" w:sz="4" w:space="0" w:color="BFBFBF"/>
              <w:right w:val="single" w:sz="4" w:space="0" w:color="000000"/>
            </w:tcBorders>
            <w:vAlign w:val="center"/>
          </w:tcPr>
          <w:p w:rsidR="00E8309B" w:rsidRDefault="009D0949">
            <w:pPr>
              <w:spacing w:after="0" w:line="259" w:lineRule="auto"/>
              <w:ind w:left="50" w:right="0" w:firstLine="0"/>
              <w:jc w:val="center"/>
            </w:pPr>
            <w:r>
              <w:rPr>
                <w:i/>
                <w:sz w:val="18"/>
              </w:rPr>
              <w:t xml:space="preserve"> </w:t>
            </w:r>
          </w:p>
        </w:tc>
        <w:tc>
          <w:tcPr>
            <w:tcW w:w="423" w:type="dxa"/>
            <w:tcBorders>
              <w:top w:val="single" w:sz="4" w:space="0" w:color="000000"/>
              <w:left w:val="single" w:sz="4" w:space="0" w:color="000000"/>
              <w:bottom w:val="single" w:sz="4" w:space="0" w:color="BFBFBF"/>
              <w:right w:val="single" w:sz="8" w:space="0" w:color="000000"/>
            </w:tcBorders>
            <w:vAlign w:val="center"/>
          </w:tcPr>
          <w:p w:rsidR="00E8309B" w:rsidRDefault="009D0949">
            <w:pPr>
              <w:spacing w:after="0" w:line="259" w:lineRule="auto"/>
              <w:ind w:left="50" w:right="0" w:firstLine="0"/>
              <w:jc w:val="center"/>
            </w:pPr>
            <w:r>
              <w:rPr>
                <w:i/>
                <w:sz w:val="18"/>
              </w:rPr>
              <w:t xml:space="preserve"> </w:t>
            </w:r>
          </w:p>
        </w:tc>
      </w:tr>
      <w:tr w:rsidR="00E8309B">
        <w:trPr>
          <w:trHeight w:val="320"/>
        </w:trPr>
        <w:tc>
          <w:tcPr>
            <w:tcW w:w="427"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4" w:firstLine="0"/>
              <w:jc w:val="right"/>
            </w:pPr>
            <w:r>
              <w:rPr>
                <w:sz w:val="20"/>
              </w:rPr>
              <w:t xml:space="preserve">5 </w:t>
            </w:r>
          </w:p>
        </w:tc>
        <w:tc>
          <w:tcPr>
            <w:tcW w:w="4137"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60" w:right="0" w:firstLine="0"/>
              <w:jc w:val="left"/>
            </w:pPr>
            <w:r>
              <w:rPr>
                <w:sz w:val="20"/>
              </w:rPr>
              <w:t xml:space="preserve">Усвајање подзаконских аката              </w:t>
            </w:r>
          </w:p>
        </w:tc>
        <w:tc>
          <w:tcPr>
            <w:tcW w:w="420" w:type="dxa"/>
            <w:tcBorders>
              <w:top w:val="single" w:sz="4" w:space="0" w:color="000000"/>
              <w:left w:val="single" w:sz="8" w:space="0" w:color="000000"/>
              <w:bottom w:val="single" w:sz="4" w:space="0" w:color="000000"/>
              <w:right w:val="single" w:sz="4" w:space="0" w:color="000000"/>
            </w:tcBorders>
          </w:tcPr>
          <w:p w:rsidR="00E8309B" w:rsidRDefault="009D0949">
            <w:pPr>
              <w:spacing w:after="0" w:line="259" w:lineRule="auto"/>
              <w:ind w:left="47" w:right="0" w:firstLine="0"/>
              <w:jc w:val="center"/>
            </w:pPr>
            <w:r>
              <w:rPr>
                <w:i/>
                <w:sz w:val="18"/>
              </w:rPr>
              <w:t xml:space="preserve"> </w:t>
            </w:r>
          </w:p>
        </w:tc>
        <w:tc>
          <w:tcPr>
            <w:tcW w:w="425"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47" w:right="0" w:firstLine="0"/>
              <w:jc w:val="center"/>
            </w:pPr>
            <w:r>
              <w:rPr>
                <w:i/>
                <w:sz w:val="18"/>
              </w:rPr>
              <w:t xml:space="preserve"> </w:t>
            </w:r>
          </w:p>
        </w:tc>
        <w:tc>
          <w:tcPr>
            <w:tcW w:w="422"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50" w:right="0" w:firstLine="0"/>
              <w:jc w:val="center"/>
            </w:pPr>
            <w:r>
              <w:rPr>
                <w:i/>
                <w:sz w:val="18"/>
              </w:rPr>
              <w:t xml:space="preserve"> </w:t>
            </w:r>
          </w:p>
        </w:tc>
        <w:tc>
          <w:tcPr>
            <w:tcW w:w="422" w:type="dxa"/>
            <w:tcBorders>
              <w:top w:val="single" w:sz="4" w:space="0" w:color="000000"/>
              <w:left w:val="single" w:sz="4" w:space="0" w:color="000000"/>
              <w:bottom w:val="single" w:sz="4" w:space="0" w:color="000000"/>
              <w:right w:val="single" w:sz="8" w:space="0" w:color="000000"/>
            </w:tcBorders>
          </w:tcPr>
          <w:p w:rsidR="00E8309B" w:rsidRDefault="009D0949">
            <w:pPr>
              <w:spacing w:after="0" w:line="259" w:lineRule="auto"/>
              <w:ind w:left="50" w:right="0" w:firstLine="0"/>
              <w:jc w:val="center"/>
            </w:pPr>
            <w:r>
              <w:rPr>
                <w:i/>
                <w:sz w:val="18"/>
              </w:rPr>
              <w:t xml:space="preserve"> </w:t>
            </w:r>
          </w:p>
        </w:tc>
        <w:tc>
          <w:tcPr>
            <w:tcW w:w="425" w:type="dxa"/>
            <w:tcBorders>
              <w:top w:val="single" w:sz="4" w:space="0" w:color="BFBFBF"/>
              <w:left w:val="single" w:sz="8" w:space="0" w:color="000000"/>
              <w:bottom w:val="single" w:sz="4" w:space="0" w:color="000000"/>
              <w:right w:val="single" w:sz="4" w:space="0" w:color="000000"/>
            </w:tcBorders>
            <w:shd w:val="clear" w:color="auto" w:fill="BFBFBF"/>
          </w:tcPr>
          <w:p w:rsidR="00E8309B" w:rsidRDefault="009D0949">
            <w:pPr>
              <w:spacing w:after="0" w:line="259" w:lineRule="auto"/>
              <w:ind w:left="52" w:right="0" w:firstLine="0"/>
              <w:jc w:val="center"/>
            </w:pPr>
            <w:r>
              <w:rPr>
                <w:i/>
                <w:sz w:val="18"/>
              </w:rPr>
              <w:t xml:space="preserve"> </w:t>
            </w:r>
          </w:p>
        </w:tc>
        <w:tc>
          <w:tcPr>
            <w:tcW w:w="422" w:type="dxa"/>
            <w:tcBorders>
              <w:top w:val="single" w:sz="4" w:space="0" w:color="BFBFBF"/>
              <w:left w:val="single" w:sz="4" w:space="0" w:color="000000"/>
              <w:bottom w:val="single" w:sz="4" w:space="0" w:color="000000"/>
              <w:right w:val="single" w:sz="4" w:space="0" w:color="000000"/>
            </w:tcBorders>
            <w:shd w:val="clear" w:color="auto" w:fill="BFBFBF"/>
          </w:tcPr>
          <w:p w:rsidR="00E8309B" w:rsidRDefault="009D0949">
            <w:pPr>
              <w:spacing w:after="0" w:line="259" w:lineRule="auto"/>
              <w:ind w:left="50" w:right="0" w:firstLine="0"/>
              <w:jc w:val="center"/>
            </w:pPr>
            <w:r>
              <w:rPr>
                <w:i/>
                <w:sz w:val="18"/>
              </w:rPr>
              <w:t xml:space="preserve"> </w:t>
            </w:r>
          </w:p>
        </w:tc>
        <w:tc>
          <w:tcPr>
            <w:tcW w:w="423" w:type="dxa"/>
            <w:tcBorders>
              <w:top w:val="single" w:sz="4" w:space="0" w:color="BFBFBF"/>
              <w:left w:val="single" w:sz="4" w:space="0" w:color="000000"/>
              <w:bottom w:val="single" w:sz="4" w:space="0" w:color="000000"/>
              <w:right w:val="single" w:sz="4" w:space="0" w:color="000000"/>
            </w:tcBorders>
            <w:shd w:val="clear" w:color="auto" w:fill="BFBFBF"/>
          </w:tcPr>
          <w:p w:rsidR="00E8309B" w:rsidRDefault="009D0949">
            <w:pPr>
              <w:spacing w:after="0" w:line="259" w:lineRule="auto"/>
              <w:ind w:left="50" w:right="0" w:firstLine="0"/>
              <w:jc w:val="center"/>
            </w:pPr>
            <w:r>
              <w:rPr>
                <w:i/>
                <w:sz w:val="18"/>
              </w:rPr>
              <w:t xml:space="preserve"> </w:t>
            </w:r>
          </w:p>
        </w:tc>
        <w:tc>
          <w:tcPr>
            <w:tcW w:w="422" w:type="dxa"/>
            <w:tcBorders>
              <w:top w:val="single" w:sz="4" w:space="0" w:color="BFBFBF"/>
              <w:left w:val="single" w:sz="4" w:space="0" w:color="000000"/>
              <w:bottom w:val="single" w:sz="4" w:space="0" w:color="000000"/>
              <w:right w:val="single" w:sz="8" w:space="0" w:color="000000"/>
            </w:tcBorders>
            <w:shd w:val="clear" w:color="auto" w:fill="BFBFBF"/>
          </w:tcPr>
          <w:p w:rsidR="00E8309B" w:rsidRDefault="009D0949">
            <w:pPr>
              <w:spacing w:after="0" w:line="259" w:lineRule="auto"/>
              <w:ind w:left="50" w:right="0" w:firstLine="0"/>
              <w:jc w:val="center"/>
            </w:pPr>
            <w:r>
              <w:rPr>
                <w:i/>
                <w:sz w:val="18"/>
              </w:rPr>
              <w:t xml:space="preserve"> </w:t>
            </w:r>
          </w:p>
        </w:tc>
        <w:tc>
          <w:tcPr>
            <w:tcW w:w="425" w:type="dxa"/>
            <w:tcBorders>
              <w:top w:val="single" w:sz="4" w:space="0" w:color="BFBFBF"/>
              <w:left w:val="single" w:sz="8" w:space="0" w:color="000000"/>
              <w:bottom w:val="single" w:sz="4" w:space="0" w:color="000000"/>
              <w:right w:val="single" w:sz="4" w:space="0" w:color="000000"/>
            </w:tcBorders>
            <w:shd w:val="clear" w:color="auto" w:fill="BFBFBF"/>
          </w:tcPr>
          <w:p w:rsidR="00E8309B" w:rsidRDefault="009D0949">
            <w:pPr>
              <w:spacing w:after="0" w:line="259" w:lineRule="auto"/>
              <w:ind w:left="52" w:right="0" w:firstLine="0"/>
              <w:jc w:val="center"/>
            </w:pPr>
            <w:r>
              <w:rPr>
                <w:i/>
                <w:sz w:val="18"/>
              </w:rPr>
              <w:t xml:space="preserve"> </w:t>
            </w:r>
          </w:p>
        </w:tc>
        <w:tc>
          <w:tcPr>
            <w:tcW w:w="422" w:type="dxa"/>
            <w:tcBorders>
              <w:top w:val="single" w:sz="4" w:space="0" w:color="BFBFBF"/>
              <w:left w:val="single" w:sz="4" w:space="0" w:color="000000"/>
              <w:bottom w:val="single" w:sz="4" w:space="0" w:color="000000"/>
              <w:right w:val="single" w:sz="4" w:space="0" w:color="000000"/>
            </w:tcBorders>
            <w:shd w:val="clear" w:color="auto" w:fill="BFBFBF"/>
          </w:tcPr>
          <w:p w:rsidR="00E8309B" w:rsidRDefault="009D0949">
            <w:pPr>
              <w:spacing w:after="0" w:line="259" w:lineRule="auto"/>
              <w:ind w:left="50" w:right="0" w:firstLine="0"/>
              <w:jc w:val="center"/>
            </w:pPr>
            <w:r>
              <w:rPr>
                <w:i/>
                <w:sz w:val="18"/>
              </w:rPr>
              <w:t xml:space="preserve"> </w:t>
            </w:r>
          </w:p>
        </w:tc>
        <w:tc>
          <w:tcPr>
            <w:tcW w:w="422" w:type="dxa"/>
            <w:tcBorders>
              <w:top w:val="single" w:sz="4" w:space="0" w:color="BFBFBF"/>
              <w:left w:val="single" w:sz="4" w:space="0" w:color="000000"/>
              <w:bottom w:val="single" w:sz="4" w:space="0" w:color="000000"/>
              <w:right w:val="single" w:sz="4" w:space="0" w:color="000000"/>
            </w:tcBorders>
            <w:shd w:val="clear" w:color="auto" w:fill="BFBFBF"/>
          </w:tcPr>
          <w:p w:rsidR="00E8309B" w:rsidRDefault="009D0949">
            <w:pPr>
              <w:spacing w:after="0" w:line="259" w:lineRule="auto"/>
              <w:ind w:left="50" w:right="0" w:firstLine="0"/>
              <w:jc w:val="center"/>
            </w:pPr>
            <w:r>
              <w:rPr>
                <w:i/>
                <w:sz w:val="18"/>
              </w:rPr>
              <w:t xml:space="preserve"> </w:t>
            </w:r>
          </w:p>
        </w:tc>
        <w:tc>
          <w:tcPr>
            <w:tcW w:w="423" w:type="dxa"/>
            <w:tcBorders>
              <w:top w:val="single" w:sz="4" w:space="0" w:color="BFBFBF"/>
              <w:left w:val="single" w:sz="4" w:space="0" w:color="000000"/>
              <w:bottom w:val="single" w:sz="4" w:space="0" w:color="000000"/>
              <w:right w:val="single" w:sz="8" w:space="0" w:color="000000"/>
            </w:tcBorders>
            <w:shd w:val="clear" w:color="auto" w:fill="BFBFBF"/>
          </w:tcPr>
          <w:p w:rsidR="00E8309B" w:rsidRDefault="009D0949">
            <w:pPr>
              <w:spacing w:after="0" w:line="259" w:lineRule="auto"/>
              <w:ind w:left="50" w:right="0" w:firstLine="0"/>
              <w:jc w:val="center"/>
            </w:pPr>
            <w:r>
              <w:rPr>
                <w:i/>
                <w:sz w:val="18"/>
              </w:rPr>
              <w:t xml:space="preserve"> </w:t>
            </w:r>
          </w:p>
        </w:tc>
      </w:tr>
      <w:tr w:rsidR="00E8309B">
        <w:trPr>
          <w:trHeight w:val="480"/>
        </w:trPr>
        <w:tc>
          <w:tcPr>
            <w:tcW w:w="427" w:type="dxa"/>
            <w:tcBorders>
              <w:top w:val="single" w:sz="8" w:space="0" w:color="000000"/>
              <w:left w:val="single" w:sz="8" w:space="0" w:color="000000"/>
              <w:bottom w:val="single" w:sz="8" w:space="0" w:color="000000"/>
              <w:right w:val="single" w:sz="8" w:space="0" w:color="000000"/>
            </w:tcBorders>
            <w:vAlign w:val="center"/>
          </w:tcPr>
          <w:p w:rsidR="00E8309B" w:rsidRDefault="009D0949">
            <w:pPr>
              <w:spacing w:after="0" w:line="259" w:lineRule="auto"/>
              <w:ind w:left="0" w:right="54" w:firstLine="0"/>
              <w:jc w:val="right"/>
            </w:pPr>
            <w:r>
              <w:rPr>
                <w:sz w:val="20"/>
              </w:rPr>
              <w:t xml:space="preserve">6 </w:t>
            </w:r>
          </w:p>
        </w:tc>
        <w:tc>
          <w:tcPr>
            <w:tcW w:w="4137"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60" w:right="0" w:firstLine="0"/>
              <w:jc w:val="left"/>
            </w:pPr>
            <w:r>
              <w:rPr>
                <w:sz w:val="20"/>
              </w:rPr>
              <w:t xml:space="preserve">Доношење Закона o шeмaмa квaлитeтa зa пoљoприврeднe и прeхрaмбeнe прoизвoдe          </w:t>
            </w:r>
          </w:p>
        </w:tc>
        <w:tc>
          <w:tcPr>
            <w:tcW w:w="420" w:type="dxa"/>
            <w:tcBorders>
              <w:top w:val="single" w:sz="4" w:space="0" w:color="000000"/>
              <w:left w:val="single" w:sz="8" w:space="0" w:color="000000"/>
              <w:bottom w:val="single" w:sz="4" w:space="0" w:color="000000"/>
              <w:right w:val="single" w:sz="4" w:space="0" w:color="000000"/>
            </w:tcBorders>
            <w:shd w:val="clear" w:color="auto" w:fill="BFBFBF"/>
            <w:vAlign w:val="bottom"/>
          </w:tcPr>
          <w:p w:rsidR="00E8309B" w:rsidRDefault="009D0949">
            <w:pPr>
              <w:spacing w:after="0" w:line="259" w:lineRule="auto"/>
              <w:ind w:left="-2" w:right="163" w:firstLine="0"/>
            </w:pPr>
            <w:r>
              <w:rPr>
                <w:i/>
                <w:sz w:val="18"/>
              </w:rPr>
              <w:t xml:space="preserve"> </w:t>
            </w:r>
            <w:r>
              <w:rPr>
                <w:sz w:val="20"/>
              </w:rPr>
              <w:t xml:space="preserve"> </w:t>
            </w:r>
          </w:p>
        </w:tc>
        <w:tc>
          <w:tcPr>
            <w:tcW w:w="425"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47" w:right="0" w:firstLine="0"/>
              <w:jc w:val="center"/>
            </w:pPr>
            <w:r>
              <w:rPr>
                <w:i/>
                <w:sz w:val="18"/>
              </w:rPr>
              <w:t xml:space="preserve"> </w:t>
            </w:r>
          </w:p>
        </w:tc>
        <w:tc>
          <w:tcPr>
            <w:tcW w:w="422"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50" w:right="0" w:firstLine="0"/>
              <w:jc w:val="center"/>
            </w:pPr>
            <w:r>
              <w:rPr>
                <w:i/>
                <w:sz w:val="18"/>
              </w:rPr>
              <w:t xml:space="preserve"> </w:t>
            </w:r>
          </w:p>
        </w:tc>
        <w:tc>
          <w:tcPr>
            <w:tcW w:w="422" w:type="dxa"/>
            <w:tcBorders>
              <w:top w:val="single" w:sz="4" w:space="0" w:color="000000"/>
              <w:left w:val="single" w:sz="4" w:space="0" w:color="000000"/>
              <w:bottom w:val="single" w:sz="4" w:space="0" w:color="000000"/>
              <w:right w:val="single" w:sz="8" w:space="0" w:color="000000"/>
            </w:tcBorders>
            <w:shd w:val="clear" w:color="auto" w:fill="BFBFBF"/>
            <w:vAlign w:val="center"/>
          </w:tcPr>
          <w:p w:rsidR="00E8309B" w:rsidRDefault="009D0949">
            <w:pPr>
              <w:spacing w:after="0" w:line="259" w:lineRule="auto"/>
              <w:ind w:left="50" w:right="0" w:firstLine="0"/>
              <w:jc w:val="center"/>
            </w:pPr>
            <w:r>
              <w:rPr>
                <w:i/>
                <w:sz w:val="18"/>
              </w:rPr>
              <w:t xml:space="preserve"> </w:t>
            </w:r>
          </w:p>
        </w:tc>
        <w:tc>
          <w:tcPr>
            <w:tcW w:w="425" w:type="dxa"/>
            <w:tcBorders>
              <w:top w:val="single" w:sz="4" w:space="0" w:color="000000"/>
              <w:left w:val="single" w:sz="8" w:space="0" w:color="000000"/>
              <w:bottom w:val="single" w:sz="4" w:space="0" w:color="000000"/>
              <w:right w:val="single" w:sz="4" w:space="0" w:color="000000"/>
            </w:tcBorders>
            <w:vAlign w:val="center"/>
          </w:tcPr>
          <w:p w:rsidR="00E8309B" w:rsidRDefault="009D0949">
            <w:pPr>
              <w:spacing w:after="0" w:line="259" w:lineRule="auto"/>
              <w:ind w:left="52" w:right="0" w:firstLine="0"/>
              <w:jc w:val="center"/>
            </w:pPr>
            <w:r>
              <w:rPr>
                <w:i/>
                <w:sz w:val="18"/>
              </w:rPr>
              <w:t xml:space="preserve"> </w:t>
            </w:r>
          </w:p>
        </w:tc>
        <w:tc>
          <w:tcPr>
            <w:tcW w:w="422"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50" w:right="0" w:firstLine="0"/>
              <w:jc w:val="center"/>
            </w:pPr>
            <w:r>
              <w:rPr>
                <w:i/>
                <w:sz w:val="18"/>
              </w:rPr>
              <w:t xml:space="preserve"> </w:t>
            </w:r>
          </w:p>
        </w:tc>
        <w:tc>
          <w:tcPr>
            <w:tcW w:w="423"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50" w:right="0" w:firstLine="0"/>
              <w:jc w:val="center"/>
            </w:pPr>
            <w:r>
              <w:rPr>
                <w:i/>
                <w:sz w:val="18"/>
              </w:rPr>
              <w:t xml:space="preserve"> </w:t>
            </w:r>
          </w:p>
        </w:tc>
        <w:tc>
          <w:tcPr>
            <w:tcW w:w="422" w:type="dxa"/>
            <w:tcBorders>
              <w:top w:val="single" w:sz="4" w:space="0" w:color="000000"/>
              <w:left w:val="single" w:sz="4" w:space="0" w:color="000000"/>
              <w:bottom w:val="single" w:sz="4" w:space="0" w:color="000000"/>
              <w:right w:val="single" w:sz="8" w:space="0" w:color="000000"/>
            </w:tcBorders>
            <w:vAlign w:val="center"/>
          </w:tcPr>
          <w:p w:rsidR="00E8309B" w:rsidRDefault="009D0949">
            <w:pPr>
              <w:spacing w:after="0" w:line="259" w:lineRule="auto"/>
              <w:ind w:left="50" w:right="0" w:firstLine="0"/>
              <w:jc w:val="center"/>
            </w:pPr>
            <w:r>
              <w:rPr>
                <w:i/>
                <w:sz w:val="18"/>
              </w:rPr>
              <w:t xml:space="preserve"> </w:t>
            </w:r>
          </w:p>
        </w:tc>
        <w:tc>
          <w:tcPr>
            <w:tcW w:w="425" w:type="dxa"/>
            <w:tcBorders>
              <w:top w:val="single" w:sz="4" w:space="0" w:color="000000"/>
              <w:left w:val="single" w:sz="8" w:space="0" w:color="000000"/>
              <w:bottom w:val="single" w:sz="4" w:space="0" w:color="000000"/>
              <w:right w:val="single" w:sz="4" w:space="0" w:color="000000"/>
            </w:tcBorders>
            <w:vAlign w:val="center"/>
          </w:tcPr>
          <w:p w:rsidR="00E8309B" w:rsidRDefault="009D0949">
            <w:pPr>
              <w:spacing w:after="0" w:line="259" w:lineRule="auto"/>
              <w:ind w:left="52" w:right="0" w:firstLine="0"/>
              <w:jc w:val="center"/>
            </w:pPr>
            <w:r>
              <w:rPr>
                <w:i/>
                <w:sz w:val="18"/>
              </w:rPr>
              <w:t xml:space="preserve"> </w:t>
            </w:r>
          </w:p>
        </w:tc>
        <w:tc>
          <w:tcPr>
            <w:tcW w:w="422"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50" w:right="0" w:firstLine="0"/>
              <w:jc w:val="center"/>
            </w:pPr>
            <w:r>
              <w:rPr>
                <w:i/>
                <w:sz w:val="18"/>
              </w:rPr>
              <w:t xml:space="preserve"> </w:t>
            </w:r>
          </w:p>
        </w:tc>
        <w:tc>
          <w:tcPr>
            <w:tcW w:w="422"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50" w:right="0" w:firstLine="0"/>
              <w:jc w:val="center"/>
            </w:pPr>
            <w:r>
              <w:rPr>
                <w:i/>
                <w:sz w:val="18"/>
              </w:rPr>
              <w:t xml:space="preserve"> </w:t>
            </w:r>
          </w:p>
        </w:tc>
        <w:tc>
          <w:tcPr>
            <w:tcW w:w="423" w:type="dxa"/>
            <w:tcBorders>
              <w:top w:val="single" w:sz="4" w:space="0" w:color="000000"/>
              <w:left w:val="single" w:sz="4" w:space="0" w:color="000000"/>
              <w:bottom w:val="single" w:sz="4" w:space="0" w:color="000000"/>
              <w:right w:val="single" w:sz="8" w:space="0" w:color="000000"/>
            </w:tcBorders>
            <w:vAlign w:val="center"/>
          </w:tcPr>
          <w:p w:rsidR="00E8309B" w:rsidRDefault="009D0949">
            <w:pPr>
              <w:spacing w:after="0" w:line="259" w:lineRule="auto"/>
              <w:ind w:left="50" w:right="0" w:firstLine="0"/>
              <w:jc w:val="center"/>
            </w:pPr>
            <w:r>
              <w:rPr>
                <w:i/>
                <w:sz w:val="18"/>
              </w:rPr>
              <w:t xml:space="preserve"> </w:t>
            </w:r>
          </w:p>
        </w:tc>
      </w:tr>
      <w:tr w:rsidR="00E8309B">
        <w:trPr>
          <w:trHeight w:val="319"/>
        </w:trPr>
        <w:tc>
          <w:tcPr>
            <w:tcW w:w="427"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4" w:firstLine="0"/>
              <w:jc w:val="right"/>
            </w:pPr>
            <w:r>
              <w:rPr>
                <w:sz w:val="20"/>
              </w:rPr>
              <w:t xml:space="preserve">7 </w:t>
            </w:r>
          </w:p>
        </w:tc>
        <w:tc>
          <w:tcPr>
            <w:tcW w:w="4137"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60" w:right="0" w:firstLine="0"/>
              <w:jc w:val="left"/>
            </w:pPr>
            <w:r>
              <w:rPr>
                <w:sz w:val="20"/>
              </w:rPr>
              <w:t xml:space="preserve">Усвајање подзаконских аката             </w:t>
            </w:r>
          </w:p>
        </w:tc>
        <w:tc>
          <w:tcPr>
            <w:tcW w:w="420" w:type="dxa"/>
            <w:tcBorders>
              <w:top w:val="single" w:sz="4" w:space="0" w:color="000000"/>
              <w:left w:val="single" w:sz="8" w:space="0" w:color="000000"/>
              <w:bottom w:val="single" w:sz="4" w:space="0" w:color="000000"/>
              <w:right w:val="single" w:sz="4" w:space="0" w:color="000000"/>
            </w:tcBorders>
          </w:tcPr>
          <w:p w:rsidR="00E8309B" w:rsidRDefault="009D0949">
            <w:pPr>
              <w:spacing w:after="0" w:line="259" w:lineRule="auto"/>
              <w:ind w:left="47" w:right="0" w:firstLine="0"/>
              <w:jc w:val="center"/>
            </w:pPr>
            <w:r>
              <w:rPr>
                <w:i/>
                <w:sz w:val="18"/>
              </w:rPr>
              <w:t xml:space="preserve"> </w:t>
            </w:r>
          </w:p>
        </w:tc>
        <w:tc>
          <w:tcPr>
            <w:tcW w:w="425"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47" w:right="0" w:firstLine="0"/>
              <w:jc w:val="center"/>
            </w:pPr>
            <w:r>
              <w:rPr>
                <w:i/>
                <w:sz w:val="18"/>
              </w:rPr>
              <w:t xml:space="preserve"> </w:t>
            </w:r>
          </w:p>
        </w:tc>
        <w:tc>
          <w:tcPr>
            <w:tcW w:w="422"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50" w:right="0" w:firstLine="0"/>
              <w:jc w:val="center"/>
            </w:pPr>
            <w:r>
              <w:rPr>
                <w:i/>
                <w:sz w:val="18"/>
              </w:rPr>
              <w:t xml:space="preserve"> </w:t>
            </w:r>
          </w:p>
        </w:tc>
        <w:tc>
          <w:tcPr>
            <w:tcW w:w="422" w:type="dxa"/>
            <w:tcBorders>
              <w:top w:val="single" w:sz="4" w:space="0" w:color="000000"/>
              <w:left w:val="single" w:sz="4" w:space="0" w:color="000000"/>
              <w:bottom w:val="single" w:sz="4" w:space="0" w:color="000000"/>
              <w:right w:val="single" w:sz="8" w:space="0" w:color="000000"/>
            </w:tcBorders>
          </w:tcPr>
          <w:p w:rsidR="00E8309B" w:rsidRDefault="009D0949">
            <w:pPr>
              <w:spacing w:after="0" w:line="259" w:lineRule="auto"/>
              <w:ind w:left="50" w:right="0" w:firstLine="0"/>
              <w:jc w:val="center"/>
            </w:pPr>
            <w:r>
              <w:rPr>
                <w:i/>
                <w:sz w:val="18"/>
              </w:rPr>
              <w:t xml:space="preserve"> </w:t>
            </w:r>
          </w:p>
        </w:tc>
        <w:tc>
          <w:tcPr>
            <w:tcW w:w="425" w:type="dxa"/>
            <w:tcBorders>
              <w:top w:val="single" w:sz="4" w:space="0" w:color="000000"/>
              <w:left w:val="single" w:sz="8" w:space="0" w:color="000000"/>
              <w:bottom w:val="single" w:sz="4" w:space="0" w:color="000000"/>
              <w:right w:val="single" w:sz="4" w:space="0" w:color="000000"/>
            </w:tcBorders>
            <w:shd w:val="clear" w:color="auto" w:fill="BFBFBF"/>
          </w:tcPr>
          <w:p w:rsidR="00E8309B" w:rsidRDefault="009D0949">
            <w:pPr>
              <w:spacing w:after="0" w:line="259" w:lineRule="auto"/>
              <w:ind w:left="52" w:right="0" w:firstLine="0"/>
              <w:jc w:val="center"/>
            </w:pPr>
            <w:r>
              <w:rPr>
                <w:i/>
                <w:sz w:val="18"/>
              </w:rPr>
              <w:t xml:space="preserve"> </w:t>
            </w:r>
          </w:p>
        </w:tc>
        <w:tc>
          <w:tcPr>
            <w:tcW w:w="422" w:type="dxa"/>
            <w:tcBorders>
              <w:top w:val="single" w:sz="4" w:space="0" w:color="000000"/>
              <w:left w:val="single" w:sz="4" w:space="0" w:color="000000"/>
              <w:bottom w:val="single" w:sz="4" w:space="0" w:color="000000"/>
              <w:right w:val="single" w:sz="4" w:space="0" w:color="000000"/>
            </w:tcBorders>
            <w:shd w:val="clear" w:color="auto" w:fill="BFBFBF"/>
          </w:tcPr>
          <w:p w:rsidR="00E8309B" w:rsidRDefault="009D0949">
            <w:pPr>
              <w:spacing w:after="0" w:line="259" w:lineRule="auto"/>
              <w:ind w:left="50" w:right="0" w:firstLine="0"/>
              <w:jc w:val="center"/>
            </w:pPr>
            <w:r>
              <w:rPr>
                <w:i/>
                <w:sz w:val="18"/>
              </w:rPr>
              <w:t xml:space="preserve"> </w:t>
            </w:r>
          </w:p>
        </w:tc>
        <w:tc>
          <w:tcPr>
            <w:tcW w:w="423" w:type="dxa"/>
            <w:tcBorders>
              <w:top w:val="single" w:sz="4" w:space="0" w:color="000000"/>
              <w:left w:val="single" w:sz="4" w:space="0" w:color="000000"/>
              <w:bottom w:val="single" w:sz="4" w:space="0" w:color="000000"/>
              <w:right w:val="single" w:sz="4" w:space="0" w:color="000000"/>
            </w:tcBorders>
            <w:shd w:val="clear" w:color="auto" w:fill="BFBFBF"/>
          </w:tcPr>
          <w:p w:rsidR="00E8309B" w:rsidRDefault="009D0949">
            <w:pPr>
              <w:spacing w:after="0" w:line="259" w:lineRule="auto"/>
              <w:ind w:left="50" w:right="0" w:firstLine="0"/>
              <w:jc w:val="center"/>
            </w:pPr>
            <w:r>
              <w:rPr>
                <w:i/>
                <w:sz w:val="18"/>
              </w:rPr>
              <w:t xml:space="preserve"> </w:t>
            </w:r>
          </w:p>
        </w:tc>
        <w:tc>
          <w:tcPr>
            <w:tcW w:w="422" w:type="dxa"/>
            <w:tcBorders>
              <w:top w:val="single" w:sz="4" w:space="0" w:color="000000"/>
              <w:left w:val="single" w:sz="4" w:space="0" w:color="000000"/>
              <w:bottom w:val="single" w:sz="4" w:space="0" w:color="000000"/>
              <w:right w:val="single" w:sz="8" w:space="0" w:color="000000"/>
            </w:tcBorders>
            <w:shd w:val="clear" w:color="auto" w:fill="BFBFBF"/>
          </w:tcPr>
          <w:p w:rsidR="00E8309B" w:rsidRDefault="009D0949">
            <w:pPr>
              <w:spacing w:after="0" w:line="259" w:lineRule="auto"/>
              <w:ind w:left="50" w:right="0" w:firstLine="0"/>
              <w:jc w:val="center"/>
            </w:pPr>
            <w:r>
              <w:rPr>
                <w:i/>
                <w:sz w:val="18"/>
              </w:rPr>
              <w:t xml:space="preserve"> </w:t>
            </w:r>
          </w:p>
        </w:tc>
        <w:tc>
          <w:tcPr>
            <w:tcW w:w="425" w:type="dxa"/>
            <w:tcBorders>
              <w:top w:val="single" w:sz="4" w:space="0" w:color="000000"/>
              <w:left w:val="single" w:sz="8" w:space="0" w:color="000000"/>
              <w:bottom w:val="single" w:sz="4" w:space="0" w:color="000000"/>
              <w:right w:val="single" w:sz="4" w:space="0" w:color="000000"/>
            </w:tcBorders>
          </w:tcPr>
          <w:p w:rsidR="00E8309B" w:rsidRDefault="009D0949">
            <w:pPr>
              <w:spacing w:after="0" w:line="259" w:lineRule="auto"/>
              <w:ind w:left="52" w:right="0" w:firstLine="0"/>
              <w:jc w:val="center"/>
            </w:pPr>
            <w:r>
              <w:rPr>
                <w:i/>
                <w:sz w:val="18"/>
              </w:rPr>
              <w:t xml:space="preserve"> </w:t>
            </w:r>
          </w:p>
        </w:tc>
        <w:tc>
          <w:tcPr>
            <w:tcW w:w="422"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50" w:right="0" w:firstLine="0"/>
              <w:jc w:val="center"/>
            </w:pPr>
            <w:r>
              <w:rPr>
                <w:i/>
                <w:sz w:val="18"/>
              </w:rPr>
              <w:t xml:space="preserve"> </w:t>
            </w:r>
          </w:p>
        </w:tc>
        <w:tc>
          <w:tcPr>
            <w:tcW w:w="422"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50" w:right="0" w:firstLine="0"/>
              <w:jc w:val="center"/>
            </w:pPr>
            <w:r>
              <w:rPr>
                <w:i/>
                <w:sz w:val="18"/>
              </w:rPr>
              <w:t xml:space="preserve"> </w:t>
            </w:r>
          </w:p>
        </w:tc>
        <w:tc>
          <w:tcPr>
            <w:tcW w:w="423" w:type="dxa"/>
            <w:tcBorders>
              <w:top w:val="single" w:sz="4" w:space="0" w:color="000000"/>
              <w:left w:val="single" w:sz="4" w:space="0" w:color="000000"/>
              <w:bottom w:val="single" w:sz="4" w:space="0" w:color="000000"/>
              <w:right w:val="single" w:sz="8" w:space="0" w:color="000000"/>
            </w:tcBorders>
          </w:tcPr>
          <w:p w:rsidR="00E8309B" w:rsidRDefault="009D0949">
            <w:pPr>
              <w:spacing w:after="0" w:line="259" w:lineRule="auto"/>
              <w:ind w:left="50" w:right="0" w:firstLine="0"/>
              <w:jc w:val="center"/>
            </w:pPr>
            <w:r>
              <w:rPr>
                <w:i/>
                <w:sz w:val="18"/>
              </w:rPr>
              <w:t xml:space="preserve"> </w:t>
            </w:r>
          </w:p>
        </w:tc>
      </w:tr>
      <w:tr w:rsidR="00E8309B">
        <w:trPr>
          <w:trHeight w:val="318"/>
        </w:trPr>
        <w:tc>
          <w:tcPr>
            <w:tcW w:w="427"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4" w:firstLine="0"/>
              <w:jc w:val="right"/>
            </w:pPr>
            <w:r>
              <w:rPr>
                <w:sz w:val="20"/>
              </w:rPr>
              <w:t xml:space="preserve">8 </w:t>
            </w:r>
          </w:p>
        </w:tc>
        <w:tc>
          <w:tcPr>
            <w:tcW w:w="4137"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60" w:right="0" w:firstLine="0"/>
            </w:pPr>
            <w:r>
              <w:rPr>
                <w:sz w:val="20"/>
              </w:rPr>
              <w:t xml:space="preserve">Доношење Закона o органској производњи        </w:t>
            </w:r>
          </w:p>
        </w:tc>
        <w:tc>
          <w:tcPr>
            <w:tcW w:w="420" w:type="dxa"/>
            <w:tcBorders>
              <w:top w:val="single" w:sz="4" w:space="0" w:color="000000"/>
              <w:left w:val="single" w:sz="8" w:space="0" w:color="000000"/>
              <w:bottom w:val="single" w:sz="4" w:space="0" w:color="000000"/>
              <w:right w:val="single" w:sz="4" w:space="0" w:color="000000"/>
            </w:tcBorders>
            <w:shd w:val="clear" w:color="auto" w:fill="BFBFBF"/>
          </w:tcPr>
          <w:p w:rsidR="00E8309B" w:rsidRDefault="009D0949">
            <w:pPr>
              <w:spacing w:after="0" w:line="259" w:lineRule="auto"/>
              <w:ind w:left="-19" w:right="0" w:firstLine="0"/>
              <w:jc w:val="left"/>
            </w:pPr>
            <w:r>
              <w:rPr>
                <w:sz w:val="20"/>
              </w:rPr>
              <w:t xml:space="preserve"> </w:t>
            </w:r>
            <w:r>
              <w:rPr>
                <w:sz w:val="20"/>
              </w:rPr>
              <w:tab/>
            </w:r>
            <w:r>
              <w:rPr>
                <w:i/>
                <w:sz w:val="18"/>
              </w:rPr>
              <w:t xml:space="preserve"> </w:t>
            </w:r>
          </w:p>
        </w:tc>
        <w:tc>
          <w:tcPr>
            <w:tcW w:w="425" w:type="dxa"/>
            <w:tcBorders>
              <w:top w:val="single" w:sz="4" w:space="0" w:color="000000"/>
              <w:left w:val="single" w:sz="4" w:space="0" w:color="000000"/>
              <w:bottom w:val="single" w:sz="4" w:space="0" w:color="000000"/>
              <w:right w:val="single" w:sz="4" w:space="0" w:color="000000"/>
            </w:tcBorders>
            <w:shd w:val="clear" w:color="auto" w:fill="BFBFBF"/>
          </w:tcPr>
          <w:p w:rsidR="00E8309B" w:rsidRDefault="009D0949">
            <w:pPr>
              <w:spacing w:after="0" w:line="259" w:lineRule="auto"/>
              <w:ind w:left="47" w:right="0" w:firstLine="0"/>
              <w:jc w:val="center"/>
            </w:pPr>
            <w:r>
              <w:rPr>
                <w:i/>
                <w:sz w:val="18"/>
              </w:rPr>
              <w:t xml:space="preserve"> </w:t>
            </w:r>
          </w:p>
        </w:tc>
        <w:tc>
          <w:tcPr>
            <w:tcW w:w="422" w:type="dxa"/>
            <w:tcBorders>
              <w:top w:val="single" w:sz="4" w:space="0" w:color="000000"/>
              <w:left w:val="single" w:sz="4" w:space="0" w:color="000000"/>
              <w:bottom w:val="single" w:sz="4" w:space="0" w:color="000000"/>
              <w:right w:val="single" w:sz="4" w:space="0" w:color="000000"/>
            </w:tcBorders>
            <w:shd w:val="clear" w:color="auto" w:fill="BFBFBF"/>
          </w:tcPr>
          <w:p w:rsidR="00E8309B" w:rsidRDefault="009D0949">
            <w:pPr>
              <w:spacing w:after="0" w:line="259" w:lineRule="auto"/>
              <w:ind w:left="50" w:right="0" w:firstLine="0"/>
              <w:jc w:val="center"/>
            </w:pPr>
            <w:r>
              <w:rPr>
                <w:i/>
                <w:sz w:val="18"/>
              </w:rPr>
              <w:t xml:space="preserve"> </w:t>
            </w:r>
          </w:p>
        </w:tc>
        <w:tc>
          <w:tcPr>
            <w:tcW w:w="422" w:type="dxa"/>
            <w:tcBorders>
              <w:top w:val="single" w:sz="4" w:space="0" w:color="000000"/>
              <w:left w:val="single" w:sz="4" w:space="0" w:color="000000"/>
              <w:bottom w:val="single" w:sz="4" w:space="0" w:color="000000"/>
              <w:right w:val="single" w:sz="8" w:space="0" w:color="000000"/>
            </w:tcBorders>
            <w:shd w:val="clear" w:color="auto" w:fill="BFBFBF"/>
          </w:tcPr>
          <w:p w:rsidR="00E8309B" w:rsidRDefault="009D0949">
            <w:pPr>
              <w:spacing w:after="0" w:line="259" w:lineRule="auto"/>
              <w:ind w:left="50" w:right="0" w:firstLine="0"/>
              <w:jc w:val="center"/>
            </w:pPr>
            <w:r>
              <w:rPr>
                <w:i/>
                <w:sz w:val="18"/>
              </w:rPr>
              <w:t xml:space="preserve"> </w:t>
            </w:r>
          </w:p>
        </w:tc>
        <w:tc>
          <w:tcPr>
            <w:tcW w:w="425" w:type="dxa"/>
            <w:tcBorders>
              <w:top w:val="single" w:sz="4" w:space="0" w:color="000000"/>
              <w:left w:val="single" w:sz="8" w:space="0" w:color="000000"/>
              <w:bottom w:val="single" w:sz="4" w:space="0" w:color="BFBFBF"/>
              <w:right w:val="single" w:sz="4" w:space="0" w:color="000000"/>
            </w:tcBorders>
          </w:tcPr>
          <w:p w:rsidR="00E8309B" w:rsidRDefault="009D0949">
            <w:pPr>
              <w:spacing w:after="0" w:line="259" w:lineRule="auto"/>
              <w:ind w:left="52" w:right="0" w:firstLine="0"/>
              <w:jc w:val="center"/>
            </w:pPr>
            <w:r>
              <w:rPr>
                <w:i/>
                <w:sz w:val="18"/>
              </w:rPr>
              <w:t xml:space="preserve"> </w:t>
            </w:r>
          </w:p>
        </w:tc>
        <w:tc>
          <w:tcPr>
            <w:tcW w:w="422" w:type="dxa"/>
            <w:tcBorders>
              <w:top w:val="single" w:sz="4" w:space="0" w:color="000000"/>
              <w:left w:val="single" w:sz="4" w:space="0" w:color="000000"/>
              <w:bottom w:val="single" w:sz="4" w:space="0" w:color="BFBFBF"/>
              <w:right w:val="single" w:sz="4" w:space="0" w:color="000000"/>
            </w:tcBorders>
          </w:tcPr>
          <w:p w:rsidR="00E8309B" w:rsidRDefault="009D0949">
            <w:pPr>
              <w:spacing w:after="0" w:line="259" w:lineRule="auto"/>
              <w:ind w:left="50" w:right="0" w:firstLine="0"/>
              <w:jc w:val="center"/>
            </w:pPr>
            <w:r>
              <w:rPr>
                <w:i/>
                <w:sz w:val="18"/>
              </w:rPr>
              <w:t xml:space="preserve"> </w:t>
            </w:r>
          </w:p>
        </w:tc>
        <w:tc>
          <w:tcPr>
            <w:tcW w:w="423" w:type="dxa"/>
            <w:tcBorders>
              <w:top w:val="single" w:sz="4" w:space="0" w:color="000000"/>
              <w:left w:val="single" w:sz="4" w:space="0" w:color="000000"/>
              <w:bottom w:val="single" w:sz="4" w:space="0" w:color="BFBFBF"/>
              <w:right w:val="single" w:sz="4" w:space="0" w:color="000000"/>
            </w:tcBorders>
          </w:tcPr>
          <w:p w:rsidR="00E8309B" w:rsidRDefault="009D0949">
            <w:pPr>
              <w:spacing w:after="0" w:line="259" w:lineRule="auto"/>
              <w:ind w:left="50" w:right="0" w:firstLine="0"/>
              <w:jc w:val="center"/>
            </w:pPr>
            <w:r>
              <w:rPr>
                <w:i/>
                <w:sz w:val="18"/>
              </w:rPr>
              <w:t xml:space="preserve"> </w:t>
            </w:r>
          </w:p>
        </w:tc>
        <w:tc>
          <w:tcPr>
            <w:tcW w:w="422" w:type="dxa"/>
            <w:tcBorders>
              <w:top w:val="single" w:sz="4" w:space="0" w:color="000000"/>
              <w:left w:val="single" w:sz="4" w:space="0" w:color="000000"/>
              <w:bottom w:val="single" w:sz="4" w:space="0" w:color="BFBFBF"/>
              <w:right w:val="single" w:sz="8" w:space="0" w:color="000000"/>
            </w:tcBorders>
          </w:tcPr>
          <w:p w:rsidR="00E8309B" w:rsidRDefault="009D0949">
            <w:pPr>
              <w:spacing w:after="0" w:line="259" w:lineRule="auto"/>
              <w:ind w:left="50" w:right="0" w:firstLine="0"/>
              <w:jc w:val="center"/>
            </w:pPr>
            <w:r>
              <w:rPr>
                <w:i/>
                <w:sz w:val="18"/>
              </w:rPr>
              <w:t xml:space="preserve"> </w:t>
            </w:r>
          </w:p>
        </w:tc>
        <w:tc>
          <w:tcPr>
            <w:tcW w:w="425" w:type="dxa"/>
            <w:tcBorders>
              <w:top w:val="single" w:sz="4" w:space="0" w:color="000000"/>
              <w:left w:val="single" w:sz="8" w:space="0" w:color="000000"/>
              <w:bottom w:val="single" w:sz="4" w:space="0" w:color="BFBFBF"/>
              <w:right w:val="single" w:sz="4" w:space="0" w:color="000000"/>
            </w:tcBorders>
          </w:tcPr>
          <w:p w:rsidR="00E8309B" w:rsidRDefault="009D0949">
            <w:pPr>
              <w:spacing w:after="0" w:line="259" w:lineRule="auto"/>
              <w:ind w:left="52" w:right="0" w:firstLine="0"/>
              <w:jc w:val="center"/>
            </w:pPr>
            <w:r>
              <w:rPr>
                <w:i/>
                <w:sz w:val="18"/>
              </w:rPr>
              <w:t xml:space="preserve"> </w:t>
            </w:r>
          </w:p>
        </w:tc>
        <w:tc>
          <w:tcPr>
            <w:tcW w:w="422" w:type="dxa"/>
            <w:tcBorders>
              <w:top w:val="single" w:sz="4" w:space="0" w:color="000000"/>
              <w:left w:val="single" w:sz="4" w:space="0" w:color="000000"/>
              <w:bottom w:val="single" w:sz="4" w:space="0" w:color="BFBFBF"/>
              <w:right w:val="single" w:sz="4" w:space="0" w:color="000000"/>
            </w:tcBorders>
          </w:tcPr>
          <w:p w:rsidR="00E8309B" w:rsidRDefault="009D0949">
            <w:pPr>
              <w:spacing w:after="0" w:line="259" w:lineRule="auto"/>
              <w:ind w:left="50" w:right="0" w:firstLine="0"/>
              <w:jc w:val="center"/>
            </w:pPr>
            <w:r>
              <w:rPr>
                <w:i/>
                <w:sz w:val="18"/>
              </w:rPr>
              <w:t xml:space="preserve"> </w:t>
            </w:r>
          </w:p>
        </w:tc>
        <w:tc>
          <w:tcPr>
            <w:tcW w:w="422" w:type="dxa"/>
            <w:tcBorders>
              <w:top w:val="single" w:sz="4" w:space="0" w:color="000000"/>
              <w:left w:val="single" w:sz="4" w:space="0" w:color="000000"/>
              <w:bottom w:val="single" w:sz="4" w:space="0" w:color="BFBFBF"/>
              <w:right w:val="single" w:sz="4" w:space="0" w:color="000000"/>
            </w:tcBorders>
          </w:tcPr>
          <w:p w:rsidR="00E8309B" w:rsidRDefault="009D0949">
            <w:pPr>
              <w:spacing w:after="0" w:line="259" w:lineRule="auto"/>
              <w:ind w:left="50" w:right="0" w:firstLine="0"/>
              <w:jc w:val="center"/>
            </w:pPr>
            <w:r>
              <w:rPr>
                <w:i/>
                <w:sz w:val="18"/>
              </w:rPr>
              <w:t xml:space="preserve"> </w:t>
            </w:r>
          </w:p>
        </w:tc>
        <w:tc>
          <w:tcPr>
            <w:tcW w:w="423" w:type="dxa"/>
            <w:tcBorders>
              <w:top w:val="single" w:sz="4" w:space="0" w:color="000000"/>
              <w:left w:val="single" w:sz="4" w:space="0" w:color="000000"/>
              <w:bottom w:val="single" w:sz="4" w:space="0" w:color="BFBFBF"/>
              <w:right w:val="single" w:sz="8" w:space="0" w:color="000000"/>
            </w:tcBorders>
          </w:tcPr>
          <w:p w:rsidR="00E8309B" w:rsidRDefault="009D0949">
            <w:pPr>
              <w:spacing w:after="0" w:line="259" w:lineRule="auto"/>
              <w:ind w:left="50" w:right="0" w:firstLine="0"/>
              <w:jc w:val="center"/>
            </w:pPr>
            <w:r>
              <w:rPr>
                <w:i/>
                <w:sz w:val="18"/>
              </w:rPr>
              <w:t xml:space="preserve"> </w:t>
            </w:r>
          </w:p>
        </w:tc>
      </w:tr>
      <w:tr w:rsidR="00E8309B">
        <w:trPr>
          <w:trHeight w:val="317"/>
        </w:trPr>
        <w:tc>
          <w:tcPr>
            <w:tcW w:w="427"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4" w:firstLine="0"/>
              <w:jc w:val="right"/>
            </w:pPr>
            <w:r>
              <w:rPr>
                <w:sz w:val="20"/>
              </w:rPr>
              <w:t xml:space="preserve">9 </w:t>
            </w:r>
          </w:p>
        </w:tc>
        <w:tc>
          <w:tcPr>
            <w:tcW w:w="4137"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60" w:right="0" w:firstLine="0"/>
              <w:jc w:val="left"/>
            </w:pPr>
            <w:r>
              <w:rPr>
                <w:sz w:val="20"/>
              </w:rPr>
              <w:t xml:space="preserve">Усвајање подзаконских аката    </w:t>
            </w:r>
          </w:p>
        </w:tc>
        <w:tc>
          <w:tcPr>
            <w:tcW w:w="420" w:type="dxa"/>
            <w:tcBorders>
              <w:top w:val="single" w:sz="4" w:space="0" w:color="000000"/>
              <w:left w:val="single" w:sz="8" w:space="0" w:color="000000"/>
              <w:bottom w:val="single" w:sz="8" w:space="0" w:color="000000"/>
              <w:right w:val="single" w:sz="4" w:space="0" w:color="000000"/>
            </w:tcBorders>
          </w:tcPr>
          <w:p w:rsidR="00E8309B" w:rsidRDefault="009D0949">
            <w:pPr>
              <w:spacing w:after="0" w:line="259" w:lineRule="auto"/>
              <w:ind w:left="47" w:right="0" w:firstLine="0"/>
              <w:jc w:val="center"/>
            </w:pPr>
            <w:r>
              <w:rPr>
                <w:i/>
                <w:sz w:val="18"/>
              </w:rPr>
              <w:t xml:space="preserve"> </w:t>
            </w:r>
          </w:p>
        </w:tc>
        <w:tc>
          <w:tcPr>
            <w:tcW w:w="425" w:type="dxa"/>
            <w:tcBorders>
              <w:top w:val="single" w:sz="4" w:space="0" w:color="000000"/>
              <w:left w:val="single" w:sz="4" w:space="0" w:color="000000"/>
              <w:bottom w:val="single" w:sz="8" w:space="0" w:color="000000"/>
              <w:right w:val="single" w:sz="4" w:space="0" w:color="000000"/>
            </w:tcBorders>
          </w:tcPr>
          <w:p w:rsidR="00E8309B" w:rsidRDefault="009D0949">
            <w:pPr>
              <w:spacing w:after="0" w:line="259" w:lineRule="auto"/>
              <w:ind w:left="47" w:right="0" w:firstLine="0"/>
              <w:jc w:val="center"/>
            </w:pPr>
            <w:r>
              <w:rPr>
                <w:i/>
                <w:sz w:val="18"/>
              </w:rPr>
              <w:t xml:space="preserve"> </w:t>
            </w:r>
          </w:p>
        </w:tc>
        <w:tc>
          <w:tcPr>
            <w:tcW w:w="422" w:type="dxa"/>
            <w:tcBorders>
              <w:top w:val="single" w:sz="4" w:space="0" w:color="000000"/>
              <w:left w:val="single" w:sz="4" w:space="0" w:color="000000"/>
              <w:bottom w:val="single" w:sz="8" w:space="0" w:color="000000"/>
              <w:right w:val="single" w:sz="4" w:space="0" w:color="000000"/>
            </w:tcBorders>
          </w:tcPr>
          <w:p w:rsidR="00E8309B" w:rsidRDefault="009D0949">
            <w:pPr>
              <w:spacing w:after="0" w:line="259" w:lineRule="auto"/>
              <w:ind w:left="50" w:right="0" w:firstLine="0"/>
              <w:jc w:val="center"/>
            </w:pPr>
            <w:r>
              <w:rPr>
                <w:i/>
                <w:sz w:val="18"/>
              </w:rPr>
              <w:t xml:space="preserve"> </w:t>
            </w:r>
          </w:p>
        </w:tc>
        <w:tc>
          <w:tcPr>
            <w:tcW w:w="422" w:type="dxa"/>
            <w:tcBorders>
              <w:top w:val="single" w:sz="4" w:space="0" w:color="000000"/>
              <w:left w:val="single" w:sz="4" w:space="0" w:color="000000"/>
              <w:bottom w:val="single" w:sz="8" w:space="0" w:color="000000"/>
              <w:right w:val="single" w:sz="8" w:space="0" w:color="000000"/>
            </w:tcBorders>
          </w:tcPr>
          <w:p w:rsidR="00E8309B" w:rsidRDefault="009D0949">
            <w:pPr>
              <w:spacing w:after="0" w:line="259" w:lineRule="auto"/>
              <w:ind w:left="50" w:right="0" w:firstLine="0"/>
              <w:jc w:val="center"/>
            </w:pPr>
            <w:r>
              <w:rPr>
                <w:i/>
                <w:sz w:val="18"/>
              </w:rPr>
              <w:t xml:space="preserve"> </w:t>
            </w:r>
          </w:p>
        </w:tc>
        <w:tc>
          <w:tcPr>
            <w:tcW w:w="425" w:type="dxa"/>
            <w:tcBorders>
              <w:top w:val="single" w:sz="4" w:space="0" w:color="BFBFBF"/>
              <w:left w:val="single" w:sz="8" w:space="0" w:color="000000"/>
              <w:bottom w:val="single" w:sz="8" w:space="0" w:color="000000"/>
              <w:right w:val="single" w:sz="4" w:space="0" w:color="000000"/>
            </w:tcBorders>
            <w:shd w:val="clear" w:color="auto" w:fill="BFBFBF"/>
          </w:tcPr>
          <w:p w:rsidR="00E8309B" w:rsidRDefault="009D0949">
            <w:pPr>
              <w:spacing w:after="0" w:line="259" w:lineRule="auto"/>
              <w:ind w:left="52" w:right="0" w:firstLine="0"/>
              <w:jc w:val="center"/>
            </w:pPr>
            <w:r>
              <w:rPr>
                <w:i/>
                <w:sz w:val="18"/>
              </w:rPr>
              <w:t xml:space="preserve"> </w:t>
            </w:r>
          </w:p>
        </w:tc>
        <w:tc>
          <w:tcPr>
            <w:tcW w:w="422" w:type="dxa"/>
            <w:tcBorders>
              <w:top w:val="single" w:sz="4" w:space="0" w:color="BFBFBF"/>
              <w:left w:val="single" w:sz="4" w:space="0" w:color="000000"/>
              <w:bottom w:val="single" w:sz="8" w:space="0" w:color="000000"/>
              <w:right w:val="single" w:sz="4" w:space="0" w:color="000000"/>
            </w:tcBorders>
            <w:shd w:val="clear" w:color="auto" w:fill="BFBFBF"/>
          </w:tcPr>
          <w:p w:rsidR="00E8309B" w:rsidRDefault="009D0949">
            <w:pPr>
              <w:spacing w:after="0" w:line="259" w:lineRule="auto"/>
              <w:ind w:left="50" w:right="0" w:firstLine="0"/>
              <w:jc w:val="center"/>
            </w:pPr>
            <w:r>
              <w:rPr>
                <w:i/>
                <w:sz w:val="18"/>
              </w:rPr>
              <w:t xml:space="preserve"> </w:t>
            </w:r>
          </w:p>
        </w:tc>
        <w:tc>
          <w:tcPr>
            <w:tcW w:w="423" w:type="dxa"/>
            <w:tcBorders>
              <w:top w:val="single" w:sz="4" w:space="0" w:color="BFBFBF"/>
              <w:left w:val="single" w:sz="4" w:space="0" w:color="000000"/>
              <w:bottom w:val="single" w:sz="8" w:space="0" w:color="000000"/>
              <w:right w:val="single" w:sz="4" w:space="0" w:color="000000"/>
            </w:tcBorders>
            <w:shd w:val="clear" w:color="auto" w:fill="BFBFBF"/>
          </w:tcPr>
          <w:p w:rsidR="00E8309B" w:rsidRDefault="009D0949">
            <w:pPr>
              <w:spacing w:after="0" w:line="259" w:lineRule="auto"/>
              <w:ind w:left="50" w:right="0" w:firstLine="0"/>
              <w:jc w:val="center"/>
            </w:pPr>
            <w:r>
              <w:rPr>
                <w:i/>
                <w:sz w:val="18"/>
              </w:rPr>
              <w:t xml:space="preserve"> </w:t>
            </w:r>
          </w:p>
        </w:tc>
        <w:tc>
          <w:tcPr>
            <w:tcW w:w="422" w:type="dxa"/>
            <w:tcBorders>
              <w:top w:val="single" w:sz="4" w:space="0" w:color="BFBFBF"/>
              <w:left w:val="single" w:sz="4" w:space="0" w:color="000000"/>
              <w:bottom w:val="single" w:sz="8" w:space="0" w:color="000000"/>
              <w:right w:val="single" w:sz="8" w:space="0" w:color="000000"/>
            </w:tcBorders>
            <w:shd w:val="clear" w:color="auto" w:fill="BFBFBF"/>
          </w:tcPr>
          <w:p w:rsidR="00E8309B" w:rsidRDefault="009D0949">
            <w:pPr>
              <w:spacing w:after="0" w:line="259" w:lineRule="auto"/>
              <w:ind w:left="50" w:right="0" w:firstLine="0"/>
              <w:jc w:val="center"/>
            </w:pPr>
            <w:r>
              <w:rPr>
                <w:i/>
                <w:sz w:val="18"/>
              </w:rPr>
              <w:t xml:space="preserve"> </w:t>
            </w:r>
          </w:p>
        </w:tc>
        <w:tc>
          <w:tcPr>
            <w:tcW w:w="425" w:type="dxa"/>
            <w:tcBorders>
              <w:top w:val="single" w:sz="4" w:space="0" w:color="BFBFBF"/>
              <w:left w:val="single" w:sz="8" w:space="0" w:color="000000"/>
              <w:bottom w:val="single" w:sz="8" w:space="0" w:color="000000"/>
              <w:right w:val="single" w:sz="4" w:space="0" w:color="000000"/>
            </w:tcBorders>
            <w:shd w:val="clear" w:color="auto" w:fill="BFBFBF"/>
          </w:tcPr>
          <w:p w:rsidR="00E8309B" w:rsidRDefault="009D0949">
            <w:pPr>
              <w:spacing w:after="0" w:line="259" w:lineRule="auto"/>
              <w:ind w:left="52" w:right="0" w:firstLine="0"/>
              <w:jc w:val="center"/>
            </w:pPr>
            <w:r>
              <w:rPr>
                <w:i/>
                <w:sz w:val="18"/>
              </w:rPr>
              <w:t xml:space="preserve"> </w:t>
            </w:r>
          </w:p>
        </w:tc>
        <w:tc>
          <w:tcPr>
            <w:tcW w:w="422" w:type="dxa"/>
            <w:tcBorders>
              <w:top w:val="single" w:sz="4" w:space="0" w:color="BFBFBF"/>
              <w:left w:val="single" w:sz="4" w:space="0" w:color="000000"/>
              <w:bottom w:val="single" w:sz="8" w:space="0" w:color="000000"/>
              <w:right w:val="single" w:sz="4" w:space="0" w:color="000000"/>
            </w:tcBorders>
            <w:shd w:val="clear" w:color="auto" w:fill="BFBFBF"/>
          </w:tcPr>
          <w:p w:rsidR="00E8309B" w:rsidRDefault="009D0949">
            <w:pPr>
              <w:spacing w:after="0" w:line="259" w:lineRule="auto"/>
              <w:ind w:left="50" w:right="0" w:firstLine="0"/>
              <w:jc w:val="center"/>
            </w:pPr>
            <w:r>
              <w:rPr>
                <w:i/>
                <w:sz w:val="18"/>
              </w:rPr>
              <w:t xml:space="preserve"> </w:t>
            </w:r>
          </w:p>
        </w:tc>
        <w:tc>
          <w:tcPr>
            <w:tcW w:w="422" w:type="dxa"/>
            <w:tcBorders>
              <w:top w:val="single" w:sz="4" w:space="0" w:color="BFBFBF"/>
              <w:left w:val="single" w:sz="4" w:space="0" w:color="000000"/>
              <w:bottom w:val="single" w:sz="8" w:space="0" w:color="000000"/>
              <w:right w:val="single" w:sz="4" w:space="0" w:color="000000"/>
            </w:tcBorders>
            <w:shd w:val="clear" w:color="auto" w:fill="BFBFBF"/>
          </w:tcPr>
          <w:p w:rsidR="00E8309B" w:rsidRDefault="009D0949">
            <w:pPr>
              <w:spacing w:after="0" w:line="259" w:lineRule="auto"/>
              <w:ind w:left="50" w:right="0" w:firstLine="0"/>
              <w:jc w:val="center"/>
            </w:pPr>
            <w:r>
              <w:rPr>
                <w:i/>
                <w:sz w:val="18"/>
              </w:rPr>
              <w:t xml:space="preserve"> </w:t>
            </w:r>
          </w:p>
        </w:tc>
        <w:tc>
          <w:tcPr>
            <w:tcW w:w="423" w:type="dxa"/>
            <w:tcBorders>
              <w:top w:val="single" w:sz="4" w:space="0" w:color="BFBFBF"/>
              <w:left w:val="single" w:sz="4" w:space="0" w:color="000000"/>
              <w:bottom w:val="single" w:sz="8" w:space="0" w:color="000000"/>
              <w:right w:val="single" w:sz="8" w:space="0" w:color="000000"/>
            </w:tcBorders>
            <w:shd w:val="clear" w:color="auto" w:fill="BFBFBF"/>
          </w:tcPr>
          <w:p w:rsidR="00E8309B" w:rsidRDefault="009D0949">
            <w:pPr>
              <w:spacing w:after="0" w:line="259" w:lineRule="auto"/>
              <w:ind w:left="50" w:right="0" w:firstLine="0"/>
              <w:jc w:val="center"/>
            </w:pPr>
            <w:r>
              <w:rPr>
                <w:i/>
                <w:sz w:val="18"/>
              </w:rPr>
              <w:t xml:space="preserve"> </w:t>
            </w:r>
          </w:p>
        </w:tc>
      </w:tr>
    </w:tbl>
    <w:p w:rsidR="00E8309B" w:rsidRDefault="009D0949">
      <w:pPr>
        <w:numPr>
          <w:ilvl w:val="0"/>
          <w:numId w:val="19"/>
        </w:numPr>
        <w:spacing w:after="0" w:line="271" w:lineRule="auto"/>
        <w:ind w:right="9" w:hanging="360"/>
      </w:pPr>
      <w:r>
        <w:rPr>
          <w:b/>
        </w:rPr>
        <w:t xml:space="preserve">Индикатори резултата </w:t>
      </w:r>
    </w:p>
    <w:tbl>
      <w:tblPr>
        <w:tblStyle w:val="TableGrid"/>
        <w:tblW w:w="9640" w:type="dxa"/>
        <w:tblInd w:w="-5" w:type="dxa"/>
        <w:tblCellMar>
          <w:top w:w="40" w:type="dxa"/>
          <w:left w:w="108" w:type="dxa"/>
          <w:bottom w:w="0" w:type="dxa"/>
          <w:right w:w="56" w:type="dxa"/>
        </w:tblCellMar>
        <w:tblLook w:val="04A0" w:firstRow="1" w:lastRow="0" w:firstColumn="1" w:lastColumn="0" w:noHBand="0" w:noVBand="1"/>
      </w:tblPr>
      <w:tblGrid>
        <w:gridCol w:w="4056"/>
        <w:gridCol w:w="1892"/>
        <w:gridCol w:w="1793"/>
        <w:gridCol w:w="1899"/>
      </w:tblGrid>
      <w:tr w:rsidR="00E8309B">
        <w:trPr>
          <w:trHeight w:val="468"/>
        </w:trPr>
        <w:tc>
          <w:tcPr>
            <w:tcW w:w="4057"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0" w:right="0" w:firstLine="0"/>
              <w:jc w:val="left"/>
            </w:pPr>
            <w:r>
              <w:rPr>
                <w:b/>
                <w:sz w:val="20"/>
              </w:rPr>
              <w:t xml:space="preserve">Показатељ </w:t>
            </w:r>
          </w:p>
        </w:tc>
        <w:tc>
          <w:tcPr>
            <w:tcW w:w="1892"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49" w:firstLine="0"/>
              <w:jc w:val="right"/>
            </w:pPr>
            <w:r>
              <w:rPr>
                <w:b/>
                <w:sz w:val="20"/>
              </w:rPr>
              <w:t xml:space="preserve">Почетна вредност (година) </w:t>
            </w:r>
          </w:p>
        </w:tc>
        <w:tc>
          <w:tcPr>
            <w:tcW w:w="1793"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50" w:firstLine="0"/>
              <w:jc w:val="right"/>
            </w:pPr>
            <w:r>
              <w:rPr>
                <w:b/>
                <w:sz w:val="20"/>
              </w:rPr>
              <w:t xml:space="preserve">Међурезултат (година) </w:t>
            </w:r>
          </w:p>
        </w:tc>
        <w:tc>
          <w:tcPr>
            <w:tcW w:w="1899"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52" w:firstLine="0"/>
              <w:jc w:val="right"/>
            </w:pPr>
            <w:r>
              <w:rPr>
                <w:b/>
                <w:sz w:val="20"/>
              </w:rPr>
              <w:t xml:space="preserve">Циљна вредност (година) </w:t>
            </w:r>
          </w:p>
        </w:tc>
      </w:tr>
      <w:tr w:rsidR="00E8309B">
        <w:trPr>
          <w:trHeight w:val="590"/>
        </w:trPr>
        <w:tc>
          <w:tcPr>
            <w:tcW w:w="4057"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0" w:firstLine="0"/>
              <w:jc w:val="left"/>
            </w:pPr>
            <w:r>
              <w:rPr>
                <w:sz w:val="20"/>
              </w:rPr>
              <w:t xml:space="preserve">БДВ пољопривреде (извор РЗС)  </w:t>
            </w:r>
          </w:p>
        </w:tc>
        <w:tc>
          <w:tcPr>
            <w:tcW w:w="1892"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49" w:firstLine="0"/>
              <w:jc w:val="right"/>
            </w:pPr>
            <w:r>
              <w:rPr>
                <w:sz w:val="20"/>
              </w:rPr>
              <w:t>2,8 милијарди евра</w:t>
            </w:r>
            <w:r>
              <w:rPr>
                <w:sz w:val="20"/>
              </w:rPr>
              <w:t xml:space="preserve"> (2019) </w:t>
            </w:r>
          </w:p>
        </w:tc>
        <w:tc>
          <w:tcPr>
            <w:tcW w:w="1793"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15" w:right="49" w:firstLine="0"/>
              <w:jc w:val="right"/>
            </w:pPr>
            <w:r>
              <w:rPr>
                <w:sz w:val="20"/>
              </w:rPr>
              <w:t>2,9 милијарди евра (2021)</w:t>
            </w:r>
            <w:r>
              <w:rPr>
                <w:b/>
                <w:sz w:val="20"/>
              </w:rPr>
              <w:t xml:space="preserve"> </w:t>
            </w:r>
          </w:p>
        </w:tc>
        <w:tc>
          <w:tcPr>
            <w:tcW w:w="1899"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52" w:firstLine="0"/>
              <w:jc w:val="right"/>
            </w:pPr>
            <w:r>
              <w:rPr>
                <w:sz w:val="20"/>
              </w:rPr>
              <w:t xml:space="preserve"> 3,0 милијарди евра (2022)</w:t>
            </w:r>
            <w:r>
              <w:rPr>
                <w:b/>
                <w:sz w:val="20"/>
              </w:rPr>
              <w:t xml:space="preserve"> </w:t>
            </w:r>
          </w:p>
        </w:tc>
      </w:tr>
    </w:tbl>
    <w:p w:rsidR="00E8309B" w:rsidRDefault="009D0949">
      <w:pPr>
        <w:spacing w:after="96" w:line="259" w:lineRule="auto"/>
        <w:ind w:left="0" w:right="0" w:firstLine="0"/>
        <w:jc w:val="left"/>
      </w:pPr>
      <w:r>
        <w:rPr>
          <w:b/>
        </w:rPr>
        <w:t xml:space="preserve"> </w:t>
      </w:r>
    </w:p>
    <w:p w:rsidR="00E8309B" w:rsidRDefault="009D0949">
      <w:pPr>
        <w:spacing w:after="0" w:line="259" w:lineRule="auto"/>
        <w:ind w:left="0" w:right="0" w:firstLine="0"/>
        <w:jc w:val="left"/>
      </w:pPr>
      <w:r>
        <w:rPr>
          <w:b/>
        </w:rPr>
        <w:t xml:space="preserve"> </w:t>
      </w:r>
    </w:p>
    <w:p w:rsidR="00E8309B" w:rsidRDefault="009D0949">
      <w:pPr>
        <w:numPr>
          <w:ilvl w:val="0"/>
          <w:numId w:val="19"/>
        </w:numPr>
        <w:spacing w:after="126" w:line="271" w:lineRule="auto"/>
        <w:ind w:right="9" w:hanging="360"/>
      </w:pPr>
      <w:r>
        <w:rPr>
          <w:b/>
        </w:rPr>
        <w:t xml:space="preserve">Очекивани утицај на конкурентност </w:t>
      </w:r>
    </w:p>
    <w:p w:rsidR="00E8309B" w:rsidRDefault="009D0949">
      <w:pPr>
        <w:spacing w:after="26" w:line="268" w:lineRule="auto"/>
        <w:ind w:left="-5" w:right="16"/>
      </w:pPr>
      <w:r>
        <w:rPr>
          <w:i/>
        </w:rPr>
        <w:t xml:space="preserve">Унапређење руралне инфраструктуре </w:t>
      </w:r>
    </w:p>
    <w:p w:rsidR="00E8309B" w:rsidRDefault="009D0949">
      <w:pPr>
        <w:spacing w:after="22"/>
        <w:ind w:left="-5" w:right="17"/>
      </w:pPr>
      <w:r>
        <w:lastRenderedPageBreak/>
        <w:t>Да би се реализовале инвестиције које доприносе развоју конкурентности у руралним подручјима, потребно је обезбедити одговарајућу инфраструктуру. Унапређење водоводне и канализационе мреже, локалних путева и енергетске мреже доприноси квантитативном и квал</w:t>
      </w:r>
      <w:r>
        <w:t xml:space="preserve">итативном развоју прерадних погона и омогућава изградњу нових складишних и прерадних капацацитета. Изградња постројења за третман отпадних вода и депонија за одлагање отпада допринеће испуњењу стандарда заштите животне средине. </w:t>
      </w:r>
    </w:p>
    <w:p w:rsidR="00E8309B" w:rsidRDefault="009D0949">
      <w:pPr>
        <w:spacing w:after="26" w:line="268" w:lineRule="auto"/>
        <w:ind w:left="-5" w:right="16"/>
      </w:pPr>
      <w:r>
        <w:rPr>
          <w:i/>
        </w:rPr>
        <w:t>Унапређење правног оквира у</w:t>
      </w:r>
      <w:r>
        <w:rPr>
          <w:i/>
        </w:rPr>
        <w:t xml:space="preserve"> области уређења тржишта пољопривредних производа, као и унапређење правног оквира у области шема квалитета за пољопривредне и прехрамбене производе и у области органске производње </w:t>
      </w:r>
    </w:p>
    <w:p w:rsidR="00E8309B" w:rsidRDefault="009D0949">
      <w:pPr>
        <w:spacing w:after="22"/>
        <w:ind w:left="-5" w:right="17"/>
      </w:pPr>
      <w:r>
        <w:t>Рaст кoнкурeнтнoсти пoљoприврeдe у великој мери зaвиси oд фoрмирaњa eфикaс</w:t>
      </w:r>
      <w:r>
        <w:t xml:space="preserve">нoг тржишнoг лaнцa, кojи укључуje ширoк спeктaр нoвих прoизвoдa, услугa и учесника. Тржишни лaнaц на домаћем тржишту тренутно je веома фрaгмeнтисaн и нeдoвoљнo oргaнизoвaн, кaкo у области прoизвoдњe, тaкo и у делу прeрaдe, сa oчиглeдним дeфицитoм oргaнa и </w:t>
      </w:r>
      <w:r>
        <w:t>oргaнизaциja зa пружaњe aдeквaтнe лoгистичкe пoдршкe и кao тaкaв, прeдстaвљa кочницу дaљeм расту конкурентности пољопривредног и прехрамбеног сектора.</w:t>
      </w:r>
      <w:r>
        <w:rPr>
          <w:i/>
        </w:rPr>
        <w:t xml:space="preserve"> </w:t>
      </w:r>
    </w:p>
    <w:p w:rsidR="00E8309B" w:rsidRDefault="009D0949">
      <w:pPr>
        <w:spacing w:after="103"/>
        <w:ind w:left="-5" w:right="17"/>
      </w:pPr>
      <w:r>
        <w:t>Развијањем шема квалитета зa пoљoприврeднe и прeхрaмбeнe прoизвoдe ће омогућити нашим произвођачима да с</w:t>
      </w:r>
      <w:r>
        <w:t xml:space="preserve">воје производе са заштићеним ознакама географског порекла заштите и на нивоу ЕУ. Такође, успоставиће се и ефикаснији систем контроле квалитета ових производа, а биће омогућено и развијање нaциoнaлних шeма квaлитeтa. </w:t>
      </w:r>
    </w:p>
    <w:p w:rsidR="00E8309B" w:rsidRDefault="009D0949">
      <w:pPr>
        <w:spacing w:after="156"/>
        <w:ind w:left="-5" w:right="17"/>
      </w:pPr>
      <w:r>
        <w:t>Oрганскa производњa представља комплекс</w:t>
      </w:r>
      <w:r>
        <w:t xml:space="preserve">ан начин производње који мора да поштује строге законске норме у складу са заштитом здравља и живота људи, природе и околине, што утиче на додату вредност органских производа. </w:t>
      </w:r>
    </w:p>
    <w:p w:rsidR="00E8309B" w:rsidRDefault="009D0949">
      <w:pPr>
        <w:spacing w:after="122" w:line="271" w:lineRule="auto"/>
        <w:ind w:left="345" w:right="9" w:hanging="360"/>
      </w:pPr>
      <w:r>
        <w:rPr>
          <w:b/>
        </w:rPr>
        <w:t>6.</w:t>
      </w:r>
      <w:r>
        <w:rPr>
          <w:rFonts w:ascii="Arial" w:eastAsia="Arial" w:hAnsi="Arial" w:cs="Arial"/>
          <w:b/>
        </w:rPr>
        <w:t xml:space="preserve"> </w:t>
      </w:r>
      <w:r>
        <w:rPr>
          <w:b/>
        </w:rPr>
        <w:t>Процењени трошкови спровођења структурне реформе и предвиђени извори њиховог</w:t>
      </w:r>
      <w:r>
        <w:rPr>
          <w:b/>
        </w:rPr>
        <w:t xml:space="preserve"> финансирања </w:t>
      </w:r>
    </w:p>
    <w:p w:rsidR="00E8309B" w:rsidRDefault="009D0949">
      <w:pPr>
        <w:spacing w:after="26" w:line="268" w:lineRule="auto"/>
        <w:ind w:left="-5" w:right="16"/>
      </w:pPr>
      <w:r>
        <w:rPr>
          <w:i/>
        </w:rPr>
        <w:t xml:space="preserve">Унапређење руралне инфраструктуре </w:t>
      </w:r>
    </w:p>
    <w:p w:rsidR="00E8309B" w:rsidRDefault="009D0949">
      <w:pPr>
        <w:spacing w:after="101"/>
        <w:ind w:left="-5" w:right="17"/>
      </w:pPr>
      <w:r>
        <w:t>План је да се реформа спроводи у 2022. и 2023. години. Износ средстава за спровођење реформе биће накнадно дефинисан након усвајања правилника. У циљу спровођења реформе у 2022. и 2023. години планирано је а</w:t>
      </w:r>
      <w:r>
        <w:t xml:space="preserve">нгажовање новозапослених и набавка опреме за њихов рад а извор финансирања ових активности биће накнадно утврђен. </w:t>
      </w:r>
      <w:r>
        <w:rPr>
          <w:i/>
        </w:rPr>
        <w:t>Унапређење правног оквира у области уређења тржишта пољопривредних производа и у области шема квалитета за пољопривредно – прехрамбене произво</w:t>
      </w:r>
      <w:r>
        <w:rPr>
          <w:i/>
        </w:rPr>
        <w:t xml:space="preserve">де и органске производње </w:t>
      </w:r>
    </w:p>
    <w:p w:rsidR="00E8309B" w:rsidRDefault="009D0949">
      <w:pPr>
        <w:spacing w:after="148"/>
        <w:ind w:left="-5" w:right="17"/>
      </w:pPr>
      <w:r>
        <w:t xml:space="preserve">Усвајање Закона о уређењу тржишта пољопривредних производа, као и његова имплементација захтева </w:t>
      </w:r>
      <w:r>
        <w:t xml:space="preserve">одређене трошкове који су везани за спровођење едукација, упознавање произвођача са променама које ће уследити, набавку хардверске и софтверске опреме, повећање административних капацитета. Трошкови за усвајање и имплементацију закона биће обезбеђени кроз </w:t>
      </w:r>
      <w:r>
        <w:t xml:space="preserve">пројекат финансиран од стране ЕУ у износу од 1.800.000 евра за период 2021. до 2023. година, а други  део ће бити финансиран по усвајању закона и биће накнадно утврђен. </w:t>
      </w:r>
    </w:p>
    <w:p w:rsidR="00E8309B" w:rsidRDefault="009D0949">
      <w:pPr>
        <w:ind w:left="-5" w:right="17"/>
      </w:pPr>
      <w:r>
        <w:t>Усвајање Закона о шeмaмa квaлитeтa зa пoљoприврeднe и прeхрaмбeнe прoизвoдe и Закона о</w:t>
      </w:r>
      <w:r>
        <w:t xml:space="preserve"> органској производњи као и њихова имплементација захтева одређене трошкове који су везани за повећање административних капацитета, спровођење едукација и информативне кампање. </w:t>
      </w:r>
    </w:p>
    <w:p w:rsidR="00E8309B" w:rsidRDefault="009D0949">
      <w:pPr>
        <w:ind w:left="-5" w:right="17"/>
      </w:pPr>
      <w:r>
        <w:t>Процењени трошкови спровођења структурне реформе обезбеђени су кроз твининг ИП</w:t>
      </w:r>
      <w:r>
        <w:t xml:space="preserve">А 2014 пројекат, који се спроводи у периоду од 2019. до 2021. године, који је у завршној фази, а износ преосталих средстава за 2021. годину је 113.997 евра. Други део ових трошкова ће бити финансиран, по усвајању закона и биће накнадно утврђен. </w:t>
      </w:r>
    </w:p>
    <w:p w:rsidR="00E8309B" w:rsidRDefault="009D0949">
      <w:pPr>
        <w:spacing w:after="122" w:line="271" w:lineRule="auto"/>
        <w:ind w:left="345" w:right="9" w:hanging="360"/>
      </w:pPr>
      <w:r>
        <w:rPr>
          <w:b/>
        </w:rPr>
        <w:lastRenderedPageBreak/>
        <w:t>7.</w:t>
      </w:r>
      <w:r>
        <w:rPr>
          <w:rFonts w:ascii="Arial" w:eastAsia="Arial" w:hAnsi="Arial" w:cs="Arial"/>
          <w:b/>
        </w:rPr>
        <w:t xml:space="preserve"> </w:t>
      </w:r>
      <w:r>
        <w:rPr>
          <w:b/>
        </w:rPr>
        <w:t>Очекива</w:t>
      </w:r>
      <w:r>
        <w:rPr>
          <w:b/>
        </w:rPr>
        <w:t xml:space="preserve">ни утицај на социјалне циљеве, као што су запосленост, смањење сиромаштва, једнакост и род, и приступ здравственој заштити </w:t>
      </w:r>
    </w:p>
    <w:p w:rsidR="00E8309B" w:rsidRDefault="009D0949">
      <w:pPr>
        <w:spacing w:after="134" w:line="268" w:lineRule="auto"/>
        <w:ind w:left="-5" w:right="16"/>
      </w:pPr>
      <w:r>
        <w:rPr>
          <w:i/>
        </w:rPr>
        <w:t xml:space="preserve">Унапређење руралне инфраструктуре </w:t>
      </w:r>
    </w:p>
    <w:p w:rsidR="00E8309B" w:rsidRDefault="009D0949">
      <w:pPr>
        <w:spacing w:after="98"/>
        <w:ind w:left="-5" w:right="17"/>
      </w:pPr>
      <w:r>
        <w:t>Структурна мера директно утиче на повећан обим запошљавања и смањење сиромаштва локалног становни</w:t>
      </w:r>
      <w:r>
        <w:t xml:space="preserve">штва. Развијањем руралне инфраструктуре, физичким и правним лица се омогућава развијање сопствених бизниса - производних и прерадних капацитета, односно њихово самозапошљавање и запошљавање локалног становништва. </w:t>
      </w:r>
    </w:p>
    <w:p w:rsidR="00E8309B" w:rsidRDefault="009D0949">
      <w:pPr>
        <w:spacing w:after="71" w:line="268" w:lineRule="auto"/>
        <w:ind w:left="-5" w:right="16"/>
      </w:pPr>
      <w:r>
        <w:rPr>
          <w:i/>
        </w:rPr>
        <w:t>Унапређење правног оквира у области уређењ</w:t>
      </w:r>
      <w:r>
        <w:rPr>
          <w:i/>
        </w:rPr>
        <w:t xml:space="preserve">а тржишта пољопривредних производа, у области шема квалитета за пољопривредне и прехрамбене производе и у области органске производње </w:t>
      </w:r>
    </w:p>
    <w:p w:rsidR="00E8309B" w:rsidRDefault="009D0949">
      <w:pPr>
        <w:spacing w:after="104"/>
        <w:ind w:left="-5" w:right="17"/>
      </w:pPr>
      <w:r>
        <w:t>Примена Закона о уређењу тржишта пољопривредно-прехрамбених производа омогућује правно уређен наступ свих субјеката на тр</w:t>
      </w:r>
      <w:r>
        <w:t xml:space="preserve">жишту и директно ће подстицати појаву нових правних лица у сектору производње, прераде и промета пољопривредних производа, па тако и запослености. Као резултат примене закона ће се подстицати формирање и признавати произвођачке организације које су правна </w:t>
      </w:r>
      <w:r>
        <w:t xml:space="preserve">лица. Увођење међународних стандарда ће директно утицати на повећање конкурентности произвођача, како на домаћем тако и на страном тржишту. Очекујемо неутрални утицај на родни аспект. </w:t>
      </w:r>
    </w:p>
    <w:p w:rsidR="00E8309B" w:rsidRDefault="009D0949">
      <w:pPr>
        <w:spacing w:after="104"/>
        <w:ind w:left="-5" w:right="17"/>
      </w:pPr>
      <w:r>
        <w:t>Примена Закона о шeмaмa квaлитeтa зa пoљoприврeднe и прeхрaмбeнe прoизв</w:t>
      </w:r>
      <w:r>
        <w:t xml:space="preserve">oдe допринеће бољој уређености система заштите ознака географског порекла пољопривредних и прехрамбених производа и успостављању службене контроле производа са ознаком географског порекла на тржишту. То ће додатно подстаћи нове произвођаче да уђу у систем </w:t>
      </w:r>
      <w:r>
        <w:t xml:space="preserve">заштите ознака географског порекла и да се удружују. Очекујемо неутрални утицај на родни аспект. </w:t>
      </w:r>
    </w:p>
    <w:p w:rsidR="00E8309B" w:rsidRDefault="009D0949">
      <w:pPr>
        <w:spacing w:after="158"/>
        <w:ind w:left="-5" w:right="17"/>
      </w:pPr>
      <w:r>
        <w:t>Пoслeдњих дeцeниja трaжњa зa oргaнским прoизвoдимa кoнстaнтнo рaстe, пoсeбнo нa тржишту рaзвиjeних eврoпских зeмaљa, a пoнудa трeнутнo нe прaти рaст трaжњe. З</w:t>
      </w:r>
      <w:r>
        <w:t>бoг oчувaнoг aгрoсистeмa и пoвoљних климaтских услoвa, Србиja je у бoљoj пoзициjи oд oстaлих зeмaљa у Eврoпи, гдe je eкoсистeм знaтнo вишe нaрушeн прeтхoдних дeцeниja рaзвojeм индустриjскe прoизвoдњe. Кoрист oд oргaнскe прoизвoдњe мoгу имати рурaлна пoдруч</w:t>
      </w:r>
      <w:r>
        <w:t xml:space="preserve">ja у кojимa влaдa висoкa стoпa нeзaпoслeнoсти, a која имajу свe услoвe зa прoизвoдњу oргaнскe хрaнe. </w:t>
      </w:r>
    </w:p>
    <w:p w:rsidR="00E8309B" w:rsidRDefault="009D0949">
      <w:pPr>
        <w:spacing w:after="126" w:line="271" w:lineRule="auto"/>
        <w:ind w:left="-5" w:right="9"/>
      </w:pPr>
      <w:r>
        <w:rPr>
          <w:b/>
        </w:rPr>
        <w:t xml:space="preserve">8. Очекивани утицај на животну средину </w:t>
      </w:r>
    </w:p>
    <w:p w:rsidR="00E8309B" w:rsidRDefault="009D0949">
      <w:pPr>
        <w:spacing w:after="133" w:line="268" w:lineRule="auto"/>
        <w:ind w:left="-5" w:right="16"/>
      </w:pPr>
      <w:r>
        <w:rPr>
          <w:i/>
        </w:rPr>
        <w:t xml:space="preserve">Унапређење руралне инфраструктуре </w:t>
      </w:r>
    </w:p>
    <w:p w:rsidR="00E8309B" w:rsidRDefault="009D0949">
      <w:pPr>
        <w:spacing w:after="101"/>
        <w:ind w:left="-5" w:right="17"/>
      </w:pPr>
      <w:r>
        <w:t xml:space="preserve">Спровођење структурне мере унапређења </w:t>
      </w:r>
      <w:r>
        <w:t xml:space="preserve">руралне инфраструктуре доприноси очувању животне средине, с обзиром да су предвиђене за финансирање инвестиције које се односе на изградњу постројења за пречишћавање отпадних вода и управљање отпадом.  </w:t>
      </w:r>
    </w:p>
    <w:p w:rsidR="00E8309B" w:rsidRDefault="009D0949">
      <w:pPr>
        <w:spacing w:after="70" w:line="268" w:lineRule="auto"/>
        <w:ind w:left="-5" w:right="16"/>
      </w:pPr>
      <w:r>
        <w:rPr>
          <w:i/>
        </w:rPr>
        <w:t>Унапређење правног оквира у области уређења тржишта п</w:t>
      </w:r>
      <w:r>
        <w:rPr>
          <w:i/>
        </w:rPr>
        <w:t xml:space="preserve">ољопривредних производа, као и унапређење правног оквира у области шема квалитета за пољопривредне и прехрамбене производе и у области органске производње </w:t>
      </w:r>
    </w:p>
    <w:p w:rsidR="00E8309B" w:rsidRDefault="009D0949">
      <w:pPr>
        <w:spacing w:after="102"/>
        <w:ind w:left="-5" w:right="17"/>
      </w:pPr>
      <w:r>
        <w:t>Органска производња заснива се на биолошкој равнотежи система земља – биљка – животиња – човек. Прем</w:t>
      </w:r>
      <w:r>
        <w:t>а дефиницији Codex Alimentarius, у питању је „холистички” систем производње који промовише и јача агроекосистем, здравље, укључујући и биодиверзитет, биолошке циклусе, као и земљиште. Нajвeћa кoрист oргaнскe прoивoдњe je у тoмe дa дoпринoси oдрживoм кoришћ</w:t>
      </w:r>
      <w:r>
        <w:t xml:space="preserve">eњу и oчувaњу прирoдних рeсурсa. </w:t>
      </w:r>
    </w:p>
    <w:p w:rsidR="00E8309B" w:rsidRDefault="009D0949">
      <w:pPr>
        <w:spacing w:after="96" w:line="259" w:lineRule="auto"/>
        <w:ind w:left="0" w:right="0" w:firstLine="0"/>
        <w:jc w:val="left"/>
      </w:pPr>
      <w:r>
        <w:t xml:space="preserve"> </w:t>
      </w:r>
    </w:p>
    <w:p w:rsidR="00E8309B" w:rsidRDefault="009D0949">
      <w:pPr>
        <w:spacing w:after="96" w:line="259" w:lineRule="auto"/>
        <w:ind w:left="0" w:right="0" w:firstLine="0"/>
        <w:jc w:val="left"/>
      </w:pPr>
      <w:r>
        <w:lastRenderedPageBreak/>
        <w:t xml:space="preserve"> </w:t>
      </w:r>
    </w:p>
    <w:p w:rsidR="00E8309B" w:rsidRDefault="009D0949">
      <w:pPr>
        <w:spacing w:after="0" w:line="259" w:lineRule="auto"/>
        <w:ind w:left="0" w:right="0" w:firstLine="0"/>
        <w:jc w:val="left"/>
      </w:pPr>
      <w:r>
        <w:t xml:space="preserve"> </w:t>
      </w:r>
    </w:p>
    <w:p w:rsidR="00E8309B" w:rsidRDefault="009D0949">
      <w:pPr>
        <w:spacing w:after="0" w:line="271" w:lineRule="auto"/>
        <w:ind w:left="-5" w:right="9"/>
      </w:pPr>
      <w:r>
        <w:rPr>
          <w:b/>
        </w:rPr>
        <w:t xml:space="preserve">9. Потенцијални ризици </w:t>
      </w:r>
    </w:p>
    <w:tbl>
      <w:tblPr>
        <w:tblStyle w:val="TableGrid"/>
        <w:tblW w:w="9696" w:type="dxa"/>
        <w:tblInd w:w="0" w:type="dxa"/>
        <w:tblCellMar>
          <w:top w:w="46" w:type="dxa"/>
          <w:left w:w="108" w:type="dxa"/>
          <w:bottom w:w="0" w:type="dxa"/>
          <w:right w:w="79" w:type="dxa"/>
        </w:tblCellMar>
        <w:tblLook w:val="04A0" w:firstRow="1" w:lastRow="0" w:firstColumn="1" w:lastColumn="0" w:noHBand="0" w:noVBand="1"/>
      </w:tblPr>
      <w:tblGrid>
        <w:gridCol w:w="3330"/>
        <w:gridCol w:w="2201"/>
        <w:gridCol w:w="4165"/>
      </w:tblGrid>
      <w:tr w:rsidR="00E8309B">
        <w:trPr>
          <w:trHeight w:val="471"/>
        </w:trPr>
        <w:tc>
          <w:tcPr>
            <w:tcW w:w="3330"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0" w:right="0" w:firstLine="0"/>
              <w:jc w:val="left"/>
            </w:pPr>
            <w:r>
              <w:rPr>
                <w:b/>
                <w:sz w:val="20"/>
              </w:rPr>
              <w:t xml:space="preserve">Ризик </w:t>
            </w:r>
          </w:p>
        </w:tc>
        <w:tc>
          <w:tcPr>
            <w:tcW w:w="2201"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2" w:right="0" w:firstLine="0"/>
              <w:jc w:val="left"/>
            </w:pPr>
            <w:r>
              <w:rPr>
                <w:b/>
                <w:sz w:val="20"/>
              </w:rPr>
              <w:t xml:space="preserve">Вероватноћа за остваривање ризика </w:t>
            </w:r>
          </w:p>
        </w:tc>
        <w:tc>
          <w:tcPr>
            <w:tcW w:w="4165"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0" w:firstLine="0"/>
              <w:jc w:val="left"/>
            </w:pPr>
            <w:r>
              <w:rPr>
                <w:b/>
                <w:sz w:val="20"/>
              </w:rPr>
              <w:t xml:space="preserve">Активности за ублажавање негативних ефеката ризика </w:t>
            </w:r>
          </w:p>
        </w:tc>
      </w:tr>
      <w:tr w:rsidR="00E8309B">
        <w:trPr>
          <w:trHeight w:val="1162"/>
        </w:trPr>
        <w:tc>
          <w:tcPr>
            <w:tcW w:w="3330"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0" w:firstLine="0"/>
              <w:jc w:val="left"/>
            </w:pPr>
            <w:r>
              <w:rPr>
                <w:sz w:val="20"/>
              </w:rPr>
              <w:t>Основни ризик огледа се у потенцијално малом број корисника са припремљеним квалитетним пројектима за меру унапређење руралне инфраструктуре</w:t>
            </w:r>
            <w:r>
              <w:rPr>
                <w:b/>
                <w:sz w:val="20"/>
              </w:rPr>
              <w:t xml:space="preserve"> </w:t>
            </w:r>
          </w:p>
        </w:tc>
        <w:tc>
          <w:tcPr>
            <w:tcW w:w="2201"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2" w:right="0" w:firstLine="0"/>
              <w:jc w:val="left"/>
            </w:pPr>
            <w:r>
              <w:rPr>
                <w:sz w:val="20"/>
              </w:rPr>
              <w:t>Средња</w:t>
            </w:r>
            <w:r>
              <w:rPr>
                <w:b/>
                <w:sz w:val="20"/>
              </w:rPr>
              <w:t xml:space="preserve"> </w:t>
            </w:r>
          </w:p>
        </w:tc>
        <w:tc>
          <w:tcPr>
            <w:tcW w:w="4165"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0" w:firstLine="0"/>
              <w:jc w:val="left"/>
            </w:pPr>
            <w:r>
              <w:rPr>
                <w:sz w:val="20"/>
              </w:rPr>
              <w:t>Континуирана едукација и експертска подршка корисницима да припреме адекване пројекте</w:t>
            </w:r>
            <w:r>
              <w:rPr>
                <w:b/>
                <w:sz w:val="20"/>
              </w:rPr>
              <w:t xml:space="preserve"> </w:t>
            </w:r>
          </w:p>
        </w:tc>
      </w:tr>
      <w:tr w:rsidR="00E8309B">
        <w:trPr>
          <w:trHeight w:val="698"/>
        </w:trPr>
        <w:tc>
          <w:tcPr>
            <w:tcW w:w="3330"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0" w:firstLine="0"/>
              <w:jc w:val="left"/>
            </w:pPr>
            <w:r>
              <w:rPr>
                <w:sz w:val="20"/>
              </w:rPr>
              <w:t>Неусвајање закона</w:t>
            </w:r>
            <w:r>
              <w:rPr>
                <w:b/>
                <w:sz w:val="20"/>
              </w:rPr>
              <w:t xml:space="preserve"> </w:t>
            </w:r>
          </w:p>
        </w:tc>
        <w:tc>
          <w:tcPr>
            <w:tcW w:w="2201"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2" w:right="0" w:firstLine="0"/>
              <w:jc w:val="left"/>
            </w:pPr>
            <w:r>
              <w:rPr>
                <w:sz w:val="20"/>
              </w:rPr>
              <w:t>Средња</w:t>
            </w:r>
            <w:r>
              <w:rPr>
                <w:b/>
                <w:sz w:val="20"/>
              </w:rPr>
              <w:t xml:space="preserve"> </w:t>
            </w:r>
          </w:p>
        </w:tc>
        <w:tc>
          <w:tcPr>
            <w:tcW w:w="4165"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0" w:firstLine="0"/>
              <w:jc w:val="left"/>
            </w:pPr>
            <w:r>
              <w:rPr>
                <w:sz w:val="20"/>
              </w:rPr>
              <w:t>Пољопривредна политика креирана на начин да подржава мере које су наведене кроз Закон о подстицајима у пољопривреди</w:t>
            </w:r>
            <w:r>
              <w:rPr>
                <w:b/>
                <w:sz w:val="20"/>
              </w:rPr>
              <w:t xml:space="preserve"> </w:t>
            </w:r>
          </w:p>
        </w:tc>
      </w:tr>
    </w:tbl>
    <w:p w:rsidR="00E8309B" w:rsidRDefault="009D0949">
      <w:pPr>
        <w:spacing w:after="156"/>
        <w:ind w:left="-5" w:right="17"/>
      </w:pPr>
      <w:r>
        <w:rPr>
          <w:b/>
          <w:u w:val="single" w:color="000000"/>
        </w:rPr>
        <w:t>СТРУКТУРНА РЕФОРМА 7:</w:t>
      </w:r>
      <w:r>
        <w:rPr>
          <w:b/>
        </w:rPr>
        <w:t xml:space="preserve"> </w:t>
      </w:r>
      <w:r>
        <w:t xml:space="preserve">ПОДИЗАЊЕ КОНКУРЕНТНОСТИ ИНДУСТРИЈЕ </w:t>
      </w:r>
    </w:p>
    <w:p w:rsidR="00E8309B" w:rsidRDefault="009D0949">
      <w:pPr>
        <w:numPr>
          <w:ilvl w:val="0"/>
          <w:numId w:val="20"/>
        </w:numPr>
        <w:spacing w:after="79" w:line="271" w:lineRule="auto"/>
        <w:ind w:right="9" w:hanging="360"/>
      </w:pPr>
      <w:r>
        <w:rPr>
          <w:b/>
        </w:rPr>
        <w:t xml:space="preserve">Опис структурне реформе </w:t>
      </w:r>
    </w:p>
    <w:p w:rsidR="00E8309B" w:rsidRDefault="009D0949">
      <w:pPr>
        <w:ind w:left="-5" w:right="17"/>
      </w:pPr>
      <w:r>
        <w:t xml:space="preserve">Ова реформа ће помоћи стварању фокусиране и боље координисане политике развоја индустрије, као и унапређењу ефикасности инструмената за њену имплементацију. Реформа обухвата спровођење мера дефинисаних Стратегијом индустријске политике Републике Србије од </w:t>
      </w:r>
      <w:r>
        <w:t>2021. до 2030. године која је усвојена 5. марта 2020. године. Визија наведене стратегије је отворена, регионално и глобално конкурентна, инвестиционо активна, образована, иновативна и дигитално трансформисана индустрија Републике Србије која снажно подржав</w:t>
      </w:r>
      <w:r>
        <w:t>а привредни раст и подизање квалитета живота њених грађана. Општи циљ индустријске политике је подизање конкурентности индустрије Републике Србије. Овај циљ директно подржава остварење претходно дефинисане визије. Конкретно, конкурентна индустрија Републик</w:t>
      </w:r>
      <w:r>
        <w:t xml:space="preserve">е Србије даје значајан допринос високом одрживом економском расту, мереном стопом раста националног БДП и бољем квалитету живота грађана Републике Србије, мереним висином БДП по становнику. Реформа је повезана са </w:t>
      </w:r>
      <w:r>
        <w:rPr>
          <w:b/>
        </w:rPr>
        <w:t>ЦОР 9.</w:t>
      </w:r>
      <w:r>
        <w:t xml:space="preserve"> Изградити отпорну инфраструктуру, пр</w:t>
      </w:r>
      <w:r>
        <w:t xml:space="preserve">омовисати инклузивну и одрживу индустријализацију и подстицати иновације, односно доприноси остваривању </w:t>
      </w:r>
      <w:r>
        <w:rPr>
          <w:b/>
        </w:rPr>
        <w:t xml:space="preserve">ЦОР 9.2. </w:t>
      </w:r>
      <w:r>
        <w:t>Промовисати инклузивну и одрживу индустријализацију и до 2030. значајно повећати удео индустрије у стопи запослености и бруто домаћем производу</w:t>
      </w:r>
      <w:r>
        <w:t xml:space="preserve">. </w:t>
      </w:r>
    </w:p>
    <w:p w:rsidR="00E8309B" w:rsidRDefault="009D0949">
      <w:pPr>
        <w:spacing w:after="153"/>
        <w:ind w:left="-5" w:right="17"/>
      </w:pPr>
      <w:r>
        <w:t>Акциони план за спровођење наведене стратегије ће подржати налазе Стратегије паметне специјализације, а посебан акценат ће бити на дигиталној трансформацији, квалитету инвестиција и унапређењу технолошке структуре извоза, уз подршку за прелазак од линеа</w:t>
      </w:r>
      <w:r>
        <w:t xml:space="preserve">рне ка циркуларној економији. </w:t>
      </w:r>
    </w:p>
    <w:p w:rsidR="00E8309B" w:rsidRDefault="009D0949">
      <w:pPr>
        <w:numPr>
          <w:ilvl w:val="0"/>
          <w:numId w:val="20"/>
        </w:numPr>
        <w:spacing w:after="79" w:line="271" w:lineRule="auto"/>
        <w:ind w:right="9" w:hanging="360"/>
      </w:pPr>
      <w:r>
        <w:rPr>
          <w:b/>
        </w:rPr>
        <w:t xml:space="preserve">Ковид-19 – ефекти, мере и изазови </w:t>
      </w:r>
    </w:p>
    <w:p w:rsidR="00E8309B" w:rsidRDefault="009D0949">
      <w:pPr>
        <w:ind w:left="-5" w:right="17"/>
      </w:pPr>
      <w:r>
        <w:t>Највећи негативни ефекти пандемије корона вируса у привредној активности осетили су се у априлу, док је од маја уследио опоравак, чији је тренд настављен и у периоду јун-август, подстакнут п</w:t>
      </w:r>
      <w:r>
        <w:t xml:space="preserve">редузетим мерама Владе. Услед правовремено спроведених мера, у већини производних и услужних делатности опоравак је био бржи од очекиваног. </w:t>
      </w:r>
    </w:p>
    <w:p w:rsidR="00E8309B" w:rsidRDefault="009D0949">
      <w:pPr>
        <w:spacing w:after="9"/>
        <w:ind w:left="-5" w:right="17"/>
      </w:pPr>
      <w:r>
        <w:t>Поред наведених мера Владе, препорука за побољшање перформанси привреде и обезбеђивање услова за бржи раст у новона</w:t>
      </w:r>
      <w:r>
        <w:t>сталим околностима је свакако интензивирање реализације мера и активности предвиђених Акционим планом за спровођење Стратегије индустријске политике Републике Србије од 2021-2030. године, а нарочито активности на дигиталној трансформацији привреде, подстиц</w:t>
      </w:r>
      <w:r>
        <w:t xml:space="preserve">ању инвестиција у средње и високе технологије и унапређењу животне средине. </w:t>
      </w:r>
    </w:p>
    <w:p w:rsidR="00E8309B" w:rsidRDefault="009D0949">
      <w:pPr>
        <w:spacing w:after="0" w:line="259" w:lineRule="auto"/>
        <w:ind w:left="0" w:right="0" w:firstLine="0"/>
        <w:jc w:val="left"/>
      </w:pPr>
      <w:r>
        <w:t xml:space="preserve"> </w:t>
      </w:r>
      <w:r>
        <w:tab/>
        <w:t xml:space="preserve"> </w:t>
      </w:r>
    </w:p>
    <w:p w:rsidR="00E8309B" w:rsidRDefault="009D0949">
      <w:pPr>
        <w:numPr>
          <w:ilvl w:val="0"/>
          <w:numId w:val="20"/>
        </w:numPr>
        <w:spacing w:after="0" w:line="271" w:lineRule="auto"/>
        <w:ind w:right="9" w:hanging="360"/>
      </w:pPr>
      <w:r>
        <w:rPr>
          <w:b/>
        </w:rPr>
        <w:t xml:space="preserve">Планиране активности по годинама </w:t>
      </w:r>
    </w:p>
    <w:tbl>
      <w:tblPr>
        <w:tblStyle w:val="TableGrid"/>
        <w:tblW w:w="9639" w:type="dxa"/>
        <w:tblInd w:w="0" w:type="dxa"/>
        <w:tblCellMar>
          <w:top w:w="8" w:type="dxa"/>
          <w:left w:w="60" w:type="dxa"/>
          <w:bottom w:w="0" w:type="dxa"/>
          <w:right w:w="5" w:type="dxa"/>
        </w:tblCellMar>
        <w:tblLook w:val="04A0" w:firstRow="1" w:lastRow="0" w:firstColumn="1" w:lastColumn="0" w:noHBand="0" w:noVBand="1"/>
      </w:tblPr>
      <w:tblGrid>
        <w:gridCol w:w="428"/>
        <w:gridCol w:w="4137"/>
        <w:gridCol w:w="420"/>
        <w:gridCol w:w="425"/>
        <w:gridCol w:w="422"/>
        <w:gridCol w:w="422"/>
        <w:gridCol w:w="425"/>
        <w:gridCol w:w="422"/>
        <w:gridCol w:w="423"/>
        <w:gridCol w:w="422"/>
        <w:gridCol w:w="425"/>
        <w:gridCol w:w="422"/>
        <w:gridCol w:w="423"/>
        <w:gridCol w:w="423"/>
      </w:tblGrid>
      <w:tr w:rsidR="00E8309B">
        <w:trPr>
          <w:trHeight w:val="332"/>
        </w:trPr>
        <w:tc>
          <w:tcPr>
            <w:tcW w:w="427" w:type="dxa"/>
            <w:vMerge w:val="restart"/>
            <w:tcBorders>
              <w:top w:val="single" w:sz="8" w:space="0" w:color="000000"/>
              <w:left w:val="single" w:sz="8" w:space="0" w:color="000000"/>
              <w:bottom w:val="single" w:sz="8" w:space="0" w:color="000000"/>
              <w:right w:val="single" w:sz="8" w:space="0" w:color="000000"/>
            </w:tcBorders>
            <w:vAlign w:val="center"/>
          </w:tcPr>
          <w:p w:rsidR="00E8309B" w:rsidRDefault="009D0949">
            <w:pPr>
              <w:spacing w:after="0" w:line="259" w:lineRule="auto"/>
              <w:ind w:left="27" w:right="0" w:firstLine="0"/>
            </w:pPr>
            <w:r>
              <w:rPr>
                <w:b/>
                <w:sz w:val="20"/>
              </w:rPr>
              <w:lastRenderedPageBreak/>
              <w:t xml:space="preserve">РБ </w:t>
            </w:r>
          </w:p>
        </w:tc>
        <w:tc>
          <w:tcPr>
            <w:tcW w:w="4137" w:type="dxa"/>
            <w:vMerge w:val="restart"/>
            <w:tcBorders>
              <w:top w:val="single" w:sz="8" w:space="0" w:color="000000"/>
              <w:left w:val="single" w:sz="8" w:space="0" w:color="000000"/>
              <w:bottom w:val="single" w:sz="8" w:space="0" w:color="000000"/>
              <w:right w:val="single" w:sz="8" w:space="0" w:color="000000"/>
            </w:tcBorders>
            <w:vAlign w:val="center"/>
          </w:tcPr>
          <w:p w:rsidR="00E8309B" w:rsidRDefault="009D0949">
            <w:pPr>
              <w:spacing w:after="0" w:line="259" w:lineRule="auto"/>
              <w:ind w:left="0" w:right="0" w:firstLine="0"/>
              <w:jc w:val="left"/>
            </w:pPr>
            <w:r>
              <w:rPr>
                <w:b/>
                <w:sz w:val="20"/>
              </w:rPr>
              <w:t xml:space="preserve">Планиране активности </w:t>
            </w:r>
          </w:p>
        </w:tc>
        <w:tc>
          <w:tcPr>
            <w:tcW w:w="420" w:type="dxa"/>
            <w:tcBorders>
              <w:top w:val="single" w:sz="8" w:space="0" w:color="000000"/>
              <w:left w:val="single" w:sz="8" w:space="0" w:color="000000"/>
              <w:bottom w:val="single" w:sz="4" w:space="0" w:color="000000"/>
              <w:right w:val="nil"/>
            </w:tcBorders>
          </w:tcPr>
          <w:p w:rsidR="00E8309B" w:rsidRDefault="00E8309B">
            <w:pPr>
              <w:spacing w:after="160" w:line="259" w:lineRule="auto"/>
              <w:ind w:left="0" w:right="0" w:firstLine="0"/>
              <w:jc w:val="left"/>
            </w:pPr>
          </w:p>
        </w:tc>
        <w:tc>
          <w:tcPr>
            <w:tcW w:w="847" w:type="dxa"/>
            <w:gridSpan w:val="2"/>
            <w:tcBorders>
              <w:top w:val="single" w:sz="8" w:space="0" w:color="000000"/>
              <w:left w:val="nil"/>
              <w:bottom w:val="single" w:sz="4" w:space="0" w:color="000000"/>
              <w:right w:val="nil"/>
            </w:tcBorders>
          </w:tcPr>
          <w:p w:rsidR="00E8309B" w:rsidRDefault="009D0949">
            <w:pPr>
              <w:spacing w:after="0" w:line="259" w:lineRule="auto"/>
              <w:ind w:left="0" w:right="51" w:firstLine="0"/>
              <w:jc w:val="center"/>
            </w:pPr>
            <w:r>
              <w:rPr>
                <w:b/>
                <w:sz w:val="20"/>
              </w:rPr>
              <w:t xml:space="preserve">2021 </w:t>
            </w:r>
          </w:p>
        </w:tc>
        <w:tc>
          <w:tcPr>
            <w:tcW w:w="422" w:type="dxa"/>
            <w:tcBorders>
              <w:top w:val="single" w:sz="8" w:space="0" w:color="000000"/>
              <w:left w:val="nil"/>
              <w:bottom w:val="single" w:sz="4" w:space="0" w:color="000000"/>
              <w:right w:val="single" w:sz="8" w:space="0" w:color="000000"/>
            </w:tcBorders>
          </w:tcPr>
          <w:p w:rsidR="00E8309B" w:rsidRDefault="00E8309B">
            <w:pPr>
              <w:spacing w:after="160" w:line="259" w:lineRule="auto"/>
              <w:ind w:left="0" w:right="0" w:firstLine="0"/>
              <w:jc w:val="left"/>
            </w:pPr>
          </w:p>
        </w:tc>
        <w:tc>
          <w:tcPr>
            <w:tcW w:w="425" w:type="dxa"/>
            <w:tcBorders>
              <w:top w:val="single" w:sz="8" w:space="0" w:color="000000"/>
              <w:left w:val="single" w:sz="8" w:space="0" w:color="000000"/>
              <w:bottom w:val="single" w:sz="4" w:space="0" w:color="000000"/>
              <w:right w:val="nil"/>
            </w:tcBorders>
          </w:tcPr>
          <w:p w:rsidR="00E8309B" w:rsidRDefault="00E8309B">
            <w:pPr>
              <w:spacing w:after="160" w:line="259" w:lineRule="auto"/>
              <w:ind w:left="0" w:right="0" w:firstLine="0"/>
              <w:jc w:val="left"/>
            </w:pPr>
          </w:p>
        </w:tc>
        <w:tc>
          <w:tcPr>
            <w:tcW w:w="845" w:type="dxa"/>
            <w:gridSpan w:val="2"/>
            <w:tcBorders>
              <w:top w:val="single" w:sz="8" w:space="0" w:color="000000"/>
              <w:left w:val="nil"/>
              <w:bottom w:val="single" w:sz="4" w:space="0" w:color="000000"/>
              <w:right w:val="nil"/>
            </w:tcBorders>
          </w:tcPr>
          <w:p w:rsidR="00E8309B" w:rsidRDefault="009D0949">
            <w:pPr>
              <w:spacing w:after="0" w:line="259" w:lineRule="auto"/>
              <w:ind w:left="0" w:right="49" w:firstLine="0"/>
              <w:jc w:val="center"/>
            </w:pPr>
            <w:r>
              <w:rPr>
                <w:b/>
                <w:sz w:val="20"/>
              </w:rPr>
              <w:t xml:space="preserve">2022 </w:t>
            </w:r>
          </w:p>
        </w:tc>
        <w:tc>
          <w:tcPr>
            <w:tcW w:w="422" w:type="dxa"/>
            <w:tcBorders>
              <w:top w:val="single" w:sz="8" w:space="0" w:color="000000"/>
              <w:left w:val="nil"/>
              <w:bottom w:val="single" w:sz="4" w:space="0" w:color="000000"/>
              <w:right w:val="single" w:sz="8" w:space="0" w:color="000000"/>
            </w:tcBorders>
          </w:tcPr>
          <w:p w:rsidR="00E8309B" w:rsidRDefault="00E8309B">
            <w:pPr>
              <w:spacing w:after="160" w:line="259" w:lineRule="auto"/>
              <w:ind w:left="0" w:right="0" w:firstLine="0"/>
              <w:jc w:val="left"/>
            </w:pPr>
          </w:p>
        </w:tc>
        <w:tc>
          <w:tcPr>
            <w:tcW w:w="425" w:type="dxa"/>
            <w:tcBorders>
              <w:top w:val="single" w:sz="8" w:space="0" w:color="000000"/>
              <w:left w:val="single" w:sz="8" w:space="0" w:color="000000"/>
              <w:bottom w:val="single" w:sz="4" w:space="0" w:color="000000"/>
              <w:right w:val="nil"/>
            </w:tcBorders>
          </w:tcPr>
          <w:p w:rsidR="00E8309B" w:rsidRDefault="00E8309B">
            <w:pPr>
              <w:spacing w:after="160" w:line="259" w:lineRule="auto"/>
              <w:ind w:left="0" w:right="0" w:firstLine="0"/>
              <w:jc w:val="left"/>
            </w:pPr>
          </w:p>
        </w:tc>
        <w:tc>
          <w:tcPr>
            <w:tcW w:w="845" w:type="dxa"/>
            <w:gridSpan w:val="2"/>
            <w:tcBorders>
              <w:top w:val="single" w:sz="8" w:space="0" w:color="000000"/>
              <w:left w:val="nil"/>
              <w:bottom w:val="single" w:sz="4" w:space="0" w:color="000000"/>
              <w:right w:val="nil"/>
            </w:tcBorders>
          </w:tcPr>
          <w:p w:rsidR="00E8309B" w:rsidRDefault="009D0949">
            <w:pPr>
              <w:spacing w:after="0" w:line="259" w:lineRule="auto"/>
              <w:ind w:left="0" w:right="49" w:firstLine="0"/>
              <w:jc w:val="center"/>
            </w:pPr>
            <w:r>
              <w:rPr>
                <w:b/>
                <w:sz w:val="20"/>
              </w:rPr>
              <w:t xml:space="preserve">2023 </w:t>
            </w:r>
          </w:p>
        </w:tc>
        <w:tc>
          <w:tcPr>
            <w:tcW w:w="423" w:type="dxa"/>
            <w:tcBorders>
              <w:top w:val="single" w:sz="8" w:space="0" w:color="000000"/>
              <w:left w:val="nil"/>
              <w:bottom w:val="single" w:sz="4" w:space="0" w:color="000000"/>
              <w:right w:val="single" w:sz="8" w:space="0" w:color="000000"/>
            </w:tcBorders>
          </w:tcPr>
          <w:p w:rsidR="00E8309B" w:rsidRDefault="00E8309B">
            <w:pPr>
              <w:spacing w:after="160" w:line="259" w:lineRule="auto"/>
              <w:ind w:left="0" w:right="0" w:firstLine="0"/>
              <w:jc w:val="left"/>
            </w:pPr>
          </w:p>
        </w:tc>
      </w:tr>
      <w:tr w:rsidR="00E8309B">
        <w:trPr>
          <w:trHeight w:val="326"/>
        </w:trPr>
        <w:tc>
          <w:tcPr>
            <w:tcW w:w="0" w:type="auto"/>
            <w:vMerge/>
            <w:tcBorders>
              <w:top w:val="nil"/>
              <w:left w:val="single" w:sz="8" w:space="0" w:color="000000"/>
              <w:bottom w:val="single" w:sz="8" w:space="0" w:color="000000"/>
              <w:right w:val="single" w:sz="8" w:space="0" w:color="000000"/>
            </w:tcBorders>
          </w:tcPr>
          <w:p w:rsidR="00E8309B" w:rsidRDefault="00E8309B">
            <w:pPr>
              <w:spacing w:after="160" w:line="259" w:lineRule="auto"/>
              <w:ind w:left="0" w:right="0" w:firstLine="0"/>
              <w:jc w:val="left"/>
            </w:pPr>
          </w:p>
        </w:tc>
        <w:tc>
          <w:tcPr>
            <w:tcW w:w="0" w:type="auto"/>
            <w:vMerge/>
            <w:tcBorders>
              <w:top w:val="nil"/>
              <w:left w:val="single" w:sz="8" w:space="0" w:color="000000"/>
              <w:bottom w:val="single" w:sz="8" w:space="0" w:color="000000"/>
              <w:right w:val="single" w:sz="8" w:space="0" w:color="000000"/>
            </w:tcBorders>
          </w:tcPr>
          <w:p w:rsidR="00E8309B" w:rsidRDefault="00E8309B">
            <w:pPr>
              <w:spacing w:after="160" w:line="259" w:lineRule="auto"/>
              <w:ind w:left="0" w:right="0" w:firstLine="0"/>
              <w:jc w:val="left"/>
            </w:pPr>
          </w:p>
        </w:tc>
        <w:tc>
          <w:tcPr>
            <w:tcW w:w="420" w:type="dxa"/>
            <w:tcBorders>
              <w:top w:val="single" w:sz="4" w:space="0" w:color="000000"/>
              <w:left w:val="single" w:sz="8" w:space="0" w:color="000000"/>
              <w:bottom w:val="single" w:sz="8" w:space="0" w:color="000000"/>
              <w:right w:val="single" w:sz="4" w:space="0" w:color="000000"/>
            </w:tcBorders>
          </w:tcPr>
          <w:p w:rsidR="00E8309B" w:rsidRDefault="009D0949">
            <w:pPr>
              <w:spacing w:after="0" w:line="259" w:lineRule="auto"/>
              <w:ind w:left="40" w:right="0" w:firstLine="0"/>
              <w:jc w:val="left"/>
            </w:pPr>
            <w:r>
              <w:rPr>
                <w:i/>
                <w:sz w:val="18"/>
              </w:rPr>
              <w:t xml:space="preserve">Q1 </w:t>
            </w:r>
          </w:p>
        </w:tc>
        <w:tc>
          <w:tcPr>
            <w:tcW w:w="425" w:type="dxa"/>
            <w:tcBorders>
              <w:top w:val="single" w:sz="4" w:space="0" w:color="000000"/>
              <w:left w:val="single" w:sz="4" w:space="0" w:color="000000"/>
              <w:bottom w:val="single" w:sz="8" w:space="0" w:color="000000"/>
              <w:right w:val="single" w:sz="4" w:space="0" w:color="000000"/>
            </w:tcBorders>
          </w:tcPr>
          <w:p w:rsidR="00E8309B" w:rsidRDefault="009D0949">
            <w:pPr>
              <w:spacing w:after="0" w:line="259" w:lineRule="auto"/>
              <w:ind w:left="42" w:right="0" w:firstLine="0"/>
              <w:jc w:val="left"/>
            </w:pPr>
            <w:r>
              <w:rPr>
                <w:i/>
                <w:sz w:val="18"/>
              </w:rPr>
              <w:t xml:space="preserve">Q2 </w:t>
            </w:r>
          </w:p>
        </w:tc>
        <w:tc>
          <w:tcPr>
            <w:tcW w:w="422" w:type="dxa"/>
            <w:tcBorders>
              <w:top w:val="single" w:sz="4" w:space="0" w:color="000000"/>
              <w:left w:val="single" w:sz="4" w:space="0" w:color="000000"/>
              <w:bottom w:val="single" w:sz="8" w:space="0" w:color="000000"/>
              <w:right w:val="single" w:sz="4" w:space="0" w:color="000000"/>
            </w:tcBorders>
          </w:tcPr>
          <w:p w:rsidR="00E8309B" w:rsidRDefault="009D0949">
            <w:pPr>
              <w:spacing w:after="0" w:line="259" w:lineRule="auto"/>
              <w:ind w:left="42" w:right="0" w:firstLine="0"/>
              <w:jc w:val="left"/>
            </w:pPr>
            <w:r>
              <w:rPr>
                <w:i/>
                <w:sz w:val="18"/>
              </w:rPr>
              <w:t xml:space="preserve">Q3 </w:t>
            </w:r>
          </w:p>
        </w:tc>
        <w:tc>
          <w:tcPr>
            <w:tcW w:w="422" w:type="dxa"/>
            <w:tcBorders>
              <w:top w:val="single" w:sz="4" w:space="0" w:color="000000"/>
              <w:left w:val="single" w:sz="4" w:space="0" w:color="000000"/>
              <w:bottom w:val="single" w:sz="8" w:space="0" w:color="000000"/>
              <w:right w:val="single" w:sz="8" w:space="0" w:color="000000"/>
            </w:tcBorders>
          </w:tcPr>
          <w:p w:rsidR="00E8309B" w:rsidRDefault="009D0949">
            <w:pPr>
              <w:spacing w:after="0" w:line="259" w:lineRule="auto"/>
              <w:ind w:left="42" w:right="0" w:firstLine="0"/>
              <w:jc w:val="left"/>
            </w:pPr>
            <w:r>
              <w:rPr>
                <w:i/>
                <w:sz w:val="18"/>
              </w:rPr>
              <w:t xml:space="preserve">Q4 </w:t>
            </w:r>
          </w:p>
        </w:tc>
        <w:tc>
          <w:tcPr>
            <w:tcW w:w="425" w:type="dxa"/>
            <w:tcBorders>
              <w:top w:val="single" w:sz="4" w:space="0" w:color="000000"/>
              <w:left w:val="single" w:sz="8" w:space="0" w:color="000000"/>
              <w:bottom w:val="single" w:sz="8" w:space="0" w:color="000000"/>
              <w:right w:val="single" w:sz="4" w:space="0" w:color="000000"/>
            </w:tcBorders>
          </w:tcPr>
          <w:p w:rsidR="00E8309B" w:rsidRDefault="009D0949">
            <w:pPr>
              <w:spacing w:after="0" w:line="259" w:lineRule="auto"/>
              <w:ind w:left="44" w:right="0" w:firstLine="0"/>
              <w:jc w:val="left"/>
            </w:pPr>
            <w:r>
              <w:rPr>
                <w:i/>
                <w:sz w:val="18"/>
              </w:rPr>
              <w:t xml:space="preserve">Q1 </w:t>
            </w:r>
          </w:p>
        </w:tc>
        <w:tc>
          <w:tcPr>
            <w:tcW w:w="422" w:type="dxa"/>
            <w:tcBorders>
              <w:top w:val="single" w:sz="4" w:space="0" w:color="000000"/>
              <w:left w:val="single" w:sz="4" w:space="0" w:color="000000"/>
              <w:bottom w:val="single" w:sz="8" w:space="0" w:color="000000"/>
              <w:right w:val="single" w:sz="4" w:space="0" w:color="000000"/>
            </w:tcBorders>
          </w:tcPr>
          <w:p w:rsidR="00E8309B" w:rsidRDefault="009D0949">
            <w:pPr>
              <w:spacing w:after="0" w:line="259" w:lineRule="auto"/>
              <w:ind w:left="42" w:right="0" w:firstLine="0"/>
              <w:jc w:val="left"/>
            </w:pPr>
            <w:r>
              <w:rPr>
                <w:i/>
                <w:sz w:val="18"/>
              </w:rPr>
              <w:t xml:space="preserve">Q2 </w:t>
            </w:r>
          </w:p>
        </w:tc>
        <w:tc>
          <w:tcPr>
            <w:tcW w:w="423" w:type="dxa"/>
            <w:tcBorders>
              <w:top w:val="single" w:sz="4" w:space="0" w:color="000000"/>
              <w:left w:val="single" w:sz="4" w:space="0" w:color="000000"/>
              <w:bottom w:val="single" w:sz="8" w:space="0" w:color="000000"/>
              <w:right w:val="single" w:sz="4" w:space="0" w:color="000000"/>
            </w:tcBorders>
          </w:tcPr>
          <w:p w:rsidR="00E8309B" w:rsidRDefault="009D0949">
            <w:pPr>
              <w:spacing w:after="0" w:line="259" w:lineRule="auto"/>
              <w:ind w:left="42" w:right="0" w:firstLine="0"/>
              <w:jc w:val="left"/>
            </w:pPr>
            <w:r>
              <w:rPr>
                <w:i/>
                <w:sz w:val="18"/>
              </w:rPr>
              <w:t xml:space="preserve">Q3 </w:t>
            </w:r>
          </w:p>
        </w:tc>
        <w:tc>
          <w:tcPr>
            <w:tcW w:w="422" w:type="dxa"/>
            <w:tcBorders>
              <w:top w:val="single" w:sz="4" w:space="0" w:color="000000"/>
              <w:left w:val="single" w:sz="4" w:space="0" w:color="000000"/>
              <w:bottom w:val="single" w:sz="8" w:space="0" w:color="000000"/>
              <w:right w:val="single" w:sz="8" w:space="0" w:color="000000"/>
            </w:tcBorders>
          </w:tcPr>
          <w:p w:rsidR="00E8309B" w:rsidRDefault="009D0949">
            <w:pPr>
              <w:spacing w:after="0" w:line="259" w:lineRule="auto"/>
              <w:ind w:left="42" w:right="0" w:firstLine="0"/>
              <w:jc w:val="left"/>
            </w:pPr>
            <w:r>
              <w:rPr>
                <w:i/>
                <w:sz w:val="18"/>
              </w:rPr>
              <w:t xml:space="preserve">Q4 </w:t>
            </w:r>
          </w:p>
        </w:tc>
        <w:tc>
          <w:tcPr>
            <w:tcW w:w="425" w:type="dxa"/>
            <w:tcBorders>
              <w:top w:val="single" w:sz="4" w:space="0" w:color="000000"/>
              <w:left w:val="single" w:sz="8" w:space="0" w:color="000000"/>
              <w:bottom w:val="single" w:sz="8" w:space="0" w:color="000000"/>
              <w:right w:val="single" w:sz="4" w:space="0" w:color="000000"/>
            </w:tcBorders>
          </w:tcPr>
          <w:p w:rsidR="00E8309B" w:rsidRDefault="009D0949">
            <w:pPr>
              <w:spacing w:after="0" w:line="259" w:lineRule="auto"/>
              <w:ind w:left="44" w:right="0" w:firstLine="0"/>
              <w:jc w:val="left"/>
            </w:pPr>
            <w:r>
              <w:rPr>
                <w:i/>
                <w:sz w:val="18"/>
              </w:rPr>
              <w:t xml:space="preserve">Q1 </w:t>
            </w:r>
          </w:p>
        </w:tc>
        <w:tc>
          <w:tcPr>
            <w:tcW w:w="422" w:type="dxa"/>
            <w:tcBorders>
              <w:top w:val="single" w:sz="4" w:space="0" w:color="000000"/>
              <w:left w:val="single" w:sz="4" w:space="0" w:color="000000"/>
              <w:bottom w:val="single" w:sz="8" w:space="0" w:color="000000"/>
              <w:right w:val="single" w:sz="4" w:space="0" w:color="000000"/>
            </w:tcBorders>
          </w:tcPr>
          <w:p w:rsidR="00E8309B" w:rsidRDefault="009D0949">
            <w:pPr>
              <w:spacing w:after="0" w:line="259" w:lineRule="auto"/>
              <w:ind w:left="42" w:right="0" w:firstLine="0"/>
              <w:jc w:val="left"/>
            </w:pPr>
            <w:r>
              <w:rPr>
                <w:i/>
                <w:sz w:val="18"/>
              </w:rPr>
              <w:t xml:space="preserve">Q2 </w:t>
            </w:r>
          </w:p>
        </w:tc>
        <w:tc>
          <w:tcPr>
            <w:tcW w:w="422" w:type="dxa"/>
            <w:tcBorders>
              <w:top w:val="single" w:sz="4" w:space="0" w:color="000000"/>
              <w:left w:val="single" w:sz="4" w:space="0" w:color="000000"/>
              <w:bottom w:val="single" w:sz="8" w:space="0" w:color="000000"/>
              <w:right w:val="single" w:sz="4" w:space="0" w:color="000000"/>
            </w:tcBorders>
          </w:tcPr>
          <w:p w:rsidR="00E8309B" w:rsidRDefault="009D0949">
            <w:pPr>
              <w:spacing w:after="0" w:line="259" w:lineRule="auto"/>
              <w:ind w:left="42" w:right="0" w:firstLine="0"/>
              <w:jc w:val="left"/>
            </w:pPr>
            <w:r>
              <w:rPr>
                <w:i/>
                <w:sz w:val="18"/>
              </w:rPr>
              <w:t xml:space="preserve">Q3 </w:t>
            </w:r>
          </w:p>
        </w:tc>
        <w:tc>
          <w:tcPr>
            <w:tcW w:w="423" w:type="dxa"/>
            <w:tcBorders>
              <w:top w:val="single" w:sz="4" w:space="0" w:color="000000"/>
              <w:left w:val="single" w:sz="4" w:space="0" w:color="000000"/>
              <w:bottom w:val="single" w:sz="8" w:space="0" w:color="000000"/>
              <w:right w:val="single" w:sz="8" w:space="0" w:color="000000"/>
            </w:tcBorders>
          </w:tcPr>
          <w:p w:rsidR="00E8309B" w:rsidRDefault="009D0949">
            <w:pPr>
              <w:spacing w:after="0" w:line="259" w:lineRule="auto"/>
              <w:ind w:left="42" w:right="0" w:firstLine="0"/>
              <w:jc w:val="left"/>
            </w:pPr>
            <w:r>
              <w:rPr>
                <w:i/>
                <w:sz w:val="18"/>
              </w:rPr>
              <w:t xml:space="preserve">Q4 </w:t>
            </w:r>
          </w:p>
        </w:tc>
      </w:tr>
      <w:tr w:rsidR="00E8309B">
        <w:trPr>
          <w:trHeight w:val="1163"/>
        </w:trPr>
        <w:tc>
          <w:tcPr>
            <w:tcW w:w="427" w:type="dxa"/>
            <w:tcBorders>
              <w:top w:val="single" w:sz="8" w:space="0" w:color="000000"/>
              <w:left w:val="single" w:sz="8" w:space="0" w:color="000000"/>
              <w:bottom w:val="single" w:sz="4" w:space="0" w:color="000000"/>
              <w:right w:val="single" w:sz="8" w:space="0" w:color="000000"/>
            </w:tcBorders>
          </w:tcPr>
          <w:p w:rsidR="00E8309B" w:rsidRDefault="009D0949">
            <w:pPr>
              <w:spacing w:after="0" w:line="259" w:lineRule="auto"/>
              <w:ind w:left="0" w:right="51" w:firstLine="0"/>
              <w:jc w:val="right"/>
            </w:pPr>
            <w:r>
              <w:rPr>
                <w:sz w:val="20"/>
              </w:rPr>
              <w:t xml:space="preserve">1 </w:t>
            </w:r>
          </w:p>
        </w:tc>
        <w:tc>
          <w:tcPr>
            <w:tcW w:w="4137" w:type="dxa"/>
            <w:tcBorders>
              <w:top w:val="single" w:sz="8" w:space="0" w:color="000000"/>
              <w:left w:val="single" w:sz="8" w:space="0" w:color="000000"/>
              <w:bottom w:val="single" w:sz="4" w:space="0" w:color="000000"/>
              <w:right w:val="single" w:sz="8" w:space="0" w:color="000000"/>
            </w:tcBorders>
          </w:tcPr>
          <w:p w:rsidR="00E8309B" w:rsidRDefault="009D0949">
            <w:pPr>
              <w:spacing w:after="0" w:line="259" w:lineRule="auto"/>
              <w:ind w:left="0" w:right="0" w:firstLine="0"/>
              <w:jc w:val="left"/>
            </w:pPr>
            <w:r>
              <w:rPr>
                <w:sz w:val="20"/>
              </w:rPr>
              <w:t xml:space="preserve">Промоција и едукација у области </w:t>
            </w:r>
          </w:p>
          <w:p w:rsidR="00E8309B" w:rsidRDefault="009D0949">
            <w:pPr>
              <w:spacing w:after="0" w:line="240" w:lineRule="auto"/>
              <w:ind w:left="0" w:right="0" w:firstLine="0"/>
              <w:jc w:val="left"/>
            </w:pPr>
            <w:r>
              <w:rPr>
                <w:sz w:val="20"/>
              </w:rPr>
              <w:t xml:space="preserve">дигитализације пословања, уз спровођење Програма подршке дигиталној </w:t>
            </w:r>
          </w:p>
          <w:p w:rsidR="00E8309B" w:rsidRDefault="009D0949">
            <w:pPr>
              <w:spacing w:after="0" w:line="259" w:lineRule="auto"/>
              <w:ind w:left="0" w:right="0" w:firstLine="0"/>
              <w:jc w:val="left"/>
            </w:pPr>
            <w:r>
              <w:rPr>
                <w:sz w:val="20"/>
              </w:rPr>
              <w:t xml:space="preserve">трансформацији индустрије у Републици Србији </w:t>
            </w:r>
          </w:p>
        </w:tc>
        <w:tc>
          <w:tcPr>
            <w:tcW w:w="420" w:type="dxa"/>
            <w:tcBorders>
              <w:top w:val="single" w:sz="8" w:space="0" w:color="000000"/>
              <w:left w:val="single" w:sz="8"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0" w:right="5" w:firstLine="0"/>
              <w:jc w:val="center"/>
            </w:pPr>
            <w:r>
              <w:rPr>
                <w:sz w:val="20"/>
              </w:rPr>
              <w:t xml:space="preserve"> </w:t>
            </w:r>
          </w:p>
        </w:tc>
        <w:tc>
          <w:tcPr>
            <w:tcW w:w="425" w:type="dxa"/>
            <w:tcBorders>
              <w:top w:val="single" w:sz="8" w:space="0" w:color="000000"/>
              <w:left w:val="single" w:sz="4"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0" w:right="5" w:firstLine="0"/>
              <w:jc w:val="center"/>
            </w:pPr>
            <w:r>
              <w:rPr>
                <w:sz w:val="20"/>
              </w:rPr>
              <w:t xml:space="preserve"> </w:t>
            </w:r>
          </w:p>
        </w:tc>
        <w:tc>
          <w:tcPr>
            <w:tcW w:w="422" w:type="dxa"/>
            <w:tcBorders>
              <w:top w:val="single" w:sz="8" w:space="0" w:color="000000"/>
              <w:left w:val="single" w:sz="4"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0" w:right="2" w:firstLine="0"/>
              <w:jc w:val="center"/>
            </w:pPr>
            <w:r>
              <w:rPr>
                <w:sz w:val="20"/>
              </w:rPr>
              <w:t xml:space="preserve"> </w:t>
            </w:r>
          </w:p>
        </w:tc>
        <w:tc>
          <w:tcPr>
            <w:tcW w:w="422" w:type="dxa"/>
            <w:tcBorders>
              <w:top w:val="single" w:sz="8" w:space="0" w:color="000000"/>
              <w:left w:val="single" w:sz="4" w:space="0" w:color="000000"/>
              <w:bottom w:val="single" w:sz="4" w:space="0" w:color="000000"/>
              <w:right w:val="single" w:sz="8" w:space="0" w:color="000000"/>
            </w:tcBorders>
            <w:shd w:val="clear" w:color="auto" w:fill="BFBFBF"/>
            <w:vAlign w:val="center"/>
          </w:tcPr>
          <w:p w:rsidR="00E8309B" w:rsidRDefault="009D0949">
            <w:pPr>
              <w:spacing w:after="0" w:line="259" w:lineRule="auto"/>
              <w:ind w:left="0" w:right="2" w:firstLine="0"/>
              <w:jc w:val="center"/>
            </w:pPr>
            <w:r>
              <w:rPr>
                <w:sz w:val="20"/>
              </w:rPr>
              <w:t xml:space="preserve"> </w:t>
            </w:r>
          </w:p>
        </w:tc>
        <w:tc>
          <w:tcPr>
            <w:tcW w:w="425" w:type="dxa"/>
            <w:tcBorders>
              <w:top w:val="single" w:sz="8" w:space="0" w:color="000000"/>
              <w:left w:val="single" w:sz="8"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0" w:right="0" w:firstLine="0"/>
              <w:jc w:val="center"/>
            </w:pPr>
            <w:r>
              <w:rPr>
                <w:sz w:val="20"/>
              </w:rPr>
              <w:t xml:space="preserve"> </w:t>
            </w:r>
          </w:p>
        </w:tc>
        <w:tc>
          <w:tcPr>
            <w:tcW w:w="422" w:type="dxa"/>
            <w:tcBorders>
              <w:top w:val="single" w:sz="8" w:space="0" w:color="000000"/>
              <w:left w:val="single" w:sz="4"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0" w:right="2" w:firstLine="0"/>
              <w:jc w:val="center"/>
            </w:pPr>
            <w:r>
              <w:rPr>
                <w:sz w:val="20"/>
              </w:rPr>
              <w:t xml:space="preserve"> </w:t>
            </w:r>
          </w:p>
        </w:tc>
        <w:tc>
          <w:tcPr>
            <w:tcW w:w="423" w:type="dxa"/>
            <w:tcBorders>
              <w:top w:val="single" w:sz="8" w:space="0" w:color="000000"/>
              <w:left w:val="single" w:sz="4"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0" w:right="2" w:firstLine="0"/>
              <w:jc w:val="center"/>
            </w:pPr>
            <w:r>
              <w:rPr>
                <w:sz w:val="20"/>
              </w:rPr>
              <w:t xml:space="preserve"> </w:t>
            </w:r>
          </w:p>
        </w:tc>
        <w:tc>
          <w:tcPr>
            <w:tcW w:w="422" w:type="dxa"/>
            <w:tcBorders>
              <w:top w:val="single" w:sz="8" w:space="0" w:color="000000"/>
              <w:left w:val="single" w:sz="4" w:space="0" w:color="000000"/>
              <w:bottom w:val="single" w:sz="4" w:space="0" w:color="000000"/>
              <w:right w:val="single" w:sz="8" w:space="0" w:color="000000"/>
            </w:tcBorders>
            <w:shd w:val="clear" w:color="auto" w:fill="BFBFBF"/>
            <w:vAlign w:val="center"/>
          </w:tcPr>
          <w:p w:rsidR="00E8309B" w:rsidRDefault="009D0949">
            <w:pPr>
              <w:spacing w:after="0" w:line="259" w:lineRule="auto"/>
              <w:ind w:left="0" w:right="2" w:firstLine="0"/>
              <w:jc w:val="center"/>
            </w:pPr>
            <w:r>
              <w:rPr>
                <w:sz w:val="20"/>
              </w:rPr>
              <w:t xml:space="preserve"> </w:t>
            </w:r>
          </w:p>
        </w:tc>
        <w:tc>
          <w:tcPr>
            <w:tcW w:w="425" w:type="dxa"/>
            <w:tcBorders>
              <w:top w:val="single" w:sz="8" w:space="0" w:color="000000"/>
              <w:left w:val="single" w:sz="8"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0" w:right="0" w:firstLine="0"/>
              <w:jc w:val="center"/>
            </w:pPr>
            <w:r>
              <w:rPr>
                <w:sz w:val="20"/>
              </w:rPr>
              <w:t xml:space="preserve"> </w:t>
            </w:r>
          </w:p>
        </w:tc>
        <w:tc>
          <w:tcPr>
            <w:tcW w:w="422" w:type="dxa"/>
            <w:tcBorders>
              <w:top w:val="single" w:sz="8" w:space="0" w:color="000000"/>
              <w:left w:val="single" w:sz="4"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0" w:right="2" w:firstLine="0"/>
              <w:jc w:val="center"/>
            </w:pPr>
            <w:r>
              <w:rPr>
                <w:sz w:val="20"/>
              </w:rPr>
              <w:t xml:space="preserve"> </w:t>
            </w:r>
          </w:p>
        </w:tc>
        <w:tc>
          <w:tcPr>
            <w:tcW w:w="422" w:type="dxa"/>
            <w:tcBorders>
              <w:top w:val="single" w:sz="8" w:space="0" w:color="000000"/>
              <w:left w:val="single" w:sz="4"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0" w:right="2" w:firstLine="0"/>
              <w:jc w:val="center"/>
            </w:pPr>
            <w:r>
              <w:rPr>
                <w:sz w:val="20"/>
              </w:rPr>
              <w:t xml:space="preserve"> </w:t>
            </w:r>
          </w:p>
        </w:tc>
        <w:tc>
          <w:tcPr>
            <w:tcW w:w="423" w:type="dxa"/>
            <w:tcBorders>
              <w:top w:val="single" w:sz="8" w:space="0" w:color="000000"/>
              <w:left w:val="single" w:sz="4" w:space="0" w:color="000000"/>
              <w:bottom w:val="single" w:sz="4" w:space="0" w:color="000000"/>
              <w:right w:val="single" w:sz="8" w:space="0" w:color="000000"/>
            </w:tcBorders>
            <w:shd w:val="clear" w:color="auto" w:fill="BFBFBF"/>
            <w:vAlign w:val="center"/>
          </w:tcPr>
          <w:p w:rsidR="00E8309B" w:rsidRDefault="009D0949">
            <w:pPr>
              <w:spacing w:after="0" w:line="259" w:lineRule="auto"/>
              <w:ind w:left="0" w:right="3" w:firstLine="0"/>
              <w:jc w:val="center"/>
            </w:pPr>
            <w:r>
              <w:rPr>
                <w:sz w:val="20"/>
              </w:rPr>
              <w:t xml:space="preserve"> </w:t>
            </w:r>
          </w:p>
        </w:tc>
      </w:tr>
      <w:tr w:rsidR="00E8309B">
        <w:trPr>
          <w:trHeight w:val="1850"/>
        </w:trPr>
        <w:tc>
          <w:tcPr>
            <w:tcW w:w="427" w:type="dxa"/>
            <w:tcBorders>
              <w:top w:val="single" w:sz="4" w:space="0" w:color="000000"/>
              <w:left w:val="single" w:sz="8" w:space="0" w:color="000000"/>
              <w:bottom w:val="single" w:sz="4" w:space="0" w:color="000000"/>
              <w:right w:val="single" w:sz="8" w:space="0" w:color="000000"/>
            </w:tcBorders>
          </w:tcPr>
          <w:p w:rsidR="00E8309B" w:rsidRDefault="009D0949">
            <w:pPr>
              <w:spacing w:after="0" w:line="259" w:lineRule="auto"/>
              <w:ind w:left="0" w:right="51" w:firstLine="0"/>
              <w:jc w:val="right"/>
            </w:pPr>
            <w:r>
              <w:rPr>
                <w:sz w:val="20"/>
              </w:rPr>
              <w:t xml:space="preserve">2 </w:t>
            </w:r>
          </w:p>
        </w:tc>
        <w:tc>
          <w:tcPr>
            <w:tcW w:w="4137" w:type="dxa"/>
            <w:tcBorders>
              <w:top w:val="single" w:sz="4" w:space="0" w:color="000000"/>
              <w:left w:val="single" w:sz="8" w:space="0" w:color="000000"/>
              <w:bottom w:val="single" w:sz="4" w:space="0" w:color="000000"/>
              <w:right w:val="single" w:sz="8" w:space="0" w:color="000000"/>
            </w:tcBorders>
          </w:tcPr>
          <w:p w:rsidR="00E8309B" w:rsidRDefault="009D0949">
            <w:pPr>
              <w:spacing w:after="0" w:line="259" w:lineRule="auto"/>
              <w:ind w:left="0" w:right="11" w:firstLine="0"/>
              <w:jc w:val="left"/>
            </w:pPr>
            <w:r>
              <w:rPr>
                <w:sz w:val="20"/>
              </w:rPr>
              <w:t>Подстицање улагања у индустријску производњу кроз даље унапређење и прилагођавање услова и критеријума привлачења инвестиција, спровођење програма под</w:t>
            </w:r>
            <w:r>
              <w:rPr>
                <w:sz w:val="20"/>
              </w:rPr>
              <w:t xml:space="preserve">стицаја улагања, промоцију Републике Србије као инвестиционе локације, улагање у инфраструктуру индустријских зона и уравнотежење регионалног развоја </w:t>
            </w:r>
          </w:p>
        </w:tc>
        <w:tc>
          <w:tcPr>
            <w:tcW w:w="420" w:type="dxa"/>
            <w:tcBorders>
              <w:top w:val="single" w:sz="4" w:space="0" w:color="000000"/>
              <w:left w:val="single" w:sz="8"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0" w:right="5" w:firstLine="0"/>
              <w:jc w:val="center"/>
            </w:pPr>
            <w:r>
              <w:rPr>
                <w:sz w:val="20"/>
              </w:rPr>
              <w:t xml:space="preserve"> </w:t>
            </w:r>
          </w:p>
        </w:tc>
        <w:tc>
          <w:tcPr>
            <w:tcW w:w="425"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0" w:right="5" w:firstLine="0"/>
              <w:jc w:val="center"/>
            </w:pPr>
            <w:r>
              <w:rPr>
                <w:sz w:val="20"/>
              </w:rPr>
              <w:t xml:space="preserve"> </w:t>
            </w:r>
          </w:p>
        </w:tc>
        <w:tc>
          <w:tcPr>
            <w:tcW w:w="422"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0" w:right="2" w:firstLine="0"/>
              <w:jc w:val="center"/>
            </w:pPr>
            <w:r>
              <w:rPr>
                <w:sz w:val="20"/>
              </w:rPr>
              <w:t xml:space="preserve"> </w:t>
            </w:r>
          </w:p>
        </w:tc>
        <w:tc>
          <w:tcPr>
            <w:tcW w:w="422" w:type="dxa"/>
            <w:tcBorders>
              <w:top w:val="single" w:sz="4" w:space="0" w:color="000000"/>
              <w:left w:val="single" w:sz="4" w:space="0" w:color="000000"/>
              <w:bottom w:val="single" w:sz="4" w:space="0" w:color="000000"/>
              <w:right w:val="single" w:sz="8" w:space="0" w:color="000000"/>
            </w:tcBorders>
            <w:shd w:val="clear" w:color="auto" w:fill="BFBFBF"/>
            <w:vAlign w:val="center"/>
          </w:tcPr>
          <w:p w:rsidR="00E8309B" w:rsidRDefault="009D0949">
            <w:pPr>
              <w:spacing w:after="0" w:line="259" w:lineRule="auto"/>
              <w:ind w:left="0" w:right="2" w:firstLine="0"/>
              <w:jc w:val="center"/>
            </w:pPr>
            <w:r>
              <w:rPr>
                <w:sz w:val="20"/>
              </w:rPr>
              <w:t xml:space="preserve"> </w:t>
            </w:r>
          </w:p>
        </w:tc>
        <w:tc>
          <w:tcPr>
            <w:tcW w:w="425" w:type="dxa"/>
            <w:tcBorders>
              <w:top w:val="single" w:sz="4" w:space="0" w:color="000000"/>
              <w:left w:val="single" w:sz="8"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0" w:right="0" w:firstLine="0"/>
              <w:jc w:val="center"/>
            </w:pPr>
            <w:r>
              <w:rPr>
                <w:sz w:val="20"/>
              </w:rPr>
              <w:t xml:space="preserve"> </w:t>
            </w:r>
          </w:p>
        </w:tc>
        <w:tc>
          <w:tcPr>
            <w:tcW w:w="422"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0" w:right="2" w:firstLine="0"/>
              <w:jc w:val="center"/>
            </w:pPr>
            <w:r>
              <w:rPr>
                <w:sz w:val="20"/>
              </w:rPr>
              <w:t xml:space="preserve"> </w:t>
            </w:r>
          </w:p>
        </w:tc>
        <w:tc>
          <w:tcPr>
            <w:tcW w:w="423"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0" w:right="2" w:firstLine="0"/>
              <w:jc w:val="center"/>
            </w:pPr>
            <w:r>
              <w:rPr>
                <w:sz w:val="20"/>
              </w:rPr>
              <w:t xml:space="preserve"> </w:t>
            </w:r>
          </w:p>
        </w:tc>
        <w:tc>
          <w:tcPr>
            <w:tcW w:w="422" w:type="dxa"/>
            <w:tcBorders>
              <w:top w:val="single" w:sz="4" w:space="0" w:color="000000"/>
              <w:left w:val="single" w:sz="4" w:space="0" w:color="000000"/>
              <w:bottom w:val="single" w:sz="4" w:space="0" w:color="000000"/>
              <w:right w:val="single" w:sz="8" w:space="0" w:color="000000"/>
            </w:tcBorders>
            <w:shd w:val="clear" w:color="auto" w:fill="BFBFBF"/>
            <w:vAlign w:val="center"/>
          </w:tcPr>
          <w:p w:rsidR="00E8309B" w:rsidRDefault="009D0949">
            <w:pPr>
              <w:spacing w:after="0" w:line="259" w:lineRule="auto"/>
              <w:ind w:left="0" w:right="2" w:firstLine="0"/>
              <w:jc w:val="center"/>
            </w:pPr>
            <w:r>
              <w:rPr>
                <w:sz w:val="20"/>
              </w:rPr>
              <w:t xml:space="preserve"> </w:t>
            </w:r>
          </w:p>
        </w:tc>
        <w:tc>
          <w:tcPr>
            <w:tcW w:w="425" w:type="dxa"/>
            <w:tcBorders>
              <w:top w:val="single" w:sz="4" w:space="0" w:color="000000"/>
              <w:left w:val="single" w:sz="8"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0" w:right="0" w:firstLine="0"/>
              <w:jc w:val="center"/>
            </w:pPr>
            <w:r>
              <w:rPr>
                <w:sz w:val="20"/>
              </w:rPr>
              <w:t xml:space="preserve"> </w:t>
            </w:r>
          </w:p>
        </w:tc>
        <w:tc>
          <w:tcPr>
            <w:tcW w:w="422"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0" w:right="2" w:firstLine="0"/>
              <w:jc w:val="center"/>
            </w:pPr>
            <w:r>
              <w:rPr>
                <w:sz w:val="20"/>
              </w:rPr>
              <w:t xml:space="preserve"> </w:t>
            </w:r>
          </w:p>
        </w:tc>
        <w:tc>
          <w:tcPr>
            <w:tcW w:w="422"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0" w:right="2" w:firstLine="0"/>
              <w:jc w:val="center"/>
            </w:pPr>
            <w:r>
              <w:rPr>
                <w:sz w:val="20"/>
              </w:rPr>
              <w:t xml:space="preserve"> </w:t>
            </w:r>
          </w:p>
        </w:tc>
        <w:tc>
          <w:tcPr>
            <w:tcW w:w="423" w:type="dxa"/>
            <w:tcBorders>
              <w:top w:val="single" w:sz="4" w:space="0" w:color="000000"/>
              <w:left w:val="single" w:sz="4" w:space="0" w:color="000000"/>
              <w:bottom w:val="single" w:sz="4" w:space="0" w:color="000000"/>
              <w:right w:val="single" w:sz="8" w:space="0" w:color="000000"/>
            </w:tcBorders>
            <w:shd w:val="clear" w:color="auto" w:fill="BFBFBF"/>
            <w:vAlign w:val="center"/>
          </w:tcPr>
          <w:p w:rsidR="00E8309B" w:rsidRDefault="009D0949">
            <w:pPr>
              <w:spacing w:after="0" w:line="259" w:lineRule="auto"/>
              <w:ind w:left="0" w:right="3" w:firstLine="0"/>
              <w:jc w:val="center"/>
            </w:pPr>
            <w:r>
              <w:rPr>
                <w:sz w:val="20"/>
              </w:rPr>
              <w:t xml:space="preserve"> </w:t>
            </w:r>
          </w:p>
        </w:tc>
      </w:tr>
      <w:tr w:rsidR="00E8309B">
        <w:trPr>
          <w:trHeight w:val="1160"/>
        </w:trPr>
        <w:tc>
          <w:tcPr>
            <w:tcW w:w="427" w:type="dxa"/>
            <w:tcBorders>
              <w:top w:val="single" w:sz="4" w:space="0" w:color="000000"/>
              <w:left w:val="single" w:sz="8" w:space="0" w:color="000000"/>
              <w:bottom w:val="single" w:sz="4" w:space="0" w:color="000000"/>
              <w:right w:val="single" w:sz="8" w:space="0" w:color="000000"/>
            </w:tcBorders>
          </w:tcPr>
          <w:p w:rsidR="00E8309B" w:rsidRDefault="009D0949">
            <w:pPr>
              <w:spacing w:after="0" w:line="259" w:lineRule="auto"/>
              <w:ind w:left="0" w:right="51" w:firstLine="0"/>
              <w:jc w:val="right"/>
            </w:pPr>
            <w:r>
              <w:rPr>
                <w:sz w:val="20"/>
              </w:rPr>
              <w:t xml:space="preserve">3 </w:t>
            </w:r>
          </w:p>
        </w:tc>
        <w:tc>
          <w:tcPr>
            <w:tcW w:w="4137" w:type="dxa"/>
            <w:tcBorders>
              <w:top w:val="single" w:sz="4" w:space="0" w:color="000000"/>
              <w:left w:val="single" w:sz="8" w:space="0" w:color="000000"/>
              <w:bottom w:val="single" w:sz="4" w:space="0" w:color="000000"/>
              <w:right w:val="single" w:sz="8" w:space="0" w:color="000000"/>
            </w:tcBorders>
          </w:tcPr>
          <w:p w:rsidR="00E8309B" w:rsidRDefault="009D0949">
            <w:pPr>
              <w:spacing w:after="0" w:line="259" w:lineRule="auto"/>
              <w:ind w:left="0" w:right="6" w:firstLine="0"/>
              <w:jc w:val="left"/>
            </w:pPr>
            <w:r>
              <w:rPr>
                <w:sz w:val="20"/>
              </w:rPr>
              <w:t xml:space="preserve">Подстицање извозно орјентисаних сектора индустрије кроз спровођење програма подршке интернационализације и уласка у ланце добављача мултинационалних компанија </w:t>
            </w:r>
          </w:p>
        </w:tc>
        <w:tc>
          <w:tcPr>
            <w:tcW w:w="420" w:type="dxa"/>
            <w:tcBorders>
              <w:top w:val="single" w:sz="4" w:space="0" w:color="000000"/>
              <w:left w:val="single" w:sz="8"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0" w:right="5" w:firstLine="0"/>
              <w:jc w:val="center"/>
            </w:pPr>
            <w:r>
              <w:rPr>
                <w:sz w:val="20"/>
              </w:rPr>
              <w:t xml:space="preserve"> </w:t>
            </w:r>
          </w:p>
        </w:tc>
        <w:tc>
          <w:tcPr>
            <w:tcW w:w="425"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0" w:right="5" w:firstLine="0"/>
              <w:jc w:val="center"/>
            </w:pPr>
            <w:r>
              <w:rPr>
                <w:sz w:val="20"/>
              </w:rPr>
              <w:t xml:space="preserve"> </w:t>
            </w:r>
          </w:p>
        </w:tc>
        <w:tc>
          <w:tcPr>
            <w:tcW w:w="422"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0" w:right="2" w:firstLine="0"/>
              <w:jc w:val="center"/>
            </w:pPr>
            <w:r>
              <w:rPr>
                <w:sz w:val="20"/>
              </w:rPr>
              <w:t xml:space="preserve"> </w:t>
            </w:r>
          </w:p>
        </w:tc>
        <w:tc>
          <w:tcPr>
            <w:tcW w:w="422" w:type="dxa"/>
            <w:tcBorders>
              <w:top w:val="single" w:sz="4" w:space="0" w:color="000000"/>
              <w:left w:val="single" w:sz="4" w:space="0" w:color="000000"/>
              <w:bottom w:val="single" w:sz="4" w:space="0" w:color="000000"/>
              <w:right w:val="single" w:sz="8" w:space="0" w:color="000000"/>
            </w:tcBorders>
            <w:shd w:val="clear" w:color="auto" w:fill="BFBFBF"/>
            <w:vAlign w:val="center"/>
          </w:tcPr>
          <w:p w:rsidR="00E8309B" w:rsidRDefault="009D0949">
            <w:pPr>
              <w:spacing w:after="0" w:line="259" w:lineRule="auto"/>
              <w:ind w:left="0" w:right="2" w:firstLine="0"/>
              <w:jc w:val="center"/>
            </w:pPr>
            <w:r>
              <w:rPr>
                <w:sz w:val="20"/>
              </w:rPr>
              <w:t xml:space="preserve"> </w:t>
            </w:r>
          </w:p>
        </w:tc>
        <w:tc>
          <w:tcPr>
            <w:tcW w:w="425" w:type="dxa"/>
            <w:tcBorders>
              <w:top w:val="single" w:sz="4" w:space="0" w:color="000000"/>
              <w:left w:val="single" w:sz="8"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0" w:right="0" w:firstLine="0"/>
              <w:jc w:val="center"/>
            </w:pPr>
            <w:r>
              <w:rPr>
                <w:sz w:val="20"/>
              </w:rPr>
              <w:t xml:space="preserve"> </w:t>
            </w:r>
          </w:p>
        </w:tc>
        <w:tc>
          <w:tcPr>
            <w:tcW w:w="422"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0" w:right="2" w:firstLine="0"/>
              <w:jc w:val="center"/>
            </w:pPr>
            <w:r>
              <w:rPr>
                <w:sz w:val="20"/>
              </w:rPr>
              <w:t xml:space="preserve"> </w:t>
            </w:r>
          </w:p>
        </w:tc>
        <w:tc>
          <w:tcPr>
            <w:tcW w:w="423"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0" w:right="2" w:firstLine="0"/>
              <w:jc w:val="center"/>
            </w:pPr>
            <w:r>
              <w:rPr>
                <w:sz w:val="20"/>
              </w:rPr>
              <w:t xml:space="preserve"> </w:t>
            </w:r>
          </w:p>
        </w:tc>
        <w:tc>
          <w:tcPr>
            <w:tcW w:w="422" w:type="dxa"/>
            <w:tcBorders>
              <w:top w:val="single" w:sz="4" w:space="0" w:color="000000"/>
              <w:left w:val="single" w:sz="4" w:space="0" w:color="000000"/>
              <w:bottom w:val="single" w:sz="4" w:space="0" w:color="000000"/>
              <w:right w:val="single" w:sz="8" w:space="0" w:color="000000"/>
            </w:tcBorders>
            <w:shd w:val="clear" w:color="auto" w:fill="BFBFBF"/>
            <w:vAlign w:val="center"/>
          </w:tcPr>
          <w:p w:rsidR="00E8309B" w:rsidRDefault="009D0949">
            <w:pPr>
              <w:spacing w:after="0" w:line="259" w:lineRule="auto"/>
              <w:ind w:left="0" w:right="2" w:firstLine="0"/>
              <w:jc w:val="center"/>
            </w:pPr>
            <w:r>
              <w:rPr>
                <w:sz w:val="20"/>
              </w:rPr>
              <w:t xml:space="preserve"> </w:t>
            </w:r>
          </w:p>
        </w:tc>
        <w:tc>
          <w:tcPr>
            <w:tcW w:w="425" w:type="dxa"/>
            <w:tcBorders>
              <w:top w:val="single" w:sz="4" w:space="0" w:color="000000"/>
              <w:left w:val="single" w:sz="8"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0" w:right="0" w:firstLine="0"/>
              <w:jc w:val="center"/>
            </w:pPr>
            <w:r>
              <w:rPr>
                <w:sz w:val="20"/>
              </w:rPr>
              <w:t xml:space="preserve"> </w:t>
            </w:r>
          </w:p>
        </w:tc>
        <w:tc>
          <w:tcPr>
            <w:tcW w:w="422"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0" w:right="2" w:firstLine="0"/>
              <w:jc w:val="center"/>
            </w:pPr>
            <w:r>
              <w:rPr>
                <w:sz w:val="20"/>
              </w:rPr>
              <w:t xml:space="preserve"> </w:t>
            </w:r>
          </w:p>
        </w:tc>
        <w:tc>
          <w:tcPr>
            <w:tcW w:w="422"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0" w:right="2" w:firstLine="0"/>
              <w:jc w:val="center"/>
            </w:pPr>
            <w:r>
              <w:rPr>
                <w:sz w:val="20"/>
              </w:rPr>
              <w:t xml:space="preserve"> </w:t>
            </w:r>
          </w:p>
        </w:tc>
        <w:tc>
          <w:tcPr>
            <w:tcW w:w="423" w:type="dxa"/>
            <w:tcBorders>
              <w:top w:val="single" w:sz="4" w:space="0" w:color="000000"/>
              <w:left w:val="single" w:sz="4" w:space="0" w:color="000000"/>
              <w:bottom w:val="single" w:sz="4" w:space="0" w:color="000000"/>
              <w:right w:val="single" w:sz="8" w:space="0" w:color="000000"/>
            </w:tcBorders>
            <w:shd w:val="clear" w:color="auto" w:fill="BFBFBF"/>
            <w:vAlign w:val="center"/>
          </w:tcPr>
          <w:p w:rsidR="00E8309B" w:rsidRDefault="009D0949">
            <w:pPr>
              <w:spacing w:after="0" w:line="259" w:lineRule="auto"/>
              <w:ind w:left="0" w:right="3" w:firstLine="0"/>
              <w:jc w:val="center"/>
            </w:pPr>
            <w:r>
              <w:rPr>
                <w:sz w:val="20"/>
              </w:rPr>
              <w:t xml:space="preserve"> </w:t>
            </w:r>
          </w:p>
        </w:tc>
      </w:tr>
    </w:tbl>
    <w:p w:rsidR="00E8309B" w:rsidRDefault="009D0949">
      <w:pPr>
        <w:spacing w:after="0" w:line="259" w:lineRule="auto"/>
        <w:ind w:left="0" w:right="0" w:firstLine="0"/>
        <w:jc w:val="left"/>
      </w:pPr>
      <w:r>
        <w:t xml:space="preserve"> </w:t>
      </w:r>
    </w:p>
    <w:p w:rsidR="00E8309B" w:rsidRDefault="009D0949">
      <w:pPr>
        <w:ind w:left="-5" w:right="17"/>
      </w:pPr>
      <w:r>
        <w:t>У 2021. години је планиран почетак примене активности из Акционог плана за спровођење Стратегије индустријске политике Републике Србије од 2021. до 203</w:t>
      </w:r>
      <w:r>
        <w:t xml:space="preserve">0. године, који ће бити усвојен почетком 2021, за период од наредне три године. Наведеном стратегијом дефинисано је 5 посебних циљева, на чијој реализацији се базира остварење постављеног општег циља: </w:t>
      </w:r>
    </w:p>
    <w:p w:rsidR="00E8309B" w:rsidRDefault="009D0949">
      <w:pPr>
        <w:numPr>
          <w:ilvl w:val="1"/>
          <w:numId w:val="20"/>
        </w:numPr>
        <w:ind w:right="17" w:hanging="139"/>
      </w:pPr>
      <w:r>
        <w:t>Унапређење дигитализације пословних модела индустријск</w:t>
      </w:r>
      <w:r>
        <w:t xml:space="preserve">е производње;  </w:t>
      </w:r>
    </w:p>
    <w:p w:rsidR="00E8309B" w:rsidRDefault="009D0949">
      <w:pPr>
        <w:numPr>
          <w:ilvl w:val="1"/>
          <w:numId w:val="20"/>
        </w:numPr>
        <w:ind w:right="17" w:hanging="139"/>
      </w:pPr>
      <w:r>
        <w:t xml:space="preserve">Развој индустрије базиране на иновацијама и развоју виших фаза технолошке производње; </w:t>
      </w:r>
    </w:p>
    <w:p w:rsidR="00E8309B" w:rsidRDefault="009D0949">
      <w:pPr>
        <w:numPr>
          <w:ilvl w:val="1"/>
          <w:numId w:val="20"/>
        </w:numPr>
        <w:ind w:right="17" w:hanging="139"/>
      </w:pPr>
      <w:r>
        <w:t xml:space="preserve">Повећање укупног обима инвестиција у индустрију уз раст квалитета инвестиција; </w:t>
      </w:r>
    </w:p>
    <w:p w:rsidR="00E8309B" w:rsidRDefault="009D0949">
      <w:pPr>
        <w:numPr>
          <w:ilvl w:val="1"/>
          <w:numId w:val="20"/>
        </w:numPr>
        <w:ind w:right="17" w:hanging="139"/>
      </w:pPr>
      <w:r>
        <w:t xml:space="preserve">Унапређење технолошке структуре извоза; </w:t>
      </w:r>
    </w:p>
    <w:p w:rsidR="00E8309B" w:rsidRDefault="009D0949">
      <w:pPr>
        <w:numPr>
          <w:ilvl w:val="1"/>
          <w:numId w:val="20"/>
        </w:numPr>
        <w:spacing w:after="155"/>
        <w:ind w:right="17" w:hanging="139"/>
      </w:pPr>
      <w:r>
        <w:t>Трансформација индустрије од лин</w:t>
      </w:r>
      <w:r>
        <w:t xml:space="preserve">еарног ка циркуларном моделу. </w:t>
      </w:r>
    </w:p>
    <w:p w:rsidR="00E8309B" w:rsidRDefault="009D0949">
      <w:pPr>
        <w:numPr>
          <w:ilvl w:val="0"/>
          <w:numId w:val="20"/>
        </w:numPr>
        <w:spacing w:after="0" w:line="271" w:lineRule="auto"/>
        <w:ind w:right="9" w:hanging="360"/>
      </w:pPr>
      <w:r>
        <w:rPr>
          <w:b/>
        </w:rPr>
        <w:t xml:space="preserve">Индикатори рeзултата </w:t>
      </w:r>
    </w:p>
    <w:tbl>
      <w:tblPr>
        <w:tblStyle w:val="TableGrid"/>
        <w:tblW w:w="9636" w:type="dxa"/>
        <w:tblInd w:w="-5" w:type="dxa"/>
        <w:tblCellMar>
          <w:top w:w="10" w:type="dxa"/>
          <w:left w:w="108" w:type="dxa"/>
          <w:bottom w:w="0" w:type="dxa"/>
          <w:right w:w="11" w:type="dxa"/>
        </w:tblCellMar>
        <w:tblLook w:val="04A0" w:firstRow="1" w:lastRow="0" w:firstColumn="1" w:lastColumn="0" w:noHBand="0" w:noVBand="1"/>
      </w:tblPr>
      <w:tblGrid>
        <w:gridCol w:w="4057"/>
        <w:gridCol w:w="1888"/>
        <w:gridCol w:w="1797"/>
        <w:gridCol w:w="1894"/>
      </w:tblGrid>
      <w:tr w:rsidR="00E8309B">
        <w:trPr>
          <w:trHeight w:val="468"/>
        </w:trPr>
        <w:tc>
          <w:tcPr>
            <w:tcW w:w="4057"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0" w:right="0" w:firstLine="0"/>
              <w:jc w:val="left"/>
            </w:pPr>
            <w:r>
              <w:rPr>
                <w:b/>
                <w:sz w:val="20"/>
              </w:rPr>
              <w:t xml:space="preserve">Показатељ </w:t>
            </w:r>
          </w:p>
        </w:tc>
        <w:tc>
          <w:tcPr>
            <w:tcW w:w="1888" w:type="dxa"/>
            <w:tcBorders>
              <w:top w:val="single" w:sz="4" w:space="0" w:color="000000"/>
              <w:left w:val="single" w:sz="4" w:space="0" w:color="000000"/>
              <w:bottom w:val="single" w:sz="4" w:space="0" w:color="000000"/>
              <w:right w:val="single" w:sz="7" w:space="0" w:color="000000"/>
            </w:tcBorders>
          </w:tcPr>
          <w:p w:rsidR="00E8309B" w:rsidRDefault="009D0949">
            <w:pPr>
              <w:spacing w:after="0" w:line="259" w:lineRule="auto"/>
              <w:ind w:left="0" w:right="89" w:firstLine="0"/>
              <w:jc w:val="right"/>
            </w:pPr>
            <w:r>
              <w:rPr>
                <w:b/>
                <w:sz w:val="20"/>
              </w:rPr>
              <w:t xml:space="preserve">Почетна вредност (2018) </w:t>
            </w:r>
          </w:p>
        </w:tc>
        <w:tc>
          <w:tcPr>
            <w:tcW w:w="1797" w:type="dxa"/>
            <w:tcBorders>
              <w:top w:val="single" w:sz="4" w:space="0" w:color="000000"/>
              <w:left w:val="single" w:sz="7" w:space="0" w:color="000000"/>
              <w:bottom w:val="single" w:sz="4" w:space="0" w:color="000000"/>
              <w:right w:val="single" w:sz="4" w:space="0" w:color="000000"/>
            </w:tcBorders>
          </w:tcPr>
          <w:p w:rsidR="00E8309B" w:rsidRDefault="009D0949">
            <w:pPr>
              <w:spacing w:after="0" w:line="259" w:lineRule="auto"/>
              <w:ind w:left="0" w:right="93" w:firstLine="0"/>
              <w:jc w:val="right"/>
            </w:pPr>
            <w:r>
              <w:rPr>
                <w:b/>
                <w:sz w:val="20"/>
              </w:rPr>
              <w:t xml:space="preserve">Међурезултат (2021) </w:t>
            </w:r>
          </w:p>
        </w:tc>
        <w:tc>
          <w:tcPr>
            <w:tcW w:w="1894" w:type="dxa"/>
            <w:tcBorders>
              <w:top w:val="single" w:sz="4" w:space="0" w:color="000000"/>
              <w:left w:val="single" w:sz="4" w:space="0" w:color="000000"/>
              <w:bottom w:val="single" w:sz="4" w:space="0" w:color="000000"/>
              <w:right w:val="single" w:sz="8" w:space="0" w:color="000000"/>
            </w:tcBorders>
          </w:tcPr>
          <w:p w:rsidR="00E8309B" w:rsidRDefault="009D0949">
            <w:pPr>
              <w:spacing w:after="0" w:line="259" w:lineRule="auto"/>
              <w:ind w:left="0" w:right="91" w:firstLine="0"/>
              <w:jc w:val="right"/>
            </w:pPr>
            <w:r>
              <w:rPr>
                <w:b/>
                <w:sz w:val="20"/>
              </w:rPr>
              <w:t xml:space="preserve">Циљна вредност (2023) </w:t>
            </w:r>
          </w:p>
        </w:tc>
      </w:tr>
      <w:tr w:rsidR="00E8309B">
        <w:trPr>
          <w:trHeight w:val="494"/>
        </w:trPr>
        <w:tc>
          <w:tcPr>
            <w:tcW w:w="4057"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0" w:firstLine="0"/>
              <w:jc w:val="left"/>
            </w:pPr>
            <w:r>
              <w:rPr>
                <w:sz w:val="20"/>
              </w:rPr>
              <w:t>Проценат индустријских привредних субјеката који користе ЕРП</w:t>
            </w:r>
            <w:r>
              <w:rPr>
                <w:sz w:val="20"/>
                <w:vertAlign w:val="superscript"/>
              </w:rPr>
              <w:footnoteReference w:id="34"/>
            </w:r>
            <w:r>
              <w:rPr>
                <w:sz w:val="20"/>
              </w:rPr>
              <w:t xml:space="preserve"> софтвер</w:t>
            </w:r>
            <w:r>
              <w:rPr>
                <w:b/>
                <w:sz w:val="22"/>
              </w:rPr>
              <w:t xml:space="preserve"> </w:t>
            </w:r>
          </w:p>
        </w:tc>
        <w:tc>
          <w:tcPr>
            <w:tcW w:w="1888" w:type="dxa"/>
            <w:tcBorders>
              <w:top w:val="single" w:sz="4" w:space="0" w:color="000000"/>
              <w:left w:val="single" w:sz="4" w:space="0" w:color="000000"/>
              <w:bottom w:val="single" w:sz="4" w:space="0" w:color="000000"/>
              <w:right w:val="single" w:sz="7" w:space="0" w:color="000000"/>
            </w:tcBorders>
            <w:vAlign w:val="center"/>
          </w:tcPr>
          <w:p w:rsidR="00E8309B" w:rsidRDefault="009D0949">
            <w:pPr>
              <w:spacing w:after="0" w:line="259" w:lineRule="auto"/>
              <w:ind w:left="0" w:right="100" w:firstLine="0"/>
              <w:jc w:val="right"/>
            </w:pPr>
            <w:r>
              <w:rPr>
                <w:sz w:val="20"/>
              </w:rPr>
              <w:t xml:space="preserve">30% (2019) </w:t>
            </w:r>
          </w:p>
        </w:tc>
        <w:tc>
          <w:tcPr>
            <w:tcW w:w="1797" w:type="dxa"/>
            <w:tcBorders>
              <w:top w:val="single" w:sz="4" w:space="0" w:color="000000"/>
              <w:left w:val="single" w:sz="7" w:space="0" w:color="000000"/>
              <w:bottom w:val="single" w:sz="4" w:space="0" w:color="000000"/>
              <w:right w:val="single" w:sz="4" w:space="0" w:color="000000"/>
            </w:tcBorders>
            <w:vAlign w:val="center"/>
          </w:tcPr>
          <w:p w:rsidR="00E8309B" w:rsidRDefault="009D0949">
            <w:pPr>
              <w:spacing w:after="0" w:line="259" w:lineRule="auto"/>
              <w:ind w:left="0" w:right="96" w:firstLine="0"/>
              <w:jc w:val="right"/>
            </w:pPr>
            <w:r>
              <w:rPr>
                <w:sz w:val="20"/>
              </w:rPr>
              <w:t xml:space="preserve">/ </w:t>
            </w:r>
          </w:p>
        </w:tc>
        <w:tc>
          <w:tcPr>
            <w:tcW w:w="1894" w:type="dxa"/>
            <w:tcBorders>
              <w:top w:val="single" w:sz="4" w:space="0" w:color="000000"/>
              <w:left w:val="single" w:sz="4" w:space="0" w:color="000000"/>
              <w:bottom w:val="single" w:sz="4" w:space="0" w:color="000000"/>
              <w:right w:val="single" w:sz="8" w:space="0" w:color="000000"/>
            </w:tcBorders>
            <w:vAlign w:val="center"/>
          </w:tcPr>
          <w:p w:rsidR="00E8309B" w:rsidRDefault="009D0949">
            <w:pPr>
              <w:spacing w:after="0" w:line="259" w:lineRule="auto"/>
              <w:ind w:left="0" w:right="101" w:firstLine="0"/>
              <w:jc w:val="right"/>
            </w:pPr>
            <w:r>
              <w:rPr>
                <w:sz w:val="20"/>
              </w:rPr>
              <w:t xml:space="preserve">45% </w:t>
            </w:r>
          </w:p>
        </w:tc>
      </w:tr>
      <w:tr w:rsidR="00E8309B">
        <w:trPr>
          <w:trHeight w:val="240"/>
        </w:trPr>
        <w:tc>
          <w:tcPr>
            <w:tcW w:w="4057"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0" w:firstLine="0"/>
              <w:jc w:val="left"/>
            </w:pPr>
            <w:r>
              <w:rPr>
                <w:sz w:val="20"/>
              </w:rPr>
              <w:t>Учешће инвестиција у БДП</w:t>
            </w:r>
            <w:r>
              <w:rPr>
                <w:b/>
                <w:sz w:val="22"/>
              </w:rPr>
              <w:t xml:space="preserve"> </w:t>
            </w:r>
          </w:p>
        </w:tc>
        <w:tc>
          <w:tcPr>
            <w:tcW w:w="1888" w:type="dxa"/>
            <w:tcBorders>
              <w:top w:val="single" w:sz="4" w:space="0" w:color="000000"/>
              <w:left w:val="single" w:sz="4" w:space="0" w:color="000000"/>
              <w:bottom w:val="single" w:sz="4" w:space="0" w:color="000000"/>
              <w:right w:val="single" w:sz="7" w:space="0" w:color="000000"/>
            </w:tcBorders>
          </w:tcPr>
          <w:p w:rsidR="00E8309B" w:rsidRDefault="009D0949">
            <w:pPr>
              <w:spacing w:after="0" w:line="259" w:lineRule="auto"/>
              <w:ind w:left="0" w:right="101" w:firstLine="0"/>
              <w:jc w:val="right"/>
            </w:pPr>
            <w:r>
              <w:rPr>
                <w:sz w:val="20"/>
              </w:rPr>
              <w:t xml:space="preserve">20,1%  </w:t>
            </w:r>
          </w:p>
        </w:tc>
        <w:tc>
          <w:tcPr>
            <w:tcW w:w="1797" w:type="dxa"/>
            <w:tcBorders>
              <w:top w:val="single" w:sz="4" w:space="0" w:color="000000"/>
              <w:left w:val="single" w:sz="7" w:space="0" w:color="000000"/>
              <w:bottom w:val="single" w:sz="4" w:space="0" w:color="000000"/>
              <w:right w:val="single" w:sz="4" w:space="0" w:color="000000"/>
            </w:tcBorders>
          </w:tcPr>
          <w:p w:rsidR="00E8309B" w:rsidRDefault="009D0949">
            <w:pPr>
              <w:spacing w:after="0" w:line="259" w:lineRule="auto"/>
              <w:ind w:left="0" w:right="96" w:firstLine="0"/>
              <w:jc w:val="right"/>
            </w:pPr>
            <w:r>
              <w:rPr>
                <w:sz w:val="20"/>
              </w:rPr>
              <w:t xml:space="preserve">/ </w:t>
            </w:r>
          </w:p>
        </w:tc>
        <w:tc>
          <w:tcPr>
            <w:tcW w:w="1894" w:type="dxa"/>
            <w:tcBorders>
              <w:top w:val="single" w:sz="4" w:space="0" w:color="000000"/>
              <w:left w:val="single" w:sz="4" w:space="0" w:color="000000"/>
              <w:bottom w:val="single" w:sz="4" w:space="0" w:color="000000"/>
              <w:right w:val="single" w:sz="8" w:space="0" w:color="000000"/>
            </w:tcBorders>
          </w:tcPr>
          <w:p w:rsidR="00E8309B" w:rsidRDefault="009D0949">
            <w:pPr>
              <w:spacing w:after="0" w:line="259" w:lineRule="auto"/>
              <w:ind w:left="0" w:right="101" w:firstLine="0"/>
              <w:jc w:val="right"/>
            </w:pPr>
            <w:r>
              <w:rPr>
                <w:sz w:val="20"/>
              </w:rPr>
              <w:t xml:space="preserve">24% </w:t>
            </w:r>
          </w:p>
        </w:tc>
      </w:tr>
      <w:tr w:rsidR="00E8309B">
        <w:trPr>
          <w:trHeight w:val="699"/>
        </w:trPr>
        <w:tc>
          <w:tcPr>
            <w:tcW w:w="4057"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0" w:firstLine="0"/>
              <w:jc w:val="left"/>
            </w:pPr>
            <w:r>
              <w:rPr>
                <w:sz w:val="20"/>
              </w:rPr>
              <w:t>Пуна покривеност увоза извозом у средњем/високом технолошком сектору индустрије</w:t>
            </w:r>
            <w:r>
              <w:rPr>
                <w:b/>
                <w:sz w:val="22"/>
              </w:rPr>
              <w:t xml:space="preserve"> </w:t>
            </w:r>
          </w:p>
        </w:tc>
        <w:tc>
          <w:tcPr>
            <w:tcW w:w="1888" w:type="dxa"/>
            <w:tcBorders>
              <w:top w:val="single" w:sz="4" w:space="0" w:color="000000"/>
              <w:left w:val="single" w:sz="4" w:space="0" w:color="000000"/>
              <w:bottom w:val="single" w:sz="4" w:space="0" w:color="000000"/>
              <w:right w:val="single" w:sz="7" w:space="0" w:color="000000"/>
            </w:tcBorders>
            <w:vAlign w:val="center"/>
          </w:tcPr>
          <w:p w:rsidR="00E8309B" w:rsidRDefault="009D0949">
            <w:pPr>
              <w:spacing w:after="0" w:line="259" w:lineRule="auto"/>
              <w:ind w:left="0" w:right="100" w:firstLine="0"/>
              <w:jc w:val="right"/>
            </w:pPr>
            <w:r>
              <w:rPr>
                <w:sz w:val="20"/>
              </w:rPr>
              <w:t xml:space="preserve">84%  </w:t>
            </w:r>
          </w:p>
        </w:tc>
        <w:tc>
          <w:tcPr>
            <w:tcW w:w="1797" w:type="dxa"/>
            <w:tcBorders>
              <w:top w:val="single" w:sz="4" w:space="0" w:color="000000"/>
              <w:left w:val="single" w:sz="7" w:space="0" w:color="000000"/>
              <w:bottom w:val="single" w:sz="4" w:space="0" w:color="000000"/>
              <w:right w:val="single" w:sz="4" w:space="0" w:color="000000"/>
            </w:tcBorders>
            <w:vAlign w:val="center"/>
          </w:tcPr>
          <w:p w:rsidR="00E8309B" w:rsidRDefault="009D0949">
            <w:pPr>
              <w:spacing w:after="0" w:line="259" w:lineRule="auto"/>
              <w:ind w:left="0" w:right="96" w:firstLine="0"/>
              <w:jc w:val="right"/>
            </w:pPr>
            <w:r>
              <w:rPr>
                <w:sz w:val="20"/>
              </w:rPr>
              <w:t xml:space="preserve">/ </w:t>
            </w:r>
          </w:p>
        </w:tc>
        <w:tc>
          <w:tcPr>
            <w:tcW w:w="1894" w:type="dxa"/>
            <w:tcBorders>
              <w:top w:val="single" w:sz="4" w:space="0" w:color="000000"/>
              <w:left w:val="single" w:sz="4" w:space="0" w:color="000000"/>
              <w:bottom w:val="single" w:sz="4" w:space="0" w:color="000000"/>
              <w:right w:val="single" w:sz="8" w:space="0" w:color="000000"/>
            </w:tcBorders>
            <w:vAlign w:val="center"/>
          </w:tcPr>
          <w:p w:rsidR="00E8309B" w:rsidRDefault="009D0949">
            <w:pPr>
              <w:spacing w:after="0" w:line="259" w:lineRule="auto"/>
              <w:ind w:left="0" w:right="101" w:firstLine="0"/>
              <w:jc w:val="right"/>
            </w:pPr>
            <w:r>
              <w:rPr>
                <w:sz w:val="20"/>
              </w:rPr>
              <w:t xml:space="preserve">90% </w:t>
            </w:r>
          </w:p>
        </w:tc>
      </w:tr>
      <w:tr w:rsidR="00E8309B">
        <w:trPr>
          <w:trHeight w:val="240"/>
        </w:trPr>
        <w:tc>
          <w:tcPr>
            <w:tcW w:w="4057"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0" w:firstLine="0"/>
              <w:jc w:val="left"/>
            </w:pPr>
            <w:r>
              <w:rPr>
                <w:sz w:val="20"/>
              </w:rPr>
              <w:t xml:space="preserve">БДВ прерађивачког сектора у укупном БДВ </w:t>
            </w:r>
          </w:p>
        </w:tc>
        <w:tc>
          <w:tcPr>
            <w:tcW w:w="1888" w:type="dxa"/>
            <w:tcBorders>
              <w:top w:val="single" w:sz="4" w:space="0" w:color="000000"/>
              <w:left w:val="single" w:sz="4" w:space="0" w:color="000000"/>
              <w:bottom w:val="single" w:sz="4" w:space="0" w:color="000000"/>
              <w:right w:val="single" w:sz="7" w:space="0" w:color="000000"/>
            </w:tcBorders>
          </w:tcPr>
          <w:p w:rsidR="00E8309B" w:rsidRDefault="009D0949">
            <w:pPr>
              <w:spacing w:after="0" w:line="259" w:lineRule="auto"/>
              <w:ind w:left="0" w:right="98" w:firstLine="0"/>
              <w:jc w:val="right"/>
            </w:pPr>
            <w:r>
              <w:rPr>
                <w:sz w:val="20"/>
              </w:rPr>
              <w:t xml:space="preserve">17,5% </w:t>
            </w:r>
          </w:p>
        </w:tc>
        <w:tc>
          <w:tcPr>
            <w:tcW w:w="1797" w:type="dxa"/>
            <w:tcBorders>
              <w:top w:val="single" w:sz="4" w:space="0" w:color="000000"/>
              <w:left w:val="single" w:sz="7" w:space="0" w:color="000000"/>
              <w:bottom w:val="single" w:sz="4" w:space="0" w:color="000000"/>
              <w:right w:val="single" w:sz="4" w:space="0" w:color="000000"/>
            </w:tcBorders>
          </w:tcPr>
          <w:p w:rsidR="00E8309B" w:rsidRDefault="009D0949">
            <w:pPr>
              <w:spacing w:after="0" w:line="259" w:lineRule="auto"/>
              <w:ind w:left="0" w:right="96" w:firstLine="0"/>
              <w:jc w:val="right"/>
            </w:pPr>
            <w:r>
              <w:rPr>
                <w:sz w:val="20"/>
              </w:rPr>
              <w:t xml:space="preserve">/ </w:t>
            </w:r>
          </w:p>
        </w:tc>
        <w:tc>
          <w:tcPr>
            <w:tcW w:w="1894" w:type="dxa"/>
            <w:tcBorders>
              <w:top w:val="single" w:sz="4" w:space="0" w:color="000000"/>
              <w:left w:val="single" w:sz="4" w:space="0" w:color="000000"/>
              <w:bottom w:val="single" w:sz="4" w:space="0" w:color="000000"/>
              <w:right w:val="single" w:sz="8" w:space="0" w:color="000000"/>
            </w:tcBorders>
          </w:tcPr>
          <w:p w:rsidR="00E8309B" w:rsidRDefault="009D0949">
            <w:pPr>
              <w:spacing w:after="0" w:line="259" w:lineRule="auto"/>
              <w:ind w:left="0" w:right="100" w:firstLine="0"/>
              <w:jc w:val="right"/>
            </w:pPr>
            <w:r>
              <w:rPr>
                <w:sz w:val="20"/>
              </w:rPr>
              <w:t xml:space="preserve">19,5% </w:t>
            </w:r>
          </w:p>
        </w:tc>
      </w:tr>
      <w:tr w:rsidR="00E8309B">
        <w:trPr>
          <w:trHeight w:val="470"/>
        </w:trPr>
        <w:tc>
          <w:tcPr>
            <w:tcW w:w="4057"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8" w:firstLine="0"/>
              <w:jc w:val="left"/>
            </w:pPr>
            <w:r>
              <w:rPr>
                <w:sz w:val="20"/>
              </w:rPr>
              <w:t xml:space="preserve">БДВ по запосленом у прерађивачком сектору, хиљаде евра </w:t>
            </w:r>
          </w:p>
        </w:tc>
        <w:tc>
          <w:tcPr>
            <w:tcW w:w="1888" w:type="dxa"/>
            <w:tcBorders>
              <w:top w:val="single" w:sz="4" w:space="0" w:color="000000"/>
              <w:left w:val="single" w:sz="4" w:space="0" w:color="000000"/>
              <w:bottom w:val="single" w:sz="4" w:space="0" w:color="000000"/>
              <w:right w:val="single" w:sz="7" w:space="0" w:color="000000"/>
            </w:tcBorders>
            <w:vAlign w:val="center"/>
          </w:tcPr>
          <w:p w:rsidR="00E8309B" w:rsidRDefault="009D0949">
            <w:pPr>
              <w:spacing w:after="0" w:line="259" w:lineRule="auto"/>
              <w:ind w:left="0" w:right="100" w:firstLine="0"/>
              <w:jc w:val="right"/>
            </w:pPr>
            <w:r>
              <w:rPr>
                <w:sz w:val="20"/>
              </w:rPr>
              <w:t xml:space="preserve">15,7 </w:t>
            </w:r>
          </w:p>
        </w:tc>
        <w:tc>
          <w:tcPr>
            <w:tcW w:w="1797" w:type="dxa"/>
            <w:tcBorders>
              <w:top w:val="single" w:sz="4" w:space="0" w:color="000000"/>
              <w:left w:val="single" w:sz="7" w:space="0" w:color="000000"/>
              <w:bottom w:val="single" w:sz="4" w:space="0" w:color="000000"/>
              <w:right w:val="single" w:sz="4" w:space="0" w:color="000000"/>
            </w:tcBorders>
            <w:vAlign w:val="center"/>
          </w:tcPr>
          <w:p w:rsidR="00E8309B" w:rsidRDefault="009D0949">
            <w:pPr>
              <w:spacing w:after="0" w:line="259" w:lineRule="auto"/>
              <w:ind w:left="0" w:right="96" w:firstLine="0"/>
              <w:jc w:val="right"/>
            </w:pPr>
            <w:r>
              <w:rPr>
                <w:sz w:val="20"/>
              </w:rPr>
              <w:t xml:space="preserve">/ </w:t>
            </w:r>
          </w:p>
        </w:tc>
        <w:tc>
          <w:tcPr>
            <w:tcW w:w="1894" w:type="dxa"/>
            <w:tcBorders>
              <w:top w:val="single" w:sz="4" w:space="0" w:color="000000"/>
              <w:left w:val="single" w:sz="4" w:space="0" w:color="000000"/>
              <w:bottom w:val="single" w:sz="4" w:space="0" w:color="000000"/>
              <w:right w:val="single" w:sz="8" w:space="0" w:color="000000"/>
            </w:tcBorders>
            <w:vAlign w:val="center"/>
          </w:tcPr>
          <w:p w:rsidR="00E8309B" w:rsidRDefault="009D0949">
            <w:pPr>
              <w:spacing w:after="0" w:line="259" w:lineRule="auto"/>
              <w:ind w:left="0" w:right="100" w:firstLine="0"/>
              <w:jc w:val="right"/>
            </w:pPr>
            <w:r>
              <w:rPr>
                <w:sz w:val="20"/>
              </w:rPr>
              <w:t xml:space="preserve">19 </w:t>
            </w:r>
          </w:p>
        </w:tc>
      </w:tr>
    </w:tbl>
    <w:p w:rsidR="00E8309B" w:rsidRDefault="009D0949">
      <w:pPr>
        <w:numPr>
          <w:ilvl w:val="0"/>
          <w:numId w:val="20"/>
        </w:numPr>
        <w:spacing w:after="79" w:line="271" w:lineRule="auto"/>
        <w:ind w:right="9" w:hanging="360"/>
      </w:pPr>
      <w:r>
        <w:rPr>
          <w:b/>
        </w:rPr>
        <w:t xml:space="preserve">Очекивани утицај на конкурентност </w:t>
      </w:r>
    </w:p>
    <w:p w:rsidR="00E8309B" w:rsidRDefault="009D0949">
      <w:pPr>
        <w:spacing w:after="160"/>
        <w:ind w:left="-5" w:right="17"/>
      </w:pPr>
      <w:r>
        <w:t>У оквиру прерађивачке индустрије у Србији још увек доминирају сектори ниже технолошке сложености и ниже продуктивности (радно и ресурсно интензивне делатности) при чему је ситуација неповољнија код МСПП у односу на велика</w:t>
      </w:r>
      <w:r>
        <w:t xml:space="preserve"> предузећа. Кроз Стратегију индустријске политике Републике Србије од 2021. до 2030. године акценат је стављен на </w:t>
      </w:r>
      <w:r>
        <w:lastRenderedPageBreak/>
        <w:t>индустријско реструктурирање у правцу приближавања иновативним и технолошки интензивним и удаљавању од радно интензивних сектора. Република Ср</w:t>
      </w:r>
      <w:r>
        <w:t xml:space="preserve">бија ће настојати да мерама индустријске политике своју конкурентност и привлачење инвестиција све мање заснива на јефтиној радној снази, а све више улаже у  унапређење људских ресурса кроз боље образовање и обуке у складу са захтевима привреде и подстиче </w:t>
      </w:r>
      <w:r>
        <w:t>стварање иновативних производа с већом додатном вредношћу, уз коришћење предности дигиталних технологија у пословању и привредну сарадњу домаћих предузећа са европским и међународним партнерима. Очекује се значајан напредак у области дигитализације привред</w:t>
      </w:r>
      <w:r>
        <w:t xml:space="preserve">е, иновација, квалитета инвестиција и унапређења технолошке структуре извоза. </w:t>
      </w:r>
    </w:p>
    <w:p w:rsidR="00E8309B" w:rsidRDefault="009D0949">
      <w:pPr>
        <w:numPr>
          <w:ilvl w:val="0"/>
          <w:numId w:val="20"/>
        </w:numPr>
        <w:spacing w:after="79" w:line="271" w:lineRule="auto"/>
        <w:ind w:right="9" w:hanging="360"/>
      </w:pPr>
      <w:r>
        <w:rPr>
          <w:b/>
        </w:rPr>
        <w:t xml:space="preserve">Процењени трошкови спровођења структурне реформе и предвиђени извори њиховог финансирања </w:t>
      </w:r>
    </w:p>
    <w:p w:rsidR="00E8309B" w:rsidRDefault="009D0949">
      <w:pPr>
        <w:spacing w:after="97"/>
        <w:ind w:left="-5" w:right="17"/>
      </w:pPr>
      <w:r>
        <w:t xml:space="preserve">За реализацију мера из </w:t>
      </w:r>
      <w:r>
        <w:rPr>
          <w:i/>
        </w:rPr>
        <w:t>Акционог плана за спровођење Стратегије индустријске политике Ре</w:t>
      </w:r>
      <w:r>
        <w:rPr>
          <w:i/>
        </w:rPr>
        <w:t>публике Србије од 2021-2030. године</w:t>
      </w:r>
      <w:r>
        <w:t xml:space="preserve">, , за области дигитализације, инвестиција и унапређење технолошке структуре извоза, средства ће бити обезбеђена из буџета РС на следећи начин: </w:t>
      </w:r>
      <w:r>
        <w:rPr>
          <w:b/>
        </w:rPr>
        <w:t>Дигитализација</w:t>
      </w:r>
      <w:r>
        <w:t>: 2021. година – 1.341.666,66 евра</w:t>
      </w:r>
      <w:r>
        <w:rPr>
          <w:rFonts w:ascii="Calibri" w:eastAsia="Calibri" w:hAnsi="Calibri" w:cs="Calibri"/>
          <w:sz w:val="22"/>
        </w:rPr>
        <w:t xml:space="preserve"> </w:t>
      </w:r>
      <w:r>
        <w:t>(субвенције износе 858.333,3</w:t>
      </w:r>
      <w:r>
        <w:t xml:space="preserve">3 евра, а добра и услуге 483.333,33 евра);  </w:t>
      </w:r>
    </w:p>
    <w:p w:rsidR="00E8309B" w:rsidRDefault="009D0949">
      <w:pPr>
        <w:spacing w:after="92" w:line="303" w:lineRule="auto"/>
        <w:ind w:left="-5" w:right="17"/>
      </w:pPr>
      <w:r>
        <w:t>2022. година –1.512.500 евра</w:t>
      </w:r>
      <w:r>
        <w:rPr>
          <w:rFonts w:ascii="Calibri" w:eastAsia="Calibri" w:hAnsi="Calibri" w:cs="Calibri"/>
          <w:sz w:val="22"/>
        </w:rPr>
        <w:t xml:space="preserve"> </w:t>
      </w:r>
      <w:r>
        <w:t>(субвенције износе 1.291.666,67 евра, а добра и услуге 220.833,33 евра);</w:t>
      </w:r>
      <w:r>
        <w:rPr>
          <w:rFonts w:ascii="Calibri" w:eastAsia="Calibri" w:hAnsi="Calibri" w:cs="Calibri"/>
          <w:sz w:val="22"/>
        </w:rPr>
        <w:t xml:space="preserve">  </w:t>
      </w:r>
      <w:r>
        <w:t xml:space="preserve">2023. година - 1.595.833,33 евра (субвенције износе 1.375.000 евра, а добра и услуге 220.833,33 евра).  </w:t>
      </w:r>
    </w:p>
    <w:p w:rsidR="00E8309B" w:rsidRDefault="009D0949">
      <w:pPr>
        <w:spacing w:after="152"/>
        <w:ind w:left="-5" w:right="17"/>
      </w:pPr>
      <w:r>
        <w:rPr>
          <w:b/>
        </w:rPr>
        <w:t>Инвестиције</w:t>
      </w:r>
      <w:r>
        <w:t>: Због веома лоше опремљености, у наредне три године планирани су износи од 12.250.000 евра, по години за инфраструктурно опремање индустријских зона. Такође, у плану су регулаторне мере које би требало да омогуће виши ниво инвестиција у делатно</w:t>
      </w:r>
      <w:r>
        <w:t xml:space="preserve">сти са већом додатом вредношћу и уравнотеженији регионални развој. </w:t>
      </w:r>
    </w:p>
    <w:p w:rsidR="00E8309B" w:rsidRDefault="009D0949">
      <w:pPr>
        <w:spacing w:after="161"/>
        <w:ind w:left="-5" w:right="17"/>
      </w:pPr>
      <w:r>
        <w:rPr>
          <w:b/>
        </w:rPr>
        <w:t>Унапређење технолошке структуре извоза</w:t>
      </w:r>
      <w:r>
        <w:t xml:space="preserve">: Средства у износу 83.333,33 евра </w:t>
      </w:r>
      <w:r>
        <w:t xml:space="preserve">по години, биће опредељена у наредне три године за услуге идентификације и подршке предузећима са извозним потенцијалом у областима веће додате вредности, нарочито у областима које су препознате у Стратегији паметне специјализације. </w:t>
      </w:r>
    </w:p>
    <w:p w:rsidR="00E8309B" w:rsidRDefault="009D0949">
      <w:pPr>
        <w:numPr>
          <w:ilvl w:val="0"/>
          <w:numId w:val="21"/>
        </w:numPr>
        <w:spacing w:after="79" w:line="271" w:lineRule="auto"/>
        <w:ind w:right="9" w:hanging="360"/>
      </w:pPr>
      <w:r>
        <w:rPr>
          <w:b/>
        </w:rPr>
        <w:t>Очекивани утицај на со</w:t>
      </w:r>
      <w:r>
        <w:rPr>
          <w:b/>
        </w:rPr>
        <w:t xml:space="preserve">цијалне циљеве, као што су запосленост, смањење сиромаштва, једнакост и род </w:t>
      </w:r>
    </w:p>
    <w:p w:rsidR="00E8309B" w:rsidRDefault="009D0949">
      <w:pPr>
        <w:spacing w:after="160"/>
        <w:ind w:left="-5" w:right="17"/>
      </w:pPr>
      <w:r>
        <w:t>Значајан број мера из Стратегије и Акционог плана, нарочито у области дигитализације, иновација и циркуларне економије, посвећен је унапређењу људских ресурса кроз усклађивање обр</w:t>
      </w:r>
      <w:r>
        <w:t>азовања са потребама привреде, али и бројне промоције и обуке које треба да покрену привредну активност у наведеним областима. Поред позитивних ефеката на повећање броја запослених, очекује се раст животног стандарда због појаве нових послова у делатностим</w:t>
      </w:r>
      <w:r>
        <w:t xml:space="preserve">а средњих и високих технологија, а приликом креирања активности за спровођење Акционог плана узеће се у обзир и родни аспект. </w:t>
      </w:r>
    </w:p>
    <w:p w:rsidR="00E8309B" w:rsidRDefault="009D0949">
      <w:pPr>
        <w:numPr>
          <w:ilvl w:val="0"/>
          <w:numId w:val="21"/>
        </w:numPr>
        <w:spacing w:after="126" w:line="271" w:lineRule="auto"/>
        <w:ind w:right="9" w:hanging="360"/>
      </w:pPr>
      <w:r>
        <w:rPr>
          <w:b/>
        </w:rPr>
        <w:t xml:space="preserve">Очекивани утицај на животну средину </w:t>
      </w:r>
    </w:p>
    <w:p w:rsidR="00E8309B" w:rsidRDefault="009D0949">
      <w:pPr>
        <w:spacing w:after="155"/>
        <w:ind w:left="-5" w:right="17"/>
      </w:pPr>
      <w:r>
        <w:t>Један од посебних циљева Стратегије индустријске политике Републике Србије од 2021. до 2030.</w:t>
      </w:r>
      <w:r>
        <w:t xml:space="preserve"> године који би требало да допринесе подизању конкурентности индустрије је трансформација индустрије од линеарног ка циркуларном моделу. Активности које ће бити дефинисане Акционим планом представљаће комбинацију промотивних и подстицајних и настојаће да п</w:t>
      </w:r>
      <w:r>
        <w:t>одигну ниво резултата у овој области који су за сада на прилично ниском нивоу.</w:t>
      </w:r>
      <w:r>
        <w:rPr>
          <w:b/>
        </w:rPr>
        <w:t xml:space="preserve"> </w:t>
      </w:r>
    </w:p>
    <w:p w:rsidR="00E8309B" w:rsidRDefault="009D0949">
      <w:pPr>
        <w:numPr>
          <w:ilvl w:val="0"/>
          <w:numId w:val="21"/>
        </w:numPr>
        <w:spacing w:after="0" w:line="271" w:lineRule="auto"/>
        <w:ind w:right="9" w:hanging="360"/>
      </w:pPr>
      <w:r>
        <w:rPr>
          <w:b/>
        </w:rPr>
        <w:t xml:space="preserve">Потенцијални ризици </w:t>
      </w:r>
    </w:p>
    <w:tbl>
      <w:tblPr>
        <w:tblStyle w:val="TableGrid"/>
        <w:tblW w:w="9696" w:type="dxa"/>
        <w:tblInd w:w="5" w:type="dxa"/>
        <w:tblCellMar>
          <w:top w:w="10" w:type="dxa"/>
          <w:left w:w="108" w:type="dxa"/>
          <w:bottom w:w="0" w:type="dxa"/>
          <w:right w:w="59" w:type="dxa"/>
        </w:tblCellMar>
        <w:tblLook w:val="04A0" w:firstRow="1" w:lastRow="0" w:firstColumn="1" w:lastColumn="0" w:noHBand="0" w:noVBand="1"/>
      </w:tblPr>
      <w:tblGrid>
        <w:gridCol w:w="3330"/>
        <w:gridCol w:w="2201"/>
        <w:gridCol w:w="4165"/>
      </w:tblGrid>
      <w:tr w:rsidR="00E8309B">
        <w:trPr>
          <w:trHeight w:val="470"/>
        </w:trPr>
        <w:tc>
          <w:tcPr>
            <w:tcW w:w="3329"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2" w:right="0" w:firstLine="0"/>
              <w:jc w:val="left"/>
            </w:pPr>
            <w:r>
              <w:rPr>
                <w:b/>
                <w:sz w:val="20"/>
              </w:rPr>
              <w:lastRenderedPageBreak/>
              <w:t xml:space="preserve">Ризик </w:t>
            </w:r>
          </w:p>
        </w:tc>
        <w:tc>
          <w:tcPr>
            <w:tcW w:w="2201"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2" w:right="0" w:firstLine="0"/>
              <w:jc w:val="left"/>
            </w:pPr>
            <w:r>
              <w:rPr>
                <w:b/>
                <w:sz w:val="20"/>
              </w:rPr>
              <w:t xml:space="preserve">Вероватноћа за остваривање ризика </w:t>
            </w:r>
          </w:p>
        </w:tc>
        <w:tc>
          <w:tcPr>
            <w:tcW w:w="4165"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0" w:firstLine="0"/>
              <w:jc w:val="left"/>
            </w:pPr>
            <w:r>
              <w:rPr>
                <w:b/>
                <w:sz w:val="20"/>
              </w:rPr>
              <w:t xml:space="preserve">Активности за ублажавање негативних ефеката ризика </w:t>
            </w:r>
          </w:p>
        </w:tc>
      </w:tr>
      <w:tr w:rsidR="00E8309B">
        <w:trPr>
          <w:trHeight w:val="240"/>
        </w:trPr>
        <w:tc>
          <w:tcPr>
            <w:tcW w:w="3329"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2" w:right="0" w:firstLine="0"/>
              <w:jc w:val="left"/>
            </w:pPr>
            <w:r>
              <w:rPr>
                <w:b/>
                <w:i/>
                <w:sz w:val="20"/>
              </w:rPr>
              <w:t xml:space="preserve">Спољни ризици </w:t>
            </w:r>
          </w:p>
        </w:tc>
        <w:tc>
          <w:tcPr>
            <w:tcW w:w="2201"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2" w:right="0" w:firstLine="0"/>
              <w:jc w:val="left"/>
            </w:pPr>
            <w:r>
              <w:rPr>
                <w:b/>
                <w:sz w:val="20"/>
              </w:rPr>
              <w:t xml:space="preserve"> </w:t>
            </w:r>
          </w:p>
        </w:tc>
        <w:tc>
          <w:tcPr>
            <w:tcW w:w="4165"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0" w:firstLine="0"/>
              <w:jc w:val="left"/>
            </w:pPr>
            <w:r>
              <w:rPr>
                <w:b/>
                <w:sz w:val="20"/>
              </w:rPr>
              <w:t xml:space="preserve"> </w:t>
            </w:r>
          </w:p>
        </w:tc>
      </w:tr>
      <w:tr w:rsidR="00E8309B">
        <w:trPr>
          <w:trHeight w:val="932"/>
        </w:trPr>
        <w:tc>
          <w:tcPr>
            <w:tcW w:w="3329"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2" w:right="0" w:firstLine="0"/>
              <w:jc w:val="left"/>
            </w:pPr>
            <w:r>
              <w:rPr>
                <w:sz w:val="20"/>
              </w:rPr>
              <w:t xml:space="preserve">Кретање на међународном робном и финансијском тржишту (цене пољопривредних производа, цене нафте, цене основних метала...) </w:t>
            </w:r>
          </w:p>
        </w:tc>
        <w:tc>
          <w:tcPr>
            <w:tcW w:w="2201"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2" w:right="0" w:firstLine="0"/>
              <w:jc w:val="left"/>
            </w:pPr>
            <w:r>
              <w:rPr>
                <w:sz w:val="20"/>
              </w:rPr>
              <w:t>Средња</w:t>
            </w:r>
            <w:r>
              <w:rPr>
                <w:b/>
                <w:sz w:val="20"/>
              </w:rPr>
              <w:t xml:space="preserve"> </w:t>
            </w:r>
          </w:p>
        </w:tc>
        <w:tc>
          <w:tcPr>
            <w:tcW w:w="4165"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0" w:firstLine="0"/>
              <w:jc w:val="left"/>
            </w:pPr>
            <w:r>
              <w:rPr>
                <w:sz w:val="20"/>
              </w:rPr>
              <w:t xml:space="preserve">Стабилна макроекономска политика  </w:t>
            </w:r>
          </w:p>
          <w:p w:rsidR="00E8309B" w:rsidRDefault="009D0949">
            <w:pPr>
              <w:spacing w:after="0" w:line="259" w:lineRule="auto"/>
              <w:ind w:left="0" w:right="865" w:firstLine="0"/>
            </w:pPr>
            <w:r>
              <w:rPr>
                <w:sz w:val="20"/>
              </w:rPr>
              <w:t>Јачање финансијске инфраструктуре (развијен систем пословног банака и осигуравајућих друш</w:t>
            </w:r>
            <w:r>
              <w:rPr>
                <w:sz w:val="20"/>
              </w:rPr>
              <w:t>тава)</w:t>
            </w:r>
            <w:r>
              <w:rPr>
                <w:b/>
                <w:sz w:val="20"/>
              </w:rPr>
              <w:t xml:space="preserve"> </w:t>
            </w:r>
          </w:p>
        </w:tc>
      </w:tr>
      <w:tr w:rsidR="00E8309B">
        <w:trPr>
          <w:trHeight w:val="471"/>
        </w:trPr>
        <w:tc>
          <w:tcPr>
            <w:tcW w:w="3329"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2" w:right="0" w:firstLine="0"/>
              <w:jc w:val="left"/>
            </w:pPr>
            <w:r>
              <w:rPr>
                <w:sz w:val="20"/>
              </w:rPr>
              <w:t xml:space="preserve">Криза и поремећаји изазвани вирусом Ковид-19 </w:t>
            </w:r>
          </w:p>
        </w:tc>
        <w:tc>
          <w:tcPr>
            <w:tcW w:w="2201"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2" w:right="0" w:firstLine="0"/>
              <w:jc w:val="left"/>
            </w:pPr>
            <w:r>
              <w:rPr>
                <w:sz w:val="20"/>
              </w:rPr>
              <w:t xml:space="preserve">Висока </w:t>
            </w:r>
          </w:p>
        </w:tc>
        <w:tc>
          <w:tcPr>
            <w:tcW w:w="4165"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0" w:firstLine="0"/>
              <w:jc w:val="left"/>
            </w:pPr>
            <w:r>
              <w:rPr>
                <w:sz w:val="20"/>
              </w:rPr>
              <w:t xml:space="preserve">Подстицаји најугроженијим привредним субјектима </w:t>
            </w:r>
          </w:p>
        </w:tc>
      </w:tr>
      <w:tr w:rsidR="00E8309B">
        <w:trPr>
          <w:trHeight w:val="240"/>
        </w:trPr>
        <w:tc>
          <w:tcPr>
            <w:tcW w:w="3329"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2" w:right="0" w:firstLine="0"/>
              <w:jc w:val="left"/>
            </w:pPr>
            <w:r>
              <w:rPr>
                <w:b/>
                <w:i/>
                <w:sz w:val="20"/>
              </w:rPr>
              <w:t xml:space="preserve">Унутрашњи ризици </w:t>
            </w:r>
          </w:p>
        </w:tc>
        <w:tc>
          <w:tcPr>
            <w:tcW w:w="2201"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2" w:right="0" w:firstLine="0"/>
              <w:jc w:val="left"/>
            </w:pPr>
            <w:r>
              <w:rPr>
                <w:sz w:val="20"/>
              </w:rPr>
              <w:t xml:space="preserve"> </w:t>
            </w:r>
          </w:p>
        </w:tc>
        <w:tc>
          <w:tcPr>
            <w:tcW w:w="4165"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0" w:firstLine="0"/>
              <w:jc w:val="left"/>
            </w:pPr>
            <w:r>
              <w:rPr>
                <w:sz w:val="20"/>
              </w:rPr>
              <w:t xml:space="preserve"> </w:t>
            </w:r>
          </w:p>
        </w:tc>
      </w:tr>
      <w:tr w:rsidR="00E8309B">
        <w:trPr>
          <w:trHeight w:val="701"/>
        </w:trPr>
        <w:tc>
          <w:tcPr>
            <w:tcW w:w="3329"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2" w:right="0" w:firstLine="0"/>
              <w:jc w:val="left"/>
            </w:pPr>
            <w:r>
              <w:rPr>
                <w:sz w:val="20"/>
              </w:rPr>
              <w:t xml:space="preserve">Пољопривредна производња (као сировинска основа прехрамбене индустрије) </w:t>
            </w:r>
          </w:p>
        </w:tc>
        <w:tc>
          <w:tcPr>
            <w:tcW w:w="2201"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2" w:right="0" w:firstLine="0"/>
              <w:jc w:val="left"/>
            </w:pPr>
            <w:r>
              <w:rPr>
                <w:sz w:val="20"/>
              </w:rPr>
              <w:t xml:space="preserve">Средња (зависи од климатских услова) </w:t>
            </w:r>
          </w:p>
        </w:tc>
        <w:tc>
          <w:tcPr>
            <w:tcW w:w="4165"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0" w:firstLine="0"/>
              <w:jc w:val="left"/>
            </w:pPr>
            <w:r>
              <w:rPr>
                <w:sz w:val="20"/>
              </w:rPr>
              <w:t xml:space="preserve">Подстицаји за унапређење пољопривредне производње и улагања у опрему и механизацију </w:t>
            </w:r>
          </w:p>
        </w:tc>
      </w:tr>
      <w:tr w:rsidR="00E8309B">
        <w:trPr>
          <w:trHeight w:val="470"/>
        </w:trPr>
        <w:tc>
          <w:tcPr>
            <w:tcW w:w="3329"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2" w:right="0" w:firstLine="0"/>
              <w:jc w:val="left"/>
            </w:pPr>
            <w:r>
              <w:rPr>
                <w:sz w:val="20"/>
              </w:rPr>
              <w:t xml:space="preserve">Ефикасност реализације јавних пројеката </w:t>
            </w:r>
          </w:p>
        </w:tc>
        <w:tc>
          <w:tcPr>
            <w:tcW w:w="2201"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2" w:right="0" w:firstLine="0"/>
              <w:jc w:val="left"/>
            </w:pPr>
            <w:r>
              <w:rPr>
                <w:sz w:val="20"/>
              </w:rPr>
              <w:t xml:space="preserve">Ниска </w:t>
            </w:r>
          </w:p>
        </w:tc>
        <w:tc>
          <w:tcPr>
            <w:tcW w:w="4165"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0" w:firstLine="0"/>
              <w:jc w:val="left"/>
            </w:pPr>
            <w:r>
              <w:rPr>
                <w:sz w:val="20"/>
              </w:rPr>
              <w:t xml:space="preserve">Финансирање и подстицаји за предузећа која учествују у реализацији јавних пројеката </w:t>
            </w:r>
          </w:p>
        </w:tc>
      </w:tr>
      <w:tr w:rsidR="00E8309B">
        <w:trPr>
          <w:trHeight w:val="701"/>
        </w:trPr>
        <w:tc>
          <w:tcPr>
            <w:tcW w:w="3329"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2" w:right="0" w:firstLine="0"/>
              <w:jc w:val="left"/>
            </w:pPr>
            <w:r>
              <w:rPr>
                <w:sz w:val="20"/>
              </w:rPr>
              <w:t xml:space="preserve">Динамика спровођења започетих реформи </w:t>
            </w:r>
          </w:p>
        </w:tc>
        <w:tc>
          <w:tcPr>
            <w:tcW w:w="2201"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2" w:right="0" w:firstLine="0"/>
              <w:jc w:val="left"/>
            </w:pPr>
            <w:r>
              <w:rPr>
                <w:sz w:val="20"/>
              </w:rPr>
              <w:t xml:space="preserve">Ниска </w:t>
            </w:r>
          </w:p>
        </w:tc>
        <w:tc>
          <w:tcPr>
            <w:tcW w:w="4165"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0" w:firstLine="0"/>
              <w:jc w:val="left"/>
            </w:pPr>
            <w:r>
              <w:rPr>
                <w:sz w:val="20"/>
              </w:rPr>
              <w:t xml:space="preserve">Повећати капацитете за реализацију започетих реформи (финансијских, кадровских...) </w:t>
            </w:r>
          </w:p>
        </w:tc>
      </w:tr>
    </w:tbl>
    <w:p w:rsidR="00E8309B" w:rsidRDefault="009D0949">
      <w:pPr>
        <w:spacing w:after="156"/>
        <w:ind w:left="-5" w:right="17"/>
      </w:pPr>
      <w:r>
        <w:rPr>
          <w:b/>
          <w:u w:val="single" w:color="000000"/>
        </w:rPr>
        <w:t>СТРУКТУРНА РЕФОРМА 8:</w:t>
      </w:r>
      <w:r>
        <w:rPr>
          <w:b/>
        </w:rPr>
        <w:t xml:space="preserve"> </w:t>
      </w:r>
      <w:r>
        <w:t>УВОЂЕЊЕ КОНЦЕПТА ЦИРКУЛАРНЕ ЕКОНОМИЈЕ</w:t>
      </w:r>
      <w:r>
        <w:rPr>
          <w:b/>
        </w:rPr>
        <w:t xml:space="preserve"> </w:t>
      </w:r>
    </w:p>
    <w:p w:rsidR="00E8309B" w:rsidRDefault="009D0949">
      <w:pPr>
        <w:numPr>
          <w:ilvl w:val="0"/>
          <w:numId w:val="22"/>
        </w:numPr>
        <w:spacing w:after="79" w:line="271" w:lineRule="auto"/>
        <w:ind w:right="9" w:hanging="360"/>
      </w:pPr>
      <w:r>
        <w:rPr>
          <w:b/>
        </w:rPr>
        <w:t xml:space="preserve">Опис структурне реформе </w:t>
      </w:r>
    </w:p>
    <w:p w:rsidR="00E8309B" w:rsidRDefault="009D0949">
      <w:pPr>
        <w:ind w:left="-5" w:right="17"/>
      </w:pPr>
      <w:r>
        <w:t>Увођење циркуларне економије као мултид</w:t>
      </w:r>
      <w:r>
        <w:t>исциплинарног система који повезује многе области има за циљ да покрене развој привреде Србије уз очување животне средине и здравља људи, кроз ефикасно коришћење ресурса уз иновативни дизајн, поврат свега што се може поново искористити и максимално коришће</w:t>
      </w:r>
      <w:r>
        <w:t xml:space="preserve">ње обновљивих извора енергије. У циљу дефинисања стрaтeшког оквира за циркуларну економију урађена је </w:t>
      </w:r>
      <w:r>
        <w:rPr>
          <w:i/>
        </w:rPr>
        <w:t>Еx-ante</w:t>
      </w:r>
      <w:r>
        <w:t xml:space="preserve"> </w:t>
      </w:r>
      <w:r>
        <w:rPr>
          <w:i/>
        </w:rPr>
        <w:t>анализа ефеката за циркуларну економију</w:t>
      </w:r>
      <w:r>
        <w:t xml:space="preserve"> као припремни документ за израду документа јавне политике. Такође, урађена је и </w:t>
      </w:r>
      <w:r>
        <w:rPr>
          <w:i/>
        </w:rPr>
        <w:t>Мапа пута за циркуларну економију</w:t>
      </w:r>
      <w:r>
        <w:t xml:space="preserve"> у 2020. години, која даје препоруке за транзицију од линеарне ка циркуларној економији у области управљања отпадом. </w:t>
      </w:r>
    </w:p>
    <w:p w:rsidR="00E8309B" w:rsidRDefault="009D0949">
      <w:pPr>
        <w:spacing w:after="154"/>
        <w:ind w:left="-5" w:right="17"/>
      </w:pPr>
      <w:r>
        <w:t xml:space="preserve">Оквир реформе дефинисан је </w:t>
      </w:r>
      <w:r>
        <w:rPr>
          <w:i/>
        </w:rPr>
        <w:t>Стратегијом индустријске политике РС од 2021-2030. године</w:t>
      </w:r>
      <w:r>
        <w:t xml:space="preserve">, </w:t>
      </w:r>
      <w:r>
        <w:t xml:space="preserve">која представља основ за израду документа јавне политике </w:t>
      </w:r>
      <w:r>
        <w:rPr>
          <w:i/>
        </w:rPr>
        <w:t>Програм за циркуларну економију са акционим планом за три године</w:t>
      </w:r>
      <w:r>
        <w:t xml:space="preserve">, у циљу стварања фокусиране и боље координисане политике у овој области. </w:t>
      </w:r>
      <w:r>
        <w:rPr>
          <w:i/>
        </w:rPr>
        <w:t>Циркуларна економија је један од кључних алата за достизање Ц</w:t>
      </w:r>
      <w:r>
        <w:rPr>
          <w:i/>
        </w:rPr>
        <w:t>иљева одрживог развоја</w:t>
      </w:r>
      <w:r>
        <w:t xml:space="preserve">. Реформа је повезана са </w:t>
      </w:r>
      <w:r>
        <w:rPr>
          <w:b/>
        </w:rPr>
        <w:t xml:space="preserve">ЦОР 12. </w:t>
      </w:r>
      <w:r>
        <w:t>Обезбедити одрживе обрасце потрошње и производње</w:t>
      </w:r>
      <w:r>
        <w:rPr>
          <w:b/>
        </w:rPr>
        <w:t xml:space="preserve"> </w:t>
      </w:r>
      <w:r>
        <w:t>односно доприноси остваривању</w:t>
      </w:r>
      <w:r>
        <w:rPr>
          <w:b/>
        </w:rPr>
        <w:t xml:space="preserve"> ЦОР 12.1.</w:t>
      </w:r>
      <w:r>
        <w:t xml:space="preserve"> Спровести десетогодишњи оквир програма о одрживој потрошњи и производњи и </w:t>
      </w:r>
      <w:r>
        <w:rPr>
          <w:b/>
        </w:rPr>
        <w:t>ЦОР 12.2.</w:t>
      </w:r>
      <w:r>
        <w:t xml:space="preserve"> До 2030. постићи одрживо упр</w:t>
      </w:r>
      <w:r>
        <w:t xml:space="preserve">ављање и ефикасно коришћење природних ресурса. </w:t>
      </w:r>
    </w:p>
    <w:p w:rsidR="00E8309B" w:rsidRDefault="009D0949">
      <w:pPr>
        <w:numPr>
          <w:ilvl w:val="0"/>
          <w:numId w:val="22"/>
        </w:numPr>
        <w:spacing w:after="79" w:line="271" w:lineRule="auto"/>
        <w:ind w:right="9" w:hanging="360"/>
      </w:pPr>
      <w:r>
        <w:rPr>
          <w:b/>
        </w:rPr>
        <w:t xml:space="preserve">Ковид-19 – ефекти, мере и изазови </w:t>
      </w:r>
    </w:p>
    <w:p w:rsidR="00E8309B" w:rsidRDefault="009D0949">
      <w:pPr>
        <w:spacing w:after="160"/>
        <w:ind w:left="-5" w:right="17"/>
      </w:pPr>
      <w:r>
        <w:t>Ковид-19 пандемија има негативне ефекте на област заштите животне средине. У циљу заштите задравља људи од вируса користи се заштитна опрема (маске, рукавице, средства за де</w:t>
      </w:r>
      <w:r>
        <w:t>зинфекцију и др.), што значајно утиче на повећање количине отпада. Предложена мера се преноси из претходне године јер се због ванредних околности које је изазвала пандемија,   активности на припреми стратешког оквира за циркуларну економију нису могле реал</w:t>
      </w:r>
      <w:r>
        <w:t xml:space="preserve">изовати и стога се морају померити за наредну годину. </w:t>
      </w:r>
    </w:p>
    <w:p w:rsidR="00E8309B" w:rsidRDefault="009D0949">
      <w:pPr>
        <w:numPr>
          <w:ilvl w:val="0"/>
          <w:numId w:val="22"/>
        </w:numPr>
        <w:spacing w:after="0" w:line="271" w:lineRule="auto"/>
        <w:ind w:right="9" w:hanging="360"/>
      </w:pPr>
      <w:r>
        <w:rPr>
          <w:b/>
        </w:rPr>
        <w:t xml:space="preserve">Планирање активности по годинама </w:t>
      </w:r>
    </w:p>
    <w:tbl>
      <w:tblPr>
        <w:tblStyle w:val="TableGrid"/>
        <w:tblW w:w="9610" w:type="dxa"/>
        <w:tblInd w:w="10" w:type="dxa"/>
        <w:tblCellMar>
          <w:top w:w="9" w:type="dxa"/>
          <w:left w:w="58" w:type="dxa"/>
          <w:bottom w:w="0" w:type="dxa"/>
          <w:right w:w="8" w:type="dxa"/>
        </w:tblCellMar>
        <w:tblLook w:val="04A0" w:firstRow="1" w:lastRow="0" w:firstColumn="1" w:lastColumn="0" w:noHBand="0" w:noVBand="1"/>
      </w:tblPr>
      <w:tblGrid>
        <w:gridCol w:w="427"/>
        <w:gridCol w:w="4122"/>
        <w:gridCol w:w="419"/>
        <w:gridCol w:w="421"/>
        <w:gridCol w:w="423"/>
        <w:gridCol w:w="421"/>
        <w:gridCol w:w="424"/>
        <w:gridCol w:w="421"/>
        <w:gridCol w:w="423"/>
        <w:gridCol w:w="420"/>
        <w:gridCol w:w="424"/>
        <w:gridCol w:w="422"/>
        <w:gridCol w:w="423"/>
        <w:gridCol w:w="420"/>
      </w:tblGrid>
      <w:tr w:rsidR="00E8309B">
        <w:trPr>
          <w:trHeight w:val="331"/>
        </w:trPr>
        <w:tc>
          <w:tcPr>
            <w:tcW w:w="427" w:type="dxa"/>
            <w:vMerge w:val="restart"/>
            <w:tcBorders>
              <w:top w:val="single" w:sz="8" w:space="0" w:color="000000"/>
              <w:left w:val="single" w:sz="8" w:space="0" w:color="000000"/>
              <w:bottom w:val="single" w:sz="8" w:space="0" w:color="000000"/>
              <w:right w:val="single" w:sz="8" w:space="0" w:color="000000"/>
            </w:tcBorders>
            <w:vAlign w:val="center"/>
          </w:tcPr>
          <w:p w:rsidR="00E8309B" w:rsidRDefault="009D0949">
            <w:pPr>
              <w:spacing w:after="0" w:line="259" w:lineRule="auto"/>
              <w:ind w:left="29" w:right="0" w:firstLine="0"/>
            </w:pPr>
            <w:r>
              <w:rPr>
                <w:b/>
                <w:sz w:val="20"/>
              </w:rPr>
              <w:t xml:space="preserve">РБ </w:t>
            </w:r>
          </w:p>
        </w:tc>
        <w:tc>
          <w:tcPr>
            <w:tcW w:w="4123" w:type="dxa"/>
            <w:vMerge w:val="restart"/>
            <w:tcBorders>
              <w:top w:val="single" w:sz="8" w:space="0" w:color="000000"/>
              <w:left w:val="single" w:sz="8" w:space="0" w:color="000000"/>
              <w:bottom w:val="single" w:sz="8" w:space="0" w:color="000000"/>
              <w:right w:val="single" w:sz="8" w:space="0" w:color="000000"/>
            </w:tcBorders>
            <w:vAlign w:val="center"/>
          </w:tcPr>
          <w:p w:rsidR="00E8309B" w:rsidRDefault="009D0949">
            <w:pPr>
              <w:spacing w:after="0" w:line="259" w:lineRule="auto"/>
              <w:ind w:left="0" w:right="0" w:firstLine="0"/>
              <w:jc w:val="left"/>
            </w:pPr>
            <w:r>
              <w:rPr>
                <w:b/>
                <w:sz w:val="20"/>
              </w:rPr>
              <w:t xml:space="preserve">Планиране активности </w:t>
            </w:r>
          </w:p>
        </w:tc>
        <w:tc>
          <w:tcPr>
            <w:tcW w:w="1263" w:type="dxa"/>
            <w:gridSpan w:val="3"/>
            <w:tcBorders>
              <w:top w:val="single" w:sz="8" w:space="0" w:color="000000"/>
              <w:left w:val="single" w:sz="8" w:space="0" w:color="000000"/>
              <w:bottom w:val="single" w:sz="4" w:space="0" w:color="000000"/>
              <w:right w:val="nil"/>
            </w:tcBorders>
          </w:tcPr>
          <w:p w:rsidR="00E8309B" w:rsidRDefault="009D0949">
            <w:pPr>
              <w:spacing w:after="0" w:line="259" w:lineRule="auto"/>
              <w:ind w:left="585" w:right="0" w:firstLine="0"/>
              <w:jc w:val="left"/>
            </w:pPr>
            <w:r>
              <w:rPr>
                <w:b/>
                <w:sz w:val="20"/>
              </w:rPr>
              <w:t xml:space="preserve">2021 </w:t>
            </w:r>
          </w:p>
        </w:tc>
        <w:tc>
          <w:tcPr>
            <w:tcW w:w="421" w:type="dxa"/>
            <w:tcBorders>
              <w:top w:val="single" w:sz="8" w:space="0" w:color="000000"/>
              <w:left w:val="nil"/>
              <w:bottom w:val="single" w:sz="4" w:space="0" w:color="000000"/>
              <w:right w:val="single" w:sz="8" w:space="0" w:color="000000"/>
            </w:tcBorders>
          </w:tcPr>
          <w:p w:rsidR="00E8309B" w:rsidRDefault="00E8309B">
            <w:pPr>
              <w:spacing w:after="160" w:line="259" w:lineRule="auto"/>
              <w:ind w:left="0" w:right="0" w:firstLine="0"/>
              <w:jc w:val="left"/>
            </w:pPr>
          </w:p>
        </w:tc>
        <w:tc>
          <w:tcPr>
            <w:tcW w:w="424" w:type="dxa"/>
            <w:tcBorders>
              <w:top w:val="single" w:sz="8" w:space="0" w:color="000000"/>
              <w:left w:val="single" w:sz="8" w:space="0" w:color="000000"/>
              <w:bottom w:val="single" w:sz="4" w:space="0" w:color="000000"/>
              <w:right w:val="nil"/>
            </w:tcBorders>
          </w:tcPr>
          <w:p w:rsidR="00E8309B" w:rsidRDefault="00E8309B">
            <w:pPr>
              <w:spacing w:after="160" w:line="259" w:lineRule="auto"/>
              <w:ind w:left="0" w:right="0" w:firstLine="0"/>
              <w:jc w:val="left"/>
            </w:pPr>
          </w:p>
        </w:tc>
        <w:tc>
          <w:tcPr>
            <w:tcW w:w="1264" w:type="dxa"/>
            <w:gridSpan w:val="3"/>
            <w:tcBorders>
              <w:top w:val="single" w:sz="8" w:space="0" w:color="000000"/>
              <w:left w:val="nil"/>
              <w:bottom w:val="single" w:sz="4" w:space="0" w:color="000000"/>
              <w:right w:val="single" w:sz="8" w:space="0" w:color="000000"/>
            </w:tcBorders>
          </w:tcPr>
          <w:p w:rsidR="00E8309B" w:rsidRDefault="009D0949">
            <w:pPr>
              <w:spacing w:after="0" w:line="259" w:lineRule="auto"/>
              <w:ind w:left="164" w:right="0" w:firstLine="0"/>
              <w:jc w:val="left"/>
            </w:pPr>
            <w:r>
              <w:rPr>
                <w:b/>
                <w:sz w:val="20"/>
              </w:rPr>
              <w:t xml:space="preserve">2022 </w:t>
            </w:r>
          </w:p>
        </w:tc>
        <w:tc>
          <w:tcPr>
            <w:tcW w:w="424" w:type="dxa"/>
            <w:tcBorders>
              <w:top w:val="single" w:sz="8" w:space="0" w:color="000000"/>
              <w:left w:val="single" w:sz="8" w:space="0" w:color="000000"/>
              <w:bottom w:val="single" w:sz="4" w:space="0" w:color="000000"/>
              <w:right w:val="nil"/>
            </w:tcBorders>
          </w:tcPr>
          <w:p w:rsidR="00E8309B" w:rsidRDefault="00E8309B">
            <w:pPr>
              <w:spacing w:after="160" w:line="259" w:lineRule="auto"/>
              <w:ind w:left="0" w:right="0" w:firstLine="0"/>
              <w:jc w:val="left"/>
            </w:pPr>
          </w:p>
        </w:tc>
        <w:tc>
          <w:tcPr>
            <w:tcW w:w="845" w:type="dxa"/>
            <w:gridSpan w:val="2"/>
            <w:tcBorders>
              <w:top w:val="single" w:sz="8" w:space="0" w:color="000000"/>
              <w:left w:val="nil"/>
              <w:bottom w:val="single" w:sz="4" w:space="0" w:color="000000"/>
              <w:right w:val="nil"/>
            </w:tcBorders>
          </w:tcPr>
          <w:p w:rsidR="00E8309B" w:rsidRDefault="009D0949">
            <w:pPr>
              <w:spacing w:after="0" w:line="259" w:lineRule="auto"/>
              <w:ind w:left="0" w:right="49" w:firstLine="0"/>
              <w:jc w:val="center"/>
            </w:pPr>
            <w:r>
              <w:rPr>
                <w:b/>
                <w:sz w:val="20"/>
              </w:rPr>
              <w:t xml:space="preserve">2023 </w:t>
            </w:r>
          </w:p>
        </w:tc>
        <w:tc>
          <w:tcPr>
            <w:tcW w:w="420" w:type="dxa"/>
            <w:tcBorders>
              <w:top w:val="single" w:sz="8" w:space="0" w:color="000000"/>
              <w:left w:val="nil"/>
              <w:bottom w:val="single" w:sz="4" w:space="0" w:color="000000"/>
              <w:right w:val="single" w:sz="8" w:space="0" w:color="000000"/>
            </w:tcBorders>
          </w:tcPr>
          <w:p w:rsidR="00E8309B" w:rsidRDefault="00E8309B">
            <w:pPr>
              <w:spacing w:after="160" w:line="259" w:lineRule="auto"/>
              <w:ind w:left="0" w:right="0" w:firstLine="0"/>
              <w:jc w:val="left"/>
            </w:pPr>
          </w:p>
        </w:tc>
      </w:tr>
      <w:tr w:rsidR="00E8309B">
        <w:trPr>
          <w:trHeight w:val="326"/>
        </w:trPr>
        <w:tc>
          <w:tcPr>
            <w:tcW w:w="0" w:type="auto"/>
            <w:vMerge/>
            <w:tcBorders>
              <w:top w:val="nil"/>
              <w:left w:val="single" w:sz="8" w:space="0" w:color="000000"/>
              <w:bottom w:val="single" w:sz="8" w:space="0" w:color="000000"/>
              <w:right w:val="single" w:sz="8" w:space="0" w:color="000000"/>
            </w:tcBorders>
          </w:tcPr>
          <w:p w:rsidR="00E8309B" w:rsidRDefault="00E8309B">
            <w:pPr>
              <w:spacing w:after="160" w:line="259" w:lineRule="auto"/>
              <w:ind w:left="0" w:right="0" w:firstLine="0"/>
              <w:jc w:val="left"/>
            </w:pPr>
          </w:p>
        </w:tc>
        <w:tc>
          <w:tcPr>
            <w:tcW w:w="0" w:type="auto"/>
            <w:vMerge/>
            <w:tcBorders>
              <w:top w:val="nil"/>
              <w:left w:val="single" w:sz="8" w:space="0" w:color="000000"/>
              <w:bottom w:val="single" w:sz="8" w:space="0" w:color="000000"/>
              <w:right w:val="single" w:sz="8" w:space="0" w:color="000000"/>
            </w:tcBorders>
          </w:tcPr>
          <w:p w:rsidR="00E8309B" w:rsidRDefault="00E8309B">
            <w:pPr>
              <w:spacing w:after="160" w:line="259" w:lineRule="auto"/>
              <w:ind w:left="0" w:right="0" w:firstLine="0"/>
              <w:jc w:val="left"/>
            </w:pPr>
          </w:p>
        </w:tc>
        <w:tc>
          <w:tcPr>
            <w:tcW w:w="419" w:type="dxa"/>
            <w:tcBorders>
              <w:top w:val="single" w:sz="4" w:space="0" w:color="000000"/>
              <w:left w:val="single" w:sz="8" w:space="0" w:color="000000"/>
              <w:bottom w:val="single" w:sz="8" w:space="0" w:color="000000"/>
              <w:right w:val="single" w:sz="4" w:space="0" w:color="000000"/>
            </w:tcBorders>
          </w:tcPr>
          <w:p w:rsidR="00E8309B" w:rsidRDefault="009D0949">
            <w:pPr>
              <w:spacing w:after="0" w:line="259" w:lineRule="auto"/>
              <w:ind w:left="42" w:right="0" w:firstLine="0"/>
              <w:jc w:val="left"/>
            </w:pPr>
            <w:r>
              <w:rPr>
                <w:i/>
                <w:sz w:val="18"/>
              </w:rPr>
              <w:t xml:space="preserve">Q1 </w:t>
            </w:r>
          </w:p>
        </w:tc>
        <w:tc>
          <w:tcPr>
            <w:tcW w:w="421" w:type="dxa"/>
            <w:tcBorders>
              <w:top w:val="single" w:sz="4" w:space="0" w:color="000000"/>
              <w:left w:val="single" w:sz="4" w:space="0" w:color="000000"/>
              <w:bottom w:val="single" w:sz="8" w:space="0" w:color="000000"/>
              <w:right w:val="single" w:sz="4" w:space="0" w:color="000000"/>
            </w:tcBorders>
          </w:tcPr>
          <w:p w:rsidR="00E8309B" w:rsidRDefault="009D0949">
            <w:pPr>
              <w:spacing w:after="0" w:line="259" w:lineRule="auto"/>
              <w:ind w:left="43" w:right="0" w:firstLine="0"/>
              <w:jc w:val="left"/>
            </w:pPr>
            <w:r>
              <w:rPr>
                <w:i/>
                <w:sz w:val="18"/>
              </w:rPr>
              <w:t xml:space="preserve">Q2 </w:t>
            </w:r>
          </w:p>
        </w:tc>
        <w:tc>
          <w:tcPr>
            <w:tcW w:w="422" w:type="dxa"/>
            <w:tcBorders>
              <w:top w:val="single" w:sz="4" w:space="0" w:color="000000"/>
              <w:left w:val="single" w:sz="4" w:space="0" w:color="000000"/>
              <w:bottom w:val="single" w:sz="8" w:space="0" w:color="000000"/>
              <w:right w:val="single" w:sz="4" w:space="0" w:color="000000"/>
            </w:tcBorders>
          </w:tcPr>
          <w:p w:rsidR="00E8309B" w:rsidRDefault="009D0949">
            <w:pPr>
              <w:spacing w:after="0" w:line="259" w:lineRule="auto"/>
              <w:ind w:left="44" w:right="0" w:firstLine="0"/>
              <w:jc w:val="left"/>
            </w:pPr>
            <w:r>
              <w:rPr>
                <w:i/>
                <w:sz w:val="18"/>
              </w:rPr>
              <w:t xml:space="preserve">Q3 </w:t>
            </w:r>
          </w:p>
        </w:tc>
        <w:tc>
          <w:tcPr>
            <w:tcW w:w="421" w:type="dxa"/>
            <w:tcBorders>
              <w:top w:val="single" w:sz="4" w:space="0" w:color="000000"/>
              <w:left w:val="single" w:sz="4" w:space="0" w:color="000000"/>
              <w:bottom w:val="single" w:sz="8" w:space="0" w:color="000000"/>
              <w:right w:val="single" w:sz="8" w:space="0" w:color="000000"/>
            </w:tcBorders>
          </w:tcPr>
          <w:p w:rsidR="00E8309B" w:rsidRDefault="009D0949">
            <w:pPr>
              <w:spacing w:after="0" w:line="259" w:lineRule="auto"/>
              <w:ind w:left="44" w:right="0" w:firstLine="0"/>
              <w:jc w:val="left"/>
            </w:pPr>
            <w:r>
              <w:rPr>
                <w:i/>
                <w:sz w:val="18"/>
              </w:rPr>
              <w:t xml:space="preserve">Q4 </w:t>
            </w:r>
          </w:p>
        </w:tc>
        <w:tc>
          <w:tcPr>
            <w:tcW w:w="424" w:type="dxa"/>
            <w:tcBorders>
              <w:top w:val="single" w:sz="4" w:space="0" w:color="000000"/>
              <w:left w:val="single" w:sz="8" w:space="0" w:color="000000"/>
              <w:bottom w:val="single" w:sz="8" w:space="0" w:color="000000"/>
              <w:right w:val="single" w:sz="4" w:space="0" w:color="000000"/>
            </w:tcBorders>
          </w:tcPr>
          <w:p w:rsidR="00E8309B" w:rsidRDefault="009D0949">
            <w:pPr>
              <w:spacing w:after="0" w:line="259" w:lineRule="auto"/>
              <w:ind w:left="46" w:right="0" w:firstLine="0"/>
              <w:jc w:val="left"/>
            </w:pPr>
            <w:r>
              <w:rPr>
                <w:i/>
                <w:sz w:val="18"/>
              </w:rPr>
              <w:t xml:space="preserve">Q1 </w:t>
            </w:r>
          </w:p>
        </w:tc>
        <w:tc>
          <w:tcPr>
            <w:tcW w:w="421" w:type="dxa"/>
            <w:tcBorders>
              <w:top w:val="single" w:sz="4" w:space="0" w:color="000000"/>
              <w:left w:val="single" w:sz="4" w:space="0" w:color="000000"/>
              <w:bottom w:val="single" w:sz="8" w:space="0" w:color="000000"/>
              <w:right w:val="single" w:sz="4" w:space="0" w:color="000000"/>
            </w:tcBorders>
          </w:tcPr>
          <w:p w:rsidR="00E8309B" w:rsidRDefault="009D0949">
            <w:pPr>
              <w:spacing w:after="0" w:line="259" w:lineRule="auto"/>
              <w:ind w:left="44" w:right="0" w:firstLine="0"/>
              <w:jc w:val="left"/>
            </w:pPr>
            <w:r>
              <w:rPr>
                <w:i/>
                <w:sz w:val="18"/>
              </w:rPr>
              <w:t xml:space="preserve">Q2 </w:t>
            </w:r>
          </w:p>
        </w:tc>
        <w:tc>
          <w:tcPr>
            <w:tcW w:w="423" w:type="dxa"/>
            <w:tcBorders>
              <w:top w:val="single" w:sz="4" w:space="0" w:color="000000"/>
              <w:left w:val="single" w:sz="4" w:space="0" w:color="000000"/>
              <w:bottom w:val="single" w:sz="8" w:space="0" w:color="000000"/>
              <w:right w:val="single" w:sz="4" w:space="0" w:color="000000"/>
            </w:tcBorders>
          </w:tcPr>
          <w:p w:rsidR="00E8309B" w:rsidRDefault="009D0949">
            <w:pPr>
              <w:spacing w:after="0" w:line="259" w:lineRule="auto"/>
              <w:ind w:left="46" w:right="0" w:firstLine="0"/>
              <w:jc w:val="left"/>
            </w:pPr>
            <w:r>
              <w:rPr>
                <w:i/>
                <w:sz w:val="18"/>
              </w:rPr>
              <w:t xml:space="preserve">Q3 </w:t>
            </w:r>
          </w:p>
        </w:tc>
        <w:tc>
          <w:tcPr>
            <w:tcW w:w="420" w:type="dxa"/>
            <w:tcBorders>
              <w:top w:val="single" w:sz="4" w:space="0" w:color="000000"/>
              <w:left w:val="single" w:sz="4" w:space="0" w:color="000000"/>
              <w:bottom w:val="single" w:sz="8" w:space="0" w:color="000000"/>
              <w:right w:val="single" w:sz="8" w:space="0" w:color="000000"/>
            </w:tcBorders>
          </w:tcPr>
          <w:p w:rsidR="00E8309B" w:rsidRDefault="009D0949">
            <w:pPr>
              <w:spacing w:after="0" w:line="259" w:lineRule="auto"/>
              <w:ind w:left="43" w:right="0" w:firstLine="0"/>
              <w:jc w:val="left"/>
            </w:pPr>
            <w:r>
              <w:rPr>
                <w:i/>
                <w:sz w:val="18"/>
              </w:rPr>
              <w:t xml:space="preserve">Q4 </w:t>
            </w:r>
          </w:p>
        </w:tc>
        <w:tc>
          <w:tcPr>
            <w:tcW w:w="424" w:type="dxa"/>
            <w:tcBorders>
              <w:top w:val="single" w:sz="4" w:space="0" w:color="000000"/>
              <w:left w:val="single" w:sz="8" w:space="0" w:color="000000"/>
              <w:bottom w:val="single" w:sz="8" w:space="0" w:color="000000"/>
              <w:right w:val="single" w:sz="4" w:space="0" w:color="000000"/>
            </w:tcBorders>
          </w:tcPr>
          <w:p w:rsidR="00E8309B" w:rsidRDefault="009D0949">
            <w:pPr>
              <w:spacing w:after="0" w:line="259" w:lineRule="auto"/>
              <w:ind w:left="46" w:right="0" w:firstLine="0"/>
              <w:jc w:val="left"/>
            </w:pPr>
            <w:r>
              <w:rPr>
                <w:i/>
                <w:sz w:val="18"/>
              </w:rPr>
              <w:t xml:space="preserve">Q1 </w:t>
            </w:r>
          </w:p>
        </w:tc>
        <w:tc>
          <w:tcPr>
            <w:tcW w:w="422" w:type="dxa"/>
            <w:tcBorders>
              <w:top w:val="single" w:sz="4" w:space="0" w:color="000000"/>
              <w:left w:val="single" w:sz="4" w:space="0" w:color="000000"/>
              <w:bottom w:val="single" w:sz="8" w:space="0" w:color="000000"/>
              <w:right w:val="single" w:sz="4" w:space="0" w:color="000000"/>
            </w:tcBorders>
          </w:tcPr>
          <w:p w:rsidR="00E8309B" w:rsidRDefault="009D0949">
            <w:pPr>
              <w:spacing w:after="0" w:line="259" w:lineRule="auto"/>
              <w:ind w:left="44" w:right="0" w:firstLine="0"/>
              <w:jc w:val="left"/>
            </w:pPr>
            <w:r>
              <w:rPr>
                <w:i/>
                <w:sz w:val="18"/>
              </w:rPr>
              <w:t xml:space="preserve">Q2 </w:t>
            </w:r>
          </w:p>
        </w:tc>
        <w:tc>
          <w:tcPr>
            <w:tcW w:w="422" w:type="dxa"/>
            <w:tcBorders>
              <w:top w:val="single" w:sz="4" w:space="0" w:color="000000"/>
              <w:left w:val="single" w:sz="4" w:space="0" w:color="000000"/>
              <w:bottom w:val="single" w:sz="8" w:space="0" w:color="000000"/>
              <w:right w:val="single" w:sz="4" w:space="0" w:color="000000"/>
            </w:tcBorders>
          </w:tcPr>
          <w:p w:rsidR="00E8309B" w:rsidRDefault="009D0949">
            <w:pPr>
              <w:spacing w:after="0" w:line="259" w:lineRule="auto"/>
              <w:ind w:left="44" w:right="0" w:firstLine="0"/>
              <w:jc w:val="left"/>
            </w:pPr>
            <w:r>
              <w:rPr>
                <w:i/>
                <w:sz w:val="18"/>
              </w:rPr>
              <w:t xml:space="preserve">Q3 </w:t>
            </w:r>
          </w:p>
        </w:tc>
        <w:tc>
          <w:tcPr>
            <w:tcW w:w="420" w:type="dxa"/>
            <w:tcBorders>
              <w:top w:val="single" w:sz="4" w:space="0" w:color="000000"/>
              <w:left w:val="single" w:sz="4" w:space="0" w:color="000000"/>
              <w:bottom w:val="single" w:sz="8" w:space="0" w:color="000000"/>
              <w:right w:val="single" w:sz="8" w:space="0" w:color="000000"/>
            </w:tcBorders>
          </w:tcPr>
          <w:p w:rsidR="00E8309B" w:rsidRDefault="009D0949">
            <w:pPr>
              <w:spacing w:after="0" w:line="259" w:lineRule="auto"/>
              <w:ind w:left="44" w:right="0" w:firstLine="0"/>
              <w:jc w:val="left"/>
            </w:pPr>
            <w:r>
              <w:rPr>
                <w:i/>
                <w:sz w:val="18"/>
              </w:rPr>
              <w:t xml:space="preserve">Q4 </w:t>
            </w:r>
          </w:p>
        </w:tc>
      </w:tr>
      <w:tr w:rsidR="00E8309B">
        <w:trPr>
          <w:trHeight w:val="473"/>
        </w:trPr>
        <w:tc>
          <w:tcPr>
            <w:tcW w:w="427" w:type="dxa"/>
            <w:tcBorders>
              <w:top w:val="single" w:sz="8" w:space="0" w:color="000000"/>
              <w:left w:val="single" w:sz="8" w:space="0" w:color="000000"/>
              <w:bottom w:val="single" w:sz="4" w:space="0" w:color="000000"/>
              <w:right w:val="single" w:sz="8" w:space="0" w:color="000000"/>
            </w:tcBorders>
          </w:tcPr>
          <w:p w:rsidR="00E8309B" w:rsidRDefault="009D0949">
            <w:pPr>
              <w:spacing w:after="0" w:line="259" w:lineRule="auto"/>
              <w:ind w:left="0" w:right="51" w:firstLine="0"/>
              <w:jc w:val="right"/>
            </w:pPr>
            <w:r>
              <w:rPr>
                <w:sz w:val="20"/>
              </w:rPr>
              <w:t xml:space="preserve">1 </w:t>
            </w:r>
          </w:p>
        </w:tc>
        <w:tc>
          <w:tcPr>
            <w:tcW w:w="4123" w:type="dxa"/>
            <w:tcBorders>
              <w:top w:val="single" w:sz="8" w:space="0" w:color="000000"/>
              <w:left w:val="single" w:sz="8" w:space="0" w:color="000000"/>
              <w:bottom w:val="single" w:sz="4" w:space="0" w:color="000000"/>
              <w:right w:val="single" w:sz="8" w:space="0" w:color="000000"/>
            </w:tcBorders>
          </w:tcPr>
          <w:p w:rsidR="00E8309B" w:rsidRDefault="009D0949">
            <w:pPr>
              <w:spacing w:after="0" w:line="259" w:lineRule="auto"/>
              <w:ind w:left="0" w:right="0" w:firstLine="0"/>
              <w:jc w:val="left"/>
            </w:pPr>
            <w:r>
              <w:rPr>
                <w:sz w:val="20"/>
              </w:rPr>
              <w:t xml:space="preserve">Припрема и усвајање документа јавне политике за циркуларну економију </w:t>
            </w:r>
          </w:p>
        </w:tc>
        <w:tc>
          <w:tcPr>
            <w:tcW w:w="419" w:type="dxa"/>
            <w:tcBorders>
              <w:top w:val="single" w:sz="8" w:space="0" w:color="000000"/>
              <w:left w:val="single" w:sz="8"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1" w:right="0" w:firstLine="0"/>
              <w:jc w:val="center"/>
            </w:pPr>
            <w:r>
              <w:rPr>
                <w:sz w:val="20"/>
              </w:rPr>
              <w:t xml:space="preserve"> </w:t>
            </w:r>
          </w:p>
        </w:tc>
        <w:tc>
          <w:tcPr>
            <w:tcW w:w="421" w:type="dxa"/>
            <w:tcBorders>
              <w:top w:val="single" w:sz="8" w:space="0" w:color="000000"/>
              <w:left w:val="single" w:sz="4"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1" w:right="0" w:firstLine="0"/>
              <w:jc w:val="center"/>
            </w:pPr>
            <w:r>
              <w:rPr>
                <w:sz w:val="20"/>
              </w:rPr>
              <w:t xml:space="preserve"> </w:t>
            </w:r>
          </w:p>
        </w:tc>
        <w:tc>
          <w:tcPr>
            <w:tcW w:w="422" w:type="dxa"/>
            <w:tcBorders>
              <w:top w:val="single" w:sz="8" w:space="0" w:color="000000"/>
              <w:left w:val="single" w:sz="4"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2" w:right="0" w:firstLine="0"/>
              <w:jc w:val="center"/>
            </w:pPr>
            <w:r>
              <w:rPr>
                <w:sz w:val="20"/>
              </w:rPr>
              <w:t xml:space="preserve"> </w:t>
            </w:r>
          </w:p>
        </w:tc>
        <w:tc>
          <w:tcPr>
            <w:tcW w:w="421" w:type="dxa"/>
            <w:tcBorders>
              <w:top w:val="single" w:sz="8" w:space="0" w:color="000000"/>
              <w:left w:val="single" w:sz="4" w:space="0" w:color="000000"/>
              <w:bottom w:val="single" w:sz="4" w:space="0" w:color="000000"/>
              <w:right w:val="single" w:sz="8" w:space="0" w:color="000000"/>
            </w:tcBorders>
            <w:shd w:val="clear" w:color="auto" w:fill="BFBFBF"/>
            <w:vAlign w:val="center"/>
          </w:tcPr>
          <w:p w:rsidR="00E8309B" w:rsidRDefault="009D0949">
            <w:pPr>
              <w:spacing w:after="0" w:line="259" w:lineRule="auto"/>
              <w:ind w:left="4" w:right="0" w:firstLine="0"/>
              <w:jc w:val="center"/>
            </w:pPr>
            <w:r>
              <w:rPr>
                <w:sz w:val="20"/>
              </w:rPr>
              <w:t xml:space="preserve"> </w:t>
            </w:r>
          </w:p>
        </w:tc>
        <w:tc>
          <w:tcPr>
            <w:tcW w:w="424" w:type="dxa"/>
            <w:tcBorders>
              <w:top w:val="single" w:sz="8" w:space="0" w:color="000000"/>
              <w:left w:val="single" w:sz="8" w:space="0" w:color="000000"/>
              <w:bottom w:val="single" w:sz="4" w:space="0" w:color="000000"/>
              <w:right w:val="single" w:sz="4" w:space="0" w:color="000000"/>
            </w:tcBorders>
            <w:vAlign w:val="center"/>
          </w:tcPr>
          <w:p w:rsidR="00E8309B" w:rsidRDefault="009D0949">
            <w:pPr>
              <w:spacing w:after="0" w:line="259" w:lineRule="auto"/>
              <w:ind w:left="4" w:right="0" w:firstLine="0"/>
              <w:jc w:val="center"/>
            </w:pPr>
            <w:r>
              <w:rPr>
                <w:sz w:val="20"/>
              </w:rPr>
              <w:t xml:space="preserve"> </w:t>
            </w:r>
          </w:p>
        </w:tc>
        <w:tc>
          <w:tcPr>
            <w:tcW w:w="421" w:type="dxa"/>
            <w:tcBorders>
              <w:top w:val="single" w:sz="8"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4" w:right="0" w:firstLine="0"/>
              <w:jc w:val="center"/>
            </w:pPr>
            <w:r>
              <w:rPr>
                <w:sz w:val="20"/>
              </w:rPr>
              <w:t xml:space="preserve"> </w:t>
            </w:r>
          </w:p>
        </w:tc>
        <w:tc>
          <w:tcPr>
            <w:tcW w:w="423" w:type="dxa"/>
            <w:tcBorders>
              <w:top w:val="single" w:sz="8"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5" w:right="0" w:firstLine="0"/>
              <w:jc w:val="center"/>
            </w:pPr>
            <w:r>
              <w:rPr>
                <w:sz w:val="20"/>
              </w:rPr>
              <w:t xml:space="preserve"> </w:t>
            </w:r>
          </w:p>
        </w:tc>
        <w:tc>
          <w:tcPr>
            <w:tcW w:w="420" w:type="dxa"/>
            <w:tcBorders>
              <w:top w:val="single" w:sz="8" w:space="0" w:color="000000"/>
              <w:left w:val="single" w:sz="4" w:space="0" w:color="000000"/>
              <w:bottom w:val="single" w:sz="4" w:space="0" w:color="000000"/>
              <w:right w:val="single" w:sz="8" w:space="0" w:color="000000"/>
            </w:tcBorders>
            <w:vAlign w:val="center"/>
          </w:tcPr>
          <w:p w:rsidR="00E8309B" w:rsidRDefault="009D0949">
            <w:pPr>
              <w:spacing w:after="0" w:line="259" w:lineRule="auto"/>
              <w:ind w:left="2" w:right="0" w:firstLine="0"/>
              <w:jc w:val="center"/>
            </w:pPr>
            <w:r>
              <w:rPr>
                <w:sz w:val="20"/>
              </w:rPr>
              <w:t xml:space="preserve"> </w:t>
            </w:r>
          </w:p>
        </w:tc>
        <w:tc>
          <w:tcPr>
            <w:tcW w:w="424" w:type="dxa"/>
            <w:tcBorders>
              <w:top w:val="single" w:sz="8" w:space="0" w:color="000000"/>
              <w:left w:val="single" w:sz="8" w:space="0" w:color="000000"/>
              <w:bottom w:val="single" w:sz="4" w:space="0" w:color="000000"/>
              <w:right w:val="single" w:sz="4" w:space="0" w:color="000000"/>
            </w:tcBorders>
            <w:vAlign w:val="center"/>
          </w:tcPr>
          <w:p w:rsidR="00E8309B" w:rsidRDefault="009D0949">
            <w:pPr>
              <w:spacing w:after="0" w:line="259" w:lineRule="auto"/>
              <w:ind w:left="4" w:right="0" w:firstLine="0"/>
              <w:jc w:val="center"/>
            </w:pPr>
            <w:r>
              <w:rPr>
                <w:sz w:val="20"/>
              </w:rPr>
              <w:t xml:space="preserve"> </w:t>
            </w:r>
          </w:p>
        </w:tc>
        <w:tc>
          <w:tcPr>
            <w:tcW w:w="422" w:type="dxa"/>
            <w:tcBorders>
              <w:top w:val="single" w:sz="8"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2" w:right="0" w:firstLine="0"/>
              <w:jc w:val="center"/>
            </w:pPr>
            <w:r>
              <w:rPr>
                <w:sz w:val="20"/>
              </w:rPr>
              <w:t xml:space="preserve"> </w:t>
            </w:r>
          </w:p>
        </w:tc>
        <w:tc>
          <w:tcPr>
            <w:tcW w:w="422" w:type="dxa"/>
            <w:tcBorders>
              <w:top w:val="single" w:sz="8"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2" w:right="0" w:firstLine="0"/>
              <w:jc w:val="center"/>
            </w:pPr>
            <w:r>
              <w:rPr>
                <w:sz w:val="20"/>
              </w:rPr>
              <w:t xml:space="preserve"> </w:t>
            </w:r>
          </w:p>
        </w:tc>
        <w:tc>
          <w:tcPr>
            <w:tcW w:w="420" w:type="dxa"/>
            <w:tcBorders>
              <w:top w:val="single" w:sz="8" w:space="0" w:color="000000"/>
              <w:left w:val="single" w:sz="4" w:space="0" w:color="000000"/>
              <w:bottom w:val="single" w:sz="4" w:space="0" w:color="000000"/>
              <w:right w:val="single" w:sz="8" w:space="0" w:color="000000"/>
            </w:tcBorders>
            <w:vAlign w:val="center"/>
          </w:tcPr>
          <w:p w:rsidR="00E8309B" w:rsidRDefault="009D0949">
            <w:pPr>
              <w:spacing w:after="0" w:line="259" w:lineRule="auto"/>
              <w:ind w:left="5" w:right="0" w:firstLine="0"/>
              <w:jc w:val="center"/>
            </w:pPr>
            <w:r>
              <w:rPr>
                <w:sz w:val="20"/>
              </w:rPr>
              <w:t xml:space="preserve"> </w:t>
            </w:r>
          </w:p>
        </w:tc>
      </w:tr>
      <w:tr w:rsidR="00E8309B">
        <w:trPr>
          <w:trHeight w:val="700"/>
        </w:trPr>
        <w:tc>
          <w:tcPr>
            <w:tcW w:w="427" w:type="dxa"/>
            <w:tcBorders>
              <w:top w:val="single" w:sz="4" w:space="0" w:color="000000"/>
              <w:left w:val="single" w:sz="8" w:space="0" w:color="000000"/>
              <w:bottom w:val="single" w:sz="4" w:space="0" w:color="000000"/>
              <w:right w:val="single" w:sz="8" w:space="0" w:color="000000"/>
            </w:tcBorders>
          </w:tcPr>
          <w:p w:rsidR="00E8309B" w:rsidRDefault="009D0949">
            <w:pPr>
              <w:spacing w:after="0" w:line="259" w:lineRule="auto"/>
              <w:ind w:left="0" w:right="51" w:firstLine="0"/>
              <w:jc w:val="right"/>
            </w:pPr>
            <w:r>
              <w:rPr>
                <w:sz w:val="20"/>
              </w:rPr>
              <w:lastRenderedPageBreak/>
              <w:t xml:space="preserve">2 </w:t>
            </w:r>
          </w:p>
        </w:tc>
        <w:tc>
          <w:tcPr>
            <w:tcW w:w="4123" w:type="dxa"/>
            <w:tcBorders>
              <w:top w:val="single" w:sz="4" w:space="0" w:color="000000"/>
              <w:left w:val="single" w:sz="8" w:space="0" w:color="000000"/>
              <w:bottom w:val="single" w:sz="4" w:space="0" w:color="000000"/>
              <w:right w:val="single" w:sz="8" w:space="0" w:color="000000"/>
            </w:tcBorders>
          </w:tcPr>
          <w:p w:rsidR="00E8309B" w:rsidRDefault="009D0949">
            <w:pPr>
              <w:spacing w:after="0" w:line="259" w:lineRule="auto"/>
              <w:ind w:left="0" w:right="0" w:firstLine="0"/>
              <w:jc w:val="left"/>
            </w:pPr>
            <w:r>
              <w:rPr>
                <w:sz w:val="20"/>
              </w:rPr>
              <w:t xml:space="preserve">Увођење концепта циркуларне економије у привредне субјекте кроз сарадњу бизнис и академског сектора - циркуларни ваучери </w:t>
            </w:r>
          </w:p>
        </w:tc>
        <w:tc>
          <w:tcPr>
            <w:tcW w:w="419" w:type="dxa"/>
            <w:tcBorders>
              <w:top w:val="single" w:sz="4" w:space="0" w:color="000000"/>
              <w:left w:val="single" w:sz="8" w:space="0" w:color="000000"/>
              <w:bottom w:val="single" w:sz="4" w:space="0" w:color="000000"/>
              <w:right w:val="single" w:sz="4" w:space="0" w:color="000000"/>
            </w:tcBorders>
            <w:vAlign w:val="center"/>
          </w:tcPr>
          <w:p w:rsidR="00E8309B" w:rsidRDefault="009D0949">
            <w:pPr>
              <w:spacing w:after="0" w:line="259" w:lineRule="auto"/>
              <w:ind w:left="1" w:right="0" w:firstLine="0"/>
              <w:jc w:val="center"/>
            </w:pPr>
            <w:r>
              <w:rPr>
                <w:sz w:val="20"/>
              </w:rPr>
              <w:t xml:space="preserve"> </w:t>
            </w:r>
          </w:p>
        </w:tc>
        <w:tc>
          <w:tcPr>
            <w:tcW w:w="421"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1" w:right="0" w:firstLine="0"/>
              <w:jc w:val="center"/>
            </w:pPr>
            <w:r>
              <w:rPr>
                <w:sz w:val="20"/>
              </w:rPr>
              <w:t xml:space="preserve"> </w:t>
            </w:r>
          </w:p>
        </w:tc>
        <w:tc>
          <w:tcPr>
            <w:tcW w:w="422"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2" w:right="0" w:firstLine="0"/>
              <w:jc w:val="center"/>
            </w:pPr>
            <w:r>
              <w:rPr>
                <w:sz w:val="20"/>
              </w:rPr>
              <w:t xml:space="preserve"> </w:t>
            </w:r>
          </w:p>
        </w:tc>
        <w:tc>
          <w:tcPr>
            <w:tcW w:w="421" w:type="dxa"/>
            <w:tcBorders>
              <w:top w:val="single" w:sz="4" w:space="0" w:color="000000"/>
              <w:left w:val="single" w:sz="4" w:space="0" w:color="000000"/>
              <w:bottom w:val="single" w:sz="4" w:space="0" w:color="000000"/>
              <w:right w:val="single" w:sz="8" w:space="0" w:color="000000"/>
            </w:tcBorders>
            <w:vAlign w:val="center"/>
          </w:tcPr>
          <w:p w:rsidR="00E8309B" w:rsidRDefault="009D0949">
            <w:pPr>
              <w:spacing w:after="0" w:line="259" w:lineRule="auto"/>
              <w:ind w:left="4" w:right="0" w:firstLine="0"/>
              <w:jc w:val="center"/>
            </w:pPr>
            <w:r>
              <w:rPr>
                <w:sz w:val="20"/>
              </w:rPr>
              <w:t xml:space="preserve"> </w:t>
            </w:r>
          </w:p>
        </w:tc>
        <w:tc>
          <w:tcPr>
            <w:tcW w:w="424" w:type="dxa"/>
            <w:tcBorders>
              <w:top w:val="single" w:sz="4" w:space="0" w:color="000000"/>
              <w:left w:val="single" w:sz="8"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4" w:right="0" w:firstLine="0"/>
              <w:jc w:val="center"/>
            </w:pPr>
            <w:r>
              <w:rPr>
                <w:sz w:val="20"/>
              </w:rPr>
              <w:t xml:space="preserve"> </w:t>
            </w:r>
          </w:p>
        </w:tc>
        <w:tc>
          <w:tcPr>
            <w:tcW w:w="421"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4" w:right="0" w:firstLine="0"/>
              <w:jc w:val="center"/>
            </w:pPr>
            <w:r>
              <w:rPr>
                <w:sz w:val="20"/>
              </w:rPr>
              <w:t xml:space="preserve"> </w:t>
            </w:r>
          </w:p>
        </w:tc>
        <w:tc>
          <w:tcPr>
            <w:tcW w:w="423"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5" w:right="0" w:firstLine="0"/>
              <w:jc w:val="center"/>
            </w:pPr>
            <w:r>
              <w:rPr>
                <w:sz w:val="20"/>
              </w:rPr>
              <w:t xml:space="preserve"> </w:t>
            </w:r>
          </w:p>
        </w:tc>
        <w:tc>
          <w:tcPr>
            <w:tcW w:w="420" w:type="dxa"/>
            <w:tcBorders>
              <w:top w:val="single" w:sz="4" w:space="0" w:color="000000"/>
              <w:left w:val="single" w:sz="4" w:space="0" w:color="000000"/>
              <w:bottom w:val="single" w:sz="4" w:space="0" w:color="000000"/>
              <w:right w:val="single" w:sz="8" w:space="0" w:color="000000"/>
            </w:tcBorders>
            <w:shd w:val="clear" w:color="auto" w:fill="BFBFBF"/>
            <w:vAlign w:val="center"/>
          </w:tcPr>
          <w:p w:rsidR="00E8309B" w:rsidRDefault="009D0949">
            <w:pPr>
              <w:spacing w:after="0" w:line="259" w:lineRule="auto"/>
              <w:ind w:left="2" w:right="0" w:firstLine="0"/>
              <w:jc w:val="center"/>
            </w:pPr>
            <w:r>
              <w:rPr>
                <w:sz w:val="20"/>
              </w:rPr>
              <w:t xml:space="preserve"> </w:t>
            </w:r>
          </w:p>
        </w:tc>
        <w:tc>
          <w:tcPr>
            <w:tcW w:w="424" w:type="dxa"/>
            <w:tcBorders>
              <w:top w:val="single" w:sz="4" w:space="0" w:color="000000"/>
              <w:left w:val="single" w:sz="8" w:space="0" w:color="000000"/>
              <w:bottom w:val="single" w:sz="4" w:space="0" w:color="000000"/>
              <w:right w:val="single" w:sz="4" w:space="0" w:color="000000"/>
            </w:tcBorders>
            <w:vAlign w:val="center"/>
          </w:tcPr>
          <w:p w:rsidR="00E8309B" w:rsidRDefault="009D0949">
            <w:pPr>
              <w:spacing w:after="0" w:line="259" w:lineRule="auto"/>
              <w:ind w:left="4" w:right="0" w:firstLine="0"/>
              <w:jc w:val="center"/>
            </w:pPr>
            <w:r>
              <w:rPr>
                <w:sz w:val="20"/>
              </w:rPr>
              <w:t xml:space="preserve"> </w:t>
            </w:r>
          </w:p>
        </w:tc>
        <w:tc>
          <w:tcPr>
            <w:tcW w:w="422"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2" w:right="0" w:firstLine="0"/>
              <w:jc w:val="center"/>
            </w:pPr>
            <w:r>
              <w:rPr>
                <w:sz w:val="20"/>
              </w:rPr>
              <w:t xml:space="preserve"> </w:t>
            </w:r>
          </w:p>
        </w:tc>
        <w:tc>
          <w:tcPr>
            <w:tcW w:w="422"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2" w:right="0" w:firstLine="0"/>
              <w:jc w:val="center"/>
            </w:pPr>
            <w:r>
              <w:rPr>
                <w:sz w:val="20"/>
              </w:rPr>
              <w:t xml:space="preserve"> </w:t>
            </w:r>
          </w:p>
        </w:tc>
        <w:tc>
          <w:tcPr>
            <w:tcW w:w="420" w:type="dxa"/>
            <w:tcBorders>
              <w:top w:val="single" w:sz="4" w:space="0" w:color="000000"/>
              <w:left w:val="single" w:sz="4" w:space="0" w:color="000000"/>
              <w:bottom w:val="single" w:sz="4" w:space="0" w:color="000000"/>
              <w:right w:val="single" w:sz="8" w:space="0" w:color="000000"/>
            </w:tcBorders>
            <w:vAlign w:val="center"/>
          </w:tcPr>
          <w:p w:rsidR="00E8309B" w:rsidRDefault="009D0949">
            <w:pPr>
              <w:spacing w:after="0" w:line="259" w:lineRule="auto"/>
              <w:ind w:left="5" w:right="0" w:firstLine="0"/>
              <w:jc w:val="center"/>
            </w:pPr>
            <w:r>
              <w:rPr>
                <w:sz w:val="20"/>
              </w:rPr>
              <w:t xml:space="preserve"> </w:t>
            </w:r>
          </w:p>
        </w:tc>
      </w:tr>
      <w:tr w:rsidR="00E8309B">
        <w:trPr>
          <w:trHeight w:val="468"/>
        </w:trPr>
        <w:tc>
          <w:tcPr>
            <w:tcW w:w="427" w:type="dxa"/>
            <w:tcBorders>
              <w:top w:val="single" w:sz="4" w:space="0" w:color="000000"/>
              <w:left w:val="single" w:sz="8" w:space="0" w:color="000000"/>
              <w:bottom w:val="single" w:sz="4" w:space="0" w:color="000000"/>
              <w:right w:val="single" w:sz="8" w:space="0" w:color="000000"/>
            </w:tcBorders>
          </w:tcPr>
          <w:p w:rsidR="00E8309B" w:rsidRDefault="009D0949">
            <w:pPr>
              <w:spacing w:after="0" w:line="259" w:lineRule="auto"/>
              <w:ind w:left="0" w:right="51" w:firstLine="0"/>
              <w:jc w:val="right"/>
            </w:pPr>
            <w:r>
              <w:rPr>
                <w:sz w:val="20"/>
              </w:rPr>
              <w:t xml:space="preserve">3 </w:t>
            </w:r>
          </w:p>
        </w:tc>
        <w:tc>
          <w:tcPr>
            <w:tcW w:w="4123" w:type="dxa"/>
            <w:tcBorders>
              <w:top w:val="single" w:sz="4" w:space="0" w:color="000000"/>
              <w:left w:val="single" w:sz="8" w:space="0" w:color="000000"/>
              <w:bottom w:val="single" w:sz="4" w:space="0" w:color="000000"/>
              <w:right w:val="single" w:sz="8" w:space="0" w:color="000000"/>
            </w:tcBorders>
          </w:tcPr>
          <w:p w:rsidR="00E8309B" w:rsidRDefault="009D0949">
            <w:pPr>
              <w:spacing w:after="0" w:line="259" w:lineRule="auto"/>
              <w:ind w:left="0" w:right="0" w:firstLine="0"/>
            </w:pPr>
            <w:r>
              <w:rPr>
                <w:sz w:val="20"/>
              </w:rPr>
              <w:t xml:space="preserve">Увођење концепта циркуларне економије у локалне самоуправе - циркуларне  заједнице </w:t>
            </w:r>
          </w:p>
        </w:tc>
        <w:tc>
          <w:tcPr>
            <w:tcW w:w="419" w:type="dxa"/>
            <w:tcBorders>
              <w:top w:val="single" w:sz="4" w:space="0" w:color="000000"/>
              <w:left w:val="single" w:sz="8" w:space="0" w:color="000000"/>
              <w:bottom w:val="single" w:sz="4" w:space="0" w:color="000000"/>
              <w:right w:val="single" w:sz="4" w:space="0" w:color="000000"/>
            </w:tcBorders>
            <w:vAlign w:val="center"/>
          </w:tcPr>
          <w:p w:rsidR="00E8309B" w:rsidRDefault="009D0949">
            <w:pPr>
              <w:spacing w:after="0" w:line="259" w:lineRule="auto"/>
              <w:ind w:left="1" w:right="0" w:firstLine="0"/>
              <w:jc w:val="center"/>
            </w:pPr>
            <w:r>
              <w:rPr>
                <w:sz w:val="20"/>
              </w:rPr>
              <w:t xml:space="preserve"> </w:t>
            </w:r>
          </w:p>
        </w:tc>
        <w:tc>
          <w:tcPr>
            <w:tcW w:w="421"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1" w:right="0" w:firstLine="0"/>
              <w:jc w:val="center"/>
            </w:pPr>
            <w:r>
              <w:rPr>
                <w:sz w:val="20"/>
              </w:rPr>
              <w:t xml:space="preserve"> </w:t>
            </w:r>
          </w:p>
        </w:tc>
        <w:tc>
          <w:tcPr>
            <w:tcW w:w="422"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2" w:right="0" w:firstLine="0"/>
              <w:jc w:val="center"/>
            </w:pPr>
            <w:r>
              <w:rPr>
                <w:sz w:val="20"/>
              </w:rPr>
              <w:t xml:space="preserve"> </w:t>
            </w:r>
          </w:p>
        </w:tc>
        <w:tc>
          <w:tcPr>
            <w:tcW w:w="421" w:type="dxa"/>
            <w:tcBorders>
              <w:top w:val="single" w:sz="4" w:space="0" w:color="000000"/>
              <w:left w:val="single" w:sz="4" w:space="0" w:color="000000"/>
              <w:bottom w:val="single" w:sz="4" w:space="0" w:color="000000"/>
              <w:right w:val="single" w:sz="8" w:space="0" w:color="000000"/>
            </w:tcBorders>
            <w:vAlign w:val="center"/>
          </w:tcPr>
          <w:p w:rsidR="00E8309B" w:rsidRDefault="009D0949">
            <w:pPr>
              <w:spacing w:after="0" w:line="259" w:lineRule="auto"/>
              <w:ind w:left="4" w:right="0" w:firstLine="0"/>
              <w:jc w:val="center"/>
            </w:pPr>
            <w:r>
              <w:rPr>
                <w:sz w:val="20"/>
              </w:rPr>
              <w:t xml:space="preserve"> </w:t>
            </w:r>
          </w:p>
        </w:tc>
        <w:tc>
          <w:tcPr>
            <w:tcW w:w="424" w:type="dxa"/>
            <w:tcBorders>
              <w:top w:val="single" w:sz="4" w:space="0" w:color="000000"/>
              <w:left w:val="single" w:sz="8" w:space="0" w:color="000000"/>
              <w:bottom w:val="single" w:sz="4" w:space="0" w:color="000000"/>
              <w:right w:val="single" w:sz="4" w:space="0" w:color="000000"/>
            </w:tcBorders>
            <w:vAlign w:val="center"/>
          </w:tcPr>
          <w:p w:rsidR="00E8309B" w:rsidRDefault="009D0949">
            <w:pPr>
              <w:spacing w:after="0" w:line="259" w:lineRule="auto"/>
              <w:ind w:left="4" w:right="0" w:firstLine="0"/>
              <w:jc w:val="center"/>
            </w:pPr>
            <w:r>
              <w:rPr>
                <w:sz w:val="20"/>
              </w:rPr>
              <w:t xml:space="preserve"> </w:t>
            </w:r>
          </w:p>
        </w:tc>
        <w:tc>
          <w:tcPr>
            <w:tcW w:w="421"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4" w:right="0" w:firstLine="0"/>
              <w:jc w:val="center"/>
            </w:pPr>
            <w:r>
              <w:rPr>
                <w:sz w:val="20"/>
              </w:rPr>
              <w:t xml:space="preserve"> </w:t>
            </w:r>
          </w:p>
        </w:tc>
        <w:tc>
          <w:tcPr>
            <w:tcW w:w="423"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5" w:right="0" w:firstLine="0"/>
              <w:jc w:val="center"/>
            </w:pPr>
            <w:r>
              <w:rPr>
                <w:sz w:val="20"/>
              </w:rPr>
              <w:t xml:space="preserve"> </w:t>
            </w:r>
          </w:p>
        </w:tc>
        <w:tc>
          <w:tcPr>
            <w:tcW w:w="420" w:type="dxa"/>
            <w:tcBorders>
              <w:top w:val="single" w:sz="4" w:space="0" w:color="000000"/>
              <w:left w:val="single" w:sz="4" w:space="0" w:color="000000"/>
              <w:bottom w:val="single" w:sz="4" w:space="0" w:color="000000"/>
              <w:right w:val="single" w:sz="8" w:space="0" w:color="000000"/>
            </w:tcBorders>
            <w:vAlign w:val="center"/>
          </w:tcPr>
          <w:p w:rsidR="00E8309B" w:rsidRDefault="009D0949">
            <w:pPr>
              <w:spacing w:after="0" w:line="259" w:lineRule="auto"/>
              <w:ind w:left="2" w:right="0" w:firstLine="0"/>
              <w:jc w:val="center"/>
            </w:pPr>
            <w:r>
              <w:rPr>
                <w:sz w:val="20"/>
              </w:rPr>
              <w:t xml:space="preserve"> </w:t>
            </w:r>
          </w:p>
        </w:tc>
        <w:tc>
          <w:tcPr>
            <w:tcW w:w="424" w:type="dxa"/>
            <w:tcBorders>
              <w:top w:val="single" w:sz="4" w:space="0" w:color="000000"/>
              <w:left w:val="single" w:sz="8"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4" w:right="0" w:firstLine="0"/>
              <w:jc w:val="center"/>
            </w:pPr>
            <w:r>
              <w:rPr>
                <w:sz w:val="20"/>
              </w:rPr>
              <w:t xml:space="preserve"> </w:t>
            </w:r>
          </w:p>
        </w:tc>
        <w:tc>
          <w:tcPr>
            <w:tcW w:w="422"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2" w:right="0" w:firstLine="0"/>
              <w:jc w:val="center"/>
            </w:pPr>
            <w:r>
              <w:rPr>
                <w:sz w:val="20"/>
              </w:rPr>
              <w:t xml:space="preserve"> </w:t>
            </w:r>
          </w:p>
        </w:tc>
        <w:tc>
          <w:tcPr>
            <w:tcW w:w="422"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2" w:right="0" w:firstLine="0"/>
              <w:jc w:val="center"/>
            </w:pPr>
            <w:r>
              <w:rPr>
                <w:sz w:val="20"/>
              </w:rPr>
              <w:t xml:space="preserve"> </w:t>
            </w:r>
          </w:p>
        </w:tc>
        <w:tc>
          <w:tcPr>
            <w:tcW w:w="420" w:type="dxa"/>
            <w:tcBorders>
              <w:top w:val="single" w:sz="4" w:space="0" w:color="000000"/>
              <w:left w:val="single" w:sz="4" w:space="0" w:color="000000"/>
              <w:bottom w:val="single" w:sz="4" w:space="0" w:color="000000"/>
              <w:right w:val="single" w:sz="8" w:space="0" w:color="000000"/>
            </w:tcBorders>
            <w:shd w:val="clear" w:color="auto" w:fill="BFBFBF"/>
            <w:vAlign w:val="center"/>
          </w:tcPr>
          <w:p w:rsidR="00E8309B" w:rsidRDefault="009D0949">
            <w:pPr>
              <w:spacing w:after="0" w:line="259" w:lineRule="auto"/>
              <w:ind w:left="5" w:right="0" w:firstLine="0"/>
              <w:jc w:val="center"/>
            </w:pPr>
            <w:r>
              <w:rPr>
                <w:sz w:val="20"/>
              </w:rPr>
              <w:t xml:space="preserve"> </w:t>
            </w:r>
          </w:p>
        </w:tc>
      </w:tr>
    </w:tbl>
    <w:p w:rsidR="00E8309B" w:rsidRDefault="009D0949">
      <w:pPr>
        <w:numPr>
          <w:ilvl w:val="0"/>
          <w:numId w:val="22"/>
        </w:numPr>
        <w:spacing w:after="0" w:line="271" w:lineRule="auto"/>
        <w:ind w:right="9" w:hanging="360"/>
      </w:pPr>
      <w:r>
        <w:rPr>
          <w:b/>
        </w:rPr>
        <w:t xml:space="preserve">Индикатори рeзултата </w:t>
      </w:r>
    </w:p>
    <w:tbl>
      <w:tblPr>
        <w:tblStyle w:val="TableGrid"/>
        <w:tblW w:w="9635" w:type="dxa"/>
        <w:tblInd w:w="5" w:type="dxa"/>
        <w:tblCellMar>
          <w:top w:w="10" w:type="dxa"/>
          <w:left w:w="24" w:type="dxa"/>
          <w:bottom w:w="0" w:type="dxa"/>
          <w:right w:w="56" w:type="dxa"/>
        </w:tblCellMar>
        <w:tblLook w:val="04A0" w:firstRow="1" w:lastRow="0" w:firstColumn="1" w:lastColumn="0" w:noHBand="0" w:noVBand="1"/>
      </w:tblPr>
      <w:tblGrid>
        <w:gridCol w:w="4107"/>
        <w:gridCol w:w="1841"/>
        <w:gridCol w:w="1659"/>
        <w:gridCol w:w="185"/>
        <w:gridCol w:w="1843"/>
      </w:tblGrid>
      <w:tr w:rsidR="00E8309B">
        <w:trPr>
          <w:trHeight w:val="471"/>
        </w:trPr>
        <w:tc>
          <w:tcPr>
            <w:tcW w:w="4107"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86" w:right="0" w:firstLine="0"/>
              <w:jc w:val="left"/>
            </w:pPr>
            <w:r>
              <w:rPr>
                <w:b/>
                <w:sz w:val="20"/>
              </w:rPr>
              <w:t xml:space="preserve">Показатељ </w:t>
            </w:r>
          </w:p>
        </w:tc>
        <w:tc>
          <w:tcPr>
            <w:tcW w:w="1841"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84" w:right="48" w:firstLine="0"/>
              <w:jc w:val="left"/>
            </w:pPr>
            <w:r>
              <w:rPr>
                <w:b/>
                <w:sz w:val="20"/>
              </w:rPr>
              <w:t xml:space="preserve">Почетна вредност (година) </w:t>
            </w:r>
          </w:p>
        </w:tc>
        <w:tc>
          <w:tcPr>
            <w:tcW w:w="1659" w:type="dxa"/>
            <w:tcBorders>
              <w:top w:val="single" w:sz="4" w:space="0" w:color="000000"/>
              <w:left w:val="single" w:sz="4" w:space="0" w:color="000000"/>
              <w:bottom w:val="single" w:sz="4" w:space="0" w:color="000000"/>
              <w:right w:val="nil"/>
            </w:tcBorders>
          </w:tcPr>
          <w:p w:rsidR="00E8309B" w:rsidRDefault="009D0949">
            <w:pPr>
              <w:spacing w:after="21" w:line="259" w:lineRule="auto"/>
              <w:ind w:left="86" w:right="0" w:firstLine="0"/>
              <w:jc w:val="left"/>
            </w:pPr>
            <w:r>
              <w:rPr>
                <w:b/>
                <w:sz w:val="20"/>
              </w:rPr>
              <w:t xml:space="preserve">Међурезултат </w:t>
            </w:r>
          </w:p>
          <w:p w:rsidR="00E8309B" w:rsidRDefault="009D0949">
            <w:pPr>
              <w:spacing w:after="0" w:line="259" w:lineRule="auto"/>
              <w:ind w:left="86" w:right="0" w:firstLine="0"/>
              <w:jc w:val="left"/>
            </w:pPr>
            <w:r>
              <w:rPr>
                <w:b/>
                <w:sz w:val="20"/>
              </w:rPr>
              <w:t xml:space="preserve">(година) </w:t>
            </w:r>
          </w:p>
        </w:tc>
        <w:tc>
          <w:tcPr>
            <w:tcW w:w="185" w:type="dxa"/>
            <w:tcBorders>
              <w:top w:val="single" w:sz="4" w:space="0" w:color="000000"/>
              <w:left w:val="nil"/>
              <w:bottom w:val="single" w:sz="4" w:space="0" w:color="000000"/>
              <w:right w:val="single" w:sz="4" w:space="0" w:color="000000"/>
            </w:tcBorders>
          </w:tcPr>
          <w:p w:rsidR="00E8309B" w:rsidRDefault="00E8309B">
            <w:pPr>
              <w:spacing w:after="160" w:line="259" w:lineRule="auto"/>
              <w:ind w:left="0" w:right="0" w:firstLine="0"/>
              <w:jc w:val="left"/>
            </w:pPr>
          </w:p>
        </w:tc>
        <w:tc>
          <w:tcPr>
            <w:tcW w:w="1843" w:type="dxa"/>
            <w:tcBorders>
              <w:top w:val="single" w:sz="4" w:space="0" w:color="000000"/>
              <w:left w:val="single" w:sz="4" w:space="0" w:color="000000"/>
              <w:bottom w:val="single" w:sz="4" w:space="0" w:color="000000"/>
              <w:right w:val="single" w:sz="4" w:space="0" w:color="000000"/>
            </w:tcBorders>
          </w:tcPr>
          <w:p w:rsidR="00E8309B" w:rsidRDefault="009D0949">
            <w:pPr>
              <w:spacing w:after="21" w:line="259" w:lineRule="auto"/>
              <w:ind w:left="86" w:right="0" w:firstLine="0"/>
              <w:jc w:val="left"/>
            </w:pPr>
            <w:r>
              <w:rPr>
                <w:b/>
                <w:sz w:val="20"/>
              </w:rPr>
              <w:t xml:space="preserve">Циљна вредност </w:t>
            </w:r>
          </w:p>
          <w:p w:rsidR="00E8309B" w:rsidRDefault="009D0949">
            <w:pPr>
              <w:spacing w:after="0" w:line="259" w:lineRule="auto"/>
              <w:ind w:left="86" w:right="0" w:firstLine="0"/>
              <w:jc w:val="left"/>
            </w:pPr>
            <w:r>
              <w:rPr>
                <w:b/>
                <w:sz w:val="20"/>
              </w:rPr>
              <w:t xml:space="preserve">(година) </w:t>
            </w:r>
          </w:p>
        </w:tc>
      </w:tr>
      <w:tr w:rsidR="00E8309B">
        <w:trPr>
          <w:trHeight w:val="470"/>
        </w:trPr>
        <w:tc>
          <w:tcPr>
            <w:tcW w:w="4107"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86" w:right="0" w:firstLine="0"/>
            </w:pPr>
            <w:r>
              <w:rPr>
                <w:sz w:val="20"/>
              </w:rPr>
              <w:t xml:space="preserve">Израђен и усвојен Програм за циркуларну економију са акционим планом </w:t>
            </w:r>
          </w:p>
        </w:tc>
        <w:tc>
          <w:tcPr>
            <w:tcW w:w="1841"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49" w:firstLine="0"/>
              <w:jc w:val="right"/>
            </w:pPr>
            <w:r>
              <w:rPr>
                <w:sz w:val="20"/>
              </w:rPr>
              <w:t xml:space="preserve">0 (2021) </w:t>
            </w:r>
          </w:p>
        </w:tc>
        <w:tc>
          <w:tcPr>
            <w:tcW w:w="1659" w:type="dxa"/>
            <w:tcBorders>
              <w:top w:val="single" w:sz="4" w:space="0" w:color="000000"/>
              <w:left w:val="single" w:sz="4" w:space="0" w:color="000000"/>
              <w:bottom w:val="single" w:sz="4" w:space="0" w:color="000000"/>
              <w:right w:val="nil"/>
            </w:tcBorders>
          </w:tcPr>
          <w:p w:rsidR="00E8309B" w:rsidRDefault="00E8309B">
            <w:pPr>
              <w:spacing w:after="160" w:line="259" w:lineRule="auto"/>
              <w:ind w:left="0" w:right="0" w:firstLine="0"/>
              <w:jc w:val="left"/>
            </w:pPr>
          </w:p>
        </w:tc>
        <w:tc>
          <w:tcPr>
            <w:tcW w:w="185" w:type="dxa"/>
            <w:tcBorders>
              <w:top w:val="single" w:sz="4" w:space="0" w:color="000000"/>
              <w:left w:val="nil"/>
              <w:bottom w:val="single" w:sz="4" w:space="0" w:color="000000"/>
              <w:right w:val="single" w:sz="4" w:space="0" w:color="000000"/>
            </w:tcBorders>
          </w:tcPr>
          <w:p w:rsidR="00E8309B" w:rsidRDefault="009D0949">
            <w:pPr>
              <w:spacing w:after="0" w:line="259" w:lineRule="auto"/>
              <w:ind w:left="0" w:right="0" w:firstLine="0"/>
              <w:jc w:val="left"/>
            </w:pPr>
            <w:r>
              <w:rPr>
                <w:sz w:val="20"/>
              </w:rPr>
              <w:t xml:space="preserve">/ </w:t>
            </w:r>
          </w:p>
        </w:tc>
        <w:tc>
          <w:tcPr>
            <w:tcW w:w="1843"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49" w:firstLine="0"/>
              <w:jc w:val="right"/>
            </w:pPr>
            <w:r>
              <w:rPr>
                <w:sz w:val="20"/>
              </w:rPr>
              <w:t xml:space="preserve">100% (2021) </w:t>
            </w:r>
          </w:p>
        </w:tc>
      </w:tr>
      <w:tr w:rsidR="00E8309B">
        <w:trPr>
          <w:trHeight w:val="701"/>
        </w:trPr>
        <w:tc>
          <w:tcPr>
            <w:tcW w:w="4107"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56" w:firstLine="0"/>
            </w:pPr>
            <w:r>
              <w:rPr>
                <w:sz w:val="20"/>
              </w:rPr>
              <w:t>Број предузећа који ће применити концепт циркуларне економије кроз циркуларне ваучере</w:t>
            </w:r>
            <w:r>
              <w:rPr>
                <w:b/>
                <w:sz w:val="20"/>
              </w:rPr>
              <w:t xml:space="preserve"> </w:t>
            </w:r>
          </w:p>
        </w:tc>
        <w:tc>
          <w:tcPr>
            <w:tcW w:w="1841"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49" w:firstLine="0"/>
              <w:jc w:val="right"/>
            </w:pPr>
            <w:r>
              <w:rPr>
                <w:sz w:val="20"/>
              </w:rPr>
              <w:t xml:space="preserve">0 (2021) </w:t>
            </w:r>
          </w:p>
        </w:tc>
        <w:tc>
          <w:tcPr>
            <w:tcW w:w="1844" w:type="dxa"/>
            <w:gridSpan w:val="2"/>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50" w:firstLine="0"/>
              <w:jc w:val="right"/>
            </w:pPr>
            <w:r>
              <w:rPr>
                <w:sz w:val="20"/>
              </w:rPr>
              <w:t xml:space="preserve">/ </w:t>
            </w:r>
          </w:p>
        </w:tc>
        <w:tc>
          <w:tcPr>
            <w:tcW w:w="1843"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49" w:firstLine="0"/>
              <w:jc w:val="right"/>
            </w:pPr>
            <w:r>
              <w:rPr>
                <w:sz w:val="20"/>
              </w:rPr>
              <w:t xml:space="preserve">10 (2022) </w:t>
            </w:r>
          </w:p>
        </w:tc>
      </w:tr>
      <w:tr w:rsidR="00E8309B">
        <w:trPr>
          <w:trHeight w:val="701"/>
        </w:trPr>
        <w:tc>
          <w:tcPr>
            <w:tcW w:w="4107"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56" w:firstLine="0"/>
            </w:pPr>
            <w:r>
              <w:rPr>
                <w:sz w:val="20"/>
              </w:rPr>
              <w:t xml:space="preserve">Број ЈЛС које ће израдити локалне Мапе пута за циркуларну економију и постати део циркуларне заједнице </w:t>
            </w:r>
            <w:r>
              <w:rPr>
                <w:b/>
                <w:sz w:val="20"/>
              </w:rPr>
              <w:t xml:space="preserve"> </w:t>
            </w:r>
          </w:p>
        </w:tc>
        <w:tc>
          <w:tcPr>
            <w:tcW w:w="1841"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50" w:firstLine="0"/>
              <w:jc w:val="right"/>
            </w:pPr>
            <w:r>
              <w:rPr>
                <w:sz w:val="20"/>
              </w:rPr>
              <w:t>0 (2021)</w:t>
            </w:r>
            <w:r>
              <w:rPr>
                <w:b/>
                <w:sz w:val="20"/>
              </w:rPr>
              <w:t xml:space="preserve"> </w:t>
            </w:r>
          </w:p>
        </w:tc>
        <w:tc>
          <w:tcPr>
            <w:tcW w:w="1844" w:type="dxa"/>
            <w:gridSpan w:val="2"/>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50" w:firstLine="0"/>
              <w:jc w:val="right"/>
            </w:pPr>
            <w:r>
              <w:rPr>
                <w:b/>
                <w:sz w:val="20"/>
              </w:rPr>
              <w:t xml:space="preserve">/ </w:t>
            </w:r>
          </w:p>
        </w:tc>
        <w:tc>
          <w:tcPr>
            <w:tcW w:w="1843"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49" w:firstLine="0"/>
              <w:jc w:val="right"/>
            </w:pPr>
            <w:r>
              <w:rPr>
                <w:sz w:val="20"/>
              </w:rPr>
              <w:t>5 (2023)</w:t>
            </w:r>
            <w:r>
              <w:rPr>
                <w:b/>
                <w:sz w:val="20"/>
              </w:rPr>
              <w:t xml:space="preserve"> </w:t>
            </w:r>
          </w:p>
        </w:tc>
      </w:tr>
    </w:tbl>
    <w:p w:rsidR="00E8309B" w:rsidRDefault="009D0949">
      <w:pPr>
        <w:numPr>
          <w:ilvl w:val="0"/>
          <w:numId w:val="22"/>
        </w:numPr>
        <w:spacing w:after="79" w:line="271" w:lineRule="auto"/>
        <w:ind w:right="9" w:hanging="360"/>
      </w:pPr>
      <w:r>
        <w:rPr>
          <w:b/>
        </w:rPr>
        <w:t xml:space="preserve">Очекивани утицај на конкурентност </w:t>
      </w:r>
    </w:p>
    <w:p w:rsidR="00E8309B" w:rsidRDefault="009D0949">
      <w:pPr>
        <w:spacing w:after="162"/>
        <w:ind w:left="-5" w:right="17"/>
      </w:pPr>
      <w:r>
        <w:t>Спровођење ове структурне реформе утицаће на повећање привредног раста у кратком, средњем и дужем року. Концепт циркуларне економије штеди ресурсе и енергију, доводи до нових инвестиционих улагања и подстиче развој бизниса. Циркуларна економија доприноси к</w:t>
      </w:r>
      <w:r>
        <w:t>реирању просперитетнијег и конкурентнијег друштва кроз подстицаје за оснивање малих и средњих предузећа и развој технологија које штеде ресурсе и енергију и не загађују животну средину. Компаније окренуте ка циркуларном начину пословања постају конкурентни</w:t>
      </w:r>
      <w:r>
        <w:t xml:space="preserve">је јер нови начин производње доводи до уштеда услед сировинске и енергетске ефикасности и смањења отпада. </w:t>
      </w:r>
    </w:p>
    <w:p w:rsidR="00E8309B" w:rsidRDefault="009D0949">
      <w:pPr>
        <w:numPr>
          <w:ilvl w:val="0"/>
          <w:numId w:val="22"/>
        </w:numPr>
        <w:spacing w:after="79" w:line="271" w:lineRule="auto"/>
        <w:ind w:right="9" w:hanging="360"/>
      </w:pPr>
      <w:r>
        <w:rPr>
          <w:b/>
        </w:rPr>
        <w:t xml:space="preserve">Процењени трошкови спровођења структурне реформе и предвиђени извори њиховог финансирања </w:t>
      </w:r>
    </w:p>
    <w:p w:rsidR="00E8309B" w:rsidRDefault="009D0949">
      <w:pPr>
        <w:spacing w:after="161"/>
        <w:ind w:left="-5" w:right="17"/>
      </w:pPr>
      <w:r>
        <w:t xml:space="preserve">Израда Програма за циркуларну економију са Акционим планом </w:t>
      </w:r>
      <w:r>
        <w:t xml:space="preserve">предвиђена је за 2021. годину и финансираће се из буџета РС. Кроз Акциони план биће процењени и трошкови спровођења реформских мера за 2022. и 2023. годину, а финансијска средства ће се обезбедити из буџета РС, ЕУ фондова и од међународних донатора. </w:t>
      </w:r>
    </w:p>
    <w:p w:rsidR="00E8309B" w:rsidRDefault="009D0949">
      <w:pPr>
        <w:numPr>
          <w:ilvl w:val="0"/>
          <w:numId w:val="22"/>
        </w:numPr>
        <w:spacing w:after="79" w:line="271" w:lineRule="auto"/>
        <w:ind w:right="9" w:hanging="360"/>
      </w:pPr>
      <w:r>
        <w:rPr>
          <w:b/>
        </w:rPr>
        <w:t>Очеки</w:t>
      </w:r>
      <w:r>
        <w:rPr>
          <w:b/>
        </w:rPr>
        <w:t xml:space="preserve">вани утицај на социјалне циљеве, као што су запосленост, смањење сиромаштва, једнакост и род </w:t>
      </w:r>
    </w:p>
    <w:p w:rsidR="00E8309B" w:rsidRDefault="009D0949">
      <w:pPr>
        <w:spacing w:after="159"/>
        <w:ind w:left="-5" w:right="17"/>
      </w:pPr>
      <w:r>
        <w:t>Повећање запошљавања кроз развој циркуларне економије зависиће од висине јавних улагања за спровођење овог концепта. Послови у циркуларној економији могу да утичу</w:t>
      </w:r>
      <w:r>
        <w:t xml:space="preserve"> на повећање запошљавања осетљивих група и жена. Крајњи исход ове структурне реформе је побољшање квалитета животне средине и квалитета живота свих грађана, равноправно и жена и мушкараца. </w:t>
      </w:r>
    </w:p>
    <w:p w:rsidR="00E8309B" w:rsidRDefault="009D0949">
      <w:pPr>
        <w:numPr>
          <w:ilvl w:val="0"/>
          <w:numId w:val="22"/>
        </w:numPr>
        <w:spacing w:after="79" w:line="271" w:lineRule="auto"/>
        <w:ind w:right="9" w:hanging="360"/>
      </w:pPr>
      <w:r>
        <w:rPr>
          <w:b/>
        </w:rPr>
        <w:t xml:space="preserve">Очекивани утицај на животну средину </w:t>
      </w:r>
    </w:p>
    <w:p w:rsidR="00E8309B" w:rsidRDefault="009D0949">
      <w:pPr>
        <w:spacing w:after="157"/>
        <w:ind w:left="-5" w:right="17"/>
      </w:pPr>
      <w:r>
        <w:t>Увођење концепта циркуларне е</w:t>
      </w:r>
      <w:r>
        <w:t>кономије директно утиче на остваривање стратешких циљева и достизање одговарајућих стандарда у области заштите животне средине у кратком, средњем и дужем року. Према Европском зеленом договору циркуларна економија има важну улогу у развоју конкурентне прив</w:t>
      </w:r>
      <w:r>
        <w:t xml:space="preserve">реде која штеди ресурсе и утиче на смањење емисије гасова са ефектом стаклене баште. </w:t>
      </w:r>
    </w:p>
    <w:p w:rsidR="00E8309B" w:rsidRDefault="009D0949">
      <w:pPr>
        <w:numPr>
          <w:ilvl w:val="0"/>
          <w:numId w:val="22"/>
        </w:numPr>
        <w:spacing w:after="0" w:line="271" w:lineRule="auto"/>
        <w:ind w:right="9" w:hanging="360"/>
      </w:pPr>
      <w:r>
        <w:rPr>
          <w:b/>
        </w:rPr>
        <w:t xml:space="preserve">Потенцијални ризици </w:t>
      </w:r>
    </w:p>
    <w:tbl>
      <w:tblPr>
        <w:tblStyle w:val="TableGrid"/>
        <w:tblW w:w="9696" w:type="dxa"/>
        <w:tblInd w:w="0" w:type="dxa"/>
        <w:tblCellMar>
          <w:top w:w="46" w:type="dxa"/>
          <w:left w:w="108" w:type="dxa"/>
          <w:bottom w:w="0" w:type="dxa"/>
          <w:right w:w="151" w:type="dxa"/>
        </w:tblCellMar>
        <w:tblLook w:val="04A0" w:firstRow="1" w:lastRow="0" w:firstColumn="1" w:lastColumn="0" w:noHBand="0" w:noVBand="1"/>
      </w:tblPr>
      <w:tblGrid>
        <w:gridCol w:w="3330"/>
        <w:gridCol w:w="2201"/>
        <w:gridCol w:w="4165"/>
      </w:tblGrid>
      <w:tr w:rsidR="00E8309B">
        <w:trPr>
          <w:trHeight w:val="468"/>
        </w:trPr>
        <w:tc>
          <w:tcPr>
            <w:tcW w:w="3330"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0" w:right="0" w:firstLine="0"/>
              <w:jc w:val="left"/>
            </w:pPr>
            <w:r>
              <w:rPr>
                <w:b/>
                <w:sz w:val="20"/>
              </w:rPr>
              <w:t xml:space="preserve">Ризик </w:t>
            </w:r>
          </w:p>
        </w:tc>
        <w:tc>
          <w:tcPr>
            <w:tcW w:w="2201"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2" w:right="0" w:firstLine="0"/>
              <w:jc w:val="left"/>
            </w:pPr>
            <w:r>
              <w:rPr>
                <w:b/>
                <w:sz w:val="20"/>
              </w:rPr>
              <w:t xml:space="preserve">Вероватноћа за остваривање ризика </w:t>
            </w:r>
          </w:p>
        </w:tc>
        <w:tc>
          <w:tcPr>
            <w:tcW w:w="4165"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0" w:firstLine="0"/>
              <w:jc w:val="left"/>
            </w:pPr>
            <w:r>
              <w:rPr>
                <w:b/>
                <w:sz w:val="20"/>
              </w:rPr>
              <w:t xml:space="preserve">Активност за ублажавање негативних ефеката ризика </w:t>
            </w:r>
          </w:p>
        </w:tc>
      </w:tr>
      <w:tr w:rsidR="00E8309B">
        <w:trPr>
          <w:trHeight w:val="1622"/>
        </w:trPr>
        <w:tc>
          <w:tcPr>
            <w:tcW w:w="3330"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0" w:firstLine="0"/>
              <w:jc w:val="left"/>
            </w:pPr>
            <w:r>
              <w:rPr>
                <w:sz w:val="20"/>
              </w:rPr>
              <w:lastRenderedPageBreak/>
              <w:t xml:space="preserve">Непрепознавање концепта циркуларне економије од стране осталих релевантних сектора и неукључивање овог концепта у документа јавних политика из области које су релевантне за циркуларну економију </w:t>
            </w:r>
          </w:p>
        </w:tc>
        <w:tc>
          <w:tcPr>
            <w:tcW w:w="2201"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2" w:right="0" w:firstLine="0"/>
              <w:jc w:val="left"/>
            </w:pPr>
            <w:r>
              <w:rPr>
                <w:sz w:val="20"/>
              </w:rPr>
              <w:t xml:space="preserve">Средња </w:t>
            </w:r>
          </w:p>
        </w:tc>
        <w:tc>
          <w:tcPr>
            <w:tcW w:w="4165"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60" w:lineRule="auto"/>
              <w:ind w:left="0" w:right="50" w:firstLine="0"/>
            </w:pPr>
            <w:r>
              <w:rPr>
                <w:sz w:val="20"/>
              </w:rPr>
              <w:t>Формирана је мултисекторска радна група за циркуларну</w:t>
            </w:r>
            <w:r>
              <w:rPr>
                <w:sz w:val="20"/>
              </w:rPr>
              <w:t xml:space="preserve"> економију коју чине представници свих релевантних </w:t>
            </w:r>
          </w:p>
          <w:p w:rsidR="00E8309B" w:rsidRDefault="009D0949">
            <w:pPr>
              <w:spacing w:after="0" w:line="259" w:lineRule="auto"/>
              <w:ind w:left="0" w:right="0" w:firstLine="0"/>
              <w:jc w:val="left"/>
            </w:pPr>
            <w:r>
              <w:rPr>
                <w:sz w:val="20"/>
              </w:rPr>
              <w:t xml:space="preserve">министарстава, институција и међународних организација (UNDP, GIZ и OEBS), која пружа подршку у припреми стратешког оквира за циркуларну економију </w:t>
            </w:r>
          </w:p>
        </w:tc>
      </w:tr>
    </w:tbl>
    <w:p w:rsidR="00E8309B" w:rsidRDefault="009D0949">
      <w:pPr>
        <w:spacing w:after="156" w:line="259" w:lineRule="auto"/>
        <w:ind w:left="0" w:right="0" w:firstLine="0"/>
        <w:jc w:val="left"/>
      </w:pPr>
      <w:r>
        <w:rPr>
          <w:b/>
        </w:rPr>
        <w:t xml:space="preserve"> </w:t>
      </w:r>
    </w:p>
    <w:p w:rsidR="00E8309B" w:rsidRDefault="009D0949">
      <w:pPr>
        <w:spacing w:after="0" w:line="259" w:lineRule="auto"/>
        <w:ind w:left="0" w:right="0" w:firstLine="0"/>
        <w:jc w:val="left"/>
      </w:pPr>
      <w:r>
        <w:rPr>
          <w:b/>
        </w:rPr>
        <w:t xml:space="preserve"> </w:t>
      </w:r>
      <w:r>
        <w:rPr>
          <w:b/>
        </w:rPr>
        <w:tab/>
        <w:t xml:space="preserve"> </w:t>
      </w:r>
    </w:p>
    <w:tbl>
      <w:tblPr>
        <w:tblStyle w:val="TableGrid"/>
        <w:tblW w:w="9684" w:type="dxa"/>
        <w:tblInd w:w="-15" w:type="dxa"/>
        <w:tblCellMar>
          <w:top w:w="13" w:type="dxa"/>
          <w:left w:w="0" w:type="dxa"/>
          <w:bottom w:w="0" w:type="dxa"/>
          <w:right w:w="3" w:type="dxa"/>
        </w:tblCellMar>
        <w:tblLook w:val="04A0" w:firstRow="1" w:lastRow="0" w:firstColumn="1" w:lastColumn="0" w:noHBand="0" w:noVBand="1"/>
      </w:tblPr>
      <w:tblGrid>
        <w:gridCol w:w="8947"/>
        <w:gridCol w:w="737"/>
      </w:tblGrid>
      <w:tr w:rsidR="00E8309B">
        <w:trPr>
          <w:trHeight w:val="280"/>
        </w:trPr>
        <w:tc>
          <w:tcPr>
            <w:tcW w:w="8946" w:type="dxa"/>
            <w:tcBorders>
              <w:top w:val="nil"/>
              <w:left w:val="nil"/>
              <w:bottom w:val="nil"/>
              <w:right w:val="nil"/>
            </w:tcBorders>
            <w:shd w:val="clear" w:color="auto" w:fill="D9D9D9"/>
          </w:tcPr>
          <w:p w:rsidR="00E8309B" w:rsidRDefault="009D0949">
            <w:pPr>
              <w:spacing w:after="0" w:line="259" w:lineRule="auto"/>
              <w:ind w:left="15" w:right="0" w:firstLine="0"/>
            </w:pPr>
            <w:r>
              <w:rPr>
                <w:b/>
              </w:rPr>
              <w:t>5.3</w:t>
            </w:r>
            <w:r>
              <w:rPr>
                <w:b/>
              </w:rPr>
              <w:t>.3. Област ПОСЛОВНИ АМБИЈЕНТ И БОРБА ПРОТИВ СИВЕ ЕКОНОМИЈЕ</w:t>
            </w:r>
          </w:p>
        </w:tc>
        <w:tc>
          <w:tcPr>
            <w:tcW w:w="737" w:type="dxa"/>
            <w:tcBorders>
              <w:top w:val="nil"/>
              <w:left w:val="nil"/>
              <w:bottom w:val="nil"/>
              <w:right w:val="nil"/>
            </w:tcBorders>
            <w:shd w:val="clear" w:color="auto" w:fill="D9D9D9"/>
          </w:tcPr>
          <w:p w:rsidR="00E8309B" w:rsidRDefault="009D0949">
            <w:pPr>
              <w:spacing w:after="0" w:line="259" w:lineRule="auto"/>
              <w:ind w:left="0" w:right="0" w:firstLine="0"/>
              <w:jc w:val="left"/>
            </w:pPr>
            <w:r>
              <w:rPr>
                <w:b/>
              </w:rPr>
              <w:t xml:space="preserve"> </w:t>
            </w:r>
          </w:p>
        </w:tc>
      </w:tr>
    </w:tbl>
    <w:p w:rsidR="00E8309B" w:rsidRDefault="009D0949">
      <w:pPr>
        <w:spacing w:after="105" w:line="259" w:lineRule="auto"/>
        <w:ind w:left="0" w:right="0" w:firstLine="0"/>
        <w:jc w:val="left"/>
      </w:pPr>
      <w:r>
        <w:rPr>
          <w:b/>
          <w:sz w:val="23"/>
        </w:rPr>
        <w:t xml:space="preserve">а) Анализа главних препрека </w:t>
      </w:r>
    </w:p>
    <w:p w:rsidR="00E8309B" w:rsidRDefault="009D0949">
      <w:pPr>
        <w:ind w:left="-5" w:right="17"/>
      </w:pPr>
      <w:r>
        <w:t xml:space="preserve">Према </w:t>
      </w:r>
      <w:r>
        <w:rPr>
          <w:b/>
        </w:rPr>
        <w:t>Индексу глобалне конкурентности</w:t>
      </w:r>
      <w:r>
        <w:t xml:space="preserve"> (</w:t>
      </w:r>
      <w:r>
        <w:rPr>
          <w:i/>
        </w:rPr>
        <w:t>Global Competitiveness Index</w:t>
      </w:r>
      <w:r>
        <w:t xml:space="preserve">), Србија је заузела </w:t>
      </w:r>
      <w:r>
        <w:rPr>
          <w:b/>
        </w:rPr>
        <w:t>72. место</w:t>
      </w:r>
      <w:r>
        <w:t xml:space="preserve"> </w:t>
      </w:r>
      <w:r>
        <w:t xml:space="preserve">на листи од 141 земље у 2019. години, уз пад за 7 места у односу на претходну годину. Иако је остварена вредност индекса глобалне конкурентности у овој години непромењена у односу на претходну, услед напретка који су оствариле поједине привреде, релативна </w:t>
      </w:r>
      <w:r>
        <w:t>позиција Србије на ранг листи је погоршана. Епидемија вируса Ковид-19 додатно је погоршала конкурентност – последице су најтеже у сектору МСП (посебно из периода карантина), а као главни фактор опоравка наводе се добро испланиране и усмерене мере државне п</w:t>
      </w:r>
      <w:r>
        <w:t xml:space="preserve">омоћи. </w:t>
      </w:r>
    </w:p>
    <w:p w:rsidR="00E8309B" w:rsidRDefault="009D0949">
      <w:pPr>
        <w:ind w:left="-5" w:right="17"/>
      </w:pPr>
      <w:r>
        <w:t>Рејтинг Србије је поправљен за 4 позиције на међународној листи Светске банке „</w:t>
      </w:r>
      <w:r>
        <w:rPr>
          <w:b/>
          <w:i/>
        </w:rPr>
        <w:t>Doing business 2020</w:t>
      </w:r>
      <w:r>
        <w:t xml:space="preserve">“ у односу на претходну годину, и сада се налази на </w:t>
      </w:r>
      <w:r>
        <w:rPr>
          <w:b/>
        </w:rPr>
        <w:t>44. месту</w:t>
      </w:r>
      <w:r>
        <w:t xml:space="preserve"> од 190 земаља света. Србија је, уз Хрватску, једина земља у региону која је ове године о</w:t>
      </w:r>
      <w:r>
        <w:t xml:space="preserve">стварила напредак на листи, а већ трећу годину заредом је у топ 50 земаља на свету по условима пословања, при чему од земаља региона само С. Македонија (17.) и Словенија (37.) бележе повољнији пласман. Најбољи пласман Србија има у области </w:t>
      </w:r>
      <w:r>
        <w:rPr>
          <w:i/>
        </w:rPr>
        <w:t>Добијања грађевин</w:t>
      </w:r>
      <w:r>
        <w:rPr>
          <w:i/>
        </w:rPr>
        <w:t>ских дозвола</w:t>
      </w:r>
      <w:r>
        <w:t xml:space="preserve"> - 9. позиција у свету, односно побољшање за 2 места), на шта је у највећој мери утицало увођење система електронског издавања грађевинских дозвола (е-дозвола). Током претходне године постигнут је највећи напредак у области </w:t>
      </w:r>
      <w:r>
        <w:rPr>
          <w:i/>
        </w:rPr>
        <w:t>Заштите мањинских ак</w:t>
      </w:r>
      <w:r>
        <w:rPr>
          <w:i/>
        </w:rPr>
        <w:t>ционара</w:t>
      </w:r>
      <w:r>
        <w:t xml:space="preserve"> – напредак за 46 места (37. позиција), услед увођења екстерне ревизије и откривања трансакција повезаних лица, као и захтева за већом корпорацијском транспарентношћу. Такође, у области </w:t>
      </w:r>
      <w:r>
        <w:rPr>
          <w:i/>
        </w:rPr>
        <w:t>Решавања стечаја</w:t>
      </w:r>
      <w:r>
        <w:t xml:space="preserve"> – </w:t>
      </w:r>
      <w:r>
        <w:t xml:space="preserve">напредак за 8 места (41. позиција) увођење процедуре по којој се од кредитора захтева именовање представника у случају стечаја (коме су доступне информације о финансијском стању дужника) додатно је утицало на напредак, а </w:t>
      </w:r>
      <w:r>
        <w:rPr>
          <w:i/>
        </w:rPr>
        <w:t>Добијање прикључка на електричну мр</w:t>
      </w:r>
      <w:r>
        <w:rPr>
          <w:i/>
        </w:rPr>
        <w:t>ежу</w:t>
      </w:r>
      <w:r>
        <w:t xml:space="preserve"> – напредак за 10 места (94. позиција) је олакшано поузданијим напајањем, услед унапређења и бољег одржавања мреже. </w:t>
      </w:r>
    </w:p>
    <w:p w:rsidR="00E8309B" w:rsidRDefault="009D0949">
      <w:pPr>
        <w:ind w:left="-5" w:right="17"/>
      </w:pPr>
      <w:r>
        <w:t xml:space="preserve">Како би Република Србија напредовала у свих 10 области које прати листа, активно се ради на дефинисању мера из угла привреде. Нови </w:t>
      </w:r>
      <w:r>
        <w:rPr>
          <w:i/>
        </w:rPr>
        <w:t>Прогр</w:t>
      </w:r>
      <w:r>
        <w:rPr>
          <w:i/>
        </w:rPr>
        <w:t>ам за унапређење позиције Републике Србије на ранг листи Светске банке о условима пословања</w:t>
      </w:r>
      <w:r>
        <w:t xml:space="preserve"> – </w:t>
      </w:r>
      <w:r>
        <w:rPr>
          <w:i/>
        </w:rPr>
        <w:t xml:space="preserve">Doing business </w:t>
      </w:r>
      <w:r>
        <w:t>за период 2020-2023. године са пратећим Акционим планом, Влада РС усвојила је 12. јуна 2020. године. Акциони план садржи јасно дефинисане обавезе и</w:t>
      </w:r>
      <w:r>
        <w:t xml:space="preserve"> задатке институција надлежних за спровођење мера и активности. </w:t>
      </w:r>
    </w:p>
    <w:p w:rsidR="00E8309B" w:rsidRDefault="009D0949">
      <w:pPr>
        <w:ind w:left="-5" w:right="17"/>
      </w:pPr>
      <w:r>
        <w:t>Према недавно објављеном Глобалном индексу сигурности власништва над непокретностима</w:t>
      </w:r>
      <w:r>
        <w:rPr>
          <w:vertAlign w:val="superscript"/>
        </w:rPr>
        <w:footnoteReference w:id="35"/>
      </w:r>
      <w:r>
        <w:t>, урађен према новој Приндекс листи за 2020. годину,</w:t>
      </w:r>
      <w:r>
        <w:rPr>
          <w:b/>
        </w:rPr>
        <w:t xml:space="preserve"> Србија</w:t>
      </w:r>
      <w:r>
        <w:t xml:space="preserve"> је заузела </w:t>
      </w:r>
      <w:r>
        <w:rPr>
          <w:b/>
        </w:rPr>
        <w:t>10. место у Европи</w:t>
      </w:r>
      <w:r>
        <w:t xml:space="preserve">, а </w:t>
      </w:r>
      <w:r>
        <w:rPr>
          <w:b/>
        </w:rPr>
        <w:t>14. место у с</w:t>
      </w:r>
      <w:r>
        <w:rPr>
          <w:b/>
        </w:rPr>
        <w:t>вету у</w:t>
      </w:r>
      <w:r>
        <w:t xml:space="preserve"> </w:t>
      </w:r>
      <w:r>
        <w:rPr>
          <w:b/>
        </w:rPr>
        <w:t>области сигурности власништва</w:t>
      </w:r>
      <w:r>
        <w:t>. Резултати истраживања показују да чак</w:t>
      </w:r>
      <w:r>
        <w:rPr>
          <w:b/>
        </w:rPr>
        <w:t xml:space="preserve"> 97% власника некретнина у Србији осећа сигурност да неће </w:t>
      </w:r>
      <w:r>
        <w:rPr>
          <w:b/>
        </w:rPr>
        <w:lastRenderedPageBreak/>
        <w:t>мимо своје воље изгубити непокретност</w:t>
      </w:r>
      <w:r>
        <w:t>, а сигурност власништва над некретнинама представља камен темељац економског и друштв</w:t>
      </w:r>
      <w:r>
        <w:t>еног развоја.</w:t>
      </w:r>
      <w:r>
        <w:rPr>
          <w:rFonts w:ascii="Calibri" w:eastAsia="Calibri" w:hAnsi="Calibri" w:cs="Calibri"/>
          <w:sz w:val="22"/>
        </w:rPr>
        <w:t xml:space="preserve"> </w:t>
      </w:r>
    </w:p>
    <w:p w:rsidR="00E8309B" w:rsidRDefault="009D0949">
      <w:pPr>
        <w:spacing w:after="8"/>
        <w:ind w:left="-5" w:right="17"/>
      </w:pPr>
      <w:r>
        <w:rPr>
          <w:b/>
        </w:rPr>
        <w:t>Пословно окружење у Србији и даље је оптерећено трошковима и компликованим административним поступцима за привреду</w:t>
      </w:r>
      <w:r>
        <w:t xml:space="preserve"> што неповољно утиче на инвестиције и развој и раст сектора малих и средњих предузећа (МСП). Због тога је у</w:t>
      </w:r>
      <w:r>
        <w:rPr>
          <w:b/>
        </w:rPr>
        <w:t xml:space="preserve"> децембру 2018. доне</w:t>
      </w:r>
      <w:r>
        <w:rPr>
          <w:b/>
        </w:rPr>
        <w:t xml:space="preserve">т Закон о накнадама за коришћење јавних добара </w:t>
      </w:r>
      <w:r>
        <w:t xml:space="preserve">(„Сл. гласник РС“, бр. 95/18), којим се на једном месту обједињавају све накнаде које се плаћају за коришћење природних богатстава, добара од општег интереса и добара у општој употреби (до тада су ове накнаде </w:t>
      </w:r>
      <w:r>
        <w:t xml:space="preserve">биле предмет уређивања у 19 посебних закона). У јулу 2019. године Влада је усвојила и </w:t>
      </w:r>
      <w:r>
        <w:rPr>
          <w:b/>
        </w:rPr>
        <w:t>Програм за поједностављење административних поступака и регулативе „еПапир”</w:t>
      </w:r>
      <w:r>
        <w:t xml:space="preserve"> за период 2019-2021. године  са пратећим </w:t>
      </w:r>
      <w:r>
        <w:rPr>
          <w:b/>
        </w:rPr>
        <w:t xml:space="preserve">Акционим планом за спровођење Програма </w:t>
      </w:r>
      <w:r>
        <w:t xml:space="preserve">који предвиђа </w:t>
      </w:r>
      <w:r>
        <w:t>конкретне мере и активности на поједностављењу 890 поступака и успостављање јединственог јавног регистра административних поступака. Поједностављење и укидање непотребних административних поступака би довело до смањења удела укупних административних трошко</w:t>
      </w:r>
      <w:r>
        <w:t>ва у БДП на 3% до 2020. године</w:t>
      </w:r>
      <w:r>
        <w:rPr>
          <w:vertAlign w:val="superscript"/>
        </w:rPr>
        <w:footnoteReference w:id="36"/>
      </w:r>
      <w:r>
        <w:t xml:space="preserve">. </w:t>
      </w:r>
      <w:r>
        <w:rPr>
          <w:b/>
        </w:rPr>
        <w:t>Административно оптерећење привреде у Србији смањено је на 3,11% БДП у 2018. години</w:t>
      </w:r>
      <w:r>
        <w:t xml:space="preserve"> (према обрачуну РСЈП), са 4,07% БДП у 2010. години (постављени циљ за 2020. годину је 3% БДП). </w:t>
      </w:r>
    </w:p>
    <w:p w:rsidR="00E8309B" w:rsidRDefault="009D0949">
      <w:pPr>
        <w:ind w:left="-5" w:right="17"/>
      </w:pPr>
      <w:r>
        <w:rPr>
          <w:b/>
        </w:rPr>
        <w:t>Приступ финансирању МСПП из године у годину</w:t>
      </w:r>
      <w:r>
        <w:rPr>
          <w:b/>
        </w:rPr>
        <w:t xml:space="preserve"> се побољшава</w:t>
      </w:r>
      <w:r>
        <w:t xml:space="preserve">. Правни оквир у области финансијских услуга унапређен је доношењем </w:t>
      </w:r>
      <w:r>
        <w:rPr>
          <w:i/>
        </w:rPr>
        <w:t>Закона о отвореним инвестиционим фондовима са јавном понудом</w:t>
      </w:r>
      <w:r>
        <w:t xml:space="preserve"> и </w:t>
      </w:r>
      <w:r>
        <w:rPr>
          <w:i/>
        </w:rPr>
        <w:t>Закона о алтернативним инвестиционим фондовима</w:t>
      </w:r>
      <w:r>
        <w:t xml:space="preserve"> („Сл. гласник РС“, бр. 73/19), којима се омогућавају алтернативни</w:t>
      </w:r>
      <w:r>
        <w:t xml:space="preserve"> извори финансирања</w:t>
      </w:r>
      <w:r>
        <w:rPr>
          <w:vertAlign w:val="superscript"/>
        </w:rPr>
        <w:footnoteReference w:id="37"/>
      </w:r>
      <w:r>
        <w:t>. Успостављено је системско праћење кредитирања МСПП на месечном нивоу од 2017. године, које показује константно побољшање услова финансирања МСПП (ниже каматне стопе, дужа рочност кредита, већи обим кредита). Кредити МСПП у 2019. годин</w:t>
      </w:r>
      <w:r>
        <w:t xml:space="preserve">и у просеку су чинили 53% динарских и 64% девизно индексираних кредита привреди, при чему су инвестициони кредити најзаступљенији. Мoраторијум у отплати кредита, </w:t>
      </w:r>
      <w:r>
        <w:rPr>
          <w:b/>
        </w:rPr>
        <w:t xml:space="preserve">као подршка привреди ради смањивања негативних ефеката проузрокованих пандемијом Ковид-19, </w:t>
      </w:r>
      <w:r>
        <w:t>при</w:t>
      </w:r>
      <w:r>
        <w:t>хватило је 93%</w:t>
      </w:r>
      <w:r>
        <w:rPr>
          <w:vertAlign w:val="superscript"/>
        </w:rPr>
        <w:footnoteReference w:id="38"/>
      </w:r>
      <w:r>
        <w:t xml:space="preserve"> привредних субјеката. </w:t>
      </w:r>
    </w:p>
    <w:p w:rsidR="00E8309B" w:rsidRDefault="009D0949">
      <w:pPr>
        <w:spacing w:after="72"/>
        <w:ind w:left="-5" w:right="17"/>
      </w:pPr>
      <w:r>
        <w:rPr>
          <w:b/>
        </w:rPr>
        <w:t>Обим сиве економије у Србији је снижен</w:t>
      </w:r>
      <w:r>
        <w:t xml:space="preserve"> са 21,2% БДП-а у 2012. години на 15,4% у 2017. години, у погледу промета производа и исплате зарада код регистрованих привредних субјеката (према резултатима приказаним у студији</w:t>
      </w:r>
      <w:r>
        <w:t xml:space="preserve"> НАЛЕД-а). Усвојен је </w:t>
      </w:r>
      <w:r>
        <w:rPr>
          <w:b/>
        </w:rPr>
        <w:t xml:space="preserve">Национални програм за сузбијање сиве економије за период 2019/2020. године </w:t>
      </w:r>
      <w:r>
        <w:t>са Акционим планом у априлу 2019. године, којим је предвиђено даље унапређење рада инспекцијских органа, оштрија казнена политика и ефикаснија наплата пореских</w:t>
      </w:r>
      <w:r>
        <w:t xml:space="preserve"> прихода. Успешно је реализовано 50% активности акционог плана предвиђених за 2019, док готово трећина предвиђених активности није спроведена</w:t>
      </w:r>
      <w:r>
        <w:rPr>
          <w:vertAlign w:val="superscript"/>
        </w:rPr>
        <w:footnoteReference w:id="39"/>
      </w:r>
      <w:r>
        <w:t xml:space="preserve">. </w:t>
      </w:r>
    </w:p>
    <w:p w:rsidR="00E8309B" w:rsidRDefault="009D0949">
      <w:pPr>
        <w:ind w:left="-5" w:right="17"/>
      </w:pPr>
      <w:r>
        <w:t>Напори у борби против неформалног пословања, кроз ефикасно и организовано поступање инспекцијских органа и Поре</w:t>
      </w:r>
      <w:r>
        <w:t xml:space="preserve">ске управе, дају резултате који се огледају кроз </w:t>
      </w:r>
      <w:r>
        <w:rPr>
          <w:b/>
        </w:rPr>
        <w:t>раст укупних пореских прихода реално за 7,4%</w:t>
      </w:r>
      <w:r>
        <w:t xml:space="preserve"> и то свих најзначајнијих категорија: пореза на доходак грађана (11,4%), ПДВ (8,1%), доприноса (7%) и акциза (3,7%) у 2019. години. Раст укупних пореских прихода у</w:t>
      </w:r>
      <w:r>
        <w:t xml:space="preserve"> апсолутном износу, остварен је због повећања прихода од доприноса за обавезно социјално осигурање (све организације обавезног социјалног осигурања су наплатиле виши износ доприноса, а пре свега Фонд ПИО), као и веће потрошње услед раста зарада. </w:t>
      </w:r>
    </w:p>
    <w:p w:rsidR="00E8309B" w:rsidRDefault="009D0949">
      <w:pPr>
        <w:ind w:left="-5" w:right="17"/>
      </w:pPr>
      <w:r>
        <w:lastRenderedPageBreak/>
        <w:t>Кључан чи</w:t>
      </w:r>
      <w:r>
        <w:t xml:space="preserve">нилац у процесу повећања буџетских прихода и унапређења управљања јавним финансијама представља </w:t>
      </w:r>
      <w:r>
        <w:rPr>
          <w:b/>
        </w:rPr>
        <w:t>реформа Пореске управе</w:t>
      </w:r>
      <w:r>
        <w:t xml:space="preserve"> која је у току. Важан део реформе представља </w:t>
      </w:r>
      <w:r>
        <w:rPr>
          <w:b/>
        </w:rPr>
        <w:t>дигитално пословање</w:t>
      </w:r>
      <w:r>
        <w:t>, па тако порески обвезници од 1. јануара 2018. године за све приходе кој</w:t>
      </w:r>
      <w:r>
        <w:t xml:space="preserve">е администрира Пореска управа могу да поднесу пореске пријаве и провере стање својих пореских картица преко </w:t>
      </w:r>
      <w:r>
        <w:rPr>
          <w:b/>
        </w:rPr>
        <w:t>портала еПорези</w:t>
      </w:r>
      <w:r>
        <w:t xml:space="preserve">, а од 1. марта 2019. године да добију и електронско уверење о измирењу пореских обавеза. Крајем 2019. године донета је </w:t>
      </w:r>
      <w:r>
        <w:rPr>
          <w:b/>
        </w:rPr>
        <w:t>Уредба о ближ</w:t>
      </w:r>
      <w:r>
        <w:rPr>
          <w:b/>
        </w:rPr>
        <w:t>им условима, критеријумима и елементима за паушално опорезивање обвезника пореза на приходе од самосталне делатности</w:t>
      </w:r>
      <w:r>
        <w:t xml:space="preserve"> („Сл. гласник РСˮ, бр. 94/19 и 96/19-исправка), која се примењује од 1. јануара 2020. године. Израђен је апликативни софтвер у циљу поједно</w:t>
      </w:r>
      <w:r>
        <w:t>стављивања начина и поступка обрачуна паушалног прихода и доношења решења у електронском облику преко портала Пореске управе. Преостаје израда софтвера за обједињену наплату пореза и доприноса за паушалце на начин који већ функционише за остале пореске обв</w:t>
      </w:r>
      <w:r>
        <w:t xml:space="preserve">езнике. У систему паушалног опорезивања, размена података између ПИО, РФЗО и ЦРОСО је у потпуности аутоматизована. </w:t>
      </w:r>
    </w:p>
    <w:p w:rsidR="00E8309B" w:rsidRDefault="009D0949">
      <w:pPr>
        <w:ind w:left="-5" w:right="17"/>
      </w:pPr>
      <w:r>
        <w:t xml:space="preserve">Анализом </w:t>
      </w:r>
      <w:r>
        <w:rPr>
          <w:b/>
        </w:rPr>
        <w:t>система фискализације</w:t>
      </w:r>
      <w:r>
        <w:t xml:space="preserve">, који је у функцији већ 15 година, утврђен је степен </w:t>
      </w:r>
      <w:r>
        <w:rPr>
          <w:b/>
        </w:rPr>
        <w:t>неусаглашености са развојем нових технологија и решења к</w:t>
      </w:r>
      <w:r>
        <w:rPr>
          <w:b/>
        </w:rPr>
        <w:t>оја се примењују у међународној пракси</w:t>
      </w:r>
      <w:r>
        <w:t>. Најзначајнији уочени недостаци су: фискална опрема која је у функцији не прати технологију која је у међувремену напредовала; компликован, дуготрајан и веома скуп процес сертификације фискалних каса и штампача; проце</w:t>
      </w:r>
      <w:r>
        <w:t>с фискализације и дефискализације фискалних каса траје дуго и захтева физичко присуство пореског инспектора и овлашћеног сервисера, са доста администрације; веродостојност рачуна може се проверити само на месту продаје на контролној траци; подаци у постоје</w:t>
      </w:r>
      <w:r>
        <w:t>ћем систему до смештања у фискалну меморију су недовољно безбедни. Имајући у виду све наведено, нови законодавни оквир о фискализацији треба да отклони уочене недостатке садашњег модела и да доведе до ефикасније контроле свих испорука добара и пружених усл</w:t>
      </w:r>
      <w:r>
        <w:t>уга на мало, односно створи услове Пореској управи за ефикасније праћење и контролу пореских обвезника код којих постоји ризик од избегавања плаћања пореза, као и повећање броја пореских контрола у самом седишту пореског органа. Поред наведеног, обухват фи</w:t>
      </w:r>
      <w:r>
        <w:t xml:space="preserve">скализације биће проширен на све обвезнике пореза на приходе од самосталне делатности и обвезнике пореза на добит правних лица који врше промет на мало, а доћи ће и до смањивања трошкова обвезника фискализације и призвођача, односно добављача електронских </w:t>
      </w:r>
      <w:r>
        <w:t xml:space="preserve">фискалних уређаја за евидентирање промета који се односе на административне процедуре и средстава које је потребно издвојити у ове сврхе. Закон о фискализацији усвојен је у децембру 2020. године, а његова примена почиње 01. јануара 2022. године. </w:t>
      </w:r>
    </w:p>
    <w:p w:rsidR="00E8309B" w:rsidRDefault="009D0949">
      <w:pPr>
        <w:ind w:left="-5" w:right="17"/>
      </w:pPr>
      <w:r>
        <w:t>Када гово</w:t>
      </w:r>
      <w:r>
        <w:t xml:space="preserve">римо о </w:t>
      </w:r>
      <w:r>
        <w:rPr>
          <w:b/>
        </w:rPr>
        <w:t>преласку на електронско фактурисање</w:t>
      </w:r>
      <w:r>
        <w:t xml:space="preserve"> циљ је потпуна замена папирног облика фактуре у дигитални, а изазов у овом домену је увођење централизоване платформе за размену електронских фактура. Стварање услова за овај прелазак представља усвајање законодав</w:t>
      </w:r>
      <w:r>
        <w:t xml:space="preserve">ног оквира, што се очекује до краја фебруара 2021. године. </w:t>
      </w:r>
    </w:p>
    <w:p w:rsidR="00E8309B" w:rsidRDefault="009D0949">
      <w:pPr>
        <w:ind w:left="-5" w:right="17"/>
      </w:pPr>
      <w:r>
        <w:t xml:space="preserve">У јулу 2019. године покренут је јединствени информациони систем </w:t>
      </w:r>
      <w:r>
        <w:rPr>
          <w:b/>
        </w:rPr>
        <w:t>еИнспектор</w:t>
      </w:r>
      <w:r>
        <w:t xml:space="preserve">, којим су увезане 43 инспекцијске службе, чиме ће се додатно повећава ефикасност надзора услед далеко боље координације служби, док је у марту 2020. успостављен </w:t>
      </w:r>
      <w:r>
        <w:rPr>
          <w:b/>
        </w:rPr>
        <w:t>контакт центар за пријављивање тржишних нерегуларности</w:t>
      </w:r>
      <w:r>
        <w:t>. Израђен је и усвојен трогодишњи акцион</w:t>
      </w:r>
      <w:r>
        <w:t>и план за запошљавање инспектора за период 2019-2021, којим је предвиђено запошљавање 1.272 инспектора, али је због административних потешкоћа и пандемије Ковид-19 отежано спровођење планираних активности, тако да је предвиђено запошљавање 100 нових инспек</w:t>
      </w:r>
      <w:r>
        <w:t>тора у току 2020. У циљу подизања транспарентности и ефикасности процеса јавних набавки у децембру 2019. усвојен је</w:t>
      </w:r>
      <w:r>
        <w:rPr>
          <w:b/>
        </w:rPr>
        <w:t xml:space="preserve"> Закон о јавним набавкама</w:t>
      </w:r>
      <w:r>
        <w:t xml:space="preserve"> („Сл. гласник РС”, бр. 91/19), са применом од 1. јула 2020. године. Успостављен је нови Портал јавних набавки, као </w:t>
      </w:r>
      <w:r>
        <w:t xml:space="preserve">и електронске лицитације и централизовани планови набавки за тела за централизоване јавне </w:t>
      </w:r>
      <w:r>
        <w:lastRenderedPageBreak/>
        <w:t xml:space="preserve">набавке, док је у плану да се додају нове функционалности као што су: е-Уговарање и  е-Концесије. . Законом је препознат и модел „партнерство за иновације”, чији циљ </w:t>
      </w:r>
      <w:r>
        <w:t xml:space="preserve">је развој иновативних добара, услуга или радова и њихова накнадна набавка. </w:t>
      </w:r>
    </w:p>
    <w:p w:rsidR="00E8309B" w:rsidRDefault="009D0949">
      <w:pPr>
        <w:spacing w:after="12"/>
        <w:ind w:left="-5" w:right="17"/>
      </w:pPr>
      <w:r>
        <w:rPr>
          <w:b/>
        </w:rPr>
        <w:t xml:space="preserve">Успостављање ажурног катастра непокретности у реалном времену </w:t>
      </w:r>
      <w:r>
        <w:t>је предуслов да се побољша ефикасност пословања и скрате процедуре потребне за упис права својине у катастар. Процес дигитализације катастра у Србији започет је крајем 2017. године. Националнa инфраструктурa геопросторних података (НИГП) је интегрисани сис</w:t>
      </w:r>
      <w:r>
        <w:t xml:space="preserve">тем геопросторних података, који треба да омогући корисницима да на свеобухватан начин пронађу и приступе просторним информацијама из различитих извора, од локалног, преко националног до глобалног нивоа. Доношењем </w:t>
      </w:r>
      <w:r>
        <w:rPr>
          <w:b/>
        </w:rPr>
        <w:t>Закона о поступку уписа у катастар непокре</w:t>
      </w:r>
      <w:r>
        <w:rPr>
          <w:b/>
        </w:rPr>
        <w:t>тности и водова</w:t>
      </w:r>
      <w:r>
        <w:t xml:space="preserve"> („Сл. гласник РС“, бр. 41/2018) прописане су обавезе јавних органа и других субјеката да податке из својих надлежности доставе служби за катастар непокретности ради ажурирања. Подношење захтева за упис у катастар се одвија преко </w:t>
      </w:r>
      <w:r>
        <w:rPr>
          <w:b/>
        </w:rPr>
        <w:t>еШалтера</w:t>
      </w:r>
      <w:r>
        <w:t>, у</w:t>
      </w:r>
      <w:r>
        <w:t xml:space="preserve"> дигиталном облику, што је смањило број процедура са 6 на 2 процедуре. Уредба о условима издавања извода из листа непокретности и листа вода из Геодетског катастарског информационог система донета је 26. јуна 2020. године од стране јавних бележника и геоде</w:t>
      </w:r>
      <w:r>
        <w:t xml:space="preserve">тских организација. Овом уредбом ближе се уређују услови и начин издавања извода из листа непокретности и листа вода из базе података Геодетског катастарског информационог система РГЗ-а, од стране јавних бележника и геодетских организација. </w:t>
      </w:r>
    </w:p>
    <w:p w:rsidR="00E8309B" w:rsidRDefault="009D0949">
      <w:pPr>
        <w:ind w:left="-5" w:right="17"/>
      </w:pPr>
      <w:r>
        <w:rPr>
          <w:b/>
        </w:rPr>
        <w:t>Скоро 2,7 мили</w:t>
      </w:r>
      <w:r>
        <w:rPr>
          <w:b/>
        </w:rPr>
        <w:t>она становника Србије је пријављено на адресама за које није одређен назив улице</w:t>
      </w:r>
      <w:r>
        <w:t xml:space="preserve"> према подацима МУП, а ЈЛС су претходно за сопствене потребе користиле интерне регистре. Оснивањем Координационог тела за унапређење адресног регистра крајем 2018. године, успо</w:t>
      </w:r>
      <w:r>
        <w:t xml:space="preserve">ставља се јединствени адресни регистар кроз три фазе: именовање улица и објеката у сарадњи са ЈЛС (у току), праћено теренским обележавањем и на крају ажурирањем адресног регистра од стране ЈЛС. </w:t>
      </w:r>
    </w:p>
    <w:p w:rsidR="00E8309B" w:rsidRDefault="009D0949">
      <w:pPr>
        <w:ind w:left="-5" w:right="17"/>
      </w:pPr>
      <w:r>
        <w:t>Ослањајући се на претходно уведен систем обједињене процедуре</w:t>
      </w:r>
      <w:r>
        <w:t xml:space="preserve"> за електронско издавање грађевинских дозвола </w:t>
      </w:r>
      <w:r>
        <w:rPr>
          <w:b/>
        </w:rPr>
        <w:t>е-Дозвола</w:t>
      </w:r>
      <w:r>
        <w:t xml:space="preserve">, као и доступне сетове и сервисе геопросторних и других података у оквиру иницијатива </w:t>
      </w:r>
      <w:r>
        <w:rPr>
          <w:b/>
        </w:rPr>
        <w:t>е-Управа</w:t>
      </w:r>
      <w:r>
        <w:t xml:space="preserve"> и </w:t>
      </w:r>
      <w:r>
        <w:rPr>
          <w:b/>
        </w:rPr>
        <w:t>НИГП</w:t>
      </w:r>
      <w:r>
        <w:t xml:space="preserve">, </w:t>
      </w:r>
      <w:r>
        <w:rPr>
          <w:b/>
        </w:rPr>
        <w:t>МГСИ ће</w:t>
      </w:r>
      <w:r>
        <w:t xml:space="preserve"> </w:t>
      </w:r>
      <w:r>
        <w:rPr>
          <w:b/>
        </w:rPr>
        <w:t xml:space="preserve">успостављањем дигиталне платформе за просторно и урбанистичко планирање е-Простор </w:t>
      </w:r>
      <w:r>
        <w:t>обезбед</w:t>
      </w:r>
      <w:r>
        <w:t>ити даље унапређење процедуре добијања грађевинске дозволе, као и транспарентне процесе управљања земљиштем и просторним развојем уопште у Србији. Дигитална платформа еПростор обухватиће првенствено формирање дигиталне базе података просторних и урбанистич</w:t>
      </w:r>
      <w:r>
        <w:t xml:space="preserve">ких планова, уз креирање кључног сета података о постојећој и планираној намени (land use) и регулацији коришћења земљишта у складу са Директивом INSPIRE, као и дигитализацију процедура планског управљања простором у складу са одредбама </w:t>
      </w:r>
      <w:r>
        <w:rPr>
          <w:b/>
        </w:rPr>
        <w:t xml:space="preserve">Закона о планирању </w:t>
      </w:r>
      <w:r>
        <w:rPr>
          <w:b/>
        </w:rPr>
        <w:t xml:space="preserve">и изградњи </w:t>
      </w:r>
      <w:r>
        <w:t>(„Сл. гласник РС“, бр. 72/09, 81/09 - испр., 64/10 - одлука УС, 24/11, 121/12, 42/13 - одлука УС, 50/13 - одлука УС, 98/13 - одлука УС, 132/14, 145/14, 83/18, 31/19, 37/19 - др. закон и 9/20) и повезаних подзаконских аката. Један од главних резу</w:t>
      </w:r>
      <w:r>
        <w:t xml:space="preserve">лтата дигитализације домена просторног и урбанистичког планирања и креирања дигиталне платформе е-Простор односи се на </w:t>
      </w:r>
      <w:r>
        <w:rPr>
          <w:b/>
        </w:rPr>
        <w:t>стварање услова за директну онлајн размену података свих имаоца јавних овлашћења</w:t>
      </w:r>
      <w:r>
        <w:t xml:space="preserve"> који учествују у процесу планирања, и одатле скраћење вр</w:t>
      </w:r>
      <w:r>
        <w:t>емена и смањење трошкова потребних за издавање локацијских услова и добијање грађевинске дозволе. Остали ефекти од успостављања дигиталне платформе е-Простор повезани су за очекивано повећање обима инвестиционих улагања и броја активности на тржишту непокр</w:t>
      </w:r>
      <w:r>
        <w:t xml:space="preserve">етности у Републици Србији, као и за даље јачање грађевинског сектора и раст националног БДП-а уопште. </w:t>
      </w:r>
    </w:p>
    <w:p w:rsidR="00E8309B" w:rsidRDefault="009D0949">
      <w:pPr>
        <w:spacing w:after="278"/>
        <w:ind w:left="-5" w:right="17"/>
      </w:pPr>
      <w:r>
        <w:rPr>
          <w:b/>
        </w:rPr>
        <w:t xml:space="preserve">Економија Србије је тренутно највећим делом линеарна, те је неопходно унапредити ефикасност употребе ресурса и увести концепт циркуларне економије. </w:t>
      </w:r>
      <w:r>
        <w:t>Најв</w:t>
      </w:r>
      <w:r>
        <w:t xml:space="preserve">еће слабости су недовољно разрађена законска регулатива, неусаглашеност докумената јавних политика, </w:t>
      </w:r>
      <w:r>
        <w:lastRenderedPageBreak/>
        <w:t>лоше управљање отпадом, неефикасна потрошња енергије и неодговарајући инспекцијски капацитети. У Србији се годишње произведе 12 милиона тона отпада, од чега</w:t>
      </w:r>
      <w:r>
        <w:t xml:space="preserve"> се преко 80% ни на који начин не третира. Највише отпада креирају рударство и енергетика, али је значајан и удео комуналног отпада (око 2 милиона тона годишње) који најчешће завршава на депонијама. Иако су тренутна улагања у заштиту животну средине (0,3% </w:t>
      </w:r>
      <w:r>
        <w:t xml:space="preserve">БДП) четири до пет пута мања него у земљама Европске уније, постоји велико интересовање привреде за прелазак на циркуларни модел економије. </w:t>
      </w:r>
    </w:p>
    <w:p w:rsidR="00E8309B" w:rsidRDefault="009D0949">
      <w:pPr>
        <w:spacing w:after="247" w:line="271" w:lineRule="auto"/>
        <w:ind w:left="-5" w:right="9"/>
      </w:pPr>
      <w:r>
        <w:rPr>
          <w:b/>
        </w:rPr>
        <w:t>б) Реформе</w:t>
      </w:r>
      <w:r>
        <w:t xml:space="preserve"> </w:t>
      </w:r>
    </w:p>
    <w:p w:rsidR="00E8309B" w:rsidRDefault="009D0949">
      <w:pPr>
        <w:spacing w:after="156"/>
        <w:ind w:left="-5" w:right="17"/>
      </w:pPr>
      <w:r>
        <w:rPr>
          <w:b/>
          <w:u w:val="single" w:color="000000"/>
        </w:rPr>
        <w:t>СТРУКТУРНА РЕФОРМА 9:</w:t>
      </w:r>
      <w:r>
        <w:rPr>
          <w:b/>
        </w:rPr>
        <w:t xml:space="preserve"> </w:t>
      </w:r>
      <w:r>
        <w:t>УНАПРЕЂЕЊЕ КВАЛИТЕТА ПРУЖАЊА ЈАВНИХ УСЛУГА КРОЗ ОПТИМИЗАЦИЈУ И ДИГИТАЛИЗАЦИЈУ АДМ</w:t>
      </w:r>
      <w:r>
        <w:t xml:space="preserve">ИНИСТРАТИВНИХ ПОСТУПАКА – е-ПАПИР </w:t>
      </w:r>
    </w:p>
    <w:p w:rsidR="00E8309B" w:rsidRDefault="009D0949">
      <w:pPr>
        <w:numPr>
          <w:ilvl w:val="0"/>
          <w:numId w:val="23"/>
        </w:numPr>
        <w:spacing w:after="79" w:line="271" w:lineRule="auto"/>
        <w:ind w:right="9" w:hanging="427"/>
      </w:pPr>
      <w:r>
        <w:rPr>
          <w:b/>
        </w:rPr>
        <w:t xml:space="preserve">Опис структурне реформе </w:t>
      </w:r>
    </w:p>
    <w:p w:rsidR="00E8309B" w:rsidRDefault="009D0949">
      <w:pPr>
        <w:spacing w:after="138"/>
        <w:ind w:left="-5" w:right="17"/>
      </w:pPr>
      <w:r>
        <w:t>Унапређење квалитета пружања јавних услуга је вишегодишњи реформски процес који се, између осталог, одвија кроз поједностављење административних поступака (укидањем сувишних тј. гиљотином и поједн</w:t>
      </w:r>
      <w:r>
        <w:t>остављењем осталих административних поступака) за привреду и грађане, као и успостављање Јединственог јавног регистра административних поступака и осталих услова пословања (у даљем тексту: Регистар). Успостављање Јединственог регистра административних пост</w:t>
      </w:r>
      <w:r>
        <w:t xml:space="preserve">упака и осталих услова пословања је полазна основа за формирање Јединствене електронске контактне тачке (ЈЕКТ), што је обавеза у складу са Директивом о услугама 2006/123/ЕЗ чије је транспоновање предвиђено чланом 59. ССП.  </w:t>
      </w:r>
    </w:p>
    <w:p w:rsidR="00E8309B" w:rsidRDefault="009D0949">
      <w:pPr>
        <w:spacing w:after="100"/>
        <w:ind w:left="-5" w:right="17"/>
      </w:pPr>
      <w:r>
        <w:t>Кроз е-Папир до сада је: направљ</w:t>
      </w:r>
      <w:r>
        <w:t>ена база од 2.618 административних поступака за привреду која представља основ за успостављање јавног Регистра; укинутa су 4 поступка чиме је на годишњем нивоу остварена уштеда за привреду од скоро 30 милиона евра; у потпуности је поједностављен 130 (уштед</w:t>
      </w:r>
      <w:r>
        <w:t>а од додатних 2 милиона евра) и започета оптимизација за још 367 административних поступака; успостављена је платформа е-Дозволе и повезана је са свим потребним сервисима (е-Плаћање и магистралом за размену података између органа и организација јавне управ</w:t>
      </w:r>
      <w:r>
        <w:t xml:space="preserve">е); дигитализовано је 27 административних поступака, док се дигитализација још 73 поступака очекује до половине 2021. године. Такође, од наредне године почиње попис осталих услова пословања, као и мапирање и попис административних поступака за грађане. </w:t>
      </w:r>
    </w:p>
    <w:p w:rsidR="00E8309B" w:rsidRDefault="009D0949">
      <w:pPr>
        <w:spacing w:after="149"/>
        <w:ind w:left="-5" w:right="17"/>
      </w:pPr>
      <w:r>
        <w:t>Ре</w:t>
      </w:r>
      <w:r>
        <w:t xml:space="preserve">форма је дефинисана </w:t>
      </w:r>
      <w:r>
        <w:rPr>
          <w:i/>
        </w:rPr>
        <w:t xml:space="preserve">Програмом за поједностављење административних поступака и регулативе </w:t>
      </w:r>
      <w:r>
        <w:t>„</w:t>
      </w:r>
      <w:r>
        <w:rPr>
          <w:i/>
        </w:rPr>
        <w:t>еПапир” за период 2019-2021. године</w:t>
      </w:r>
      <w:r>
        <w:t xml:space="preserve">; </w:t>
      </w:r>
      <w:r>
        <w:rPr>
          <w:i/>
        </w:rPr>
        <w:t>Програмом развоја електронске управе за период 2020-2022. године</w:t>
      </w:r>
      <w:r>
        <w:t xml:space="preserve">; </w:t>
      </w:r>
      <w:r>
        <w:rPr>
          <w:i/>
        </w:rPr>
        <w:t>Стратегијом реформе јавне управе у Републици Србији за период 2</w:t>
      </w:r>
      <w:r>
        <w:rPr>
          <w:i/>
        </w:rPr>
        <w:t>021-2030. године</w:t>
      </w:r>
      <w:r>
        <w:t xml:space="preserve">. Реформом се доприноси и спровођењу </w:t>
      </w:r>
      <w:r>
        <w:rPr>
          <w:b/>
        </w:rPr>
        <w:t xml:space="preserve">ЦОР 16.10. </w:t>
      </w:r>
      <w:r>
        <w:t xml:space="preserve">Осигурати јавни приступ информацијама и заштиту основних слобода, у складу са националним законодавством и међународним споразумима и </w:t>
      </w:r>
      <w:r>
        <w:rPr>
          <w:b/>
        </w:rPr>
        <w:t>ЦОР 16.5.</w:t>
      </w:r>
      <w:r>
        <w:t xml:space="preserve"> Значајно смањити корупцију и подмићивање у свим </w:t>
      </w:r>
      <w:r>
        <w:t>њиховим појавним облицима.</w:t>
      </w:r>
      <w:r>
        <w:rPr>
          <w:b/>
        </w:rPr>
        <w:t xml:space="preserve"> </w:t>
      </w:r>
    </w:p>
    <w:p w:rsidR="00E8309B" w:rsidRDefault="009D0949">
      <w:pPr>
        <w:numPr>
          <w:ilvl w:val="0"/>
          <w:numId w:val="23"/>
        </w:numPr>
        <w:spacing w:after="126" w:line="271" w:lineRule="auto"/>
        <w:ind w:right="9" w:hanging="427"/>
      </w:pPr>
      <w:r>
        <w:rPr>
          <w:b/>
        </w:rPr>
        <w:t xml:space="preserve">Ковид-19 – ефекти, мере и изазови </w:t>
      </w:r>
    </w:p>
    <w:p w:rsidR="00E8309B" w:rsidRDefault="009D0949">
      <w:pPr>
        <w:spacing w:after="6"/>
        <w:ind w:left="-5" w:right="17"/>
      </w:pPr>
      <w:r>
        <w:t>Криза узрокована пандемијом вируса Ковид-19 утицала је, између осталог, и на функционисање јавне администрације и оснажила потребу за што већим бројем дигиталних (бесконтактних) услуга. Како би</w:t>
      </w:r>
      <w:r>
        <w:t xml:space="preserve"> се ограничио негативни ефекат пандемије, али и свих других поремећаја на остваривање права и обавеза грађана и привреде кроз јавне услуге, један од фокуса ове реформе је дигитализација што већег броја административних поступака од значаја за несметано фун</w:t>
      </w:r>
      <w:r>
        <w:t xml:space="preserve">кционисање привреде и живота грађана, чак и у ванредним околностима. </w:t>
      </w:r>
      <w:r>
        <w:rPr>
          <w:b/>
        </w:rPr>
        <w:t>3.</w:t>
      </w:r>
      <w:r>
        <w:rPr>
          <w:rFonts w:ascii="Arial" w:eastAsia="Arial" w:hAnsi="Arial" w:cs="Arial"/>
          <w:b/>
        </w:rPr>
        <w:t xml:space="preserve"> </w:t>
      </w:r>
      <w:r>
        <w:rPr>
          <w:b/>
        </w:rPr>
        <w:t xml:space="preserve">Планиране активности по годинама </w:t>
      </w:r>
    </w:p>
    <w:tbl>
      <w:tblPr>
        <w:tblStyle w:val="TableGrid"/>
        <w:tblW w:w="9611" w:type="dxa"/>
        <w:tblInd w:w="5" w:type="dxa"/>
        <w:tblCellMar>
          <w:top w:w="8" w:type="dxa"/>
          <w:left w:w="58" w:type="dxa"/>
          <w:bottom w:w="0" w:type="dxa"/>
          <w:right w:w="8" w:type="dxa"/>
        </w:tblCellMar>
        <w:tblLook w:val="04A0" w:firstRow="1" w:lastRow="0" w:firstColumn="1" w:lastColumn="0" w:noHBand="0" w:noVBand="1"/>
      </w:tblPr>
      <w:tblGrid>
        <w:gridCol w:w="427"/>
        <w:gridCol w:w="4123"/>
        <w:gridCol w:w="419"/>
        <w:gridCol w:w="421"/>
        <w:gridCol w:w="423"/>
        <w:gridCol w:w="421"/>
        <w:gridCol w:w="422"/>
        <w:gridCol w:w="422"/>
        <w:gridCol w:w="422"/>
        <w:gridCol w:w="421"/>
        <w:gridCol w:w="424"/>
        <w:gridCol w:w="422"/>
        <w:gridCol w:w="422"/>
        <w:gridCol w:w="422"/>
      </w:tblGrid>
      <w:tr w:rsidR="00E8309B">
        <w:trPr>
          <w:trHeight w:val="326"/>
        </w:trPr>
        <w:tc>
          <w:tcPr>
            <w:tcW w:w="427" w:type="dxa"/>
            <w:vMerge w:val="restart"/>
            <w:tcBorders>
              <w:top w:val="single" w:sz="4" w:space="0" w:color="000000"/>
              <w:left w:val="single" w:sz="4" w:space="0" w:color="000000"/>
              <w:bottom w:val="single" w:sz="8" w:space="0" w:color="000000"/>
              <w:right w:val="single" w:sz="8" w:space="0" w:color="000000"/>
            </w:tcBorders>
            <w:vAlign w:val="center"/>
          </w:tcPr>
          <w:p w:rsidR="00E8309B" w:rsidRDefault="009D0949">
            <w:pPr>
              <w:spacing w:after="0" w:line="259" w:lineRule="auto"/>
              <w:ind w:left="29" w:right="0" w:firstLine="0"/>
            </w:pPr>
            <w:r>
              <w:rPr>
                <w:b/>
                <w:sz w:val="20"/>
              </w:rPr>
              <w:lastRenderedPageBreak/>
              <w:t xml:space="preserve">РБ </w:t>
            </w:r>
          </w:p>
        </w:tc>
        <w:tc>
          <w:tcPr>
            <w:tcW w:w="4123" w:type="dxa"/>
            <w:vMerge w:val="restart"/>
            <w:tcBorders>
              <w:top w:val="single" w:sz="4" w:space="0" w:color="000000"/>
              <w:left w:val="single" w:sz="8" w:space="0" w:color="000000"/>
              <w:bottom w:val="single" w:sz="8" w:space="0" w:color="000000"/>
              <w:right w:val="single" w:sz="8" w:space="0" w:color="000000"/>
            </w:tcBorders>
            <w:vAlign w:val="center"/>
          </w:tcPr>
          <w:p w:rsidR="00E8309B" w:rsidRDefault="009D0949">
            <w:pPr>
              <w:spacing w:after="0" w:line="259" w:lineRule="auto"/>
              <w:ind w:left="0" w:right="0" w:firstLine="0"/>
              <w:jc w:val="left"/>
            </w:pPr>
            <w:r>
              <w:rPr>
                <w:b/>
                <w:sz w:val="20"/>
              </w:rPr>
              <w:t xml:space="preserve">Планиране активности </w:t>
            </w:r>
          </w:p>
        </w:tc>
        <w:tc>
          <w:tcPr>
            <w:tcW w:w="419" w:type="dxa"/>
            <w:tcBorders>
              <w:top w:val="single" w:sz="4" w:space="0" w:color="000000"/>
              <w:left w:val="single" w:sz="8" w:space="0" w:color="000000"/>
              <w:bottom w:val="single" w:sz="4" w:space="0" w:color="000000"/>
              <w:right w:val="nil"/>
            </w:tcBorders>
          </w:tcPr>
          <w:p w:rsidR="00E8309B" w:rsidRDefault="00E8309B">
            <w:pPr>
              <w:spacing w:after="160" w:line="259" w:lineRule="auto"/>
              <w:ind w:left="0" w:right="0" w:firstLine="0"/>
              <w:jc w:val="left"/>
            </w:pPr>
          </w:p>
        </w:tc>
        <w:tc>
          <w:tcPr>
            <w:tcW w:w="844" w:type="dxa"/>
            <w:gridSpan w:val="2"/>
            <w:tcBorders>
              <w:top w:val="single" w:sz="4" w:space="0" w:color="000000"/>
              <w:left w:val="nil"/>
              <w:bottom w:val="single" w:sz="4" w:space="0" w:color="000000"/>
              <w:right w:val="nil"/>
            </w:tcBorders>
          </w:tcPr>
          <w:p w:rsidR="00E8309B" w:rsidRDefault="009D0949">
            <w:pPr>
              <w:spacing w:after="0" w:line="259" w:lineRule="auto"/>
              <w:ind w:left="0" w:right="45" w:firstLine="0"/>
              <w:jc w:val="center"/>
            </w:pPr>
            <w:r>
              <w:rPr>
                <w:b/>
                <w:sz w:val="20"/>
              </w:rPr>
              <w:t xml:space="preserve">2021 </w:t>
            </w:r>
          </w:p>
        </w:tc>
        <w:tc>
          <w:tcPr>
            <w:tcW w:w="421" w:type="dxa"/>
            <w:tcBorders>
              <w:top w:val="single" w:sz="4" w:space="0" w:color="000000"/>
              <w:left w:val="nil"/>
              <w:bottom w:val="single" w:sz="4" w:space="0" w:color="000000"/>
              <w:right w:val="single" w:sz="8" w:space="0" w:color="000000"/>
            </w:tcBorders>
          </w:tcPr>
          <w:p w:rsidR="00E8309B" w:rsidRDefault="00E8309B">
            <w:pPr>
              <w:spacing w:after="160" w:line="259" w:lineRule="auto"/>
              <w:ind w:left="0" w:right="0" w:firstLine="0"/>
              <w:jc w:val="left"/>
            </w:pPr>
          </w:p>
        </w:tc>
        <w:tc>
          <w:tcPr>
            <w:tcW w:w="422" w:type="dxa"/>
            <w:tcBorders>
              <w:top w:val="single" w:sz="4" w:space="0" w:color="000000"/>
              <w:left w:val="single" w:sz="8" w:space="0" w:color="000000"/>
              <w:bottom w:val="single" w:sz="4" w:space="0" w:color="000000"/>
              <w:right w:val="nil"/>
            </w:tcBorders>
          </w:tcPr>
          <w:p w:rsidR="00E8309B" w:rsidRDefault="00E8309B">
            <w:pPr>
              <w:spacing w:after="160" w:line="259" w:lineRule="auto"/>
              <w:ind w:left="0" w:right="0" w:firstLine="0"/>
              <w:jc w:val="left"/>
            </w:pPr>
          </w:p>
        </w:tc>
        <w:tc>
          <w:tcPr>
            <w:tcW w:w="844" w:type="dxa"/>
            <w:gridSpan w:val="2"/>
            <w:tcBorders>
              <w:top w:val="single" w:sz="4" w:space="0" w:color="000000"/>
              <w:left w:val="nil"/>
              <w:bottom w:val="single" w:sz="4" w:space="0" w:color="000000"/>
              <w:right w:val="nil"/>
            </w:tcBorders>
          </w:tcPr>
          <w:p w:rsidR="00E8309B" w:rsidRDefault="009D0949">
            <w:pPr>
              <w:spacing w:after="0" w:line="259" w:lineRule="auto"/>
              <w:ind w:left="0" w:right="46" w:firstLine="0"/>
              <w:jc w:val="center"/>
            </w:pPr>
            <w:r>
              <w:rPr>
                <w:b/>
                <w:sz w:val="20"/>
              </w:rPr>
              <w:t xml:space="preserve">2022 </w:t>
            </w:r>
          </w:p>
        </w:tc>
        <w:tc>
          <w:tcPr>
            <w:tcW w:w="421" w:type="dxa"/>
            <w:tcBorders>
              <w:top w:val="single" w:sz="4" w:space="0" w:color="000000"/>
              <w:left w:val="nil"/>
              <w:bottom w:val="single" w:sz="4" w:space="0" w:color="000000"/>
              <w:right w:val="single" w:sz="8" w:space="0" w:color="000000"/>
            </w:tcBorders>
          </w:tcPr>
          <w:p w:rsidR="00E8309B" w:rsidRDefault="00E8309B">
            <w:pPr>
              <w:spacing w:after="160" w:line="259" w:lineRule="auto"/>
              <w:ind w:left="0" w:right="0" w:firstLine="0"/>
              <w:jc w:val="left"/>
            </w:pPr>
          </w:p>
        </w:tc>
        <w:tc>
          <w:tcPr>
            <w:tcW w:w="424" w:type="dxa"/>
            <w:tcBorders>
              <w:top w:val="single" w:sz="4" w:space="0" w:color="000000"/>
              <w:left w:val="single" w:sz="8" w:space="0" w:color="000000"/>
              <w:bottom w:val="single" w:sz="4" w:space="0" w:color="000000"/>
              <w:right w:val="nil"/>
            </w:tcBorders>
          </w:tcPr>
          <w:p w:rsidR="00E8309B" w:rsidRDefault="00E8309B">
            <w:pPr>
              <w:spacing w:after="160" w:line="259" w:lineRule="auto"/>
              <w:ind w:left="0" w:right="0" w:firstLine="0"/>
              <w:jc w:val="left"/>
            </w:pPr>
          </w:p>
        </w:tc>
        <w:tc>
          <w:tcPr>
            <w:tcW w:w="844" w:type="dxa"/>
            <w:gridSpan w:val="2"/>
            <w:tcBorders>
              <w:top w:val="single" w:sz="4" w:space="0" w:color="000000"/>
              <w:left w:val="nil"/>
              <w:bottom w:val="single" w:sz="4" w:space="0" w:color="000000"/>
              <w:right w:val="nil"/>
            </w:tcBorders>
          </w:tcPr>
          <w:p w:rsidR="00E8309B" w:rsidRDefault="009D0949">
            <w:pPr>
              <w:spacing w:after="0" w:line="259" w:lineRule="auto"/>
              <w:ind w:left="0" w:right="47" w:firstLine="0"/>
              <w:jc w:val="center"/>
            </w:pPr>
            <w:r>
              <w:rPr>
                <w:b/>
                <w:sz w:val="20"/>
              </w:rPr>
              <w:t xml:space="preserve">2023 </w:t>
            </w:r>
          </w:p>
        </w:tc>
        <w:tc>
          <w:tcPr>
            <w:tcW w:w="422" w:type="dxa"/>
            <w:tcBorders>
              <w:top w:val="single" w:sz="4" w:space="0" w:color="000000"/>
              <w:left w:val="nil"/>
              <w:bottom w:val="single" w:sz="4" w:space="0" w:color="000000"/>
              <w:right w:val="single" w:sz="4" w:space="0" w:color="000000"/>
            </w:tcBorders>
          </w:tcPr>
          <w:p w:rsidR="00E8309B" w:rsidRDefault="00E8309B">
            <w:pPr>
              <w:spacing w:after="160" w:line="259" w:lineRule="auto"/>
              <w:ind w:left="0" w:right="0" w:firstLine="0"/>
              <w:jc w:val="left"/>
            </w:pPr>
          </w:p>
        </w:tc>
      </w:tr>
      <w:tr w:rsidR="00E8309B">
        <w:trPr>
          <w:trHeight w:val="326"/>
        </w:trPr>
        <w:tc>
          <w:tcPr>
            <w:tcW w:w="0" w:type="auto"/>
            <w:vMerge/>
            <w:tcBorders>
              <w:top w:val="nil"/>
              <w:left w:val="single" w:sz="4" w:space="0" w:color="000000"/>
              <w:bottom w:val="single" w:sz="8" w:space="0" w:color="000000"/>
              <w:right w:val="single" w:sz="8" w:space="0" w:color="000000"/>
            </w:tcBorders>
          </w:tcPr>
          <w:p w:rsidR="00E8309B" w:rsidRDefault="00E8309B">
            <w:pPr>
              <w:spacing w:after="160" w:line="259" w:lineRule="auto"/>
              <w:ind w:left="0" w:right="0" w:firstLine="0"/>
              <w:jc w:val="left"/>
            </w:pPr>
          </w:p>
        </w:tc>
        <w:tc>
          <w:tcPr>
            <w:tcW w:w="0" w:type="auto"/>
            <w:vMerge/>
            <w:tcBorders>
              <w:top w:val="nil"/>
              <w:left w:val="single" w:sz="8" w:space="0" w:color="000000"/>
              <w:bottom w:val="single" w:sz="8" w:space="0" w:color="000000"/>
              <w:right w:val="single" w:sz="8" w:space="0" w:color="000000"/>
            </w:tcBorders>
          </w:tcPr>
          <w:p w:rsidR="00E8309B" w:rsidRDefault="00E8309B">
            <w:pPr>
              <w:spacing w:after="160" w:line="259" w:lineRule="auto"/>
              <w:ind w:left="0" w:right="0" w:firstLine="0"/>
              <w:jc w:val="left"/>
            </w:pPr>
          </w:p>
        </w:tc>
        <w:tc>
          <w:tcPr>
            <w:tcW w:w="419" w:type="dxa"/>
            <w:tcBorders>
              <w:top w:val="single" w:sz="4" w:space="0" w:color="000000"/>
              <w:left w:val="single" w:sz="8" w:space="0" w:color="000000"/>
              <w:bottom w:val="single" w:sz="8" w:space="0" w:color="000000"/>
              <w:right w:val="single" w:sz="4" w:space="0" w:color="000000"/>
            </w:tcBorders>
          </w:tcPr>
          <w:p w:rsidR="00E8309B" w:rsidRDefault="009D0949">
            <w:pPr>
              <w:spacing w:after="0" w:line="259" w:lineRule="auto"/>
              <w:ind w:left="42" w:right="0" w:firstLine="0"/>
              <w:jc w:val="left"/>
            </w:pPr>
            <w:r>
              <w:rPr>
                <w:i/>
                <w:sz w:val="18"/>
              </w:rPr>
              <w:t xml:space="preserve">Q1 </w:t>
            </w:r>
          </w:p>
        </w:tc>
        <w:tc>
          <w:tcPr>
            <w:tcW w:w="421" w:type="dxa"/>
            <w:tcBorders>
              <w:top w:val="single" w:sz="4" w:space="0" w:color="000000"/>
              <w:left w:val="single" w:sz="4" w:space="0" w:color="000000"/>
              <w:bottom w:val="single" w:sz="8" w:space="0" w:color="000000"/>
              <w:right w:val="single" w:sz="4" w:space="0" w:color="000000"/>
            </w:tcBorders>
          </w:tcPr>
          <w:p w:rsidR="00E8309B" w:rsidRDefault="009D0949">
            <w:pPr>
              <w:spacing w:after="0" w:line="259" w:lineRule="auto"/>
              <w:ind w:left="43" w:right="0" w:firstLine="0"/>
              <w:jc w:val="left"/>
            </w:pPr>
            <w:r>
              <w:rPr>
                <w:i/>
                <w:sz w:val="18"/>
              </w:rPr>
              <w:t xml:space="preserve">Q2 </w:t>
            </w:r>
          </w:p>
        </w:tc>
        <w:tc>
          <w:tcPr>
            <w:tcW w:w="422" w:type="dxa"/>
            <w:tcBorders>
              <w:top w:val="single" w:sz="4" w:space="0" w:color="000000"/>
              <w:left w:val="single" w:sz="4" w:space="0" w:color="000000"/>
              <w:bottom w:val="single" w:sz="8" w:space="0" w:color="000000"/>
              <w:right w:val="single" w:sz="4" w:space="0" w:color="000000"/>
            </w:tcBorders>
          </w:tcPr>
          <w:p w:rsidR="00E8309B" w:rsidRDefault="009D0949">
            <w:pPr>
              <w:spacing w:after="0" w:line="259" w:lineRule="auto"/>
              <w:ind w:left="44" w:right="0" w:firstLine="0"/>
              <w:jc w:val="left"/>
            </w:pPr>
            <w:r>
              <w:rPr>
                <w:i/>
                <w:sz w:val="18"/>
              </w:rPr>
              <w:t xml:space="preserve">Q3 </w:t>
            </w:r>
          </w:p>
        </w:tc>
        <w:tc>
          <w:tcPr>
            <w:tcW w:w="421" w:type="dxa"/>
            <w:tcBorders>
              <w:top w:val="single" w:sz="4" w:space="0" w:color="000000"/>
              <w:left w:val="single" w:sz="4" w:space="0" w:color="000000"/>
              <w:bottom w:val="single" w:sz="8" w:space="0" w:color="000000"/>
              <w:right w:val="single" w:sz="8" w:space="0" w:color="000000"/>
            </w:tcBorders>
          </w:tcPr>
          <w:p w:rsidR="00E8309B" w:rsidRDefault="009D0949">
            <w:pPr>
              <w:spacing w:after="0" w:line="259" w:lineRule="auto"/>
              <w:ind w:left="44" w:right="0" w:firstLine="0"/>
              <w:jc w:val="left"/>
            </w:pPr>
            <w:r>
              <w:rPr>
                <w:i/>
                <w:sz w:val="18"/>
              </w:rPr>
              <w:t xml:space="preserve">Q4 </w:t>
            </w:r>
          </w:p>
        </w:tc>
        <w:tc>
          <w:tcPr>
            <w:tcW w:w="422" w:type="dxa"/>
            <w:tcBorders>
              <w:top w:val="single" w:sz="4" w:space="0" w:color="000000"/>
              <w:left w:val="single" w:sz="8" w:space="0" w:color="000000"/>
              <w:bottom w:val="single" w:sz="8" w:space="0" w:color="000000"/>
              <w:right w:val="single" w:sz="4" w:space="0" w:color="000000"/>
            </w:tcBorders>
          </w:tcPr>
          <w:p w:rsidR="00E8309B" w:rsidRDefault="009D0949">
            <w:pPr>
              <w:spacing w:after="0" w:line="259" w:lineRule="auto"/>
              <w:ind w:left="46" w:right="0" w:firstLine="0"/>
              <w:jc w:val="left"/>
            </w:pPr>
            <w:r>
              <w:rPr>
                <w:i/>
                <w:sz w:val="18"/>
              </w:rPr>
              <w:t xml:space="preserve">Q1 </w:t>
            </w:r>
          </w:p>
        </w:tc>
        <w:tc>
          <w:tcPr>
            <w:tcW w:w="422" w:type="dxa"/>
            <w:tcBorders>
              <w:top w:val="single" w:sz="4" w:space="0" w:color="000000"/>
              <w:left w:val="single" w:sz="4" w:space="0" w:color="000000"/>
              <w:bottom w:val="single" w:sz="8" w:space="0" w:color="000000"/>
              <w:right w:val="single" w:sz="4" w:space="0" w:color="000000"/>
            </w:tcBorders>
          </w:tcPr>
          <w:p w:rsidR="00E8309B" w:rsidRDefault="009D0949">
            <w:pPr>
              <w:spacing w:after="0" w:line="259" w:lineRule="auto"/>
              <w:ind w:left="46" w:right="0" w:firstLine="0"/>
              <w:jc w:val="left"/>
            </w:pPr>
            <w:r>
              <w:rPr>
                <w:i/>
                <w:sz w:val="18"/>
              </w:rPr>
              <w:t xml:space="preserve">Q2 </w:t>
            </w:r>
          </w:p>
        </w:tc>
        <w:tc>
          <w:tcPr>
            <w:tcW w:w="422" w:type="dxa"/>
            <w:tcBorders>
              <w:top w:val="single" w:sz="4" w:space="0" w:color="000000"/>
              <w:left w:val="single" w:sz="4" w:space="0" w:color="000000"/>
              <w:bottom w:val="single" w:sz="8" w:space="0" w:color="000000"/>
              <w:right w:val="single" w:sz="4" w:space="0" w:color="000000"/>
            </w:tcBorders>
          </w:tcPr>
          <w:p w:rsidR="00E8309B" w:rsidRDefault="009D0949">
            <w:pPr>
              <w:spacing w:after="0" w:line="259" w:lineRule="auto"/>
              <w:ind w:left="43" w:right="0" w:firstLine="0"/>
              <w:jc w:val="left"/>
            </w:pPr>
            <w:r>
              <w:rPr>
                <w:i/>
                <w:sz w:val="18"/>
              </w:rPr>
              <w:t xml:space="preserve">Q3 </w:t>
            </w:r>
          </w:p>
        </w:tc>
        <w:tc>
          <w:tcPr>
            <w:tcW w:w="421" w:type="dxa"/>
            <w:tcBorders>
              <w:top w:val="single" w:sz="4" w:space="0" w:color="000000"/>
              <w:left w:val="single" w:sz="4" w:space="0" w:color="000000"/>
              <w:bottom w:val="single" w:sz="8" w:space="0" w:color="000000"/>
              <w:right w:val="single" w:sz="8" w:space="0" w:color="000000"/>
            </w:tcBorders>
          </w:tcPr>
          <w:p w:rsidR="00E8309B" w:rsidRDefault="009D0949">
            <w:pPr>
              <w:spacing w:after="0" w:line="259" w:lineRule="auto"/>
              <w:ind w:left="44" w:right="0" w:firstLine="0"/>
              <w:jc w:val="left"/>
            </w:pPr>
            <w:r>
              <w:rPr>
                <w:i/>
                <w:sz w:val="18"/>
              </w:rPr>
              <w:t xml:space="preserve">Q4 </w:t>
            </w:r>
          </w:p>
        </w:tc>
        <w:tc>
          <w:tcPr>
            <w:tcW w:w="424" w:type="dxa"/>
            <w:tcBorders>
              <w:top w:val="single" w:sz="4" w:space="0" w:color="000000"/>
              <w:left w:val="single" w:sz="8" w:space="0" w:color="000000"/>
              <w:bottom w:val="single" w:sz="8" w:space="0" w:color="000000"/>
              <w:right w:val="single" w:sz="4" w:space="0" w:color="000000"/>
            </w:tcBorders>
          </w:tcPr>
          <w:p w:rsidR="00E8309B" w:rsidRDefault="009D0949">
            <w:pPr>
              <w:spacing w:after="0" w:line="259" w:lineRule="auto"/>
              <w:ind w:left="46" w:right="0" w:firstLine="0"/>
              <w:jc w:val="left"/>
            </w:pPr>
            <w:r>
              <w:rPr>
                <w:i/>
                <w:sz w:val="18"/>
              </w:rPr>
              <w:t xml:space="preserve">Q1 </w:t>
            </w:r>
          </w:p>
        </w:tc>
        <w:tc>
          <w:tcPr>
            <w:tcW w:w="422" w:type="dxa"/>
            <w:tcBorders>
              <w:top w:val="single" w:sz="4" w:space="0" w:color="000000"/>
              <w:left w:val="single" w:sz="4" w:space="0" w:color="000000"/>
              <w:bottom w:val="single" w:sz="8" w:space="0" w:color="000000"/>
              <w:right w:val="single" w:sz="4" w:space="0" w:color="000000"/>
            </w:tcBorders>
          </w:tcPr>
          <w:p w:rsidR="00E8309B" w:rsidRDefault="009D0949">
            <w:pPr>
              <w:spacing w:after="0" w:line="259" w:lineRule="auto"/>
              <w:ind w:left="44" w:right="0" w:firstLine="0"/>
              <w:jc w:val="left"/>
            </w:pPr>
            <w:r>
              <w:rPr>
                <w:i/>
                <w:sz w:val="18"/>
              </w:rPr>
              <w:t xml:space="preserve">Q2 </w:t>
            </w:r>
          </w:p>
        </w:tc>
        <w:tc>
          <w:tcPr>
            <w:tcW w:w="421" w:type="dxa"/>
            <w:tcBorders>
              <w:top w:val="single" w:sz="4" w:space="0" w:color="000000"/>
              <w:left w:val="single" w:sz="4" w:space="0" w:color="000000"/>
              <w:bottom w:val="single" w:sz="8" w:space="0" w:color="000000"/>
              <w:right w:val="single" w:sz="4" w:space="0" w:color="000000"/>
            </w:tcBorders>
          </w:tcPr>
          <w:p w:rsidR="00E8309B" w:rsidRDefault="009D0949">
            <w:pPr>
              <w:spacing w:after="0" w:line="259" w:lineRule="auto"/>
              <w:ind w:left="44" w:right="0" w:firstLine="0"/>
              <w:jc w:val="left"/>
            </w:pPr>
            <w:r>
              <w:rPr>
                <w:i/>
                <w:sz w:val="18"/>
              </w:rPr>
              <w:t xml:space="preserve">Q3 </w:t>
            </w:r>
          </w:p>
        </w:tc>
        <w:tc>
          <w:tcPr>
            <w:tcW w:w="422" w:type="dxa"/>
            <w:tcBorders>
              <w:top w:val="single" w:sz="4" w:space="0" w:color="000000"/>
              <w:left w:val="single" w:sz="4" w:space="0" w:color="000000"/>
              <w:bottom w:val="single" w:sz="8" w:space="0" w:color="000000"/>
              <w:right w:val="single" w:sz="4" w:space="0" w:color="000000"/>
            </w:tcBorders>
          </w:tcPr>
          <w:p w:rsidR="00E8309B" w:rsidRDefault="009D0949">
            <w:pPr>
              <w:spacing w:after="0" w:line="259" w:lineRule="auto"/>
              <w:ind w:left="46" w:right="0" w:firstLine="0"/>
              <w:jc w:val="left"/>
            </w:pPr>
            <w:r>
              <w:rPr>
                <w:i/>
                <w:sz w:val="18"/>
              </w:rPr>
              <w:t xml:space="preserve">Q4 </w:t>
            </w:r>
          </w:p>
        </w:tc>
      </w:tr>
      <w:tr w:rsidR="00E8309B">
        <w:trPr>
          <w:trHeight w:val="473"/>
        </w:trPr>
        <w:tc>
          <w:tcPr>
            <w:tcW w:w="427" w:type="dxa"/>
            <w:tcBorders>
              <w:top w:val="single" w:sz="8" w:space="0" w:color="000000"/>
              <w:left w:val="single" w:sz="4" w:space="0" w:color="000000"/>
              <w:bottom w:val="single" w:sz="4" w:space="0" w:color="000000"/>
              <w:right w:val="single" w:sz="8" w:space="0" w:color="000000"/>
            </w:tcBorders>
          </w:tcPr>
          <w:p w:rsidR="00E8309B" w:rsidRDefault="009D0949">
            <w:pPr>
              <w:spacing w:after="0" w:line="259" w:lineRule="auto"/>
              <w:ind w:left="0" w:right="51" w:firstLine="0"/>
              <w:jc w:val="right"/>
            </w:pPr>
            <w:r>
              <w:rPr>
                <w:sz w:val="20"/>
              </w:rPr>
              <w:t xml:space="preserve">1 </w:t>
            </w:r>
          </w:p>
        </w:tc>
        <w:tc>
          <w:tcPr>
            <w:tcW w:w="4123" w:type="dxa"/>
            <w:tcBorders>
              <w:top w:val="single" w:sz="8" w:space="0" w:color="000000"/>
              <w:left w:val="single" w:sz="8" w:space="0" w:color="000000"/>
              <w:bottom w:val="single" w:sz="4" w:space="0" w:color="000000"/>
              <w:right w:val="single" w:sz="8" w:space="0" w:color="000000"/>
            </w:tcBorders>
          </w:tcPr>
          <w:p w:rsidR="00E8309B" w:rsidRDefault="009D0949">
            <w:pPr>
              <w:spacing w:after="0" w:line="259" w:lineRule="auto"/>
              <w:ind w:left="0" w:right="23" w:firstLine="0"/>
              <w:jc w:val="left"/>
            </w:pPr>
            <w:r>
              <w:rPr>
                <w:sz w:val="20"/>
              </w:rPr>
              <w:t xml:space="preserve">Попис административних поступака за грађане </w:t>
            </w:r>
          </w:p>
        </w:tc>
        <w:tc>
          <w:tcPr>
            <w:tcW w:w="419" w:type="dxa"/>
            <w:tcBorders>
              <w:top w:val="single" w:sz="8" w:space="0" w:color="000000"/>
              <w:left w:val="single" w:sz="8" w:space="0" w:color="000000"/>
              <w:bottom w:val="single" w:sz="4" w:space="0" w:color="000000"/>
              <w:right w:val="single" w:sz="4" w:space="0" w:color="000000"/>
            </w:tcBorders>
            <w:vAlign w:val="center"/>
          </w:tcPr>
          <w:p w:rsidR="00E8309B" w:rsidRDefault="009D0949">
            <w:pPr>
              <w:spacing w:after="0" w:line="259" w:lineRule="auto"/>
              <w:ind w:left="1" w:right="0" w:firstLine="0"/>
              <w:jc w:val="center"/>
            </w:pPr>
            <w:r>
              <w:rPr>
                <w:sz w:val="20"/>
              </w:rPr>
              <w:t xml:space="preserve"> </w:t>
            </w:r>
          </w:p>
        </w:tc>
        <w:tc>
          <w:tcPr>
            <w:tcW w:w="421" w:type="dxa"/>
            <w:tcBorders>
              <w:top w:val="single" w:sz="8"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1" w:right="0" w:firstLine="0"/>
              <w:jc w:val="center"/>
            </w:pPr>
            <w:r>
              <w:rPr>
                <w:sz w:val="20"/>
              </w:rPr>
              <w:t xml:space="preserve"> </w:t>
            </w:r>
          </w:p>
        </w:tc>
        <w:tc>
          <w:tcPr>
            <w:tcW w:w="422" w:type="dxa"/>
            <w:tcBorders>
              <w:top w:val="single" w:sz="8" w:space="0" w:color="000000"/>
              <w:left w:val="single" w:sz="4"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2" w:right="0" w:firstLine="0"/>
              <w:jc w:val="center"/>
            </w:pPr>
            <w:r>
              <w:rPr>
                <w:sz w:val="20"/>
              </w:rPr>
              <w:t xml:space="preserve"> </w:t>
            </w:r>
          </w:p>
        </w:tc>
        <w:tc>
          <w:tcPr>
            <w:tcW w:w="421" w:type="dxa"/>
            <w:tcBorders>
              <w:top w:val="single" w:sz="8" w:space="0" w:color="000000"/>
              <w:left w:val="single" w:sz="4" w:space="0" w:color="000000"/>
              <w:bottom w:val="single" w:sz="4" w:space="0" w:color="000000"/>
              <w:right w:val="single" w:sz="8" w:space="0" w:color="000000"/>
            </w:tcBorders>
            <w:shd w:val="clear" w:color="auto" w:fill="BFBFBF"/>
            <w:vAlign w:val="center"/>
          </w:tcPr>
          <w:p w:rsidR="00E8309B" w:rsidRDefault="009D0949">
            <w:pPr>
              <w:spacing w:after="0" w:line="259" w:lineRule="auto"/>
              <w:ind w:left="4" w:right="0" w:firstLine="0"/>
              <w:jc w:val="center"/>
            </w:pPr>
            <w:r>
              <w:rPr>
                <w:sz w:val="20"/>
              </w:rPr>
              <w:t xml:space="preserve"> </w:t>
            </w:r>
          </w:p>
        </w:tc>
        <w:tc>
          <w:tcPr>
            <w:tcW w:w="422" w:type="dxa"/>
            <w:tcBorders>
              <w:top w:val="single" w:sz="8" w:space="0" w:color="000000"/>
              <w:left w:val="single" w:sz="8"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5" w:right="0" w:firstLine="0"/>
              <w:jc w:val="center"/>
            </w:pPr>
            <w:r>
              <w:rPr>
                <w:sz w:val="20"/>
              </w:rPr>
              <w:t xml:space="preserve"> </w:t>
            </w:r>
          </w:p>
        </w:tc>
        <w:tc>
          <w:tcPr>
            <w:tcW w:w="422" w:type="dxa"/>
            <w:tcBorders>
              <w:top w:val="single" w:sz="8" w:space="0" w:color="000000"/>
              <w:left w:val="single" w:sz="4"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5" w:right="0" w:firstLine="0"/>
              <w:jc w:val="center"/>
            </w:pPr>
            <w:r>
              <w:rPr>
                <w:sz w:val="20"/>
              </w:rPr>
              <w:t xml:space="preserve"> </w:t>
            </w:r>
          </w:p>
        </w:tc>
        <w:tc>
          <w:tcPr>
            <w:tcW w:w="422" w:type="dxa"/>
            <w:tcBorders>
              <w:top w:val="single" w:sz="8" w:space="0" w:color="000000"/>
              <w:left w:val="single" w:sz="4"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2" w:right="0" w:firstLine="0"/>
              <w:jc w:val="center"/>
            </w:pPr>
            <w:r>
              <w:rPr>
                <w:sz w:val="20"/>
              </w:rPr>
              <w:t xml:space="preserve"> </w:t>
            </w:r>
          </w:p>
        </w:tc>
        <w:tc>
          <w:tcPr>
            <w:tcW w:w="421" w:type="dxa"/>
            <w:tcBorders>
              <w:top w:val="single" w:sz="8" w:space="0" w:color="000000"/>
              <w:left w:val="single" w:sz="4" w:space="0" w:color="000000"/>
              <w:bottom w:val="single" w:sz="4" w:space="0" w:color="000000"/>
              <w:right w:val="single" w:sz="8" w:space="0" w:color="000000"/>
            </w:tcBorders>
            <w:shd w:val="clear" w:color="auto" w:fill="BFBFBF"/>
            <w:vAlign w:val="center"/>
          </w:tcPr>
          <w:p w:rsidR="00E8309B" w:rsidRDefault="009D0949">
            <w:pPr>
              <w:spacing w:after="0" w:line="259" w:lineRule="auto"/>
              <w:ind w:left="4" w:right="0" w:firstLine="0"/>
              <w:jc w:val="center"/>
            </w:pPr>
            <w:r>
              <w:rPr>
                <w:sz w:val="20"/>
              </w:rPr>
              <w:t xml:space="preserve"> </w:t>
            </w:r>
          </w:p>
        </w:tc>
        <w:tc>
          <w:tcPr>
            <w:tcW w:w="424" w:type="dxa"/>
            <w:tcBorders>
              <w:top w:val="single" w:sz="8" w:space="0" w:color="000000"/>
              <w:left w:val="single" w:sz="8"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4" w:right="0" w:firstLine="0"/>
              <w:jc w:val="center"/>
            </w:pPr>
            <w:r>
              <w:rPr>
                <w:sz w:val="20"/>
              </w:rPr>
              <w:t xml:space="preserve"> </w:t>
            </w:r>
          </w:p>
        </w:tc>
        <w:tc>
          <w:tcPr>
            <w:tcW w:w="422" w:type="dxa"/>
            <w:tcBorders>
              <w:top w:val="single" w:sz="8" w:space="0" w:color="000000"/>
              <w:left w:val="single" w:sz="4"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2" w:right="0" w:firstLine="0"/>
              <w:jc w:val="center"/>
            </w:pPr>
            <w:r>
              <w:rPr>
                <w:sz w:val="20"/>
              </w:rPr>
              <w:t xml:space="preserve"> </w:t>
            </w:r>
          </w:p>
        </w:tc>
        <w:tc>
          <w:tcPr>
            <w:tcW w:w="421" w:type="dxa"/>
            <w:tcBorders>
              <w:top w:val="single" w:sz="8"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4" w:right="0" w:firstLine="0"/>
              <w:jc w:val="center"/>
            </w:pPr>
            <w:r>
              <w:rPr>
                <w:sz w:val="20"/>
              </w:rPr>
              <w:t xml:space="preserve"> </w:t>
            </w:r>
          </w:p>
        </w:tc>
        <w:tc>
          <w:tcPr>
            <w:tcW w:w="422" w:type="dxa"/>
            <w:tcBorders>
              <w:top w:val="single" w:sz="8"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5" w:right="0" w:firstLine="0"/>
              <w:jc w:val="center"/>
            </w:pPr>
            <w:r>
              <w:rPr>
                <w:sz w:val="20"/>
              </w:rPr>
              <w:t xml:space="preserve"> </w:t>
            </w:r>
          </w:p>
        </w:tc>
      </w:tr>
      <w:tr w:rsidR="00E8309B">
        <w:trPr>
          <w:trHeight w:val="469"/>
        </w:trPr>
        <w:tc>
          <w:tcPr>
            <w:tcW w:w="427" w:type="dxa"/>
            <w:tcBorders>
              <w:top w:val="single" w:sz="4" w:space="0" w:color="000000"/>
              <w:left w:val="single" w:sz="4" w:space="0" w:color="000000"/>
              <w:bottom w:val="single" w:sz="4" w:space="0" w:color="000000"/>
              <w:right w:val="single" w:sz="8" w:space="0" w:color="000000"/>
            </w:tcBorders>
          </w:tcPr>
          <w:p w:rsidR="00E8309B" w:rsidRDefault="009D0949">
            <w:pPr>
              <w:spacing w:after="0" w:line="259" w:lineRule="auto"/>
              <w:ind w:left="0" w:right="51" w:firstLine="0"/>
              <w:jc w:val="right"/>
            </w:pPr>
            <w:r>
              <w:rPr>
                <w:sz w:val="20"/>
              </w:rPr>
              <w:t xml:space="preserve">2 </w:t>
            </w:r>
          </w:p>
        </w:tc>
        <w:tc>
          <w:tcPr>
            <w:tcW w:w="4123" w:type="dxa"/>
            <w:tcBorders>
              <w:top w:val="single" w:sz="4" w:space="0" w:color="000000"/>
              <w:left w:val="single" w:sz="8" w:space="0" w:color="000000"/>
              <w:bottom w:val="single" w:sz="4" w:space="0" w:color="000000"/>
              <w:right w:val="single" w:sz="8" w:space="0" w:color="000000"/>
            </w:tcBorders>
          </w:tcPr>
          <w:p w:rsidR="00E8309B" w:rsidRDefault="009D0949">
            <w:pPr>
              <w:spacing w:after="0" w:line="259" w:lineRule="auto"/>
              <w:ind w:left="0" w:right="0" w:firstLine="0"/>
            </w:pPr>
            <w:r>
              <w:rPr>
                <w:sz w:val="20"/>
              </w:rPr>
              <w:t xml:space="preserve">Попис административних захтева и осталих услова пословања </w:t>
            </w:r>
          </w:p>
        </w:tc>
        <w:tc>
          <w:tcPr>
            <w:tcW w:w="419" w:type="dxa"/>
            <w:tcBorders>
              <w:top w:val="single" w:sz="4" w:space="0" w:color="000000"/>
              <w:left w:val="single" w:sz="8" w:space="0" w:color="000000"/>
              <w:bottom w:val="single" w:sz="4" w:space="0" w:color="000000"/>
              <w:right w:val="single" w:sz="4" w:space="0" w:color="000000"/>
            </w:tcBorders>
            <w:vAlign w:val="center"/>
          </w:tcPr>
          <w:p w:rsidR="00E8309B" w:rsidRDefault="009D0949">
            <w:pPr>
              <w:spacing w:after="0" w:line="259" w:lineRule="auto"/>
              <w:ind w:left="1" w:right="0" w:firstLine="0"/>
              <w:jc w:val="center"/>
            </w:pPr>
            <w:r>
              <w:rPr>
                <w:sz w:val="20"/>
              </w:rPr>
              <w:t xml:space="preserve"> </w:t>
            </w:r>
          </w:p>
        </w:tc>
        <w:tc>
          <w:tcPr>
            <w:tcW w:w="421"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1" w:right="0" w:firstLine="0"/>
              <w:jc w:val="center"/>
            </w:pPr>
            <w:r>
              <w:rPr>
                <w:sz w:val="20"/>
              </w:rPr>
              <w:t xml:space="preserve"> </w:t>
            </w:r>
          </w:p>
        </w:tc>
        <w:tc>
          <w:tcPr>
            <w:tcW w:w="422"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2" w:right="0" w:firstLine="0"/>
              <w:jc w:val="center"/>
            </w:pPr>
            <w:r>
              <w:rPr>
                <w:sz w:val="20"/>
              </w:rPr>
              <w:t xml:space="preserve"> </w:t>
            </w:r>
          </w:p>
        </w:tc>
        <w:tc>
          <w:tcPr>
            <w:tcW w:w="421" w:type="dxa"/>
            <w:tcBorders>
              <w:top w:val="single" w:sz="4" w:space="0" w:color="000000"/>
              <w:left w:val="single" w:sz="4" w:space="0" w:color="000000"/>
              <w:bottom w:val="single" w:sz="4" w:space="0" w:color="000000"/>
              <w:right w:val="single" w:sz="8" w:space="0" w:color="000000"/>
            </w:tcBorders>
            <w:shd w:val="clear" w:color="auto" w:fill="BFBFBF"/>
            <w:vAlign w:val="center"/>
          </w:tcPr>
          <w:p w:rsidR="00E8309B" w:rsidRDefault="009D0949">
            <w:pPr>
              <w:spacing w:after="0" w:line="259" w:lineRule="auto"/>
              <w:ind w:left="4" w:right="0" w:firstLine="0"/>
              <w:jc w:val="center"/>
            </w:pPr>
            <w:r>
              <w:rPr>
                <w:sz w:val="20"/>
              </w:rPr>
              <w:t xml:space="preserve"> </w:t>
            </w:r>
          </w:p>
        </w:tc>
        <w:tc>
          <w:tcPr>
            <w:tcW w:w="422" w:type="dxa"/>
            <w:tcBorders>
              <w:top w:val="single" w:sz="4" w:space="0" w:color="000000"/>
              <w:left w:val="single" w:sz="8"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5" w:right="0" w:firstLine="0"/>
              <w:jc w:val="center"/>
            </w:pPr>
            <w:r>
              <w:rPr>
                <w:sz w:val="20"/>
              </w:rPr>
              <w:t xml:space="preserve"> </w:t>
            </w:r>
          </w:p>
        </w:tc>
        <w:tc>
          <w:tcPr>
            <w:tcW w:w="422"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5" w:right="0" w:firstLine="0"/>
              <w:jc w:val="center"/>
            </w:pPr>
            <w:r>
              <w:rPr>
                <w:sz w:val="20"/>
              </w:rPr>
              <w:t xml:space="preserve"> </w:t>
            </w:r>
          </w:p>
        </w:tc>
        <w:tc>
          <w:tcPr>
            <w:tcW w:w="422"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2" w:right="0" w:firstLine="0"/>
              <w:jc w:val="center"/>
            </w:pPr>
            <w:r>
              <w:rPr>
                <w:sz w:val="20"/>
              </w:rPr>
              <w:t xml:space="preserve"> </w:t>
            </w:r>
          </w:p>
        </w:tc>
        <w:tc>
          <w:tcPr>
            <w:tcW w:w="421" w:type="dxa"/>
            <w:tcBorders>
              <w:top w:val="single" w:sz="4" w:space="0" w:color="000000"/>
              <w:left w:val="single" w:sz="4" w:space="0" w:color="000000"/>
              <w:bottom w:val="single" w:sz="4" w:space="0" w:color="000000"/>
              <w:right w:val="single" w:sz="8" w:space="0" w:color="000000"/>
            </w:tcBorders>
            <w:shd w:val="clear" w:color="auto" w:fill="BFBFBF"/>
            <w:vAlign w:val="center"/>
          </w:tcPr>
          <w:p w:rsidR="00E8309B" w:rsidRDefault="009D0949">
            <w:pPr>
              <w:spacing w:after="0" w:line="259" w:lineRule="auto"/>
              <w:ind w:left="4" w:right="0" w:firstLine="0"/>
              <w:jc w:val="center"/>
            </w:pPr>
            <w:r>
              <w:rPr>
                <w:sz w:val="20"/>
              </w:rPr>
              <w:t xml:space="preserve"> </w:t>
            </w:r>
          </w:p>
        </w:tc>
        <w:tc>
          <w:tcPr>
            <w:tcW w:w="424" w:type="dxa"/>
            <w:tcBorders>
              <w:top w:val="single" w:sz="4" w:space="0" w:color="000000"/>
              <w:left w:val="single" w:sz="8"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4" w:right="0" w:firstLine="0"/>
              <w:jc w:val="center"/>
            </w:pPr>
            <w:r>
              <w:rPr>
                <w:sz w:val="20"/>
              </w:rPr>
              <w:t xml:space="preserve"> </w:t>
            </w:r>
          </w:p>
        </w:tc>
        <w:tc>
          <w:tcPr>
            <w:tcW w:w="422"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2" w:right="0" w:firstLine="0"/>
              <w:jc w:val="center"/>
            </w:pPr>
            <w:r>
              <w:rPr>
                <w:sz w:val="20"/>
              </w:rPr>
              <w:t xml:space="preserve"> </w:t>
            </w:r>
          </w:p>
        </w:tc>
        <w:tc>
          <w:tcPr>
            <w:tcW w:w="421"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4" w:right="0" w:firstLine="0"/>
              <w:jc w:val="center"/>
            </w:pPr>
            <w:r>
              <w:rPr>
                <w:sz w:val="20"/>
              </w:rPr>
              <w:t xml:space="preserve"> </w:t>
            </w:r>
          </w:p>
        </w:tc>
        <w:tc>
          <w:tcPr>
            <w:tcW w:w="422"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5" w:right="0" w:firstLine="0"/>
              <w:jc w:val="center"/>
            </w:pPr>
            <w:r>
              <w:rPr>
                <w:sz w:val="20"/>
              </w:rPr>
              <w:t xml:space="preserve"> </w:t>
            </w:r>
          </w:p>
        </w:tc>
      </w:tr>
      <w:tr w:rsidR="00E8309B">
        <w:trPr>
          <w:trHeight w:val="470"/>
        </w:trPr>
        <w:tc>
          <w:tcPr>
            <w:tcW w:w="427" w:type="dxa"/>
            <w:tcBorders>
              <w:top w:val="single" w:sz="4" w:space="0" w:color="000000"/>
              <w:left w:val="single" w:sz="4" w:space="0" w:color="000000"/>
              <w:bottom w:val="single" w:sz="4" w:space="0" w:color="000000"/>
              <w:right w:val="single" w:sz="8" w:space="0" w:color="000000"/>
            </w:tcBorders>
          </w:tcPr>
          <w:p w:rsidR="00E8309B" w:rsidRDefault="009D0949">
            <w:pPr>
              <w:spacing w:after="0" w:line="259" w:lineRule="auto"/>
              <w:ind w:left="0" w:right="51" w:firstLine="0"/>
              <w:jc w:val="right"/>
            </w:pPr>
            <w:r>
              <w:rPr>
                <w:sz w:val="20"/>
              </w:rPr>
              <w:t xml:space="preserve">3 </w:t>
            </w:r>
          </w:p>
        </w:tc>
        <w:tc>
          <w:tcPr>
            <w:tcW w:w="4123" w:type="dxa"/>
            <w:tcBorders>
              <w:top w:val="single" w:sz="4" w:space="0" w:color="000000"/>
              <w:left w:val="single" w:sz="8" w:space="0" w:color="000000"/>
              <w:bottom w:val="single" w:sz="4" w:space="0" w:color="000000"/>
              <w:right w:val="single" w:sz="8" w:space="0" w:color="000000"/>
            </w:tcBorders>
          </w:tcPr>
          <w:p w:rsidR="00E8309B" w:rsidRDefault="009D0949">
            <w:pPr>
              <w:spacing w:after="0" w:line="259" w:lineRule="auto"/>
              <w:ind w:left="0" w:right="0" w:firstLine="0"/>
              <w:jc w:val="left"/>
            </w:pPr>
            <w:r>
              <w:rPr>
                <w:sz w:val="20"/>
              </w:rPr>
              <w:t xml:space="preserve">Оптимизација административних поступака за привреду и грађане </w:t>
            </w:r>
          </w:p>
        </w:tc>
        <w:tc>
          <w:tcPr>
            <w:tcW w:w="419" w:type="dxa"/>
            <w:tcBorders>
              <w:top w:val="single" w:sz="4" w:space="0" w:color="000000"/>
              <w:left w:val="single" w:sz="8"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1" w:right="0" w:firstLine="0"/>
              <w:jc w:val="center"/>
            </w:pPr>
            <w:r>
              <w:rPr>
                <w:sz w:val="20"/>
              </w:rPr>
              <w:t xml:space="preserve"> </w:t>
            </w:r>
          </w:p>
        </w:tc>
        <w:tc>
          <w:tcPr>
            <w:tcW w:w="421"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1" w:right="0" w:firstLine="0"/>
              <w:jc w:val="center"/>
            </w:pPr>
            <w:r>
              <w:rPr>
                <w:sz w:val="20"/>
              </w:rPr>
              <w:t xml:space="preserve"> </w:t>
            </w:r>
          </w:p>
        </w:tc>
        <w:tc>
          <w:tcPr>
            <w:tcW w:w="422"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2" w:right="0" w:firstLine="0"/>
              <w:jc w:val="center"/>
            </w:pPr>
            <w:r>
              <w:rPr>
                <w:sz w:val="20"/>
              </w:rPr>
              <w:t xml:space="preserve"> </w:t>
            </w:r>
          </w:p>
        </w:tc>
        <w:tc>
          <w:tcPr>
            <w:tcW w:w="421" w:type="dxa"/>
            <w:tcBorders>
              <w:top w:val="single" w:sz="4" w:space="0" w:color="000000"/>
              <w:left w:val="single" w:sz="4" w:space="0" w:color="000000"/>
              <w:bottom w:val="single" w:sz="4" w:space="0" w:color="000000"/>
              <w:right w:val="single" w:sz="8" w:space="0" w:color="000000"/>
            </w:tcBorders>
            <w:shd w:val="clear" w:color="auto" w:fill="BFBFBF"/>
            <w:vAlign w:val="center"/>
          </w:tcPr>
          <w:p w:rsidR="00E8309B" w:rsidRDefault="009D0949">
            <w:pPr>
              <w:spacing w:after="0" w:line="259" w:lineRule="auto"/>
              <w:ind w:left="4" w:right="0" w:firstLine="0"/>
              <w:jc w:val="center"/>
            </w:pPr>
            <w:r>
              <w:rPr>
                <w:sz w:val="20"/>
              </w:rPr>
              <w:t xml:space="preserve"> </w:t>
            </w:r>
          </w:p>
        </w:tc>
        <w:tc>
          <w:tcPr>
            <w:tcW w:w="422" w:type="dxa"/>
            <w:tcBorders>
              <w:top w:val="single" w:sz="4" w:space="0" w:color="000000"/>
              <w:left w:val="single" w:sz="8"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5" w:right="0" w:firstLine="0"/>
              <w:jc w:val="center"/>
            </w:pPr>
            <w:r>
              <w:rPr>
                <w:sz w:val="20"/>
              </w:rPr>
              <w:t xml:space="preserve"> </w:t>
            </w:r>
          </w:p>
        </w:tc>
        <w:tc>
          <w:tcPr>
            <w:tcW w:w="422"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5" w:right="0" w:firstLine="0"/>
              <w:jc w:val="center"/>
            </w:pPr>
            <w:r>
              <w:rPr>
                <w:sz w:val="20"/>
              </w:rPr>
              <w:t xml:space="preserve"> </w:t>
            </w:r>
          </w:p>
        </w:tc>
        <w:tc>
          <w:tcPr>
            <w:tcW w:w="422"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2" w:right="0" w:firstLine="0"/>
              <w:jc w:val="center"/>
            </w:pPr>
            <w:r>
              <w:rPr>
                <w:sz w:val="20"/>
              </w:rPr>
              <w:t xml:space="preserve"> </w:t>
            </w:r>
          </w:p>
        </w:tc>
        <w:tc>
          <w:tcPr>
            <w:tcW w:w="421" w:type="dxa"/>
            <w:tcBorders>
              <w:top w:val="single" w:sz="4" w:space="0" w:color="000000"/>
              <w:left w:val="single" w:sz="4" w:space="0" w:color="000000"/>
              <w:bottom w:val="single" w:sz="4" w:space="0" w:color="000000"/>
              <w:right w:val="single" w:sz="8" w:space="0" w:color="000000"/>
            </w:tcBorders>
            <w:shd w:val="clear" w:color="auto" w:fill="BFBFBF"/>
            <w:vAlign w:val="center"/>
          </w:tcPr>
          <w:p w:rsidR="00E8309B" w:rsidRDefault="009D0949">
            <w:pPr>
              <w:spacing w:after="0" w:line="259" w:lineRule="auto"/>
              <w:ind w:left="4" w:right="0" w:firstLine="0"/>
              <w:jc w:val="center"/>
            </w:pPr>
            <w:r>
              <w:rPr>
                <w:sz w:val="20"/>
              </w:rPr>
              <w:t xml:space="preserve"> </w:t>
            </w:r>
          </w:p>
        </w:tc>
        <w:tc>
          <w:tcPr>
            <w:tcW w:w="424" w:type="dxa"/>
            <w:tcBorders>
              <w:top w:val="single" w:sz="4" w:space="0" w:color="000000"/>
              <w:left w:val="single" w:sz="8"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4" w:right="0" w:firstLine="0"/>
              <w:jc w:val="center"/>
            </w:pPr>
            <w:r>
              <w:rPr>
                <w:sz w:val="20"/>
              </w:rPr>
              <w:t xml:space="preserve"> </w:t>
            </w:r>
          </w:p>
        </w:tc>
        <w:tc>
          <w:tcPr>
            <w:tcW w:w="422"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2" w:right="0" w:firstLine="0"/>
              <w:jc w:val="center"/>
            </w:pPr>
            <w:r>
              <w:rPr>
                <w:sz w:val="20"/>
              </w:rPr>
              <w:t xml:space="preserve"> </w:t>
            </w:r>
          </w:p>
        </w:tc>
        <w:tc>
          <w:tcPr>
            <w:tcW w:w="421"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4" w:right="0" w:firstLine="0"/>
              <w:jc w:val="center"/>
            </w:pPr>
            <w:r>
              <w:rPr>
                <w:sz w:val="20"/>
              </w:rPr>
              <w:t xml:space="preserve"> </w:t>
            </w:r>
          </w:p>
        </w:tc>
        <w:tc>
          <w:tcPr>
            <w:tcW w:w="422"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5" w:right="0" w:firstLine="0"/>
              <w:jc w:val="center"/>
            </w:pPr>
            <w:r>
              <w:rPr>
                <w:sz w:val="20"/>
              </w:rPr>
              <w:t xml:space="preserve"> </w:t>
            </w:r>
          </w:p>
        </w:tc>
      </w:tr>
      <w:tr w:rsidR="00E8309B">
        <w:trPr>
          <w:trHeight w:val="470"/>
        </w:trPr>
        <w:tc>
          <w:tcPr>
            <w:tcW w:w="427" w:type="dxa"/>
            <w:tcBorders>
              <w:top w:val="single" w:sz="4" w:space="0" w:color="000000"/>
              <w:left w:val="single" w:sz="4" w:space="0" w:color="000000"/>
              <w:bottom w:val="single" w:sz="4" w:space="0" w:color="000000"/>
              <w:right w:val="single" w:sz="8" w:space="0" w:color="000000"/>
            </w:tcBorders>
          </w:tcPr>
          <w:p w:rsidR="00E8309B" w:rsidRDefault="009D0949">
            <w:pPr>
              <w:spacing w:after="0" w:line="259" w:lineRule="auto"/>
              <w:ind w:left="0" w:right="51" w:firstLine="0"/>
              <w:jc w:val="right"/>
            </w:pPr>
            <w:r>
              <w:rPr>
                <w:sz w:val="20"/>
              </w:rPr>
              <w:t xml:space="preserve">4 </w:t>
            </w:r>
          </w:p>
        </w:tc>
        <w:tc>
          <w:tcPr>
            <w:tcW w:w="4123" w:type="dxa"/>
            <w:tcBorders>
              <w:top w:val="single" w:sz="4" w:space="0" w:color="000000"/>
              <w:left w:val="single" w:sz="8" w:space="0" w:color="000000"/>
              <w:bottom w:val="single" w:sz="4" w:space="0" w:color="000000"/>
              <w:right w:val="single" w:sz="8" w:space="0" w:color="000000"/>
            </w:tcBorders>
          </w:tcPr>
          <w:p w:rsidR="00E8309B" w:rsidRDefault="009D0949">
            <w:pPr>
              <w:spacing w:after="0" w:line="259" w:lineRule="auto"/>
              <w:ind w:left="0" w:right="0" w:firstLine="0"/>
              <w:jc w:val="left"/>
            </w:pPr>
            <w:r>
              <w:rPr>
                <w:sz w:val="20"/>
              </w:rPr>
              <w:t xml:space="preserve">Дигитализација административних поступака за привреду и грађане </w:t>
            </w:r>
          </w:p>
        </w:tc>
        <w:tc>
          <w:tcPr>
            <w:tcW w:w="419" w:type="dxa"/>
            <w:tcBorders>
              <w:top w:val="single" w:sz="4" w:space="0" w:color="000000"/>
              <w:left w:val="single" w:sz="8"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1" w:right="0" w:firstLine="0"/>
              <w:jc w:val="center"/>
            </w:pPr>
            <w:r>
              <w:rPr>
                <w:sz w:val="20"/>
              </w:rPr>
              <w:t xml:space="preserve"> </w:t>
            </w:r>
          </w:p>
        </w:tc>
        <w:tc>
          <w:tcPr>
            <w:tcW w:w="421"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1" w:right="0" w:firstLine="0"/>
              <w:jc w:val="center"/>
            </w:pPr>
            <w:r>
              <w:rPr>
                <w:sz w:val="20"/>
              </w:rPr>
              <w:t xml:space="preserve"> </w:t>
            </w:r>
          </w:p>
        </w:tc>
        <w:tc>
          <w:tcPr>
            <w:tcW w:w="422"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2" w:right="0" w:firstLine="0"/>
              <w:jc w:val="center"/>
            </w:pPr>
            <w:r>
              <w:rPr>
                <w:sz w:val="20"/>
              </w:rPr>
              <w:t xml:space="preserve"> </w:t>
            </w:r>
          </w:p>
        </w:tc>
        <w:tc>
          <w:tcPr>
            <w:tcW w:w="421" w:type="dxa"/>
            <w:tcBorders>
              <w:top w:val="single" w:sz="4" w:space="0" w:color="000000"/>
              <w:left w:val="single" w:sz="4" w:space="0" w:color="000000"/>
              <w:bottom w:val="single" w:sz="4" w:space="0" w:color="000000"/>
              <w:right w:val="single" w:sz="8" w:space="0" w:color="000000"/>
            </w:tcBorders>
            <w:shd w:val="clear" w:color="auto" w:fill="BFBFBF"/>
            <w:vAlign w:val="center"/>
          </w:tcPr>
          <w:p w:rsidR="00E8309B" w:rsidRDefault="009D0949">
            <w:pPr>
              <w:spacing w:after="0" w:line="259" w:lineRule="auto"/>
              <w:ind w:left="4" w:right="0" w:firstLine="0"/>
              <w:jc w:val="center"/>
            </w:pPr>
            <w:r>
              <w:rPr>
                <w:sz w:val="20"/>
              </w:rPr>
              <w:t xml:space="preserve"> </w:t>
            </w:r>
          </w:p>
        </w:tc>
        <w:tc>
          <w:tcPr>
            <w:tcW w:w="422" w:type="dxa"/>
            <w:tcBorders>
              <w:top w:val="single" w:sz="4" w:space="0" w:color="000000"/>
              <w:left w:val="single" w:sz="8"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5" w:right="0" w:firstLine="0"/>
              <w:jc w:val="center"/>
            </w:pPr>
            <w:r>
              <w:rPr>
                <w:sz w:val="20"/>
              </w:rPr>
              <w:t xml:space="preserve"> </w:t>
            </w:r>
          </w:p>
        </w:tc>
        <w:tc>
          <w:tcPr>
            <w:tcW w:w="422"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5" w:right="0" w:firstLine="0"/>
              <w:jc w:val="center"/>
            </w:pPr>
            <w:r>
              <w:rPr>
                <w:sz w:val="20"/>
              </w:rPr>
              <w:t xml:space="preserve"> </w:t>
            </w:r>
          </w:p>
        </w:tc>
        <w:tc>
          <w:tcPr>
            <w:tcW w:w="422"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2" w:right="0" w:firstLine="0"/>
              <w:jc w:val="center"/>
            </w:pPr>
            <w:r>
              <w:rPr>
                <w:sz w:val="20"/>
              </w:rPr>
              <w:t xml:space="preserve"> </w:t>
            </w:r>
          </w:p>
        </w:tc>
        <w:tc>
          <w:tcPr>
            <w:tcW w:w="421" w:type="dxa"/>
            <w:tcBorders>
              <w:top w:val="single" w:sz="4" w:space="0" w:color="000000"/>
              <w:left w:val="single" w:sz="4" w:space="0" w:color="000000"/>
              <w:bottom w:val="single" w:sz="4" w:space="0" w:color="000000"/>
              <w:right w:val="single" w:sz="8" w:space="0" w:color="000000"/>
            </w:tcBorders>
            <w:shd w:val="clear" w:color="auto" w:fill="BFBFBF"/>
            <w:vAlign w:val="center"/>
          </w:tcPr>
          <w:p w:rsidR="00E8309B" w:rsidRDefault="009D0949">
            <w:pPr>
              <w:spacing w:after="0" w:line="259" w:lineRule="auto"/>
              <w:ind w:left="4" w:right="0" w:firstLine="0"/>
              <w:jc w:val="center"/>
            </w:pPr>
            <w:r>
              <w:rPr>
                <w:sz w:val="20"/>
              </w:rPr>
              <w:t xml:space="preserve"> </w:t>
            </w:r>
          </w:p>
        </w:tc>
        <w:tc>
          <w:tcPr>
            <w:tcW w:w="424" w:type="dxa"/>
            <w:tcBorders>
              <w:top w:val="single" w:sz="4" w:space="0" w:color="000000"/>
              <w:left w:val="single" w:sz="8"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4" w:right="0" w:firstLine="0"/>
              <w:jc w:val="center"/>
            </w:pPr>
            <w:r>
              <w:rPr>
                <w:sz w:val="20"/>
              </w:rPr>
              <w:t xml:space="preserve"> </w:t>
            </w:r>
          </w:p>
        </w:tc>
        <w:tc>
          <w:tcPr>
            <w:tcW w:w="422"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2" w:right="0" w:firstLine="0"/>
              <w:jc w:val="center"/>
            </w:pPr>
            <w:r>
              <w:rPr>
                <w:sz w:val="20"/>
              </w:rPr>
              <w:t xml:space="preserve"> </w:t>
            </w:r>
          </w:p>
        </w:tc>
        <w:tc>
          <w:tcPr>
            <w:tcW w:w="421"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4" w:right="0" w:firstLine="0"/>
              <w:jc w:val="center"/>
            </w:pPr>
            <w:r>
              <w:rPr>
                <w:sz w:val="20"/>
              </w:rPr>
              <w:t xml:space="preserve"> </w:t>
            </w:r>
          </w:p>
        </w:tc>
        <w:tc>
          <w:tcPr>
            <w:tcW w:w="422"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5" w:right="0" w:firstLine="0"/>
              <w:jc w:val="center"/>
            </w:pPr>
            <w:r>
              <w:rPr>
                <w:sz w:val="20"/>
              </w:rPr>
              <w:t xml:space="preserve"> </w:t>
            </w:r>
          </w:p>
        </w:tc>
      </w:tr>
      <w:tr w:rsidR="00E8309B">
        <w:trPr>
          <w:trHeight w:val="470"/>
        </w:trPr>
        <w:tc>
          <w:tcPr>
            <w:tcW w:w="427" w:type="dxa"/>
            <w:tcBorders>
              <w:top w:val="single" w:sz="4" w:space="0" w:color="000000"/>
              <w:left w:val="single" w:sz="4" w:space="0" w:color="000000"/>
              <w:bottom w:val="single" w:sz="4" w:space="0" w:color="000000"/>
              <w:right w:val="single" w:sz="8" w:space="0" w:color="000000"/>
            </w:tcBorders>
          </w:tcPr>
          <w:p w:rsidR="00E8309B" w:rsidRDefault="009D0949">
            <w:pPr>
              <w:spacing w:after="0" w:line="259" w:lineRule="auto"/>
              <w:ind w:left="0" w:right="51" w:firstLine="0"/>
              <w:jc w:val="right"/>
            </w:pPr>
            <w:r>
              <w:rPr>
                <w:sz w:val="20"/>
              </w:rPr>
              <w:t xml:space="preserve">5 </w:t>
            </w:r>
          </w:p>
        </w:tc>
        <w:tc>
          <w:tcPr>
            <w:tcW w:w="4123" w:type="dxa"/>
            <w:tcBorders>
              <w:top w:val="single" w:sz="4" w:space="0" w:color="000000"/>
              <w:left w:val="single" w:sz="8" w:space="0" w:color="000000"/>
              <w:bottom w:val="single" w:sz="4" w:space="0" w:color="000000"/>
              <w:right w:val="single" w:sz="8" w:space="0" w:color="000000"/>
            </w:tcBorders>
          </w:tcPr>
          <w:p w:rsidR="00E8309B" w:rsidRDefault="009D0949">
            <w:pPr>
              <w:spacing w:after="0" w:line="259" w:lineRule="auto"/>
              <w:ind w:left="0" w:right="0" w:firstLine="0"/>
              <w:jc w:val="left"/>
            </w:pPr>
            <w:r>
              <w:rPr>
                <w:sz w:val="20"/>
              </w:rPr>
              <w:t xml:space="preserve">Усвајање закона и подзаконских аката за успостављање и вођење Регистра </w:t>
            </w:r>
          </w:p>
        </w:tc>
        <w:tc>
          <w:tcPr>
            <w:tcW w:w="419" w:type="dxa"/>
            <w:tcBorders>
              <w:top w:val="single" w:sz="4" w:space="0" w:color="000000"/>
              <w:left w:val="single" w:sz="8"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1" w:right="0" w:firstLine="0"/>
              <w:jc w:val="center"/>
            </w:pPr>
            <w:r>
              <w:rPr>
                <w:sz w:val="20"/>
              </w:rPr>
              <w:t xml:space="preserve"> </w:t>
            </w:r>
          </w:p>
        </w:tc>
        <w:tc>
          <w:tcPr>
            <w:tcW w:w="421"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1" w:right="0" w:firstLine="0"/>
              <w:jc w:val="center"/>
            </w:pPr>
            <w:r>
              <w:rPr>
                <w:sz w:val="20"/>
              </w:rPr>
              <w:t xml:space="preserve"> </w:t>
            </w:r>
          </w:p>
        </w:tc>
        <w:tc>
          <w:tcPr>
            <w:tcW w:w="422"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2" w:right="0" w:firstLine="0"/>
              <w:jc w:val="center"/>
            </w:pPr>
            <w:r>
              <w:rPr>
                <w:sz w:val="20"/>
              </w:rPr>
              <w:t xml:space="preserve"> </w:t>
            </w:r>
          </w:p>
        </w:tc>
        <w:tc>
          <w:tcPr>
            <w:tcW w:w="421" w:type="dxa"/>
            <w:tcBorders>
              <w:top w:val="single" w:sz="4" w:space="0" w:color="000000"/>
              <w:left w:val="single" w:sz="4" w:space="0" w:color="000000"/>
              <w:bottom w:val="single" w:sz="4" w:space="0" w:color="000000"/>
              <w:right w:val="single" w:sz="8" w:space="0" w:color="000000"/>
            </w:tcBorders>
            <w:vAlign w:val="center"/>
          </w:tcPr>
          <w:p w:rsidR="00E8309B" w:rsidRDefault="009D0949">
            <w:pPr>
              <w:spacing w:after="0" w:line="259" w:lineRule="auto"/>
              <w:ind w:left="4" w:right="0" w:firstLine="0"/>
              <w:jc w:val="center"/>
            </w:pPr>
            <w:r>
              <w:rPr>
                <w:sz w:val="20"/>
              </w:rPr>
              <w:t xml:space="preserve"> </w:t>
            </w:r>
          </w:p>
        </w:tc>
        <w:tc>
          <w:tcPr>
            <w:tcW w:w="422" w:type="dxa"/>
            <w:tcBorders>
              <w:top w:val="single" w:sz="4" w:space="0" w:color="000000"/>
              <w:left w:val="single" w:sz="8" w:space="0" w:color="000000"/>
              <w:bottom w:val="single" w:sz="4" w:space="0" w:color="000000"/>
              <w:right w:val="single" w:sz="4" w:space="0" w:color="000000"/>
            </w:tcBorders>
            <w:vAlign w:val="center"/>
          </w:tcPr>
          <w:p w:rsidR="00E8309B" w:rsidRDefault="009D0949">
            <w:pPr>
              <w:spacing w:after="0" w:line="259" w:lineRule="auto"/>
              <w:ind w:left="5" w:right="0" w:firstLine="0"/>
              <w:jc w:val="center"/>
            </w:pPr>
            <w:r>
              <w:rPr>
                <w:sz w:val="20"/>
              </w:rPr>
              <w:t xml:space="preserve"> </w:t>
            </w:r>
          </w:p>
        </w:tc>
        <w:tc>
          <w:tcPr>
            <w:tcW w:w="422"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5" w:right="0" w:firstLine="0"/>
              <w:jc w:val="center"/>
            </w:pPr>
            <w:r>
              <w:rPr>
                <w:sz w:val="20"/>
              </w:rPr>
              <w:t xml:space="preserve"> </w:t>
            </w:r>
          </w:p>
        </w:tc>
        <w:tc>
          <w:tcPr>
            <w:tcW w:w="422"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2" w:right="0" w:firstLine="0"/>
              <w:jc w:val="center"/>
            </w:pPr>
            <w:r>
              <w:rPr>
                <w:sz w:val="20"/>
              </w:rPr>
              <w:t xml:space="preserve"> </w:t>
            </w:r>
          </w:p>
        </w:tc>
        <w:tc>
          <w:tcPr>
            <w:tcW w:w="421" w:type="dxa"/>
            <w:tcBorders>
              <w:top w:val="single" w:sz="4" w:space="0" w:color="000000"/>
              <w:left w:val="single" w:sz="4" w:space="0" w:color="000000"/>
              <w:bottom w:val="single" w:sz="4" w:space="0" w:color="000000"/>
              <w:right w:val="single" w:sz="8" w:space="0" w:color="000000"/>
            </w:tcBorders>
            <w:vAlign w:val="center"/>
          </w:tcPr>
          <w:p w:rsidR="00E8309B" w:rsidRDefault="009D0949">
            <w:pPr>
              <w:spacing w:after="0" w:line="259" w:lineRule="auto"/>
              <w:ind w:left="4" w:right="0" w:firstLine="0"/>
              <w:jc w:val="center"/>
            </w:pPr>
            <w:r>
              <w:rPr>
                <w:sz w:val="20"/>
              </w:rPr>
              <w:t xml:space="preserve"> </w:t>
            </w:r>
          </w:p>
        </w:tc>
        <w:tc>
          <w:tcPr>
            <w:tcW w:w="424" w:type="dxa"/>
            <w:tcBorders>
              <w:top w:val="single" w:sz="4" w:space="0" w:color="000000"/>
              <w:left w:val="single" w:sz="8" w:space="0" w:color="000000"/>
              <w:bottom w:val="single" w:sz="4" w:space="0" w:color="000000"/>
              <w:right w:val="single" w:sz="4" w:space="0" w:color="000000"/>
            </w:tcBorders>
            <w:vAlign w:val="center"/>
          </w:tcPr>
          <w:p w:rsidR="00E8309B" w:rsidRDefault="009D0949">
            <w:pPr>
              <w:spacing w:after="0" w:line="259" w:lineRule="auto"/>
              <w:ind w:left="4" w:right="0" w:firstLine="0"/>
              <w:jc w:val="center"/>
            </w:pPr>
            <w:r>
              <w:rPr>
                <w:sz w:val="20"/>
              </w:rPr>
              <w:t xml:space="preserve"> </w:t>
            </w:r>
          </w:p>
        </w:tc>
        <w:tc>
          <w:tcPr>
            <w:tcW w:w="422"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2" w:right="0" w:firstLine="0"/>
              <w:jc w:val="center"/>
            </w:pPr>
            <w:r>
              <w:rPr>
                <w:sz w:val="20"/>
              </w:rPr>
              <w:t xml:space="preserve"> </w:t>
            </w:r>
          </w:p>
        </w:tc>
        <w:tc>
          <w:tcPr>
            <w:tcW w:w="421"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4" w:right="0" w:firstLine="0"/>
              <w:jc w:val="center"/>
            </w:pPr>
            <w:r>
              <w:rPr>
                <w:sz w:val="20"/>
              </w:rPr>
              <w:t xml:space="preserve"> </w:t>
            </w:r>
          </w:p>
        </w:tc>
        <w:tc>
          <w:tcPr>
            <w:tcW w:w="422"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5" w:right="0" w:firstLine="0"/>
              <w:jc w:val="center"/>
            </w:pPr>
            <w:r>
              <w:rPr>
                <w:sz w:val="20"/>
              </w:rPr>
              <w:t xml:space="preserve"> </w:t>
            </w:r>
          </w:p>
        </w:tc>
      </w:tr>
      <w:tr w:rsidR="00E8309B">
        <w:trPr>
          <w:trHeight w:val="310"/>
        </w:trPr>
        <w:tc>
          <w:tcPr>
            <w:tcW w:w="427" w:type="dxa"/>
            <w:tcBorders>
              <w:top w:val="single" w:sz="4" w:space="0" w:color="000000"/>
              <w:left w:val="single" w:sz="4" w:space="0" w:color="000000"/>
              <w:bottom w:val="single" w:sz="4" w:space="0" w:color="000000"/>
              <w:right w:val="single" w:sz="8" w:space="0" w:color="000000"/>
            </w:tcBorders>
          </w:tcPr>
          <w:p w:rsidR="00E8309B" w:rsidRDefault="009D0949">
            <w:pPr>
              <w:spacing w:after="0" w:line="259" w:lineRule="auto"/>
              <w:ind w:left="0" w:right="51" w:firstLine="0"/>
              <w:jc w:val="right"/>
            </w:pPr>
            <w:r>
              <w:rPr>
                <w:sz w:val="20"/>
              </w:rPr>
              <w:t xml:space="preserve">6 </w:t>
            </w:r>
          </w:p>
        </w:tc>
        <w:tc>
          <w:tcPr>
            <w:tcW w:w="4123" w:type="dxa"/>
            <w:tcBorders>
              <w:top w:val="single" w:sz="4" w:space="0" w:color="000000"/>
              <w:left w:val="single" w:sz="8" w:space="0" w:color="000000"/>
              <w:bottom w:val="single" w:sz="4" w:space="0" w:color="000000"/>
              <w:right w:val="single" w:sz="8" w:space="0" w:color="000000"/>
            </w:tcBorders>
          </w:tcPr>
          <w:p w:rsidR="00E8309B" w:rsidRDefault="009D0949">
            <w:pPr>
              <w:spacing w:after="0" w:line="259" w:lineRule="auto"/>
              <w:ind w:left="0" w:right="0" w:firstLine="0"/>
              <w:jc w:val="left"/>
            </w:pPr>
            <w:r>
              <w:rPr>
                <w:sz w:val="20"/>
              </w:rPr>
              <w:t xml:space="preserve">Јавна доступност Регистра </w:t>
            </w:r>
          </w:p>
        </w:tc>
        <w:tc>
          <w:tcPr>
            <w:tcW w:w="419" w:type="dxa"/>
            <w:tcBorders>
              <w:top w:val="single" w:sz="4" w:space="0" w:color="000000"/>
              <w:left w:val="single" w:sz="8" w:space="0" w:color="000000"/>
              <w:bottom w:val="single" w:sz="4" w:space="0" w:color="000000"/>
              <w:right w:val="single" w:sz="4" w:space="0" w:color="000000"/>
            </w:tcBorders>
          </w:tcPr>
          <w:p w:rsidR="00E8309B" w:rsidRDefault="009D0949">
            <w:pPr>
              <w:spacing w:after="0" w:line="259" w:lineRule="auto"/>
              <w:ind w:left="1" w:right="0" w:firstLine="0"/>
              <w:jc w:val="center"/>
            </w:pPr>
            <w:r>
              <w:rPr>
                <w:sz w:val="20"/>
              </w:rPr>
              <w:t xml:space="preserve"> </w:t>
            </w:r>
          </w:p>
        </w:tc>
        <w:tc>
          <w:tcPr>
            <w:tcW w:w="421" w:type="dxa"/>
            <w:tcBorders>
              <w:top w:val="single" w:sz="4" w:space="0" w:color="000000"/>
              <w:left w:val="single" w:sz="4" w:space="0" w:color="000000"/>
              <w:bottom w:val="single" w:sz="4" w:space="0" w:color="000000"/>
              <w:right w:val="single" w:sz="4" w:space="0" w:color="000000"/>
            </w:tcBorders>
            <w:shd w:val="clear" w:color="auto" w:fill="BFBFBF"/>
          </w:tcPr>
          <w:p w:rsidR="00E8309B" w:rsidRDefault="009D0949">
            <w:pPr>
              <w:spacing w:after="0" w:line="259" w:lineRule="auto"/>
              <w:ind w:left="1" w:right="0" w:firstLine="0"/>
              <w:jc w:val="center"/>
            </w:pPr>
            <w:r>
              <w:rPr>
                <w:sz w:val="20"/>
              </w:rPr>
              <w:t xml:space="preserve"> </w:t>
            </w:r>
          </w:p>
        </w:tc>
        <w:tc>
          <w:tcPr>
            <w:tcW w:w="422" w:type="dxa"/>
            <w:tcBorders>
              <w:top w:val="single" w:sz="4" w:space="0" w:color="000000"/>
              <w:left w:val="single" w:sz="4" w:space="0" w:color="000000"/>
              <w:bottom w:val="single" w:sz="4" w:space="0" w:color="000000"/>
              <w:right w:val="single" w:sz="4" w:space="0" w:color="000000"/>
            </w:tcBorders>
            <w:shd w:val="clear" w:color="auto" w:fill="BFBFBF"/>
          </w:tcPr>
          <w:p w:rsidR="00E8309B" w:rsidRDefault="009D0949">
            <w:pPr>
              <w:spacing w:after="0" w:line="259" w:lineRule="auto"/>
              <w:ind w:left="2" w:right="0" w:firstLine="0"/>
              <w:jc w:val="center"/>
            </w:pPr>
            <w:r>
              <w:rPr>
                <w:sz w:val="20"/>
              </w:rPr>
              <w:t xml:space="preserve"> </w:t>
            </w:r>
          </w:p>
        </w:tc>
        <w:tc>
          <w:tcPr>
            <w:tcW w:w="421" w:type="dxa"/>
            <w:tcBorders>
              <w:top w:val="single" w:sz="4" w:space="0" w:color="000000"/>
              <w:left w:val="single" w:sz="4" w:space="0" w:color="000000"/>
              <w:bottom w:val="single" w:sz="4" w:space="0" w:color="000000"/>
              <w:right w:val="single" w:sz="8" w:space="0" w:color="000000"/>
            </w:tcBorders>
            <w:shd w:val="clear" w:color="auto" w:fill="BFBFBF"/>
          </w:tcPr>
          <w:p w:rsidR="00E8309B" w:rsidRDefault="009D0949">
            <w:pPr>
              <w:spacing w:after="0" w:line="259" w:lineRule="auto"/>
              <w:ind w:left="4" w:right="0" w:firstLine="0"/>
              <w:jc w:val="center"/>
            </w:pPr>
            <w:r>
              <w:rPr>
                <w:sz w:val="20"/>
              </w:rPr>
              <w:t xml:space="preserve"> </w:t>
            </w:r>
          </w:p>
        </w:tc>
        <w:tc>
          <w:tcPr>
            <w:tcW w:w="422" w:type="dxa"/>
            <w:tcBorders>
              <w:top w:val="single" w:sz="4" w:space="0" w:color="000000"/>
              <w:left w:val="single" w:sz="8" w:space="0" w:color="000000"/>
              <w:bottom w:val="single" w:sz="4" w:space="0" w:color="000000"/>
              <w:right w:val="single" w:sz="4" w:space="0" w:color="000000"/>
            </w:tcBorders>
            <w:shd w:val="clear" w:color="auto" w:fill="BFBFBF"/>
          </w:tcPr>
          <w:p w:rsidR="00E8309B" w:rsidRDefault="009D0949">
            <w:pPr>
              <w:spacing w:after="0" w:line="259" w:lineRule="auto"/>
              <w:ind w:left="5" w:right="0" w:firstLine="0"/>
              <w:jc w:val="center"/>
            </w:pPr>
            <w:r>
              <w:rPr>
                <w:sz w:val="20"/>
              </w:rPr>
              <w:t xml:space="preserve"> </w:t>
            </w:r>
          </w:p>
        </w:tc>
        <w:tc>
          <w:tcPr>
            <w:tcW w:w="422" w:type="dxa"/>
            <w:tcBorders>
              <w:top w:val="single" w:sz="4" w:space="0" w:color="000000"/>
              <w:left w:val="single" w:sz="4" w:space="0" w:color="000000"/>
              <w:bottom w:val="single" w:sz="4" w:space="0" w:color="000000"/>
              <w:right w:val="single" w:sz="4" w:space="0" w:color="000000"/>
            </w:tcBorders>
            <w:shd w:val="clear" w:color="auto" w:fill="BFBFBF"/>
          </w:tcPr>
          <w:p w:rsidR="00E8309B" w:rsidRDefault="009D0949">
            <w:pPr>
              <w:spacing w:after="0" w:line="259" w:lineRule="auto"/>
              <w:ind w:left="5" w:right="0" w:firstLine="0"/>
              <w:jc w:val="center"/>
            </w:pPr>
            <w:r>
              <w:rPr>
                <w:sz w:val="20"/>
              </w:rPr>
              <w:t xml:space="preserve"> </w:t>
            </w:r>
          </w:p>
        </w:tc>
        <w:tc>
          <w:tcPr>
            <w:tcW w:w="422" w:type="dxa"/>
            <w:tcBorders>
              <w:top w:val="single" w:sz="4" w:space="0" w:color="000000"/>
              <w:left w:val="single" w:sz="4" w:space="0" w:color="000000"/>
              <w:bottom w:val="single" w:sz="4" w:space="0" w:color="000000"/>
              <w:right w:val="single" w:sz="4" w:space="0" w:color="000000"/>
            </w:tcBorders>
            <w:shd w:val="clear" w:color="auto" w:fill="BFBFBF"/>
          </w:tcPr>
          <w:p w:rsidR="00E8309B" w:rsidRDefault="009D0949">
            <w:pPr>
              <w:spacing w:after="0" w:line="259" w:lineRule="auto"/>
              <w:ind w:left="2" w:right="0" w:firstLine="0"/>
              <w:jc w:val="center"/>
            </w:pPr>
            <w:r>
              <w:rPr>
                <w:sz w:val="20"/>
              </w:rPr>
              <w:t xml:space="preserve"> </w:t>
            </w:r>
          </w:p>
        </w:tc>
        <w:tc>
          <w:tcPr>
            <w:tcW w:w="421" w:type="dxa"/>
            <w:tcBorders>
              <w:top w:val="single" w:sz="4" w:space="0" w:color="000000"/>
              <w:left w:val="single" w:sz="4" w:space="0" w:color="000000"/>
              <w:bottom w:val="single" w:sz="4" w:space="0" w:color="000000"/>
              <w:right w:val="single" w:sz="8" w:space="0" w:color="000000"/>
            </w:tcBorders>
            <w:shd w:val="clear" w:color="auto" w:fill="BFBFBF"/>
          </w:tcPr>
          <w:p w:rsidR="00E8309B" w:rsidRDefault="009D0949">
            <w:pPr>
              <w:spacing w:after="0" w:line="259" w:lineRule="auto"/>
              <w:ind w:left="4" w:right="0" w:firstLine="0"/>
              <w:jc w:val="center"/>
            </w:pPr>
            <w:r>
              <w:rPr>
                <w:sz w:val="20"/>
              </w:rPr>
              <w:t xml:space="preserve"> </w:t>
            </w:r>
          </w:p>
        </w:tc>
        <w:tc>
          <w:tcPr>
            <w:tcW w:w="424" w:type="dxa"/>
            <w:tcBorders>
              <w:top w:val="single" w:sz="4" w:space="0" w:color="000000"/>
              <w:left w:val="single" w:sz="8" w:space="0" w:color="000000"/>
              <w:bottom w:val="single" w:sz="4" w:space="0" w:color="000000"/>
              <w:right w:val="single" w:sz="4" w:space="0" w:color="000000"/>
            </w:tcBorders>
            <w:shd w:val="clear" w:color="auto" w:fill="BFBFBF"/>
          </w:tcPr>
          <w:p w:rsidR="00E8309B" w:rsidRDefault="009D0949">
            <w:pPr>
              <w:spacing w:after="0" w:line="259" w:lineRule="auto"/>
              <w:ind w:left="4" w:right="0" w:firstLine="0"/>
              <w:jc w:val="center"/>
            </w:pPr>
            <w:r>
              <w:rPr>
                <w:sz w:val="20"/>
              </w:rPr>
              <w:t xml:space="preserve"> </w:t>
            </w:r>
          </w:p>
        </w:tc>
        <w:tc>
          <w:tcPr>
            <w:tcW w:w="422" w:type="dxa"/>
            <w:tcBorders>
              <w:top w:val="single" w:sz="4" w:space="0" w:color="000000"/>
              <w:left w:val="single" w:sz="4" w:space="0" w:color="000000"/>
              <w:bottom w:val="single" w:sz="4" w:space="0" w:color="000000"/>
              <w:right w:val="single" w:sz="4" w:space="0" w:color="000000"/>
            </w:tcBorders>
            <w:shd w:val="clear" w:color="auto" w:fill="BFBFBF"/>
          </w:tcPr>
          <w:p w:rsidR="00E8309B" w:rsidRDefault="009D0949">
            <w:pPr>
              <w:spacing w:after="0" w:line="259" w:lineRule="auto"/>
              <w:ind w:left="2" w:right="0" w:firstLine="0"/>
              <w:jc w:val="center"/>
            </w:pPr>
            <w:r>
              <w:rPr>
                <w:sz w:val="20"/>
              </w:rPr>
              <w:t xml:space="preserve"> </w:t>
            </w:r>
          </w:p>
        </w:tc>
        <w:tc>
          <w:tcPr>
            <w:tcW w:w="421" w:type="dxa"/>
            <w:tcBorders>
              <w:top w:val="single" w:sz="4" w:space="0" w:color="000000"/>
              <w:left w:val="single" w:sz="4" w:space="0" w:color="000000"/>
              <w:bottom w:val="single" w:sz="4" w:space="0" w:color="000000"/>
              <w:right w:val="single" w:sz="4" w:space="0" w:color="000000"/>
            </w:tcBorders>
            <w:shd w:val="clear" w:color="auto" w:fill="BFBFBF"/>
          </w:tcPr>
          <w:p w:rsidR="00E8309B" w:rsidRDefault="009D0949">
            <w:pPr>
              <w:spacing w:after="0" w:line="259" w:lineRule="auto"/>
              <w:ind w:left="4" w:right="0" w:firstLine="0"/>
              <w:jc w:val="center"/>
            </w:pPr>
            <w:r>
              <w:rPr>
                <w:sz w:val="20"/>
              </w:rPr>
              <w:t xml:space="preserve"> </w:t>
            </w:r>
          </w:p>
        </w:tc>
        <w:tc>
          <w:tcPr>
            <w:tcW w:w="422" w:type="dxa"/>
            <w:tcBorders>
              <w:top w:val="single" w:sz="4" w:space="0" w:color="000000"/>
              <w:left w:val="single" w:sz="4" w:space="0" w:color="000000"/>
              <w:bottom w:val="single" w:sz="4" w:space="0" w:color="000000"/>
              <w:right w:val="single" w:sz="4" w:space="0" w:color="000000"/>
            </w:tcBorders>
            <w:shd w:val="clear" w:color="auto" w:fill="BFBFBF"/>
          </w:tcPr>
          <w:p w:rsidR="00E8309B" w:rsidRDefault="009D0949">
            <w:pPr>
              <w:spacing w:after="0" w:line="259" w:lineRule="auto"/>
              <w:ind w:left="5" w:right="0" w:firstLine="0"/>
              <w:jc w:val="center"/>
            </w:pPr>
            <w:r>
              <w:rPr>
                <w:sz w:val="20"/>
              </w:rPr>
              <w:t xml:space="preserve"> </w:t>
            </w:r>
          </w:p>
        </w:tc>
      </w:tr>
      <w:tr w:rsidR="00E8309B">
        <w:trPr>
          <w:trHeight w:val="469"/>
        </w:trPr>
        <w:tc>
          <w:tcPr>
            <w:tcW w:w="427" w:type="dxa"/>
            <w:tcBorders>
              <w:top w:val="single" w:sz="4" w:space="0" w:color="000000"/>
              <w:left w:val="single" w:sz="4" w:space="0" w:color="000000"/>
              <w:bottom w:val="single" w:sz="4" w:space="0" w:color="000000"/>
              <w:right w:val="single" w:sz="8" w:space="0" w:color="000000"/>
            </w:tcBorders>
          </w:tcPr>
          <w:p w:rsidR="00E8309B" w:rsidRDefault="009D0949">
            <w:pPr>
              <w:spacing w:after="0" w:line="259" w:lineRule="auto"/>
              <w:ind w:left="0" w:right="51" w:firstLine="0"/>
              <w:jc w:val="right"/>
            </w:pPr>
            <w:r>
              <w:rPr>
                <w:sz w:val="20"/>
              </w:rPr>
              <w:t xml:space="preserve">7 </w:t>
            </w:r>
          </w:p>
        </w:tc>
        <w:tc>
          <w:tcPr>
            <w:tcW w:w="4123" w:type="dxa"/>
            <w:tcBorders>
              <w:top w:val="single" w:sz="4" w:space="0" w:color="000000"/>
              <w:left w:val="single" w:sz="8" w:space="0" w:color="000000"/>
              <w:bottom w:val="single" w:sz="4" w:space="0" w:color="000000"/>
              <w:right w:val="single" w:sz="8" w:space="0" w:color="000000"/>
            </w:tcBorders>
          </w:tcPr>
          <w:p w:rsidR="00E8309B" w:rsidRDefault="009D0949">
            <w:pPr>
              <w:spacing w:after="0" w:line="259" w:lineRule="auto"/>
              <w:ind w:left="0" w:right="0" w:firstLine="0"/>
              <w:jc w:val="left"/>
            </w:pPr>
            <w:r>
              <w:rPr>
                <w:sz w:val="20"/>
              </w:rPr>
              <w:t xml:space="preserve">Креирање услуга (животни догађај и бизнис епизода) </w:t>
            </w:r>
          </w:p>
        </w:tc>
        <w:tc>
          <w:tcPr>
            <w:tcW w:w="419" w:type="dxa"/>
            <w:tcBorders>
              <w:top w:val="single" w:sz="4" w:space="0" w:color="000000"/>
              <w:left w:val="single" w:sz="8"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1" w:right="0" w:firstLine="0"/>
              <w:jc w:val="center"/>
            </w:pPr>
            <w:r>
              <w:rPr>
                <w:sz w:val="20"/>
              </w:rPr>
              <w:t xml:space="preserve"> </w:t>
            </w:r>
          </w:p>
        </w:tc>
        <w:tc>
          <w:tcPr>
            <w:tcW w:w="421"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1" w:right="0" w:firstLine="0"/>
              <w:jc w:val="center"/>
            </w:pPr>
            <w:r>
              <w:rPr>
                <w:sz w:val="20"/>
              </w:rPr>
              <w:t xml:space="preserve"> </w:t>
            </w:r>
          </w:p>
        </w:tc>
        <w:tc>
          <w:tcPr>
            <w:tcW w:w="422"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2" w:right="0" w:firstLine="0"/>
              <w:jc w:val="center"/>
            </w:pPr>
            <w:r>
              <w:rPr>
                <w:sz w:val="20"/>
              </w:rPr>
              <w:t xml:space="preserve"> </w:t>
            </w:r>
          </w:p>
        </w:tc>
        <w:tc>
          <w:tcPr>
            <w:tcW w:w="421" w:type="dxa"/>
            <w:tcBorders>
              <w:top w:val="single" w:sz="4" w:space="0" w:color="000000"/>
              <w:left w:val="single" w:sz="4" w:space="0" w:color="000000"/>
              <w:bottom w:val="single" w:sz="4" w:space="0" w:color="000000"/>
              <w:right w:val="single" w:sz="8" w:space="0" w:color="000000"/>
            </w:tcBorders>
            <w:shd w:val="clear" w:color="auto" w:fill="BFBFBF"/>
            <w:vAlign w:val="center"/>
          </w:tcPr>
          <w:p w:rsidR="00E8309B" w:rsidRDefault="009D0949">
            <w:pPr>
              <w:spacing w:after="0" w:line="259" w:lineRule="auto"/>
              <w:ind w:left="4" w:right="0" w:firstLine="0"/>
              <w:jc w:val="center"/>
            </w:pPr>
            <w:r>
              <w:rPr>
                <w:sz w:val="20"/>
              </w:rPr>
              <w:t xml:space="preserve"> </w:t>
            </w:r>
          </w:p>
        </w:tc>
        <w:tc>
          <w:tcPr>
            <w:tcW w:w="422" w:type="dxa"/>
            <w:tcBorders>
              <w:top w:val="single" w:sz="4" w:space="0" w:color="000000"/>
              <w:left w:val="single" w:sz="8"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5" w:right="0" w:firstLine="0"/>
              <w:jc w:val="center"/>
            </w:pPr>
            <w:r>
              <w:rPr>
                <w:sz w:val="20"/>
              </w:rPr>
              <w:t xml:space="preserve"> </w:t>
            </w:r>
          </w:p>
        </w:tc>
        <w:tc>
          <w:tcPr>
            <w:tcW w:w="422"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5" w:right="0" w:firstLine="0"/>
              <w:jc w:val="center"/>
            </w:pPr>
            <w:r>
              <w:rPr>
                <w:sz w:val="20"/>
              </w:rPr>
              <w:t xml:space="preserve"> </w:t>
            </w:r>
          </w:p>
        </w:tc>
        <w:tc>
          <w:tcPr>
            <w:tcW w:w="422"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2" w:right="0" w:firstLine="0"/>
              <w:jc w:val="center"/>
            </w:pPr>
            <w:r>
              <w:rPr>
                <w:sz w:val="20"/>
              </w:rPr>
              <w:t xml:space="preserve"> </w:t>
            </w:r>
          </w:p>
        </w:tc>
        <w:tc>
          <w:tcPr>
            <w:tcW w:w="421" w:type="dxa"/>
            <w:tcBorders>
              <w:top w:val="single" w:sz="4" w:space="0" w:color="000000"/>
              <w:left w:val="single" w:sz="4" w:space="0" w:color="000000"/>
              <w:bottom w:val="single" w:sz="4" w:space="0" w:color="000000"/>
              <w:right w:val="single" w:sz="8" w:space="0" w:color="000000"/>
            </w:tcBorders>
            <w:shd w:val="clear" w:color="auto" w:fill="BFBFBF"/>
            <w:vAlign w:val="center"/>
          </w:tcPr>
          <w:p w:rsidR="00E8309B" w:rsidRDefault="009D0949">
            <w:pPr>
              <w:spacing w:after="0" w:line="259" w:lineRule="auto"/>
              <w:ind w:left="4" w:right="0" w:firstLine="0"/>
              <w:jc w:val="center"/>
            </w:pPr>
            <w:r>
              <w:rPr>
                <w:sz w:val="20"/>
              </w:rPr>
              <w:t xml:space="preserve"> </w:t>
            </w:r>
          </w:p>
        </w:tc>
        <w:tc>
          <w:tcPr>
            <w:tcW w:w="424" w:type="dxa"/>
            <w:tcBorders>
              <w:top w:val="single" w:sz="4" w:space="0" w:color="000000"/>
              <w:left w:val="single" w:sz="8"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4" w:right="0" w:firstLine="0"/>
              <w:jc w:val="center"/>
            </w:pPr>
            <w:r>
              <w:rPr>
                <w:sz w:val="20"/>
              </w:rPr>
              <w:t xml:space="preserve"> </w:t>
            </w:r>
          </w:p>
        </w:tc>
        <w:tc>
          <w:tcPr>
            <w:tcW w:w="422"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2" w:right="0" w:firstLine="0"/>
              <w:jc w:val="center"/>
            </w:pPr>
            <w:r>
              <w:rPr>
                <w:sz w:val="20"/>
              </w:rPr>
              <w:t xml:space="preserve"> </w:t>
            </w:r>
          </w:p>
        </w:tc>
        <w:tc>
          <w:tcPr>
            <w:tcW w:w="421"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4" w:right="0" w:firstLine="0"/>
              <w:jc w:val="center"/>
            </w:pPr>
            <w:r>
              <w:rPr>
                <w:sz w:val="20"/>
              </w:rPr>
              <w:t xml:space="preserve"> </w:t>
            </w:r>
          </w:p>
        </w:tc>
        <w:tc>
          <w:tcPr>
            <w:tcW w:w="422"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5" w:right="0" w:firstLine="0"/>
              <w:jc w:val="center"/>
            </w:pPr>
            <w:r>
              <w:rPr>
                <w:sz w:val="20"/>
              </w:rPr>
              <w:t xml:space="preserve"> </w:t>
            </w:r>
          </w:p>
        </w:tc>
      </w:tr>
    </w:tbl>
    <w:p w:rsidR="00E8309B" w:rsidRDefault="009D0949">
      <w:pPr>
        <w:numPr>
          <w:ilvl w:val="0"/>
          <w:numId w:val="24"/>
        </w:numPr>
        <w:spacing w:after="0" w:line="271" w:lineRule="auto"/>
        <w:ind w:right="9" w:hanging="427"/>
      </w:pPr>
      <w:r>
        <w:rPr>
          <w:b/>
        </w:rPr>
        <w:t xml:space="preserve">Индикатори рeзултата </w:t>
      </w:r>
    </w:p>
    <w:tbl>
      <w:tblPr>
        <w:tblStyle w:val="TableGrid"/>
        <w:tblW w:w="9635" w:type="dxa"/>
        <w:tblInd w:w="5" w:type="dxa"/>
        <w:tblCellMar>
          <w:top w:w="37" w:type="dxa"/>
          <w:left w:w="110" w:type="dxa"/>
          <w:bottom w:w="0" w:type="dxa"/>
          <w:right w:w="56" w:type="dxa"/>
        </w:tblCellMar>
        <w:tblLook w:val="04A0" w:firstRow="1" w:lastRow="0" w:firstColumn="1" w:lastColumn="0" w:noHBand="0" w:noVBand="1"/>
      </w:tblPr>
      <w:tblGrid>
        <w:gridCol w:w="4107"/>
        <w:gridCol w:w="1841"/>
        <w:gridCol w:w="1844"/>
        <w:gridCol w:w="1843"/>
      </w:tblGrid>
      <w:tr w:rsidR="00E8309B">
        <w:trPr>
          <w:trHeight w:val="470"/>
        </w:trPr>
        <w:tc>
          <w:tcPr>
            <w:tcW w:w="4107"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0" w:right="0" w:firstLine="0"/>
              <w:jc w:val="left"/>
            </w:pPr>
            <w:r>
              <w:rPr>
                <w:b/>
                <w:sz w:val="20"/>
              </w:rPr>
              <w:t xml:space="preserve">Показатељ </w:t>
            </w:r>
          </w:p>
        </w:tc>
        <w:tc>
          <w:tcPr>
            <w:tcW w:w="1841"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44" w:right="49" w:firstLine="0"/>
              <w:jc w:val="right"/>
            </w:pPr>
            <w:r>
              <w:rPr>
                <w:b/>
                <w:sz w:val="20"/>
              </w:rPr>
              <w:t xml:space="preserve">Почетна вредност 2018) </w:t>
            </w:r>
          </w:p>
        </w:tc>
        <w:tc>
          <w:tcPr>
            <w:tcW w:w="1844"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50" w:firstLine="0"/>
              <w:jc w:val="right"/>
            </w:pPr>
            <w:r>
              <w:rPr>
                <w:b/>
                <w:sz w:val="20"/>
              </w:rPr>
              <w:t xml:space="preserve">Међурезултат (2020) </w:t>
            </w:r>
          </w:p>
        </w:tc>
        <w:tc>
          <w:tcPr>
            <w:tcW w:w="1843"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49" w:firstLine="0"/>
              <w:jc w:val="right"/>
            </w:pPr>
            <w:r>
              <w:rPr>
                <w:b/>
                <w:sz w:val="20"/>
              </w:rPr>
              <w:t xml:space="preserve">Циљна вредност (2022) </w:t>
            </w:r>
          </w:p>
        </w:tc>
      </w:tr>
      <w:tr w:rsidR="00E8309B">
        <w:trPr>
          <w:trHeight w:val="471"/>
        </w:trPr>
        <w:tc>
          <w:tcPr>
            <w:tcW w:w="4107"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0" w:firstLine="0"/>
            </w:pPr>
            <w:r>
              <w:rPr>
                <w:sz w:val="20"/>
              </w:rPr>
              <w:t>Удео административног оптерећења за грађане и привреду у БДП-у</w:t>
            </w:r>
            <w:r>
              <w:rPr>
                <w:b/>
                <w:sz w:val="20"/>
              </w:rPr>
              <w:t xml:space="preserve"> </w:t>
            </w:r>
          </w:p>
        </w:tc>
        <w:tc>
          <w:tcPr>
            <w:tcW w:w="1841"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0" w:right="50" w:firstLine="0"/>
              <w:jc w:val="right"/>
            </w:pPr>
            <w:r>
              <w:rPr>
                <w:sz w:val="20"/>
              </w:rPr>
              <w:t xml:space="preserve">3,1% </w:t>
            </w:r>
          </w:p>
        </w:tc>
        <w:tc>
          <w:tcPr>
            <w:tcW w:w="1844"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0" w:right="50" w:firstLine="0"/>
              <w:jc w:val="right"/>
            </w:pPr>
            <w:r>
              <w:rPr>
                <w:sz w:val="20"/>
              </w:rPr>
              <w:t xml:space="preserve">3,0% </w:t>
            </w:r>
          </w:p>
        </w:tc>
        <w:tc>
          <w:tcPr>
            <w:tcW w:w="1843"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0" w:right="50" w:firstLine="0"/>
              <w:jc w:val="right"/>
            </w:pPr>
            <w:r>
              <w:rPr>
                <w:sz w:val="20"/>
              </w:rPr>
              <w:t xml:space="preserve">2,9% </w:t>
            </w:r>
          </w:p>
        </w:tc>
      </w:tr>
      <w:tr w:rsidR="00E8309B">
        <w:trPr>
          <w:trHeight w:val="746"/>
        </w:trPr>
        <w:tc>
          <w:tcPr>
            <w:tcW w:w="4107"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0" w:firstLine="0"/>
              <w:jc w:val="left"/>
            </w:pPr>
            <w:r>
              <w:rPr>
                <w:sz w:val="20"/>
              </w:rPr>
              <w:t xml:space="preserve">Успостављен Регистар административних поступака </w:t>
            </w:r>
          </w:p>
        </w:tc>
        <w:tc>
          <w:tcPr>
            <w:tcW w:w="1841"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50" w:firstLine="0"/>
              <w:jc w:val="right"/>
            </w:pPr>
            <w:r>
              <w:rPr>
                <w:sz w:val="20"/>
              </w:rPr>
              <w:t xml:space="preserve">Не </w:t>
            </w:r>
          </w:p>
        </w:tc>
        <w:tc>
          <w:tcPr>
            <w:tcW w:w="1844"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50" w:firstLine="12"/>
              <w:jc w:val="right"/>
            </w:pPr>
            <w:r>
              <w:rPr>
                <w:sz w:val="16"/>
              </w:rPr>
              <w:t xml:space="preserve">Израђена релациона база административних поступака за привреду </w:t>
            </w:r>
          </w:p>
        </w:tc>
        <w:tc>
          <w:tcPr>
            <w:tcW w:w="1843"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48" w:firstLine="0"/>
              <w:jc w:val="right"/>
            </w:pPr>
            <w:r>
              <w:rPr>
                <w:sz w:val="16"/>
              </w:rPr>
              <w:t xml:space="preserve">Јавно доступне информације о 2.400 административних поступака </w:t>
            </w:r>
          </w:p>
        </w:tc>
      </w:tr>
    </w:tbl>
    <w:p w:rsidR="00E8309B" w:rsidRDefault="009D0949">
      <w:pPr>
        <w:numPr>
          <w:ilvl w:val="0"/>
          <w:numId w:val="24"/>
        </w:numPr>
        <w:spacing w:after="127" w:line="271" w:lineRule="auto"/>
        <w:ind w:right="9" w:hanging="427"/>
      </w:pPr>
      <w:r>
        <w:rPr>
          <w:b/>
        </w:rPr>
        <w:t xml:space="preserve">Очекивани утицај на конкурентност </w:t>
      </w:r>
    </w:p>
    <w:p w:rsidR="00E8309B" w:rsidRDefault="009D0949">
      <w:pPr>
        <w:spacing w:after="161"/>
        <w:ind w:left="-5" w:right="17"/>
      </w:pPr>
      <w:r>
        <w:t>Очекује се смањење административних трошкова за привреду за 15-</w:t>
      </w:r>
      <w:r>
        <w:t>20%, а на основу анализе и предлога за поједностављење и оптимизацију, као и евентуално укидање најмање 50% најучесталијих и најскупљих административних поступака. Позитиван утицај на конкурентност ће се остварити и успостављањем Регистра са свим потребним</w:t>
      </w:r>
      <w:r>
        <w:t xml:space="preserve"> информацијама за привреду у поступцима пред јавном управом чиме се ствара сигурније, транспарентније и предвидљивије пословно окружење. Све потребне информације за пословање доступне на једном месту, омогућиће уштеде у времену и новцу и елиминисаће просто</w:t>
      </w:r>
      <w:r>
        <w:t xml:space="preserve">р за корупцију, а уједно повећати атрактивности Србије као дестинације за инвестирање.  </w:t>
      </w:r>
    </w:p>
    <w:p w:rsidR="00E8309B" w:rsidRDefault="009D0949">
      <w:pPr>
        <w:numPr>
          <w:ilvl w:val="0"/>
          <w:numId w:val="24"/>
        </w:numPr>
        <w:spacing w:after="79" w:line="271" w:lineRule="auto"/>
        <w:ind w:right="9" w:hanging="427"/>
      </w:pPr>
      <w:r>
        <w:rPr>
          <w:b/>
        </w:rPr>
        <w:t xml:space="preserve">Процењени трошкови спровођења структурне реформе и предвиђени извори њиховог финансирања </w:t>
      </w:r>
    </w:p>
    <w:p w:rsidR="00E8309B" w:rsidRDefault="009D0949">
      <w:pPr>
        <w:spacing w:after="161"/>
        <w:ind w:left="-5" w:right="17"/>
      </w:pPr>
      <w:r>
        <w:t xml:space="preserve">Спровођење реформе ће највећим делом бити финансирано донаторским средствима </w:t>
      </w:r>
      <w:r>
        <w:t>Европске уније, кроз четворогодишњи ИПА пројекат који спроводи Светска банка. За наведене активности је издвојен износ од укупно  3,11 милиона евра. У оквиру овог ЕРП циклуса, за попис административних захтева планирана су средства у износу од 360 хиљада е</w:t>
      </w:r>
      <w:r>
        <w:t>вра, за оптимизацију поступака 210 хиљада евра, за  дигитализацију административних поступака и унапређење регистра административних поступака 2,12 милиона евра, и креирање јавних услуга по принципу business episodeses 40 хиљада евра. Из буџета Републике С</w:t>
      </w:r>
      <w:r>
        <w:t>рбије нису планирана средства за наведене активности.</w:t>
      </w:r>
      <w:r>
        <w:rPr>
          <w:i/>
        </w:rPr>
        <w:t xml:space="preserve"> </w:t>
      </w:r>
    </w:p>
    <w:p w:rsidR="00E8309B" w:rsidRDefault="009D0949">
      <w:pPr>
        <w:numPr>
          <w:ilvl w:val="0"/>
          <w:numId w:val="24"/>
        </w:numPr>
        <w:spacing w:after="79" w:line="271" w:lineRule="auto"/>
        <w:ind w:right="9" w:hanging="427"/>
      </w:pPr>
      <w:r>
        <w:rPr>
          <w:b/>
        </w:rPr>
        <w:t xml:space="preserve">Очекивани утицај на социјалне циљеве, као што су запосленост, смањење сиромаштва, једнакост и род </w:t>
      </w:r>
    </w:p>
    <w:p w:rsidR="00E8309B" w:rsidRDefault="009D0949">
      <w:pPr>
        <w:spacing w:after="159"/>
        <w:ind w:left="-5" w:right="17"/>
      </w:pPr>
      <w:r>
        <w:t>Очекује се индиректни ефекат на повећање запослености јер ће се смањити трошкови за привреду у погледу</w:t>
      </w:r>
      <w:r>
        <w:t xml:space="preserve"> административних баријера и остварити уштеде које могу да утичу на отварање нових радних места. Директан утицај на родни аспект се не може очекивати, јер је реформа родно неутрална. </w:t>
      </w:r>
    </w:p>
    <w:p w:rsidR="00E8309B" w:rsidRDefault="009D0949">
      <w:pPr>
        <w:numPr>
          <w:ilvl w:val="0"/>
          <w:numId w:val="24"/>
        </w:numPr>
        <w:spacing w:after="79" w:line="271" w:lineRule="auto"/>
        <w:ind w:right="9" w:hanging="427"/>
      </w:pPr>
      <w:r>
        <w:rPr>
          <w:b/>
        </w:rPr>
        <w:lastRenderedPageBreak/>
        <w:t xml:space="preserve">Очекивани утицај на животну средину </w:t>
      </w:r>
    </w:p>
    <w:p w:rsidR="00E8309B" w:rsidRDefault="009D0949">
      <w:pPr>
        <w:spacing w:after="155"/>
        <w:ind w:left="-5" w:right="17"/>
      </w:pPr>
      <w:r>
        <w:t>Оптимизацијом и дигитализацијом адм</w:t>
      </w:r>
      <w:r>
        <w:t xml:space="preserve">инистративних поступака значајно се смањује употреба докумената у папирном облику, што ће имати позитиван утицај на заштиту животне средине. </w:t>
      </w:r>
    </w:p>
    <w:p w:rsidR="00E8309B" w:rsidRDefault="009D0949">
      <w:pPr>
        <w:numPr>
          <w:ilvl w:val="0"/>
          <w:numId w:val="24"/>
        </w:numPr>
        <w:spacing w:after="0" w:line="271" w:lineRule="auto"/>
        <w:ind w:right="9" w:hanging="427"/>
      </w:pPr>
      <w:r>
        <w:rPr>
          <w:b/>
        </w:rPr>
        <w:t xml:space="preserve">Потенцијални ризици </w:t>
      </w:r>
    </w:p>
    <w:tbl>
      <w:tblPr>
        <w:tblStyle w:val="TableGrid"/>
        <w:tblW w:w="9696" w:type="dxa"/>
        <w:tblInd w:w="0" w:type="dxa"/>
        <w:tblCellMar>
          <w:top w:w="46" w:type="dxa"/>
          <w:left w:w="108" w:type="dxa"/>
          <w:bottom w:w="0" w:type="dxa"/>
          <w:right w:w="115" w:type="dxa"/>
        </w:tblCellMar>
        <w:tblLook w:val="04A0" w:firstRow="1" w:lastRow="0" w:firstColumn="1" w:lastColumn="0" w:noHBand="0" w:noVBand="1"/>
      </w:tblPr>
      <w:tblGrid>
        <w:gridCol w:w="3330"/>
        <w:gridCol w:w="2201"/>
        <w:gridCol w:w="4165"/>
      </w:tblGrid>
      <w:tr w:rsidR="00E8309B">
        <w:trPr>
          <w:trHeight w:val="470"/>
        </w:trPr>
        <w:tc>
          <w:tcPr>
            <w:tcW w:w="3330"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0" w:right="0" w:firstLine="0"/>
              <w:jc w:val="left"/>
            </w:pPr>
            <w:r>
              <w:rPr>
                <w:b/>
                <w:sz w:val="20"/>
              </w:rPr>
              <w:t xml:space="preserve">Ризик </w:t>
            </w:r>
          </w:p>
        </w:tc>
        <w:tc>
          <w:tcPr>
            <w:tcW w:w="2201"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2" w:right="0" w:firstLine="0"/>
              <w:jc w:val="left"/>
            </w:pPr>
            <w:r>
              <w:rPr>
                <w:b/>
                <w:sz w:val="20"/>
              </w:rPr>
              <w:t xml:space="preserve">Вероватноћа за остваривање ризика </w:t>
            </w:r>
          </w:p>
        </w:tc>
        <w:tc>
          <w:tcPr>
            <w:tcW w:w="4165"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0" w:firstLine="0"/>
              <w:jc w:val="left"/>
            </w:pPr>
            <w:r>
              <w:rPr>
                <w:b/>
                <w:sz w:val="20"/>
              </w:rPr>
              <w:t xml:space="preserve">Активност за ублажавање негативних ефеката ризика </w:t>
            </w:r>
          </w:p>
        </w:tc>
      </w:tr>
      <w:tr w:rsidR="00E8309B">
        <w:trPr>
          <w:trHeight w:val="470"/>
        </w:trPr>
        <w:tc>
          <w:tcPr>
            <w:tcW w:w="3330"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0" w:firstLine="0"/>
              <w:jc w:val="left"/>
            </w:pPr>
            <w:r>
              <w:rPr>
                <w:sz w:val="20"/>
              </w:rPr>
              <w:t xml:space="preserve">Кашњење пројекта за повезивање Регистра са ЈЕКТ-ом </w:t>
            </w:r>
          </w:p>
        </w:tc>
        <w:tc>
          <w:tcPr>
            <w:tcW w:w="2201"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2" w:right="0" w:firstLine="0"/>
              <w:jc w:val="left"/>
            </w:pPr>
            <w:r>
              <w:rPr>
                <w:sz w:val="20"/>
              </w:rPr>
              <w:t xml:space="preserve">Средња </w:t>
            </w:r>
          </w:p>
        </w:tc>
        <w:tc>
          <w:tcPr>
            <w:tcW w:w="4165"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0" w:firstLine="0"/>
              <w:jc w:val="left"/>
            </w:pPr>
            <w:r>
              <w:rPr>
                <w:sz w:val="20"/>
              </w:rPr>
              <w:t xml:space="preserve">Доступност података из Регистра преко Портала еУправа </w:t>
            </w:r>
          </w:p>
        </w:tc>
      </w:tr>
    </w:tbl>
    <w:p w:rsidR="00E8309B" w:rsidRDefault="009D0949">
      <w:pPr>
        <w:spacing w:after="156"/>
        <w:ind w:left="-5" w:right="17"/>
      </w:pPr>
      <w:r>
        <w:rPr>
          <w:b/>
          <w:u w:val="single" w:color="000000"/>
        </w:rPr>
        <w:t>СТРУКТУРНА РЕФОРМА 10:</w:t>
      </w:r>
      <w:r>
        <w:rPr>
          <w:b/>
        </w:rPr>
        <w:t xml:space="preserve"> </w:t>
      </w:r>
      <w:r>
        <w:t xml:space="preserve">ТРАНСФОРМАЦИЈА ПОРЕСКЕ УПРАВЕ  </w:t>
      </w:r>
    </w:p>
    <w:p w:rsidR="00E8309B" w:rsidRDefault="009D0949">
      <w:pPr>
        <w:numPr>
          <w:ilvl w:val="0"/>
          <w:numId w:val="25"/>
        </w:numPr>
        <w:spacing w:after="79" w:line="271" w:lineRule="auto"/>
        <w:ind w:right="9" w:hanging="360"/>
      </w:pPr>
      <w:r>
        <w:rPr>
          <w:b/>
        </w:rPr>
        <w:t xml:space="preserve">Опис структурне реформе </w:t>
      </w:r>
    </w:p>
    <w:p w:rsidR="00E8309B" w:rsidRDefault="009D0949">
      <w:pPr>
        <w:ind w:left="-5" w:right="17"/>
      </w:pPr>
      <w:r>
        <w:t xml:space="preserve">Оквир за почетак реформе Пореске управе (ПУРС) дефинисан је </w:t>
      </w:r>
      <w:r>
        <w:rPr>
          <w:i/>
        </w:rPr>
        <w:t>Програмом трансформације за период 2015-2020. године и Акционим планом за период 2018-2023. године</w:t>
      </w:r>
      <w:r>
        <w:t>. Извршено је организационо раздвајање основних од споредних активности ПУРС средином 2019. године</w:t>
      </w:r>
      <w:r>
        <w:t>. Јачање реформских напора, фокус на значајне структурне промене и јачање административних капацитета врши се у циљу обезбеђивања предвидивих јавних прихода централног буџета Републике Србије. Главни циљ реформе је да ПУРС постане организација коју каракте</w:t>
      </w:r>
      <w:r>
        <w:t>рише модерно дигитално пословање, да буде администрација оријентисана ка пружању услуга пореским обвезницима, да се услуге пружају у складу са најбољим међународним стандардима, да има анализу ризика која омогућава да ПУРС ефикасно користи своје расположив</w:t>
      </w:r>
      <w:r>
        <w:t>е ресурсе за оптимизацију прикупљања прихода. Унапређено управљање ризицима треба да омогући функцији контроле ефикаснији рад, док редизајнирање техника контроле у складу са међународном праксом, увођење софтвера за е-контролу као и тренинг инспектора у об</w:t>
      </w:r>
      <w:r>
        <w:t xml:space="preserve">ласти међународног опорезивања, треба да допринесу смањењу сиве економије. Реформом се доприноси спровођењу </w:t>
      </w:r>
      <w:r>
        <w:rPr>
          <w:b/>
        </w:rPr>
        <w:t>ЦОР 16.6.</w:t>
      </w:r>
      <w:r>
        <w:t xml:space="preserve"> Развити ефикасне, одговорне и транспарентне институције на свим нивоима, као и </w:t>
      </w:r>
      <w:r>
        <w:rPr>
          <w:b/>
        </w:rPr>
        <w:t>ЦОР 8.</w:t>
      </w:r>
      <w:r>
        <w:t xml:space="preserve"> Промовисати континуиран, инклузиван и одржив економс</w:t>
      </w:r>
      <w:r>
        <w:t xml:space="preserve">ки раст, пуну и продуктивну запосленост и достојанствен рад за све. </w:t>
      </w:r>
    </w:p>
    <w:p w:rsidR="00E8309B" w:rsidRDefault="009D0949">
      <w:pPr>
        <w:spacing w:after="148"/>
        <w:ind w:left="-5" w:right="17"/>
      </w:pPr>
      <w:r>
        <w:t xml:space="preserve">Тренутно је у процесу израде нови Програм трансформације Пореске управе за период од 2021-2025. године. </w:t>
      </w:r>
    </w:p>
    <w:p w:rsidR="00E8309B" w:rsidRDefault="009D0949">
      <w:pPr>
        <w:numPr>
          <w:ilvl w:val="0"/>
          <w:numId w:val="25"/>
        </w:numPr>
        <w:spacing w:after="79" w:line="271" w:lineRule="auto"/>
        <w:ind w:right="9" w:hanging="360"/>
      </w:pPr>
      <w:r>
        <w:rPr>
          <w:b/>
        </w:rPr>
        <w:t xml:space="preserve">Ковид-19 – ефекти, мере и изазови </w:t>
      </w:r>
    </w:p>
    <w:p w:rsidR="00E8309B" w:rsidRDefault="009D0949">
      <w:pPr>
        <w:spacing w:after="6"/>
        <w:ind w:left="-5" w:right="17"/>
      </w:pPr>
      <w:r>
        <w:t>Влада РС је усвојила Уредбу о пореским мерама з</w:t>
      </w:r>
      <w:r>
        <w:t>а време ванредног стања ради ублажавања економских последица насталих услед пандемије Ковид-19, којом је прописано да ПУРС неће за време трајања ванредног стања по службеној дужности укинути решењa о одлагању плаћања дугованог пореза и неће спроводити пост</w:t>
      </w:r>
      <w:r>
        <w:t xml:space="preserve">упак принудне наплате, при чему се у наведеном периоду не обрачунава камата. </w:t>
      </w:r>
      <w:r>
        <w:rPr>
          <w:b/>
        </w:rPr>
        <w:t>3.</w:t>
      </w:r>
      <w:r>
        <w:rPr>
          <w:rFonts w:ascii="Arial" w:eastAsia="Arial" w:hAnsi="Arial" w:cs="Arial"/>
          <w:b/>
        </w:rPr>
        <w:t xml:space="preserve"> </w:t>
      </w:r>
      <w:r>
        <w:rPr>
          <w:b/>
        </w:rPr>
        <w:t xml:space="preserve">Планиране активности по годинама </w:t>
      </w:r>
    </w:p>
    <w:tbl>
      <w:tblPr>
        <w:tblStyle w:val="TableGrid"/>
        <w:tblW w:w="9610" w:type="dxa"/>
        <w:tblInd w:w="10" w:type="dxa"/>
        <w:tblCellMar>
          <w:top w:w="9" w:type="dxa"/>
          <w:left w:w="58" w:type="dxa"/>
          <w:bottom w:w="0" w:type="dxa"/>
          <w:right w:w="8" w:type="dxa"/>
        </w:tblCellMar>
        <w:tblLook w:val="04A0" w:firstRow="1" w:lastRow="0" w:firstColumn="1" w:lastColumn="0" w:noHBand="0" w:noVBand="1"/>
      </w:tblPr>
      <w:tblGrid>
        <w:gridCol w:w="427"/>
        <w:gridCol w:w="4123"/>
        <w:gridCol w:w="419"/>
        <w:gridCol w:w="421"/>
        <w:gridCol w:w="422"/>
        <w:gridCol w:w="421"/>
        <w:gridCol w:w="424"/>
        <w:gridCol w:w="421"/>
        <w:gridCol w:w="423"/>
        <w:gridCol w:w="420"/>
        <w:gridCol w:w="424"/>
        <w:gridCol w:w="422"/>
        <w:gridCol w:w="422"/>
        <w:gridCol w:w="420"/>
      </w:tblGrid>
      <w:tr w:rsidR="00E8309B">
        <w:trPr>
          <w:trHeight w:val="331"/>
        </w:trPr>
        <w:tc>
          <w:tcPr>
            <w:tcW w:w="427" w:type="dxa"/>
            <w:vMerge w:val="restart"/>
            <w:tcBorders>
              <w:top w:val="single" w:sz="8" w:space="0" w:color="000000"/>
              <w:left w:val="single" w:sz="8" w:space="0" w:color="000000"/>
              <w:bottom w:val="single" w:sz="8" w:space="0" w:color="000000"/>
              <w:right w:val="single" w:sz="8" w:space="0" w:color="000000"/>
            </w:tcBorders>
            <w:vAlign w:val="center"/>
          </w:tcPr>
          <w:p w:rsidR="00E8309B" w:rsidRDefault="009D0949">
            <w:pPr>
              <w:spacing w:after="0" w:line="259" w:lineRule="auto"/>
              <w:ind w:left="29" w:right="0" w:firstLine="0"/>
            </w:pPr>
            <w:r>
              <w:rPr>
                <w:b/>
                <w:sz w:val="20"/>
              </w:rPr>
              <w:t xml:space="preserve">РБ </w:t>
            </w:r>
          </w:p>
        </w:tc>
        <w:tc>
          <w:tcPr>
            <w:tcW w:w="4123" w:type="dxa"/>
            <w:vMerge w:val="restart"/>
            <w:tcBorders>
              <w:top w:val="single" w:sz="8" w:space="0" w:color="000000"/>
              <w:left w:val="single" w:sz="8" w:space="0" w:color="000000"/>
              <w:bottom w:val="single" w:sz="8" w:space="0" w:color="000000"/>
              <w:right w:val="single" w:sz="8" w:space="0" w:color="000000"/>
            </w:tcBorders>
            <w:vAlign w:val="center"/>
          </w:tcPr>
          <w:p w:rsidR="00E8309B" w:rsidRDefault="009D0949">
            <w:pPr>
              <w:spacing w:after="0" w:line="259" w:lineRule="auto"/>
              <w:ind w:left="0" w:right="0" w:firstLine="0"/>
              <w:jc w:val="left"/>
            </w:pPr>
            <w:r>
              <w:rPr>
                <w:b/>
                <w:sz w:val="20"/>
              </w:rPr>
              <w:t xml:space="preserve">Планиране активности </w:t>
            </w:r>
          </w:p>
        </w:tc>
        <w:tc>
          <w:tcPr>
            <w:tcW w:w="419" w:type="dxa"/>
            <w:tcBorders>
              <w:top w:val="single" w:sz="8" w:space="0" w:color="000000"/>
              <w:left w:val="single" w:sz="8" w:space="0" w:color="000000"/>
              <w:bottom w:val="single" w:sz="4" w:space="0" w:color="000000"/>
              <w:right w:val="nil"/>
            </w:tcBorders>
          </w:tcPr>
          <w:p w:rsidR="00E8309B" w:rsidRDefault="00E8309B">
            <w:pPr>
              <w:spacing w:after="160" w:line="259" w:lineRule="auto"/>
              <w:ind w:left="0" w:right="0" w:firstLine="0"/>
              <w:jc w:val="left"/>
            </w:pPr>
          </w:p>
        </w:tc>
        <w:tc>
          <w:tcPr>
            <w:tcW w:w="844" w:type="dxa"/>
            <w:gridSpan w:val="2"/>
            <w:tcBorders>
              <w:top w:val="single" w:sz="8" w:space="0" w:color="000000"/>
              <w:left w:val="nil"/>
              <w:bottom w:val="single" w:sz="4" w:space="0" w:color="000000"/>
              <w:right w:val="nil"/>
            </w:tcBorders>
          </w:tcPr>
          <w:p w:rsidR="00E8309B" w:rsidRDefault="009D0949">
            <w:pPr>
              <w:spacing w:after="0" w:line="259" w:lineRule="auto"/>
              <w:ind w:left="0" w:right="45" w:firstLine="0"/>
              <w:jc w:val="center"/>
            </w:pPr>
            <w:r>
              <w:rPr>
                <w:b/>
                <w:sz w:val="20"/>
              </w:rPr>
              <w:t xml:space="preserve">2021 </w:t>
            </w:r>
          </w:p>
        </w:tc>
        <w:tc>
          <w:tcPr>
            <w:tcW w:w="421" w:type="dxa"/>
            <w:tcBorders>
              <w:top w:val="single" w:sz="8" w:space="0" w:color="000000"/>
              <w:left w:val="nil"/>
              <w:bottom w:val="single" w:sz="4" w:space="0" w:color="000000"/>
              <w:right w:val="single" w:sz="8" w:space="0" w:color="000000"/>
            </w:tcBorders>
          </w:tcPr>
          <w:p w:rsidR="00E8309B" w:rsidRDefault="00E8309B">
            <w:pPr>
              <w:spacing w:after="160" w:line="259" w:lineRule="auto"/>
              <w:ind w:left="0" w:right="0" w:firstLine="0"/>
              <w:jc w:val="left"/>
            </w:pPr>
          </w:p>
        </w:tc>
        <w:tc>
          <w:tcPr>
            <w:tcW w:w="424" w:type="dxa"/>
            <w:tcBorders>
              <w:top w:val="single" w:sz="8" w:space="0" w:color="000000"/>
              <w:left w:val="single" w:sz="8" w:space="0" w:color="000000"/>
              <w:bottom w:val="single" w:sz="4" w:space="0" w:color="000000"/>
              <w:right w:val="nil"/>
            </w:tcBorders>
          </w:tcPr>
          <w:p w:rsidR="00E8309B" w:rsidRDefault="00E8309B">
            <w:pPr>
              <w:spacing w:after="160" w:line="259" w:lineRule="auto"/>
              <w:ind w:left="0" w:right="0" w:firstLine="0"/>
              <w:jc w:val="left"/>
            </w:pPr>
          </w:p>
        </w:tc>
        <w:tc>
          <w:tcPr>
            <w:tcW w:w="844" w:type="dxa"/>
            <w:gridSpan w:val="2"/>
            <w:tcBorders>
              <w:top w:val="single" w:sz="8" w:space="0" w:color="000000"/>
              <w:left w:val="nil"/>
              <w:bottom w:val="single" w:sz="4" w:space="0" w:color="000000"/>
              <w:right w:val="nil"/>
            </w:tcBorders>
          </w:tcPr>
          <w:p w:rsidR="00E8309B" w:rsidRDefault="009D0949">
            <w:pPr>
              <w:spacing w:after="0" w:line="259" w:lineRule="auto"/>
              <w:ind w:left="0" w:right="48" w:firstLine="0"/>
              <w:jc w:val="center"/>
            </w:pPr>
            <w:r>
              <w:rPr>
                <w:b/>
                <w:sz w:val="20"/>
              </w:rPr>
              <w:t xml:space="preserve">2022 </w:t>
            </w:r>
          </w:p>
        </w:tc>
        <w:tc>
          <w:tcPr>
            <w:tcW w:w="420" w:type="dxa"/>
            <w:tcBorders>
              <w:top w:val="single" w:sz="8" w:space="0" w:color="000000"/>
              <w:left w:val="nil"/>
              <w:bottom w:val="single" w:sz="4" w:space="0" w:color="000000"/>
              <w:right w:val="single" w:sz="8" w:space="0" w:color="000000"/>
            </w:tcBorders>
          </w:tcPr>
          <w:p w:rsidR="00E8309B" w:rsidRDefault="00E8309B">
            <w:pPr>
              <w:spacing w:after="160" w:line="259" w:lineRule="auto"/>
              <w:ind w:left="0" w:right="0" w:firstLine="0"/>
              <w:jc w:val="left"/>
            </w:pPr>
          </w:p>
        </w:tc>
        <w:tc>
          <w:tcPr>
            <w:tcW w:w="424" w:type="dxa"/>
            <w:tcBorders>
              <w:top w:val="single" w:sz="8" w:space="0" w:color="000000"/>
              <w:left w:val="single" w:sz="8" w:space="0" w:color="000000"/>
              <w:bottom w:val="single" w:sz="4" w:space="0" w:color="000000"/>
              <w:right w:val="nil"/>
            </w:tcBorders>
          </w:tcPr>
          <w:p w:rsidR="00E8309B" w:rsidRDefault="00E8309B">
            <w:pPr>
              <w:spacing w:after="160" w:line="259" w:lineRule="auto"/>
              <w:ind w:left="0" w:right="0" w:firstLine="0"/>
              <w:jc w:val="left"/>
            </w:pPr>
          </w:p>
        </w:tc>
        <w:tc>
          <w:tcPr>
            <w:tcW w:w="845" w:type="dxa"/>
            <w:gridSpan w:val="2"/>
            <w:tcBorders>
              <w:top w:val="single" w:sz="8" w:space="0" w:color="000000"/>
              <w:left w:val="nil"/>
              <w:bottom w:val="single" w:sz="4" w:space="0" w:color="000000"/>
              <w:right w:val="nil"/>
            </w:tcBorders>
          </w:tcPr>
          <w:p w:rsidR="00E8309B" w:rsidRDefault="009D0949">
            <w:pPr>
              <w:spacing w:after="0" w:line="259" w:lineRule="auto"/>
              <w:ind w:left="0" w:right="49" w:firstLine="0"/>
              <w:jc w:val="center"/>
            </w:pPr>
            <w:r>
              <w:rPr>
                <w:b/>
                <w:sz w:val="20"/>
              </w:rPr>
              <w:t xml:space="preserve">2023 </w:t>
            </w:r>
          </w:p>
        </w:tc>
        <w:tc>
          <w:tcPr>
            <w:tcW w:w="420" w:type="dxa"/>
            <w:tcBorders>
              <w:top w:val="single" w:sz="8" w:space="0" w:color="000000"/>
              <w:left w:val="nil"/>
              <w:bottom w:val="single" w:sz="4" w:space="0" w:color="000000"/>
              <w:right w:val="single" w:sz="8" w:space="0" w:color="000000"/>
            </w:tcBorders>
          </w:tcPr>
          <w:p w:rsidR="00E8309B" w:rsidRDefault="00E8309B">
            <w:pPr>
              <w:spacing w:after="160" w:line="259" w:lineRule="auto"/>
              <w:ind w:left="0" w:right="0" w:firstLine="0"/>
              <w:jc w:val="left"/>
            </w:pPr>
          </w:p>
        </w:tc>
      </w:tr>
      <w:tr w:rsidR="00E8309B">
        <w:trPr>
          <w:trHeight w:val="326"/>
        </w:trPr>
        <w:tc>
          <w:tcPr>
            <w:tcW w:w="0" w:type="auto"/>
            <w:vMerge/>
            <w:tcBorders>
              <w:top w:val="nil"/>
              <w:left w:val="single" w:sz="8" w:space="0" w:color="000000"/>
              <w:bottom w:val="single" w:sz="8" w:space="0" w:color="000000"/>
              <w:right w:val="single" w:sz="8" w:space="0" w:color="000000"/>
            </w:tcBorders>
          </w:tcPr>
          <w:p w:rsidR="00E8309B" w:rsidRDefault="00E8309B">
            <w:pPr>
              <w:spacing w:after="160" w:line="259" w:lineRule="auto"/>
              <w:ind w:left="0" w:right="0" w:firstLine="0"/>
              <w:jc w:val="left"/>
            </w:pPr>
          </w:p>
        </w:tc>
        <w:tc>
          <w:tcPr>
            <w:tcW w:w="0" w:type="auto"/>
            <w:vMerge/>
            <w:tcBorders>
              <w:top w:val="nil"/>
              <w:left w:val="single" w:sz="8" w:space="0" w:color="000000"/>
              <w:bottom w:val="single" w:sz="8" w:space="0" w:color="000000"/>
              <w:right w:val="single" w:sz="8" w:space="0" w:color="000000"/>
            </w:tcBorders>
          </w:tcPr>
          <w:p w:rsidR="00E8309B" w:rsidRDefault="00E8309B">
            <w:pPr>
              <w:spacing w:after="160" w:line="259" w:lineRule="auto"/>
              <w:ind w:left="0" w:right="0" w:firstLine="0"/>
              <w:jc w:val="left"/>
            </w:pPr>
          </w:p>
        </w:tc>
        <w:tc>
          <w:tcPr>
            <w:tcW w:w="419" w:type="dxa"/>
            <w:tcBorders>
              <w:top w:val="single" w:sz="4" w:space="0" w:color="000000"/>
              <w:left w:val="single" w:sz="8" w:space="0" w:color="000000"/>
              <w:bottom w:val="single" w:sz="8" w:space="0" w:color="000000"/>
              <w:right w:val="single" w:sz="4" w:space="0" w:color="000000"/>
            </w:tcBorders>
          </w:tcPr>
          <w:p w:rsidR="00E8309B" w:rsidRDefault="009D0949">
            <w:pPr>
              <w:spacing w:after="0" w:line="259" w:lineRule="auto"/>
              <w:ind w:left="42" w:right="0" w:firstLine="0"/>
              <w:jc w:val="left"/>
            </w:pPr>
            <w:r>
              <w:rPr>
                <w:i/>
                <w:sz w:val="18"/>
              </w:rPr>
              <w:t xml:space="preserve">Q1 </w:t>
            </w:r>
          </w:p>
        </w:tc>
        <w:tc>
          <w:tcPr>
            <w:tcW w:w="421" w:type="dxa"/>
            <w:tcBorders>
              <w:top w:val="single" w:sz="4" w:space="0" w:color="000000"/>
              <w:left w:val="single" w:sz="4" w:space="0" w:color="000000"/>
              <w:bottom w:val="single" w:sz="8" w:space="0" w:color="000000"/>
              <w:right w:val="single" w:sz="4" w:space="0" w:color="000000"/>
            </w:tcBorders>
          </w:tcPr>
          <w:p w:rsidR="00E8309B" w:rsidRDefault="009D0949">
            <w:pPr>
              <w:spacing w:after="0" w:line="259" w:lineRule="auto"/>
              <w:ind w:left="43" w:right="0" w:firstLine="0"/>
              <w:jc w:val="left"/>
            </w:pPr>
            <w:r>
              <w:rPr>
                <w:i/>
                <w:sz w:val="18"/>
              </w:rPr>
              <w:t xml:space="preserve">Q2 </w:t>
            </w:r>
          </w:p>
        </w:tc>
        <w:tc>
          <w:tcPr>
            <w:tcW w:w="422" w:type="dxa"/>
            <w:tcBorders>
              <w:top w:val="single" w:sz="4" w:space="0" w:color="000000"/>
              <w:left w:val="single" w:sz="4" w:space="0" w:color="000000"/>
              <w:bottom w:val="single" w:sz="8" w:space="0" w:color="000000"/>
              <w:right w:val="single" w:sz="4" w:space="0" w:color="000000"/>
            </w:tcBorders>
          </w:tcPr>
          <w:p w:rsidR="00E8309B" w:rsidRDefault="009D0949">
            <w:pPr>
              <w:spacing w:after="0" w:line="259" w:lineRule="auto"/>
              <w:ind w:left="44" w:right="0" w:firstLine="0"/>
              <w:jc w:val="left"/>
            </w:pPr>
            <w:r>
              <w:rPr>
                <w:i/>
                <w:sz w:val="18"/>
              </w:rPr>
              <w:t xml:space="preserve">Q3 </w:t>
            </w:r>
          </w:p>
        </w:tc>
        <w:tc>
          <w:tcPr>
            <w:tcW w:w="421" w:type="dxa"/>
            <w:tcBorders>
              <w:top w:val="single" w:sz="4" w:space="0" w:color="000000"/>
              <w:left w:val="single" w:sz="4" w:space="0" w:color="000000"/>
              <w:bottom w:val="single" w:sz="8" w:space="0" w:color="000000"/>
              <w:right w:val="single" w:sz="8" w:space="0" w:color="000000"/>
            </w:tcBorders>
          </w:tcPr>
          <w:p w:rsidR="00E8309B" w:rsidRDefault="009D0949">
            <w:pPr>
              <w:spacing w:after="0" w:line="259" w:lineRule="auto"/>
              <w:ind w:left="44" w:right="0" w:firstLine="0"/>
              <w:jc w:val="left"/>
            </w:pPr>
            <w:r>
              <w:rPr>
                <w:i/>
                <w:sz w:val="18"/>
              </w:rPr>
              <w:t xml:space="preserve">Q4 </w:t>
            </w:r>
          </w:p>
        </w:tc>
        <w:tc>
          <w:tcPr>
            <w:tcW w:w="424" w:type="dxa"/>
            <w:tcBorders>
              <w:top w:val="single" w:sz="4" w:space="0" w:color="000000"/>
              <w:left w:val="single" w:sz="8" w:space="0" w:color="000000"/>
              <w:bottom w:val="single" w:sz="8" w:space="0" w:color="000000"/>
              <w:right w:val="single" w:sz="4" w:space="0" w:color="000000"/>
            </w:tcBorders>
          </w:tcPr>
          <w:p w:rsidR="00E8309B" w:rsidRDefault="009D0949">
            <w:pPr>
              <w:spacing w:after="0" w:line="259" w:lineRule="auto"/>
              <w:ind w:left="46" w:right="0" w:firstLine="0"/>
              <w:jc w:val="left"/>
            </w:pPr>
            <w:r>
              <w:rPr>
                <w:i/>
                <w:sz w:val="18"/>
              </w:rPr>
              <w:t xml:space="preserve">Q1 </w:t>
            </w:r>
          </w:p>
        </w:tc>
        <w:tc>
          <w:tcPr>
            <w:tcW w:w="421" w:type="dxa"/>
            <w:tcBorders>
              <w:top w:val="single" w:sz="4" w:space="0" w:color="000000"/>
              <w:left w:val="single" w:sz="4" w:space="0" w:color="000000"/>
              <w:bottom w:val="single" w:sz="8" w:space="0" w:color="000000"/>
              <w:right w:val="single" w:sz="4" w:space="0" w:color="000000"/>
            </w:tcBorders>
          </w:tcPr>
          <w:p w:rsidR="00E8309B" w:rsidRDefault="009D0949">
            <w:pPr>
              <w:spacing w:after="0" w:line="259" w:lineRule="auto"/>
              <w:ind w:left="44" w:right="0" w:firstLine="0"/>
              <w:jc w:val="left"/>
            </w:pPr>
            <w:r>
              <w:rPr>
                <w:i/>
                <w:sz w:val="18"/>
              </w:rPr>
              <w:t xml:space="preserve">Q2 </w:t>
            </w:r>
          </w:p>
        </w:tc>
        <w:tc>
          <w:tcPr>
            <w:tcW w:w="423" w:type="dxa"/>
            <w:tcBorders>
              <w:top w:val="single" w:sz="4" w:space="0" w:color="000000"/>
              <w:left w:val="single" w:sz="4" w:space="0" w:color="000000"/>
              <w:bottom w:val="single" w:sz="8" w:space="0" w:color="000000"/>
              <w:right w:val="single" w:sz="4" w:space="0" w:color="000000"/>
            </w:tcBorders>
          </w:tcPr>
          <w:p w:rsidR="00E8309B" w:rsidRDefault="009D0949">
            <w:pPr>
              <w:spacing w:after="0" w:line="259" w:lineRule="auto"/>
              <w:ind w:left="46" w:right="0" w:firstLine="0"/>
              <w:jc w:val="left"/>
            </w:pPr>
            <w:r>
              <w:rPr>
                <w:i/>
                <w:sz w:val="18"/>
              </w:rPr>
              <w:t xml:space="preserve">Q3 </w:t>
            </w:r>
          </w:p>
        </w:tc>
        <w:tc>
          <w:tcPr>
            <w:tcW w:w="420" w:type="dxa"/>
            <w:tcBorders>
              <w:top w:val="single" w:sz="4" w:space="0" w:color="000000"/>
              <w:left w:val="single" w:sz="4" w:space="0" w:color="000000"/>
              <w:bottom w:val="single" w:sz="8" w:space="0" w:color="000000"/>
              <w:right w:val="single" w:sz="8" w:space="0" w:color="000000"/>
            </w:tcBorders>
          </w:tcPr>
          <w:p w:rsidR="00E8309B" w:rsidRDefault="009D0949">
            <w:pPr>
              <w:spacing w:after="0" w:line="259" w:lineRule="auto"/>
              <w:ind w:left="43" w:right="0" w:firstLine="0"/>
              <w:jc w:val="left"/>
            </w:pPr>
            <w:r>
              <w:rPr>
                <w:i/>
                <w:sz w:val="18"/>
              </w:rPr>
              <w:t xml:space="preserve">Q4 </w:t>
            </w:r>
          </w:p>
        </w:tc>
        <w:tc>
          <w:tcPr>
            <w:tcW w:w="424" w:type="dxa"/>
            <w:tcBorders>
              <w:top w:val="single" w:sz="4" w:space="0" w:color="000000"/>
              <w:left w:val="single" w:sz="8" w:space="0" w:color="000000"/>
              <w:bottom w:val="single" w:sz="8" w:space="0" w:color="000000"/>
              <w:right w:val="single" w:sz="4" w:space="0" w:color="000000"/>
            </w:tcBorders>
          </w:tcPr>
          <w:p w:rsidR="00E8309B" w:rsidRDefault="009D0949">
            <w:pPr>
              <w:spacing w:after="0" w:line="259" w:lineRule="auto"/>
              <w:ind w:left="46" w:right="0" w:firstLine="0"/>
              <w:jc w:val="left"/>
            </w:pPr>
            <w:r>
              <w:rPr>
                <w:i/>
                <w:sz w:val="18"/>
              </w:rPr>
              <w:t xml:space="preserve">Q1 </w:t>
            </w:r>
          </w:p>
        </w:tc>
        <w:tc>
          <w:tcPr>
            <w:tcW w:w="422" w:type="dxa"/>
            <w:tcBorders>
              <w:top w:val="single" w:sz="4" w:space="0" w:color="000000"/>
              <w:left w:val="single" w:sz="4" w:space="0" w:color="000000"/>
              <w:bottom w:val="single" w:sz="8" w:space="0" w:color="000000"/>
              <w:right w:val="single" w:sz="4" w:space="0" w:color="000000"/>
            </w:tcBorders>
          </w:tcPr>
          <w:p w:rsidR="00E8309B" w:rsidRDefault="009D0949">
            <w:pPr>
              <w:spacing w:after="0" w:line="259" w:lineRule="auto"/>
              <w:ind w:left="44" w:right="0" w:firstLine="0"/>
              <w:jc w:val="left"/>
            </w:pPr>
            <w:r>
              <w:rPr>
                <w:i/>
                <w:sz w:val="18"/>
              </w:rPr>
              <w:t xml:space="preserve">Q2 </w:t>
            </w:r>
          </w:p>
        </w:tc>
        <w:tc>
          <w:tcPr>
            <w:tcW w:w="422" w:type="dxa"/>
            <w:tcBorders>
              <w:top w:val="single" w:sz="4" w:space="0" w:color="000000"/>
              <w:left w:val="single" w:sz="4" w:space="0" w:color="000000"/>
              <w:bottom w:val="single" w:sz="8" w:space="0" w:color="000000"/>
              <w:right w:val="single" w:sz="4" w:space="0" w:color="000000"/>
            </w:tcBorders>
          </w:tcPr>
          <w:p w:rsidR="00E8309B" w:rsidRDefault="009D0949">
            <w:pPr>
              <w:spacing w:after="0" w:line="259" w:lineRule="auto"/>
              <w:ind w:left="44" w:right="0" w:firstLine="0"/>
              <w:jc w:val="left"/>
            </w:pPr>
            <w:r>
              <w:rPr>
                <w:i/>
                <w:sz w:val="18"/>
              </w:rPr>
              <w:t xml:space="preserve">Q3 </w:t>
            </w:r>
          </w:p>
        </w:tc>
        <w:tc>
          <w:tcPr>
            <w:tcW w:w="420" w:type="dxa"/>
            <w:tcBorders>
              <w:top w:val="single" w:sz="4" w:space="0" w:color="000000"/>
              <w:left w:val="single" w:sz="4" w:space="0" w:color="000000"/>
              <w:bottom w:val="single" w:sz="8" w:space="0" w:color="000000"/>
              <w:right w:val="single" w:sz="8" w:space="0" w:color="000000"/>
            </w:tcBorders>
          </w:tcPr>
          <w:p w:rsidR="00E8309B" w:rsidRDefault="009D0949">
            <w:pPr>
              <w:spacing w:after="0" w:line="259" w:lineRule="auto"/>
              <w:ind w:left="44" w:right="0" w:firstLine="0"/>
              <w:jc w:val="left"/>
            </w:pPr>
            <w:r>
              <w:rPr>
                <w:i/>
                <w:sz w:val="18"/>
              </w:rPr>
              <w:t xml:space="preserve">Q4 </w:t>
            </w:r>
          </w:p>
        </w:tc>
      </w:tr>
      <w:tr w:rsidR="00E8309B">
        <w:trPr>
          <w:trHeight w:val="473"/>
        </w:trPr>
        <w:tc>
          <w:tcPr>
            <w:tcW w:w="427" w:type="dxa"/>
            <w:tcBorders>
              <w:top w:val="single" w:sz="8" w:space="0" w:color="000000"/>
              <w:left w:val="single" w:sz="8" w:space="0" w:color="000000"/>
              <w:bottom w:val="single" w:sz="4" w:space="0" w:color="000000"/>
              <w:right w:val="single" w:sz="8" w:space="0" w:color="000000"/>
            </w:tcBorders>
          </w:tcPr>
          <w:p w:rsidR="00E8309B" w:rsidRDefault="009D0949">
            <w:pPr>
              <w:spacing w:after="0" w:line="259" w:lineRule="auto"/>
              <w:ind w:left="0" w:right="51" w:firstLine="0"/>
              <w:jc w:val="right"/>
            </w:pPr>
            <w:r>
              <w:rPr>
                <w:sz w:val="20"/>
              </w:rPr>
              <w:t xml:space="preserve">1 </w:t>
            </w:r>
          </w:p>
        </w:tc>
        <w:tc>
          <w:tcPr>
            <w:tcW w:w="4123" w:type="dxa"/>
            <w:tcBorders>
              <w:top w:val="single" w:sz="8" w:space="0" w:color="000000"/>
              <w:left w:val="single" w:sz="8" w:space="0" w:color="000000"/>
              <w:bottom w:val="single" w:sz="4" w:space="0" w:color="000000"/>
              <w:right w:val="single" w:sz="8" w:space="0" w:color="000000"/>
            </w:tcBorders>
          </w:tcPr>
          <w:p w:rsidR="00E8309B" w:rsidRDefault="009D0949">
            <w:pPr>
              <w:spacing w:after="0" w:line="259" w:lineRule="auto"/>
              <w:ind w:left="0" w:right="0" w:firstLine="0"/>
              <w:jc w:val="left"/>
            </w:pPr>
            <w:r>
              <w:rPr>
                <w:sz w:val="20"/>
              </w:rPr>
              <w:t xml:space="preserve">Даљи развој платформе информационих система  </w:t>
            </w:r>
          </w:p>
        </w:tc>
        <w:tc>
          <w:tcPr>
            <w:tcW w:w="419" w:type="dxa"/>
            <w:tcBorders>
              <w:top w:val="single" w:sz="8" w:space="0" w:color="000000"/>
              <w:left w:val="single" w:sz="8"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1" w:right="0" w:firstLine="0"/>
              <w:jc w:val="center"/>
            </w:pPr>
            <w:r>
              <w:rPr>
                <w:sz w:val="20"/>
              </w:rPr>
              <w:t xml:space="preserve"> </w:t>
            </w:r>
          </w:p>
        </w:tc>
        <w:tc>
          <w:tcPr>
            <w:tcW w:w="421" w:type="dxa"/>
            <w:tcBorders>
              <w:top w:val="single" w:sz="8" w:space="0" w:color="000000"/>
              <w:left w:val="single" w:sz="4"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1" w:right="0" w:firstLine="0"/>
              <w:jc w:val="center"/>
            </w:pPr>
            <w:r>
              <w:rPr>
                <w:sz w:val="20"/>
              </w:rPr>
              <w:t xml:space="preserve"> </w:t>
            </w:r>
          </w:p>
        </w:tc>
        <w:tc>
          <w:tcPr>
            <w:tcW w:w="422" w:type="dxa"/>
            <w:tcBorders>
              <w:top w:val="single" w:sz="8" w:space="0" w:color="000000"/>
              <w:left w:val="single" w:sz="4"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2" w:right="0" w:firstLine="0"/>
              <w:jc w:val="center"/>
            </w:pPr>
            <w:r>
              <w:rPr>
                <w:sz w:val="20"/>
              </w:rPr>
              <w:t xml:space="preserve"> </w:t>
            </w:r>
          </w:p>
        </w:tc>
        <w:tc>
          <w:tcPr>
            <w:tcW w:w="421" w:type="dxa"/>
            <w:tcBorders>
              <w:top w:val="single" w:sz="8" w:space="0" w:color="000000"/>
              <w:left w:val="single" w:sz="4" w:space="0" w:color="000000"/>
              <w:bottom w:val="single" w:sz="4" w:space="0" w:color="000000"/>
              <w:right w:val="single" w:sz="8" w:space="0" w:color="000000"/>
            </w:tcBorders>
            <w:shd w:val="clear" w:color="auto" w:fill="BFBFBF"/>
            <w:vAlign w:val="center"/>
          </w:tcPr>
          <w:p w:rsidR="00E8309B" w:rsidRDefault="009D0949">
            <w:pPr>
              <w:spacing w:after="0" w:line="259" w:lineRule="auto"/>
              <w:ind w:left="4" w:right="0" w:firstLine="0"/>
              <w:jc w:val="center"/>
            </w:pPr>
            <w:r>
              <w:rPr>
                <w:sz w:val="20"/>
              </w:rPr>
              <w:t xml:space="preserve"> </w:t>
            </w:r>
          </w:p>
        </w:tc>
        <w:tc>
          <w:tcPr>
            <w:tcW w:w="424" w:type="dxa"/>
            <w:tcBorders>
              <w:top w:val="single" w:sz="8" w:space="0" w:color="000000"/>
              <w:left w:val="single" w:sz="8" w:space="0" w:color="000000"/>
              <w:bottom w:val="single" w:sz="4" w:space="0" w:color="000000"/>
              <w:right w:val="single" w:sz="4" w:space="0" w:color="000000"/>
            </w:tcBorders>
            <w:vAlign w:val="center"/>
          </w:tcPr>
          <w:p w:rsidR="00E8309B" w:rsidRDefault="009D0949">
            <w:pPr>
              <w:spacing w:after="0" w:line="259" w:lineRule="auto"/>
              <w:ind w:left="4" w:right="0" w:firstLine="0"/>
              <w:jc w:val="center"/>
            </w:pPr>
            <w:r>
              <w:rPr>
                <w:sz w:val="20"/>
              </w:rPr>
              <w:t xml:space="preserve"> </w:t>
            </w:r>
          </w:p>
        </w:tc>
        <w:tc>
          <w:tcPr>
            <w:tcW w:w="421" w:type="dxa"/>
            <w:tcBorders>
              <w:top w:val="single" w:sz="8"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4" w:right="0" w:firstLine="0"/>
              <w:jc w:val="center"/>
            </w:pPr>
            <w:r>
              <w:rPr>
                <w:sz w:val="20"/>
              </w:rPr>
              <w:t xml:space="preserve"> </w:t>
            </w:r>
          </w:p>
        </w:tc>
        <w:tc>
          <w:tcPr>
            <w:tcW w:w="423" w:type="dxa"/>
            <w:tcBorders>
              <w:top w:val="single" w:sz="8"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5" w:right="0" w:firstLine="0"/>
              <w:jc w:val="center"/>
            </w:pPr>
            <w:r>
              <w:rPr>
                <w:sz w:val="20"/>
              </w:rPr>
              <w:t xml:space="preserve"> </w:t>
            </w:r>
          </w:p>
        </w:tc>
        <w:tc>
          <w:tcPr>
            <w:tcW w:w="420" w:type="dxa"/>
            <w:tcBorders>
              <w:top w:val="single" w:sz="8" w:space="0" w:color="000000"/>
              <w:left w:val="single" w:sz="4" w:space="0" w:color="000000"/>
              <w:bottom w:val="single" w:sz="4" w:space="0" w:color="000000"/>
              <w:right w:val="single" w:sz="8" w:space="0" w:color="000000"/>
            </w:tcBorders>
            <w:vAlign w:val="center"/>
          </w:tcPr>
          <w:p w:rsidR="00E8309B" w:rsidRDefault="009D0949">
            <w:pPr>
              <w:spacing w:after="0" w:line="259" w:lineRule="auto"/>
              <w:ind w:left="2" w:right="0" w:firstLine="0"/>
              <w:jc w:val="center"/>
            </w:pPr>
            <w:r>
              <w:rPr>
                <w:sz w:val="20"/>
              </w:rPr>
              <w:t xml:space="preserve"> </w:t>
            </w:r>
          </w:p>
        </w:tc>
        <w:tc>
          <w:tcPr>
            <w:tcW w:w="424" w:type="dxa"/>
            <w:tcBorders>
              <w:top w:val="single" w:sz="8" w:space="0" w:color="000000"/>
              <w:left w:val="single" w:sz="8" w:space="0" w:color="000000"/>
              <w:bottom w:val="single" w:sz="4" w:space="0" w:color="000000"/>
              <w:right w:val="single" w:sz="4" w:space="0" w:color="000000"/>
            </w:tcBorders>
            <w:vAlign w:val="center"/>
          </w:tcPr>
          <w:p w:rsidR="00E8309B" w:rsidRDefault="009D0949">
            <w:pPr>
              <w:spacing w:after="0" w:line="259" w:lineRule="auto"/>
              <w:ind w:left="4" w:right="0" w:firstLine="0"/>
              <w:jc w:val="center"/>
            </w:pPr>
            <w:r>
              <w:rPr>
                <w:sz w:val="20"/>
              </w:rPr>
              <w:t xml:space="preserve"> </w:t>
            </w:r>
          </w:p>
        </w:tc>
        <w:tc>
          <w:tcPr>
            <w:tcW w:w="422" w:type="dxa"/>
            <w:tcBorders>
              <w:top w:val="single" w:sz="8"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2" w:right="0" w:firstLine="0"/>
              <w:jc w:val="center"/>
            </w:pPr>
            <w:r>
              <w:rPr>
                <w:sz w:val="20"/>
              </w:rPr>
              <w:t xml:space="preserve"> </w:t>
            </w:r>
          </w:p>
        </w:tc>
        <w:tc>
          <w:tcPr>
            <w:tcW w:w="422" w:type="dxa"/>
            <w:tcBorders>
              <w:top w:val="single" w:sz="8"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2" w:right="0" w:firstLine="0"/>
              <w:jc w:val="center"/>
            </w:pPr>
            <w:r>
              <w:rPr>
                <w:sz w:val="20"/>
              </w:rPr>
              <w:t xml:space="preserve"> </w:t>
            </w:r>
          </w:p>
        </w:tc>
        <w:tc>
          <w:tcPr>
            <w:tcW w:w="420" w:type="dxa"/>
            <w:tcBorders>
              <w:top w:val="single" w:sz="8" w:space="0" w:color="000000"/>
              <w:left w:val="single" w:sz="4" w:space="0" w:color="000000"/>
              <w:bottom w:val="single" w:sz="4" w:space="0" w:color="000000"/>
              <w:right w:val="single" w:sz="8" w:space="0" w:color="000000"/>
            </w:tcBorders>
            <w:vAlign w:val="center"/>
          </w:tcPr>
          <w:p w:rsidR="00E8309B" w:rsidRDefault="009D0949">
            <w:pPr>
              <w:spacing w:after="0" w:line="259" w:lineRule="auto"/>
              <w:ind w:left="5" w:right="0" w:firstLine="0"/>
              <w:jc w:val="center"/>
            </w:pPr>
            <w:r>
              <w:rPr>
                <w:sz w:val="20"/>
              </w:rPr>
              <w:t xml:space="preserve"> </w:t>
            </w:r>
          </w:p>
        </w:tc>
      </w:tr>
      <w:tr w:rsidR="00E8309B">
        <w:trPr>
          <w:trHeight w:val="700"/>
        </w:trPr>
        <w:tc>
          <w:tcPr>
            <w:tcW w:w="427" w:type="dxa"/>
            <w:tcBorders>
              <w:top w:val="single" w:sz="4" w:space="0" w:color="000000"/>
              <w:left w:val="single" w:sz="8" w:space="0" w:color="000000"/>
              <w:bottom w:val="single" w:sz="4" w:space="0" w:color="000000"/>
              <w:right w:val="single" w:sz="8" w:space="0" w:color="000000"/>
            </w:tcBorders>
          </w:tcPr>
          <w:p w:rsidR="00E8309B" w:rsidRDefault="009D0949">
            <w:pPr>
              <w:spacing w:after="0" w:line="259" w:lineRule="auto"/>
              <w:ind w:left="0" w:right="51" w:firstLine="0"/>
              <w:jc w:val="right"/>
            </w:pPr>
            <w:r>
              <w:rPr>
                <w:sz w:val="20"/>
              </w:rPr>
              <w:t xml:space="preserve">2 </w:t>
            </w:r>
          </w:p>
        </w:tc>
        <w:tc>
          <w:tcPr>
            <w:tcW w:w="4123" w:type="dxa"/>
            <w:tcBorders>
              <w:top w:val="single" w:sz="4" w:space="0" w:color="000000"/>
              <w:left w:val="single" w:sz="8" w:space="0" w:color="000000"/>
              <w:bottom w:val="single" w:sz="4" w:space="0" w:color="000000"/>
              <w:right w:val="single" w:sz="8" w:space="0" w:color="000000"/>
            </w:tcBorders>
          </w:tcPr>
          <w:p w:rsidR="00E8309B" w:rsidRDefault="009D0949">
            <w:pPr>
              <w:spacing w:after="0" w:line="259" w:lineRule="auto"/>
              <w:ind w:left="0" w:right="0" w:firstLine="0"/>
              <w:jc w:val="left"/>
            </w:pPr>
            <w:r>
              <w:rPr>
                <w:sz w:val="20"/>
              </w:rPr>
              <w:t xml:space="preserve">Реинжењеринг пословних процеса за увођење међународних добрих пракси у оперативне функције Пoреске управе РС </w:t>
            </w:r>
          </w:p>
        </w:tc>
        <w:tc>
          <w:tcPr>
            <w:tcW w:w="419" w:type="dxa"/>
            <w:tcBorders>
              <w:top w:val="single" w:sz="4" w:space="0" w:color="000000"/>
              <w:left w:val="single" w:sz="8"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1" w:right="0" w:firstLine="0"/>
              <w:jc w:val="center"/>
            </w:pPr>
            <w:r>
              <w:rPr>
                <w:sz w:val="20"/>
              </w:rPr>
              <w:t xml:space="preserve"> </w:t>
            </w:r>
          </w:p>
        </w:tc>
        <w:tc>
          <w:tcPr>
            <w:tcW w:w="421"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1" w:right="0" w:firstLine="0"/>
              <w:jc w:val="center"/>
            </w:pPr>
            <w:r>
              <w:rPr>
                <w:sz w:val="20"/>
              </w:rPr>
              <w:t xml:space="preserve"> </w:t>
            </w:r>
          </w:p>
        </w:tc>
        <w:tc>
          <w:tcPr>
            <w:tcW w:w="422"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2" w:right="0" w:firstLine="0"/>
              <w:jc w:val="center"/>
            </w:pPr>
            <w:r>
              <w:rPr>
                <w:sz w:val="20"/>
              </w:rPr>
              <w:t xml:space="preserve"> </w:t>
            </w:r>
          </w:p>
        </w:tc>
        <w:tc>
          <w:tcPr>
            <w:tcW w:w="421" w:type="dxa"/>
            <w:tcBorders>
              <w:top w:val="single" w:sz="4" w:space="0" w:color="000000"/>
              <w:left w:val="single" w:sz="4" w:space="0" w:color="000000"/>
              <w:bottom w:val="single" w:sz="4" w:space="0" w:color="000000"/>
              <w:right w:val="single" w:sz="8" w:space="0" w:color="000000"/>
            </w:tcBorders>
            <w:shd w:val="clear" w:color="auto" w:fill="BFBFBF"/>
            <w:vAlign w:val="center"/>
          </w:tcPr>
          <w:p w:rsidR="00E8309B" w:rsidRDefault="009D0949">
            <w:pPr>
              <w:spacing w:after="0" w:line="259" w:lineRule="auto"/>
              <w:ind w:left="4" w:right="0" w:firstLine="0"/>
              <w:jc w:val="center"/>
            </w:pPr>
            <w:r>
              <w:rPr>
                <w:sz w:val="20"/>
              </w:rPr>
              <w:t xml:space="preserve"> </w:t>
            </w:r>
          </w:p>
        </w:tc>
        <w:tc>
          <w:tcPr>
            <w:tcW w:w="424" w:type="dxa"/>
            <w:tcBorders>
              <w:top w:val="single" w:sz="4" w:space="0" w:color="000000"/>
              <w:left w:val="single" w:sz="8"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4" w:right="0" w:firstLine="0"/>
              <w:jc w:val="center"/>
            </w:pPr>
            <w:r>
              <w:rPr>
                <w:sz w:val="20"/>
              </w:rPr>
              <w:t xml:space="preserve"> </w:t>
            </w:r>
          </w:p>
        </w:tc>
        <w:tc>
          <w:tcPr>
            <w:tcW w:w="421"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4" w:right="0" w:firstLine="0"/>
              <w:jc w:val="center"/>
            </w:pPr>
            <w:r>
              <w:rPr>
                <w:sz w:val="20"/>
              </w:rPr>
              <w:t xml:space="preserve"> </w:t>
            </w:r>
          </w:p>
        </w:tc>
        <w:tc>
          <w:tcPr>
            <w:tcW w:w="423"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5" w:right="0" w:firstLine="0"/>
              <w:jc w:val="center"/>
            </w:pPr>
            <w:r>
              <w:rPr>
                <w:sz w:val="20"/>
              </w:rPr>
              <w:t xml:space="preserve"> </w:t>
            </w:r>
          </w:p>
        </w:tc>
        <w:tc>
          <w:tcPr>
            <w:tcW w:w="420" w:type="dxa"/>
            <w:tcBorders>
              <w:top w:val="single" w:sz="4" w:space="0" w:color="000000"/>
              <w:left w:val="single" w:sz="4" w:space="0" w:color="000000"/>
              <w:bottom w:val="single" w:sz="4" w:space="0" w:color="000000"/>
              <w:right w:val="single" w:sz="8" w:space="0" w:color="000000"/>
            </w:tcBorders>
            <w:shd w:val="clear" w:color="auto" w:fill="BFBFBF"/>
            <w:vAlign w:val="center"/>
          </w:tcPr>
          <w:p w:rsidR="00E8309B" w:rsidRDefault="009D0949">
            <w:pPr>
              <w:spacing w:after="0" w:line="259" w:lineRule="auto"/>
              <w:ind w:left="2" w:right="0" w:firstLine="0"/>
              <w:jc w:val="center"/>
            </w:pPr>
            <w:r>
              <w:rPr>
                <w:sz w:val="20"/>
              </w:rPr>
              <w:t xml:space="preserve"> </w:t>
            </w:r>
          </w:p>
        </w:tc>
        <w:tc>
          <w:tcPr>
            <w:tcW w:w="424" w:type="dxa"/>
            <w:tcBorders>
              <w:top w:val="single" w:sz="4" w:space="0" w:color="000000"/>
              <w:left w:val="single" w:sz="8" w:space="0" w:color="000000"/>
              <w:bottom w:val="single" w:sz="4" w:space="0" w:color="000000"/>
              <w:right w:val="single" w:sz="4" w:space="0" w:color="000000"/>
            </w:tcBorders>
            <w:vAlign w:val="center"/>
          </w:tcPr>
          <w:p w:rsidR="00E8309B" w:rsidRDefault="009D0949">
            <w:pPr>
              <w:spacing w:after="0" w:line="259" w:lineRule="auto"/>
              <w:ind w:left="4" w:right="0" w:firstLine="0"/>
              <w:jc w:val="center"/>
            </w:pPr>
            <w:r>
              <w:rPr>
                <w:sz w:val="20"/>
              </w:rPr>
              <w:t xml:space="preserve"> </w:t>
            </w:r>
          </w:p>
        </w:tc>
        <w:tc>
          <w:tcPr>
            <w:tcW w:w="422"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2" w:right="0" w:firstLine="0"/>
              <w:jc w:val="center"/>
            </w:pPr>
            <w:r>
              <w:rPr>
                <w:sz w:val="20"/>
              </w:rPr>
              <w:t xml:space="preserve"> </w:t>
            </w:r>
          </w:p>
        </w:tc>
        <w:tc>
          <w:tcPr>
            <w:tcW w:w="422"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2" w:right="0" w:firstLine="0"/>
              <w:jc w:val="center"/>
            </w:pPr>
            <w:r>
              <w:rPr>
                <w:sz w:val="20"/>
              </w:rPr>
              <w:t xml:space="preserve"> </w:t>
            </w:r>
          </w:p>
        </w:tc>
        <w:tc>
          <w:tcPr>
            <w:tcW w:w="420" w:type="dxa"/>
            <w:tcBorders>
              <w:top w:val="single" w:sz="4" w:space="0" w:color="000000"/>
              <w:left w:val="single" w:sz="4" w:space="0" w:color="000000"/>
              <w:bottom w:val="single" w:sz="4" w:space="0" w:color="000000"/>
              <w:right w:val="single" w:sz="8" w:space="0" w:color="000000"/>
            </w:tcBorders>
            <w:vAlign w:val="center"/>
          </w:tcPr>
          <w:p w:rsidR="00E8309B" w:rsidRDefault="009D0949">
            <w:pPr>
              <w:spacing w:after="0" w:line="259" w:lineRule="auto"/>
              <w:ind w:left="5" w:right="0" w:firstLine="0"/>
              <w:jc w:val="center"/>
            </w:pPr>
            <w:r>
              <w:rPr>
                <w:sz w:val="20"/>
              </w:rPr>
              <w:t xml:space="preserve"> </w:t>
            </w:r>
          </w:p>
        </w:tc>
      </w:tr>
      <w:tr w:rsidR="00E8309B">
        <w:trPr>
          <w:trHeight w:val="469"/>
        </w:trPr>
        <w:tc>
          <w:tcPr>
            <w:tcW w:w="427" w:type="dxa"/>
            <w:tcBorders>
              <w:top w:val="single" w:sz="4" w:space="0" w:color="000000"/>
              <w:left w:val="single" w:sz="8" w:space="0" w:color="000000"/>
              <w:bottom w:val="single" w:sz="4" w:space="0" w:color="000000"/>
              <w:right w:val="single" w:sz="8" w:space="0" w:color="000000"/>
            </w:tcBorders>
          </w:tcPr>
          <w:p w:rsidR="00E8309B" w:rsidRDefault="009D0949">
            <w:pPr>
              <w:spacing w:after="0" w:line="259" w:lineRule="auto"/>
              <w:ind w:left="0" w:right="51" w:firstLine="0"/>
              <w:jc w:val="right"/>
            </w:pPr>
            <w:r>
              <w:rPr>
                <w:sz w:val="20"/>
              </w:rPr>
              <w:t xml:space="preserve">3 </w:t>
            </w:r>
          </w:p>
        </w:tc>
        <w:tc>
          <w:tcPr>
            <w:tcW w:w="4123" w:type="dxa"/>
            <w:tcBorders>
              <w:top w:val="single" w:sz="4" w:space="0" w:color="000000"/>
              <w:left w:val="single" w:sz="8" w:space="0" w:color="000000"/>
              <w:bottom w:val="single" w:sz="4" w:space="0" w:color="000000"/>
              <w:right w:val="single" w:sz="8" w:space="0" w:color="000000"/>
            </w:tcBorders>
          </w:tcPr>
          <w:p w:rsidR="00E8309B" w:rsidRDefault="009D0949">
            <w:pPr>
              <w:spacing w:after="0" w:line="259" w:lineRule="auto"/>
              <w:ind w:left="0" w:right="0" w:firstLine="0"/>
              <w:jc w:val="left"/>
            </w:pPr>
            <w:r>
              <w:rPr>
                <w:sz w:val="20"/>
              </w:rPr>
              <w:t xml:space="preserve">Реализација Плана набавке ТАМП (Пројекат модернизације Пореске управе) </w:t>
            </w:r>
          </w:p>
        </w:tc>
        <w:tc>
          <w:tcPr>
            <w:tcW w:w="419" w:type="dxa"/>
            <w:tcBorders>
              <w:top w:val="single" w:sz="4" w:space="0" w:color="000000"/>
              <w:left w:val="single" w:sz="8"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1" w:right="0" w:firstLine="0"/>
              <w:jc w:val="center"/>
            </w:pPr>
            <w:r>
              <w:rPr>
                <w:sz w:val="20"/>
              </w:rPr>
              <w:t xml:space="preserve"> </w:t>
            </w:r>
          </w:p>
        </w:tc>
        <w:tc>
          <w:tcPr>
            <w:tcW w:w="421"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1" w:right="0" w:firstLine="0"/>
              <w:jc w:val="center"/>
            </w:pPr>
            <w:r>
              <w:rPr>
                <w:sz w:val="20"/>
              </w:rPr>
              <w:t xml:space="preserve"> </w:t>
            </w:r>
          </w:p>
        </w:tc>
        <w:tc>
          <w:tcPr>
            <w:tcW w:w="422"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2" w:right="0" w:firstLine="0"/>
              <w:jc w:val="center"/>
            </w:pPr>
            <w:r>
              <w:rPr>
                <w:sz w:val="20"/>
              </w:rPr>
              <w:t xml:space="preserve"> </w:t>
            </w:r>
          </w:p>
        </w:tc>
        <w:tc>
          <w:tcPr>
            <w:tcW w:w="421" w:type="dxa"/>
            <w:tcBorders>
              <w:top w:val="single" w:sz="4" w:space="0" w:color="000000"/>
              <w:left w:val="single" w:sz="4" w:space="0" w:color="000000"/>
              <w:bottom w:val="single" w:sz="4" w:space="0" w:color="000000"/>
              <w:right w:val="single" w:sz="8" w:space="0" w:color="000000"/>
            </w:tcBorders>
            <w:shd w:val="clear" w:color="auto" w:fill="BFBFBF"/>
            <w:vAlign w:val="center"/>
          </w:tcPr>
          <w:p w:rsidR="00E8309B" w:rsidRDefault="009D0949">
            <w:pPr>
              <w:spacing w:after="0" w:line="259" w:lineRule="auto"/>
              <w:ind w:left="4" w:right="0" w:firstLine="0"/>
              <w:jc w:val="center"/>
            </w:pPr>
            <w:r>
              <w:rPr>
                <w:sz w:val="20"/>
              </w:rPr>
              <w:t xml:space="preserve"> </w:t>
            </w:r>
          </w:p>
        </w:tc>
        <w:tc>
          <w:tcPr>
            <w:tcW w:w="424" w:type="dxa"/>
            <w:tcBorders>
              <w:top w:val="single" w:sz="4" w:space="0" w:color="000000"/>
              <w:left w:val="single" w:sz="8"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4" w:right="0" w:firstLine="0"/>
              <w:jc w:val="center"/>
            </w:pPr>
            <w:r>
              <w:rPr>
                <w:sz w:val="20"/>
              </w:rPr>
              <w:t xml:space="preserve"> </w:t>
            </w:r>
          </w:p>
        </w:tc>
        <w:tc>
          <w:tcPr>
            <w:tcW w:w="421"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4" w:right="0" w:firstLine="0"/>
              <w:jc w:val="center"/>
            </w:pPr>
            <w:r>
              <w:rPr>
                <w:sz w:val="20"/>
              </w:rPr>
              <w:t xml:space="preserve"> </w:t>
            </w:r>
          </w:p>
        </w:tc>
        <w:tc>
          <w:tcPr>
            <w:tcW w:w="423"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5" w:right="0" w:firstLine="0"/>
              <w:jc w:val="center"/>
            </w:pPr>
            <w:r>
              <w:rPr>
                <w:sz w:val="20"/>
              </w:rPr>
              <w:t xml:space="preserve"> </w:t>
            </w:r>
          </w:p>
        </w:tc>
        <w:tc>
          <w:tcPr>
            <w:tcW w:w="420" w:type="dxa"/>
            <w:tcBorders>
              <w:top w:val="single" w:sz="4" w:space="0" w:color="000000"/>
              <w:left w:val="single" w:sz="4" w:space="0" w:color="000000"/>
              <w:bottom w:val="single" w:sz="4" w:space="0" w:color="000000"/>
              <w:right w:val="single" w:sz="8" w:space="0" w:color="000000"/>
            </w:tcBorders>
            <w:shd w:val="clear" w:color="auto" w:fill="BFBFBF"/>
            <w:vAlign w:val="center"/>
          </w:tcPr>
          <w:p w:rsidR="00E8309B" w:rsidRDefault="009D0949">
            <w:pPr>
              <w:spacing w:after="0" w:line="259" w:lineRule="auto"/>
              <w:ind w:left="2" w:right="0" w:firstLine="0"/>
              <w:jc w:val="center"/>
            </w:pPr>
            <w:r>
              <w:rPr>
                <w:sz w:val="20"/>
              </w:rPr>
              <w:t xml:space="preserve"> </w:t>
            </w:r>
          </w:p>
        </w:tc>
        <w:tc>
          <w:tcPr>
            <w:tcW w:w="424" w:type="dxa"/>
            <w:tcBorders>
              <w:top w:val="single" w:sz="4" w:space="0" w:color="000000"/>
              <w:left w:val="single" w:sz="8"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4" w:right="0" w:firstLine="0"/>
              <w:jc w:val="center"/>
            </w:pPr>
            <w:r>
              <w:rPr>
                <w:sz w:val="20"/>
              </w:rPr>
              <w:t xml:space="preserve"> </w:t>
            </w:r>
          </w:p>
        </w:tc>
        <w:tc>
          <w:tcPr>
            <w:tcW w:w="422"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2" w:right="0" w:firstLine="0"/>
              <w:jc w:val="center"/>
            </w:pPr>
            <w:r>
              <w:rPr>
                <w:sz w:val="20"/>
              </w:rPr>
              <w:t xml:space="preserve"> </w:t>
            </w:r>
          </w:p>
        </w:tc>
        <w:tc>
          <w:tcPr>
            <w:tcW w:w="422"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2" w:right="0" w:firstLine="0"/>
              <w:jc w:val="center"/>
            </w:pPr>
            <w:r>
              <w:rPr>
                <w:sz w:val="20"/>
              </w:rPr>
              <w:t xml:space="preserve"> </w:t>
            </w:r>
          </w:p>
        </w:tc>
        <w:tc>
          <w:tcPr>
            <w:tcW w:w="420" w:type="dxa"/>
            <w:tcBorders>
              <w:top w:val="single" w:sz="4" w:space="0" w:color="000000"/>
              <w:left w:val="single" w:sz="4" w:space="0" w:color="000000"/>
              <w:bottom w:val="single" w:sz="4" w:space="0" w:color="000000"/>
              <w:right w:val="single" w:sz="8" w:space="0" w:color="000000"/>
            </w:tcBorders>
            <w:shd w:val="clear" w:color="auto" w:fill="BFBFBF"/>
            <w:vAlign w:val="center"/>
          </w:tcPr>
          <w:p w:rsidR="00E8309B" w:rsidRDefault="009D0949">
            <w:pPr>
              <w:spacing w:after="0" w:line="259" w:lineRule="auto"/>
              <w:ind w:left="5" w:right="0" w:firstLine="0"/>
              <w:jc w:val="center"/>
            </w:pPr>
            <w:r>
              <w:rPr>
                <w:sz w:val="20"/>
              </w:rPr>
              <w:t xml:space="preserve"> </w:t>
            </w:r>
          </w:p>
        </w:tc>
      </w:tr>
      <w:tr w:rsidR="00E8309B">
        <w:trPr>
          <w:trHeight w:val="701"/>
        </w:trPr>
        <w:tc>
          <w:tcPr>
            <w:tcW w:w="427" w:type="dxa"/>
            <w:tcBorders>
              <w:top w:val="single" w:sz="4" w:space="0" w:color="000000"/>
              <w:left w:val="single" w:sz="8" w:space="0" w:color="000000"/>
              <w:bottom w:val="single" w:sz="4" w:space="0" w:color="000000"/>
              <w:right w:val="single" w:sz="8" w:space="0" w:color="000000"/>
            </w:tcBorders>
          </w:tcPr>
          <w:p w:rsidR="00E8309B" w:rsidRDefault="009D0949">
            <w:pPr>
              <w:spacing w:after="0" w:line="259" w:lineRule="auto"/>
              <w:ind w:left="0" w:right="51" w:firstLine="0"/>
              <w:jc w:val="right"/>
            </w:pPr>
            <w:r>
              <w:rPr>
                <w:sz w:val="20"/>
              </w:rPr>
              <w:t xml:space="preserve">4 </w:t>
            </w:r>
          </w:p>
        </w:tc>
        <w:tc>
          <w:tcPr>
            <w:tcW w:w="4123" w:type="dxa"/>
            <w:tcBorders>
              <w:top w:val="single" w:sz="4" w:space="0" w:color="000000"/>
              <w:left w:val="single" w:sz="8" w:space="0" w:color="000000"/>
              <w:bottom w:val="single" w:sz="4" w:space="0" w:color="000000"/>
              <w:right w:val="single" w:sz="8" w:space="0" w:color="000000"/>
            </w:tcBorders>
          </w:tcPr>
          <w:p w:rsidR="00E8309B" w:rsidRDefault="009D0949">
            <w:pPr>
              <w:spacing w:after="0" w:line="259" w:lineRule="auto"/>
              <w:ind w:left="0" w:right="0" w:firstLine="0"/>
              <w:jc w:val="left"/>
            </w:pPr>
            <w:r>
              <w:rPr>
                <w:sz w:val="20"/>
              </w:rPr>
              <w:t xml:space="preserve">Увођење новог система за управљање евиденцијама кроз свеобухватни модел управљања информацијама </w:t>
            </w:r>
          </w:p>
        </w:tc>
        <w:tc>
          <w:tcPr>
            <w:tcW w:w="419" w:type="dxa"/>
            <w:tcBorders>
              <w:top w:val="single" w:sz="4" w:space="0" w:color="000000"/>
              <w:left w:val="single" w:sz="8" w:space="0" w:color="000000"/>
              <w:bottom w:val="single" w:sz="4" w:space="0" w:color="000000"/>
              <w:right w:val="single" w:sz="4" w:space="0" w:color="000000"/>
            </w:tcBorders>
            <w:vAlign w:val="center"/>
          </w:tcPr>
          <w:p w:rsidR="00E8309B" w:rsidRDefault="009D0949">
            <w:pPr>
              <w:spacing w:after="0" w:line="259" w:lineRule="auto"/>
              <w:ind w:left="1" w:right="0" w:firstLine="0"/>
              <w:jc w:val="center"/>
            </w:pPr>
            <w:r>
              <w:rPr>
                <w:sz w:val="20"/>
              </w:rPr>
              <w:t xml:space="preserve"> </w:t>
            </w:r>
          </w:p>
        </w:tc>
        <w:tc>
          <w:tcPr>
            <w:tcW w:w="421"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1" w:right="0" w:firstLine="0"/>
              <w:jc w:val="center"/>
            </w:pPr>
            <w:r>
              <w:rPr>
                <w:sz w:val="20"/>
              </w:rPr>
              <w:t xml:space="preserve"> </w:t>
            </w:r>
          </w:p>
        </w:tc>
        <w:tc>
          <w:tcPr>
            <w:tcW w:w="422"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2" w:right="0" w:firstLine="0"/>
              <w:jc w:val="center"/>
            </w:pPr>
            <w:r>
              <w:rPr>
                <w:sz w:val="20"/>
              </w:rPr>
              <w:t xml:space="preserve"> </w:t>
            </w:r>
          </w:p>
        </w:tc>
        <w:tc>
          <w:tcPr>
            <w:tcW w:w="421" w:type="dxa"/>
            <w:tcBorders>
              <w:top w:val="single" w:sz="4" w:space="0" w:color="000000"/>
              <w:left w:val="single" w:sz="4" w:space="0" w:color="000000"/>
              <w:bottom w:val="single" w:sz="4" w:space="0" w:color="000000"/>
              <w:right w:val="single" w:sz="8" w:space="0" w:color="000000"/>
            </w:tcBorders>
            <w:vAlign w:val="center"/>
          </w:tcPr>
          <w:p w:rsidR="00E8309B" w:rsidRDefault="009D0949">
            <w:pPr>
              <w:spacing w:after="0" w:line="259" w:lineRule="auto"/>
              <w:ind w:left="4" w:right="0" w:firstLine="0"/>
              <w:jc w:val="center"/>
            </w:pPr>
            <w:r>
              <w:rPr>
                <w:sz w:val="20"/>
              </w:rPr>
              <w:t xml:space="preserve"> </w:t>
            </w:r>
          </w:p>
        </w:tc>
        <w:tc>
          <w:tcPr>
            <w:tcW w:w="424" w:type="dxa"/>
            <w:tcBorders>
              <w:top w:val="single" w:sz="4" w:space="0" w:color="000000"/>
              <w:left w:val="single" w:sz="8"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4" w:right="0" w:firstLine="0"/>
              <w:jc w:val="center"/>
            </w:pPr>
            <w:r>
              <w:rPr>
                <w:sz w:val="20"/>
              </w:rPr>
              <w:t xml:space="preserve"> </w:t>
            </w:r>
          </w:p>
        </w:tc>
        <w:tc>
          <w:tcPr>
            <w:tcW w:w="421"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4" w:right="0" w:firstLine="0"/>
              <w:jc w:val="center"/>
            </w:pPr>
            <w:r>
              <w:rPr>
                <w:sz w:val="20"/>
              </w:rPr>
              <w:t xml:space="preserve"> </w:t>
            </w:r>
          </w:p>
        </w:tc>
        <w:tc>
          <w:tcPr>
            <w:tcW w:w="423"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5" w:right="0" w:firstLine="0"/>
              <w:jc w:val="center"/>
            </w:pPr>
            <w:r>
              <w:rPr>
                <w:sz w:val="20"/>
              </w:rPr>
              <w:t xml:space="preserve"> </w:t>
            </w:r>
          </w:p>
        </w:tc>
        <w:tc>
          <w:tcPr>
            <w:tcW w:w="420" w:type="dxa"/>
            <w:tcBorders>
              <w:top w:val="single" w:sz="4" w:space="0" w:color="000000"/>
              <w:left w:val="single" w:sz="4" w:space="0" w:color="000000"/>
              <w:bottom w:val="single" w:sz="4" w:space="0" w:color="000000"/>
              <w:right w:val="single" w:sz="8" w:space="0" w:color="000000"/>
            </w:tcBorders>
            <w:shd w:val="clear" w:color="auto" w:fill="BFBFBF"/>
            <w:vAlign w:val="center"/>
          </w:tcPr>
          <w:p w:rsidR="00E8309B" w:rsidRDefault="009D0949">
            <w:pPr>
              <w:spacing w:after="0" w:line="259" w:lineRule="auto"/>
              <w:ind w:left="2" w:right="0" w:firstLine="0"/>
              <w:jc w:val="center"/>
            </w:pPr>
            <w:r>
              <w:rPr>
                <w:sz w:val="20"/>
              </w:rPr>
              <w:t xml:space="preserve"> </w:t>
            </w:r>
          </w:p>
        </w:tc>
        <w:tc>
          <w:tcPr>
            <w:tcW w:w="424" w:type="dxa"/>
            <w:tcBorders>
              <w:top w:val="single" w:sz="4" w:space="0" w:color="000000"/>
              <w:left w:val="single" w:sz="8"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4" w:right="0" w:firstLine="0"/>
              <w:jc w:val="center"/>
            </w:pPr>
            <w:r>
              <w:rPr>
                <w:sz w:val="20"/>
              </w:rPr>
              <w:t xml:space="preserve"> </w:t>
            </w:r>
          </w:p>
        </w:tc>
        <w:tc>
          <w:tcPr>
            <w:tcW w:w="422"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2" w:right="0" w:firstLine="0"/>
              <w:jc w:val="center"/>
            </w:pPr>
            <w:r>
              <w:rPr>
                <w:sz w:val="20"/>
              </w:rPr>
              <w:t xml:space="preserve"> </w:t>
            </w:r>
          </w:p>
        </w:tc>
        <w:tc>
          <w:tcPr>
            <w:tcW w:w="422"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2" w:right="0" w:firstLine="0"/>
              <w:jc w:val="center"/>
            </w:pPr>
            <w:r>
              <w:rPr>
                <w:sz w:val="20"/>
              </w:rPr>
              <w:t xml:space="preserve"> </w:t>
            </w:r>
          </w:p>
        </w:tc>
        <w:tc>
          <w:tcPr>
            <w:tcW w:w="420" w:type="dxa"/>
            <w:tcBorders>
              <w:top w:val="single" w:sz="4" w:space="0" w:color="000000"/>
              <w:left w:val="single" w:sz="4" w:space="0" w:color="000000"/>
              <w:bottom w:val="single" w:sz="4" w:space="0" w:color="000000"/>
              <w:right w:val="single" w:sz="8" w:space="0" w:color="000000"/>
            </w:tcBorders>
            <w:shd w:val="clear" w:color="auto" w:fill="BFBFBF"/>
            <w:vAlign w:val="center"/>
          </w:tcPr>
          <w:p w:rsidR="00E8309B" w:rsidRDefault="009D0949">
            <w:pPr>
              <w:spacing w:after="0" w:line="259" w:lineRule="auto"/>
              <w:ind w:left="5" w:right="0" w:firstLine="0"/>
              <w:jc w:val="center"/>
            </w:pPr>
            <w:r>
              <w:rPr>
                <w:sz w:val="20"/>
              </w:rPr>
              <w:t xml:space="preserve"> </w:t>
            </w:r>
          </w:p>
        </w:tc>
      </w:tr>
      <w:tr w:rsidR="00E8309B">
        <w:trPr>
          <w:trHeight w:val="470"/>
        </w:trPr>
        <w:tc>
          <w:tcPr>
            <w:tcW w:w="427" w:type="dxa"/>
            <w:tcBorders>
              <w:top w:val="single" w:sz="4" w:space="0" w:color="000000"/>
              <w:left w:val="single" w:sz="8" w:space="0" w:color="000000"/>
              <w:bottom w:val="single" w:sz="4" w:space="0" w:color="000000"/>
              <w:right w:val="single" w:sz="8" w:space="0" w:color="000000"/>
            </w:tcBorders>
          </w:tcPr>
          <w:p w:rsidR="00E8309B" w:rsidRDefault="009D0949">
            <w:pPr>
              <w:spacing w:after="0" w:line="259" w:lineRule="auto"/>
              <w:ind w:left="0" w:right="51" w:firstLine="0"/>
              <w:jc w:val="right"/>
            </w:pPr>
            <w:r>
              <w:rPr>
                <w:sz w:val="20"/>
              </w:rPr>
              <w:t xml:space="preserve">5 </w:t>
            </w:r>
          </w:p>
        </w:tc>
        <w:tc>
          <w:tcPr>
            <w:tcW w:w="4123" w:type="dxa"/>
            <w:tcBorders>
              <w:top w:val="single" w:sz="4" w:space="0" w:color="000000"/>
              <w:left w:val="single" w:sz="8" w:space="0" w:color="000000"/>
              <w:bottom w:val="single" w:sz="4" w:space="0" w:color="000000"/>
              <w:right w:val="single" w:sz="8" w:space="0" w:color="000000"/>
            </w:tcBorders>
          </w:tcPr>
          <w:p w:rsidR="00E8309B" w:rsidRDefault="009D0949">
            <w:pPr>
              <w:spacing w:after="0" w:line="259" w:lineRule="auto"/>
              <w:ind w:left="0" w:right="0" w:firstLine="0"/>
              <w:jc w:val="left"/>
            </w:pPr>
            <w:r>
              <w:rPr>
                <w:sz w:val="20"/>
              </w:rPr>
              <w:t xml:space="preserve">Припрема за другу фазу консолидације пословне мреже  </w:t>
            </w:r>
          </w:p>
        </w:tc>
        <w:tc>
          <w:tcPr>
            <w:tcW w:w="419" w:type="dxa"/>
            <w:tcBorders>
              <w:top w:val="single" w:sz="4" w:space="0" w:color="000000"/>
              <w:left w:val="single" w:sz="8" w:space="0" w:color="000000"/>
              <w:bottom w:val="single" w:sz="4" w:space="0" w:color="000000"/>
              <w:right w:val="single" w:sz="4" w:space="0" w:color="000000"/>
            </w:tcBorders>
            <w:vAlign w:val="center"/>
          </w:tcPr>
          <w:p w:rsidR="00E8309B" w:rsidRDefault="009D0949">
            <w:pPr>
              <w:spacing w:after="0" w:line="259" w:lineRule="auto"/>
              <w:ind w:left="1" w:right="0" w:firstLine="0"/>
              <w:jc w:val="center"/>
            </w:pPr>
            <w:r>
              <w:rPr>
                <w:sz w:val="20"/>
              </w:rPr>
              <w:t xml:space="preserve"> </w:t>
            </w:r>
          </w:p>
        </w:tc>
        <w:tc>
          <w:tcPr>
            <w:tcW w:w="421"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1" w:right="0" w:firstLine="0"/>
              <w:jc w:val="center"/>
            </w:pPr>
            <w:r>
              <w:rPr>
                <w:sz w:val="20"/>
              </w:rPr>
              <w:t xml:space="preserve"> </w:t>
            </w:r>
          </w:p>
        </w:tc>
        <w:tc>
          <w:tcPr>
            <w:tcW w:w="422"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2" w:right="0" w:firstLine="0"/>
              <w:jc w:val="center"/>
            </w:pPr>
            <w:r>
              <w:rPr>
                <w:sz w:val="20"/>
              </w:rPr>
              <w:t xml:space="preserve"> </w:t>
            </w:r>
          </w:p>
        </w:tc>
        <w:tc>
          <w:tcPr>
            <w:tcW w:w="421" w:type="dxa"/>
            <w:tcBorders>
              <w:top w:val="single" w:sz="4" w:space="0" w:color="000000"/>
              <w:left w:val="single" w:sz="4" w:space="0" w:color="000000"/>
              <w:bottom w:val="single" w:sz="4" w:space="0" w:color="000000"/>
              <w:right w:val="single" w:sz="8" w:space="0" w:color="000000"/>
            </w:tcBorders>
            <w:vAlign w:val="center"/>
          </w:tcPr>
          <w:p w:rsidR="00E8309B" w:rsidRDefault="009D0949">
            <w:pPr>
              <w:spacing w:after="0" w:line="259" w:lineRule="auto"/>
              <w:ind w:left="4" w:right="0" w:firstLine="0"/>
              <w:jc w:val="center"/>
            </w:pPr>
            <w:r>
              <w:rPr>
                <w:sz w:val="20"/>
              </w:rPr>
              <w:t xml:space="preserve"> </w:t>
            </w:r>
          </w:p>
        </w:tc>
        <w:tc>
          <w:tcPr>
            <w:tcW w:w="424" w:type="dxa"/>
            <w:tcBorders>
              <w:top w:val="single" w:sz="4" w:space="0" w:color="000000"/>
              <w:left w:val="single" w:sz="8"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4" w:right="0" w:firstLine="0"/>
              <w:jc w:val="center"/>
            </w:pPr>
            <w:r>
              <w:rPr>
                <w:sz w:val="20"/>
              </w:rPr>
              <w:t xml:space="preserve"> </w:t>
            </w:r>
          </w:p>
        </w:tc>
        <w:tc>
          <w:tcPr>
            <w:tcW w:w="421"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4" w:right="0" w:firstLine="0"/>
              <w:jc w:val="center"/>
            </w:pPr>
            <w:r>
              <w:rPr>
                <w:sz w:val="20"/>
              </w:rPr>
              <w:t xml:space="preserve"> </w:t>
            </w:r>
          </w:p>
        </w:tc>
        <w:tc>
          <w:tcPr>
            <w:tcW w:w="423"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5" w:right="0" w:firstLine="0"/>
              <w:jc w:val="center"/>
            </w:pPr>
            <w:r>
              <w:rPr>
                <w:sz w:val="20"/>
              </w:rPr>
              <w:t xml:space="preserve"> </w:t>
            </w:r>
          </w:p>
        </w:tc>
        <w:tc>
          <w:tcPr>
            <w:tcW w:w="420" w:type="dxa"/>
            <w:tcBorders>
              <w:top w:val="single" w:sz="4" w:space="0" w:color="000000"/>
              <w:left w:val="single" w:sz="4" w:space="0" w:color="000000"/>
              <w:bottom w:val="single" w:sz="4" w:space="0" w:color="000000"/>
              <w:right w:val="single" w:sz="8" w:space="0" w:color="000000"/>
            </w:tcBorders>
            <w:shd w:val="clear" w:color="auto" w:fill="BFBFBF"/>
            <w:vAlign w:val="center"/>
          </w:tcPr>
          <w:p w:rsidR="00E8309B" w:rsidRDefault="009D0949">
            <w:pPr>
              <w:spacing w:after="0" w:line="259" w:lineRule="auto"/>
              <w:ind w:left="2" w:right="0" w:firstLine="0"/>
              <w:jc w:val="center"/>
            </w:pPr>
            <w:r>
              <w:rPr>
                <w:sz w:val="20"/>
              </w:rPr>
              <w:t xml:space="preserve"> </w:t>
            </w:r>
          </w:p>
        </w:tc>
        <w:tc>
          <w:tcPr>
            <w:tcW w:w="424" w:type="dxa"/>
            <w:tcBorders>
              <w:top w:val="single" w:sz="4" w:space="0" w:color="000000"/>
              <w:left w:val="single" w:sz="8"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4" w:right="0" w:firstLine="0"/>
              <w:jc w:val="center"/>
            </w:pPr>
            <w:r>
              <w:rPr>
                <w:sz w:val="20"/>
              </w:rPr>
              <w:t xml:space="preserve"> </w:t>
            </w:r>
          </w:p>
        </w:tc>
        <w:tc>
          <w:tcPr>
            <w:tcW w:w="422"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2" w:right="0" w:firstLine="0"/>
              <w:jc w:val="center"/>
            </w:pPr>
            <w:r>
              <w:rPr>
                <w:sz w:val="20"/>
              </w:rPr>
              <w:t xml:space="preserve"> </w:t>
            </w:r>
          </w:p>
        </w:tc>
        <w:tc>
          <w:tcPr>
            <w:tcW w:w="422"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2" w:right="0" w:firstLine="0"/>
              <w:jc w:val="center"/>
            </w:pPr>
            <w:r>
              <w:rPr>
                <w:sz w:val="20"/>
              </w:rPr>
              <w:t xml:space="preserve"> </w:t>
            </w:r>
          </w:p>
        </w:tc>
        <w:tc>
          <w:tcPr>
            <w:tcW w:w="420" w:type="dxa"/>
            <w:tcBorders>
              <w:top w:val="single" w:sz="4" w:space="0" w:color="000000"/>
              <w:left w:val="single" w:sz="4" w:space="0" w:color="000000"/>
              <w:bottom w:val="single" w:sz="4" w:space="0" w:color="000000"/>
              <w:right w:val="single" w:sz="8" w:space="0" w:color="000000"/>
            </w:tcBorders>
            <w:shd w:val="clear" w:color="auto" w:fill="BFBFBF"/>
            <w:vAlign w:val="center"/>
          </w:tcPr>
          <w:p w:rsidR="00E8309B" w:rsidRDefault="009D0949">
            <w:pPr>
              <w:spacing w:after="0" w:line="259" w:lineRule="auto"/>
              <w:ind w:left="5" w:right="0" w:firstLine="0"/>
              <w:jc w:val="center"/>
            </w:pPr>
            <w:r>
              <w:rPr>
                <w:sz w:val="20"/>
              </w:rPr>
              <w:t xml:space="preserve"> </w:t>
            </w:r>
          </w:p>
        </w:tc>
      </w:tr>
      <w:tr w:rsidR="00E8309B">
        <w:trPr>
          <w:trHeight w:val="308"/>
        </w:trPr>
        <w:tc>
          <w:tcPr>
            <w:tcW w:w="427" w:type="dxa"/>
            <w:tcBorders>
              <w:top w:val="single" w:sz="4" w:space="0" w:color="000000"/>
              <w:left w:val="single" w:sz="8" w:space="0" w:color="000000"/>
              <w:bottom w:val="single" w:sz="4" w:space="0" w:color="000000"/>
              <w:right w:val="single" w:sz="8" w:space="0" w:color="000000"/>
            </w:tcBorders>
          </w:tcPr>
          <w:p w:rsidR="00E8309B" w:rsidRDefault="009D0949">
            <w:pPr>
              <w:spacing w:after="0" w:line="259" w:lineRule="auto"/>
              <w:ind w:left="0" w:right="51" w:firstLine="0"/>
              <w:jc w:val="right"/>
            </w:pPr>
            <w:r>
              <w:rPr>
                <w:sz w:val="20"/>
              </w:rPr>
              <w:t xml:space="preserve">6 </w:t>
            </w:r>
          </w:p>
        </w:tc>
        <w:tc>
          <w:tcPr>
            <w:tcW w:w="4123" w:type="dxa"/>
            <w:tcBorders>
              <w:top w:val="single" w:sz="4" w:space="0" w:color="000000"/>
              <w:left w:val="single" w:sz="8" w:space="0" w:color="000000"/>
              <w:bottom w:val="single" w:sz="4" w:space="0" w:color="000000"/>
              <w:right w:val="single" w:sz="8" w:space="0" w:color="000000"/>
            </w:tcBorders>
          </w:tcPr>
          <w:p w:rsidR="00E8309B" w:rsidRDefault="009D0949">
            <w:pPr>
              <w:spacing w:after="0" w:line="259" w:lineRule="auto"/>
              <w:ind w:left="0" w:right="0" w:firstLine="0"/>
              <w:jc w:val="left"/>
            </w:pPr>
            <w:r>
              <w:rPr>
                <w:sz w:val="20"/>
              </w:rPr>
              <w:t xml:space="preserve">Набавка система за нову платформу ИКТ  </w:t>
            </w:r>
          </w:p>
        </w:tc>
        <w:tc>
          <w:tcPr>
            <w:tcW w:w="419" w:type="dxa"/>
            <w:tcBorders>
              <w:top w:val="single" w:sz="4" w:space="0" w:color="000000"/>
              <w:left w:val="single" w:sz="8" w:space="0" w:color="000000"/>
              <w:bottom w:val="single" w:sz="4" w:space="0" w:color="000000"/>
              <w:right w:val="single" w:sz="4" w:space="0" w:color="000000"/>
            </w:tcBorders>
          </w:tcPr>
          <w:p w:rsidR="00E8309B" w:rsidRDefault="009D0949">
            <w:pPr>
              <w:spacing w:after="0" w:line="259" w:lineRule="auto"/>
              <w:ind w:left="1" w:right="0" w:firstLine="0"/>
              <w:jc w:val="center"/>
            </w:pPr>
            <w:r>
              <w:rPr>
                <w:sz w:val="20"/>
              </w:rPr>
              <w:t xml:space="preserve"> </w:t>
            </w:r>
          </w:p>
        </w:tc>
        <w:tc>
          <w:tcPr>
            <w:tcW w:w="421"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1" w:right="0" w:firstLine="0"/>
              <w:jc w:val="center"/>
            </w:pPr>
            <w:r>
              <w:rPr>
                <w:sz w:val="20"/>
              </w:rPr>
              <w:t xml:space="preserve"> </w:t>
            </w:r>
          </w:p>
        </w:tc>
        <w:tc>
          <w:tcPr>
            <w:tcW w:w="422"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2" w:right="0" w:firstLine="0"/>
              <w:jc w:val="center"/>
            </w:pPr>
            <w:r>
              <w:rPr>
                <w:sz w:val="20"/>
              </w:rPr>
              <w:t xml:space="preserve"> </w:t>
            </w:r>
          </w:p>
        </w:tc>
        <w:tc>
          <w:tcPr>
            <w:tcW w:w="421" w:type="dxa"/>
            <w:tcBorders>
              <w:top w:val="single" w:sz="4" w:space="0" w:color="000000"/>
              <w:left w:val="single" w:sz="4" w:space="0" w:color="000000"/>
              <w:bottom w:val="single" w:sz="4" w:space="0" w:color="000000"/>
              <w:right w:val="single" w:sz="8" w:space="0" w:color="000000"/>
            </w:tcBorders>
          </w:tcPr>
          <w:p w:rsidR="00E8309B" w:rsidRDefault="009D0949">
            <w:pPr>
              <w:spacing w:after="0" w:line="259" w:lineRule="auto"/>
              <w:ind w:left="4" w:right="0" w:firstLine="0"/>
              <w:jc w:val="center"/>
            </w:pPr>
            <w:r>
              <w:rPr>
                <w:sz w:val="20"/>
              </w:rPr>
              <w:t xml:space="preserve"> </w:t>
            </w:r>
          </w:p>
        </w:tc>
        <w:tc>
          <w:tcPr>
            <w:tcW w:w="424" w:type="dxa"/>
            <w:tcBorders>
              <w:top w:val="single" w:sz="4" w:space="0" w:color="000000"/>
              <w:left w:val="single" w:sz="8" w:space="0" w:color="000000"/>
              <w:bottom w:val="single" w:sz="4" w:space="0" w:color="000000"/>
              <w:right w:val="single" w:sz="4" w:space="0" w:color="000000"/>
            </w:tcBorders>
            <w:shd w:val="clear" w:color="auto" w:fill="BFBFBF"/>
          </w:tcPr>
          <w:p w:rsidR="00E8309B" w:rsidRDefault="009D0949">
            <w:pPr>
              <w:spacing w:after="0" w:line="259" w:lineRule="auto"/>
              <w:ind w:left="4" w:right="0" w:firstLine="0"/>
              <w:jc w:val="center"/>
            </w:pPr>
            <w:r>
              <w:rPr>
                <w:sz w:val="20"/>
              </w:rPr>
              <w:t xml:space="preserve"> </w:t>
            </w:r>
          </w:p>
        </w:tc>
        <w:tc>
          <w:tcPr>
            <w:tcW w:w="421" w:type="dxa"/>
            <w:tcBorders>
              <w:top w:val="single" w:sz="4" w:space="0" w:color="000000"/>
              <w:left w:val="single" w:sz="4" w:space="0" w:color="000000"/>
              <w:bottom w:val="single" w:sz="4" w:space="0" w:color="000000"/>
              <w:right w:val="single" w:sz="4" w:space="0" w:color="000000"/>
            </w:tcBorders>
            <w:shd w:val="clear" w:color="auto" w:fill="BFBFBF"/>
          </w:tcPr>
          <w:p w:rsidR="00E8309B" w:rsidRDefault="009D0949">
            <w:pPr>
              <w:spacing w:after="0" w:line="259" w:lineRule="auto"/>
              <w:ind w:left="4" w:right="0" w:firstLine="0"/>
              <w:jc w:val="center"/>
            </w:pPr>
            <w:r>
              <w:rPr>
                <w:sz w:val="20"/>
              </w:rPr>
              <w:t xml:space="preserve"> </w:t>
            </w:r>
          </w:p>
        </w:tc>
        <w:tc>
          <w:tcPr>
            <w:tcW w:w="423" w:type="dxa"/>
            <w:tcBorders>
              <w:top w:val="single" w:sz="4" w:space="0" w:color="000000"/>
              <w:left w:val="single" w:sz="4" w:space="0" w:color="000000"/>
              <w:bottom w:val="single" w:sz="4" w:space="0" w:color="000000"/>
              <w:right w:val="single" w:sz="4" w:space="0" w:color="000000"/>
            </w:tcBorders>
            <w:shd w:val="clear" w:color="auto" w:fill="BFBFBF"/>
          </w:tcPr>
          <w:p w:rsidR="00E8309B" w:rsidRDefault="009D0949">
            <w:pPr>
              <w:spacing w:after="0" w:line="259" w:lineRule="auto"/>
              <w:ind w:left="5" w:right="0" w:firstLine="0"/>
              <w:jc w:val="center"/>
            </w:pPr>
            <w:r>
              <w:rPr>
                <w:sz w:val="20"/>
              </w:rPr>
              <w:t xml:space="preserve"> </w:t>
            </w:r>
          </w:p>
        </w:tc>
        <w:tc>
          <w:tcPr>
            <w:tcW w:w="420" w:type="dxa"/>
            <w:tcBorders>
              <w:top w:val="single" w:sz="4" w:space="0" w:color="000000"/>
              <w:left w:val="single" w:sz="4" w:space="0" w:color="000000"/>
              <w:bottom w:val="single" w:sz="4" w:space="0" w:color="000000"/>
              <w:right w:val="single" w:sz="8" w:space="0" w:color="000000"/>
            </w:tcBorders>
            <w:shd w:val="clear" w:color="auto" w:fill="BFBFBF"/>
          </w:tcPr>
          <w:p w:rsidR="00E8309B" w:rsidRDefault="009D0949">
            <w:pPr>
              <w:spacing w:after="0" w:line="259" w:lineRule="auto"/>
              <w:ind w:left="2" w:right="0" w:firstLine="0"/>
              <w:jc w:val="center"/>
            </w:pPr>
            <w:r>
              <w:rPr>
                <w:sz w:val="20"/>
              </w:rPr>
              <w:t xml:space="preserve"> </w:t>
            </w:r>
          </w:p>
        </w:tc>
        <w:tc>
          <w:tcPr>
            <w:tcW w:w="424" w:type="dxa"/>
            <w:tcBorders>
              <w:top w:val="single" w:sz="4" w:space="0" w:color="000000"/>
              <w:left w:val="single" w:sz="8" w:space="0" w:color="000000"/>
              <w:bottom w:val="single" w:sz="4" w:space="0" w:color="000000"/>
              <w:right w:val="single" w:sz="4" w:space="0" w:color="000000"/>
            </w:tcBorders>
            <w:shd w:val="clear" w:color="auto" w:fill="BFBFBF"/>
          </w:tcPr>
          <w:p w:rsidR="00E8309B" w:rsidRDefault="009D0949">
            <w:pPr>
              <w:spacing w:after="0" w:line="259" w:lineRule="auto"/>
              <w:ind w:left="4" w:right="0" w:firstLine="0"/>
              <w:jc w:val="center"/>
            </w:pPr>
            <w:r>
              <w:rPr>
                <w:sz w:val="20"/>
              </w:rPr>
              <w:t xml:space="preserve"> </w:t>
            </w:r>
          </w:p>
        </w:tc>
        <w:tc>
          <w:tcPr>
            <w:tcW w:w="422" w:type="dxa"/>
            <w:tcBorders>
              <w:top w:val="single" w:sz="4" w:space="0" w:color="000000"/>
              <w:left w:val="single" w:sz="4" w:space="0" w:color="000000"/>
              <w:bottom w:val="single" w:sz="4" w:space="0" w:color="000000"/>
              <w:right w:val="single" w:sz="4" w:space="0" w:color="000000"/>
            </w:tcBorders>
            <w:shd w:val="clear" w:color="auto" w:fill="BFBFBF"/>
          </w:tcPr>
          <w:p w:rsidR="00E8309B" w:rsidRDefault="009D0949">
            <w:pPr>
              <w:spacing w:after="0" w:line="259" w:lineRule="auto"/>
              <w:ind w:left="2" w:right="0" w:firstLine="0"/>
              <w:jc w:val="center"/>
            </w:pPr>
            <w:r>
              <w:rPr>
                <w:sz w:val="20"/>
              </w:rPr>
              <w:t xml:space="preserve"> </w:t>
            </w:r>
          </w:p>
        </w:tc>
        <w:tc>
          <w:tcPr>
            <w:tcW w:w="422" w:type="dxa"/>
            <w:tcBorders>
              <w:top w:val="single" w:sz="4" w:space="0" w:color="000000"/>
              <w:left w:val="single" w:sz="4" w:space="0" w:color="000000"/>
              <w:bottom w:val="single" w:sz="4" w:space="0" w:color="000000"/>
              <w:right w:val="single" w:sz="4" w:space="0" w:color="000000"/>
            </w:tcBorders>
            <w:shd w:val="clear" w:color="auto" w:fill="BFBFBF"/>
          </w:tcPr>
          <w:p w:rsidR="00E8309B" w:rsidRDefault="009D0949">
            <w:pPr>
              <w:spacing w:after="0" w:line="259" w:lineRule="auto"/>
              <w:ind w:left="2" w:right="0" w:firstLine="0"/>
              <w:jc w:val="center"/>
            </w:pPr>
            <w:r>
              <w:rPr>
                <w:sz w:val="20"/>
              </w:rPr>
              <w:t xml:space="preserve"> </w:t>
            </w:r>
          </w:p>
        </w:tc>
        <w:tc>
          <w:tcPr>
            <w:tcW w:w="420" w:type="dxa"/>
            <w:tcBorders>
              <w:top w:val="single" w:sz="4" w:space="0" w:color="000000"/>
              <w:left w:val="single" w:sz="4" w:space="0" w:color="000000"/>
              <w:bottom w:val="single" w:sz="4" w:space="0" w:color="000000"/>
              <w:right w:val="single" w:sz="8" w:space="0" w:color="000000"/>
            </w:tcBorders>
            <w:shd w:val="clear" w:color="auto" w:fill="BFBFBF"/>
          </w:tcPr>
          <w:p w:rsidR="00E8309B" w:rsidRDefault="009D0949">
            <w:pPr>
              <w:spacing w:after="0" w:line="259" w:lineRule="auto"/>
              <w:ind w:left="5" w:right="0" w:firstLine="0"/>
              <w:jc w:val="center"/>
            </w:pPr>
            <w:r>
              <w:rPr>
                <w:sz w:val="20"/>
              </w:rPr>
              <w:t xml:space="preserve"> </w:t>
            </w:r>
          </w:p>
        </w:tc>
      </w:tr>
    </w:tbl>
    <w:p w:rsidR="00E8309B" w:rsidRDefault="009D0949">
      <w:pPr>
        <w:spacing w:after="0" w:line="271" w:lineRule="auto"/>
        <w:ind w:left="-5" w:right="9"/>
      </w:pPr>
      <w:r>
        <w:rPr>
          <w:b/>
        </w:rPr>
        <w:t>4.</w:t>
      </w:r>
      <w:r>
        <w:rPr>
          <w:rFonts w:ascii="Arial" w:eastAsia="Arial" w:hAnsi="Arial" w:cs="Arial"/>
          <w:b/>
        </w:rPr>
        <w:t xml:space="preserve"> </w:t>
      </w:r>
      <w:r>
        <w:rPr>
          <w:b/>
        </w:rPr>
        <w:t xml:space="preserve">Индикатори рeзултата  </w:t>
      </w:r>
    </w:p>
    <w:tbl>
      <w:tblPr>
        <w:tblStyle w:val="TableGrid"/>
        <w:tblW w:w="9635" w:type="dxa"/>
        <w:tblInd w:w="5" w:type="dxa"/>
        <w:tblCellMar>
          <w:top w:w="10" w:type="dxa"/>
          <w:left w:w="110" w:type="dxa"/>
          <w:bottom w:w="0" w:type="dxa"/>
          <w:right w:w="56" w:type="dxa"/>
        </w:tblCellMar>
        <w:tblLook w:val="04A0" w:firstRow="1" w:lastRow="0" w:firstColumn="1" w:lastColumn="0" w:noHBand="0" w:noVBand="1"/>
      </w:tblPr>
      <w:tblGrid>
        <w:gridCol w:w="4107"/>
        <w:gridCol w:w="1841"/>
        <w:gridCol w:w="1844"/>
        <w:gridCol w:w="1843"/>
      </w:tblGrid>
      <w:tr w:rsidR="00E8309B">
        <w:trPr>
          <w:trHeight w:val="470"/>
        </w:trPr>
        <w:tc>
          <w:tcPr>
            <w:tcW w:w="4107"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0" w:right="0" w:firstLine="0"/>
              <w:jc w:val="left"/>
            </w:pPr>
            <w:r>
              <w:rPr>
                <w:b/>
                <w:sz w:val="20"/>
              </w:rPr>
              <w:t xml:space="preserve">Показатељ </w:t>
            </w:r>
          </w:p>
        </w:tc>
        <w:tc>
          <w:tcPr>
            <w:tcW w:w="1841"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44" w:right="50" w:firstLine="0"/>
              <w:jc w:val="right"/>
            </w:pPr>
            <w:r>
              <w:rPr>
                <w:b/>
                <w:sz w:val="20"/>
              </w:rPr>
              <w:t xml:space="preserve">Почетна вредност (2015) </w:t>
            </w:r>
          </w:p>
        </w:tc>
        <w:tc>
          <w:tcPr>
            <w:tcW w:w="1844"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50" w:firstLine="0"/>
              <w:jc w:val="right"/>
            </w:pPr>
            <w:r>
              <w:rPr>
                <w:b/>
                <w:sz w:val="20"/>
              </w:rPr>
              <w:t xml:space="preserve">Међурезултат (2019) </w:t>
            </w:r>
          </w:p>
        </w:tc>
        <w:tc>
          <w:tcPr>
            <w:tcW w:w="1843"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49" w:firstLine="0"/>
              <w:jc w:val="right"/>
            </w:pPr>
            <w:r>
              <w:rPr>
                <w:b/>
                <w:sz w:val="20"/>
              </w:rPr>
              <w:t xml:space="preserve">Циљна вредност (2023) </w:t>
            </w:r>
          </w:p>
        </w:tc>
      </w:tr>
      <w:tr w:rsidR="00E8309B">
        <w:trPr>
          <w:trHeight w:val="470"/>
        </w:trPr>
        <w:tc>
          <w:tcPr>
            <w:tcW w:w="4107"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0" w:firstLine="0"/>
            </w:pPr>
            <w:r>
              <w:rPr>
                <w:sz w:val="20"/>
              </w:rPr>
              <w:t xml:space="preserve">Новорегистровани порески обвезници у календарској години (у %)* </w:t>
            </w:r>
          </w:p>
        </w:tc>
        <w:tc>
          <w:tcPr>
            <w:tcW w:w="1841"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49" w:firstLine="0"/>
              <w:jc w:val="right"/>
            </w:pPr>
            <w:r>
              <w:rPr>
                <w:sz w:val="20"/>
              </w:rPr>
              <w:t xml:space="preserve">112,93 </w:t>
            </w:r>
          </w:p>
        </w:tc>
        <w:tc>
          <w:tcPr>
            <w:tcW w:w="1844"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50" w:firstLine="0"/>
              <w:jc w:val="right"/>
            </w:pPr>
            <w:r>
              <w:rPr>
                <w:sz w:val="20"/>
              </w:rPr>
              <w:t xml:space="preserve">106,77 </w:t>
            </w:r>
          </w:p>
        </w:tc>
        <w:tc>
          <w:tcPr>
            <w:tcW w:w="1843"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50" w:firstLine="0"/>
              <w:jc w:val="right"/>
            </w:pPr>
            <w:r>
              <w:rPr>
                <w:sz w:val="20"/>
              </w:rPr>
              <w:t xml:space="preserve">104,08 </w:t>
            </w:r>
          </w:p>
        </w:tc>
      </w:tr>
      <w:tr w:rsidR="00E8309B">
        <w:trPr>
          <w:trHeight w:val="470"/>
        </w:trPr>
        <w:tc>
          <w:tcPr>
            <w:tcW w:w="4107"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0" w:firstLine="0"/>
              <w:jc w:val="left"/>
            </w:pPr>
            <w:r>
              <w:rPr>
                <w:sz w:val="20"/>
              </w:rPr>
              <w:t>Раст новооткривених прихода по годинама (у %)**</w:t>
            </w:r>
            <w:r>
              <w:rPr>
                <w:b/>
                <w:sz w:val="20"/>
              </w:rPr>
              <w:t xml:space="preserve"> </w:t>
            </w:r>
          </w:p>
        </w:tc>
        <w:tc>
          <w:tcPr>
            <w:tcW w:w="1841"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49" w:firstLine="0"/>
              <w:jc w:val="right"/>
            </w:pPr>
            <w:r>
              <w:rPr>
                <w:sz w:val="20"/>
              </w:rPr>
              <w:t xml:space="preserve">131,30 </w:t>
            </w:r>
          </w:p>
        </w:tc>
        <w:tc>
          <w:tcPr>
            <w:tcW w:w="1844"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49" w:firstLine="0"/>
              <w:jc w:val="right"/>
            </w:pPr>
            <w:r>
              <w:rPr>
                <w:sz w:val="20"/>
              </w:rPr>
              <w:t xml:space="preserve">93,12 </w:t>
            </w:r>
          </w:p>
        </w:tc>
        <w:tc>
          <w:tcPr>
            <w:tcW w:w="1843"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50" w:firstLine="0"/>
              <w:jc w:val="right"/>
            </w:pPr>
            <w:r>
              <w:rPr>
                <w:sz w:val="20"/>
              </w:rPr>
              <w:t xml:space="preserve">108,26 </w:t>
            </w:r>
          </w:p>
        </w:tc>
      </w:tr>
      <w:tr w:rsidR="00E8309B">
        <w:trPr>
          <w:trHeight w:val="293"/>
        </w:trPr>
        <w:tc>
          <w:tcPr>
            <w:tcW w:w="4107"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0" w:firstLine="0"/>
              <w:jc w:val="left"/>
            </w:pPr>
            <w:r>
              <w:rPr>
                <w:sz w:val="20"/>
              </w:rPr>
              <w:t>Степен остварења наплатног задатка (у %)***</w:t>
            </w:r>
            <w:r>
              <w:rPr>
                <w:b/>
                <w:sz w:val="20"/>
              </w:rPr>
              <w:t xml:space="preserve"> </w:t>
            </w:r>
          </w:p>
        </w:tc>
        <w:tc>
          <w:tcPr>
            <w:tcW w:w="1841"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49" w:firstLine="0"/>
              <w:jc w:val="right"/>
            </w:pPr>
            <w:r>
              <w:rPr>
                <w:sz w:val="20"/>
              </w:rPr>
              <w:t xml:space="preserve">103,90 </w:t>
            </w:r>
          </w:p>
        </w:tc>
        <w:tc>
          <w:tcPr>
            <w:tcW w:w="1844"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50" w:firstLine="0"/>
              <w:jc w:val="right"/>
            </w:pPr>
            <w:r>
              <w:rPr>
                <w:sz w:val="20"/>
              </w:rPr>
              <w:t xml:space="preserve">101,00 </w:t>
            </w:r>
          </w:p>
        </w:tc>
        <w:tc>
          <w:tcPr>
            <w:tcW w:w="1843"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50" w:firstLine="0"/>
              <w:jc w:val="right"/>
            </w:pPr>
            <w:r>
              <w:rPr>
                <w:sz w:val="20"/>
              </w:rPr>
              <w:t xml:space="preserve">101,00 </w:t>
            </w:r>
          </w:p>
        </w:tc>
      </w:tr>
    </w:tbl>
    <w:p w:rsidR="00E8309B" w:rsidRDefault="009D0949">
      <w:pPr>
        <w:spacing w:after="71" w:line="252" w:lineRule="auto"/>
        <w:ind w:left="0" w:firstLine="0"/>
      </w:pPr>
      <w:r>
        <w:rPr>
          <w:sz w:val="18"/>
        </w:rPr>
        <w:t xml:space="preserve">* </w:t>
      </w:r>
      <w:r>
        <w:rPr>
          <w:sz w:val="18"/>
        </w:rPr>
        <w:t>Показатељ представља индекс године коју посматрамо у односу на претходну годину израчунат на основу стварних вредности, укупног броја новорегистрованих пореских обвезника, док циљна вредност представља индекс две узастопне године на основу прогнозираног бр</w:t>
      </w:r>
      <w:r>
        <w:rPr>
          <w:sz w:val="18"/>
        </w:rPr>
        <w:t xml:space="preserve">оја новорегистрованих пореских обвезника. </w:t>
      </w:r>
      <w:r>
        <w:rPr>
          <w:rFonts w:ascii="Tahoma" w:eastAsia="Tahoma" w:hAnsi="Tahoma" w:cs="Tahoma"/>
          <w:sz w:val="18"/>
        </w:rPr>
        <w:t xml:space="preserve"> </w:t>
      </w:r>
    </w:p>
    <w:p w:rsidR="00E8309B" w:rsidRDefault="009D0949">
      <w:pPr>
        <w:spacing w:after="71" w:line="268" w:lineRule="auto"/>
        <w:ind w:left="-5" w:right="0"/>
        <w:jc w:val="left"/>
      </w:pPr>
      <w:r>
        <w:rPr>
          <w:sz w:val="18"/>
        </w:rPr>
        <w:t xml:space="preserve">** </w:t>
      </w:r>
      <w:r>
        <w:rPr>
          <w:sz w:val="18"/>
        </w:rPr>
        <w:t xml:space="preserve">Показатељ представља индекс године коју посматрамо у односу на претходну годину израчунат на основу евидентираних новооткривених прихода, док циљна вредност представља индекс две узастопне године  израчунат на основу прогнозираних новооткривених прихода. </w:t>
      </w:r>
    </w:p>
    <w:p w:rsidR="00E8309B" w:rsidRDefault="009D0949">
      <w:pPr>
        <w:spacing w:after="203" w:line="268" w:lineRule="auto"/>
        <w:ind w:left="-5" w:right="0"/>
        <w:jc w:val="left"/>
      </w:pPr>
      <w:r>
        <w:rPr>
          <w:sz w:val="18"/>
        </w:rPr>
        <w:t xml:space="preserve">***Показатељ представља однос остварене наплате најважнијих прихода буџета Републике Србије у датој години, у односу на буџетом планиране износе за ту годину. </w:t>
      </w:r>
    </w:p>
    <w:p w:rsidR="00E8309B" w:rsidRDefault="009D0949">
      <w:pPr>
        <w:numPr>
          <w:ilvl w:val="0"/>
          <w:numId w:val="26"/>
        </w:numPr>
        <w:spacing w:after="79" w:line="271" w:lineRule="auto"/>
        <w:ind w:right="9" w:hanging="360"/>
      </w:pPr>
      <w:r>
        <w:rPr>
          <w:b/>
        </w:rPr>
        <w:t xml:space="preserve">Очекивани утицај на конкурентност </w:t>
      </w:r>
    </w:p>
    <w:p w:rsidR="00E8309B" w:rsidRDefault="009D0949">
      <w:pPr>
        <w:ind w:left="-5" w:right="17"/>
      </w:pPr>
      <w:r>
        <w:t>Спровођење Програма трансформације индиректно утиче на јачање</w:t>
      </w:r>
      <w:r>
        <w:t xml:space="preserve"> конкурентности домаћих предузећа. Путем аутоматских/електронских, једноставних и бесплатних пореских процедура, администрирање пореских обавеза оставља предузећима више средстава и времена да се посвете побољшању квалитета производа и услуга, што директно</w:t>
      </w:r>
      <w:r>
        <w:t xml:space="preserve"> утиче на повећање конкурентности. Смањењем сиве економије повећава се конкурентност привредних субјеката који послују уз поштовање пореских прописа. </w:t>
      </w:r>
    </w:p>
    <w:p w:rsidR="00E8309B" w:rsidRDefault="009D0949">
      <w:pPr>
        <w:numPr>
          <w:ilvl w:val="0"/>
          <w:numId w:val="26"/>
        </w:numPr>
        <w:spacing w:after="79" w:line="271" w:lineRule="auto"/>
        <w:ind w:right="9" w:hanging="360"/>
      </w:pPr>
      <w:r>
        <w:rPr>
          <w:b/>
        </w:rPr>
        <w:t xml:space="preserve">Процењени трошкови спровођења структурне реформе и предвиђени извори њиховог финансирања </w:t>
      </w:r>
    </w:p>
    <w:p w:rsidR="00E8309B" w:rsidRDefault="009D0949">
      <w:pPr>
        <w:spacing w:after="162"/>
        <w:ind w:left="-5" w:right="17"/>
      </w:pPr>
      <w:r>
        <w:t>Највећи део акт</w:t>
      </w:r>
      <w:r>
        <w:t>ивности биће финансирана из кредитне линије Светске банке, док ће само активност „Даљи развој платформе информационих система“ у 2021. години бити финансирана из буџета РС. Процењени су трошкови од 9,2 милиона евра за 2021. годину и то: 1,4 милиона евра за</w:t>
      </w:r>
      <w:r>
        <w:t xml:space="preserve"> реинжењеринг пословних процеса, 3,9 милиона евра за даљи развој платформе информационих система и 3,9 милиона евра за реализацију активности из Плана набавке ТАМП-а. Планирани су трошкови од 14,6 милиона евра у 2022. години и 11,4 милиона евра у 2023. год</w:t>
      </w:r>
      <w:r>
        <w:t>ини за спровођење следећих активности: увођење савременог система за управљање евиденцијама кроз свеобухватни модел управљања информацијама, припрему за другу фазу консолидације пословне мреже, набавку система за нову ИКТ платформу и реализацију активности</w:t>
      </w:r>
      <w:r>
        <w:t xml:space="preserve"> из Плана набавке. </w:t>
      </w:r>
      <w:r>
        <w:rPr>
          <w:i/>
        </w:rPr>
        <w:t xml:space="preserve"> </w:t>
      </w:r>
    </w:p>
    <w:p w:rsidR="00E8309B" w:rsidRDefault="009D0949">
      <w:pPr>
        <w:numPr>
          <w:ilvl w:val="0"/>
          <w:numId w:val="26"/>
        </w:numPr>
        <w:spacing w:after="79" w:line="271" w:lineRule="auto"/>
        <w:ind w:right="9" w:hanging="360"/>
      </w:pPr>
      <w:r>
        <w:rPr>
          <w:b/>
        </w:rPr>
        <w:t xml:space="preserve">Очекивани утицај на социјалне циљеве, као што су запосленост, смањење сиромаштва, једнакост и род </w:t>
      </w:r>
    </w:p>
    <w:p w:rsidR="00E8309B" w:rsidRDefault="009D0949">
      <w:pPr>
        <w:spacing w:after="160"/>
        <w:ind w:left="-5" w:right="17"/>
      </w:pPr>
      <w:r>
        <w:t>Унапређење ефикасности Пореске управе учиниће процес утврђивања и плаћања пореза једноставнијим, предвидљивијим, конзистентнијим и еконо</w:t>
      </w:r>
      <w:r>
        <w:t>мичнијим, чиме ће се унапредити равноправност учесника на тржишту. Јасна пореска правила охрабрују грађане у намери да започну сопствени посао и на тај начин допринесу повећању запослености и укупног друштвеног раста. Бољом наплатом пореза веће су могућнос</w:t>
      </w:r>
      <w:r>
        <w:t xml:space="preserve">ти буџетских издвајања за социјалну заштиту, образовање и здравство. Реформа ће имати подједнак позитиван утицај на оба пола.  </w:t>
      </w:r>
    </w:p>
    <w:p w:rsidR="00E8309B" w:rsidRDefault="009D0949">
      <w:pPr>
        <w:numPr>
          <w:ilvl w:val="0"/>
          <w:numId w:val="26"/>
        </w:numPr>
        <w:spacing w:after="79" w:line="271" w:lineRule="auto"/>
        <w:ind w:right="9" w:hanging="360"/>
      </w:pPr>
      <w:r>
        <w:rPr>
          <w:b/>
        </w:rPr>
        <w:t xml:space="preserve">Очекивани утицај на животну средину </w:t>
      </w:r>
    </w:p>
    <w:p w:rsidR="00E8309B" w:rsidRDefault="009D0949">
      <w:pPr>
        <w:spacing w:after="6"/>
        <w:ind w:left="-5" w:right="17"/>
      </w:pPr>
      <w:r>
        <w:t>Кроз пројекат су ангажовани стручњаци за заштиту животне средине, чији је задатак да помогн</w:t>
      </w:r>
      <w:r>
        <w:t>е ПУРС-у: да успешно имплементира и надгледа пројектне активности које подлежу ризицима заштите животне средине и да управљају њиховим утицајима; да припреми специфичне планове управљања животном средином (укључују планове ублажавања и праћења стања животн</w:t>
      </w:r>
      <w:r>
        <w:t xml:space="preserve">е средине за потпројекте) како би се осигурала ефективна заштита животне средине, здравље и безбедност на раду. </w:t>
      </w:r>
      <w:r>
        <w:rPr>
          <w:b/>
        </w:rPr>
        <w:t>9.</w:t>
      </w:r>
      <w:r>
        <w:rPr>
          <w:rFonts w:ascii="Arial" w:eastAsia="Arial" w:hAnsi="Arial" w:cs="Arial"/>
          <w:b/>
        </w:rPr>
        <w:t xml:space="preserve"> </w:t>
      </w:r>
      <w:r>
        <w:rPr>
          <w:b/>
        </w:rPr>
        <w:t xml:space="preserve">Потенцијални ризици </w:t>
      </w:r>
    </w:p>
    <w:tbl>
      <w:tblPr>
        <w:tblStyle w:val="TableGrid"/>
        <w:tblW w:w="9696" w:type="dxa"/>
        <w:tblInd w:w="0" w:type="dxa"/>
        <w:tblCellMar>
          <w:top w:w="45" w:type="dxa"/>
          <w:left w:w="108" w:type="dxa"/>
          <w:bottom w:w="0" w:type="dxa"/>
          <w:right w:w="176" w:type="dxa"/>
        </w:tblCellMar>
        <w:tblLook w:val="04A0" w:firstRow="1" w:lastRow="0" w:firstColumn="1" w:lastColumn="0" w:noHBand="0" w:noVBand="1"/>
      </w:tblPr>
      <w:tblGrid>
        <w:gridCol w:w="3330"/>
        <w:gridCol w:w="2201"/>
        <w:gridCol w:w="4165"/>
      </w:tblGrid>
      <w:tr w:rsidR="00E8309B">
        <w:trPr>
          <w:trHeight w:val="470"/>
        </w:trPr>
        <w:tc>
          <w:tcPr>
            <w:tcW w:w="3330"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0" w:right="0" w:firstLine="0"/>
              <w:jc w:val="left"/>
            </w:pPr>
            <w:r>
              <w:rPr>
                <w:b/>
                <w:sz w:val="20"/>
              </w:rPr>
              <w:t xml:space="preserve">Ризик </w:t>
            </w:r>
          </w:p>
        </w:tc>
        <w:tc>
          <w:tcPr>
            <w:tcW w:w="2201"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2" w:right="0" w:firstLine="0"/>
              <w:jc w:val="left"/>
            </w:pPr>
            <w:r>
              <w:rPr>
                <w:b/>
                <w:sz w:val="20"/>
              </w:rPr>
              <w:t xml:space="preserve">Вероватноћа за остваривање ризика </w:t>
            </w:r>
          </w:p>
        </w:tc>
        <w:tc>
          <w:tcPr>
            <w:tcW w:w="4165"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0" w:firstLine="0"/>
              <w:jc w:val="left"/>
            </w:pPr>
            <w:r>
              <w:rPr>
                <w:b/>
                <w:sz w:val="20"/>
              </w:rPr>
              <w:t xml:space="preserve">Активност за ублажавање негативних ефеката ризика </w:t>
            </w:r>
          </w:p>
        </w:tc>
      </w:tr>
      <w:tr w:rsidR="00E8309B">
        <w:trPr>
          <w:trHeight w:val="931"/>
        </w:trPr>
        <w:tc>
          <w:tcPr>
            <w:tcW w:w="3330"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0" w:firstLine="0"/>
              <w:jc w:val="left"/>
            </w:pPr>
            <w:r>
              <w:rPr>
                <w:sz w:val="20"/>
              </w:rPr>
              <w:t xml:space="preserve">Кашњење нових законодавних оквира заснованих на ИКТ и потребама реформе ПУРС, или неприхватање измена за постојеће </w:t>
            </w:r>
          </w:p>
        </w:tc>
        <w:tc>
          <w:tcPr>
            <w:tcW w:w="2201"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2" w:right="0" w:firstLine="0"/>
              <w:jc w:val="left"/>
            </w:pPr>
            <w:r>
              <w:rPr>
                <w:sz w:val="20"/>
              </w:rPr>
              <w:t xml:space="preserve">Средња </w:t>
            </w:r>
          </w:p>
        </w:tc>
        <w:tc>
          <w:tcPr>
            <w:tcW w:w="4165"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0" w:firstLine="0"/>
              <w:jc w:val="left"/>
            </w:pPr>
            <w:r>
              <w:rPr>
                <w:sz w:val="20"/>
              </w:rPr>
              <w:t xml:space="preserve">Чвршћа сарадња са Министарством финансија (Сектор за фискални систем) и Канцеларијом за ИТ и е-управу </w:t>
            </w:r>
          </w:p>
        </w:tc>
      </w:tr>
      <w:tr w:rsidR="00E8309B">
        <w:trPr>
          <w:trHeight w:val="699"/>
        </w:trPr>
        <w:tc>
          <w:tcPr>
            <w:tcW w:w="3330"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0" w:firstLine="0"/>
              <w:jc w:val="left"/>
            </w:pPr>
            <w:r>
              <w:rPr>
                <w:sz w:val="20"/>
              </w:rPr>
              <w:t xml:space="preserve">Недостатак координације/ комуникације између државних институција </w:t>
            </w:r>
          </w:p>
        </w:tc>
        <w:tc>
          <w:tcPr>
            <w:tcW w:w="2201"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2" w:right="0" w:firstLine="0"/>
              <w:jc w:val="left"/>
            </w:pPr>
            <w:r>
              <w:rPr>
                <w:sz w:val="20"/>
              </w:rPr>
              <w:t xml:space="preserve">Средња </w:t>
            </w:r>
          </w:p>
        </w:tc>
        <w:tc>
          <w:tcPr>
            <w:tcW w:w="4165"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0" w:firstLine="0"/>
            </w:pPr>
            <w:r>
              <w:rPr>
                <w:sz w:val="20"/>
              </w:rPr>
              <w:t xml:space="preserve">Рад на унапређењу координације/ комуникације између државних институција </w:t>
            </w:r>
          </w:p>
        </w:tc>
      </w:tr>
      <w:tr w:rsidR="00E8309B">
        <w:trPr>
          <w:trHeight w:val="470"/>
        </w:trPr>
        <w:tc>
          <w:tcPr>
            <w:tcW w:w="3330"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0" w:firstLine="0"/>
              <w:jc w:val="left"/>
            </w:pPr>
            <w:r>
              <w:rPr>
                <w:sz w:val="20"/>
              </w:rPr>
              <w:t xml:space="preserve">Неповерење пореских обвезника услед страха од новина </w:t>
            </w:r>
          </w:p>
        </w:tc>
        <w:tc>
          <w:tcPr>
            <w:tcW w:w="2201"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2" w:right="0" w:firstLine="0"/>
              <w:jc w:val="left"/>
            </w:pPr>
            <w:r>
              <w:rPr>
                <w:sz w:val="20"/>
              </w:rPr>
              <w:t xml:space="preserve">Средња </w:t>
            </w:r>
          </w:p>
        </w:tc>
        <w:tc>
          <w:tcPr>
            <w:tcW w:w="4165"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0" w:firstLine="0"/>
              <w:jc w:val="left"/>
            </w:pPr>
            <w:r>
              <w:rPr>
                <w:sz w:val="20"/>
              </w:rPr>
              <w:t xml:space="preserve">Едукација и информисање пореских обвезника  </w:t>
            </w:r>
          </w:p>
        </w:tc>
      </w:tr>
      <w:tr w:rsidR="00E8309B">
        <w:trPr>
          <w:trHeight w:val="701"/>
        </w:trPr>
        <w:tc>
          <w:tcPr>
            <w:tcW w:w="3330"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0" w:firstLine="0"/>
              <w:jc w:val="left"/>
            </w:pPr>
            <w:r>
              <w:rPr>
                <w:sz w:val="20"/>
              </w:rPr>
              <w:t>Недовољно ИТ ресурса и вештина за реализацију реформе</w:t>
            </w:r>
            <w:r>
              <w:rPr>
                <w:b/>
                <w:sz w:val="20"/>
              </w:rPr>
              <w:t xml:space="preserve"> </w:t>
            </w:r>
          </w:p>
        </w:tc>
        <w:tc>
          <w:tcPr>
            <w:tcW w:w="2201"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2" w:right="0" w:firstLine="0"/>
              <w:jc w:val="left"/>
            </w:pPr>
            <w:r>
              <w:rPr>
                <w:sz w:val="20"/>
              </w:rPr>
              <w:t>Висока</w:t>
            </w:r>
            <w:r>
              <w:rPr>
                <w:b/>
                <w:sz w:val="20"/>
              </w:rPr>
              <w:t xml:space="preserve"> </w:t>
            </w:r>
          </w:p>
        </w:tc>
        <w:tc>
          <w:tcPr>
            <w:tcW w:w="4165"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0" w:firstLine="0"/>
              <w:jc w:val="left"/>
            </w:pPr>
            <w:r>
              <w:rPr>
                <w:sz w:val="20"/>
              </w:rPr>
              <w:t xml:space="preserve">Повећање броја запослених у ИТ-у и активнија сарадња са Јединицом за имплементацију стратешких пројеката </w:t>
            </w:r>
            <w:r>
              <w:rPr>
                <w:b/>
                <w:sz w:val="20"/>
              </w:rPr>
              <w:t xml:space="preserve"> </w:t>
            </w:r>
          </w:p>
        </w:tc>
      </w:tr>
      <w:tr w:rsidR="00E8309B">
        <w:trPr>
          <w:trHeight w:val="698"/>
        </w:trPr>
        <w:tc>
          <w:tcPr>
            <w:tcW w:w="3330" w:type="dxa"/>
            <w:tcBorders>
              <w:top w:val="single" w:sz="4" w:space="0" w:color="000000"/>
              <w:left w:val="single" w:sz="4" w:space="0" w:color="000000"/>
              <w:bottom w:val="single" w:sz="4" w:space="0" w:color="000000"/>
              <w:right w:val="single" w:sz="4" w:space="0" w:color="000000"/>
            </w:tcBorders>
          </w:tcPr>
          <w:p w:rsidR="00E8309B" w:rsidRDefault="009D0949">
            <w:pPr>
              <w:spacing w:after="24" w:line="237" w:lineRule="auto"/>
              <w:ind w:left="0" w:right="0" w:firstLine="0"/>
              <w:jc w:val="left"/>
            </w:pPr>
            <w:r>
              <w:rPr>
                <w:sz w:val="20"/>
              </w:rPr>
              <w:t xml:space="preserve">Недостатак људских ресурса и знања неопходних за </w:t>
            </w:r>
          </w:p>
          <w:p w:rsidR="00E8309B" w:rsidRDefault="009D0949">
            <w:pPr>
              <w:spacing w:after="0" w:line="259" w:lineRule="auto"/>
              <w:ind w:left="0" w:right="0" w:firstLine="0"/>
              <w:jc w:val="left"/>
            </w:pPr>
            <w:r>
              <w:rPr>
                <w:sz w:val="20"/>
              </w:rPr>
              <w:t>функционисање реформисане ПУ</w:t>
            </w:r>
            <w:r>
              <w:rPr>
                <w:sz w:val="18"/>
              </w:rPr>
              <w:t xml:space="preserve"> </w:t>
            </w:r>
          </w:p>
        </w:tc>
        <w:tc>
          <w:tcPr>
            <w:tcW w:w="2201"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2" w:right="0" w:firstLine="0"/>
              <w:jc w:val="left"/>
            </w:pPr>
            <w:r>
              <w:rPr>
                <w:sz w:val="20"/>
              </w:rPr>
              <w:t xml:space="preserve">Висока </w:t>
            </w:r>
          </w:p>
        </w:tc>
        <w:tc>
          <w:tcPr>
            <w:tcW w:w="4165"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0" w:firstLine="0"/>
              <w:jc w:val="left"/>
            </w:pPr>
            <w:r>
              <w:rPr>
                <w:sz w:val="20"/>
              </w:rPr>
              <w:t>Додатно запошљавање у 2021. и обука запослених за функције које су декапацитиране</w:t>
            </w:r>
            <w:r>
              <w:rPr>
                <w:sz w:val="18"/>
              </w:rPr>
              <w:t xml:space="preserve"> </w:t>
            </w:r>
          </w:p>
        </w:tc>
      </w:tr>
    </w:tbl>
    <w:p w:rsidR="00E8309B" w:rsidRDefault="009D0949">
      <w:pPr>
        <w:spacing w:after="216" w:line="259" w:lineRule="auto"/>
        <w:ind w:left="0" w:right="0" w:firstLine="0"/>
        <w:jc w:val="left"/>
      </w:pPr>
      <w:r>
        <w:rPr>
          <w:b/>
        </w:rPr>
        <w:t xml:space="preserve"> </w:t>
      </w:r>
    </w:p>
    <w:p w:rsidR="00E8309B" w:rsidRDefault="009D0949">
      <w:pPr>
        <w:spacing w:after="0" w:line="259" w:lineRule="auto"/>
        <w:ind w:left="0" w:right="0" w:firstLine="0"/>
        <w:jc w:val="left"/>
      </w:pPr>
      <w:r>
        <w:rPr>
          <w:b/>
        </w:rPr>
        <w:t xml:space="preserve"> </w:t>
      </w:r>
    </w:p>
    <w:p w:rsidR="00E8309B" w:rsidRDefault="009D0949">
      <w:pPr>
        <w:ind w:left="-5" w:right="17"/>
      </w:pPr>
      <w:r>
        <w:rPr>
          <w:b/>
          <w:u w:val="single" w:color="000000"/>
        </w:rPr>
        <w:t>СТРУКТУРНА РЕФОРМА 11:</w:t>
      </w:r>
      <w:r>
        <w:rPr>
          <w:b/>
        </w:rPr>
        <w:t xml:space="preserve"> </w:t>
      </w:r>
      <w:r>
        <w:t xml:space="preserve">УВОЂЕЊЕ НОВОГ МОДЕЛА ФИСКАЛИЗАЦИЈЕ И </w:t>
      </w:r>
    </w:p>
    <w:p w:rsidR="00E8309B" w:rsidRDefault="009D0949">
      <w:pPr>
        <w:spacing w:after="156"/>
        <w:ind w:left="-5" w:right="17"/>
      </w:pPr>
      <w:r>
        <w:t xml:space="preserve">ПРЕЛАЗАК НА ЕЛЕКТРОНСКО ФАКТУРИСАЊЕ </w:t>
      </w:r>
    </w:p>
    <w:p w:rsidR="00E8309B" w:rsidRDefault="009D0949">
      <w:pPr>
        <w:spacing w:after="126" w:line="271" w:lineRule="auto"/>
        <w:ind w:left="-5" w:right="9"/>
      </w:pPr>
      <w:r>
        <w:rPr>
          <w:b/>
        </w:rPr>
        <w:t>1.</w:t>
      </w:r>
      <w:r>
        <w:rPr>
          <w:rFonts w:ascii="Arial" w:eastAsia="Arial" w:hAnsi="Arial" w:cs="Arial"/>
          <w:b/>
        </w:rPr>
        <w:t xml:space="preserve"> </w:t>
      </w:r>
      <w:r>
        <w:rPr>
          <w:b/>
        </w:rPr>
        <w:t xml:space="preserve">Опис структурне реформе </w:t>
      </w:r>
    </w:p>
    <w:p w:rsidR="00E8309B" w:rsidRDefault="009D0949">
      <w:pPr>
        <w:ind w:left="-5" w:right="17"/>
      </w:pPr>
      <w:r>
        <w:t xml:space="preserve">Структурна реформа подразумева две мере – увођење новог модела фискализације (ефискализација) и прелазак на електронско фактурисање. </w:t>
      </w:r>
    </w:p>
    <w:p w:rsidR="00E8309B" w:rsidRDefault="009D0949">
      <w:pPr>
        <w:spacing w:after="89"/>
        <w:ind w:left="-5" w:right="17"/>
      </w:pPr>
      <w:r>
        <w:t xml:space="preserve">Прва мера подразумева увођење новог модела фискализације кроз централизовану дигиталну платформу у оквиру Пореске управе, </w:t>
      </w:r>
      <w:r>
        <w:t xml:space="preserve">као и онлајн пренос и верификовање података који се шаљу са фискалних каса у Пореску управу. Циљ је сузбијање сиве економије и повећање наплате ПДВ-а, као и унапређење и аутоматизовање процеса пореске контроле. Нови модел садржи и тзв. безбедносни елемент </w:t>
      </w:r>
      <w:r>
        <w:t xml:space="preserve">(сертификовану картицу) за сваког обвезника, чиме се степен злоупотребе своди на минимум или потпуно елиминише. Мера ће бити спроведена усвајањем новог законодавног оквира који регулише ову област. </w:t>
      </w:r>
    </w:p>
    <w:p w:rsidR="00E8309B" w:rsidRDefault="009D0949">
      <w:pPr>
        <w:spacing w:after="89"/>
        <w:ind w:left="-5" w:right="17"/>
      </w:pPr>
      <w:r>
        <w:t>Друга мера подразумева увођење централизоване платформе з</w:t>
      </w:r>
      <w:r>
        <w:t xml:space="preserve">а размену електронских фактура како у сегменту између правних лица у пословном сегменту (предузеће - предузеће) тј. B2B тако и у сегменту пословања и трансакција приватног сектора са јавним сектором (предузеће - држава) тј. B2G. Циљ мере је потпуна замена </w:t>
      </w:r>
      <w:r>
        <w:t xml:space="preserve">папирног облика фактуре у дигитални, који се преноси путем централизоване платформе од издаваоца ка примаоцу фактуре без физичког облика. Мера ће бити спроведена усвајањем законодавног оквира у складу са правним тековинама ЕУ које регулишу ову област. </w:t>
      </w:r>
    </w:p>
    <w:p w:rsidR="00E8309B" w:rsidRDefault="009D0949">
      <w:pPr>
        <w:spacing w:after="88"/>
        <w:ind w:left="-5" w:right="17"/>
      </w:pPr>
      <w:r>
        <w:t xml:space="preserve">Реформом се доприноси спровођењу </w:t>
      </w:r>
      <w:r>
        <w:rPr>
          <w:b/>
        </w:rPr>
        <w:t>ЦОР 16.6.</w:t>
      </w:r>
      <w:r>
        <w:t xml:space="preserve"> Развити ефикасне, одговорне и транспарентне институције на свим нивоима. </w:t>
      </w:r>
    </w:p>
    <w:p w:rsidR="00E8309B" w:rsidRDefault="009D0949">
      <w:pPr>
        <w:numPr>
          <w:ilvl w:val="0"/>
          <w:numId w:val="27"/>
        </w:numPr>
        <w:spacing w:after="126" w:line="271" w:lineRule="auto"/>
        <w:ind w:right="9" w:hanging="360"/>
      </w:pPr>
      <w:r>
        <w:rPr>
          <w:b/>
        </w:rPr>
        <w:t xml:space="preserve">Ковид-19 – ефекти, мере и изазови </w:t>
      </w:r>
    </w:p>
    <w:p w:rsidR="00E8309B" w:rsidRDefault="009D0949">
      <w:pPr>
        <w:ind w:left="-5" w:right="17"/>
      </w:pPr>
      <w:r>
        <w:t>Ванредне околности које су настале услед пандемије вируса Ковид-19 нису утицале на планирану динамику ак</w:t>
      </w:r>
      <w:r>
        <w:t xml:space="preserve">тивности које се односе на ову структурну реформу. Радне групе и стручни тимови су брзо прешли на електронски вид комуникације и испоштовани су сви предвиђени рокови који се тичу припреме законских предлога и техничких решења.  </w:t>
      </w:r>
    </w:p>
    <w:p w:rsidR="00E8309B" w:rsidRDefault="009D0949">
      <w:pPr>
        <w:spacing w:after="157"/>
        <w:ind w:left="-5" w:right="17"/>
      </w:pPr>
      <w:r>
        <w:t xml:space="preserve">Имајући у виду чињеницу да </w:t>
      </w:r>
      <w:r>
        <w:t xml:space="preserve">обе структурне мере доприносе високом степену дигитализације пословних процеса, њихова имплементација ће у великој мери утицати да се у сличним ванредним околностима у будућности привредна активност одвија без великих застоја. </w:t>
      </w:r>
    </w:p>
    <w:p w:rsidR="00E8309B" w:rsidRDefault="009D0949">
      <w:pPr>
        <w:numPr>
          <w:ilvl w:val="0"/>
          <w:numId w:val="27"/>
        </w:numPr>
        <w:spacing w:after="79" w:line="271" w:lineRule="auto"/>
        <w:ind w:right="9" w:hanging="360"/>
      </w:pPr>
      <w:r>
        <w:rPr>
          <w:b/>
        </w:rPr>
        <w:t>Планиране активности по годи</w:t>
      </w:r>
      <w:r>
        <w:rPr>
          <w:b/>
        </w:rPr>
        <w:t xml:space="preserve">нама </w:t>
      </w:r>
    </w:p>
    <w:p w:rsidR="00E8309B" w:rsidRDefault="009D0949">
      <w:pPr>
        <w:spacing w:after="145"/>
        <w:ind w:left="-5" w:right="17"/>
      </w:pPr>
      <w:r>
        <w:t xml:space="preserve">Када су у питању обе активности обухваћене овом реформском мером, 2021. година је предвиђена за припремне активности преласка на нове системе рада. </w:t>
      </w:r>
    </w:p>
    <w:p w:rsidR="00E8309B" w:rsidRDefault="009D0949">
      <w:pPr>
        <w:spacing w:after="150"/>
        <w:ind w:left="-5" w:right="17"/>
      </w:pPr>
      <w:r>
        <w:t>Реформа која се односи на е-фискализацију ступа на снагу 1. јануара 2022. године, али треба имати у в</w:t>
      </w:r>
      <w:r>
        <w:t xml:space="preserve">иду шири обухват обвезника фискализације, тако да је период имплементације оставњен у табели из предострожности у трајању од две године из разлога намере поступног увођења нових група обвезника фискализације у систем (термински план још није прецизиран). </w:t>
      </w:r>
    </w:p>
    <w:p w:rsidR="00E8309B" w:rsidRDefault="009D0949">
      <w:pPr>
        <w:spacing w:after="99"/>
        <w:ind w:left="-5" w:right="17"/>
      </w:pPr>
      <w:r>
        <w:t>Када је у питању реформа е-фактура, за сегмент B2G (предузеће - држава) датум преласка на нови систем је 1. јула 2021. године, док је за сегмент B2B (предузеће - предузеће) прелазак на нови систем предвиђен у фазама и то: 1) 1. јула 2022. године обавеза св</w:t>
      </w:r>
      <w:r>
        <w:t>их обвезника ПДВ-а да примају фактуре у електронском облику; и 2) 1. јануара 2023. године обавеза свих обвeзника ПДВ-а да и примају и шаљу фактуре у електронском облику. Треба имати у виду да сегмент привреде већ има опционалну могућност фактурисања ка сег</w:t>
      </w:r>
      <w:r>
        <w:t xml:space="preserve">менту државе, што је и разлог да се овај сегмент фактурисања први активира у новом систему.  </w:t>
      </w:r>
    </w:p>
    <w:p w:rsidR="00E8309B" w:rsidRDefault="009D0949">
      <w:pPr>
        <w:spacing w:after="0" w:line="259" w:lineRule="auto"/>
        <w:ind w:left="0" w:right="0" w:firstLine="0"/>
        <w:jc w:val="left"/>
      </w:pPr>
      <w:r>
        <w:t xml:space="preserve"> </w:t>
      </w:r>
      <w:r>
        <w:tab/>
        <w:t xml:space="preserve"> </w:t>
      </w:r>
    </w:p>
    <w:tbl>
      <w:tblPr>
        <w:tblStyle w:val="TableGrid"/>
        <w:tblW w:w="9610" w:type="dxa"/>
        <w:tblInd w:w="10" w:type="dxa"/>
        <w:tblCellMar>
          <w:top w:w="9" w:type="dxa"/>
          <w:left w:w="58" w:type="dxa"/>
          <w:bottom w:w="0" w:type="dxa"/>
          <w:right w:w="8" w:type="dxa"/>
        </w:tblCellMar>
        <w:tblLook w:val="04A0" w:firstRow="1" w:lastRow="0" w:firstColumn="1" w:lastColumn="0" w:noHBand="0" w:noVBand="1"/>
      </w:tblPr>
      <w:tblGrid>
        <w:gridCol w:w="427"/>
        <w:gridCol w:w="4123"/>
        <w:gridCol w:w="419"/>
        <w:gridCol w:w="421"/>
        <w:gridCol w:w="422"/>
        <w:gridCol w:w="421"/>
        <w:gridCol w:w="424"/>
        <w:gridCol w:w="421"/>
        <w:gridCol w:w="423"/>
        <w:gridCol w:w="420"/>
        <w:gridCol w:w="424"/>
        <w:gridCol w:w="422"/>
        <w:gridCol w:w="422"/>
        <w:gridCol w:w="420"/>
      </w:tblGrid>
      <w:tr w:rsidR="00E8309B">
        <w:trPr>
          <w:trHeight w:val="331"/>
        </w:trPr>
        <w:tc>
          <w:tcPr>
            <w:tcW w:w="427" w:type="dxa"/>
            <w:vMerge w:val="restart"/>
            <w:tcBorders>
              <w:top w:val="single" w:sz="8" w:space="0" w:color="000000"/>
              <w:left w:val="single" w:sz="8" w:space="0" w:color="000000"/>
              <w:bottom w:val="single" w:sz="8" w:space="0" w:color="000000"/>
              <w:right w:val="single" w:sz="8" w:space="0" w:color="000000"/>
            </w:tcBorders>
            <w:vAlign w:val="center"/>
          </w:tcPr>
          <w:p w:rsidR="00E8309B" w:rsidRDefault="009D0949">
            <w:pPr>
              <w:spacing w:after="0" w:line="259" w:lineRule="auto"/>
              <w:ind w:left="29" w:right="0" w:firstLine="0"/>
            </w:pPr>
            <w:r>
              <w:rPr>
                <w:b/>
                <w:sz w:val="20"/>
              </w:rPr>
              <w:t xml:space="preserve">РБ </w:t>
            </w:r>
          </w:p>
        </w:tc>
        <w:tc>
          <w:tcPr>
            <w:tcW w:w="4123" w:type="dxa"/>
            <w:vMerge w:val="restart"/>
            <w:tcBorders>
              <w:top w:val="single" w:sz="8" w:space="0" w:color="000000"/>
              <w:left w:val="single" w:sz="8" w:space="0" w:color="000000"/>
              <w:bottom w:val="single" w:sz="8" w:space="0" w:color="000000"/>
              <w:right w:val="single" w:sz="8" w:space="0" w:color="000000"/>
            </w:tcBorders>
            <w:vAlign w:val="center"/>
          </w:tcPr>
          <w:p w:rsidR="00E8309B" w:rsidRDefault="009D0949">
            <w:pPr>
              <w:spacing w:after="0" w:line="259" w:lineRule="auto"/>
              <w:ind w:left="0" w:right="0" w:firstLine="0"/>
              <w:jc w:val="left"/>
            </w:pPr>
            <w:r>
              <w:rPr>
                <w:b/>
                <w:sz w:val="20"/>
              </w:rPr>
              <w:t xml:space="preserve">Планиране активности </w:t>
            </w:r>
          </w:p>
        </w:tc>
        <w:tc>
          <w:tcPr>
            <w:tcW w:w="1263" w:type="dxa"/>
            <w:gridSpan w:val="3"/>
            <w:tcBorders>
              <w:top w:val="single" w:sz="8" w:space="0" w:color="000000"/>
              <w:left w:val="single" w:sz="8" w:space="0" w:color="000000"/>
              <w:bottom w:val="single" w:sz="4" w:space="0" w:color="000000"/>
              <w:right w:val="nil"/>
            </w:tcBorders>
          </w:tcPr>
          <w:p w:rsidR="00E8309B" w:rsidRDefault="009D0949">
            <w:pPr>
              <w:spacing w:after="0" w:line="259" w:lineRule="auto"/>
              <w:ind w:left="585" w:right="0" w:firstLine="0"/>
              <w:jc w:val="left"/>
            </w:pPr>
            <w:r>
              <w:rPr>
                <w:b/>
                <w:sz w:val="20"/>
              </w:rPr>
              <w:t xml:space="preserve">2021 </w:t>
            </w:r>
          </w:p>
        </w:tc>
        <w:tc>
          <w:tcPr>
            <w:tcW w:w="421" w:type="dxa"/>
            <w:tcBorders>
              <w:top w:val="single" w:sz="8" w:space="0" w:color="000000"/>
              <w:left w:val="nil"/>
              <w:bottom w:val="single" w:sz="4" w:space="0" w:color="000000"/>
              <w:right w:val="single" w:sz="8" w:space="0" w:color="000000"/>
            </w:tcBorders>
          </w:tcPr>
          <w:p w:rsidR="00E8309B" w:rsidRDefault="00E8309B">
            <w:pPr>
              <w:spacing w:after="160" w:line="259" w:lineRule="auto"/>
              <w:ind w:left="0" w:right="0" w:firstLine="0"/>
              <w:jc w:val="left"/>
            </w:pPr>
          </w:p>
        </w:tc>
        <w:tc>
          <w:tcPr>
            <w:tcW w:w="424" w:type="dxa"/>
            <w:tcBorders>
              <w:top w:val="single" w:sz="8" w:space="0" w:color="000000"/>
              <w:left w:val="single" w:sz="8" w:space="0" w:color="000000"/>
              <w:bottom w:val="single" w:sz="4" w:space="0" w:color="000000"/>
              <w:right w:val="nil"/>
            </w:tcBorders>
          </w:tcPr>
          <w:p w:rsidR="00E8309B" w:rsidRDefault="00E8309B">
            <w:pPr>
              <w:spacing w:after="160" w:line="259" w:lineRule="auto"/>
              <w:ind w:left="0" w:right="0" w:firstLine="0"/>
              <w:jc w:val="left"/>
            </w:pPr>
          </w:p>
        </w:tc>
        <w:tc>
          <w:tcPr>
            <w:tcW w:w="1264" w:type="dxa"/>
            <w:gridSpan w:val="3"/>
            <w:tcBorders>
              <w:top w:val="single" w:sz="8" w:space="0" w:color="000000"/>
              <w:left w:val="nil"/>
              <w:bottom w:val="single" w:sz="4" w:space="0" w:color="000000"/>
              <w:right w:val="single" w:sz="8" w:space="0" w:color="000000"/>
            </w:tcBorders>
          </w:tcPr>
          <w:p w:rsidR="00E8309B" w:rsidRDefault="009D0949">
            <w:pPr>
              <w:spacing w:after="0" w:line="259" w:lineRule="auto"/>
              <w:ind w:left="164" w:right="0" w:firstLine="0"/>
              <w:jc w:val="left"/>
            </w:pPr>
            <w:r>
              <w:rPr>
                <w:b/>
                <w:sz w:val="20"/>
              </w:rPr>
              <w:t xml:space="preserve">2022 </w:t>
            </w:r>
          </w:p>
        </w:tc>
        <w:tc>
          <w:tcPr>
            <w:tcW w:w="424" w:type="dxa"/>
            <w:tcBorders>
              <w:top w:val="single" w:sz="8" w:space="0" w:color="000000"/>
              <w:left w:val="single" w:sz="8" w:space="0" w:color="000000"/>
              <w:bottom w:val="single" w:sz="4" w:space="0" w:color="000000"/>
              <w:right w:val="nil"/>
            </w:tcBorders>
          </w:tcPr>
          <w:p w:rsidR="00E8309B" w:rsidRDefault="00E8309B">
            <w:pPr>
              <w:spacing w:after="160" w:line="259" w:lineRule="auto"/>
              <w:ind w:left="0" w:right="0" w:firstLine="0"/>
              <w:jc w:val="left"/>
            </w:pPr>
          </w:p>
        </w:tc>
        <w:tc>
          <w:tcPr>
            <w:tcW w:w="845" w:type="dxa"/>
            <w:gridSpan w:val="2"/>
            <w:tcBorders>
              <w:top w:val="single" w:sz="8" w:space="0" w:color="000000"/>
              <w:left w:val="nil"/>
              <w:bottom w:val="single" w:sz="4" w:space="0" w:color="000000"/>
              <w:right w:val="nil"/>
            </w:tcBorders>
          </w:tcPr>
          <w:p w:rsidR="00E8309B" w:rsidRDefault="009D0949">
            <w:pPr>
              <w:spacing w:after="0" w:line="259" w:lineRule="auto"/>
              <w:ind w:left="0" w:right="49" w:firstLine="0"/>
              <w:jc w:val="center"/>
            </w:pPr>
            <w:r>
              <w:rPr>
                <w:b/>
                <w:sz w:val="20"/>
              </w:rPr>
              <w:t xml:space="preserve">2023 </w:t>
            </w:r>
          </w:p>
        </w:tc>
        <w:tc>
          <w:tcPr>
            <w:tcW w:w="420" w:type="dxa"/>
            <w:tcBorders>
              <w:top w:val="single" w:sz="8" w:space="0" w:color="000000"/>
              <w:left w:val="nil"/>
              <w:bottom w:val="single" w:sz="4" w:space="0" w:color="000000"/>
              <w:right w:val="single" w:sz="8" w:space="0" w:color="000000"/>
            </w:tcBorders>
          </w:tcPr>
          <w:p w:rsidR="00E8309B" w:rsidRDefault="00E8309B">
            <w:pPr>
              <w:spacing w:after="160" w:line="259" w:lineRule="auto"/>
              <w:ind w:left="0" w:right="0" w:firstLine="0"/>
              <w:jc w:val="left"/>
            </w:pPr>
          </w:p>
        </w:tc>
      </w:tr>
      <w:tr w:rsidR="00E8309B">
        <w:trPr>
          <w:trHeight w:val="327"/>
        </w:trPr>
        <w:tc>
          <w:tcPr>
            <w:tcW w:w="0" w:type="auto"/>
            <w:vMerge/>
            <w:tcBorders>
              <w:top w:val="nil"/>
              <w:left w:val="single" w:sz="8" w:space="0" w:color="000000"/>
              <w:bottom w:val="single" w:sz="8" w:space="0" w:color="000000"/>
              <w:right w:val="single" w:sz="8" w:space="0" w:color="000000"/>
            </w:tcBorders>
          </w:tcPr>
          <w:p w:rsidR="00E8309B" w:rsidRDefault="00E8309B">
            <w:pPr>
              <w:spacing w:after="160" w:line="259" w:lineRule="auto"/>
              <w:ind w:left="0" w:right="0" w:firstLine="0"/>
              <w:jc w:val="left"/>
            </w:pPr>
          </w:p>
        </w:tc>
        <w:tc>
          <w:tcPr>
            <w:tcW w:w="0" w:type="auto"/>
            <w:vMerge/>
            <w:tcBorders>
              <w:top w:val="nil"/>
              <w:left w:val="single" w:sz="8" w:space="0" w:color="000000"/>
              <w:bottom w:val="single" w:sz="8" w:space="0" w:color="000000"/>
              <w:right w:val="single" w:sz="8" w:space="0" w:color="000000"/>
            </w:tcBorders>
          </w:tcPr>
          <w:p w:rsidR="00E8309B" w:rsidRDefault="00E8309B">
            <w:pPr>
              <w:spacing w:after="160" w:line="259" w:lineRule="auto"/>
              <w:ind w:left="0" w:right="0" w:firstLine="0"/>
              <w:jc w:val="left"/>
            </w:pPr>
          </w:p>
        </w:tc>
        <w:tc>
          <w:tcPr>
            <w:tcW w:w="419" w:type="dxa"/>
            <w:tcBorders>
              <w:top w:val="single" w:sz="4" w:space="0" w:color="000000"/>
              <w:left w:val="single" w:sz="8" w:space="0" w:color="000000"/>
              <w:bottom w:val="single" w:sz="8" w:space="0" w:color="000000"/>
              <w:right w:val="single" w:sz="4" w:space="0" w:color="000000"/>
            </w:tcBorders>
          </w:tcPr>
          <w:p w:rsidR="00E8309B" w:rsidRDefault="009D0949">
            <w:pPr>
              <w:spacing w:after="0" w:line="259" w:lineRule="auto"/>
              <w:ind w:left="42" w:right="0" w:firstLine="0"/>
              <w:jc w:val="left"/>
            </w:pPr>
            <w:r>
              <w:rPr>
                <w:i/>
                <w:sz w:val="18"/>
              </w:rPr>
              <w:t xml:space="preserve">Q1 </w:t>
            </w:r>
          </w:p>
        </w:tc>
        <w:tc>
          <w:tcPr>
            <w:tcW w:w="421" w:type="dxa"/>
            <w:tcBorders>
              <w:top w:val="single" w:sz="4" w:space="0" w:color="000000"/>
              <w:left w:val="single" w:sz="4" w:space="0" w:color="000000"/>
              <w:bottom w:val="single" w:sz="8" w:space="0" w:color="000000"/>
              <w:right w:val="single" w:sz="4" w:space="0" w:color="000000"/>
            </w:tcBorders>
          </w:tcPr>
          <w:p w:rsidR="00E8309B" w:rsidRDefault="009D0949">
            <w:pPr>
              <w:spacing w:after="0" w:line="259" w:lineRule="auto"/>
              <w:ind w:left="43" w:right="0" w:firstLine="0"/>
              <w:jc w:val="left"/>
            </w:pPr>
            <w:r>
              <w:rPr>
                <w:i/>
                <w:sz w:val="18"/>
              </w:rPr>
              <w:t xml:space="preserve">Q2 </w:t>
            </w:r>
          </w:p>
        </w:tc>
        <w:tc>
          <w:tcPr>
            <w:tcW w:w="422" w:type="dxa"/>
            <w:tcBorders>
              <w:top w:val="single" w:sz="4" w:space="0" w:color="000000"/>
              <w:left w:val="single" w:sz="4" w:space="0" w:color="000000"/>
              <w:bottom w:val="single" w:sz="8" w:space="0" w:color="000000"/>
              <w:right w:val="single" w:sz="4" w:space="0" w:color="000000"/>
            </w:tcBorders>
          </w:tcPr>
          <w:p w:rsidR="00E8309B" w:rsidRDefault="009D0949">
            <w:pPr>
              <w:spacing w:after="0" w:line="259" w:lineRule="auto"/>
              <w:ind w:left="44" w:right="0" w:firstLine="0"/>
              <w:jc w:val="left"/>
            </w:pPr>
            <w:r>
              <w:rPr>
                <w:i/>
                <w:sz w:val="18"/>
              </w:rPr>
              <w:t xml:space="preserve">Q3 </w:t>
            </w:r>
          </w:p>
        </w:tc>
        <w:tc>
          <w:tcPr>
            <w:tcW w:w="421" w:type="dxa"/>
            <w:tcBorders>
              <w:top w:val="single" w:sz="4" w:space="0" w:color="000000"/>
              <w:left w:val="single" w:sz="4" w:space="0" w:color="000000"/>
              <w:bottom w:val="single" w:sz="8" w:space="0" w:color="000000"/>
              <w:right w:val="single" w:sz="8" w:space="0" w:color="000000"/>
            </w:tcBorders>
          </w:tcPr>
          <w:p w:rsidR="00E8309B" w:rsidRDefault="009D0949">
            <w:pPr>
              <w:spacing w:after="0" w:line="259" w:lineRule="auto"/>
              <w:ind w:left="44" w:right="0" w:firstLine="0"/>
              <w:jc w:val="left"/>
            </w:pPr>
            <w:r>
              <w:rPr>
                <w:i/>
                <w:sz w:val="18"/>
              </w:rPr>
              <w:t xml:space="preserve">Q4 </w:t>
            </w:r>
          </w:p>
        </w:tc>
        <w:tc>
          <w:tcPr>
            <w:tcW w:w="424" w:type="dxa"/>
            <w:tcBorders>
              <w:top w:val="single" w:sz="4" w:space="0" w:color="000000"/>
              <w:left w:val="single" w:sz="8" w:space="0" w:color="000000"/>
              <w:bottom w:val="single" w:sz="8" w:space="0" w:color="000000"/>
              <w:right w:val="single" w:sz="4" w:space="0" w:color="000000"/>
            </w:tcBorders>
          </w:tcPr>
          <w:p w:rsidR="00E8309B" w:rsidRDefault="009D0949">
            <w:pPr>
              <w:spacing w:after="0" w:line="259" w:lineRule="auto"/>
              <w:ind w:left="46" w:right="0" w:firstLine="0"/>
              <w:jc w:val="left"/>
            </w:pPr>
            <w:r>
              <w:rPr>
                <w:i/>
                <w:sz w:val="18"/>
              </w:rPr>
              <w:t xml:space="preserve">Q1 </w:t>
            </w:r>
          </w:p>
        </w:tc>
        <w:tc>
          <w:tcPr>
            <w:tcW w:w="421" w:type="dxa"/>
            <w:tcBorders>
              <w:top w:val="single" w:sz="4" w:space="0" w:color="000000"/>
              <w:left w:val="single" w:sz="4" w:space="0" w:color="000000"/>
              <w:bottom w:val="single" w:sz="8" w:space="0" w:color="000000"/>
              <w:right w:val="single" w:sz="4" w:space="0" w:color="000000"/>
            </w:tcBorders>
          </w:tcPr>
          <w:p w:rsidR="00E8309B" w:rsidRDefault="009D0949">
            <w:pPr>
              <w:spacing w:after="0" w:line="259" w:lineRule="auto"/>
              <w:ind w:left="44" w:right="0" w:firstLine="0"/>
              <w:jc w:val="left"/>
            </w:pPr>
            <w:r>
              <w:rPr>
                <w:i/>
                <w:sz w:val="18"/>
              </w:rPr>
              <w:t xml:space="preserve">Q2 </w:t>
            </w:r>
          </w:p>
        </w:tc>
        <w:tc>
          <w:tcPr>
            <w:tcW w:w="423" w:type="dxa"/>
            <w:tcBorders>
              <w:top w:val="single" w:sz="4" w:space="0" w:color="000000"/>
              <w:left w:val="single" w:sz="4" w:space="0" w:color="000000"/>
              <w:bottom w:val="single" w:sz="8" w:space="0" w:color="000000"/>
              <w:right w:val="single" w:sz="4" w:space="0" w:color="000000"/>
            </w:tcBorders>
          </w:tcPr>
          <w:p w:rsidR="00E8309B" w:rsidRDefault="009D0949">
            <w:pPr>
              <w:spacing w:after="0" w:line="259" w:lineRule="auto"/>
              <w:ind w:left="46" w:right="0" w:firstLine="0"/>
              <w:jc w:val="left"/>
            </w:pPr>
            <w:r>
              <w:rPr>
                <w:i/>
                <w:sz w:val="18"/>
              </w:rPr>
              <w:t xml:space="preserve">Q3 </w:t>
            </w:r>
          </w:p>
        </w:tc>
        <w:tc>
          <w:tcPr>
            <w:tcW w:w="420" w:type="dxa"/>
            <w:tcBorders>
              <w:top w:val="single" w:sz="4" w:space="0" w:color="000000"/>
              <w:left w:val="single" w:sz="4" w:space="0" w:color="000000"/>
              <w:bottom w:val="single" w:sz="8" w:space="0" w:color="000000"/>
              <w:right w:val="single" w:sz="8" w:space="0" w:color="000000"/>
            </w:tcBorders>
          </w:tcPr>
          <w:p w:rsidR="00E8309B" w:rsidRDefault="009D0949">
            <w:pPr>
              <w:spacing w:after="0" w:line="259" w:lineRule="auto"/>
              <w:ind w:left="43" w:right="0" w:firstLine="0"/>
              <w:jc w:val="left"/>
            </w:pPr>
            <w:r>
              <w:rPr>
                <w:i/>
                <w:sz w:val="18"/>
              </w:rPr>
              <w:t xml:space="preserve">Q4 </w:t>
            </w:r>
          </w:p>
        </w:tc>
        <w:tc>
          <w:tcPr>
            <w:tcW w:w="424" w:type="dxa"/>
            <w:tcBorders>
              <w:top w:val="single" w:sz="4" w:space="0" w:color="000000"/>
              <w:left w:val="single" w:sz="8" w:space="0" w:color="000000"/>
              <w:bottom w:val="single" w:sz="8" w:space="0" w:color="000000"/>
              <w:right w:val="single" w:sz="4" w:space="0" w:color="000000"/>
            </w:tcBorders>
          </w:tcPr>
          <w:p w:rsidR="00E8309B" w:rsidRDefault="009D0949">
            <w:pPr>
              <w:spacing w:after="0" w:line="259" w:lineRule="auto"/>
              <w:ind w:left="46" w:right="0" w:firstLine="0"/>
              <w:jc w:val="left"/>
            </w:pPr>
            <w:r>
              <w:rPr>
                <w:i/>
                <w:sz w:val="18"/>
              </w:rPr>
              <w:t xml:space="preserve">Q1 </w:t>
            </w:r>
          </w:p>
        </w:tc>
        <w:tc>
          <w:tcPr>
            <w:tcW w:w="422" w:type="dxa"/>
            <w:tcBorders>
              <w:top w:val="single" w:sz="4" w:space="0" w:color="000000"/>
              <w:left w:val="single" w:sz="4" w:space="0" w:color="000000"/>
              <w:bottom w:val="single" w:sz="8" w:space="0" w:color="000000"/>
              <w:right w:val="single" w:sz="4" w:space="0" w:color="000000"/>
            </w:tcBorders>
          </w:tcPr>
          <w:p w:rsidR="00E8309B" w:rsidRDefault="009D0949">
            <w:pPr>
              <w:spacing w:after="0" w:line="259" w:lineRule="auto"/>
              <w:ind w:left="44" w:right="0" w:firstLine="0"/>
              <w:jc w:val="left"/>
            </w:pPr>
            <w:r>
              <w:rPr>
                <w:i/>
                <w:sz w:val="18"/>
              </w:rPr>
              <w:t xml:space="preserve">Q2 </w:t>
            </w:r>
          </w:p>
        </w:tc>
        <w:tc>
          <w:tcPr>
            <w:tcW w:w="422" w:type="dxa"/>
            <w:tcBorders>
              <w:top w:val="single" w:sz="4" w:space="0" w:color="000000"/>
              <w:left w:val="single" w:sz="4" w:space="0" w:color="000000"/>
              <w:bottom w:val="single" w:sz="8" w:space="0" w:color="000000"/>
              <w:right w:val="single" w:sz="4" w:space="0" w:color="000000"/>
            </w:tcBorders>
          </w:tcPr>
          <w:p w:rsidR="00E8309B" w:rsidRDefault="009D0949">
            <w:pPr>
              <w:spacing w:after="0" w:line="259" w:lineRule="auto"/>
              <w:ind w:left="44" w:right="0" w:firstLine="0"/>
              <w:jc w:val="left"/>
            </w:pPr>
            <w:r>
              <w:rPr>
                <w:i/>
                <w:sz w:val="18"/>
              </w:rPr>
              <w:t xml:space="preserve">Q3 </w:t>
            </w:r>
          </w:p>
        </w:tc>
        <w:tc>
          <w:tcPr>
            <w:tcW w:w="420" w:type="dxa"/>
            <w:tcBorders>
              <w:top w:val="single" w:sz="4" w:space="0" w:color="000000"/>
              <w:left w:val="single" w:sz="4" w:space="0" w:color="000000"/>
              <w:bottom w:val="single" w:sz="8" w:space="0" w:color="000000"/>
              <w:right w:val="single" w:sz="8" w:space="0" w:color="000000"/>
            </w:tcBorders>
          </w:tcPr>
          <w:p w:rsidR="00E8309B" w:rsidRDefault="009D0949">
            <w:pPr>
              <w:spacing w:after="0" w:line="259" w:lineRule="auto"/>
              <w:ind w:left="44" w:right="0" w:firstLine="0"/>
              <w:jc w:val="left"/>
            </w:pPr>
            <w:r>
              <w:rPr>
                <w:i/>
                <w:sz w:val="18"/>
              </w:rPr>
              <w:t xml:space="preserve">Q4 </w:t>
            </w:r>
          </w:p>
        </w:tc>
      </w:tr>
      <w:tr w:rsidR="00E8309B">
        <w:trPr>
          <w:trHeight w:val="473"/>
        </w:trPr>
        <w:tc>
          <w:tcPr>
            <w:tcW w:w="427" w:type="dxa"/>
            <w:tcBorders>
              <w:top w:val="single" w:sz="8" w:space="0" w:color="000000"/>
              <w:left w:val="single" w:sz="8" w:space="0" w:color="000000"/>
              <w:bottom w:val="single" w:sz="4" w:space="0" w:color="000000"/>
              <w:right w:val="single" w:sz="8" w:space="0" w:color="000000"/>
            </w:tcBorders>
          </w:tcPr>
          <w:p w:rsidR="00E8309B" w:rsidRDefault="009D0949">
            <w:pPr>
              <w:spacing w:after="0" w:line="259" w:lineRule="auto"/>
              <w:ind w:left="0" w:right="51" w:firstLine="0"/>
              <w:jc w:val="right"/>
            </w:pPr>
            <w:r>
              <w:rPr>
                <w:sz w:val="20"/>
              </w:rPr>
              <w:t xml:space="preserve">1 </w:t>
            </w:r>
          </w:p>
        </w:tc>
        <w:tc>
          <w:tcPr>
            <w:tcW w:w="4123" w:type="dxa"/>
            <w:tcBorders>
              <w:top w:val="single" w:sz="8" w:space="0" w:color="000000"/>
              <w:left w:val="single" w:sz="8" w:space="0" w:color="000000"/>
              <w:bottom w:val="single" w:sz="4" w:space="0" w:color="000000"/>
              <w:right w:val="single" w:sz="8" w:space="0" w:color="000000"/>
            </w:tcBorders>
          </w:tcPr>
          <w:p w:rsidR="00E8309B" w:rsidRDefault="009D0949">
            <w:pPr>
              <w:spacing w:after="0" w:line="259" w:lineRule="auto"/>
              <w:ind w:left="0" w:right="0" w:firstLine="0"/>
              <w:jc w:val="left"/>
            </w:pPr>
            <w:r>
              <w:rPr>
                <w:sz w:val="20"/>
              </w:rPr>
              <w:t xml:space="preserve">Усвајање подзаконских аката у области фискализације </w:t>
            </w:r>
          </w:p>
        </w:tc>
        <w:tc>
          <w:tcPr>
            <w:tcW w:w="419" w:type="dxa"/>
            <w:tcBorders>
              <w:top w:val="single" w:sz="8" w:space="0" w:color="000000"/>
              <w:left w:val="single" w:sz="8"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1" w:right="0" w:firstLine="0"/>
              <w:jc w:val="center"/>
            </w:pPr>
            <w:r>
              <w:rPr>
                <w:color w:val="BFBFBF"/>
                <w:sz w:val="20"/>
              </w:rPr>
              <w:t xml:space="preserve"> </w:t>
            </w:r>
          </w:p>
        </w:tc>
        <w:tc>
          <w:tcPr>
            <w:tcW w:w="421" w:type="dxa"/>
            <w:tcBorders>
              <w:top w:val="single" w:sz="8" w:space="0" w:color="000000"/>
              <w:left w:val="single" w:sz="4"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1" w:right="0" w:firstLine="0"/>
              <w:jc w:val="center"/>
            </w:pPr>
            <w:r>
              <w:rPr>
                <w:color w:val="BFBFBF"/>
                <w:sz w:val="20"/>
              </w:rPr>
              <w:t xml:space="preserve"> </w:t>
            </w:r>
          </w:p>
        </w:tc>
        <w:tc>
          <w:tcPr>
            <w:tcW w:w="422" w:type="dxa"/>
            <w:tcBorders>
              <w:top w:val="single" w:sz="8" w:space="0" w:color="000000"/>
              <w:left w:val="single" w:sz="4"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2" w:right="0" w:firstLine="0"/>
              <w:jc w:val="center"/>
            </w:pPr>
            <w:r>
              <w:rPr>
                <w:color w:val="BFBFBF"/>
                <w:sz w:val="20"/>
              </w:rPr>
              <w:t xml:space="preserve"> </w:t>
            </w:r>
          </w:p>
        </w:tc>
        <w:tc>
          <w:tcPr>
            <w:tcW w:w="421" w:type="dxa"/>
            <w:tcBorders>
              <w:top w:val="single" w:sz="8" w:space="0" w:color="000000"/>
              <w:left w:val="single" w:sz="4" w:space="0" w:color="000000"/>
              <w:bottom w:val="single" w:sz="4" w:space="0" w:color="000000"/>
              <w:right w:val="single" w:sz="8" w:space="0" w:color="000000"/>
            </w:tcBorders>
            <w:shd w:val="clear" w:color="auto" w:fill="BFBFBF"/>
            <w:vAlign w:val="center"/>
          </w:tcPr>
          <w:p w:rsidR="00E8309B" w:rsidRDefault="009D0949">
            <w:pPr>
              <w:spacing w:after="0" w:line="259" w:lineRule="auto"/>
              <w:ind w:left="4" w:right="0" w:firstLine="0"/>
              <w:jc w:val="center"/>
            </w:pPr>
            <w:r>
              <w:rPr>
                <w:color w:val="BFBFBF"/>
                <w:sz w:val="20"/>
              </w:rPr>
              <w:t xml:space="preserve"> </w:t>
            </w:r>
          </w:p>
        </w:tc>
        <w:tc>
          <w:tcPr>
            <w:tcW w:w="424" w:type="dxa"/>
            <w:tcBorders>
              <w:top w:val="single" w:sz="8" w:space="0" w:color="000000"/>
              <w:left w:val="single" w:sz="8" w:space="0" w:color="000000"/>
              <w:bottom w:val="single" w:sz="4" w:space="0" w:color="000000"/>
              <w:right w:val="single" w:sz="4" w:space="0" w:color="000000"/>
            </w:tcBorders>
            <w:vAlign w:val="center"/>
          </w:tcPr>
          <w:p w:rsidR="00E8309B" w:rsidRDefault="009D0949">
            <w:pPr>
              <w:spacing w:after="0" w:line="259" w:lineRule="auto"/>
              <w:ind w:left="4" w:right="0" w:firstLine="0"/>
              <w:jc w:val="center"/>
            </w:pPr>
            <w:r>
              <w:rPr>
                <w:sz w:val="20"/>
              </w:rPr>
              <w:t xml:space="preserve"> </w:t>
            </w:r>
          </w:p>
        </w:tc>
        <w:tc>
          <w:tcPr>
            <w:tcW w:w="421" w:type="dxa"/>
            <w:tcBorders>
              <w:top w:val="single" w:sz="8"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4" w:right="0" w:firstLine="0"/>
              <w:jc w:val="center"/>
            </w:pPr>
            <w:r>
              <w:rPr>
                <w:sz w:val="20"/>
              </w:rPr>
              <w:t xml:space="preserve"> </w:t>
            </w:r>
          </w:p>
        </w:tc>
        <w:tc>
          <w:tcPr>
            <w:tcW w:w="423" w:type="dxa"/>
            <w:tcBorders>
              <w:top w:val="single" w:sz="8"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5" w:right="0" w:firstLine="0"/>
              <w:jc w:val="center"/>
            </w:pPr>
            <w:r>
              <w:rPr>
                <w:sz w:val="20"/>
              </w:rPr>
              <w:t xml:space="preserve"> </w:t>
            </w:r>
          </w:p>
        </w:tc>
        <w:tc>
          <w:tcPr>
            <w:tcW w:w="420" w:type="dxa"/>
            <w:tcBorders>
              <w:top w:val="single" w:sz="8" w:space="0" w:color="000000"/>
              <w:left w:val="single" w:sz="4" w:space="0" w:color="000000"/>
              <w:bottom w:val="single" w:sz="4" w:space="0" w:color="000000"/>
              <w:right w:val="single" w:sz="8" w:space="0" w:color="000000"/>
            </w:tcBorders>
            <w:vAlign w:val="center"/>
          </w:tcPr>
          <w:p w:rsidR="00E8309B" w:rsidRDefault="009D0949">
            <w:pPr>
              <w:spacing w:after="0" w:line="259" w:lineRule="auto"/>
              <w:ind w:left="2" w:right="0" w:firstLine="0"/>
              <w:jc w:val="center"/>
            </w:pPr>
            <w:r>
              <w:rPr>
                <w:sz w:val="20"/>
              </w:rPr>
              <w:t xml:space="preserve"> </w:t>
            </w:r>
          </w:p>
        </w:tc>
        <w:tc>
          <w:tcPr>
            <w:tcW w:w="424" w:type="dxa"/>
            <w:tcBorders>
              <w:top w:val="single" w:sz="8" w:space="0" w:color="000000"/>
              <w:left w:val="single" w:sz="8" w:space="0" w:color="000000"/>
              <w:bottom w:val="single" w:sz="4" w:space="0" w:color="000000"/>
              <w:right w:val="single" w:sz="4" w:space="0" w:color="000000"/>
            </w:tcBorders>
            <w:vAlign w:val="center"/>
          </w:tcPr>
          <w:p w:rsidR="00E8309B" w:rsidRDefault="009D0949">
            <w:pPr>
              <w:spacing w:after="0" w:line="259" w:lineRule="auto"/>
              <w:ind w:left="4" w:right="0" w:firstLine="0"/>
              <w:jc w:val="center"/>
            </w:pPr>
            <w:r>
              <w:rPr>
                <w:sz w:val="20"/>
              </w:rPr>
              <w:t xml:space="preserve"> </w:t>
            </w:r>
          </w:p>
        </w:tc>
        <w:tc>
          <w:tcPr>
            <w:tcW w:w="422" w:type="dxa"/>
            <w:tcBorders>
              <w:top w:val="single" w:sz="8"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2" w:right="0" w:firstLine="0"/>
              <w:jc w:val="center"/>
            </w:pPr>
            <w:r>
              <w:rPr>
                <w:sz w:val="20"/>
              </w:rPr>
              <w:t xml:space="preserve"> </w:t>
            </w:r>
          </w:p>
        </w:tc>
        <w:tc>
          <w:tcPr>
            <w:tcW w:w="422" w:type="dxa"/>
            <w:tcBorders>
              <w:top w:val="single" w:sz="8"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2" w:right="0" w:firstLine="0"/>
              <w:jc w:val="center"/>
            </w:pPr>
            <w:r>
              <w:rPr>
                <w:sz w:val="20"/>
              </w:rPr>
              <w:t xml:space="preserve"> </w:t>
            </w:r>
          </w:p>
        </w:tc>
        <w:tc>
          <w:tcPr>
            <w:tcW w:w="420" w:type="dxa"/>
            <w:tcBorders>
              <w:top w:val="single" w:sz="8" w:space="0" w:color="000000"/>
              <w:left w:val="single" w:sz="4" w:space="0" w:color="000000"/>
              <w:bottom w:val="single" w:sz="4" w:space="0" w:color="000000"/>
              <w:right w:val="single" w:sz="8" w:space="0" w:color="000000"/>
            </w:tcBorders>
            <w:vAlign w:val="center"/>
          </w:tcPr>
          <w:p w:rsidR="00E8309B" w:rsidRDefault="009D0949">
            <w:pPr>
              <w:spacing w:after="0" w:line="259" w:lineRule="auto"/>
              <w:ind w:left="5" w:right="0" w:firstLine="0"/>
              <w:jc w:val="center"/>
            </w:pPr>
            <w:r>
              <w:rPr>
                <w:sz w:val="20"/>
              </w:rPr>
              <w:t xml:space="preserve"> </w:t>
            </w:r>
          </w:p>
        </w:tc>
      </w:tr>
      <w:tr w:rsidR="00E8309B">
        <w:trPr>
          <w:trHeight w:val="470"/>
        </w:trPr>
        <w:tc>
          <w:tcPr>
            <w:tcW w:w="427" w:type="dxa"/>
            <w:tcBorders>
              <w:top w:val="single" w:sz="4" w:space="0" w:color="000000"/>
              <w:left w:val="single" w:sz="8" w:space="0" w:color="000000"/>
              <w:bottom w:val="single" w:sz="4" w:space="0" w:color="000000"/>
              <w:right w:val="single" w:sz="8" w:space="0" w:color="000000"/>
            </w:tcBorders>
          </w:tcPr>
          <w:p w:rsidR="00E8309B" w:rsidRDefault="009D0949">
            <w:pPr>
              <w:spacing w:after="0" w:line="259" w:lineRule="auto"/>
              <w:ind w:left="0" w:right="51" w:firstLine="0"/>
              <w:jc w:val="right"/>
            </w:pPr>
            <w:r>
              <w:rPr>
                <w:sz w:val="20"/>
              </w:rPr>
              <w:t xml:space="preserve">2 </w:t>
            </w:r>
          </w:p>
        </w:tc>
        <w:tc>
          <w:tcPr>
            <w:tcW w:w="4123" w:type="dxa"/>
            <w:tcBorders>
              <w:top w:val="single" w:sz="4" w:space="0" w:color="000000"/>
              <w:left w:val="single" w:sz="8" w:space="0" w:color="000000"/>
              <w:bottom w:val="single" w:sz="4" w:space="0" w:color="000000"/>
              <w:right w:val="single" w:sz="8" w:space="0" w:color="000000"/>
            </w:tcBorders>
          </w:tcPr>
          <w:p w:rsidR="00E8309B" w:rsidRDefault="009D0949">
            <w:pPr>
              <w:spacing w:after="0" w:line="259" w:lineRule="auto"/>
              <w:ind w:left="0" w:right="0" w:firstLine="0"/>
              <w:jc w:val="left"/>
            </w:pPr>
            <w:r>
              <w:rPr>
                <w:sz w:val="20"/>
              </w:rPr>
              <w:t xml:space="preserve">Пуштање у рад нове централизоване платформе за фискализацију </w:t>
            </w:r>
          </w:p>
        </w:tc>
        <w:tc>
          <w:tcPr>
            <w:tcW w:w="419" w:type="dxa"/>
            <w:tcBorders>
              <w:top w:val="single" w:sz="4" w:space="0" w:color="000000"/>
              <w:left w:val="single" w:sz="8" w:space="0" w:color="000000"/>
              <w:bottom w:val="single" w:sz="4" w:space="0" w:color="000000"/>
              <w:right w:val="single" w:sz="4" w:space="0" w:color="000000"/>
            </w:tcBorders>
            <w:vAlign w:val="center"/>
          </w:tcPr>
          <w:p w:rsidR="00E8309B" w:rsidRDefault="009D0949">
            <w:pPr>
              <w:spacing w:after="0" w:line="259" w:lineRule="auto"/>
              <w:ind w:left="1" w:right="0" w:firstLine="0"/>
              <w:jc w:val="center"/>
            </w:pPr>
            <w:r>
              <w:rPr>
                <w:sz w:val="20"/>
              </w:rPr>
              <w:t xml:space="preserve"> </w:t>
            </w:r>
          </w:p>
        </w:tc>
        <w:tc>
          <w:tcPr>
            <w:tcW w:w="421"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1" w:right="0" w:firstLine="0"/>
              <w:jc w:val="center"/>
            </w:pPr>
            <w:r>
              <w:rPr>
                <w:sz w:val="20"/>
              </w:rPr>
              <w:t xml:space="preserve"> </w:t>
            </w:r>
          </w:p>
        </w:tc>
        <w:tc>
          <w:tcPr>
            <w:tcW w:w="422"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2" w:right="0" w:firstLine="0"/>
              <w:jc w:val="center"/>
            </w:pPr>
            <w:r>
              <w:rPr>
                <w:sz w:val="20"/>
              </w:rPr>
              <w:t xml:space="preserve"> </w:t>
            </w:r>
          </w:p>
        </w:tc>
        <w:tc>
          <w:tcPr>
            <w:tcW w:w="421" w:type="dxa"/>
            <w:tcBorders>
              <w:top w:val="single" w:sz="4" w:space="0" w:color="000000"/>
              <w:left w:val="single" w:sz="4" w:space="0" w:color="000000"/>
              <w:bottom w:val="single" w:sz="4" w:space="0" w:color="000000"/>
              <w:right w:val="single" w:sz="8" w:space="0" w:color="000000"/>
            </w:tcBorders>
            <w:vAlign w:val="center"/>
          </w:tcPr>
          <w:p w:rsidR="00E8309B" w:rsidRDefault="009D0949">
            <w:pPr>
              <w:spacing w:after="0" w:line="259" w:lineRule="auto"/>
              <w:ind w:left="4" w:right="0" w:firstLine="0"/>
              <w:jc w:val="center"/>
            </w:pPr>
            <w:r>
              <w:rPr>
                <w:sz w:val="20"/>
              </w:rPr>
              <w:t xml:space="preserve"> </w:t>
            </w:r>
          </w:p>
        </w:tc>
        <w:tc>
          <w:tcPr>
            <w:tcW w:w="424" w:type="dxa"/>
            <w:tcBorders>
              <w:top w:val="single" w:sz="4" w:space="0" w:color="000000"/>
              <w:left w:val="single" w:sz="8"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4" w:right="0" w:firstLine="0"/>
              <w:jc w:val="center"/>
            </w:pPr>
            <w:r>
              <w:rPr>
                <w:sz w:val="20"/>
              </w:rPr>
              <w:t xml:space="preserve"> </w:t>
            </w:r>
          </w:p>
        </w:tc>
        <w:tc>
          <w:tcPr>
            <w:tcW w:w="421"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4" w:right="0" w:firstLine="0"/>
              <w:jc w:val="center"/>
            </w:pPr>
            <w:r>
              <w:rPr>
                <w:sz w:val="20"/>
              </w:rPr>
              <w:t xml:space="preserve"> </w:t>
            </w:r>
          </w:p>
        </w:tc>
        <w:tc>
          <w:tcPr>
            <w:tcW w:w="423"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5" w:right="0" w:firstLine="0"/>
              <w:jc w:val="center"/>
            </w:pPr>
            <w:r>
              <w:rPr>
                <w:sz w:val="20"/>
              </w:rPr>
              <w:t xml:space="preserve"> </w:t>
            </w:r>
          </w:p>
        </w:tc>
        <w:tc>
          <w:tcPr>
            <w:tcW w:w="420" w:type="dxa"/>
            <w:tcBorders>
              <w:top w:val="single" w:sz="4" w:space="0" w:color="000000"/>
              <w:left w:val="single" w:sz="4" w:space="0" w:color="000000"/>
              <w:bottom w:val="single" w:sz="4" w:space="0" w:color="000000"/>
              <w:right w:val="single" w:sz="8" w:space="0" w:color="000000"/>
            </w:tcBorders>
            <w:shd w:val="clear" w:color="auto" w:fill="BFBFBF"/>
            <w:vAlign w:val="center"/>
          </w:tcPr>
          <w:p w:rsidR="00E8309B" w:rsidRDefault="009D0949">
            <w:pPr>
              <w:spacing w:after="0" w:line="259" w:lineRule="auto"/>
              <w:ind w:left="2" w:right="0" w:firstLine="0"/>
              <w:jc w:val="center"/>
            </w:pPr>
            <w:r>
              <w:rPr>
                <w:sz w:val="20"/>
              </w:rPr>
              <w:t xml:space="preserve"> </w:t>
            </w:r>
          </w:p>
        </w:tc>
        <w:tc>
          <w:tcPr>
            <w:tcW w:w="424" w:type="dxa"/>
            <w:tcBorders>
              <w:top w:val="single" w:sz="4" w:space="0" w:color="000000"/>
              <w:left w:val="single" w:sz="8"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4" w:right="0" w:firstLine="0"/>
              <w:jc w:val="center"/>
            </w:pPr>
            <w:r>
              <w:rPr>
                <w:sz w:val="20"/>
              </w:rPr>
              <w:t xml:space="preserve"> </w:t>
            </w:r>
          </w:p>
        </w:tc>
        <w:tc>
          <w:tcPr>
            <w:tcW w:w="422"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2" w:right="0" w:firstLine="0"/>
              <w:jc w:val="center"/>
            </w:pPr>
            <w:r>
              <w:rPr>
                <w:sz w:val="20"/>
              </w:rPr>
              <w:t xml:space="preserve"> </w:t>
            </w:r>
          </w:p>
        </w:tc>
        <w:tc>
          <w:tcPr>
            <w:tcW w:w="422"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2" w:right="0" w:firstLine="0"/>
              <w:jc w:val="center"/>
            </w:pPr>
            <w:r>
              <w:rPr>
                <w:sz w:val="20"/>
              </w:rPr>
              <w:t xml:space="preserve"> </w:t>
            </w:r>
          </w:p>
        </w:tc>
        <w:tc>
          <w:tcPr>
            <w:tcW w:w="420" w:type="dxa"/>
            <w:tcBorders>
              <w:top w:val="single" w:sz="4" w:space="0" w:color="000000"/>
              <w:left w:val="single" w:sz="4" w:space="0" w:color="000000"/>
              <w:bottom w:val="single" w:sz="4" w:space="0" w:color="000000"/>
              <w:right w:val="single" w:sz="8" w:space="0" w:color="000000"/>
            </w:tcBorders>
            <w:shd w:val="clear" w:color="auto" w:fill="BFBFBF"/>
            <w:vAlign w:val="center"/>
          </w:tcPr>
          <w:p w:rsidR="00E8309B" w:rsidRDefault="009D0949">
            <w:pPr>
              <w:spacing w:after="0" w:line="259" w:lineRule="auto"/>
              <w:ind w:left="5" w:right="0" w:firstLine="0"/>
              <w:jc w:val="center"/>
            </w:pPr>
            <w:r>
              <w:rPr>
                <w:sz w:val="20"/>
              </w:rPr>
              <w:t xml:space="preserve"> </w:t>
            </w:r>
          </w:p>
        </w:tc>
      </w:tr>
      <w:tr w:rsidR="00E8309B">
        <w:trPr>
          <w:trHeight w:val="470"/>
        </w:trPr>
        <w:tc>
          <w:tcPr>
            <w:tcW w:w="427" w:type="dxa"/>
            <w:tcBorders>
              <w:top w:val="single" w:sz="4" w:space="0" w:color="000000"/>
              <w:left w:val="single" w:sz="8" w:space="0" w:color="000000"/>
              <w:bottom w:val="single" w:sz="4" w:space="0" w:color="000000"/>
              <w:right w:val="single" w:sz="8" w:space="0" w:color="000000"/>
            </w:tcBorders>
          </w:tcPr>
          <w:p w:rsidR="00E8309B" w:rsidRDefault="009D0949">
            <w:pPr>
              <w:spacing w:after="0" w:line="259" w:lineRule="auto"/>
              <w:ind w:left="0" w:right="51" w:firstLine="0"/>
              <w:jc w:val="right"/>
            </w:pPr>
            <w:r>
              <w:rPr>
                <w:sz w:val="20"/>
              </w:rPr>
              <w:t xml:space="preserve">3 </w:t>
            </w:r>
          </w:p>
        </w:tc>
        <w:tc>
          <w:tcPr>
            <w:tcW w:w="4123" w:type="dxa"/>
            <w:tcBorders>
              <w:top w:val="single" w:sz="4" w:space="0" w:color="000000"/>
              <w:left w:val="single" w:sz="8" w:space="0" w:color="000000"/>
              <w:bottom w:val="single" w:sz="4" w:space="0" w:color="000000"/>
              <w:right w:val="single" w:sz="8" w:space="0" w:color="000000"/>
            </w:tcBorders>
          </w:tcPr>
          <w:p w:rsidR="00E8309B" w:rsidRDefault="009D0949">
            <w:pPr>
              <w:spacing w:after="0" w:line="259" w:lineRule="auto"/>
              <w:ind w:left="0" w:right="0" w:firstLine="0"/>
            </w:pPr>
            <w:r>
              <w:rPr>
                <w:sz w:val="20"/>
              </w:rPr>
              <w:t xml:space="preserve">Усвајање законодавног оквира у области електронског фактурисања </w:t>
            </w:r>
          </w:p>
        </w:tc>
        <w:tc>
          <w:tcPr>
            <w:tcW w:w="419" w:type="dxa"/>
            <w:tcBorders>
              <w:top w:val="single" w:sz="4" w:space="0" w:color="000000"/>
              <w:left w:val="single" w:sz="8"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1" w:right="0" w:firstLine="0"/>
              <w:jc w:val="center"/>
            </w:pPr>
            <w:r>
              <w:rPr>
                <w:sz w:val="20"/>
              </w:rPr>
              <w:t xml:space="preserve"> </w:t>
            </w:r>
          </w:p>
        </w:tc>
        <w:tc>
          <w:tcPr>
            <w:tcW w:w="421"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1" w:right="0" w:firstLine="0"/>
              <w:jc w:val="center"/>
            </w:pPr>
            <w:r>
              <w:rPr>
                <w:sz w:val="20"/>
              </w:rPr>
              <w:t xml:space="preserve"> </w:t>
            </w:r>
          </w:p>
        </w:tc>
        <w:tc>
          <w:tcPr>
            <w:tcW w:w="422"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2" w:right="0" w:firstLine="0"/>
              <w:jc w:val="center"/>
            </w:pPr>
            <w:r>
              <w:rPr>
                <w:sz w:val="20"/>
              </w:rPr>
              <w:t xml:space="preserve"> </w:t>
            </w:r>
          </w:p>
        </w:tc>
        <w:tc>
          <w:tcPr>
            <w:tcW w:w="421" w:type="dxa"/>
            <w:tcBorders>
              <w:top w:val="single" w:sz="4" w:space="0" w:color="000000"/>
              <w:left w:val="single" w:sz="4" w:space="0" w:color="000000"/>
              <w:bottom w:val="single" w:sz="4" w:space="0" w:color="000000"/>
              <w:right w:val="single" w:sz="8" w:space="0" w:color="000000"/>
            </w:tcBorders>
            <w:shd w:val="clear" w:color="auto" w:fill="BFBFBF"/>
            <w:vAlign w:val="center"/>
          </w:tcPr>
          <w:p w:rsidR="00E8309B" w:rsidRDefault="009D0949">
            <w:pPr>
              <w:spacing w:after="0" w:line="259" w:lineRule="auto"/>
              <w:ind w:left="4" w:right="0" w:firstLine="0"/>
              <w:jc w:val="center"/>
            </w:pPr>
            <w:r>
              <w:rPr>
                <w:sz w:val="20"/>
              </w:rPr>
              <w:t xml:space="preserve"> </w:t>
            </w:r>
          </w:p>
        </w:tc>
        <w:tc>
          <w:tcPr>
            <w:tcW w:w="424" w:type="dxa"/>
            <w:tcBorders>
              <w:top w:val="single" w:sz="4" w:space="0" w:color="000000"/>
              <w:left w:val="single" w:sz="8" w:space="0" w:color="000000"/>
              <w:bottom w:val="single" w:sz="4" w:space="0" w:color="000000"/>
              <w:right w:val="single" w:sz="4" w:space="0" w:color="000000"/>
            </w:tcBorders>
            <w:vAlign w:val="center"/>
          </w:tcPr>
          <w:p w:rsidR="00E8309B" w:rsidRDefault="009D0949">
            <w:pPr>
              <w:spacing w:after="0" w:line="259" w:lineRule="auto"/>
              <w:ind w:left="4" w:right="0" w:firstLine="0"/>
              <w:jc w:val="center"/>
            </w:pPr>
            <w:r>
              <w:rPr>
                <w:sz w:val="20"/>
              </w:rPr>
              <w:t xml:space="preserve"> </w:t>
            </w:r>
          </w:p>
        </w:tc>
        <w:tc>
          <w:tcPr>
            <w:tcW w:w="421"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4" w:right="0" w:firstLine="0"/>
              <w:jc w:val="center"/>
            </w:pPr>
            <w:r>
              <w:rPr>
                <w:sz w:val="20"/>
              </w:rPr>
              <w:t xml:space="preserve"> </w:t>
            </w:r>
          </w:p>
        </w:tc>
        <w:tc>
          <w:tcPr>
            <w:tcW w:w="423"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5" w:right="0" w:firstLine="0"/>
              <w:jc w:val="center"/>
            </w:pPr>
            <w:r>
              <w:rPr>
                <w:sz w:val="20"/>
              </w:rPr>
              <w:t xml:space="preserve"> </w:t>
            </w:r>
          </w:p>
        </w:tc>
        <w:tc>
          <w:tcPr>
            <w:tcW w:w="420" w:type="dxa"/>
            <w:tcBorders>
              <w:top w:val="single" w:sz="4" w:space="0" w:color="000000"/>
              <w:left w:val="single" w:sz="4" w:space="0" w:color="000000"/>
              <w:bottom w:val="single" w:sz="4" w:space="0" w:color="000000"/>
              <w:right w:val="single" w:sz="8" w:space="0" w:color="000000"/>
            </w:tcBorders>
            <w:vAlign w:val="center"/>
          </w:tcPr>
          <w:p w:rsidR="00E8309B" w:rsidRDefault="009D0949">
            <w:pPr>
              <w:spacing w:after="0" w:line="259" w:lineRule="auto"/>
              <w:ind w:left="2" w:right="0" w:firstLine="0"/>
              <w:jc w:val="center"/>
            </w:pPr>
            <w:r>
              <w:rPr>
                <w:sz w:val="20"/>
              </w:rPr>
              <w:t xml:space="preserve"> </w:t>
            </w:r>
          </w:p>
        </w:tc>
        <w:tc>
          <w:tcPr>
            <w:tcW w:w="424" w:type="dxa"/>
            <w:tcBorders>
              <w:top w:val="single" w:sz="4" w:space="0" w:color="000000"/>
              <w:left w:val="single" w:sz="8" w:space="0" w:color="000000"/>
              <w:bottom w:val="single" w:sz="4" w:space="0" w:color="000000"/>
              <w:right w:val="single" w:sz="4" w:space="0" w:color="000000"/>
            </w:tcBorders>
            <w:vAlign w:val="center"/>
          </w:tcPr>
          <w:p w:rsidR="00E8309B" w:rsidRDefault="009D0949">
            <w:pPr>
              <w:spacing w:after="0" w:line="259" w:lineRule="auto"/>
              <w:ind w:left="4" w:right="0" w:firstLine="0"/>
              <w:jc w:val="center"/>
            </w:pPr>
            <w:r>
              <w:rPr>
                <w:sz w:val="20"/>
              </w:rPr>
              <w:t xml:space="preserve"> </w:t>
            </w:r>
          </w:p>
        </w:tc>
        <w:tc>
          <w:tcPr>
            <w:tcW w:w="422"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2" w:right="0" w:firstLine="0"/>
              <w:jc w:val="center"/>
            </w:pPr>
            <w:r>
              <w:rPr>
                <w:sz w:val="20"/>
              </w:rPr>
              <w:t xml:space="preserve"> </w:t>
            </w:r>
          </w:p>
        </w:tc>
        <w:tc>
          <w:tcPr>
            <w:tcW w:w="422"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2" w:right="0" w:firstLine="0"/>
              <w:jc w:val="center"/>
            </w:pPr>
            <w:r>
              <w:rPr>
                <w:sz w:val="20"/>
              </w:rPr>
              <w:t xml:space="preserve"> </w:t>
            </w:r>
          </w:p>
        </w:tc>
        <w:tc>
          <w:tcPr>
            <w:tcW w:w="420" w:type="dxa"/>
            <w:tcBorders>
              <w:top w:val="single" w:sz="4" w:space="0" w:color="000000"/>
              <w:left w:val="single" w:sz="4" w:space="0" w:color="000000"/>
              <w:bottom w:val="single" w:sz="4" w:space="0" w:color="000000"/>
              <w:right w:val="single" w:sz="8" w:space="0" w:color="000000"/>
            </w:tcBorders>
            <w:vAlign w:val="center"/>
          </w:tcPr>
          <w:p w:rsidR="00E8309B" w:rsidRDefault="009D0949">
            <w:pPr>
              <w:spacing w:after="0" w:line="259" w:lineRule="auto"/>
              <w:ind w:left="5" w:right="0" w:firstLine="0"/>
              <w:jc w:val="center"/>
            </w:pPr>
            <w:r>
              <w:rPr>
                <w:sz w:val="20"/>
              </w:rPr>
              <w:t xml:space="preserve"> </w:t>
            </w:r>
          </w:p>
        </w:tc>
      </w:tr>
      <w:tr w:rsidR="00E8309B">
        <w:trPr>
          <w:trHeight w:val="469"/>
        </w:trPr>
        <w:tc>
          <w:tcPr>
            <w:tcW w:w="427" w:type="dxa"/>
            <w:tcBorders>
              <w:top w:val="single" w:sz="4" w:space="0" w:color="000000"/>
              <w:left w:val="single" w:sz="8" w:space="0" w:color="000000"/>
              <w:bottom w:val="single" w:sz="4" w:space="0" w:color="000000"/>
              <w:right w:val="single" w:sz="8" w:space="0" w:color="000000"/>
            </w:tcBorders>
          </w:tcPr>
          <w:p w:rsidR="00E8309B" w:rsidRDefault="009D0949">
            <w:pPr>
              <w:spacing w:after="0" w:line="259" w:lineRule="auto"/>
              <w:ind w:left="0" w:right="51" w:firstLine="0"/>
              <w:jc w:val="right"/>
            </w:pPr>
            <w:r>
              <w:rPr>
                <w:sz w:val="20"/>
              </w:rPr>
              <w:t xml:space="preserve">4 </w:t>
            </w:r>
          </w:p>
        </w:tc>
        <w:tc>
          <w:tcPr>
            <w:tcW w:w="4123" w:type="dxa"/>
            <w:tcBorders>
              <w:top w:val="single" w:sz="4" w:space="0" w:color="000000"/>
              <w:left w:val="single" w:sz="8" w:space="0" w:color="000000"/>
              <w:bottom w:val="single" w:sz="4" w:space="0" w:color="000000"/>
              <w:right w:val="single" w:sz="8" w:space="0" w:color="000000"/>
            </w:tcBorders>
          </w:tcPr>
          <w:p w:rsidR="00E8309B" w:rsidRDefault="009D0949">
            <w:pPr>
              <w:spacing w:after="0" w:line="259" w:lineRule="auto"/>
              <w:ind w:left="0" w:right="0" w:firstLine="0"/>
              <w:jc w:val="left"/>
            </w:pPr>
            <w:r>
              <w:rPr>
                <w:sz w:val="20"/>
              </w:rPr>
              <w:t xml:space="preserve">Пуштање у рад централизоване платформе за електронске фактуре </w:t>
            </w:r>
          </w:p>
        </w:tc>
        <w:tc>
          <w:tcPr>
            <w:tcW w:w="419" w:type="dxa"/>
            <w:tcBorders>
              <w:top w:val="single" w:sz="4" w:space="0" w:color="000000"/>
              <w:left w:val="single" w:sz="8" w:space="0" w:color="000000"/>
              <w:bottom w:val="single" w:sz="4" w:space="0" w:color="000000"/>
              <w:right w:val="single" w:sz="4" w:space="0" w:color="000000"/>
            </w:tcBorders>
            <w:vAlign w:val="center"/>
          </w:tcPr>
          <w:p w:rsidR="00E8309B" w:rsidRDefault="009D0949">
            <w:pPr>
              <w:spacing w:after="0" w:line="259" w:lineRule="auto"/>
              <w:ind w:left="1" w:right="0" w:firstLine="0"/>
              <w:jc w:val="center"/>
            </w:pPr>
            <w:r>
              <w:rPr>
                <w:sz w:val="20"/>
              </w:rPr>
              <w:t xml:space="preserve"> </w:t>
            </w:r>
          </w:p>
        </w:tc>
        <w:tc>
          <w:tcPr>
            <w:tcW w:w="421"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1" w:right="0" w:firstLine="0"/>
              <w:jc w:val="center"/>
            </w:pPr>
            <w:r>
              <w:rPr>
                <w:sz w:val="20"/>
              </w:rPr>
              <w:t xml:space="preserve"> </w:t>
            </w:r>
          </w:p>
        </w:tc>
        <w:tc>
          <w:tcPr>
            <w:tcW w:w="422"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2" w:right="0" w:firstLine="0"/>
              <w:jc w:val="center"/>
            </w:pPr>
            <w:r>
              <w:rPr>
                <w:sz w:val="20"/>
              </w:rPr>
              <w:t xml:space="preserve"> </w:t>
            </w:r>
          </w:p>
        </w:tc>
        <w:tc>
          <w:tcPr>
            <w:tcW w:w="421" w:type="dxa"/>
            <w:tcBorders>
              <w:top w:val="single" w:sz="4" w:space="0" w:color="000000"/>
              <w:left w:val="single" w:sz="4" w:space="0" w:color="000000"/>
              <w:bottom w:val="single" w:sz="4" w:space="0" w:color="000000"/>
              <w:right w:val="single" w:sz="8" w:space="0" w:color="000000"/>
            </w:tcBorders>
            <w:shd w:val="clear" w:color="auto" w:fill="BFBFBF"/>
            <w:vAlign w:val="center"/>
          </w:tcPr>
          <w:p w:rsidR="00E8309B" w:rsidRDefault="009D0949">
            <w:pPr>
              <w:spacing w:after="0" w:line="259" w:lineRule="auto"/>
              <w:ind w:left="4" w:right="0" w:firstLine="0"/>
              <w:jc w:val="center"/>
            </w:pPr>
            <w:r>
              <w:rPr>
                <w:sz w:val="20"/>
              </w:rPr>
              <w:t xml:space="preserve"> </w:t>
            </w:r>
          </w:p>
        </w:tc>
        <w:tc>
          <w:tcPr>
            <w:tcW w:w="424" w:type="dxa"/>
            <w:tcBorders>
              <w:top w:val="single" w:sz="4" w:space="0" w:color="000000"/>
              <w:left w:val="single" w:sz="8" w:space="0" w:color="000000"/>
              <w:bottom w:val="single" w:sz="4" w:space="0" w:color="000000"/>
              <w:right w:val="single" w:sz="4" w:space="0" w:color="000000"/>
            </w:tcBorders>
            <w:vAlign w:val="center"/>
          </w:tcPr>
          <w:p w:rsidR="00E8309B" w:rsidRDefault="009D0949">
            <w:pPr>
              <w:spacing w:after="0" w:line="259" w:lineRule="auto"/>
              <w:ind w:left="4" w:right="0" w:firstLine="0"/>
              <w:jc w:val="center"/>
            </w:pPr>
            <w:r>
              <w:rPr>
                <w:sz w:val="20"/>
              </w:rPr>
              <w:t xml:space="preserve"> </w:t>
            </w:r>
          </w:p>
        </w:tc>
        <w:tc>
          <w:tcPr>
            <w:tcW w:w="421"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4" w:right="0" w:firstLine="0"/>
              <w:jc w:val="center"/>
            </w:pPr>
            <w:r>
              <w:rPr>
                <w:sz w:val="20"/>
              </w:rPr>
              <w:t xml:space="preserve"> </w:t>
            </w:r>
          </w:p>
        </w:tc>
        <w:tc>
          <w:tcPr>
            <w:tcW w:w="423"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5" w:right="0" w:firstLine="0"/>
              <w:jc w:val="center"/>
            </w:pPr>
            <w:r>
              <w:rPr>
                <w:sz w:val="20"/>
              </w:rPr>
              <w:t xml:space="preserve"> </w:t>
            </w:r>
          </w:p>
        </w:tc>
        <w:tc>
          <w:tcPr>
            <w:tcW w:w="420" w:type="dxa"/>
            <w:tcBorders>
              <w:top w:val="single" w:sz="4" w:space="0" w:color="000000"/>
              <w:left w:val="single" w:sz="4" w:space="0" w:color="000000"/>
              <w:bottom w:val="single" w:sz="4" w:space="0" w:color="000000"/>
              <w:right w:val="single" w:sz="8" w:space="0" w:color="000000"/>
            </w:tcBorders>
            <w:vAlign w:val="center"/>
          </w:tcPr>
          <w:p w:rsidR="00E8309B" w:rsidRDefault="009D0949">
            <w:pPr>
              <w:spacing w:after="0" w:line="259" w:lineRule="auto"/>
              <w:ind w:left="2" w:right="0" w:firstLine="0"/>
              <w:jc w:val="center"/>
            </w:pPr>
            <w:r>
              <w:rPr>
                <w:sz w:val="20"/>
              </w:rPr>
              <w:t xml:space="preserve"> </w:t>
            </w:r>
          </w:p>
        </w:tc>
        <w:tc>
          <w:tcPr>
            <w:tcW w:w="424" w:type="dxa"/>
            <w:tcBorders>
              <w:top w:val="single" w:sz="4" w:space="0" w:color="000000"/>
              <w:left w:val="single" w:sz="8" w:space="0" w:color="000000"/>
              <w:bottom w:val="single" w:sz="4" w:space="0" w:color="000000"/>
              <w:right w:val="single" w:sz="4" w:space="0" w:color="000000"/>
            </w:tcBorders>
            <w:vAlign w:val="center"/>
          </w:tcPr>
          <w:p w:rsidR="00E8309B" w:rsidRDefault="009D0949">
            <w:pPr>
              <w:spacing w:after="0" w:line="259" w:lineRule="auto"/>
              <w:ind w:left="4" w:right="0" w:firstLine="0"/>
              <w:jc w:val="center"/>
            </w:pPr>
            <w:r>
              <w:rPr>
                <w:sz w:val="20"/>
              </w:rPr>
              <w:t xml:space="preserve"> </w:t>
            </w:r>
          </w:p>
        </w:tc>
        <w:tc>
          <w:tcPr>
            <w:tcW w:w="422"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2" w:right="0" w:firstLine="0"/>
              <w:jc w:val="center"/>
            </w:pPr>
            <w:r>
              <w:rPr>
                <w:sz w:val="20"/>
              </w:rPr>
              <w:t xml:space="preserve"> </w:t>
            </w:r>
          </w:p>
        </w:tc>
        <w:tc>
          <w:tcPr>
            <w:tcW w:w="422"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2" w:right="0" w:firstLine="0"/>
              <w:jc w:val="center"/>
            </w:pPr>
            <w:r>
              <w:rPr>
                <w:sz w:val="20"/>
              </w:rPr>
              <w:t xml:space="preserve"> </w:t>
            </w:r>
          </w:p>
        </w:tc>
        <w:tc>
          <w:tcPr>
            <w:tcW w:w="420" w:type="dxa"/>
            <w:tcBorders>
              <w:top w:val="single" w:sz="4" w:space="0" w:color="000000"/>
              <w:left w:val="single" w:sz="4" w:space="0" w:color="000000"/>
              <w:bottom w:val="single" w:sz="4" w:space="0" w:color="000000"/>
              <w:right w:val="single" w:sz="8" w:space="0" w:color="000000"/>
            </w:tcBorders>
            <w:vAlign w:val="center"/>
          </w:tcPr>
          <w:p w:rsidR="00E8309B" w:rsidRDefault="009D0949">
            <w:pPr>
              <w:spacing w:after="0" w:line="259" w:lineRule="auto"/>
              <w:ind w:left="5" w:right="0" w:firstLine="0"/>
              <w:jc w:val="center"/>
            </w:pPr>
            <w:r>
              <w:rPr>
                <w:sz w:val="20"/>
              </w:rPr>
              <w:t xml:space="preserve"> </w:t>
            </w:r>
          </w:p>
        </w:tc>
      </w:tr>
      <w:tr w:rsidR="00E8309B">
        <w:trPr>
          <w:trHeight w:val="469"/>
        </w:trPr>
        <w:tc>
          <w:tcPr>
            <w:tcW w:w="427" w:type="dxa"/>
            <w:tcBorders>
              <w:top w:val="single" w:sz="4" w:space="0" w:color="000000"/>
              <w:left w:val="single" w:sz="8" w:space="0" w:color="000000"/>
              <w:bottom w:val="single" w:sz="4" w:space="0" w:color="000000"/>
              <w:right w:val="single" w:sz="8" w:space="0" w:color="000000"/>
            </w:tcBorders>
          </w:tcPr>
          <w:p w:rsidR="00E8309B" w:rsidRDefault="009D0949">
            <w:pPr>
              <w:spacing w:after="0" w:line="259" w:lineRule="auto"/>
              <w:ind w:left="0" w:right="51" w:firstLine="0"/>
              <w:jc w:val="right"/>
            </w:pPr>
            <w:r>
              <w:rPr>
                <w:sz w:val="20"/>
              </w:rPr>
              <w:t xml:space="preserve">5 </w:t>
            </w:r>
          </w:p>
        </w:tc>
        <w:tc>
          <w:tcPr>
            <w:tcW w:w="4123" w:type="dxa"/>
            <w:tcBorders>
              <w:top w:val="single" w:sz="4" w:space="0" w:color="000000"/>
              <w:left w:val="single" w:sz="8" w:space="0" w:color="000000"/>
              <w:bottom w:val="single" w:sz="4" w:space="0" w:color="000000"/>
              <w:right w:val="single" w:sz="8" w:space="0" w:color="000000"/>
            </w:tcBorders>
          </w:tcPr>
          <w:p w:rsidR="00E8309B" w:rsidRDefault="009D0949">
            <w:pPr>
              <w:spacing w:after="0" w:line="259" w:lineRule="auto"/>
              <w:ind w:left="0" w:right="0" w:firstLine="0"/>
              <w:jc w:val="left"/>
            </w:pPr>
            <w:r>
              <w:rPr>
                <w:sz w:val="20"/>
              </w:rPr>
              <w:t xml:space="preserve">Ширење обухвата електронских фактура на целокупан сектор привреде </w:t>
            </w:r>
          </w:p>
        </w:tc>
        <w:tc>
          <w:tcPr>
            <w:tcW w:w="419" w:type="dxa"/>
            <w:tcBorders>
              <w:top w:val="single" w:sz="4" w:space="0" w:color="000000"/>
              <w:left w:val="single" w:sz="8" w:space="0" w:color="000000"/>
              <w:bottom w:val="single" w:sz="4" w:space="0" w:color="000000"/>
              <w:right w:val="single" w:sz="4" w:space="0" w:color="000000"/>
            </w:tcBorders>
            <w:vAlign w:val="center"/>
          </w:tcPr>
          <w:p w:rsidR="00E8309B" w:rsidRDefault="009D0949">
            <w:pPr>
              <w:spacing w:after="0" w:line="259" w:lineRule="auto"/>
              <w:ind w:left="1" w:right="0" w:firstLine="0"/>
              <w:jc w:val="center"/>
            </w:pPr>
            <w:r>
              <w:rPr>
                <w:sz w:val="20"/>
              </w:rPr>
              <w:t xml:space="preserve"> </w:t>
            </w:r>
          </w:p>
        </w:tc>
        <w:tc>
          <w:tcPr>
            <w:tcW w:w="421"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1" w:right="0" w:firstLine="0"/>
              <w:jc w:val="center"/>
            </w:pPr>
            <w:r>
              <w:rPr>
                <w:sz w:val="20"/>
              </w:rPr>
              <w:t xml:space="preserve"> </w:t>
            </w:r>
          </w:p>
        </w:tc>
        <w:tc>
          <w:tcPr>
            <w:tcW w:w="422"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2" w:right="0" w:firstLine="0"/>
              <w:jc w:val="center"/>
            </w:pPr>
            <w:r>
              <w:rPr>
                <w:sz w:val="20"/>
              </w:rPr>
              <w:t xml:space="preserve"> </w:t>
            </w:r>
          </w:p>
        </w:tc>
        <w:tc>
          <w:tcPr>
            <w:tcW w:w="421" w:type="dxa"/>
            <w:tcBorders>
              <w:top w:val="single" w:sz="4" w:space="0" w:color="000000"/>
              <w:left w:val="single" w:sz="4" w:space="0" w:color="000000"/>
              <w:bottom w:val="single" w:sz="4" w:space="0" w:color="000000"/>
              <w:right w:val="single" w:sz="8" w:space="0" w:color="000000"/>
            </w:tcBorders>
            <w:vAlign w:val="center"/>
          </w:tcPr>
          <w:p w:rsidR="00E8309B" w:rsidRDefault="009D0949">
            <w:pPr>
              <w:spacing w:after="0" w:line="259" w:lineRule="auto"/>
              <w:ind w:left="4" w:right="0" w:firstLine="0"/>
              <w:jc w:val="center"/>
            </w:pPr>
            <w:r>
              <w:rPr>
                <w:sz w:val="20"/>
              </w:rPr>
              <w:t xml:space="preserve"> </w:t>
            </w:r>
          </w:p>
        </w:tc>
        <w:tc>
          <w:tcPr>
            <w:tcW w:w="424" w:type="dxa"/>
            <w:tcBorders>
              <w:top w:val="single" w:sz="4" w:space="0" w:color="000000"/>
              <w:left w:val="single" w:sz="8"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4" w:right="0" w:firstLine="0"/>
              <w:jc w:val="center"/>
            </w:pPr>
            <w:r>
              <w:rPr>
                <w:sz w:val="20"/>
              </w:rPr>
              <w:t xml:space="preserve"> </w:t>
            </w:r>
          </w:p>
        </w:tc>
        <w:tc>
          <w:tcPr>
            <w:tcW w:w="421"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4" w:right="0" w:firstLine="0"/>
              <w:jc w:val="center"/>
            </w:pPr>
            <w:r>
              <w:rPr>
                <w:sz w:val="20"/>
              </w:rPr>
              <w:t xml:space="preserve"> </w:t>
            </w:r>
          </w:p>
        </w:tc>
        <w:tc>
          <w:tcPr>
            <w:tcW w:w="423"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5" w:right="0" w:firstLine="0"/>
              <w:jc w:val="center"/>
            </w:pPr>
            <w:r>
              <w:rPr>
                <w:sz w:val="20"/>
              </w:rPr>
              <w:t xml:space="preserve"> </w:t>
            </w:r>
          </w:p>
        </w:tc>
        <w:tc>
          <w:tcPr>
            <w:tcW w:w="420" w:type="dxa"/>
            <w:tcBorders>
              <w:top w:val="single" w:sz="4" w:space="0" w:color="000000"/>
              <w:left w:val="single" w:sz="4" w:space="0" w:color="000000"/>
              <w:bottom w:val="single" w:sz="4" w:space="0" w:color="000000"/>
              <w:right w:val="single" w:sz="8" w:space="0" w:color="000000"/>
            </w:tcBorders>
            <w:shd w:val="clear" w:color="auto" w:fill="BFBFBF"/>
            <w:vAlign w:val="center"/>
          </w:tcPr>
          <w:p w:rsidR="00E8309B" w:rsidRDefault="009D0949">
            <w:pPr>
              <w:spacing w:after="0" w:line="259" w:lineRule="auto"/>
              <w:ind w:left="2" w:right="0" w:firstLine="0"/>
              <w:jc w:val="center"/>
            </w:pPr>
            <w:r>
              <w:rPr>
                <w:sz w:val="20"/>
              </w:rPr>
              <w:t xml:space="preserve"> </w:t>
            </w:r>
          </w:p>
        </w:tc>
        <w:tc>
          <w:tcPr>
            <w:tcW w:w="424" w:type="dxa"/>
            <w:tcBorders>
              <w:top w:val="single" w:sz="4" w:space="0" w:color="000000"/>
              <w:left w:val="single" w:sz="8"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4" w:right="0" w:firstLine="0"/>
              <w:jc w:val="center"/>
            </w:pPr>
            <w:r>
              <w:rPr>
                <w:sz w:val="20"/>
              </w:rPr>
              <w:t xml:space="preserve"> </w:t>
            </w:r>
          </w:p>
        </w:tc>
        <w:tc>
          <w:tcPr>
            <w:tcW w:w="422"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2" w:right="0" w:firstLine="0"/>
              <w:jc w:val="center"/>
            </w:pPr>
            <w:r>
              <w:rPr>
                <w:sz w:val="20"/>
              </w:rPr>
              <w:t xml:space="preserve"> </w:t>
            </w:r>
          </w:p>
        </w:tc>
        <w:tc>
          <w:tcPr>
            <w:tcW w:w="422"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2" w:right="0" w:firstLine="0"/>
              <w:jc w:val="center"/>
            </w:pPr>
            <w:r>
              <w:rPr>
                <w:sz w:val="20"/>
              </w:rPr>
              <w:t xml:space="preserve"> </w:t>
            </w:r>
          </w:p>
        </w:tc>
        <w:tc>
          <w:tcPr>
            <w:tcW w:w="420" w:type="dxa"/>
            <w:tcBorders>
              <w:top w:val="single" w:sz="4" w:space="0" w:color="000000"/>
              <w:left w:val="single" w:sz="4" w:space="0" w:color="000000"/>
              <w:bottom w:val="single" w:sz="4" w:space="0" w:color="000000"/>
              <w:right w:val="single" w:sz="8" w:space="0" w:color="000000"/>
            </w:tcBorders>
            <w:shd w:val="clear" w:color="auto" w:fill="BFBFBF"/>
            <w:vAlign w:val="center"/>
          </w:tcPr>
          <w:p w:rsidR="00E8309B" w:rsidRDefault="009D0949">
            <w:pPr>
              <w:spacing w:after="0" w:line="259" w:lineRule="auto"/>
              <w:ind w:left="5" w:right="0" w:firstLine="0"/>
              <w:jc w:val="center"/>
            </w:pPr>
            <w:r>
              <w:rPr>
                <w:sz w:val="20"/>
              </w:rPr>
              <w:t xml:space="preserve"> </w:t>
            </w:r>
          </w:p>
        </w:tc>
      </w:tr>
      <w:tr w:rsidR="00E8309B">
        <w:trPr>
          <w:trHeight w:val="931"/>
        </w:trPr>
        <w:tc>
          <w:tcPr>
            <w:tcW w:w="427"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51" w:firstLine="0"/>
              <w:jc w:val="right"/>
            </w:pPr>
            <w:r>
              <w:rPr>
                <w:sz w:val="20"/>
              </w:rPr>
              <w:t xml:space="preserve">6 </w:t>
            </w:r>
          </w:p>
        </w:tc>
        <w:tc>
          <w:tcPr>
            <w:tcW w:w="4123"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0" w:firstLine="0"/>
              <w:jc w:val="left"/>
            </w:pPr>
            <w:r>
              <w:rPr>
                <w:sz w:val="20"/>
              </w:rPr>
              <w:t xml:space="preserve">Едукација и комуникација са будућим корисницима платформе за фискализацију и платформе за електронске фактуре ради припреме за прелазак на нови систем </w:t>
            </w:r>
          </w:p>
        </w:tc>
        <w:tc>
          <w:tcPr>
            <w:tcW w:w="419"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1" w:right="0" w:firstLine="0"/>
              <w:jc w:val="center"/>
            </w:pPr>
            <w:r>
              <w:rPr>
                <w:b/>
                <w:sz w:val="20"/>
              </w:rPr>
              <w:t xml:space="preserve"> </w:t>
            </w:r>
          </w:p>
        </w:tc>
        <w:tc>
          <w:tcPr>
            <w:tcW w:w="421"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1" w:right="0" w:firstLine="0"/>
              <w:jc w:val="center"/>
            </w:pPr>
            <w:r>
              <w:rPr>
                <w:b/>
                <w:sz w:val="20"/>
              </w:rPr>
              <w:t xml:space="preserve"> </w:t>
            </w:r>
          </w:p>
        </w:tc>
        <w:tc>
          <w:tcPr>
            <w:tcW w:w="422"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2" w:right="0" w:firstLine="0"/>
              <w:jc w:val="center"/>
            </w:pPr>
            <w:r>
              <w:rPr>
                <w:b/>
                <w:sz w:val="20"/>
              </w:rPr>
              <w:t xml:space="preserve"> </w:t>
            </w:r>
          </w:p>
        </w:tc>
        <w:tc>
          <w:tcPr>
            <w:tcW w:w="421"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4" w:right="0" w:firstLine="0"/>
              <w:jc w:val="center"/>
            </w:pPr>
            <w:r>
              <w:rPr>
                <w:b/>
                <w:sz w:val="20"/>
              </w:rPr>
              <w:t xml:space="preserve"> </w:t>
            </w:r>
          </w:p>
        </w:tc>
        <w:tc>
          <w:tcPr>
            <w:tcW w:w="424"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4" w:right="0" w:firstLine="0"/>
              <w:jc w:val="center"/>
            </w:pPr>
            <w:r>
              <w:rPr>
                <w:b/>
                <w:sz w:val="20"/>
              </w:rPr>
              <w:t xml:space="preserve"> </w:t>
            </w:r>
          </w:p>
        </w:tc>
        <w:tc>
          <w:tcPr>
            <w:tcW w:w="421"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4" w:right="0" w:firstLine="0"/>
              <w:jc w:val="center"/>
            </w:pPr>
            <w:r>
              <w:rPr>
                <w:b/>
                <w:sz w:val="20"/>
              </w:rPr>
              <w:t xml:space="preserve"> </w:t>
            </w:r>
          </w:p>
        </w:tc>
        <w:tc>
          <w:tcPr>
            <w:tcW w:w="423"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5" w:right="0" w:firstLine="0"/>
              <w:jc w:val="center"/>
            </w:pPr>
            <w:r>
              <w:rPr>
                <w:b/>
                <w:sz w:val="20"/>
              </w:rPr>
              <w:t xml:space="preserve"> </w:t>
            </w:r>
          </w:p>
        </w:tc>
        <w:tc>
          <w:tcPr>
            <w:tcW w:w="420"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2" w:right="0" w:firstLine="0"/>
              <w:jc w:val="center"/>
            </w:pPr>
            <w:r>
              <w:rPr>
                <w:b/>
                <w:sz w:val="20"/>
              </w:rPr>
              <w:t xml:space="preserve"> </w:t>
            </w:r>
          </w:p>
        </w:tc>
        <w:tc>
          <w:tcPr>
            <w:tcW w:w="424"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4" w:right="0" w:firstLine="0"/>
              <w:jc w:val="center"/>
            </w:pPr>
            <w:r>
              <w:rPr>
                <w:b/>
                <w:sz w:val="20"/>
              </w:rPr>
              <w:t xml:space="preserve"> </w:t>
            </w:r>
          </w:p>
        </w:tc>
        <w:tc>
          <w:tcPr>
            <w:tcW w:w="422"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2" w:right="0" w:firstLine="0"/>
              <w:jc w:val="center"/>
            </w:pPr>
            <w:r>
              <w:rPr>
                <w:b/>
                <w:sz w:val="20"/>
              </w:rPr>
              <w:t xml:space="preserve"> </w:t>
            </w:r>
          </w:p>
        </w:tc>
        <w:tc>
          <w:tcPr>
            <w:tcW w:w="422"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2" w:right="0" w:firstLine="0"/>
              <w:jc w:val="center"/>
            </w:pPr>
            <w:r>
              <w:rPr>
                <w:b/>
                <w:sz w:val="20"/>
              </w:rPr>
              <w:t xml:space="preserve"> </w:t>
            </w:r>
          </w:p>
        </w:tc>
        <w:tc>
          <w:tcPr>
            <w:tcW w:w="420"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5" w:right="0" w:firstLine="0"/>
              <w:jc w:val="center"/>
            </w:pPr>
            <w:r>
              <w:rPr>
                <w:b/>
                <w:sz w:val="20"/>
              </w:rPr>
              <w:t xml:space="preserve"> </w:t>
            </w:r>
          </w:p>
        </w:tc>
      </w:tr>
    </w:tbl>
    <w:p w:rsidR="00E8309B" w:rsidRDefault="009D0949">
      <w:pPr>
        <w:numPr>
          <w:ilvl w:val="0"/>
          <w:numId w:val="27"/>
        </w:numPr>
        <w:spacing w:after="0" w:line="271" w:lineRule="auto"/>
        <w:ind w:right="9" w:hanging="360"/>
      </w:pPr>
      <w:r>
        <w:rPr>
          <w:b/>
        </w:rPr>
        <w:t xml:space="preserve">Индикатори рeзултата </w:t>
      </w:r>
    </w:p>
    <w:tbl>
      <w:tblPr>
        <w:tblStyle w:val="TableGrid"/>
        <w:tblW w:w="9635" w:type="dxa"/>
        <w:tblInd w:w="5" w:type="dxa"/>
        <w:tblCellMar>
          <w:top w:w="10" w:type="dxa"/>
          <w:left w:w="110" w:type="dxa"/>
          <w:bottom w:w="0" w:type="dxa"/>
          <w:right w:w="56" w:type="dxa"/>
        </w:tblCellMar>
        <w:tblLook w:val="04A0" w:firstRow="1" w:lastRow="0" w:firstColumn="1" w:lastColumn="0" w:noHBand="0" w:noVBand="1"/>
      </w:tblPr>
      <w:tblGrid>
        <w:gridCol w:w="4107"/>
        <w:gridCol w:w="1841"/>
        <w:gridCol w:w="1844"/>
        <w:gridCol w:w="1843"/>
      </w:tblGrid>
      <w:tr w:rsidR="00E8309B">
        <w:trPr>
          <w:trHeight w:val="470"/>
        </w:trPr>
        <w:tc>
          <w:tcPr>
            <w:tcW w:w="4107"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0" w:right="0" w:firstLine="0"/>
              <w:jc w:val="left"/>
            </w:pPr>
            <w:r>
              <w:rPr>
                <w:b/>
                <w:sz w:val="20"/>
              </w:rPr>
              <w:t xml:space="preserve">Показатељ </w:t>
            </w:r>
          </w:p>
        </w:tc>
        <w:tc>
          <w:tcPr>
            <w:tcW w:w="1841"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7" w:right="50" w:firstLine="0"/>
              <w:jc w:val="right"/>
            </w:pPr>
            <w:r>
              <w:rPr>
                <w:b/>
                <w:sz w:val="20"/>
              </w:rPr>
              <w:t xml:space="preserve">Почетна вредност (година) </w:t>
            </w:r>
          </w:p>
        </w:tc>
        <w:tc>
          <w:tcPr>
            <w:tcW w:w="1844"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50" w:firstLine="0"/>
              <w:jc w:val="right"/>
            </w:pPr>
            <w:r>
              <w:rPr>
                <w:b/>
                <w:sz w:val="20"/>
              </w:rPr>
              <w:t xml:space="preserve">Међурезултат (година) </w:t>
            </w:r>
          </w:p>
        </w:tc>
        <w:tc>
          <w:tcPr>
            <w:tcW w:w="1843"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49" w:firstLine="0"/>
              <w:jc w:val="right"/>
            </w:pPr>
            <w:r>
              <w:rPr>
                <w:b/>
                <w:sz w:val="20"/>
              </w:rPr>
              <w:t xml:space="preserve">Циљна вредност (година) </w:t>
            </w:r>
          </w:p>
        </w:tc>
      </w:tr>
      <w:tr w:rsidR="00E8309B">
        <w:trPr>
          <w:trHeight w:val="590"/>
        </w:trPr>
        <w:tc>
          <w:tcPr>
            <w:tcW w:w="4107"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26" w:firstLine="0"/>
              <w:jc w:val="left"/>
            </w:pPr>
            <w:r>
              <w:rPr>
                <w:sz w:val="20"/>
              </w:rPr>
              <w:t xml:space="preserve">Обухват укључених обвезника фискализације новом платформом </w:t>
            </w:r>
          </w:p>
        </w:tc>
        <w:tc>
          <w:tcPr>
            <w:tcW w:w="1841"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50" w:firstLine="0"/>
              <w:jc w:val="right"/>
            </w:pPr>
            <w:r>
              <w:rPr>
                <w:sz w:val="20"/>
              </w:rPr>
              <w:t xml:space="preserve">0% 1.1.2022. </w:t>
            </w:r>
          </w:p>
        </w:tc>
        <w:tc>
          <w:tcPr>
            <w:tcW w:w="1844"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50" w:firstLine="0"/>
              <w:jc w:val="right"/>
            </w:pPr>
            <w:r>
              <w:rPr>
                <w:sz w:val="20"/>
              </w:rPr>
              <w:t xml:space="preserve">/ </w:t>
            </w:r>
          </w:p>
        </w:tc>
        <w:tc>
          <w:tcPr>
            <w:tcW w:w="1843"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50" w:firstLine="0"/>
              <w:jc w:val="right"/>
            </w:pPr>
            <w:r>
              <w:rPr>
                <w:sz w:val="20"/>
              </w:rPr>
              <w:t xml:space="preserve">100% 31.12.2022. </w:t>
            </w:r>
          </w:p>
        </w:tc>
      </w:tr>
      <w:tr w:rsidR="00E8309B">
        <w:trPr>
          <w:trHeight w:val="360"/>
        </w:trPr>
        <w:tc>
          <w:tcPr>
            <w:tcW w:w="4107"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0" w:firstLine="0"/>
              <w:jc w:val="left"/>
            </w:pPr>
            <w:r>
              <w:rPr>
                <w:sz w:val="20"/>
              </w:rPr>
              <w:t xml:space="preserve">Обухват свих B2G трансакција </w:t>
            </w:r>
          </w:p>
        </w:tc>
        <w:tc>
          <w:tcPr>
            <w:tcW w:w="1841"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50" w:firstLine="0"/>
              <w:jc w:val="right"/>
            </w:pPr>
            <w:r>
              <w:rPr>
                <w:sz w:val="20"/>
              </w:rPr>
              <w:t xml:space="preserve">0% 1.1.2021. </w:t>
            </w:r>
          </w:p>
        </w:tc>
        <w:tc>
          <w:tcPr>
            <w:tcW w:w="1844"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50" w:firstLine="0"/>
              <w:jc w:val="right"/>
            </w:pPr>
            <w:r>
              <w:rPr>
                <w:sz w:val="20"/>
              </w:rPr>
              <w:t xml:space="preserve">/ </w:t>
            </w:r>
          </w:p>
        </w:tc>
        <w:tc>
          <w:tcPr>
            <w:tcW w:w="1843"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50" w:firstLine="0"/>
              <w:jc w:val="right"/>
            </w:pPr>
            <w:r>
              <w:rPr>
                <w:sz w:val="20"/>
              </w:rPr>
              <w:t xml:space="preserve">100% 1.7.2021. </w:t>
            </w:r>
          </w:p>
        </w:tc>
      </w:tr>
      <w:tr w:rsidR="00E8309B">
        <w:trPr>
          <w:trHeight w:val="588"/>
        </w:trPr>
        <w:tc>
          <w:tcPr>
            <w:tcW w:w="4107"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0" w:firstLine="0"/>
              <w:jc w:val="left"/>
            </w:pPr>
            <w:r>
              <w:rPr>
                <w:sz w:val="20"/>
              </w:rPr>
              <w:t xml:space="preserve">Обухват свих B2B трансакција </w:t>
            </w:r>
            <w:r>
              <w:rPr>
                <w:sz w:val="20"/>
              </w:rPr>
              <w:t xml:space="preserve">између правних лица која су обвезници ПДВ-а </w:t>
            </w:r>
          </w:p>
        </w:tc>
        <w:tc>
          <w:tcPr>
            <w:tcW w:w="1841"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48" w:firstLine="0"/>
              <w:jc w:val="right"/>
            </w:pPr>
            <w:r>
              <w:rPr>
                <w:sz w:val="20"/>
              </w:rPr>
              <w:t xml:space="preserve">0% 1.7.2022. </w:t>
            </w:r>
          </w:p>
        </w:tc>
        <w:tc>
          <w:tcPr>
            <w:tcW w:w="1844"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50" w:firstLine="0"/>
              <w:jc w:val="right"/>
            </w:pPr>
            <w:r>
              <w:rPr>
                <w:sz w:val="20"/>
              </w:rPr>
              <w:t xml:space="preserve">/ </w:t>
            </w:r>
          </w:p>
        </w:tc>
        <w:tc>
          <w:tcPr>
            <w:tcW w:w="1843"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48" w:firstLine="0"/>
              <w:jc w:val="right"/>
            </w:pPr>
            <w:r>
              <w:rPr>
                <w:sz w:val="20"/>
              </w:rPr>
              <w:t xml:space="preserve">100% 1.1.2023. </w:t>
            </w:r>
          </w:p>
        </w:tc>
      </w:tr>
    </w:tbl>
    <w:p w:rsidR="00E8309B" w:rsidRDefault="009D0949">
      <w:pPr>
        <w:numPr>
          <w:ilvl w:val="0"/>
          <w:numId w:val="27"/>
        </w:numPr>
        <w:spacing w:after="79" w:line="271" w:lineRule="auto"/>
        <w:ind w:right="9" w:hanging="360"/>
      </w:pPr>
      <w:r>
        <w:rPr>
          <w:b/>
        </w:rPr>
        <w:t xml:space="preserve">Очекивани утицај на конкурентност </w:t>
      </w:r>
    </w:p>
    <w:p w:rsidR="00E8309B" w:rsidRDefault="009D0949">
      <w:pPr>
        <w:ind w:left="-5" w:right="17"/>
      </w:pPr>
      <w:r>
        <w:t>Нови модел фискализације знатно ће утицати на повећање конкурентност економије, узимајући у обзир снижавање трошкова пословања и повећање ефикасности, у смислу: укидања дупле траке на фискалном штампачу и укидања обавезе њеног чувања, могућност коришћења р</w:t>
      </w:r>
      <w:r>
        <w:t xml:space="preserve">азличитих уређаја поред класичногелектронског уређаја (рачунар, мобилни телефон и сл.), аутоматизације и смањивања трошкова везаних за пренос података Пореској управи, подизања ефикасности пословања привредних субјеката путем коришћења савремених софтвера </w:t>
      </w:r>
      <w:r>
        <w:t xml:space="preserve">итд. Примена електронског фактурисања знатно ће утицати на убрзање токова ликвидности у привреди, на усаглашавање са правним тековинама ЕУ и одговарајућим пословним амбијентом. </w:t>
      </w:r>
    </w:p>
    <w:p w:rsidR="00E8309B" w:rsidRDefault="009D0949">
      <w:pPr>
        <w:spacing w:after="162"/>
        <w:ind w:left="-5" w:right="17"/>
      </w:pPr>
      <w:r>
        <w:t>Очекивани ефекти од ове реформске мере није могуће прецизно квантификовати, ал</w:t>
      </w:r>
      <w:r>
        <w:t>и ће оне значајно допринети ефикасности пословања како приватног сектора, тако и државе. Очекује се већа финансијска дисциплина и значајно већа наплата пореских прихода, стварање једнаких услова по питању конкурентности за приватни сектор, омогућавање Поре</w:t>
      </w:r>
      <w:r>
        <w:t xml:space="preserve">ској управи партнерски приступ пореским обвезницима, боља и унапређена пореска контрола, дестимулисање привредних субјеката на избегавање обрачуна и плаћања пореза и сл. </w:t>
      </w:r>
    </w:p>
    <w:p w:rsidR="00E8309B" w:rsidRDefault="009D0949">
      <w:pPr>
        <w:numPr>
          <w:ilvl w:val="0"/>
          <w:numId w:val="27"/>
        </w:numPr>
        <w:spacing w:after="123" w:line="271" w:lineRule="auto"/>
        <w:ind w:right="9" w:hanging="360"/>
      </w:pPr>
      <w:r>
        <w:rPr>
          <w:b/>
        </w:rPr>
        <w:t>Процењени трошкови спровођења структурне реформе и предвиђени извори њиховог финансир</w:t>
      </w:r>
      <w:r>
        <w:rPr>
          <w:b/>
        </w:rPr>
        <w:t xml:space="preserve">ања </w:t>
      </w:r>
    </w:p>
    <w:p w:rsidR="00E8309B" w:rsidRDefault="009D0949">
      <w:pPr>
        <w:ind w:left="-5" w:right="17"/>
      </w:pPr>
      <w:r>
        <w:t xml:space="preserve">Финансирање увођења новог модела е-фискализације предвиђено је средствима из кредита Светске банке у износу од 8,6 милиона евра. Корисник кредита је Пореска управа и ови трошкови се односе на куповину централе ИТ платформа, неопходне софтвере и друга </w:t>
      </w:r>
      <w:r>
        <w:t xml:space="preserve">прилагођавања, мањим делом и на консалтинг и обуке запослених у Пореској управи.   Тренутно се припрема детаљна анализа трошкова увођења новог модела фискализације. </w:t>
      </w:r>
    </w:p>
    <w:p w:rsidR="00E8309B" w:rsidRDefault="009D0949">
      <w:pPr>
        <w:spacing w:after="19"/>
        <w:ind w:left="-5" w:right="17"/>
      </w:pPr>
      <w:r>
        <w:t xml:space="preserve">Субвенције у износу од 25 милиона евра, предвиђене у буџету за 2021. годину, односе се на </w:t>
      </w:r>
      <w:r>
        <w:t>помоћ обвезницима е-фискализације у циљу прилагођавања својих електронских уређаја и фискалних каса захтевима новог унапрерђеног ИТ техничког решења. Конкретна финансијска подршка сваком обвезнику и правила за доделу биће дефинисана подзконским актом у ток</w:t>
      </w:r>
      <w:r>
        <w:t>у 2021. године.</w:t>
      </w:r>
      <w:r>
        <w:rPr>
          <w:b/>
        </w:rPr>
        <w:t xml:space="preserve"> </w:t>
      </w:r>
    </w:p>
    <w:p w:rsidR="00E8309B" w:rsidRDefault="009D0949">
      <w:pPr>
        <w:ind w:left="-5" w:right="17"/>
      </w:pPr>
      <w:r>
        <w:t xml:space="preserve">Како би се увело електронско фактурисање, неопходна средства за куповину и израду централизоване платформе су обезбеђена и она је набављена у току 2019. године. Ова средства су обезбеђена из буџета Републике Србије. </w:t>
      </w:r>
    </w:p>
    <w:p w:rsidR="00E8309B" w:rsidRDefault="009D0949">
      <w:pPr>
        <w:ind w:left="-5" w:right="17"/>
      </w:pPr>
      <w:r>
        <w:t>Обе платформе не подра</w:t>
      </w:r>
      <w:r>
        <w:t xml:space="preserve">зумевају додатне трошкове у погледу нових запослених, обзиром да је суштина реформи на преласку већ постојећих послова на виши ниво дигитализације и аутоматизације, у складу са најбољом светском праксом. </w:t>
      </w:r>
    </w:p>
    <w:p w:rsidR="00E8309B" w:rsidRDefault="009D0949">
      <w:pPr>
        <w:spacing w:after="162"/>
        <w:ind w:left="-5" w:right="17"/>
      </w:pPr>
      <w:r>
        <w:t>Током 2021. и 2022. године очекује се генерисање ма</w:t>
      </w:r>
      <w:r>
        <w:t>њег дела трошкова који ће омогућити повезивање осталих система на централизовану платформу, као и додатни трошкови за едукацију, тренинг и комуникацију, где су све три активности усмерене на најшири круг крајњих корисника оба система у смислу њиховог потпу</w:t>
      </w:r>
      <w:r>
        <w:t xml:space="preserve">ног оспособљавања за прелазак на нови систем рада. Неопходна средства биће обезбеђена из буџета Републике Србије и донаторских средстава. </w:t>
      </w:r>
    </w:p>
    <w:p w:rsidR="00E8309B" w:rsidRDefault="009D0949">
      <w:pPr>
        <w:numPr>
          <w:ilvl w:val="0"/>
          <w:numId w:val="28"/>
        </w:numPr>
        <w:spacing w:after="79" w:line="271" w:lineRule="auto"/>
        <w:ind w:right="9" w:hanging="360"/>
      </w:pPr>
      <w:r>
        <w:rPr>
          <w:b/>
        </w:rPr>
        <w:t xml:space="preserve">Очекивани утицај на социјалне циљеве, као што су запосленост, смањење сиромаштва, једнакост и род </w:t>
      </w:r>
    </w:p>
    <w:p w:rsidR="00E8309B" w:rsidRDefault="009D0949">
      <w:pPr>
        <w:spacing w:after="154"/>
        <w:ind w:left="-5" w:right="17"/>
      </w:pPr>
      <w:r>
        <w:t xml:space="preserve">Структурна реформа ће значајно утицати на побољшање пословног амбијента чиме се може очекивати утицај на смањење незапослености. Структурна реформа је родно неутрална. </w:t>
      </w:r>
    </w:p>
    <w:p w:rsidR="00E8309B" w:rsidRDefault="009D0949">
      <w:pPr>
        <w:numPr>
          <w:ilvl w:val="0"/>
          <w:numId w:val="28"/>
        </w:numPr>
        <w:spacing w:after="79" w:line="271" w:lineRule="auto"/>
        <w:ind w:right="9" w:hanging="360"/>
      </w:pPr>
      <w:r>
        <w:rPr>
          <w:b/>
        </w:rPr>
        <w:t xml:space="preserve">Очекивани утицај на животну средину </w:t>
      </w:r>
    </w:p>
    <w:p w:rsidR="00E8309B" w:rsidRDefault="009D0949">
      <w:pPr>
        <w:spacing w:after="154"/>
        <w:ind w:left="-5" w:right="17"/>
      </w:pPr>
      <w:r>
        <w:t>Узимајући у обзир да се у потпуности прелази на но</w:t>
      </w:r>
      <w:r>
        <w:t>ви, и у значајном делу електронски вид фискализације, као и на електронски вид фактурисања, ова структурна реформа ће у многоме утицати на смањење количине папира и тонера који су у оптицију у пословним операцијама, чиме се значајно утиче на заштиту животн</w:t>
      </w:r>
      <w:r>
        <w:t>е средине.</w:t>
      </w:r>
      <w:r>
        <w:rPr>
          <w:b/>
        </w:rPr>
        <w:t xml:space="preserve"> </w:t>
      </w:r>
    </w:p>
    <w:p w:rsidR="00E8309B" w:rsidRDefault="009D0949">
      <w:pPr>
        <w:numPr>
          <w:ilvl w:val="0"/>
          <w:numId w:val="28"/>
        </w:numPr>
        <w:spacing w:after="0" w:line="271" w:lineRule="auto"/>
        <w:ind w:right="9" w:hanging="360"/>
      </w:pPr>
      <w:r>
        <w:rPr>
          <w:b/>
        </w:rPr>
        <w:t xml:space="preserve">Потенцијални ризици </w:t>
      </w:r>
    </w:p>
    <w:tbl>
      <w:tblPr>
        <w:tblStyle w:val="TableGrid"/>
        <w:tblW w:w="9696" w:type="dxa"/>
        <w:tblInd w:w="0" w:type="dxa"/>
        <w:tblCellMar>
          <w:top w:w="46" w:type="dxa"/>
          <w:left w:w="108" w:type="dxa"/>
          <w:bottom w:w="0" w:type="dxa"/>
          <w:right w:w="115" w:type="dxa"/>
        </w:tblCellMar>
        <w:tblLook w:val="04A0" w:firstRow="1" w:lastRow="0" w:firstColumn="1" w:lastColumn="0" w:noHBand="0" w:noVBand="1"/>
      </w:tblPr>
      <w:tblGrid>
        <w:gridCol w:w="3330"/>
        <w:gridCol w:w="2201"/>
        <w:gridCol w:w="4165"/>
      </w:tblGrid>
      <w:tr w:rsidR="00E8309B">
        <w:trPr>
          <w:trHeight w:val="470"/>
        </w:trPr>
        <w:tc>
          <w:tcPr>
            <w:tcW w:w="3330"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0" w:right="0" w:firstLine="0"/>
              <w:jc w:val="left"/>
            </w:pPr>
            <w:r>
              <w:rPr>
                <w:b/>
                <w:sz w:val="20"/>
              </w:rPr>
              <w:t xml:space="preserve">Ризик </w:t>
            </w:r>
          </w:p>
        </w:tc>
        <w:tc>
          <w:tcPr>
            <w:tcW w:w="2201"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2" w:right="0" w:firstLine="0"/>
              <w:jc w:val="left"/>
            </w:pPr>
            <w:r>
              <w:rPr>
                <w:b/>
                <w:sz w:val="20"/>
              </w:rPr>
              <w:t xml:space="preserve">Вероватноћа за остваривање ризика </w:t>
            </w:r>
          </w:p>
        </w:tc>
        <w:tc>
          <w:tcPr>
            <w:tcW w:w="4165"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0" w:firstLine="0"/>
              <w:jc w:val="left"/>
            </w:pPr>
            <w:r>
              <w:rPr>
                <w:b/>
                <w:sz w:val="20"/>
              </w:rPr>
              <w:t xml:space="preserve">Активност за ублажавање негативних ефеката ризика </w:t>
            </w:r>
          </w:p>
        </w:tc>
      </w:tr>
      <w:tr w:rsidR="00E8309B">
        <w:trPr>
          <w:trHeight w:val="701"/>
        </w:trPr>
        <w:tc>
          <w:tcPr>
            <w:tcW w:w="3330"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0" w:firstLine="0"/>
              <w:jc w:val="left"/>
            </w:pPr>
            <w:r>
              <w:rPr>
                <w:sz w:val="20"/>
              </w:rPr>
              <w:t xml:space="preserve">Недовољна обученост корисника за прелазак на нови систем фискализације </w:t>
            </w:r>
          </w:p>
        </w:tc>
        <w:tc>
          <w:tcPr>
            <w:tcW w:w="2201"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2" w:right="0" w:firstLine="0"/>
              <w:jc w:val="left"/>
            </w:pPr>
            <w:r>
              <w:rPr>
                <w:sz w:val="20"/>
              </w:rPr>
              <w:t xml:space="preserve">Низак </w:t>
            </w:r>
          </w:p>
        </w:tc>
        <w:tc>
          <w:tcPr>
            <w:tcW w:w="4165"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0" w:firstLine="0"/>
              <w:jc w:val="left"/>
            </w:pPr>
            <w:r>
              <w:rPr>
                <w:sz w:val="20"/>
              </w:rPr>
              <w:t xml:space="preserve">Адекватне обуке, тренинзи и комуникациона стратегија ка привреди </w:t>
            </w:r>
          </w:p>
        </w:tc>
      </w:tr>
      <w:tr w:rsidR="00E8309B">
        <w:trPr>
          <w:trHeight w:val="701"/>
        </w:trPr>
        <w:tc>
          <w:tcPr>
            <w:tcW w:w="3330"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0" w:firstLine="0"/>
              <w:jc w:val="left"/>
            </w:pPr>
            <w:r>
              <w:rPr>
                <w:sz w:val="20"/>
              </w:rPr>
              <w:t xml:space="preserve">Недовољна обученост корисника за прелазак на нови систем фактурисања </w:t>
            </w:r>
          </w:p>
        </w:tc>
        <w:tc>
          <w:tcPr>
            <w:tcW w:w="2201"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2" w:right="0" w:firstLine="0"/>
              <w:jc w:val="left"/>
            </w:pPr>
            <w:r>
              <w:rPr>
                <w:sz w:val="20"/>
              </w:rPr>
              <w:t xml:space="preserve">Низак </w:t>
            </w:r>
          </w:p>
        </w:tc>
        <w:tc>
          <w:tcPr>
            <w:tcW w:w="4165"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0" w:firstLine="0"/>
              <w:jc w:val="left"/>
            </w:pPr>
            <w:r>
              <w:rPr>
                <w:sz w:val="20"/>
              </w:rPr>
              <w:t xml:space="preserve">Адекватне обуке, тренинзи и комуникациона стратегија ка привреди </w:t>
            </w:r>
          </w:p>
        </w:tc>
      </w:tr>
    </w:tbl>
    <w:p w:rsidR="00E8309B" w:rsidRDefault="009D0949">
      <w:pPr>
        <w:ind w:left="-5" w:right="17"/>
      </w:pPr>
      <w:r>
        <w:rPr>
          <w:b/>
          <w:u w:val="single" w:color="000000"/>
        </w:rPr>
        <w:t>СТРУКТУРНА РЕФОРМА 12:</w:t>
      </w:r>
      <w:r>
        <w:rPr>
          <w:b/>
        </w:rPr>
        <w:t xml:space="preserve"> </w:t>
      </w:r>
      <w:r>
        <w:t xml:space="preserve">УНАПРЕЂЕЊЕ ГЕОПРОСТОРНОГ СЕКТОРА КРЕИРАЊЕМ СТРАТЕШКЕ ДИГИТАЛНЕ ПЛАТФОРМЕ КАО ПОДРШКА </w:t>
      </w:r>
    </w:p>
    <w:p w:rsidR="00E8309B" w:rsidRDefault="009D0949">
      <w:pPr>
        <w:spacing w:after="156"/>
        <w:ind w:left="-5" w:right="17"/>
      </w:pPr>
      <w:r>
        <w:t>ИНВЕСТИЦИОНОМ ОДЛУЧИВАЊУ</w:t>
      </w:r>
      <w:r>
        <w:rPr>
          <w:b/>
        </w:rPr>
        <w:t xml:space="preserve"> </w:t>
      </w:r>
    </w:p>
    <w:p w:rsidR="00E8309B" w:rsidRDefault="009D0949">
      <w:pPr>
        <w:numPr>
          <w:ilvl w:val="0"/>
          <w:numId w:val="29"/>
        </w:numPr>
        <w:spacing w:after="79" w:line="271" w:lineRule="auto"/>
        <w:ind w:right="9" w:hanging="427"/>
      </w:pPr>
      <w:r>
        <w:rPr>
          <w:b/>
        </w:rPr>
        <w:t xml:space="preserve">Опис структурне реформе </w:t>
      </w:r>
    </w:p>
    <w:p w:rsidR="00E8309B" w:rsidRDefault="009D0949">
      <w:pPr>
        <w:spacing w:after="101"/>
        <w:ind w:left="-5" w:right="17"/>
      </w:pPr>
      <w:r>
        <w:t>Креирањем стратешке дигиталне платформе геосектора омогућава се доступност комбинованих сетова података путем веб сервиса, њихова ефикасна, брза и квалитетна размена, што грађанима и привредним субјектима омогућава лакшу идентификацију и комфоран приступ ж</w:t>
      </w:r>
      <w:r>
        <w:t xml:space="preserve">ељеним подацима, пресудним за квалитетно инвестиционо одлучивање. Реформа директно доприноси дигиталноj трансформацији и спровођењу </w:t>
      </w:r>
      <w:r>
        <w:rPr>
          <w:b/>
        </w:rPr>
        <w:t>ЦОР 11.3.</w:t>
      </w:r>
      <w:r>
        <w:t xml:space="preserve"> До 2030. унапредити инклузивну и одрживу урбанизацију и капацитете за партиципативно, интегрисано и одрживо планир</w:t>
      </w:r>
      <w:r>
        <w:t xml:space="preserve">ање и управљање људским насељима у свим земљама, као и </w:t>
      </w:r>
      <w:r>
        <w:rPr>
          <w:b/>
        </w:rPr>
        <w:t>ЦОР 9.1.</w:t>
      </w:r>
      <w:r>
        <w:t xml:space="preserve"> Развити квалитетну, поуздану, одрживу и отпорну инфраструктуру, укључујући регионалну и прекограничну инфраструктуру. Основни разлог због кога није реализовано ажурирање података адресног реги</w:t>
      </w:r>
      <w:r>
        <w:t xml:space="preserve">стра у складу са планом, је кашњење у доношењу одлука о именовању улица од стране ЈЛС. </w:t>
      </w:r>
    </w:p>
    <w:p w:rsidR="00E8309B" w:rsidRDefault="009D0949">
      <w:pPr>
        <w:spacing w:after="0" w:line="259" w:lineRule="auto"/>
        <w:ind w:left="0" w:right="0" w:firstLine="0"/>
        <w:jc w:val="left"/>
      </w:pPr>
      <w:r>
        <w:t xml:space="preserve"> </w:t>
      </w:r>
    </w:p>
    <w:p w:rsidR="00E8309B" w:rsidRDefault="009D0949">
      <w:pPr>
        <w:numPr>
          <w:ilvl w:val="0"/>
          <w:numId w:val="29"/>
        </w:numPr>
        <w:spacing w:after="127" w:line="271" w:lineRule="auto"/>
        <w:ind w:right="9" w:hanging="427"/>
      </w:pPr>
      <w:r>
        <w:rPr>
          <w:b/>
        </w:rPr>
        <w:t xml:space="preserve">Ковид-19 – ефекти, мере и изазови </w:t>
      </w:r>
    </w:p>
    <w:p w:rsidR="00E8309B" w:rsidRDefault="009D0949">
      <w:pPr>
        <w:spacing w:after="6"/>
        <w:ind w:left="-5" w:right="17"/>
      </w:pPr>
      <w:r>
        <w:t xml:space="preserve">Избијање пандемије Ковид-19 и увођење ванредног стања отежало је комуникацију са представницима ЈЛС и значајно успорило активности </w:t>
      </w:r>
      <w:r>
        <w:t>на ажурирању адресног регистра, и у великој мери утицало и на све фазе усвајања подзаконских аката из области НИГП-а. Пандемија је утицала на активности при реализацији пројеката у оквиру којих су ангажовани консултанти који раде на изради аката и стратешк</w:t>
      </w:r>
      <w:r>
        <w:t xml:space="preserve">их докумената. </w:t>
      </w:r>
      <w:r>
        <w:rPr>
          <w:b/>
        </w:rPr>
        <w:t>3.</w:t>
      </w:r>
      <w:r>
        <w:rPr>
          <w:rFonts w:ascii="Arial" w:eastAsia="Arial" w:hAnsi="Arial" w:cs="Arial"/>
          <w:b/>
        </w:rPr>
        <w:t xml:space="preserve"> </w:t>
      </w:r>
      <w:r>
        <w:rPr>
          <w:b/>
        </w:rPr>
        <w:t xml:space="preserve">Планиране активности по годинама </w:t>
      </w:r>
    </w:p>
    <w:tbl>
      <w:tblPr>
        <w:tblStyle w:val="TableGrid"/>
        <w:tblW w:w="9611" w:type="dxa"/>
        <w:tblInd w:w="10" w:type="dxa"/>
        <w:tblCellMar>
          <w:top w:w="9" w:type="dxa"/>
          <w:left w:w="58" w:type="dxa"/>
          <w:bottom w:w="0" w:type="dxa"/>
          <w:right w:w="8" w:type="dxa"/>
        </w:tblCellMar>
        <w:tblLook w:val="04A0" w:firstRow="1" w:lastRow="0" w:firstColumn="1" w:lastColumn="0" w:noHBand="0" w:noVBand="1"/>
      </w:tblPr>
      <w:tblGrid>
        <w:gridCol w:w="427"/>
        <w:gridCol w:w="4123"/>
        <w:gridCol w:w="419"/>
        <w:gridCol w:w="421"/>
        <w:gridCol w:w="422"/>
        <w:gridCol w:w="421"/>
        <w:gridCol w:w="424"/>
        <w:gridCol w:w="421"/>
        <w:gridCol w:w="423"/>
        <w:gridCol w:w="420"/>
        <w:gridCol w:w="425"/>
        <w:gridCol w:w="422"/>
        <w:gridCol w:w="422"/>
        <w:gridCol w:w="420"/>
      </w:tblGrid>
      <w:tr w:rsidR="00E8309B">
        <w:trPr>
          <w:trHeight w:val="331"/>
        </w:trPr>
        <w:tc>
          <w:tcPr>
            <w:tcW w:w="427" w:type="dxa"/>
            <w:vMerge w:val="restart"/>
            <w:tcBorders>
              <w:top w:val="single" w:sz="8" w:space="0" w:color="000000"/>
              <w:left w:val="single" w:sz="8" w:space="0" w:color="000000"/>
              <w:bottom w:val="single" w:sz="8" w:space="0" w:color="000000"/>
              <w:right w:val="single" w:sz="8" w:space="0" w:color="000000"/>
            </w:tcBorders>
            <w:vAlign w:val="center"/>
          </w:tcPr>
          <w:p w:rsidR="00E8309B" w:rsidRDefault="009D0949">
            <w:pPr>
              <w:spacing w:after="0" w:line="259" w:lineRule="auto"/>
              <w:ind w:left="29" w:right="0" w:firstLine="0"/>
            </w:pPr>
            <w:r>
              <w:rPr>
                <w:b/>
                <w:sz w:val="20"/>
              </w:rPr>
              <w:t xml:space="preserve">РБ </w:t>
            </w:r>
          </w:p>
        </w:tc>
        <w:tc>
          <w:tcPr>
            <w:tcW w:w="4123" w:type="dxa"/>
            <w:vMerge w:val="restart"/>
            <w:tcBorders>
              <w:top w:val="single" w:sz="8" w:space="0" w:color="000000"/>
              <w:left w:val="single" w:sz="8" w:space="0" w:color="000000"/>
              <w:bottom w:val="single" w:sz="8" w:space="0" w:color="000000"/>
              <w:right w:val="single" w:sz="8" w:space="0" w:color="000000"/>
            </w:tcBorders>
            <w:vAlign w:val="center"/>
          </w:tcPr>
          <w:p w:rsidR="00E8309B" w:rsidRDefault="009D0949">
            <w:pPr>
              <w:spacing w:after="0" w:line="259" w:lineRule="auto"/>
              <w:ind w:left="0" w:right="0" w:firstLine="0"/>
              <w:jc w:val="left"/>
            </w:pPr>
            <w:r>
              <w:rPr>
                <w:b/>
                <w:sz w:val="20"/>
              </w:rPr>
              <w:t xml:space="preserve">Планиране активности </w:t>
            </w:r>
          </w:p>
        </w:tc>
        <w:tc>
          <w:tcPr>
            <w:tcW w:w="419" w:type="dxa"/>
            <w:tcBorders>
              <w:top w:val="single" w:sz="8" w:space="0" w:color="000000"/>
              <w:left w:val="single" w:sz="8" w:space="0" w:color="000000"/>
              <w:bottom w:val="single" w:sz="4" w:space="0" w:color="000000"/>
              <w:right w:val="nil"/>
            </w:tcBorders>
          </w:tcPr>
          <w:p w:rsidR="00E8309B" w:rsidRDefault="00E8309B">
            <w:pPr>
              <w:spacing w:after="160" w:line="259" w:lineRule="auto"/>
              <w:ind w:left="0" w:right="0" w:firstLine="0"/>
              <w:jc w:val="left"/>
            </w:pPr>
          </w:p>
        </w:tc>
        <w:tc>
          <w:tcPr>
            <w:tcW w:w="844" w:type="dxa"/>
            <w:gridSpan w:val="2"/>
            <w:tcBorders>
              <w:top w:val="single" w:sz="8" w:space="0" w:color="000000"/>
              <w:left w:val="nil"/>
              <w:bottom w:val="single" w:sz="4" w:space="0" w:color="000000"/>
              <w:right w:val="nil"/>
            </w:tcBorders>
          </w:tcPr>
          <w:p w:rsidR="00E8309B" w:rsidRDefault="009D0949">
            <w:pPr>
              <w:spacing w:after="0" w:line="259" w:lineRule="auto"/>
              <w:ind w:left="0" w:right="45" w:firstLine="0"/>
              <w:jc w:val="center"/>
            </w:pPr>
            <w:r>
              <w:rPr>
                <w:b/>
                <w:sz w:val="20"/>
              </w:rPr>
              <w:t xml:space="preserve">2021 </w:t>
            </w:r>
          </w:p>
        </w:tc>
        <w:tc>
          <w:tcPr>
            <w:tcW w:w="421" w:type="dxa"/>
            <w:tcBorders>
              <w:top w:val="single" w:sz="8" w:space="0" w:color="000000"/>
              <w:left w:val="nil"/>
              <w:bottom w:val="single" w:sz="4" w:space="0" w:color="000000"/>
              <w:right w:val="single" w:sz="8" w:space="0" w:color="000000"/>
            </w:tcBorders>
          </w:tcPr>
          <w:p w:rsidR="00E8309B" w:rsidRDefault="00E8309B">
            <w:pPr>
              <w:spacing w:after="160" w:line="259" w:lineRule="auto"/>
              <w:ind w:left="0" w:right="0" w:firstLine="0"/>
              <w:jc w:val="left"/>
            </w:pPr>
          </w:p>
        </w:tc>
        <w:tc>
          <w:tcPr>
            <w:tcW w:w="424" w:type="dxa"/>
            <w:tcBorders>
              <w:top w:val="single" w:sz="8" w:space="0" w:color="000000"/>
              <w:left w:val="single" w:sz="8" w:space="0" w:color="000000"/>
              <w:bottom w:val="single" w:sz="4" w:space="0" w:color="000000"/>
              <w:right w:val="nil"/>
            </w:tcBorders>
          </w:tcPr>
          <w:p w:rsidR="00E8309B" w:rsidRDefault="00E8309B">
            <w:pPr>
              <w:spacing w:after="160" w:line="259" w:lineRule="auto"/>
              <w:ind w:left="0" w:right="0" w:firstLine="0"/>
              <w:jc w:val="left"/>
            </w:pPr>
          </w:p>
        </w:tc>
        <w:tc>
          <w:tcPr>
            <w:tcW w:w="844" w:type="dxa"/>
            <w:gridSpan w:val="2"/>
            <w:tcBorders>
              <w:top w:val="single" w:sz="8" w:space="0" w:color="000000"/>
              <w:left w:val="nil"/>
              <w:bottom w:val="single" w:sz="4" w:space="0" w:color="000000"/>
              <w:right w:val="nil"/>
            </w:tcBorders>
          </w:tcPr>
          <w:p w:rsidR="00E8309B" w:rsidRDefault="009D0949">
            <w:pPr>
              <w:spacing w:after="0" w:line="259" w:lineRule="auto"/>
              <w:ind w:left="0" w:right="48" w:firstLine="0"/>
              <w:jc w:val="center"/>
            </w:pPr>
            <w:r>
              <w:rPr>
                <w:b/>
                <w:sz w:val="20"/>
              </w:rPr>
              <w:t xml:space="preserve">2022 </w:t>
            </w:r>
          </w:p>
        </w:tc>
        <w:tc>
          <w:tcPr>
            <w:tcW w:w="420" w:type="dxa"/>
            <w:tcBorders>
              <w:top w:val="single" w:sz="8" w:space="0" w:color="000000"/>
              <w:left w:val="nil"/>
              <w:bottom w:val="single" w:sz="4" w:space="0" w:color="000000"/>
              <w:right w:val="single" w:sz="8" w:space="0" w:color="000000"/>
            </w:tcBorders>
          </w:tcPr>
          <w:p w:rsidR="00E8309B" w:rsidRDefault="00E8309B">
            <w:pPr>
              <w:spacing w:after="160" w:line="259" w:lineRule="auto"/>
              <w:ind w:left="0" w:right="0" w:firstLine="0"/>
              <w:jc w:val="left"/>
            </w:pPr>
          </w:p>
        </w:tc>
        <w:tc>
          <w:tcPr>
            <w:tcW w:w="425" w:type="dxa"/>
            <w:tcBorders>
              <w:top w:val="single" w:sz="8" w:space="0" w:color="000000"/>
              <w:left w:val="single" w:sz="8" w:space="0" w:color="000000"/>
              <w:bottom w:val="single" w:sz="4" w:space="0" w:color="000000"/>
              <w:right w:val="nil"/>
            </w:tcBorders>
          </w:tcPr>
          <w:p w:rsidR="00E8309B" w:rsidRDefault="00E8309B">
            <w:pPr>
              <w:spacing w:after="160" w:line="259" w:lineRule="auto"/>
              <w:ind w:left="0" w:right="0" w:firstLine="0"/>
              <w:jc w:val="left"/>
            </w:pPr>
          </w:p>
        </w:tc>
        <w:tc>
          <w:tcPr>
            <w:tcW w:w="845" w:type="dxa"/>
            <w:gridSpan w:val="2"/>
            <w:tcBorders>
              <w:top w:val="single" w:sz="8" w:space="0" w:color="000000"/>
              <w:left w:val="nil"/>
              <w:bottom w:val="single" w:sz="4" w:space="0" w:color="000000"/>
              <w:right w:val="nil"/>
            </w:tcBorders>
          </w:tcPr>
          <w:p w:rsidR="00E8309B" w:rsidRDefault="009D0949">
            <w:pPr>
              <w:spacing w:after="0" w:line="259" w:lineRule="auto"/>
              <w:ind w:left="0" w:right="51" w:firstLine="0"/>
              <w:jc w:val="center"/>
            </w:pPr>
            <w:r>
              <w:rPr>
                <w:b/>
                <w:sz w:val="20"/>
              </w:rPr>
              <w:t xml:space="preserve">2023 </w:t>
            </w:r>
          </w:p>
        </w:tc>
        <w:tc>
          <w:tcPr>
            <w:tcW w:w="420" w:type="dxa"/>
            <w:tcBorders>
              <w:top w:val="single" w:sz="8" w:space="0" w:color="000000"/>
              <w:left w:val="nil"/>
              <w:bottom w:val="single" w:sz="4" w:space="0" w:color="000000"/>
              <w:right w:val="single" w:sz="8" w:space="0" w:color="000000"/>
            </w:tcBorders>
          </w:tcPr>
          <w:p w:rsidR="00E8309B" w:rsidRDefault="00E8309B">
            <w:pPr>
              <w:spacing w:after="160" w:line="259" w:lineRule="auto"/>
              <w:ind w:left="0" w:right="0" w:firstLine="0"/>
              <w:jc w:val="left"/>
            </w:pPr>
          </w:p>
        </w:tc>
      </w:tr>
      <w:tr w:rsidR="00E8309B">
        <w:trPr>
          <w:trHeight w:val="326"/>
        </w:trPr>
        <w:tc>
          <w:tcPr>
            <w:tcW w:w="0" w:type="auto"/>
            <w:vMerge/>
            <w:tcBorders>
              <w:top w:val="nil"/>
              <w:left w:val="single" w:sz="8" w:space="0" w:color="000000"/>
              <w:bottom w:val="single" w:sz="8" w:space="0" w:color="000000"/>
              <w:right w:val="single" w:sz="8" w:space="0" w:color="000000"/>
            </w:tcBorders>
          </w:tcPr>
          <w:p w:rsidR="00E8309B" w:rsidRDefault="00E8309B">
            <w:pPr>
              <w:spacing w:after="160" w:line="259" w:lineRule="auto"/>
              <w:ind w:left="0" w:right="0" w:firstLine="0"/>
              <w:jc w:val="left"/>
            </w:pPr>
          </w:p>
        </w:tc>
        <w:tc>
          <w:tcPr>
            <w:tcW w:w="0" w:type="auto"/>
            <w:vMerge/>
            <w:tcBorders>
              <w:top w:val="nil"/>
              <w:left w:val="single" w:sz="8" w:space="0" w:color="000000"/>
              <w:bottom w:val="single" w:sz="8" w:space="0" w:color="000000"/>
              <w:right w:val="single" w:sz="8" w:space="0" w:color="000000"/>
            </w:tcBorders>
          </w:tcPr>
          <w:p w:rsidR="00E8309B" w:rsidRDefault="00E8309B">
            <w:pPr>
              <w:spacing w:after="160" w:line="259" w:lineRule="auto"/>
              <w:ind w:left="0" w:right="0" w:firstLine="0"/>
              <w:jc w:val="left"/>
            </w:pPr>
          </w:p>
        </w:tc>
        <w:tc>
          <w:tcPr>
            <w:tcW w:w="419" w:type="dxa"/>
            <w:tcBorders>
              <w:top w:val="single" w:sz="4" w:space="0" w:color="000000"/>
              <w:left w:val="single" w:sz="8" w:space="0" w:color="000000"/>
              <w:bottom w:val="single" w:sz="8" w:space="0" w:color="000000"/>
              <w:right w:val="single" w:sz="4" w:space="0" w:color="000000"/>
            </w:tcBorders>
          </w:tcPr>
          <w:p w:rsidR="00E8309B" w:rsidRDefault="009D0949">
            <w:pPr>
              <w:spacing w:after="0" w:line="259" w:lineRule="auto"/>
              <w:ind w:left="42" w:right="0" w:firstLine="0"/>
              <w:jc w:val="left"/>
            </w:pPr>
            <w:r>
              <w:rPr>
                <w:i/>
                <w:sz w:val="18"/>
              </w:rPr>
              <w:t xml:space="preserve">Q1 </w:t>
            </w:r>
          </w:p>
        </w:tc>
        <w:tc>
          <w:tcPr>
            <w:tcW w:w="421" w:type="dxa"/>
            <w:tcBorders>
              <w:top w:val="single" w:sz="4" w:space="0" w:color="000000"/>
              <w:left w:val="single" w:sz="4" w:space="0" w:color="000000"/>
              <w:bottom w:val="single" w:sz="8" w:space="0" w:color="000000"/>
              <w:right w:val="single" w:sz="4" w:space="0" w:color="000000"/>
            </w:tcBorders>
          </w:tcPr>
          <w:p w:rsidR="00E8309B" w:rsidRDefault="009D0949">
            <w:pPr>
              <w:spacing w:after="0" w:line="259" w:lineRule="auto"/>
              <w:ind w:left="43" w:right="0" w:firstLine="0"/>
              <w:jc w:val="left"/>
            </w:pPr>
            <w:r>
              <w:rPr>
                <w:i/>
                <w:sz w:val="18"/>
              </w:rPr>
              <w:t xml:space="preserve">Q2 </w:t>
            </w:r>
          </w:p>
        </w:tc>
        <w:tc>
          <w:tcPr>
            <w:tcW w:w="422" w:type="dxa"/>
            <w:tcBorders>
              <w:top w:val="single" w:sz="4" w:space="0" w:color="000000"/>
              <w:left w:val="single" w:sz="4" w:space="0" w:color="000000"/>
              <w:bottom w:val="single" w:sz="8" w:space="0" w:color="000000"/>
              <w:right w:val="single" w:sz="4" w:space="0" w:color="000000"/>
            </w:tcBorders>
          </w:tcPr>
          <w:p w:rsidR="00E8309B" w:rsidRDefault="009D0949">
            <w:pPr>
              <w:spacing w:after="0" w:line="259" w:lineRule="auto"/>
              <w:ind w:left="44" w:right="0" w:firstLine="0"/>
              <w:jc w:val="left"/>
            </w:pPr>
            <w:r>
              <w:rPr>
                <w:i/>
                <w:sz w:val="18"/>
              </w:rPr>
              <w:t xml:space="preserve">Q3 </w:t>
            </w:r>
          </w:p>
        </w:tc>
        <w:tc>
          <w:tcPr>
            <w:tcW w:w="421" w:type="dxa"/>
            <w:tcBorders>
              <w:top w:val="single" w:sz="4" w:space="0" w:color="000000"/>
              <w:left w:val="single" w:sz="4" w:space="0" w:color="000000"/>
              <w:bottom w:val="single" w:sz="8" w:space="0" w:color="000000"/>
              <w:right w:val="single" w:sz="8" w:space="0" w:color="000000"/>
            </w:tcBorders>
          </w:tcPr>
          <w:p w:rsidR="00E8309B" w:rsidRDefault="009D0949">
            <w:pPr>
              <w:spacing w:after="0" w:line="259" w:lineRule="auto"/>
              <w:ind w:left="44" w:right="0" w:firstLine="0"/>
              <w:jc w:val="left"/>
            </w:pPr>
            <w:r>
              <w:rPr>
                <w:i/>
                <w:sz w:val="18"/>
              </w:rPr>
              <w:t xml:space="preserve">Q4 </w:t>
            </w:r>
          </w:p>
        </w:tc>
        <w:tc>
          <w:tcPr>
            <w:tcW w:w="424" w:type="dxa"/>
            <w:tcBorders>
              <w:top w:val="single" w:sz="4" w:space="0" w:color="000000"/>
              <w:left w:val="single" w:sz="8" w:space="0" w:color="000000"/>
              <w:bottom w:val="single" w:sz="8" w:space="0" w:color="000000"/>
              <w:right w:val="single" w:sz="4" w:space="0" w:color="000000"/>
            </w:tcBorders>
          </w:tcPr>
          <w:p w:rsidR="00E8309B" w:rsidRDefault="009D0949">
            <w:pPr>
              <w:spacing w:after="0" w:line="259" w:lineRule="auto"/>
              <w:ind w:left="46" w:right="0" w:firstLine="0"/>
              <w:jc w:val="left"/>
            </w:pPr>
            <w:r>
              <w:rPr>
                <w:i/>
                <w:sz w:val="18"/>
              </w:rPr>
              <w:t xml:space="preserve">Q1 </w:t>
            </w:r>
          </w:p>
        </w:tc>
        <w:tc>
          <w:tcPr>
            <w:tcW w:w="421" w:type="dxa"/>
            <w:tcBorders>
              <w:top w:val="single" w:sz="4" w:space="0" w:color="000000"/>
              <w:left w:val="single" w:sz="4" w:space="0" w:color="000000"/>
              <w:bottom w:val="single" w:sz="8" w:space="0" w:color="000000"/>
              <w:right w:val="single" w:sz="4" w:space="0" w:color="000000"/>
            </w:tcBorders>
          </w:tcPr>
          <w:p w:rsidR="00E8309B" w:rsidRDefault="009D0949">
            <w:pPr>
              <w:spacing w:after="0" w:line="259" w:lineRule="auto"/>
              <w:ind w:left="44" w:right="0" w:firstLine="0"/>
              <w:jc w:val="left"/>
            </w:pPr>
            <w:r>
              <w:rPr>
                <w:i/>
                <w:sz w:val="18"/>
              </w:rPr>
              <w:t xml:space="preserve">Q2 </w:t>
            </w:r>
          </w:p>
        </w:tc>
        <w:tc>
          <w:tcPr>
            <w:tcW w:w="423" w:type="dxa"/>
            <w:tcBorders>
              <w:top w:val="single" w:sz="4" w:space="0" w:color="000000"/>
              <w:left w:val="single" w:sz="4" w:space="0" w:color="000000"/>
              <w:bottom w:val="single" w:sz="8" w:space="0" w:color="000000"/>
              <w:right w:val="single" w:sz="4" w:space="0" w:color="000000"/>
            </w:tcBorders>
          </w:tcPr>
          <w:p w:rsidR="00E8309B" w:rsidRDefault="009D0949">
            <w:pPr>
              <w:spacing w:after="0" w:line="259" w:lineRule="auto"/>
              <w:ind w:left="46" w:right="0" w:firstLine="0"/>
              <w:jc w:val="left"/>
            </w:pPr>
            <w:r>
              <w:rPr>
                <w:i/>
                <w:sz w:val="18"/>
              </w:rPr>
              <w:t xml:space="preserve">Q3 </w:t>
            </w:r>
          </w:p>
        </w:tc>
        <w:tc>
          <w:tcPr>
            <w:tcW w:w="420" w:type="dxa"/>
            <w:tcBorders>
              <w:top w:val="single" w:sz="4" w:space="0" w:color="000000"/>
              <w:left w:val="single" w:sz="4" w:space="0" w:color="000000"/>
              <w:bottom w:val="single" w:sz="8" w:space="0" w:color="000000"/>
              <w:right w:val="single" w:sz="8" w:space="0" w:color="000000"/>
            </w:tcBorders>
          </w:tcPr>
          <w:p w:rsidR="00E8309B" w:rsidRDefault="009D0949">
            <w:pPr>
              <w:spacing w:after="0" w:line="259" w:lineRule="auto"/>
              <w:ind w:left="43" w:right="0" w:firstLine="0"/>
              <w:jc w:val="left"/>
            </w:pPr>
            <w:r>
              <w:rPr>
                <w:i/>
                <w:sz w:val="18"/>
              </w:rPr>
              <w:t xml:space="preserve">Q4 </w:t>
            </w:r>
          </w:p>
        </w:tc>
        <w:tc>
          <w:tcPr>
            <w:tcW w:w="425" w:type="dxa"/>
            <w:tcBorders>
              <w:top w:val="single" w:sz="4" w:space="0" w:color="000000"/>
              <w:left w:val="single" w:sz="8" w:space="0" w:color="000000"/>
              <w:bottom w:val="single" w:sz="8" w:space="0" w:color="000000"/>
              <w:right w:val="single" w:sz="4" w:space="0" w:color="000000"/>
            </w:tcBorders>
          </w:tcPr>
          <w:p w:rsidR="00E8309B" w:rsidRDefault="009D0949">
            <w:pPr>
              <w:spacing w:after="0" w:line="259" w:lineRule="auto"/>
              <w:ind w:left="46" w:right="0" w:firstLine="0"/>
              <w:jc w:val="left"/>
            </w:pPr>
            <w:r>
              <w:rPr>
                <w:i/>
                <w:sz w:val="18"/>
              </w:rPr>
              <w:t xml:space="preserve">Q1 </w:t>
            </w:r>
          </w:p>
        </w:tc>
        <w:tc>
          <w:tcPr>
            <w:tcW w:w="422" w:type="dxa"/>
            <w:tcBorders>
              <w:top w:val="single" w:sz="4" w:space="0" w:color="000000"/>
              <w:left w:val="single" w:sz="4" w:space="0" w:color="000000"/>
              <w:bottom w:val="single" w:sz="8" w:space="0" w:color="000000"/>
              <w:right w:val="single" w:sz="4" w:space="0" w:color="000000"/>
            </w:tcBorders>
          </w:tcPr>
          <w:p w:rsidR="00E8309B" w:rsidRDefault="009D0949">
            <w:pPr>
              <w:spacing w:after="0" w:line="259" w:lineRule="auto"/>
              <w:ind w:left="43" w:right="0" w:firstLine="0"/>
              <w:jc w:val="left"/>
            </w:pPr>
            <w:r>
              <w:rPr>
                <w:i/>
                <w:sz w:val="18"/>
              </w:rPr>
              <w:t xml:space="preserve">Q2 </w:t>
            </w:r>
          </w:p>
        </w:tc>
        <w:tc>
          <w:tcPr>
            <w:tcW w:w="422" w:type="dxa"/>
            <w:tcBorders>
              <w:top w:val="single" w:sz="4" w:space="0" w:color="000000"/>
              <w:left w:val="single" w:sz="4" w:space="0" w:color="000000"/>
              <w:bottom w:val="single" w:sz="8" w:space="0" w:color="000000"/>
              <w:right w:val="single" w:sz="4" w:space="0" w:color="000000"/>
            </w:tcBorders>
          </w:tcPr>
          <w:p w:rsidR="00E8309B" w:rsidRDefault="009D0949">
            <w:pPr>
              <w:spacing w:after="0" w:line="259" w:lineRule="auto"/>
              <w:ind w:left="43" w:right="0" w:firstLine="0"/>
              <w:jc w:val="left"/>
            </w:pPr>
            <w:r>
              <w:rPr>
                <w:i/>
                <w:sz w:val="18"/>
              </w:rPr>
              <w:t xml:space="preserve">Q3 </w:t>
            </w:r>
          </w:p>
        </w:tc>
        <w:tc>
          <w:tcPr>
            <w:tcW w:w="420" w:type="dxa"/>
            <w:tcBorders>
              <w:top w:val="single" w:sz="4" w:space="0" w:color="000000"/>
              <w:left w:val="single" w:sz="4" w:space="0" w:color="000000"/>
              <w:bottom w:val="single" w:sz="8" w:space="0" w:color="000000"/>
              <w:right w:val="single" w:sz="8" w:space="0" w:color="000000"/>
            </w:tcBorders>
          </w:tcPr>
          <w:p w:rsidR="00E8309B" w:rsidRDefault="009D0949">
            <w:pPr>
              <w:spacing w:after="0" w:line="259" w:lineRule="auto"/>
              <w:ind w:left="43" w:right="0" w:firstLine="0"/>
              <w:jc w:val="left"/>
            </w:pPr>
            <w:r>
              <w:rPr>
                <w:i/>
                <w:sz w:val="18"/>
              </w:rPr>
              <w:t xml:space="preserve">Q4 </w:t>
            </w:r>
          </w:p>
        </w:tc>
      </w:tr>
      <w:tr w:rsidR="00E8309B">
        <w:trPr>
          <w:trHeight w:val="473"/>
        </w:trPr>
        <w:tc>
          <w:tcPr>
            <w:tcW w:w="427" w:type="dxa"/>
            <w:tcBorders>
              <w:top w:val="single" w:sz="8" w:space="0" w:color="000000"/>
              <w:left w:val="single" w:sz="8" w:space="0" w:color="000000"/>
              <w:bottom w:val="single" w:sz="4" w:space="0" w:color="000000"/>
              <w:right w:val="single" w:sz="8" w:space="0" w:color="000000"/>
            </w:tcBorders>
          </w:tcPr>
          <w:p w:rsidR="00E8309B" w:rsidRDefault="009D0949">
            <w:pPr>
              <w:spacing w:after="0" w:line="259" w:lineRule="auto"/>
              <w:ind w:left="0" w:right="51" w:firstLine="0"/>
              <w:jc w:val="right"/>
            </w:pPr>
            <w:r>
              <w:rPr>
                <w:sz w:val="20"/>
              </w:rPr>
              <w:t xml:space="preserve">1 </w:t>
            </w:r>
          </w:p>
        </w:tc>
        <w:tc>
          <w:tcPr>
            <w:tcW w:w="4123" w:type="dxa"/>
            <w:tcBorders>
              <w:top w:val="single" w:sz="8" w:space="0" w:color="000000"/>
              <w:left w:val="single" w:sz="8" w:space="0" w:color="000000"/>
              <w:bottom w:val="single" w:sz="4" w:space="0" w:color="000000"/>
              <w:right w:val="single" w:sz="8" w:space="0" w:color="000000"/>
            </w:tcBorders>
          </w:tcPr>
          <w:p w:rsidR="00E8309B" w:rsidRDefault="009D0949">
            <w:pPr>
              <w:spacing w:after="0" w:line="259" w:lineRule="auto"/>
              <w:ind w:left="0" w:right="0" w:firstLine="0"/>
              <w:jc w:val="left"/>
            </w:pPr>
            <w:r>
              <w:rPr>
                <w:sz w:val="20"/>
              </w:rPr>
              <w:t xml:space="preserve">Доношење подзаконских аката из области НИГП-а  </w:t>
            </w:r>
          </w:p>
        </w:tc>
        <w:tc>
          <w:tcPr>
            <w:tcW w:w="419" w:type="dxa"/>
            <w:tcBorders>
              <w:top w:val="single" w:sz="8" w:space="0" w:color="000000"/>
              <w:left w:val="single" w:sz="8"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1" w:right="0" w:firstLine="0"/>
              <w:jc w:val="center"/>
            </w:pPr>
            <w:r>
              <w:rPr>
                <w:sz w:val="20"/>
              </w:rPr>
              <w:t xml:space="preserve"> </w:t>
            </w:r>
          </w:p>
        </w:tc>
        <w:tc>
          <w:tcPr>
            <w:tcW w:w="421" w:type="dxa"/>
            <w:tcBorders>
              <w:top w:val="single" w:sz="8" w:space="0" w:color="000000"/>
              <w:left w:val="single" w:sz="4"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1" w:right="0" w:firstLine="0"/>
              <w:jc w:val="center"/>
            </w:pPr>
            <w:r>
              <w:rPr>
                <w:sz w:val="20"/>
              </w:rPr>
              <w:t xml:space="preserve"> </w:t>
            </w:r>
          </w:p>
        </w:tc>
        <w:tc>
          <w:tcPr>
            <w:tcW w:w="422" w:type="dxa"/>
            <w:tcBorders>
              <w:top w:val="single" w:sz="8" w:space="0" w:color="000000"/>
              <w:left w:val="single" w:sz="4"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2" w:right="0" w:firstLine="0"/>
              <w:jc w:val="center"/>
            </w:pPr>
            <w:r>
              <w:rPr>
                <w:sz w:val="20"/>
              </w:rPr>
              <w:t xml:space="preserve"> </w:t>
            </w:r>
          </w:p>
        </w:tc>
        <w:tc>
          <w:tcPr>
            <w:tcW w:w="421" w:type="dxa"/>
            <w:tcBorders>
              <w:top w:val="single" w:sz="8" w:space="0" w:color="000000"/>
              <w:left w:val="single" w:sz="4" w:space="0" w:color="000000"/>
              <w:bottom w:val="single" w:sz="4" w:space="0" w:color="000000"/>
              <w:right w:val="single" w:sz="8" w:space="0" w:color="000000"/>
            </w:tcBorders>
            <w:shd w:val="clear" w:color="auto" w:fill="BFBFBF"/>
            <w:vAlign w:val="center"/>
          </w:tcPr>
          <w:p w:rsidR="00E8309B" w:rsidRDefault="009D0949">
            <w:pPr>
              <w:spacing w:after="0" w:line="259" w:lineRule="auto"/>
              <w:ind w:left="4" w:right="0" w:firstLine="0"/>
              <w:jc w:val="center"/>
            </w:pPr>
            <w:r>
              <w:rPr>
                <w:sz w:val="20"/>
              </w:rPr>
              <w:t xml:space="preserve"> </w:t>
            </w:r>
          </w:p>
        </w:tc>
        <w:tc>
          <w:tcPr>
            <w:tcW w:w="424" w:type="dxa"/>
            <w:tcBorders>
              <w:top w:val="single" w:sz="8" w:space="0" w:color="000000"/>
              <w:left w:val="single" w:sz="8" w:space="0" w:color="000000"/>
              <w:bottom w:val="single" w:sz="4" w:space="0" w:color="000000"/>
              <w:right w:val="single" w:sz="4" w:space="0" w:color="000000"/>
            </w:tcBorders>
            <w:vAlign w:val="center"/>
          </w:tcPr>
          <w:p w:rsidR="00E8309B" w:rsidRDefault="009D0949">
            <w:pPr>
              <w:spacing w:after="0" w:line="259" w:lineRule="auto"/>
              <w:ind w:left="4" w:right="0" w:firstLine="0"/>
              <w:jc w:val="center"/>
            </w:pPr>
            <w:r>
              <w:rPr>
                <w:sz w:val="20"/>
              </w:rPr>
              <w:t xml:space="preserve"> </w:t>
            </w:r>
          </w:p>
        </w:tc>
        <w:tc>
          <w:tcPr>
            <w:tcW w:w="421" w:type="dxa"/>
            <w:tcBorders>
              <w:top w:val="single" w:sz="8"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4" w:right="0" w:firstLine="0"/>
              <w:jc w:val="center"/>
            </w:pPr>
            <w:r>
              <w:rPr>
                <w:sz w:val="20"/>
              </w:rPr>
              <w:t xml:space="preserve"> </w:t>
            </w:r>
          </w:p>
        </w:tc>
        <w:tc>
          <w:tcPr>
            <w:tcW w:w="423" w:type="dxa"/>
            <w:tcBorders>
              <w:top w:val="single" w:sz="8"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5" w:right="0" w:firstLine="0"/>
              <w:jc w:val="center"/>
            </w:pPr>
            <w:r>
              <w:rPr>
                <w:sz w:val="20"/>
              </w:rPr>
              <w:t xml:space="preserve"> </w:t>
            </w:r>
          </w:p>
        </w:tc>
        <w:tc>
          <w:tcPr>
            <w:tcW w:w="420" w:type="dxa"/>
            <w:tcBorders>
              <w:top w:val="single" w:sz="8" w:space="0" w:color="000000"/>
              <w:left w:val="single" w:sz="4" w:space="0" w:color="000000"/>
              <w:bottom w:val="single" w:sz="4" w:space="0" w:color="000000"/>
              <w:right w:val="single" w:sz="8" w:space="0" w:color="000000"/>
            </w:tcBorders>
            <w:vAlign w:val="center"/>
          </w:tcPr>
          <w:p w:rsidR="00E8309B" w:rsidRDefault="009D0949">
            <w:pPr>
              <w:spacing w:after="0" w:line="259" w:lineRule="auto"/>
              <w:ind w:left="2" w:right="0" w:firstLine="0"/>
              <w:jc w:val="center"/>
            </w:pPr>
            <w:r>
              <w:rPr>
                <w:sz w:val="20"/>
              </w:rPr>
              <w:t xml:space="preserve"> </w:t>
            </w:r>
          </w:p>
        </w:tc>
        <w:tc>
          <w:tcPr>
            <w:tcW w:w="425" w:type="dxa"/>
            <w:tcBorders>
              <w:top w:val="single" w:sz="8" w:space="0" w:color="000000"/>
              <w:left w:val="single" w:sz="8" w:space="0" w:color="000000"/>
              <w:bottom w:val="single" w:sz="4" w:space="0" w:color="000000"/>
              <w:right w:val="single" w:sz="4" w:space="0" w:color="000000"/>
            </w:tcBorders>
            <w:vAlign w:val="center"/>
          </w:tcPr>
          <w:p w:rsidR="00E8309B" w:rsidRDefault="009D0949">
            <w:pPr>
              <w:spacing w:after="0" w:line="259" w:lineRule="auto"/>
              <w:ind w:left="2" w:right="0" w:firstLine="0"/>
              <w:jc w:val="center"/>
            </w:pPr>
            <w:r>
              <w:rPr>
                <w:sz w:val="20"/>
              </w:rPr>
              <w:t xml:space="preserve"> </w:t>
            </w:r>
          </w:p>
        </w:tc>
        <w:tc>
          <w:tcPr>
            <w:tcW w:w="422" w:type="dxa"/>
            <w:tcBorders>
              <w:top w:val="single" w:sz="8"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0" w:right="0" w:firstLine="0"/>
              <w:jc w:val="center"/>
            </w:pPr>
            <w:r>
              <w:rPr>
                <w:sz w:val="20"/>
              </w:rPr>
              <w:t xml:space="preserve"> </w:t>
            </w:r>
          </w:p>
        </w:tc>
        <w:tc>
          <w:tcPr>
            <w:tcW w:w="422" w:type="dxa"/>
            <w:tcBorders>
              <w:top w:val="single" w:sz="8"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0" w:right="0" w:firstLine="0"/>
              <w:jc w:val="center"/>
            </w:pPr>
            <w:r>
              <w:rPr>
                <w:sz w:val="20"/>
              </w:rPr>
              <w:t xml:space="preserve"> </w:t>
            </w:r>
          </w:p>
        </w:tc>
        <w:tc>
          <w:tcPr>
            <w:tcW w:w="420" w:type="dxa"/>
            <w:tcBorders>
              <w:top w:val="single" w:sz="8" w:space="0" w:color="000000"/>
              <w:left w:val="single" w:sz="4" w:space="0" w:color="000000"/>
              <w:bottom w:val="single" w:sz="4" w:space="0" w:color="000000"/>
              <w:right w:val="single" w:sz="8" w:space="0" w:color="000000"/>
            </w:tcBorders>
            <w:vAlign w:val="center"/>
          </w:tcPr>
          <w:p w:rsidR="00E8309B" w:rsidRDefault="009D0949">
            <w:pPr>
              <w:spacing w:after="0" w:line="259" w:lineRule="auto"/>
              <w:ind w:left="2" w:right="0" w:firstLine="0"/>
              <w:jc w:val="center"/>
            </w:pPr>
            <w:r>
              <w:rPr>
                <w:sz w:val="20"/>
              </w:rPr>
              <w:t xml:space="preserve"> </w:t>
            </w:r>
          </w:p>
        </w:tc>
      </w:tr>
      <w:tr w:rsidR="00E8309B">
        <w:trPr>
          <w:trHeight w:val="471"/>
        </w:trPr>
        <w:tc>
          <w:tcPr>
            <w:tcW w:w="427" w:type="dxa"/>
            <w:tcBorders>
              <w:top w:val="single" w:sz="4" w:space="0" w:color="000000"/>
              <w:left w:val="single" w:sz="8" w:space="0" w:color="000000"/>
              <w:bottom w:val="single" w:sz="4" w:space="0" w:color="000000"/>
              <w:right w:val="single" w:sz="8" w:space="0" w:color="000000"/>
            </w:tcBorders>
          </w:tcPr>
          <w:p w:rsidR="00E8309B" w:rsidRDefault="009D0949">
            <w:pPr>
              <w:spacing w:after="0" w:line="259" w:lineRule="auto"/>
              <w:ind w:left="0" w:right="51" w:firstLine="0"/>
              <w:jc w:val="right"/>
            </w:pPr>
            <w:r>
              <w:rPr>
                <w:sz w:val="20"/>
              </w:rPr>
              <w:t xml:space="preserve">2 </w:t>
            </w:r>
          </w:p>
        </w:tc>
        <w:tc>
          <w:tcPr>
            <w:tcW w:w="4123" w:type="dxa"/>
            <w:tcBorders>
              <w:top w:val="single" w:sz="4" w:space="0" w:color="000000"/>
              <w:left w:val="single" w:sz="8" w:space="0" w:color="000000"/>
              <w:bottom w:val="single" w:sz="4" w:space="0" w:color="000000"/>
              <w:right w:val="single" w:sz="8" w:space="0" w:color="000000"/>
            </w:tcBorders>
          </w:tcPr>
          <w:p w:rsidR="00E8309B" w:rsidRDefault="009D0949">
            <w:pPr>
              <w:spacing w:after="0" w:line="259" w:lineRule="auto"/>
              <w:ind w:left="0" w:right="0" w:firstLine="0"/>
              <w:jc w:val="left"/>
            </w:pPr>
            <w:r>
              <w:rPr>
                <w:sz w:val="20"/>
              </w:rPr>
              <w:t xml:space="preserve">Развој и доступност сервиса геопросторних података </w:t>
            </w:r>
          </w:p>
        </w:tc>
        <w:tc>
          <w:tcPr>
            <w:tcW w:w="419" w:type="dxa"/>
            <w:tcBorders>
              <w:top w:val="single" w:sz="4" w:space="0" w:color="000000"/>
              <w:left w:val="single" w:sz="8"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1" w:right="0" w:firstLine="0"/>
              <w:jc w:val="center"/>
            </w:pPr>
            <w:r>
              <w:rPr>
                <w:sz w:val="20"/>
              </w:rPr>
              <w:t xml:space="preserve"> </w:t>
            </w:r>
          </w:p>
        </w:tc>
        <w:tc>
          <w:tcPr>
            <w:tcW w:w="421"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1" w:right="0" w:firstLine="0"/>
              <w:jc w:val="center"/>
            </w:pPr>
            <w:r>
              <w:rPr>
                <w:sz w:val="20"/>
              </w:rPr>
              <w:t xml:space="preserve"> </w:t>
            </w:r>
          </w:p>
        </w:tc>
        <w:tc>
          <w:tcPr>
            <w:tcW w:w="422"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2" w:right="0" w:firstLine="0"/>
              <w:jc w:val="center"/>
            </w:pPr>
            <w:r>
              <w:rPr>
                <w:sz w:val="20"/>
              </w:rPr>
              <w:t xml:space="preserve"> </w:t>
            </w:r>
          </w:p>
        </w:tc>
        <w:tc>
          <w:tcPr>
            <w:tcW w:w="421" w:type="dxa"/>
            <w:tcBorders>
              <w:top w:val="single" w:sz="4" w:space="0" w:color="000000"/>
              <w:left w:val="single" w:sz="4" w:space="0" w:color="000000"/>
              <w:bottom w:val="single" w:sz="4" w:space="0" w:color="000000"/>
              <w:right w:val="single" w:sz="8" w:space="0" w:color="000000"/>
            </w:tcBorders>
            <w:shd w:val="clear" w:color="auto" w:fill="BFBFBF"/>
            <w:vAlign w:val="center"/>
          </w:tcPr>
          <w:p w:rsidR="00E8309B" w:rsidRDefault="009D0949">
            <w:pPr>
              <w:spacing w:after="0" w:line="259" w:lineRule="auto"/>
              <w:ind w:left="4" w:right="0" w:firstLine="0"/>
              <w:jc w:val="center"/>
            </w:pPr>
            <w:r>
              <w:rPr>
                <w:sz w:val="20"/>
              </w:rPr>
              <w:t xml:space="preserve"> </w:t>
            </w:r>
          </w:p>
        </w:tc>
        <w:tc>
          <w:tcPr>
            <w:tcW w:w="424" w:type="dxa"/>
            <w:tcBorders>
              <w:top w:val="single" w:sz="4" w:space="0" w:color="000000"/>
              <w:left w:val="single" w:sz="8"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4" w:right="0" w:firstLine="0"/>
              <w:jc w:val="center"/>
            </w:pPr>
            <w:r>
              <w:rPr>
                <w:sz w:val="20"/>
              </w:rPr>
              <w:t xml:space="preserve"> </w:t>
            </w:r>
          </w:p>
        </w:tc>
        <w:tc>
          <w:tcPr>
            <w:tcW w:w="421"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4" w:right="0" w:firstLine="0"/>
              <w:jc w:val="center"/>
            </w:pPr>
            <w:r>
              <w:rPr>
                <w:sz w:val="20"/>
              </w:rPr>
              <w:t xml:space="preserve"> </w:t>
            </w:r>
          </w:p>
        </w:tc>
        <w:tc>
          <w:tcPr>
            <w:tcW w:w="423"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5" w:right="0" w:firstLine="0"/>
              <w:jc w:val="center"/>
            </w:pPr>
            <w:r>
              <w:rPr>
                <w:sz w:val="20"/>
              </w:rPr>
              <w:t xml:space="preserve"> </w:t>
            </w:r>
          </w:p>
        </w:tc>
        <w:tc>
          <w:tcPr>
            <w:tcW w:w="420" w:type="dxa"/>
            <w:tcBorders>
              <w:top w:val="single" w:sz="4" w:space="0" w:color="000000"/>
              <w:left w:val="single" w:sz="4" w:space="0" w:color="000000"/>
              <w:bottom w:val="single" w:sz="4" w:space="0" w:color="000000"/>
              <w:right w:val="single" w:sz="8" w:space="0" w:color="000000"/>
            </w:tcBorders>
            <w:shd w:val="clear" w:color="auto" w:fill="BFBFBF"/>
            <w:vAlign w:val="center"/>
          </w:tcPr>
          <w:p w:rsidR="00E8309B" w:rsidRDefault="009D0949">
            <w:pPr>
              <w:spacing w:after="0" w:line="259" w:lineRule="auto"/>
              <w:ind w:left="2" w:right="0" w:firstLine="0"/>
              <w:jc w:val="center"/>
            </w:pPr>
            <w:r>
              <w:rPr>
                <w:sz w:val="20"/>
              </w:rPr>
              <w:t xml:space="preserve"> </w:t>
            </w:r>
          </w:p>
        </w:tc>
        <w:tc>
          <w:tcPr>
            <w:tcW w:w="425" w:type="dxa"/>
            <w:tcBorders>
              <w:top w:val="single" w:sz="4" w:space="0" w:color="000000"/>
              <w:left w:val="single" w:sz="8" w:space="0" w:color="000000"/>
              <w:bottom w:val="single" w:sz="4" w:space="0" w:color="000000"/>
              <w:right w:val="single" w:sz="4" w:space="0" w:color="000000"/>
            </w:tcBorders>
            <w:vAlign w:val="center"/>
          </w:tcPr>
          <w:p w:rsidR="00E8309B" w:rsidRDefault="009D0949">
            <w:pPr>
              <w:spacing w:after="0" w:line="259" w:lineRule="auto"/>
              <w:ind w:left="2" w:right="0" w:firstLine="0"/>
              <w:jc w:val="center"/>
            </w:pPr>
            <w:r>
              <w:rPr>
                <w:sz w:val="20"/>
              </w:rPr>
              <w:t xml:space="preserve"> </w:t>
            </w:r>
          </w:p>
        </w:tc>
        <w:tc>
          <w:tcPr>
            <w:tcW w:w="422"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0" w:right="0" w:firstLine="0"/>
              <w:jc w:val="center"/>
            </w:pPr>
            <w:r>
              <w:rPr>
                <w:sz w:val="20"/>
              </w:rPr>
              <w:t xml:space="preserve"> </w:t>
            </w:r>
          </w:p>
        </w:tc>
        <w:tc>
          <w:tcPr>
            <w:tcW w:w="422"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0" w:right="0" w:firstLine="0"/>
              <w:jc w:val="center"/>
            </w:pPr>
            <w:r>
              <w:rPr>
                <w:sz w:val="20"/>
              </w:rPr>
              <w:t xml:space="preserve"> </w:t>
            </w:r>
          </w:p>
        </w:tc>
        <w:tc>
          <w:tcPr>
            <w:tcW w:w="420" w:type="dxa"/>
            <w:tcBorders>
              <w:top w:val="single" w:sz="4" w:space="0" w:color="000000"/>
              <w:left w:val="single" w:sz="4" w:space="0" w:color="000000"/>
              <w:bottom w:val="single" w:sz="4" w:space="0" w:color="000000"/>
              <w:right w:val="single" w:sz="8" w:space="0" w:color="000000"/>
            </w:tcBorders>
            <w:vAlign w:val="center"/>
          </w:tcPr>
          <w:p w:rsidR="00E8309B" w:rsidRDefault="009D0949">
            <w:pPr>
              <w:spacing w:after="0" w:line="259" w:lineRule="auto"/>
              <w:ind w:left="2" w:right="0" w:firstLine="0"/>
              <w:jc w:val="center"/>
            </w:pPr>
            <w:r>
              <w:rPr>
                <w:sz w:val="20"/>
              </w:rPr>
              <w:t xml:space="preserve"> </w:t>
            </w:r>
          </w:p>
        </w:tc>
      </w:tr>
      <w:tr w:rsidR="00E8309B">
        <w:trPr>
          <w:trHeight w:val="1390"/>
        </w:trPr>
        <w:tc>
          <w:tcPr>
            <w:tcW w:w="427" w:type="dxa"/>
            <w:tcBorders>
              <w:top w:val="single" w:sz="4" w:space="0" w:color="000000"/>
              <w:left w:val="single" w:sz="8" w:space="0" w:color="000000"/>
              <w:bottom w:val="single" w:sz="4" w:space="0" w:color="000000"/>
              <w:right w:val="single" w:sz="8" w:space="0" w:color="000000"/>
            </w:tcBorders>
          </w:tcPr>
          <w:p w:rsidR="00E8309B" w:rsidRDefault="009D0949">
            <w:pPr>
              <w:spacing w:after="0" w:line="259" w:lineRule="auto"/>
              <w:ind w:left="0" w:right="51" w:firstLine="0"/>
              <w:jc w:val="right"/>
            </w:pPr>
            <w:r>
              <w:rPr>
                <w:sz w:val="20"/>
              </w:rPr>
              <w:t xml:space="preserve">3 </w:t>
            </w:r>
          </w:p>
        </w:tc>
        <w:tc>
          <w:tcPr>
            <w:tcW w:w="4123" w:type="dxa"/>
            <w:tcBorders>
              <w:top w:val="single" w:sz="4" w:space="0" w:color="000000"/>
              <w:left w:val="single" w:sz="8" w:space="0" w:color="000000"/>
              <w:bottom w:val="single" w:sz="4" w:space="0" w:color="000000"/>
              <w:right w:val="single" w:sz="8" w:space="0" w:color="000000"/>
            </w:tcBorders>
          </w:tcPr>
          <w:p w:rsidR="00E8309B" w:rsidRDefault="009D0949">
            <w:pPr>
              <w:spacing w:after="0" w:line="259" w:lineRule="auto"/>
              <w:ind w:left="0" w:right="5" w:firstLine="0"/>
              <w:jc w:val="left"/>
            </w:pPr>
            <w:r>
              <w:rPr>
                <w:sz w:val="20"/>
              </w:rPr>
              <w:t xml:space="preserve">Усклађивање, комбиновање и повезивање података катастра непокретности и података из локалних пореских администарција на „пилот” општинама за развој прототипа система масовне процене вредности непокретности </w:t>
            </w:r>
          </w:p>
        </w:tc>
        <w:tc>
          <w:tcPr>
            <w:tcW w:w="419" w:type="dxa"/>
            <w:tcBorders>
              <w:top w:val="single" w:sz="4" w:space="0" w:color="000000"/>
              <w:left w:val="single" w:sz="8"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1" w:right="0" w:firstLine="0"/>
              <w:jc w:val="center"/>
            </w:pPr>
            <w:r>
              <w:rPr>
                <w:sz w:val="20"/>
              </w:rPr>
              <w:t xml:space="preserve"> </w:t>
            </w:r>
          </w:p>
        </w:tc>
        <w:tc>
          <w:tcPr>
            <w:tcW w:w="421"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1" w:right="0" w:firstLine="0"/>
              <w:jc w:val="center"/>
            </w:pPr>
            <w:r>
              <w:rPr>
                <w:sz w:val="20"/>
              </w:rPr>
              <w:t xml:space="preserve"> </w:t>
            </w:r>
          </w:p>
        </w:tc>
        <w:tc>
          <w:tcPr>
            <w:tcW w:w="422"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2" w:right="0" w:firstLine="0"/>
              <w:jc w:val="center"/>
            </w:pPr>
            <w:r>
              <w:rPr>
                <w:sz w:val="20"/>
              </w:rPr>
              <w:t xml:space="preserve"> </w:t>
            </w:r>
          </w:p>
        </w:tc>
        <w:tc>
          <w:tcPr>
            <w:tcW w:w="421" w:type="dxa"/>
            <w:tcBorders>
              <w:top w:val="single" w:sz="4" w:space="0" w:color="000000"/>
              <w:left w:val="single" w:sz="4" w:space="0" w:color="000000"/>
              <w:bottom w:val="single" w:sz="4" w:space="0" w:color="000000"/>
              <w:right w:val="single" w:sz="8" w:space="0" w:color="000000"/>
            </w:tcBorders>
            <w:shd w:val="clear" w:color="auto" w:fill="BFBFBF"/>
            <w:vAlign w:val="center"/>
          </w:tcPr>
          <w:p w:rsidR="00E8309B" w:rsidRDefault="009D0949">
            <w:pPr>
              <w:spacing w:after="0" w:line="259" w:lineRule="auto"/>
              <w:ind w:left="4" w:right="0" w:firstLine="0"/>
              <w:jc w:val="center"/>
            </w:pPr>
            <w:r>
              <w:rPr>
                <w:sz w:val="20"/>
              </w:rPr>
              <w:t xml:space="preserve"> </w:t>
            </w:r>
          </w:p>
        </w:tc>
        <w:tc>
          <w:tcPr>
            <w:tcW w:w="424" w:type="dxa"/>
            <w:tcBorders>
              <w:top w:val="single" w:sz="4" w:space="0" w:color="000000"/>
              <w:left w:val="single" w:sz="8"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4" w:right="0" w:firstLine="0"/>
              <w:jc w:val="center"/>
            </w:pPr>
            <w:r>
              <w:rPr>
                <w:sz w:val="20"/>
              </w:rPr>
              <w:t xml:space="preserve"> </w:t>
            </w:r>
          </w:p>
        </w:tc>
        <w:tc>
          <w:tcPr>
            <w:tcW w:w="421"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4" w:right="0" w:firstLine="0"/>
              <w:jc w:val="center"/>
            </w:pPr>
            <w:r>
              <w:rPr>
                <w:sz w:val="20"/>
              </w:rPr>
              <w:t xml:space="preserve"> </w:t>
            </w:r>
          </w:p>
        </w:tc>
        <w:tc>
          <w:tcPr>
            <w:tcW w:w="423"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5" w:right="0" w:firstLine="0"/>
              <w:jc w:val="center"/>
            </w:pPr>
            <w:r>
              <w:rPr>
                <w:sz w:val="20"/>
              </w:rPr>
              <w:t xml:space="preserve"> </w:t>
            </w:r>
          </w:p>
        </w:tc>
        <w:tc>
          <w:tcPr>
            <w:tcW w:w="420" w:type="dxa"/>
            <w:tcBorders>
              <w:top w:val="single" w:sz="4" w:space="0" w:color="000000"/>
              <w:left w:val="single" w:sz="4" w:space="0" w:color="000000"/>
              <w:bottom w:val="single" w:sz="4" w:space="0" w:color="000000"/>
              <w:right w:val="single" w:sz="8" w:space="0" w:color="000000"/>
            </w:tcBorders>
            <w:vAlign w:val="center"/>
          </w:tcPr>
          <w:p w:rsidR="00E8309B" w:rsidRDefault="009D0949">
            <w:pPr>
              <w:spacing w:after="0" w:line="259" w:lineRule="auto"/>
              <w:ind w:left="2" w:right="0" w:firstLine="0"/>
              <w:jc w:val="center"/>
            </w:pPr>
            <w:r>
              <w:rPr>
                <w:sz w:val="20"/>
              </w:rPr>
              <w:t xml:space="preserve"> </w:t>
            </w:r>
          </w:p>
        </w:tc>
        <w:tc>
          <w:tcPr>
            <w:tcW w:w="425" w:type="dxa"/>
            <w:tcBorders>
              <w:top w:val="single" w:sz="4" w:space="0" w:color="000000"/>
              <w:left w:val="single" w:sz="8" w:space="0" w:color="000000"/>
              <w:bottom w:val="single" w:sz="4" w:space="0" w:color="000000"/>
              <w:right w:val="single" w:sz="4" w:space="0" w:color="000000"/>
            </w:tcBorders>
            <w:vAlign w:val="center"/>
          </w:tcPr>
          <w:p w:rsidR="00E8309B" w:rsidRDefault="009D0949">
            <w:pPr>
              <w:spacing w:after="0" w:line="259" w:lineRule="auto"/>
              <w:ind w:left="2" w:right="0" w:firstLine="0"/>
              <w:jc w:val="center"/>
            </w:pPr>
            <w:r>
              <w:rPr>
                <w:sz w:val="20"/>
              </w:rPr>
              <w:t xml:space="preserve"> </w:t>
            </w:r>
          </w:p>
        </w:tc>
        <w:tc>
          <w:tcPr>
            <w:tcW w:w="422"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0" w:right="0" w:firstLine="0"/>
              <w:jc w:val="center"/>
            </w:pPr>
            <w:r>
              <w:rPr>
                <w:sz w:val="20"/>
              </w:rPr>
              <w:t xml:space="preserve"> </w:t>
            </w:r>
          </w:p>
        </w:tc>
        <w:tc>
          <w:tcPr>
            <w:tcW w:w="422"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0" w:right="0" w:firstLine="0"/>
              <w:jc w:val="center"/>
            </w:pPr>
            <w:r>
              <w:rPr>
                <w:sz w:val="20"/>
              </w:rPr>
              <w:t xml:space="preserve"> </w:t>
            </w:r>
          </w:p>
        </w:tc>
        <w:tc>
          <w:tcPr>
            <w:tcW w:w="420" w:type="dxa"/>
            <w:tcBorders>
              <w:top w:val="single" w:sz="4" w:space="0" w:color="000000"/>
              <w:left w:val="single" w:sz="4" w:space="0" w:color="000000"/>
              <w:bottom w:val="single" w:sz="4" w:space="0" w:color="000000"/>
              <w:right w:val="single" w:sz="8" w:space="0" w:color="000000"/>
            </w:tcBorders>
            <w:vAlign w:val="center"/>
          </w:tcPr>
          <w:p w:rsidR="00E8309B" w:rsidRDefault="009D0949">
            <w:pPr>
              <w:spacing w:after="0" w:line="259" w:lineRule="auto"/>
              <w:ind w:left="2" w:right="0" w:firstLine="0"/>
              <w:jc w:val="center"/>
            </w:pPr>
            <w:r>
              <w:rPr>
                <w:sz w:val="20"/>
              </w:rPr>
              <w:t xml:space="preserve"> </w:t>
            </w:r>
          </w:p>
        </w:tc>
      </w:tr>
      <w:tr w:rsidR="00E8309B">
        <w:trPr>
          <w:trHeight w:val="700"/>
        </w:trPr>
        <w:tc>
          <w:tcPr>
            <w:tcW w:w="427" w:type="dxa"/>
            <w:tcBorders>
              <w:top w:val="single" w:sz="4" w:space="0" w:color="000000"/>
              <w:left w:val="single" w:sz="8" w:space="0" w:color="000000"/>
              <w:bottom w:val="single" w:sz="4" w:space="0" w:color="000000"/>
              <w:right w:val="single" w:sz="8" w:space="0" w:color="000000"/>
            </w:tcBorders>
          </w:tcPr>
          <w:p w:rsidR="00E8309B" w:rsidRDefault="009D0949">
            <w:pPr>
              <w:spacing w:after="0" w:line="259" w:lineRule="auto"/>
              <w:ind w:left="0" w:right="51" w:firstLine="0"/>
              <w:jc w:val="right"/>
            </w:pPr>
            <w:r>
              <w:rPr>
                <w:sz w:val="20"/>
              </w:rPr>
              <w:t xml:space="preserve">4 </w:t>
            </w:r>
          </w:p>
        </w:tc>
        <w:tc>
          <w:tcPr>
            <w:tcW w:w="4123" w:type="dxa"/>
            <w:tcBorders>
              <w:top w:val="single" w:sz="4" w:space="0" w:color="000000"/>
              <w:left w:val="single" w:sz="8" w:space="0" w:color="000000"/>
              <w:bottom w:val="single" w:sz="4" w:space="0" w:color="000000"/>
              <w:right w:val="single" w:sz="8" w:space="0" w:color="000000"/>
            </w:tcBorders>
          </w:tcPr>
          <w:p w:rsidR="00E8309B" w:rsidRDefault="009D0949">
            <w:pPr>
              <w:spacing w:after="0" w:line="259" w:lineRule="auto"/>
              <w:ind w:left="0" w:right="0" w:firstLine="0"/>
              <w:jc w:val="left"/>
            </w:pPr>
            <w:r>
              <w:rPr>
                <w:sz w:val="20"/>
              </w:rPr>
              <w:t xml:space="preserve">Развој прототипа система масовне процене вредности непокретности и дефинисање процедура на „пилот” општинама </w:t>
            </w:r>
          </w:p>
        </w:tc>
        <w:tc>
          <w:tcPr>
            <w:tcW w:w="419" w:type="dxa"/>
            <w:tcBorders>
              <w:top w:val="single" w:sz="4" w:space="0" w:color="000000"/>
              <w:left w:val="single" w:sz="8"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1" w:right="0" w:firstLine="0"/>
              <w:jc w:val="center"/>
            </w:pPr>
            <w:r>
              <w:rPr>
                <w:sz w:val="20"/>
              </w:rPr>
              <w:t xml:space="preserve"> </w:t>
            </w:r>
          </w:p>
        </w:tc>
        <w:tc>
          <w:tcPr>
            <w:tcW w:w="421"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1" w:right="0" w:firstLine="0"/>
              <w:jc w:val="center"/>
            </w:pPr>
            <w:r>
              <w:rPr>
                <w:sz w:val="20"/>
              </w:rPr>
              <w:t xml:space="preserve"> </w:t>
            </w:r>
          </w:p>
        </w:tc>
        <w:tc>
          <w:tcPr>
            <w:tcW w:w="422"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2" w:right="0" w:firstLine="0"/>
              <w:jc w:val="center"/>
            </w:pPr>
            <w:r>
              <w:rPr>
                <w:sz w:val="20"/>
              </w:rPr>
              <w:t xml:space="preserve"> </w:t>
            </w:r>
          </w:p>
        </w:tc>
        <w:tc>
          <w:tcPr>
            <w:tcW w:w="421" w:type="dxa"/>
            <w:tcBorders>
              <w:top w:val="single" w:sz="4" w:space="0" w:color="000000"/>
              <w:left w:val="single" w:sz="4" w:space="0" w:color="000000"/>
              <w:bottom w:val="single" w:sz="4" w:space="0" w:color="000000"/>
              <w:right w:val="single" w:sz="8" w:space="0" w:color="000000"/>
            </w:tcBorders>
            <w:shd w:val="clear" w:color="auto" w:fill="BFBFBF"/>
            <w:vAlign w:val="center"/>
          </w:tcPr>
          <w:p w:rsidR="00E8309B" w:rsidRDefault="009D0949">
            <w:pPr>
              <w:spacing w:after="0" w:line="259" w:lineRule="auto"/>
              <w:ind w:left="4" w:right="0" w:firstLine="0"/>
              <w:jc w:val="center"/>
            </w:pPr>
            <w:r>
              <w:rPr>
                <w:sz w:val="20"/>
              </w:rPr>
              <w:t xml:space="preserve"> </w:t>
            </w:r>
          </w:p>
        </w:tc>
        <w:tc>
          <w:tcPr>
            <w:tcW w:w="424" w:type="dxa"/>
            <w:tcBorders>
              <w:top w:val="single" w:sz="4" w:space="0" w:color="000000"/>
              <w:left w:val="single" w:sz="8"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4" w:right="0" w:firstLine="0"/>
              <w:jc w:val="center"/>
            </w:pPr>
            <w:r>
              <w:rPr>
                <w:sz w:val="20"/>
              </w:rPr>
              <w:t xml:space="preserve"> </w:t>
            </w:r>
          </w:p>
        </w:tc>
        <w:tc>
          <w:tcPr>
            <w:tcW w:w="421"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4" w:right="0" w:firstLine="0"/>
              <w:jc w:val="center"/>
            </w:pPr>
            <w:r>
              <w:rPr>
                <w:sz w:val="20"/>
              </w:rPr>
              <w:t xml:space="preserve"> </w:t>
            </w:r>
          </w:p>
        </w:tc>
        <w:tc>
          <w:tcPr>
            <w:tcW w:w="423"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5" w:right="0" w:firstLine="0"/>
              <w:jc w:val="center"/>
            </w:pPr>
            <w:r>
              <w:rPr>
                <w:sz w:val="20"/>
              </w:rPr>
              <w:t xml:space="preserve"> </w:t>
            </w:r>
          </w:p>
        </w:tc>
        <w:tc>
          <w:tcPr>
            <w:tcW w:w="420" w:type="dxa"/>
            <w:tcBorders>
              <w:top w:val="single" w:sz="4" w:space="0" w:color="000000"/>
              <w:left w:val="single" w:sz="4" w:space="0" w:color="000000"/>
              <w:bottom w:val="single" w:sz="4" w:space="0" w:color="000000"/>
              <w:right w:val="single" w:sz="8" w:space="0" w:color="000000"/>
            </w:tcBorders>
            <w:shd w:val="clear" w:color="auto" w:fill="BFBFBF"/>
            <w:vAlign w:val="center"/>
          </w:tcPr>
          <w:p w:rsidR="00E8309B" w:rsidRDefault="009D0949">
            <w:pPr>
              <w:spacing w:after="0" w:line="259" w:lineRule="auto"/>
              <w:ind w:left="2" w:right="0" w:firstLine="0"/>
              <w:jc w:val="center"/>
            </w:pPr>
            <w:r>
              <w:rPr>
                <w:sz w:val="20"/>
              </w:rPr>
              <w:t xml:space="preserve"> </w:t>
            </w:r>
          </w:p>
        </w:tc>
        <w:tc>
          <w:tcPr>
            <w:tcW w:w="425" w:type="dxa"/>
            <w:tcBorders>
              <w:top w:val="single" w:sz="4" w:space="0" w:color="000000"/>
              <w:left w:val="single" w:sz="8" w:space="0" w:color="000000"/>
              <w:bottom w:val="single" w:sz="4" w:space="0" w:color="000000"/>
              <w:right w:val="single" w:sz="4" w:space="0" w:color="000000"/>
            </w:tcBorders>
            <w:vAlign w:val="center"/>
          </w:tcPr>
          <w:p w:rsidR="00E8309B" w:rsidRDefault="009D0949">
            <w:pPr>
              <w:spacing w:after="0" w:line="259" w:lineRule="auto"/>
              <w:ind w:left="2" w:right="0" w:firstLine="0"/>
              <w:jc w:val="center"/>
            </w:pPr>
            <w:r>
              <w:rPr>
                <w:sz w:val="20"/>
              </w:rPr>
              <w:t xml:space="preserve"> </w:t>
            </w:r>
          </w:p>
        </w:tc>
        <w:tc>
          <w:tcPr>
            <w:tcW w:w="422"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0" w:right="0" w:firstLine="0"/>
              <w:jc w:val="center"/>
            </w:pPr>
            <w:r>
              <w:rPr>
                <w:sz w:val="20"/>
              </w:rPr>
              <w:t xml:space="preserve"> </w:t>
            </w:r>
          </w:p>
        </w:tc>
        <w:tc>
          <w:tcPr>
            <w:tcW w:w="422"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0" w:right="0" w:firstLine="0"/>
              <w:jc w:val="center"/>
            </w:pPr>
            <w:r>
              <w:rPr>
                <w:sz w:val="20"/>
              </w:rPr>
              <w:t xml:space="preserve"> </w:t>
            </w:r>
          </w:p>
        </w:tc>
        <w:tc>
          <w:tcPr>
            <w:tcW w:w="420" w:type="dxa"/>
            <w:tcBorders>
              <w:top w:val="single" w:sz="4" w:space="0" w:color="000000"/>
              <w:left w:val="single" w:sz="4" w:space="0" w:color="000000"/>
              <w:bottom w:val="single" w:sz="4" w:space="0" w:color="000000"/>
              <w:right w:val="single" w:sz="8" w:space="0" w:color="000000"/>
            </w:tcBorders>
            <w:vAlign w:val="center"/>
          </w:tcPr>
          <w:p w:rsidR="00E8309B" w:rsidRDefault="009D0949">
            <w:pPr>
              <w:spacing w:after="0" w:line="259" w:lineRule="auto"/>
              <w:ind w:left="2" w:right="0" w:firstLine="0"/>
              <w:jc w:val="center"/>
            </w:pPr>
            <w:r>
              <w:rPr>
                <w:sz w:val="20"/>
              </w:rPr>
              <w:t xml:space="preserve"> </w:t>
            </w:r>
          </w:p>
        </w:tc>
      </w:tr>
      <w:tr w:rsidR="00E8309B">
        <w:trPr>
          <w:trHeight w:val="469"/>
        </w:trPr>
        <w:tc>
          <w:tcPr>
            <w:tcW w:w="427" w:type="dxa"/>
            <w:tcBorders>
              <w:top w:val="single" w:sz="4" w:space="0" w:color="000000"/>
              <w:left w:val="single" w:sz="8" w:space="0" w:color="000000"/>
              <w:bottom w:val="single" w:sz="4" w:space="0" w:color="000000"/>
              <w:right w:val="single" w:sz="8" w:space="0" w:color="000000"/>
            </w:tcBorders>
          </w:tcPr>
          <w:p w:rsidR="00E8309B" w:rsidRDefault="009D0949">
            <w:pPr>
              <w:spacing w:after="0" w:line="259" w:lineRule="auto"/>
              <w:ind w:left="0" w:right="51" w:firstLine="0"/>
              <w:jc w:val="right"/>
            </w:pPr>
            <w:r>
              <w:rPr>
                <w:sz w:val="20"/>
              </w:rPr>
              <w:t xml:space="preserve">5 </w:t>
            </w:r>
          </w:p>
        </w:tc>
        <w:tc>
          <w:tcPr>
            <w:tcW w:w="4123" w:type="dxa"/>
            <w:tcBorders>
              <w:top w:val="single" w:sz="4" w:space="0" w:color="000000"/>
              <w:left w:val="single" w:sz="8" w:space="0" w:color="000000"/>
              <w:bottom w:val="single" w:sz="4" w:space="0" w:color="000000"/>
              <w:right w:val="single" w:sz="8" w:space="0" w:color="000000"/>
            </w:tcBorders>
          </w:tcPr>
          <w:p w:rsidR="00E8309B" w:rsidRDefault="009D0949">
            <w:pPr>
              <w:spacing w:after="0" w:line="259" w:lineRule="auto"/>
              <w:ind w:left="0" w:right="0" w:firstLine="0"/>
              <w:jc w:val="left"/>
            </w:pPr>
            <w:r>
              <w:rPr>
                <w:sz w:val="20"/>
              </w:rPr>
              <w:t xml:space="preserve">Ажурирање података Адресног регистра на територији РС </w:t>
            </w:r>
          </w:p>
        </w:tc>
        <w:tc>
          <w:tcPr>
            <w:tcW w:w="419" w:type="dxa"/>
            <w:tcBorders>
              <w:top w:val="single" w:sz="4" w:space="0" w:color="000000"/>
              <w:left w:val="single" w:sz="8"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1" w:right="0" w:firstLine="0"/>
              <w:jc w:val="center"/>
            </w:pPr>
            <w:r>
              <w:rPr>
                <w:sz w:val="20"/>
              </w:rPr>
              <w:t xml:space="preserve"> </w:t>
            </w:r>
          </w:p>
        </w:tc>
        <w:tc>
          <w:tcPr>
            <w:tcW w:w="421"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1" w:right="0" w:firstLine="0"/>
              <w:jc w:val="center"/>
            </w:pPr>
            <w:r>
              <w:rPr>
                <w:sz w:val="20"/>
              </w:rPr>
              <w:t xml:space="preserve"> </w:t>
            </w:r>
          </w:p>
        </w:tc>
        <w:tc>
          <w:tcPr>
            <w:tcW w:w="422"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2" w:right="0" w:firstLine="0"/>
              <w:jc w:val="center"/>
            </w:pPr>
            <w:r>
              <w:rPr>
                <w:sz w:val="20"/>
              </w:rPr>
              <w:t xml:space="preserve"> </w:t>
            </w:r>
          </w:p>
        </w:tc>
        <w:tc>
          <w:tcPr>
            <w:tcW w:w="421" w:type="dxa"/>
            <w:tcBorders>
              <w:top w:val="single" w:sz="4" w:space="0" w:color="000000"/>
              <w:left w:val="single" w:sz="4" w:space="0" w:color="000000"/>
              <w:bottom w:val="single" w:sz="4" w:space="0" w:color="000000"/>
              <w:right w:val="single" w:sz="8" w:space="0" w:color="000000"/>
            </w:tcBorders>
            <w:shd w:val="clear" w:color="auto" w:fill="BFBFBF"/>
            <w:vAlign w:val="center"/>
          </w:tcPr>
          <w:p w:rsidR="00E8309B" w:rsidRDefault="009D0949">
            <w:pPr>
              <w:spacing w:after="0" w:line="259" w:lineRule="auto"/>
              <w:ind w:left="4" w:right="0" w:firstLine="0"/>
              <w:jc w:val="center"/>
            </w:pPr>
            <w:r>
              <w:rPr>
                <w:sz w:val="20"/>
              </w:rPr>
              <w:t xml:space="preserve"> </w:t>
            </w:r>
          </w:p>
        </w:tc>
        <w:tc>
          <w:tcPr>
            <w:tcW w:w="424" w:type="dxa"/>
            <w:tcBorders>
              <w:top w:val="single" w:sz="4" w:space="0" w:color="000000"/>
              <w:left w:val="single" w:sz="8" w:space="0" w:color="000000"/>
              <w:bottom w:val="single" w:sz="4" w:space="0" w:color="000000"/>
              <w:right w:val="single" w:sz="4" w:space="0" w:color="000000"/>
            </w:tcBorders>
            <w:vAlign w:val="center"/>
          </w:tcPr>
          <w:p w:rsidR="00E8309B" w:rsidRDefault="009D0949">
            <w:pPr>
              <w:spacing w:after="0" w:line="259" w:lineRule="auto"/>
              <w:ind w:left="4" w:right="0" w:firstLine="0"/>
              <w:jc w:val="center"/>
            </w:pPr>
            <w:r>
              <w:rPr>
                <w:sz w:val="20"/>
              </w:rPr>
              <w:t xml:space="preserve"> </w:t>
            </w:r>
          </w:p>
        </w:tc>
        <w:tc>
          <w:tcPr>
            <w:tcW w:w="421"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4" w:right="0" w:firstLine="0"/>
              <w:jc w:val="center"/>
            </w:pPr>
            <w:r>
              <w:rPr>
                <w:sz w:val="20"/>
              </w:rPr>
              <w:t xml:space="preserve"> </w:t>
            </w:r>
          </w:p>
        </w:tc>
        <w:tc>
          <w:tcPr>
            <w:tcW w:w="423"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5" w:right="0" w:firstLine="0"/>
              <w:jc w:val="center"/>
            </w:pPr>
            <w:r>
              <w:rPr>
                <w:sz w:val="20"/>
              </w:rPr>
              <w:t xml:space="preserve"> </w:t>
            </w:r>
          </w:p>
        </w:tc>
        <w:tc>
          <w:tcPr>
            <w:tcW w:w="420" w:type="dxa"/>
            <w:tcBorders>
              <w:top w:val="single" w:sz="4" w:space="0" w:color="000000"/>
              <w:left w:val="single" w:sz="4" w:space="0" w:color="000000"/>
              <w:bottom w:val="single" w:sz="4" w:space="0" w:color="000000"/>
              <w:right w:val="single" w:sz="8" w:space="0" w:color="000000"/>
            </w:tcBorders>
            <w:vAlign w:val="center"/>
          </w:tcPr>
          <w:p w:rsidR="00E8309B" w:rsidRDefault="009D0949">
            <w:pPr>
              <w:spacing w:after="0" w:line="259" w:lineRule="auto"/>
              <w:ind w:left="2" w:right="0" w:firstLine="0"/>
              <w:jc w:val="center"/>
            </w:pPr>
            <w:r>
              <w:rPr>
                <w:sz w:val="20"/>
              </w:rPr>
              <w:t xml:space="preserve"> </w:t>
            </w:r>
          </w:p>
        </w:tc>
        <w:tc>
          <w:tcPr>
            <w:tcW w:w="425" w:type="dxa"/>
            <w:tcBorders>
              <w:top w:val="single" w:sz="4" w:space="0" w:color="000000"/>
              <w:left w:val="single" w:sz="8" w:space="0" w:color="000000"/>
              <w:bottom w:val="single" w:sz="4" w:space="0" w:color="000000"/>
              <w:right w:val="single" w:sz="4" w:space="0" w:color="000000"/>
            </w:tcBorders>
            <w:vAlign w:val="center"/>
          </w:tcPr>
          <w:p w:rsidR="00E8309B" w:rsidRDefault="009D0949">
            <w:pPr>
              <w:spacing w:after="0" w:line="259" w:lineRule="auto"/>
              <w:ind w:left="2" w:right="0" w:firstLine="0"/>
              <w:jc w:val="center"/>
            </w:pPr>
            <w:r>
              <w:rPr>
                <w:sz w:val="20"/>
              </w:rPr>
              <w:t xml:space="preserve"> </w:t>
            </w:r>
          </w:p>
        </w:tc>
        <w:tc>
          <w:tcPr>
            <w:tcW w:w="422"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0" w:right="0" w:firstLine="0"/>
              <w:jc w:val="center"/>
            </w:pPr>
            <w:r>
              <w:rPr>
                <w:sz w:val="20"/>
              </w:rPr>
              <w:t xml:space="preserve"> </w:t>
            </w:r>
          </w:p>
        </w:tc>
        <w:tc>
          <w:tcPr>
            <w:tcW w:w="422"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0" w:right="0" w:firstLine="0"/>
              <w:jc w:val="center"/>
            </w:pPr>
            <w:r>
              <w:rPr>
                <w:sz w:val="20"/>
              </w:rPr>
              <w:t xml:space="preserve"> </w:t>
            </w:r>
          </w:p>
        </w:tc>
        <w:tc>
          <w:tcPr>
            <w:tcW w:w="420" w:type="dxa"/>
            <w:tcBorders>
              <w:top w:val="single" w:sz="4" w:space="0" w:color="000000"/>
              <w:left w:val="single" w:sz="4" w:space="0" w:color="000000"/>
              <w:bottom w:val="single" w:sz="4" w:space="0" w:color="000000"/>
              <w:right w:val="single" w:sz="8" w:space="0" w:color="000000"/>
            </w:tcBorders>
            <w:vAlign w:val="center"/>
          </w:tcPr>
          <w:p w:rsidR="00E8309B" w:rsidRDefault="009D0949">
            <w:pPr>
              <w:spacing w:after="0" w:line="259" w:lineRule="auto"/>
              <w:ind w:left="2" w:right="0" w:firstLine="0"/>
              <w:jc w:val="center"/>
            </w:pPr>
            <w:r>
              <w:rPr>
                <w:sz w:val="20"/>
              </w:rPr>
              <w:t xml:space="preserve"> </w:t>
            </w:r>
          </w:p>
        </w:tc>
      </w:tr>
      <w:tr w:rsidR="00E8309B">
        <w:trPr>
          <w:trHeight w:val="930"/>
        </w:trPr>
        <w:tc>
          <w:tcPr>
            <w:tcW w:w="427" w:type="dxa"/>
            <w:tcBorders>
              <w:top w:val="single" w:sz="4" w:space="0" w:color="000000"/>
              <w:left w:val="single" w:sz="8" w:space="0" w:color="000000"/>
              <w:bottom w:val="single" w:sz="4" w:space="0" w:color="000000"/>
              <w:right w:val="single" w:sz="8" w:space="0" w:color="000000"/>
            </w:tcBorders>
          </w:tcPr>
          <w:p w:rsidR="00E8309B" w:rsidRDefault="009D0949">
            <w:pPr>
              <w:spacing w:after="0" w:line="259" w:lineRule="auto"/>
              <w:ind w:left="0" w:right="51" w:firstLine="0"/>
              <w:jc w:val="right"/>
            </w:pPr>
            <w:r>
              <w:rPr>
                <w:sz w:val="20"/>
              </w:rPr>
              <w:t xml:space="preserve">6 </w:t>
            </w:r>
          </w:p>
        </w:tc>
        <w:tc>
          <w:tcPr>
            <w:tcW w:w="4123" w:type="dxa"/>
            <w:tcBorders>
              <w:top w:val="single" w:sz="4" w:space="0" w:color="000000"/>
              <w:left w:val="single" w:sz="8" w:space="0" w:color="000000"/>
              <w:bottom w:val="single" w:sz="4" w:space="0" w:color="000000"/>
              <w:right w:val="single" w:sz="8" w:space="0" w:color="000000"/>
            </w:tcBorders>
          </w:tcPr>
          <w:p w:rsidR="00E8309B" w:rsidRDefault="009D0949">
            <w:pPr>
              <w:spacing w:after="0" w:line="259" w:lineRule="auto"/>
              <w:ind w:left="0" w:right="0" w:firstLine="0"/>
              <w:jc w:val="left"/>
            </w:pPr>
            <w:r>
              <w:rPr>
                <w:sz w:val="20"/>
              </w:rPr>
              <w:t xml:space="preserve">Успостављање интероперабилности података Адресног регистра са подацима државних органа, организација и јединица локалне самоуправе </w:t>
            </w:r>
          </w:p>
        </w:tc>
        <w:tc>
          <w:tcPr>
            <w:tcW w:w="419" w:type="dxa"/>
            <w:tcBorders>
              <w:top w:val="single" w:sz="4" w:space="0" w:color="000000"/>
              <w:left w:val="single" w:sz="8"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1" w:right="0" w:firstLine="0"/>
              <w:jc w:val="center"/>
            </w:pPr>
            <w:r>
              <w:rPr>
                <w:sz w:val="20"/>
              </w:rPr>
              <w:t xml:space="preserve"> </w:t>
            </w:r>
          </w:p>
        </w:tc>
        <w:tc>
          <w:tcPr>
            <w:tcW w:w="421"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1" w:right="0" w:firstLine="0"/>
              <w:jc w:val="center"/>
            </w:pPr>
            <w:r>
              <w:rPr>
                <w:sz w:val="20"/>
              </w:rPr>
              <w:t xml:space="preserve"> </w:t>
            </w:r>
          </w:p>
        </w:tc>
        <w:tc>
          <w:tcPr>
            <w:tcW w:w="422"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2" w:right="0" w:firstLine="0"/>
              <w:jc w:val="center"/>
            </w:pPr>
            <w:r>
              <w:rPr>
                <w:sz w:val="20"/>
              </w:rPr>
              <w:t xml:space="preserve"> </w:t>
            </w:r>
          </w:p>
        </w:tc>
        <w:tc>
          <w:tcPr>
            <w:tcW w:w="421" w:type="dxa"/>
            <w:tcBorders>
              <w:top w:val="single" w:sz="4" w:space="0" w:color="000000"/>
              <w:left w:val="single" w:sz="4" w:space="0" w:color="000000"/>
              <w:bottom w:val="single" w:sz="4" w:space="0" w:color="000000"/>
              <w:right w:val="single" w:sz="8" w:space="0" w:color="000000"/>
            </w:tcBorders>
            <w:shd w:val="clear" w:color="auto" w:fill="BFBFBF"/>
            <w:vAlign w:val="center"/>
          </w:tcPr>
          <w:p w:rsidR="00E8309B" w:rsidRDefault="009D0949">
            <w:pPr>
              <w:spacing w:after="0" w:line="259" w:lineRule="auto"/>
              <w:ind w:left="4" w:right="0" w:firstLine="0"/>
              <w:jc w:val="center"/>
            </w:pPr>
            <w:r>
              <w:rPr>
                <w:sz w:val="20"/>
              </w:rPr>
              <w:t xml:space="preserve"> </w:t>
            </w:r>
          </w:p>
        </w:tc>
        <w:tc>
          <w:tcPr>
            <w:tcW w:w="424" w:type="dxa"/>
            <w:tcBorders>
              <w:top w:val="single" w:sz="4" w:space="0" w:color="000000"/>
              <w:left w:val="single" w:sz="8" w:space="0" w:color="000000"/>
              <w:bottom w:val="single" w:sz="4" w:space="0" w:color="000000"/>
              <w:right w:val="single" w:sz="4" w:space="0" w:color="000000"/>
            </w:tcBorders>
            <w:vAlign w:val="center"/>
          </w:tcPr>
          <w:p w:rsidR="00E8309B" w:rsidRDefault="009D0949">
            <w:pPr>
              <w:spacing w:after="0" w:line="259" w:lineRule="auto"/>
              <w:ind w:left="4" w:right="0" w:firstLine="0"/>
              <w:jc w:val="center"/>
            </w:pPr>
            <w:r>
              <w:rPr>
                <w:sz w:val="20"/>
              </w:rPr>
              <w:t xml:space="preserve"> </w:t>
            </w:r>
          </w:p>
        </w:tc>
        <w:tc>
          <w:tcPr>
            <w:tcW w:w="421"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4" w:right="0" w:firstLine="0"/>
              <w:jc w:val="center"/>
            </w:pPr>
            <w:r>
              <w:rPr>
                <w:sz w:val="20"/>
              </w:rPr>
              <w:t xml:space="preserve"> </w:t>
            </w:r>
          </w:p>
        </w:tc>
        <w:tc>
          <w:tcPr>
            <w:tcW w:w="423"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5" w:right="0" w:firstLine="0"/>
              <w:jc w:val="center"/>
            </w:pPr>
            <w:r>
              <w:rPr>
                <w:sz w:val="20"/>
              </w:rPr>
              <w:t xml:space="preserve"> </w:t>
            </w:r>
          </w:p>
        </w:tc>
        <w:tc>
          <w:tcPr>
            <w:tcW w:w="420" w:type="dxa"/>
            <w:tcBorders>
              <w:top w:val="single" w:sz="4" w:space="0" w:color="000000"/>
              <w:left w:val="single" w:sz="4" w:space="0" w:color="000000"/>
              <w:bottom w:val="single" w:sz="4" w:space="0" w:color="000000"/>
              <w:right w:val="single" w:sz="8" w:space="0" w:color="000000"/>
            </w:tcBorders>
            <w:vAlign w:val="center"/>
          </w:tcPr>
          <w:p w:rsidR="00E8309B" w:rsidRDefault="009D0949">
            <w:pPr>
              <w:spacing w:after="0" w:line="259" w:lineRule="auto"/>
              <w:ind w:left="2" w:right="0" w:firstLine="0"/>
              <w:jc w:val="center"/>
            </w:pPr>
            <w:r>
              <w:rPr>
                <w:sz w:val="20"/>
              </w:rPr>
              <w:t xml:space="preserve"> </w:t>
            </w:r>
          </w:p>
        </w:tc>
        <w:tc>
          <w:tcPr>
            <w:tcW w:w="425" w:type="dxa"/>
            <w:tcBorders>
              <w:top w:val="single" w:sz="4" w:space="0" w:color="000000"/>
              <w:left w:val="single" w:sz="8" w:space="0" w:color="000000"/>
              <w:bottom w:val="single" w:sz="4" w:space="0" w:color="000000"/>
              <w:right w:val="single" w:sz="4" w:space="0" w:color="000000"/>
            </w:tcBorders>
            <w:vAlign w:val="center"/>
          </w:tcPr>
          <w:p w:rsidR="00E8309B" w:rsidRDefault="009D0949">
            <w:pPr>
              <w:spacing w:after="0" w:line="259" w:lineRule="auto"/>
              <w:ind w:left="2" w:right="0" w:firstLine="0"/>
              <w:jc w:val="center"/>
            </w:pPr>
            <w:r>
              <w:rPr>
                <w:sz w:val="20"/>
              </w:rPr>
              <w:t xml:space="preserve"> </w:t>
            </w:r>
          </w:p>
        </w:tc>
        <w:tc>
          <w:tcPr>
            <w:tcW w:w="422"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0" w:right="0" w:firstLine="0"/>
              <w:jc w:val="center"/>
            </w:pPr>
            <w:r>
              <w:rPr>
                <w:sz w:val="20"/>
              </w:rPr>
              <w:t xml:space="preserve"> </w:t>
            </w:r>
          </w:p>
        </w:tc>
        <w:tc>
          <w:tcPr>
            <w:tcW w:w="422"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0" w:right="0" w:firstLine="0"/>
              <w:jc w:val="center"/>
            </w:pPr>
            <w:r>
              <w:rPr>
                <w:sz w:val="20"/>
              </w:rPr>
              <w:t xml:space="preserve"> </w:t>
            </w:r>
          </w:p>
        </w:tc>
        <w:tc>
          <w:tcPr>
            <w:tcW w:w="420" w:type="dxa"/>
            <w:tcBorders>
              <w:top w:val="single" w:sz="4" w:space="0" w:color="000000"/>
              <w:left w:val="single" w:sz="4" w:space="0" w:color="000000"/>
              <w:bottom w:val="single" w:sz="4" w:space="0" w:color="000000"/>
              <w:right w:val="single" w:sz="8" w:space="0" w:color="000000"/>
            </w:tcBorders>
            <w:vAlign w:val="center"/>
          </w:tcPr>
          <w:p w:rsidR="00E8309B" w:rsidRDefault="009D0949">
            <w:pPr>
              <w:spacing w:after="0" w:line="259" w:lineRule="auto"/>
              <w:ind w:left="2" w:right="0" w:firstLine="0"/>
              <w:jc w:val="center"/>
            </w:pPr>
            <w:r>
              <w:rPr>
                <w:sz w:val="20"/>
              </w:rPr>
              <w:t xml:space="preserve"> </w:t>
            </w:r>
          </w:p>
        </w:tc>
      </w:tr>
    </w:tbl>
    <w:p w:rsidR="00E8309B" w:rsidRDefault="009D0949">
      <w:pPr>
        <w:numPr>
          <w:ilvl w:val="0"/>
          <w:numId w:val="30"/>
        </w:numPr>
        <w:spacing w:after="0" w:line="271" w:lineRule="auto"/>
        <w:ind w:right="9" w:hanging="427"/>
      </w:pPr>
      <w:r>
        <w:rPr>
          <w:b/>
        </w:rPr>
        <w:t xml:space="preserve">Индикатори рeзултата </w:t>
      </w:r>
    </w:p>
    <w:tbl>
      <w:tblPr>
        <w:tblStyle w:val="TableGrid"/>
        <w:tblW w:w="9635" w:type="dxa"/>
        <w:tblInd w:w="5" w:type="dxa"/>
        <w:tblCellMar>
          <w:top w:w="10" w:type="dxa"/>
          <w:left w:w="110" w:type="dxa"/>
          <w:bottom w:w="0" w:type="dxa"/>
          <w:right w:w="56" w:type="dxa"/>
        </w:tblCellMar>
        <w:tblLook w:val="04A0" w:firstRow="1" w:lastRow="0" w:firstColumn="1" w:lastColumn="0" w:noHBand="0" w:noVBand="1"/>
      </w:tblPr>
      <w:tblGrid>
        <w:gridCol w:w="4107"/>
        <w:gridCol w:w="1841"/>
        <w:gridCol w:w="1844"/>
        <w:gridCol w:w="1843"/>
      </w:tblGrid>
      <w:tr w:rsidR="00E8309B">
        <w:trPr>
          <w:trHeight w:val="470"/>
        </w:trPr>
        <w:tc>
          <w:tcPr>
            <w:tcW w:w="4107"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0" w:right="0" w:firstLine="0"/>
              <w:jc w:val="left"/>
            </w:pPr>
            <w:r>
              <w:rPr>
                <w:b/>
                <w:sz w:val="20"/>
              </w:rPr>
              <w:t xml:space="preserve">Показатељ </w:t>
            </w:r>
          </w:p>
        </w:tc>
        <w:tc>
          <w:tcPr>
            <w:tcW w:w="1841"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44" w:right="48" w:firstLine="0"/>
              <w:jc w:val="right"/>
            </w:pPr>
            <w:r>
              <w:rPr>
                <w:b/>
                <w:sz w:val="20"/>
              </w:rPr>
              <w:t xml:space="preserve">Почетна вредност (2018) </w:t>
            </w:r>
          </w:p>
        </w:tc>
        <w:tc>
          <w:tcPr>
            <w:tcW w:w="1844"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48" w:firstLine="0"/>
              <w:jc w:val="right"/>
            </w:pPr>
            <w:r>
              <w:rPr>
                <w:b/>
                <w:sz w:val="20"/>
              </w:rPr>
              <w:t xml:space="preserve">Међурезултат (2020) </w:t>
            </w:r>
          </w:p>
        </w:tc>
        <w:tc>
          <w:tcPr>
            <w:tcW w:w="1843"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49" w:firstLine="0"/>
              <w:jc w:val="right"/>
            </w:pPr>
            <w:r>
              <w:rPr>
                <w:b/>
                <w:sz w:val="20"/>
              </w:rPr>
              <w:t xml:space="preserve">Циљна вредност (2022) </w:t>
            </w:r>
          </w:p>
        </w:tc>
      </w:tr>
      <w:tr w:rsidR="00E8309B">
        <w:trPr>
          <w:trHeight w:val="470"/>
        </w:trPr>
        <w:tc>
          <w:tcPr>
            <w:tcW w:w="4107"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0" w:firstLine="0"/>
            </w:pPr>
            <w:r>
              <w:rPr>
                <w:sz w:val="20"/>
              </w:rPr>
              <w:t xml:space="preserve">Усаглашеност података КН и података ЛПА на „пилот“ општинама </w:t>
            </w:r>
          </w:p>
        </w:tc>
        <w:tc>
          <w:tcPr>
            <w:tcW w:w="1841"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50" w:firstLine="0"/>
              <w:jc w:val="right"/>
            </w:pPr>
            <w:r>
              <w:rPr>
                <w:sz w:val="20"/>
              </w:rPr>
              <w:t xml:space="preserve">/ </w:t>
            </w:r>
          </w:p>
        </w:tc>
        <w:tc>
          <w:tcPr>
            <w:tcW w:w="1844" w:type="dxa"/>
            <w:tcBorders>
              <w:top w:val="single" w:sz="4" w:space="0" w:color="000000"/>
              <w:left w:val="single" w:sz="4" w:space="0" w:color="000000"/>
              <w:bottom w:val="single" w:sz="4" w:space="0" w:color="000000"/>
              <w:right w:val="single" w:sz="4" w:space="0" w:color="000000"/>
            </w:tcBorders>
          </w:tcPr>
          <w:p w:rsidR="00E8309B" w:rsidRDefault="009D0949">
            <w:pPr>
              <w:spacing w:after="19" w:line="259" w:lineRule="auto"/>
              <w:ind w:left="0" w:right="50" w:firstLine="0"/>
              <w:jc w:val="right"/>
            </w:pPr>
            <w:r>
              <w:rPr>
                <w:sz w:val="20"/>
              </w:rPr>
              <w:t xml:space="preserve">/ </w:t>
            </w:r>
          </w:p>
          <w:p w:rsidR="00E8309B" w:rsidRDefault="009D0949">
            <w:pPr>
              <w:spacing w:after="0" w:line="259" w:lineRule="auto"/>
              <w:ind w:left="0" w:right="51" w:firstLine="0"/>
              <w:jc w:val="right"/>
            </w:pPr>
            <w:r>
              <w:rPr>
                <w:sz w:val="20"/>
              </w:rPr>
              <w:t xml:space="preserve">(2. квартал 2020) </w:t>
            </w:r>
          </w:p>
        </w:tc>
        <w:tc>
          <w:tcPr>
            <w:tcW w:w="1843" w:type="dxa"/>
            <w:tcBorders>
              <w:top w:val="single" w:sz="4" w:space="0" w:color="000000"/>
              <w:left w:val="single" w:sz="4" w:space="0" w:color="000000"/>
              <w:bottom w:val="single" w:sz="4" w:space="0" w:color="000000"/>
              <w:right w:val="single" w:sz="4" w:space="0" w:color="000000"/>
            </w:tcBorders>
          </w:tcPr>
          <w:p w:rsidR="00E8309B" w:rsidRDefault="009D0949">
            <w:pPr>
              <w:spacing w:after="19" w:line="259" w:lineRule="auto"/>
              <w:ind w:left="0" w:right="47" w:firstLine="0"/>
              <w:jc w:val="right"/>
            </w:pPr>
            <w:r>
              <w:rPr>
                <w:sz w:val="20"/>
              </w:rPr>
              <w:t xml:space="preserve">100% </w:t>
            </w:r>
          </w:p>
          <w:p w:rsidR="00E8309B" w:rsidRDefault="009D0949">
            <w:pPr>
              <w:spacing w:after="0" w:line="259" w:lineRule="auto"/>
              <w:ind w:left="0" w:right="50" w:firstLine="0"/>
              <w:jc w:val="right"/>
            </w:pPr>
            <w:r>
              <w:rPr>
                <w:sz w:val="20"/>
              </w:rPr>
              <w:t xml:space="preserve">(2. квартал 2022) </w:t>
            </w:r>
          </w:p>
        </w:tc>
      </w:tr>
      <w:tr w:rsidR="00E8309B">
        <w:trPr>
          <w:trHeight w:val="468"/>
        </w:trPr>
        <w:tc>
          <w:tcPr>
            <w:tcW w:w="4107"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0" w:firstLine="0"/>
              <w:jc w:val="left"/>
            </w:pPr>
            <w:r>
              <w:rPr>
                <w:sz w:val="20"/>
              </w:rPr>
              <w:t>Број ЈЛС у којима је ажуриран Адресни регистар</w:t>
            </w:r>
            <w:r>
              <w:rPr>
                <w:b/>
                <w:sz w:val="20"/>
              </w:rPr>
              <w:t xml:space="preserve"> </w:t>
            </w:r>
          </w:p>
        </w:tc>
        <w:tc>
          <w:tcPr>
            <w:tcW w:w="1841"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49" w:firstLine="0"/>
              <w:jc w:val="right"/>
            </w:pPr>
            <w:r>
              <w:rPr>
                <w:sz w:val="20"/>
              </w:rPr>
              <w:t xml:space="preserve">19 (12%) </w:t>
            </w:r>
          </w:p>
        </w:tc>
        <w:tc>
          <w:tcPr>
            <w:tcW w:w="1844" w:type="dxa"/>
            <w:tcBorders>
              <w:top w:val="single" w:sz="4" w:space="0" w:color="000000"/>
              <w:left w:val="single" w:sz="4" w:space="0" w:color="000000"/>
              <w:bottom w:val="single" w:sz="4" w:space="0" w:color="000000"/>
              <w:right w:val="single" w:sz="4" w:space="0" w:color="000000"/>
            </w:tcBorders>
          </w:tcPr>
          <w:p w:rsidR="00E8309B" w:rsidRDefault="009D0949">
            <w:pPr>
              <w:spacing w:after="17" w:line="259" w:lineRule="auto"/>
              <w:ind w:left="0" w:right="50" w:firstLine="0"/>
              <w:jc w:val="right"/>
            </w:pPr>
            <w:r>
              <w:rPr>
                <w:sz w:val="20"/>
              </w:rPr>
              <w:t xml:space="preserve">87 (54%) </w:t>
            </w:r>
          </w:p>
          <w:p w:rsidR="00E8309B" w:rsidRDefault="009D0949">
            <w:pPr>
              <w:spacing w:after="0" w:line="259" w:lineRule="auto"/>
              <w:ind w:left="0" w:right="50" w:firstLine="0"/>
              <w:jc w:val="right"/>
            </w:pPr>
            <w:r>
              <w:rPr>
                <w:sz w:val="20"/>
              </w:rPr>
              <w:t xml:space="preserve">(2. квартал 2020) </w:t>
            </w:r>
          </w:p>
        </w:tc>
        <w:tc>
          <w:tcPr>
            <w:tcW w:w="1843"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1095" w:right="0" w:hanging="418"/>
              <w:jc w:val="left"/>
            </w:pPr>
            <w:r>
              <w:rPr>
                <w:sz w:val="20"/>
              </w:rPr>
              <w:t xml:space="preserve">161 (100%) (2021) </w:t>
            </w:r>
          </w:p>
        </w:tc>
      </w:tr>
      <w:tr w:rsidR="00E8309B">
        <w:trPr>
          <w:trHeight w:val="470"/>
        </w:trPr>
        <w:tc>
          <w:tcPr>
            <w:tcW w:w="4107"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0" w:firstLine="0"/>
              <w:jc w:val="left"/>
            </w:pPr>
            <w:r>
              <w:rPr>
                <w:sz w:val="20"/>
              </w:rPr>
              <w:t>Број доступних сервиса НИГП-а</w:t>
            </w:r>
            <w:r>
              <w:rPr>
                <w:b/>
                <w:sz w:val="20"/>
              </w:rPr>
              <w:t xml:space="preserve"> </w:t>
            </w:r>
          </w:p>
        </w:tc>
        <w:tc>
          <w:tcPr>
            <w:tcW w:w="1841"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49" w:firstLine="0"/>
              <w:jc w:val="right"/>
            </w:pPr>
            <w:r>
              <w:rPr>
                <w:sz w:val="20"/>
              </w:rPr>
              <w:t>30</w:t>
            </w:r>
            <w:r>
              <w:rPr>
                <w:b/>
                <w:sz w:val="20"/>
              </w:rPr>
              <w:t xml:space="preserve"> </w:t>
            </w:r>
          </w:p>
        </w:tc>
        <w:tc>
          <w:tcPr>
            <w:tcW w:w="1844" w:type="dxa"/>
            <w:tcBorders>
              <w:top w:val="single" w:sz="4" w:space="0" w:color="000000"/>
              <w:left w:val="single" w:sz="4" w:space="0" w:color="000000"/>
              <w:bottom w:val="single" w:sz="4" w:space="0" w:color="000000"/>
              <w:right w:val="single" w:sz="4" w:space="0" w:color="000000"/>
            </w:tcBorders>
          </w:tcPr>
          <w:p w:rsidR="00E8309B" w:rsidRDefault="009D0949">
            <w:pPr>
              <w:spacing w:after="19" w:line="259" w:lineRule="auto"/>
              <w:ind w:left="0" w:right="49" w:firstLine="0"/>
              <w:jc w:val="right"/>
            </w:pPr>
            <w:r>
              <w:rPr>
                <w:sz w:val="20"/>
              </w:rPr>
              <w:t xml:space="preserve">39 </w:t>
            </w:r>
          </w:p>
          <w:p w:rsidR="00E8309B" w:rsidRDefault="009D0949">
            <w:pPr>
              <w:spacing w:after="0" w:line="259" w:lineRule="auto"/>
              <w:ind w:left="0" w:right="51" w:firstLine="0"/>
              <w:jc w:val="right"/>
            </w:pPr>
            <w:r>
              <w:rPr>
                <w:sz w:val="20"/>
              </w:rPr>
              <w:t>(3. квартал 2020)</w:t>
            </w:r>
            <w:r>
              <w:rPr>
                <w:b/>
                <w:sz w:val="20"/>
              </w:rPr>
              <w:t xml:space="preserve"> </w:t>
            </w:r>
          </w:p>
        </w:tc>
        <w:tc>
          <w:tcPr>
            <w:tcW w:w="1843"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49" w:firstLine="0"/>
              <w:jc w:val="right"/>
            </w:pPr>
            <w:r>
              <w:rPr>
                <w:sz w:val="20"/>
              </w:rPr>
              <w:t xml:space="preserve">45 </w:t>
            </w:r>
          </w:p>
          <w:p w:rsidR="00E8309B" w:rsidRDefault="009D0949">
            <w:pPr>
              <w:spacing w:after="0" w:line="259" w:lineRule="auto"/>
              <w:ind w:left="0" w:right="0" w:firstLine="0"/>
              <w:jc w:val="right"/>
            </w:pPr>
            <w:r>
              <w:rPr>
                <w:b/>
                <w:sz w:val="20"/>
              </w:rPr>
              <w:t xml:space="preserve"> </w:t>
            </w:r>
          </w:p>
        </w:tc>
      </w:tr>
      <w:tr w:rsidR="00E8309B">
        <w:trPr>
          <w:trHeight w:val="701"/>
        </w:trPr>
        <w:tc>
          <w:tcPr>
            <w:tcW w:w="4107"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0" w:firstLine="0"/>
              <w:jc w:val="left"/>
            </w:pPr>
            <w:r>
              <w:rPr>
                <w:sz w:val="20"/>
              </w:rPr>
              <w:t xml:space="preserve">Број доступних сетова података </w:t>
            </w:r>
          </w:p>
        </w:tc>
        <w:tc>
          <w:tcPr>
            <w:tcW w:w="1841"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49" w:firstLine="0"/>
              <w:jc w:val="right"/>
            </w:pPr>
            <w:r>
              <w:rPr>
                <w:sz w:val="20"/>
              </w:rPr>
              <w:t xml:space="preserve">205 </w:t>
            </w:r>
          </w:p>
        </w:tc>
        <w:tc>
          <w:tcPr>
            <w:tcW w:w="1844" w:type="dxa"/>
            <w:tcBorders>
              <w:top w:val="single" w:sz="4" w:space="0" w:color="000000"/>
              <w:left w:val="single" w:sz="4" w:space="0" w:color="000000"/>
              <w:bottom w:val="single" w:sz="4" w:space="0" w:color="000000"/>
              <w:right w:val="single" w:sz="4" w:space="0" w:color="000000"/>
            </w:tcBorders>
          </w:tcPr>
          <w:p w:rsidR="00E8309B" w:rsidRDefault="009D0949">
            <w:pPr>
              <w:spacing w:after="19" w:line="259" w:lineRule="auto"/>
              <w:ind w:left="0" w:right="49" w:firstLine="0"/>
              <w:jc w:val="right"/>
            </w:pPr>
            <w:r>
              <w:rPr>
                <w:sz w:val="20"/>
              </w:rPr>
              <w:t xml:space="preserve">285 </w:t>
            </w:r>
          </w:p>
          <w:p w:rsidR="00E8309B" w:rsidRDefault="009D0949">
            <w:pPr>
              <w:spacing w:after="0" w:line="259" w:lineRule="auto"/>
              <w:ind w:left="0" w:right="51" w:firstLine="0"/>
              <w:jc w:val="right"/>
            </w:pPr>
            <w:r>
              <w:rPr>
                <w:sz w:val="20"/>
              </w:rPr>
              <w:t xml:space="preserve">(3. квартал 2020) </w:t>
            </w:r>
          </w:p>
        </w:tc>
        <w:tc>
          <w:tcPr>
            <w:tcW w:w="1843"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156" w:right="50" w:firstLine="114"/>
              <w:jc w:val="right"/>
            </w:pPr>
            <w:r>
              <w:rPr>
                <w:b/>
                <w:sz w:val="20"/>
              </w:rPr>
              <w:t xml:space="preserve">‒ </w:t>
            </w:r>
            <w:r>
              <w:rPr>
                <w:sz w:val="20"/>
              </w:rPr>
              <w:t>(циљ за 2022. је остварен у 2020.)</w:t>
            </w:r>
            <w:r>
              <w:rPr>
                <w:b/>
                <w:sz w:val="20"/>
              </w:rPr>
              <w:t xml:space="preserve"> </w:t>
            </w:r>
          </w:p>
        </w:tc>
      </w:tr>
    </w:tbl>
    <w:p w:rsidR="00E8309B" w:rsidRDefault="009D0949">
      <w:pPr>
        <w:numPr>
          <w:ilvl w:val="0"/>
          <w:numId w:val="30"/>
        </w:numPr>
        <w:spacing w:after="79" w:line="271" w:lineRule="auto"/>
        <w:ind w:right="9" w:hanging="427"/>
      </w:pPr>
      <w:r>
        <w:rPr>
          <w:b/>
        </w:rPr>
        <w:t xml:space="preserve">Очекивани утицај на конкурентност </w:t>
      </w:r>
    </w:p>
    <w:p w:rsidR="00E8309B" w:rsidRDefault="009D0949">
      <w:pPr>
        <w:ind w:left="-5" w:right="17"/>
      </w:pPr>
      <w:r>
        <w:t>Кроз подстицаје ефикаснијег инвестиционог одлучивања, доступност информација и високо технолошких решења научном сектору и привреди, НИГП индиректно утиче на повећање БДП-а. Развој система масовне процене вредности непокретности подразумева регистрацију св</w:t>
      </w:r>
      <w:r>
        <w:t>их промета непокретности, развој модела за масовну процену вредности непокретности и увођење у евиденцију свих непокретности на територији Србије, те се очекује раст БДП на основу  повећања наплате пореза на имовину, али и индиректно кроз смањење цене капи</w:t>
      </w:r>
      <w:r>
        <w:t xml:space="preserve">тала и лакше добијање инвестиционих зајмова за привреду. </w:t>
      </w:r>
    </w:p>
    <w:p w:rsidR="00E8309B" w:rsidRDefault="009D0949">
      <w:pPr>
        <w:spacing w:after="36" w:line="259" w:lineRule="auto"/>
        <w:ind w:left="0" w:right="0" w:firstLine="0"/>
        <w:jc w:val="left"/>
      </w:pPr>
      <w:r>
        <w:t xml:space="preserve"> </w:t>
      </w:r>
    </w:p>
    <w:p w:rsidR="00E8309B" w:rsidRDefault="009D0949">
      <w:pPr>
        <w:spacing w:after="36" w:line="259" w:lineRule="auto"/>
        <w:ind w:left="0" w:right="0" w:firstLine="0"/>
        <w:jc w:val="left"/>
      </w:pPr>
      <w:r>
        <w:t xml:space="preserve"> </w:t>
      </w:r>
    </w:p>
    <w:p w:rsidR="00E8309B" w:rsidRDefault="009D0949">
      <w:pPr>
        <w:spacing w:after="0" w:line="259" w:lineRule="auto"/>
        <w:ind w:left="0" w:right="0" w:firstLine="0"/>
        <w:jc w:val="left"/>
      </w:pPr>
      <w:r>
        <w:t xml:space="preserve"> </w:t>
      </w:r>
    </w:p>
    <w:p w:rsidR="00E8309B" w:rsidRDefault="009D0949">
      <w:pPr>
        <w:numPr>
          <w:ilvl w:val="0"/>
          <w:numId w:val="30"/>
        </w:numPr>
        <w:spacing w:after="79" w:line="271" w:lineRule="auto"/>
        <w:ind w:right="9" w:hanging="427"/>
      </w:pPr>
      <w:r>
        <w:rPr>
          <w:b/>
        </w:rPr>
        <w:t xml:space="preserve">Процењени трошкови спровођења структурне реформе и предвиђени извори њиховог финансирања </w:t>
      </w:r>
    </w:p>
    <w:p w:rsidR="00E8309B" w:rsidRDefault="009D0949">
      <w:pPr>
        <w:ind w:left="-5" w:right="17"/>
      </w:pPr>
      <w:r>
        <w:t>Процењени трошкови спровођења реформе</w:t>
      </w:r>
      <w:r>
        <w:rPr>
          <w:vertAlign w:val="superscript"/>
        </w:rPr>
        <w:footnoteReference w:id="40"/>
      </w:r>
      <w:r>
        <w:t xml:space="preserve"> се односе на период 2021-</w:t>
      </w:r>
      <w:r>
        <w:t xml:space="preserve">2022. година, с обзиром да је планирано да се реформа заврши у 2022. години, и укупно износе 5.223.560 евра. Највећим делом трошкови се финансирају из кредита Светске банке, а делом из буџета РС и делом из донација.   </w:t>
      </w:r>
    </w:p>
    <w:p w:rsidR="00E8309B" w:rsidRDefault="009D0949">
      <w:pPr>
        <w:ind w:left="-5" w:right="17"/>
      </w:pPr>
      <w:r>
        <w:t>Процењени трошкови за 2021. годину од</w:t>
      </w:r>
      <w:r>
        <w:t xml:space="preserve"> 2.823.560 евра односе се на: додатно запошљавање државних службеника на ажурирању адресног регистра; ангажовање страних консултаната на доношењу подзаконских аката из области НИГП-а; развој и доступност нових сервиса геопросторних података; ангажовање кон</w:t>
      </w:r>
      <w:r>
        <w:t>султаната на прикупљању, уносу и контроли података за масовну процену вредности непокретности, координацији рада и имплементацији система у пилот општинама, као и тестирање развијеног система масовне процене вредности непокретности. Извори финансирања за п</w:t>
      </w:r>
      <w:r>
        <w:t xml:space="preserve">роцењене трошкове су: буџет РС, кредит Светске банке и донација Европскe унијe у оквиру PLAC 3 пројекта. </w:t>
      </w:r>
    </w:p>
    <w:p w:rsidR="00E8309B" w:rsidRDefault="009D0949">
      <w:pPr>
        <w:spacing w:after="162"/>
        <w:ind w:left="-5" w:right="17"/>
      </w:pPr>
      <w:r>
        <w:t>Процењени трошкови за 2022. годину од 2,4 милиона евра односе се на: наставак развоја и доступности нових сервиса геопросторних података; наставак анг</w:t>
      </w:r>
      <w:r>
        <w:t>ажовања консултаната на уносу и контроли података за масовну процену вредности непокретности, координацији рада и имплементацији система у пилот општинама, као и тестирање развијеног система масовне процене вредности непокретности. Извор финансирања за про</w:t>
      </w:r>
      <w:r>
        <w:t>цењене трошкове у 2022. години је кредит Светске банке.</w:t>
      </w:r>
      <w:r>
        <w:rPr>
          <w:i/>
        </w:rPr>
        <w:t xml:space="preserve"> </w:t>
      </w:r>
    </w:p>
    <w:p w:rsidR="00E8309B" w:rsidRDefault="009D0949">
      <w:pPr>
        <w:numPr>
          <w:ilvl w:val="0"/>
          <w:numId w:val="30"/>
        </w:numPr>
        <w:spacing w:after="123" w:line="271" w:lineRule="auto"/>
        <w:ind w:right="9" w:hanging="427"/>
      </w:pPr>
      <w:r>
        <w:rPr>
          <w:b/>
        </w:rPr>
        <w:t xml:space="preserve">Очекивани утицај на социјалне циљеве, као што су запосленост, смањење сиромаштва, једнакост и род </w:t>
      </w:r>
    </w:p>
    <w:p w:rsidR="00E8309B" w:rsidRDefault="009D0949">
      <w:pPr>
        <w:spacing w:after="98"/>
        <w:ind w:left="-5" w:right="17"/>
      </w:pPr>
      <w:r>
        <w:t>Квалитетни и приступачни геоподаци у оквиру НИГП-а доприносе економском развоју земље и процене су д</w:t>
      </w:r>
      <w:r>
        <w:t>а могу утицати на раст БДП за 2%, а у појединим секторима могу увећати продуктивност и до 15 %, чиме се утиче на смањење сиромаштва и повећање запослености. Развојем система масовне процене вредности непокретности, уз увођење свих непокретности на територи</w:t>
      </w:r>
      <w:r>
        <w:t>ји РС у евиденцију, биће створени услови за опорезивање свих непокретности уписаних у регистар доследније економској моћи пореских обвезника, имајући у виду да се врши применом већег броја корективних елемената од утицаја на вредност непокретности – за неп</w:t>
      </w:r>
      <w:r>
        <w:t>окретности које се обухватају масовном проценом. На тај начин се може очекивати већа наплата јавних прихода од пореза, већа једнакост у погледу пореских обавеза у вези са имовином, што ће посредно омогућити значајнија социјална издавања и утицати на оствар</w:t>
      </w:r>
      <w:r>
        <w:t xml:space="preserve">ивање дефинисаних социјалних циљева. Не очекује се ефекат на родни аспект. </w:t>
      </w:r>
    </w:p>
    <w:p w:rsidR="00E8309B" w:rsidRDefault="009D0949">
      <w:pPr>
        <w:numPr>
          <w:ilvl w:val="0"/>
          <w:numId w:val="30"/>
        </w:numPr>
        <w:spacing w:after="79" w:line="271" w:lineRule="auto"/>
        <w:ind w:right="9" w:hanging="427"/>
      </w:pPr>
      <w:r>
        <w:rPr>
          <w:b/>
        </w:rPr>
        <w:t xml:space="preserve">Очекивани утицај на животну средину </w:t>
      </w:r>
    </w:p>
    <w:p w:rsidR="00E8309B" w:rsidRDefault="009D0949">
      <w:pPr>
        <w:spacing w:after="157"/>
        <w:ind w:left="-5" w:right="17"/>
      </w:pPr>
      <w:r>
        <w:t>Успостављање НИГП-а ће олакшати приступ информацијама о животној средини, тако што ће осигурати јавни приступ и уклонити препреке за размену по</w:t>
      </w:r>
      <w:r>
        <w:t>датака између органа јавне власти. Омогућена размена података ће допринети бржем реаговању надлежних органа у случајевима елементарних непогода. У области инфраструктуре геопросторних података спроводи се Национална стратегија за апроксимацију у области за</w:t>
      </w:r>
      <w:r>
        <w:t xml:space="preserve">штите животне средине за Републику Србију (септембар 2011.). </w:t>
      </w:r>
    </w:p>
    <w:p w:rsidR="00E8309B" w:rsidRDefault="009D0949">
      <w:pPr>
        <w:numPr>
          <w:ilvl w:val="0"/>
          <w:numId w:val="30"/>
        </w:numPr>
        <w:spacing w:after="0" w:line="271" w:lineRule="auto"/>
        <w:ind w:right="9" w:hanging="427"/>
      </w:pPr>
      <w:r>
        <w:rPr>
          <w:b/>
        </w:rPr>
        <w:t xml:space="preserve">Потенцијални ризици </w:t>
      </w:r>
    </w:p>
    <w:tbl>
      <w:tblPr>
        <w:tblStyle w:val="TableGrid"/>
        <w:tblW w:w="9696" w:type="dxa"/>
        <w:tblInd w:w="0" w:type="dxa"/>
        <w:tblCellMar>
          <w:top w:w="46" w:type="dxa"/>
          <w:left w:w="108" w:type="dxa"/>
          <w:bottom w:w="0" w:type="dxa"/>
          <w:right w:w="81" w:type="dxa"/>
        </w:tblCellMar>
        <w:tblLook w:val="04A0" w:firstRow="1" w:lastRow="0" w:firstColumn="1" w:lastColumn="0" w:noHBand="0" w:noVBand="1"/>
      </w:tblPr>
      <w:tblGrid>
        <w:gridCol w:w="3330"/>
        <w:gridCol w:w="2201"/>
        <w:gridCol w:w="4165"/>
      </w:tblGrid>
      <w:tr w:rsidR="00E8309B">
        <w:trPr>
          <w:trHeight w:val="470"/>
        </w:trPr>
        <w:tc>
          <w:tcPr>
            <w:tcW w:w="3330"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0" w:right="0" w:firstLine="0"/>
              <w:jc w:val="left"/>
            </w:pPr>
            <w:r>
              <w:rPr>
                <w:b/>
                <w:sz w:val="20"/>
              </w:rPr>
              <w:t xml:space="preserve">Ризик </w:t>
            </w:r>
          </w:p>
        </w:tc>
        <w:tc>
          <w:tcPr>
            <w:tcW w:w="2201"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2" w:right="0" w:firstLine="0"/>
              <w:jc w:val="left"/>
            </w:pPr>
            <w:r>
              <w:rPr>
                <w:b/>
                <w:sz w:val="20"/>
              </w:rPr>
              <w:t xml:space="preserve">Вероватноћа за остваривање ризика </w:t>
            </w:r>
          </w:p>
        </w:tc>
        <w:tc>
          <w:tcPr>
            <w:tcW w:w="4165"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0" w:firstLine="0"/>
              <w:jc w:val="left"/>
            </w:pPr>
            <w:r>
              <w:rPr>
                <w:b/>
                <w:sz w:val="20"/>
              </w:rPr>
              <w:t xml:space="preserve">Активност за ублажавање негативних ефеката ризика </w:t>
            </w:r>
          </w:p>
        </w:tc>
      </w:tr>
      <w:tr w:rsidR="00E8309B">
        <w:trPr>
          <w:trHeight w:val="701"/>
        </w:trPr>
        <w:tc>
          <w:tcPr>
            <w:tcW w:w="3330"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0" w:firstLine="0"/>
              <w:jc w:val="left"/>
            </w:pPr>
            <w:r>
              <w:rPr>
                <w:sz w:val="20"/>
              </w:rPr>
              <w:t xml:space="preserve">Центар за УГП није у потпуности кадровски оформљен </w:t>
            </w:r>
          </w:p>
        </w:tc>
        <w:tc>
          <w:tcPr>
            <w:tcW w:w="2201"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2" w:right="0" w:firstLine="0"/>
              <w:jc w:val="left"/>
            </w:pPr>
            <w:r>
              <w:rPr>
                <w:sz w:val="20"/>
              </w:rPr>
              <w:t xml:space="preserve">Средња </w:t>
            </w:r>
          </w:p>
        </w:tc>
        <w:tc>
          <w:tcPr>
            <w:tcW w:w="4165"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0" w:firstLine="0"/>
              <w:jc w:val="left"/>
            </w:pPr>
            <w:r>
              <w:rPr>
                <w:sz w:val="20"/>
              </w:rPr>
              <w:t xml:space="preserve">Накнадно ће се расписати конкурс за попуњавање преосталих радних места; Ангажовање кадрова по основу уговора </w:t>
            </w:r>
          </w:p>
        </w:tc>
      </w:tr>
      <w:tr w:rsidR="00E8309B">
        <w:trPr>
          <w:trHeight w:val="699"/>
        </w:trPr>
        <w:tc>
          <w:tcPr>
            <w:tcW w:w="3330"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0" w:firstLine="0"/>
              <w:jc w:val="left"/>
            </w:pPr>
            <w:r>
              <w:rPr>
                <w:sz w:val="20"/>
              </w:rPr>
              <w:t xml:space="preserve">Комуникација са општинском </w:t>
            </w:r>
          </w:p>
          <w:p w:rsidR="00E8309B" w:rsidRDefault="009D0949">
            <w:pPr>
              <w:spacing w:after="0" w:line="259" w:lineRule="auto"/>
              <w:ind w:left="0" w:right="0" w:firstLine="0"/>
              <w:jc w:val="left"/>
            </w:pPr>
            <w:r>
              <w:rPr>
                <w:sz w:val="20"/>
              </w:rPr>
              <w:t xml:space="preserve">управом и недостатак </w:t>
            </w:r>
          </w:p>
          <w:p w:rsidR="00E8309B" w:rsidRDefault="009D0949">
            <w:pPr>
              <w:spacing w:after="0" w:line="259" w:lineRule="auto"/>
              <w:ind w:left="0" w:right="0" w:firstLine="0"/>
              <w:jc w:val="left"/>
            </w:pPr>
            <w:r>
              <w:rPr>
                <w:sz w:val="20"/>
              </w:rPr>
              <w:t xml:space="preserve">одговарајућих података неопходних </w:t>
            </w:r>
          </w:p>
        </w:tc>
        <w:tc>
          <w:tcPr>
            <w:tcW w:w="2201"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2" w:right="0" w:firstLine="0"/>
              <w:jc w:val="left"/>
            </w:pPr>
            <w:r>
              <w:rPr>
                <w:sz w:val="20"/>
              </w:rPr>
              <w:t>Средња</w:t>
            </w:r>
            <w:r>
              <w:rPr>
                <w:b/>
                <w:sz w:val="20"/>
              </w:rPr>
              <w:t xml:space="preserve"> </w:t>
            </w:r>
          </w:p>
        </w:tc>
        <w:tc>
          <w:tcPr>
            <w:tcW w:w="4165"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0" w:firstLine="0"/>
              <w:jc w:val="left"/>
            </w:pPr>
            <w:r>
              <w:rPr>
                <w:sz w:val="20"/>
              </w:rPr>
              <w:t xml:space="preserve">Имплементација катастарске идентификације непокретности у систем локалних пореских администрација; </w:t>
            </w:r>
          </w:p>
        </w:tc>
      </w:tr>
      <w:tr w:rsidR="00E8309B">
        <w:trPr>
          <w:trHeight w:val="548"/>
        </w:trPr>
        <w:tc>
          <w:tcPr>
            <w:tcW w:w="3330"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0" w:firstLine="0"/>
              <w:jc w:val="left"/>
            </w:pPr>
            <w:r>
              <w:rPr>
                <w:sz w:val="20"/>
              </w:rPr>
              <w:t>за успешну реализацију пилот пројекта</w:t>
            </w:r>
            <w:r>
              <w:rPr>
                <w:b/>
                <w:sz w:val="20"/>
              </w:rPr>
              <w:t xml:space="preserve"> </w:t>
            </w:r>
          </w:p>
        </w:tc>
        <w:tc>
          <w:tcPr>
            <w:tcW w:w="2201" w:type="dxa"/>
            <w:tcBorders>
              <w:top w:val="single" w:sz="4" w:space="0" w:color="000000"/>
              <w:left w:val="single" w:sz="4" w:space="0" w:color="000000"/>
              <w:bottom w:val="single" w:sz="4" w:space="0" w:color="000000"/>
              <w:right w:val="single" w:sz="4" w:space="0" w:color="000000"/>
            </w:tcBorders>
          </w:tcPr>
          <w:p w:rsidR="00E8309B" w:rsidRDefault="00E8309B">
            <w:pPr>
              <w:spacing w:after="160" w:line="259" w:lineRule="auto"/>
              <w:ind w:left="0" w:right="0" w:firstLine="0"/>
              <w:jc w:val="left"/>
            </w:pPr>
          </w:p>
        </w:tc>
        <w:tc>
          <w:tcPr>
            <w:tcW w:w="4165"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0" w:firstLine="0"/>
              <w:jc w:val="left"/>
            </w:pPr>
            <w:r>
              <w:rPr>
                <w:sz w:val="20"/>
              </w:rPr>
              <w:t>Иницијатива за обезбеђење и ажурирање података.</w:t>
            </w:r>
            <w:r>
              <w:rPr>
                <w:b/>
                <w:sz w:val="20"/>
              </w:rPr>
              <w:t xml:space="preserve"> </w:t>
            </w:r>
          </w:p>
        </w:tc>
      </w:tr>
      <w:tr w:rsidR="00E8309B">
        <w:trPr>
          <w:trHeight w:val="1850"/>
        </w:trPr>
        <w:tc>
          <w:tcPr>
            <w:tcW w:w="3330"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0" w:firstLine="0"/>
              <w:jc w:val="left"/>
            </w:pPr>
            <w:r>
              <w:rPr>
                <w:sz w:val="20"/>
              </w:rPr>
              <w:t xml:space="preserve">Ризик за развој прототипа система масовне процене вредности непокретности: комуникација између више ИТ система преко сервиса; условљеност развоја повезаних ИТ система и недовољан капацитет за целокупан развој методологије и система </w:t>
            </w:r>
          </w:p>
        </w:tc>
        <w:tc>
          <w:tcPr>
            <w:tcW w:w="2201"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2" w:right="0" w:firstLine="0"/>
              <w:jc w:val="left"/>
            </w:pPr>
            <w:r>
              <w:rPr>
                <w:sz w:val="20"/>
              </w:rPr>
              <w:t xml:space="preserve">Средња </w:t>
            </w:r>
          </w:p>
        </w:tc>
        <w:tc>
          <w:tcPr>
            <w:tcW w:w="4165"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0" w:firstLine="0"/>
              <w:jc w:val="left"/>
            </w:pPr>
            <w:r>
              <w:rPr>
                <w:sz w:val="20"/>
              </w:rPr>
              <w:t>Формирање радне</w:t>
            </w:r>
            <w:r>
              <w:rPr>
                <w:sz w:val="20"/>
              </w:rPr>
              <w:t xml:space="preserve"> групе и организовање сталног праћења извршавања развојних активности; утврђивање рокова за повезане активности и адекватне обуке за људске ресурсе у различитим областима </w:t>
            </w:r>
          </w:p>
        </w:tc>
      </w:tr>
      <w:tr w:rsidR="00E8309B">
        <w:trPr>
          <w:trHeight w:val="2309"/>
        </w:trPr>
        <w:tc>
          <w:tcPr>
            <w:tcW w:w="3330"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0" w:firstLine="0"/>
              <w:jc w:val="left"/>
            </w:pPr>
            <w:r>
              <w:rPr>
                <w:sz w:val="20"/>
              </w:rPr>
              <w:t>Неблаговремено поступање јединица локалне самоуправе у именовању, доношењу одлуке о</w:t>
            </w:r>
            <w:r>
              <w:rPr>
                <w:sz w:val="20"/>
              </w:rPr>
              <w:t xml:space="preserve"> називима нових улица и враћању информације РГЗ ради израде Елабората нумерације – пренумерације кућних бројева </w:t>
            </w:r>
          </w:p>
        </w:tc>
        <w:tc>
          <w:tcPr>
            <w:tcW w:w="2201"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2" w:right="0" w:firstLine="0"/>
              <w:jc w:val="left"/>
            </w:pPr>
            <w:r>
              <w:rPr>
                <w:sz w:val="20"/>
              </w:rPr>
              <w:t xml:space="preserve">Висока </w:t>
            </w:r>
          </w:p>
        </w:tc>
        <w:tc>
          <w:tcPr>
            <w:tcW w:w="4165"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0" w:firstLine="0"/>
              <w:jc w:val="left"/>
            </w:pPr>
            <w:r>
              <w:rPr>
                <w:sz w:val="20"/>
              </w:rPr>
              <w:t>Сви актери укључени у пројекат дужни су да редовно достављају извештаје РГЗ о тренутном статусу и свом напредовању, као и на посебан захтев Координационог тела за унапређење Адресног регистра које је формирала Влада РС. РГЗ је надлежан за даље достављање о</w:t>
            </w:r>
            <w:r>
              <w:rPr>
                <w:sz w:val="20"/>
              </w:rPr>
              <w:t xml:space="preserve">бједињеног недељног извештаја Радној групи за праћење реализације пројекта адресног регистра, који се објављује на сајту МДУЛС </w:t>
            </w:r>
          </w:p>
        </w:tc>
      </w:tr>
      <w:tr w:rsidR="00E8309B">
        <w:trPr>
          <w:trHeight w:val="701"/>
        </w:trPr>
        <w:tc>
          <w:tcPr>
            <w:tcW w:w="3330"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701" w:firstLine="0"/>
            </w:pPr>
            <w:r>
              <w:rPr>
                <w:sz w:val="20"/>
              </w:rPr>
              <w:t xml:space="preserve">Отежана комуникација и реализација активности због пандемије вируса Ковид-19 </w:t>
            </w:r>
          </w:p>
        </w:tc>
        <w:tc>
          <w:tcPr>
            <w:tcW w:w="2201"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2" w:right="0" w:firstLine="0"/>
              <w:jc w:val="left"/>
            </w:pPr>
            <w:r>
              <w:rPr>
                <w:sz w:val="20"/>
              </w:rPr>
              <w:t xml:space="preserve">Висока </w:t>
            </w:r>
          </w:p>
        </w:tc>
        <w:tc>
          <w:tcPr>
            <w:tcW w:w="4165"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0" w:firstLine="0"/>
              <w:jc w:val="left"/>
            </w:pPr>
            <w:r>
              <w:rPr>
                <w:sz w:val="20"/>
              </w:rPr>
              <w:t xml:space="preserve">Поступање у складу са препорукама Кризног штаба, организовање онлајн састанака и презентација </w:t>
            </w:r>
          </w:p>
        </w:tc>
      </w:tr>
    </w:tbl>
    <w:p w:rsidR="00E8309B" w:rsidRDefault="009D0949">
      <w:pPr>
        <w:ind w:left="-5" w:right="17"/>
      </w:pPr>
      <w:r>
        <w:rPr>
          <w:b/>
          <w:u w:val="single" w:color="000000"/>
        </w:rPr>
        <w:t>СТРУКТУРНА РЕФОРМА 13:</w:t>
      </w:r>
      <w:r>
        <w:rPr>
          <w:b/>
        </w:rPr>
        <w:t xml:space="preserve"> </w:t>
      </w:r>
      <w:r>
        <w:t xml:space="preserve">УНАПРЕЂЕЊЕ УПРАВЉАЊА ПРОСТОРНИМ РАЗВОЈЕМ </w:t>
      </w:r>
    </w:p>
    <w:p w:rsidR="00E8309B" w:rsidRDefault="009D0949">
      <w:pPr>
        <w:spacing w:after="153"/>
        <w:ind w:left="-5" w:right="17"/>
      </w:pPr>
      <w:r>
        <w:t xml:space="preserve">У РЕПУБЛИЦИ СРБИЈИ КРОЗ УСПОСТАВЉАЊЕ ДИГИТАЛНЕ ПЛАТФОРМЕ ЕПРОСТОР </w:t>
      </w:r>
    </w:p>
    <w:p w:rsidR="00E8309B" w:rsidRDefault="009D0949">
      <w:pPr>
        <w:numPr>
          <w:ilvl w:val="0"/>
          <w:numId w:val="31"/>
        </w:numPr>
        <w:spacing w:after="79" w:line="271" w:lineRule="auto"/>
        <w:ind w:right="9" w:hanging="427"/>
      </w:pPr>
      <w:r>
        <w:rPr>
          <w:b/>
        </w:rPr>
        <w:t xml:space="preserve">Опис структурне реформе </w:t>
      </w:r>
    </w:p>
    <w:p w:rsidR="00E8309B" w:rsidRDefault="009D0949">
      <w:pPr>
        <w:spacing w:after="150"/>
        <w:ind w:left="-5" w:right="17"/>
      </w:pPr>
      <w:r>
        <w:t>Основни циљ структурне реформе је дигитална трансформација у домену планског управљања просторним развојем у Републици Србији ради унапређења ефикасности и ефективности доношења развојних одлука и бољег управљања политиком просторног развоја, и то кроз диг</w:t>
      </w:r>
      <w:r>
        <w:t>итализацију података и процедура урбанистичког и просторног планирања и формирање дигиталне платформе е-Простор. Основни структурни елемент дигиталне платформе еПростор чиниће новоформирана дигитална база података просторних и урбанистичких планова са диги</w:t>
      </w:r>
      <w:r>
        <w:t>талним процедурама планирања, која ће повезана са другим доступним дигиталним базама података и сервисима у оквиру е-иницијатива у Републици Србији (НИГП, е-Управа, е-Дозвола, итд.) обезбедити директну онлајн комуникацију и размену података и информација и</w:t>
      </w:r>
      <w:r>
        <w:t xml:space="preserve">змеђу државних органа, привредног сектора и грађана. Реформа ће допринети унапређењу ефикасности планирања и квалитету планских докумената, стварајући услове за превазилажење постојећих неефикасности и нетранспарентности јавног одлучивања и пружања услуга </w:t>
      </w:r>
      <w:r>
        <w:t>у домену управљања земљиштем. Такође, реформа ће утицати на смањење броја дана и трошкова добијања локацијских услова и грађевинске дозволе, чиме ће се створити услови за бољу позицију Републике Србије на Doing Business листи Светске банке. Реформом се доп</w:t>
      </w:r>
      <w:r>
        <w:t xml:space="preserve">риноси спровођењу </w:t>
      </w:r>
      <w:r>
        <w:rPr>
          <w:b/>
        </w:rPr>
        <w:t xml:space="preserve">ЦОР 16.7. </w:t>
      </w:r>
      <w:r>
        <w:t xml:space="preserve">Осигурати одговорно, инклузивно, партиципативно и репрезентативно доношење одлука на свим нивоима, као и </w:t>
      </w:r>
      <w:r>
        <w:rPr>
          <w:b/>
        </w:rPr>
        <w:t xml:space="preserve">ЦОР 11.а </w:t>
      </w:r>
      <w:r>
        <w:t xml:space="preserve">Подржати позитивне економске, социјалне и еколошке везе између урбаних, периферних и руралних области оснаживањем </w:t>
      </w:r>
      <w:r>
        <w:t xml:space="preserve">националног и регионалног развојног планирања.  </w:t>
      </w:r>
    </w:p>
    <w:p w:rsidR="00E8309B" w:rsidRDefault="009D0949">
      <w:pPr>
        <w:numPr>
          <w:ilvl w:val="0"/>
          <w:numId w:val="31"/>
        </w:numPr>
        <w:spacing w:after="126" w:line="271" w:lineRule="auto"/>
        <w:ind w:right="9" w:hanging="427"/>
      </w:pPr>
      <w:r>
        <w:rPr>
          <w:b/>
        </w:rPr>
        <w:t xml:space="preserve">Ковид-19 – ефекти, мере и изазови </w:t>
      </w:r>
    </w:p>
    <w:p w:rsidR="00E8309B" w:rsidRDefault="009D0949">
      <w:pPr>
        <w:spacing w:after="1"/>
        <w:ind w:left="-5" w:right="17"/>
      </w:pPr>
      <w:r>
        <w:t>Очекује се да ће новонастале околности и прописане мере за спречавање ширења пандемије изазване вирусом Ковид-19 имати релативно ограничен утицај на имплементацију реформе,</w:t>
      </w:r>
      <w:r>
        <w:t xml:space="preserve"> у смислу могућег мањег кашњења спровођења планираних активности услед претежне електронске комуникације и ограничења броја присутних на састанцима и у затвореним просторима уопште. Једном реализована, реформа ће подржати опоравак од негативних социоеконом</w:t>
      </w:r>
      <w:r>
        <w:t xml:space="preserve">ских последица пандемије, као и уопште превазилажење евентуалних других/будућих ванредних околности, омогућавањем добијања развијених услуга електронски – тј. оnline – без потребе одласка у надлежан орган државне управе. </w:t>
      </w:r>
      <w:r>
        <w:rPr>
          <w:b/>
        </w:rPr>
        <w:t>3.</w:t>
      </w:r>
      <w:r>
        <w:rPr>
          <w:rFonts w:ascii="Arial" w:eastAsia="Arial" w:hAnsi="Arial" w:cs="Arial"/>
          <w:b/>
        </w:rPr>
        <w:t xml:space="preserve"> </w:t>
      </w:r>
      <w:r>
        <w:rPr>
          <w:b/>
        </w:rPr>
        <w:t>Планиране активности по годинама</w:t>
      </w:r>
      <w:r>
        <w:rPr>
          <w:b/>
        </w:rPr>
        <w:t xml:space="preserve"> </w:t>
      </w:r>
    </w:p>
    <w:tbl>
      <w:tblPr>
        <w:tblStyle w:val="TableGrid"/>
        <w:tblW w:w="9610" w:type="dxa"/>
        <w:tblInd w:w="10" w:type="dxa"/>
        <w:tblCellMar>
          <w:top w:w="8" w:type="dxa"/>
          <w:left w:w="58" w:type="dxa"/>
          <w:bottom w:w="0" w:type="dxa"/>
          <w:right w:w="8" w:type="dxa"/>
        </w:tblCellMar>
        <w:tblLook w:val="04A0" w:firstRow="1" w:lastRow="0" w:firstColumn="1" w:lastColumn="0" w:noHBand="0" w:noVBand="1"/>
      </w:tblPr>
      <w:tblGrid>
        <w:gridCol w:w="427"/>
        <w:gridCol w:w="4123"/>
        <w:gridCol w:w="419"/>
        <w:gridCol w:w="421"/>
        <w:gridCol w:w="422"/>
        <w:gridCol w:w="421"/>
        <w:gridCol w:w="424"/>
        <w:gridCol w:w="421"/>
        <w:gridCol w:w="423"/>
        <w:gridCol w:w="420"/>
        <w:gridCol w:w="424"/>
        <w:gridCol w:w="422"/>
        <w:gridCol w:w="422"/>
        <w:gridCol w:w="420"/>
      </w:tblGrid>
      <w:tr w:rsidR="00E8309B">
        <w:trPr>
          <w:trHeight w:val="331"/>
        </w:trPr>
        <w:tc>
          <w:tcPr>
            <w:tcW w:w="427" w:type="dxa"/>
            <w:vMerge w:val="restart"/>
            <w:tcBorders>
              <w:top w:val="single" w:sz="8" w:space="0" w:color="000000"/>
              <w:left w:val="single" w:sz="8" w:space="0" w:color="000000"/>
              <w:bottom w:val="single" w:sz="8" w:space="0" w:color="000000"/>
              <w:right w:val="single" w:sz="8" w:space="0" w:color="000000"/>
            </w:tcBorders>
            <w:vAlign w:val="center"/>
          </w:tcPr>
          <w:p w:rsidR="00E8309B" w:rsidRDefault="009D0949">
            <w:pPr>
              <w:spacing w:after="0" w:line="259" w:lineRule="auto"/>
              <w:ind w:left="29" w:right="0" w:firstLine="0"/>
            </w:pPr>
            <w:r>
              <w:rPr>
                <w:b/>
                <w:sz w:val="20"/>
              </w:rPr>
              <w:t xml:space="preserve">РБ </w:t>
            </w:r>
          </w:p>
        </w:tc>
        <w:tc>
          <w:tcPr>
            <w:tcW w:w="4123" w:type="dxa"/>
            <w:vMerge w:val="restart"/>
            <w:tcBorders>
              <w:top w:val="single" w:sz="8" w:space="0" w:color="000000"/>
              <w:left w:val="single" w:sz="8" w:space="0" w:color="000000"/>
              <w:bottom w:val="single" w:sz="8" w:space="0" w:color="000000"/>
              <w:right w:val="single" w:sz="8" w:space="0" w:color="000000"/>
            </w:tcBorders>
            <w:vAlign w:val="center"/>
          </w:tcPr>
          <w:p w:rsidR="00E8309B" w:rsidRDefault="009D0949">
            <w:pPr>
              <w:spacing w:after="0" w:line="259" w:lineRule="auto"/>
              <w:ind w:left="0" w:right="0" w:firstLine="0"/>
              <w:jc w:val="left"/>
            </w:pPr>
            <w:r>
              <w:rPr>
                <w:b/>
                <w:sz w:val="20"/>
              </w:rPr>
              <w:t xml:space="preserve">Планиране активности </w:t>
            </w:r>
          </w:p>
        </w:tc>
        <w:tc>
          <w:tcPr>
            <w:tcW w:w="419" w:type="dxa"/>
            <w:tcBorders>
              <w:top w:val="single" w:sz="8" w:space="0" w:color="000000"/>
              <w:left w:val="single" w:sz="8" w:space="0" w:color="000000"/>
              <w:bottom w:val="single" w:sz="4" w:space="0" w:color="000000"/>
              <w:right w:val="nil"/>
            </w:tcBorders>
          </w:tcPr>
          <w:p w:rsidR="00E8309B" w:rsidRDefault="00E8309B">
            <w:pPr>
              <w:spacing w:after="160" w:line="259" w:lineRule="auto"/>
              <w:ind w:left="0" w:right="0" w:firstLine="0"/>
              <w:jc w:val="left"/>
            </w:pPr>
          </w:p>
        </w:tc>
        <w:tc>
          <w:tcPr>
            <w:tcW w:w="844" w:type="dxa"/>
            <w:gridSpan w:val="2"/>
            <w:tcBorders>
              <w:top w:val="single" w:sz="8" w:space="0" w:color="000000"/>
              <w:left w:val="nil"/>
              <w:bottom w:val="single" w:sz="4" w:space="0" w:color="000000"/>
              <w:right w:val="nil"/>
            </w:tcBorders>
          </w:tcPr>
          <w:p w:rsidR="00E8309B" w:rsidRDefault="009D0949">
            <w:pPr>
              <w:spacing w:after="0" w:line="259" w:lineRule="auto"/>
              <w:ind w:left="0" w:right="45" w:firstLine="0"/>
              <w:jc w:val="center"/>
            </w:pPr>
            <w:r>
              <w:rPr>
                <w:b/>
                <w:sz w:val="20"/>
              </w:rPr>
              <w:t xml:space="preserve">2021 </w:t>
            </w:r>
          </w:p>
        </w:tc>
        <w:tc>
          <w:tcPr>
            <w:tcW w:w="421" w:type="dxa"/>
            <w:tcBorders>
              <w:top w:val="single" w:sz="8" w:space="0" w:color="000000"/>
              <w:left w:val="nil"/>
              <w:bottom w:val="single" w:sz="4" w:space="0" w:color="000000"/>
              <w:right w:val="single" w:sz="8" w:space="0" w:color="000000"/>
            </w:tcBorders>
          </w:tcPr>
          <w:p w:rsidR="00E8309B" w:rsidRDefault="00E8309B">
            <w:pPr>
              <w:spacing w:after="160" w:line="259" w:lineRule="auto"/>
              <w:ind w:left="0" w:right="0" w:firstLine="0"/>
              <w:jc w:val="left"/>
            </w:pPr>
          </w:p>
        </w:tc>
        <w:tc>
          <w:tcPr>
            <w:tcW w:w="424" w:type="dxa"/>
            <w:tcBorders>
              <w:top w:val="single" w:sz="8" w:space="0" w:color="000000"/>
              <w:left w:val="single" w:sz="8" w:space="0" w:color="000000"/>
              <w:bottom w:val="single" w:sz="4" w:space="0" w:color="000000"/>
              <w:right w:val="nil"/>
            </w:tcBorders>
          </w:tcPr>
          <w:p w:rsidR="00E8309B" w:rsidRDefault="00E8309B">
            <w:pPr>
              <w:spacing w:after="160" w:line="259" w:lineRule="auto"/>
              <w:ind w:left="0" w:right="0" w:firstLine="0"/>
              <w:jc w:val="left"/>
            </w:pPr>
          </w:p>
        </w:tc>
        <w:tc>
          <w:tcPr>
            <w:tcW w:w="844" w:type="dxa"/>
            <w:gridSpan w:val="2"/>
            <w:tcBorders>
              <w:top w:val="single" w:sz="8" w:space="0" w:color="000000"/>
              <w:left w:val="nil"/>
              <w:bottom w:val="single" w:sz="4" w:space="0" w:color="000000"/>
              <w:right w:val="nil"/>
            </w:tcBorders>
          </w:tcPr>
          <w:p w:rsidR="00E8309B" w:rsidRDefault="009D0949">
            <w:pPr>
              <w:spacing w:after="0" w:line="259" w:lineRule="auto"/>
              <w:ind w:left="0" w:right="48" w:firstLine="0"/>
              <w:jc w:val="center"/>
            </w:pPr>
            <w:r>
              <w:rPr>
                <w:b/>
                <w:sz w:val="20"/>
              </w:rPr>
              <w:t xml:space="preserve">2022 </w:t>
            </w:r>
          </w:p>
        </w:tc>
        <w:tc>
          <w:tcPr>
            <w:tcW w:w="420" w:type="dxa"/>
            <w:tcBorders>
              <w:top w:val="single" w:sz="8" w:space="0" w:color="000000"/>
              <w:left w:val="nil"/>
              <w:bottom w:val="single" w:sz="4" w:space="0" w:color="000000"/>
              <w:right w:val="single" w:sz="8" w:space="0" w:color="000000"/>
            </w:tcBorders>
          </w:tcPr>
          <w:p w:rsidR="00E8309B" w:rsidRDefault="00E8309B">
            <w:pPr>
              <w:spacing w:after="160" w:line="259" w:lineRule="auto"/>
              <w:ind w:left="0" w:right="0" w:firstLine="0"/>
              <w:jc w:val="left"/>
            </w:pPr>
          </w:p>
        </w:tc>
        <w:tc>
          <w:tcPr>
            <w:tcW w:w="424" w:type="dxa"/>
            <w:tcBorders>
              <w:top w:val="single" w:sz="8" w:space="0" w:color="000000"/>
              <w:left w:val="single" w:sz="8" w:space="0" w:color="000000"/>
              <w:bottom w:val="single" w:sz="4" w:space="0" w:color="000000"/>
              <w:right w:val="nil"/>
            </w:tcBorders>
          </w:tcPr>
          <w:p w:rsidR="00E8309B" w:rsidRDefault="00E8309B">
            <w:pPr>
              <w:spacing w:after="160" w:line="259" w:lineRule="auto"/>
              <w:ind w:left="0" w:right="0" w:firstLine="0"/>
              <w:jc w:val="left"/>
            </w:pPr>
          </w:p>
        </w:tc>
        <w:tc>
          <w:tcPr>
            <w:tcW w:w="845" w:type="dxa"/>
            <w:gridSpan w:val="2"/>
            <w:tcBorders>
              <w:top w:val="single" w:sz="8" w:space="0" w:color="000000"/>
              <w:left w:val="nil"/>
              <w:bottom w:val="single" w:sz="4" w:space="0" w:color="000000"/>
              <w:right w:val="nil"/>
            </w:tcBorders>
          </w:tcPr>
          <w:p w:rsidR="00E8309B" w:rsidRDefault="009D0949">
            <w:pPr>
              <w:spacing w:after="0" w:line="259" w:lineRule="auto"/>
              <w:ind w:left="0" w:right="49" w:firstLine="0"/>
              <w:jc w:val="center"/>
            </w:pPr>
            <w:r>
              <w:rPr>
                <w:b/>
                <w:sz w:val="20"/>
              </w:rPr>
              <w:t xml:space="preserve">2023 </w:t>
            </w:r>
          </w:p>
        </w:tc>
        <w:tc>
          <w:tcPr>
            <w:tcW w:w="420" w:type="dxa"/>
            <w:tcBorders>
              <w:top w:val="single" w:sz="8" w:space="0" w:color="000000"/>
              <w:left w:val="nil"/>
              <w:bottom w:val="single" w:sz="4" w:space="0" w:color="000000"/>
              <w:right w:val="single" w:sz="8" w:space="0" w:color="000000"/>
            </w:tcBorders>
          </w:tcPr>
          <w:p w:rsidR="00E8309B" w:rsidRDefault="00E8309B">
            <w:pPr>
              <w:spacing w:after="160" w:line="259" w:lineRule="auto"/>
              <w:ind w:left="0" w:right="0" w:firstLine="0"/>
              <w:jc w:val="left"/>
            </w:pPr>
          </w:p>
        </w:tc>
      </w:tr>
      <w:tr w:rsidR="00E8309B">
        <w:trPr>
          <w:trHeight w:val="326"/>
        </w:trPr>
        <w:tc>
          <w:tcPr>
            <w:tcW w:w="0" w:type="auto"/>
            <w:vMerge/>
            <w:tcBorders>
              <w:top w:val="nil"/>
              <w:left w:val="single" w:sz="8" w:space="0" w:color="000000"/>
              <w:bottom w:val="single" w:sz="8" w:space="0" w:color="000000"/>
              <w:right w:val="single" w:sz="8" w:space="0" w:color="000000"/>
            </w:tcBorders>
          </w:tcPr>
          <w:p w:rsidR="00E8309B" w:rsidRDefault="00E8309B">
            <w:pPr>
              <w:spacing w:after="160" w:line="259" w:lineRule="auto"/>
              <w:ind w:left="0" w:right="0" w:firstLine="0"/>
              <w:jc w:val="left"/>
            </w:pPr>
          </w:p>
        </w:tc>
        <w:tc>
          <w:tcPr>
            <w:tcW w:w="0" w:type="auto"/>
            <w:vMerge/>
            <w:tcBorders>
              <w:top w:val="nil"/>
              <w:left w:val="single" w:sz="8" w:space="0" w:color="000000"/>
              <w:bottom w:val="single" w:sz="8" w:space="0" w:color="000000"/>
              <w:right w:val="single" w:sz="8" w:space="0" w:color="000000"/>
            </w:tcBorders>
          </w:tcPr>
          <w:p w:rsidR="00E8309B" w:rsidRDefault="00E8309B">
            <w:pPr>
              <w:spacing w:after="160" w:line="259" w:lineRule="auto"/>
              <w:ind w:left="0" w:right="0" w:firstLine="0"/>
              <w:jc w:val="left"/>
            </w:pPr>
          </w:p>
        </w:tc>
        <w:tc>
          <w:tcPr>
            <w:tcW w:w="419" w:type="dxa"/>
            <w:tcBorders>
              <w:top w:val="single" w:sz="4" w:space="0" w:color="000000"/>
              <w:left w:val="single" w:sz="8" w:space="0" w:color="000000"/>
              <w:bottom w:val="single" w:sz="8" w:space="0" w:color="000000"/>
              <w:right w:val="single" w:sz="4" w:space="0" w:color="000000"/>
            </w:tcBorders>
          </w:tcPr>
          <w:p w:rsidR="00E8309B" w:rsidRDefault="009D0949">
            <w:pPr>
              <w:spacing w:after="0" w:line="259" w:lineRule="auto"/>
              <w:ind w:left="42" w:right="0" w:firstLine="0"/>
              <w:jc w:val="left"/>
            </w:pPr>
            <w:r>
              <w:rPr>
                <w:i/>
                <w:sz w:val="18"/>
              </w:rPr>
              <w:t xml:space="preserve">Q1 </w:t>
            </w:r>
          </w:p>
        </w:tc>
        <w:tc>
          <w:tcPr>
            <w:tcW w:w="421" w:type="dxa"/>
            <w:tcBorders>
              <w:top w:val="single" w:sz="4" w:space="0" w:color="000000"/>
              <w:left w:val="single" w:sz="4" w:space="0" w:color="000000"/>
              <w:bottom w:val="single" w:sz="8" w:space="0" w:color="000000"/>
              <w:right w:val="single" w:sz="4" w:space="0" w:color="000000"/>
            </w:tcBorders>
          </w:tcPr>
          <w:p w:rsidR="00E8309B" w:rsidRDefault="009D0949">
            <w:pPr>
              <w:spacing w:after="0" w:line="259" w:lineRule="auto"/>
              <w:ind w:left="43" w:right="0" w:firstLine="0"/>
              <w:jc w:val="left"/>
            </w:pPr>
            <w:r>
              <w:rPr>
                <w:i/>
                <w:sz w:val="18"/>
              </w:rPr>
              <w:t xml:space="preserve">Q2 </w:t>
            </w:r>
          </w:p>
        </w:tc>
        <w:tc>
          <w:tcPr>
            <w:tcW w:w="422" w:type="dxa"/>
            <w:tcBorders>
              <w:top w:val="single" w:sz="4" w:space="0" w:color="000000"/>
              <w:left w:val="single" w:sz="4" w:space="0" w:color="000000"/>
              <w:bottom w:val="single" w:sz="8" w:space="0" w:color="000000"/>
              <w:right w:val="single" w:sz="4" w:space="0" w:color="000000"/>
            </w:tcBorders>
          </w:tcPr>
          <w:p w:rsidR="00E8309B" w:rsidRDefault="009D0949">
            <w:pPr>
              <w:spacing w:after="0" w:line="259" w:lineRule="auto"/>
              <w:ind w:left="44" w:right="0" w:firstLine="0"/>
              <w:jc w:val="left"/>
            </w:pPr>
            <w:r>
              <w:rPr>
                <w:i/>
                <w:sz w:val="18"/>
              </w:rPr>
              <w:t xml:space="preserve">Q3 </w:t>
            </w:r>
          </w:p>
        </w:tc>
        <w:tc>
          <w:tcPr>
            <w:tcW w:w="421" w:type="dxa"/>
            <w:tcBorders>
              <w:top w:val="single" w:sz="4" w:space="0" w:color="000000"/>
              <w:left w:val="single" w:sz="4" w:space="0" w:color="000000"/>
              <w:bottom w:val="single" w:sz="8" w:space="0" w:color="000000"/>
              <w:right w:val="single" w:sz="8" w:space="0" w:color="000000"/>
            </w:tcBorders>
          </w:tcPr>
          <w:p w:rsidR="00E8309B" w:rsidRDefault="009D0949">
            <w:pPr>
              <w:spacing w:after="0" w:line="259" w:lineRule="auto"/>
              <w:ind w:left="44" w:right="0" w:firstLine="0"/>
              <w:jc w:val="left"/>
            </w:pPr>
            <w:r>
              <w:rPr>
                <w:i/>
                <w:sz w:val="18"/>
              </w:rPr>
              <w:t xml:space="preserve">Q4 </w:t>
            </w:r>
          </w:p>
        </w:tc>
        <w:tc>
          <w:tcPr>
            <w:tcW w:w="424" w:type="dxa"/>
            <w:tcBorders>
              <w:top w:val="single" w:sz="4" w:space="0" w:color="000000"/>
              <w:left w:val="single" w:sz="8" w:space="0" w:color="000000"/>
              <w:bottom w:val="single" w:sz="8" w:space="0" w:color="000000"/>
              <w:right w:val="single" w:sz="4" w:space="0" w:color="000000"/>
            </w:tcBorders>
          </w:tcPr>
          <w:p w:rsidR="00E8309B" w:rsidRDefault="009D0949">
            <w:pPr>
              <w:spacing w:after="0" w:line="259" w:lineRule="auto"/>
              <w:ind w:left="46" w:right="0" w:firstLine="0"/>
              <w:jc w:val="left"/>
            </w:pPr>
            <w:r>
              <w:rPr>
                <w:i/>
                <w:sz w:val="18"/>
              </w:rPr>
              <w:t xml:space="preserve">Q1 </w:t>
            </w:r>
          </w:p>
        </w:tc>
        <w:tc>
          <w:tcPr>
            <w:tcW w:w="421" w:type="dxa"/>
            <w:tcBorders>
              <w:top w:val="single" w:sz="4" w:space="0" w:color="000000"/>
              <w:left w:val="single" w:sz="4" w:space="0" w:color="000000"/>
              <w:bottom w:val="single" w:sz="8" w:space="0" w:color="000000"/>
              <w:right w:val="single" w:sz="4" w:space="0" w:color="000000"/>
            </w:tcBorders>
          </w:tcPr>
          <w:p w:rsidR="00E8309B" w:rsidRDefault="009D0949">
            <w:pPr>
              <w:spacing w:after="0" w:line="259" w:lineRule="auto"/>
              <w:ind w:left="44" w:right="0" w:firstLine="0"/>
              <w:jc w:val="left"/>
            </w:pPr>
            <w:r>
              <w:rPr>
                <w:i/>
                <w:sz w:val="18"/>
              </w:rPr>
              <w:t xml:space="preserve">Q2 </w:t>
            </w:r>
          </w:p>
        </w:tc>
        <w:tc>
          <w:tcPr>
            <w:tcW w:w="423" w:type="dxa"/>
            <w:tcBorders>
              <w:top w:val="single" w:sz="4" w:space="0" w:color="000000"/>
              <w:left w:val="single" w:sz="4" w:space="0" w:color="000000"/>
              <w:bottom w:val="single" w:sz="8" w:space="0" w:color="000000"/>
              <w:right w:val="single" w:sz="4" w:space="0" w:color="000000"/>
            </w:tcBorders>
          </w:tcPr>
          <w:p w:rsidR="00E8309B" w:rsidRDefault="009D0949">
            <w:pPr>
              <w:spacing w:after="0" w:line="259" w:lineRule="auto"/>
              <w:ind w:left="46" w:right="0" w:firstLine="0"/>
              <w:jc w:val="left"/>
            </w:pPr>
            <w:r>
              <w:rPr>
                <w:i/>
                <w:sz w:val="18"/>
              </w:rPr>
              <w:t xml:space="preserve">Q3 </w:t>
            </w:r>
          </w:p>
        </w:tc>
        <w:tc>
          <w:tcPr>
            <w:tcW w:w="420" w:type="dxa"/>
            <w:tcBorders>
              <w:top w:val="single" w:sz="4" w:space="0" w:color="000000"/>
              <w:left w:val="single" w:sz="4" w:space="0" w:color="000000"/>
              <w:bottom w:val="single" w:sz="8" w:space="0" w:color="000000"/>
              <w:right w:val="single" w:sz="8" w:space="0" w:color="000000"/>
            </w:tcBorders>
          </w:tcPr>
          <w:p w:rsidR="00E8309B" w:rsidRDefault="009D0949">
            <w:pPr>
              <w:spacing w:after="0" w:line="259" w:lineRule="auto"/>
              <w:ind w:left="43" w:right="0" w:firstLine="0"/>
              <w:jc w:val="left"/>
            </w:pPr>
            <w:r>
              <w:rPr>
                <w:i/>
                <w:sz w:val="18"/>
              </w:rPr>
              <w:t xml:space="preserve">Q4 </w:t>
            </w:r>
          </w:p>
        </w:tc>
        <w:tc>
          <w:tcPr>
            <w:tcW w:w="424" w:type="dxa"/>
            <w:tcBorders>
              <w:top w:val="single" w:sz="4" w:space="0" w:color="000000"/>
              <w:left w:val="single" w:sz="8" w:space="0" w:color="000000"/>
              <w:bottom w:val="single" w:sz="8" w:space="0" w:color="000000"/>
              <w:right w:val="single" w:sz="4" w:space="0" w:color="000000"/>
            </w:tcBorders>
          </w:tcPr>
          <w:p w:rsidR="00E8309B" w:rsidRDefault="009D0949">
            <w:pPr>
              <w:spacing w:after="0" w:line="259" w:lineRule="auto"/>
              <w:ind w:left="46" w:right="0" w:firstLine="0"/>
              <w:jc w:val="left"/>
            </w:pPr>
            <w:r>
              <w:rPr>
                <w:i/>
                <w:sz w:val="18"/>
              </w:rPr>
              <w:t xml:space="preserve">Q1 </w:t>
            </w:r>
          </w:p>
        </w:tc>
        <w:tc>
          <w:tcPr>
            <w:tcW w:w="422" w:type="dxa"/>
            <w:tcBorders>
              <w:top w:val="single" w:sz="4" w:space="0" w:color="000000"/>
              <w:left w:val="single" w:sz="4" w:space="0" w:color="000000"/>
              <w:bottom w:val="single" w:sz="8" w:space="0" w:color="000000"/>
              <w:right w:val="single" w:sz="4" w:space="0" w:color="000000"/>
            </w:tcBorders>
          </w:tcPr>
          <w:p w:rsidR="00E8309B" w:rsidRDefault="009D0949">
            <w:pPr>
              <w:spacing w:after="0" w:line="259" w:lineRule="auto"/>
              <w:ind w:left="44" w:right="0" w:firstLine="0"/>
              <w:jc w:val="left"/>
            </w:pPr>
            <w:r>
              <w:rPr>
                <w:i/>
                <w:sz w:val="18"/>
              </w:rPr>
              <w:t xml:space="preserve">Q2 </w:t>
            </w:r>
          </w:p>
        </w:tc>
        <w:tc>
          <w:tcPr>
            <w:tcW w:w="422" w:type="dxa"/>
            <w:tcBorders>
              <w:top w:val="single" w:sz="4" w:space="0" w:color="000000"/>
              <w:left w:val="single" w:sz="4" w:space="0" w:color="000000"/>
              <w:bottom w:val="single" w:sz="8" w:space="0" w:color="000000"/>
              <w:right w:val="single" w:sz="4" w:space="0" w:color="000000"/>
            </w:tcBorders>
          </w:tcPr>
          <w:p w:rsidR="00E8309B" w:rsidRDefault="009D0949">
            <w:pPr>
              <w:spacing w:after="0" w:line="259" w:lineRule="auto"/>
              <w:ind w:left="44" w:right="0" w:firstLine="0"/>
              <w:jc w:val="left"/>
            </w:pPr>
            <w:r>
              <w:rPr>
                <w:i/>
                <w:sz w:val="18"/>
              </w:rPr>
              <w:t xml:space="preserve">Q3 </w:t>
            </w:r>
          </w:p>
        </w:tc>
        <w:tc>
          <w:tcPr>
            <w:tcW w:w="420" w:type="dxa"/>
            <w:tcBorders>
              <w:top w:val="single" w:sz="4" w:space="0" w:color="000000"/>
              <w:left w:val="single" w:sz="4" w:space="0" w:color="000000"/>
              <w:bottom w:val="single" w:sz="8" w:space="0" w:color="000000"/>
              <w:right w:val="single" w:sz="8" w:space="0" w:color="000000"/>
            </w:tcBorders>
          </w:tcPr>
          <w:p w:rsidR="00E8309B" w:rsidRDefault="009D0949">
            <w:pPr>
              <w:spacing w:after="0" w:line="259" w:lineRule="auto"/>
              <w:ind w:left="44" w:right="0" w:firstLine="0"/>
              <w:jc w:val="left"/>
            </w:pPr>
            <w:r>
              <w:rPr>
                <w:i/>
                <w:sz w:val="18"/>
              </w:rPr>
              <w:t xml:space="preserve">Q4 </w:t>
            </w:r>
          </w:p>
        </w:tc>
      </w:tr>
      <w:tr w:rsidR="00E8309B">
        <w:trPr>
          <w:trHeight w:val="473"/>
        </w:trPr>
        <w:tc>
          <w:tcPr>
            <w:tcW w:w="427" w:type="dxa"/>
            <w:tcBorders>
              <w:top w:val="single" w:sz="8" w:space="0" w:color="000000"/>
              <w:left w:val="single" w:sz="8" w:space="0" w:color="000000"/>
              <w:bottom w:val="single" w:sz="4" w:space="0" w:color="000000"/>
              <w:right w:val="single" w:sz="8" w:space="0" w:color="000000"/>
            </w:tcBorders>
          </w:tcPr>
          <w:p w:rsidR="00E8309B" w:rsidRDefault="009D0949">
            <w:pPr>
              <w:spacing w:after="0" w:line="259" w:lineRule="auto"/>
              <w:ind w:left="0" w:right="51" w:firstLine="0"/>
              <w:jc w:val="right"/>
            </w:pPr>
            <w:r>
              <w:rPr>
                <w:sz w:val="20"/>
              </w:rPr>
              <w:t xml:space="preserve">1 </w:t>
            </w:r>
          </w:p>
        </w:tc>
        <w:tc>
          <w:tcPr>
            <w:tcW w:w="4123" w:type="dxa"/>
            <w:tcBorders>
              <w:top w:val="single" w:sz="8" w:space="0" w:color="000000"/>
              <w:left w:val="single" w:sz="8" w:space="0" w:color="000000"/>
              <w:bottom w:val="single" w:sz="4" w:space="0" w:color="000000"/>
              <w:right w:val="single" w:sz="8" w:space="0" w:color="000000"/>
            </w:tcBorders>
          </w:tcPr>
          <w:p w:rsidR="00E8309B" w:rsidRDefault="009D0949">
            <w:pPr>
              <w:spacing w:after="0" w:line="259" w:lineRule="auto"/>
              <w:ind w:left="0" w:right="0" w:firstLine="0"/>
              <w:jc w:val="left"/>
            </w:pPr>
            <w:r>
              <w:rPr>
                <w:sz w:val="20"/>
              </w:rPr>
              <w:t xml:space="preserve">Анализа стања у домену планског управљања просторним развојем у Републици Србији </w:t>
            </w:r>
          </w:p>
        </w:tc>
        <w:tc>
          <w:tcPr>
            <w:tcW w:w="419" w:type="dxa"/>
            <w:tcBorders>
              <w:top w:val="single" w:sz="8" w:space="0" w:color="000000"/>
              <w:left w:val="single" w:sz="8"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1" w:right="0" w:firstLine="0"/>
              <w:jc w:val="center"/>
            </w:pPr>
            <w:r>
              <w:rPr>
                <w:sz w:val="20"/>
              </w:rPr>
              <w:t xml:space="preserve"> </w:t>
            </w:r>
          </w:p>
        </w:tc>
        <w:tc>
          <w:tcPr>
            <w:tcW w:w="421" w:type="dxa"/>
            <w:tcBorders>
              <w:top w:val="single" w:sz="8" w:space="0" w:color="000000"/>
              <w:left w:val="single" w:sz="4"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1" w:right="0" w:firstLine="0"/>
              <w:jc w:val="center"/>
            </w:pPr>
            <w:r>
              <w:rPr>
                <w:sz w:val="20"/>
              </w:rPr>
              <w:t xml:space="preserve"> </w:t>
            </w:r>
          </w:p>
        </w:tc>
        <w:tc>
          <w:tcPr>
            <w:tcW w:w="422" w:type="dxa"/>
            <w:tcBorders>
              <w:top w:val="single" w:sz="8" w:space="0" w:color="000000"/>
              <w:left w:val="single" w:sz="4"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2" w:right="0" w:firstLine="0"/>
              <w:jc w:val="center"/>
            </w:pPr>
            <w:r>
              <w:rPr>
                <w:sz w:val="20"/>
              </w:rPr>
              <w:t xml:space="preserve"> </w:t>
            </w:r>
          </w:p>
        </w:tc>
        <w:tc>
          <w:tcPr>
            <w:tcW w:w="421" w:type="dxa"/>
            <w:tcBorders>
              <w:top w:val="single" w:sz="8" w:space="0" w:color="000000"/>
              <w:left w:val="single" w:sz="4" w:space="0" w:color="000000"/>
              <w:bottom w:val="single" w:sz="4" w:space="0" w:color="000000"/>
              <w:right w:val="single" w:sz="8" w:space="0" w:color="000000"/>
            </w:tcBorders>
            <w:shd w:val="clear" w:color="auto" w:fill="BFBFBF"/>
            <w:vAlign w:val="center"/>
          </w:tcPr>
          <w:p w:rsidR="00E8309B" w:rsidRDefault="009D0949">
            <w:pPr>
              <w:spacing w:after="0" w:line="259" w:lineRule="auto"/>
              <w:ind w:left="4" w:right="0" w:firstLine="0"/>
              <w:jc w:val="center"/>
            </w:pPr>
            <w:r>
              <w:rPr>
                <w:sz w:val="20"/>
              </w:rPr>
              <w:t xml:space="preserve"> </w:t>
            </w:r>
          </w:p>
        </w:tc>
        <w:tc>
          <w:tcPr>
            <w:tcW w:w="424" w:type="dxa"/>
            <w:tcBorders>
              <w:top w:val="single" w:sz="8" w:space="0" w:color="000000"/>
              <w:left w:val="single" w:sz="8" w:space="0" w:color="000000"/>
              <w:bottom w:val="single" w:sz="4" w:space="0" w:color="000000"/>
              <w:right w:val="single" w:sz="4" w:space="0" w:color="000000"/>
            </w:tcBorders>
            <w:vAlign w:val="center"/>
          </w:tcPr>
          <w:p w:rsidR="00E8309B" w:rsidRDefault="009D0949">
            <w:pPr>
              <w:spacing w:after="0" w:line="259" w:lineRule="auto"/>
              <w:ind w:left="4" w:right="0" w:firstLine="0"/>
              <w:jc w:val="center"/>
            </w:pPr>
            <w:r>
              <w:rPr>
                <w:sz w:val="20"/>
              </w:rPr>
              <w:t xml:space="preserve"> </w:t>
            </w:r>
          </w:p>
        </w:tc>
        <w:tc>
          <w:tcPr>
            <w:tcW w:w="421" w:type="dxa"/>
            <w:tcBorders>
              <w:top w:val="single" w:sz="8"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4" w:right="0" w:firstLine="0"/>
              <w:jc w:val="center"/>
            </w:pPr>
            <w:r>
              <w:rPr>
                <w:sz w:val="20"/>
              </w:rPr>
              <w:t xml:space="preserve"> </w:t>
            </w:r>
          </w:p>
        </w:tc>
        <w:tc>
          <w:tcPr>
            <w:tcW w:w="423" w:type="dxa"/>
            <w:tcBorders>
              <w:top w:val="single" w:sz="8"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5" w:right="0" w:firstLine="0"/>
              <w:jc w:val="center"/>
            </w:pPr>
            <w:r>
              <w:rPr>
                <w:sz w:val="20"/>
              </w:rPr>
              <w:t xml:space="preserve"> </w:t>
            </w:r>
          </w:p>
        </w:tc>
        <w:tc>
          <w:tcPr>
            <w:tcW w:w="420" w:type="dxa"/>
            <w:tcBorders>
              <w:top w:val="single" w:sz="8" w:space="0" w:color="000000"/>
              <w:left w:val="single" w:sz="4" w:space="0" w:color="000000"/>
              <w:bottom w:val="single" w:sz="4" w:space="0" w:color="000000"/>
              <w:right w:val="single" w:sz="8" w:space="0" w:color="000000"/>
            </w:tcBorders>
            <w:vAlign w:val="center"/>
          </w:tcPr>
          <w:p w:rsidR="00E8309B" w:rsidRDefault="009D0949">
            <w:pPr>
              <w:spacing w:after="0" w:line="259" w:lineRule="auto"/>
              <w:ind w:left="2" w:right="0" w:firstLine="0"/>
              <w:jc w:val="center"/>
            </w:pPr>
            <w:r>
              <w:rPr>
                <w:sz w:val="20"/>
              </w:rPr>
              <w:t xml:space="preserve"> </w:t>
            </w:r>
          </w:p>
        </w:tc>
        <w:tc>
          <w:tcPr>
            <w:tcW w:w="424" w:type="dxa"/>
            <w:tcBorders>
              <w:top w:val="single" w:sz="8" w:space="0" w:color="000000"/>
              <w:left w:val="single" w:sz="8" w:space="0" w:color="000000"/>
              <w:bottom w:val="single" w:sz="4" w:space="0" w:color="000000"/>
              <w:right w:val="single" w:sz="4" w:space="0" w:color="000000"/>
            </w:tcBorders>
            <w:vAlign w:val="center"/>
          </w:tcPr>
          <w:p w:rsidR="00E8309B" w:rsidRDefault="009D0949">
            <w:pPr>
              <w:spacing w:after="0" w:line="259" w:lineRule="auto"/>
              <w:ind w:left="4" w:right="0" w:firstLine="0"/>
              <w:jc w:val="center"/>
            </w:pPr>
            <w:r>
              <w:rPr>
                <w:sz w:val="20"/>
              </w:rPr>
              <w:t xml:space="preserve"> </w:t>
            </w:r>
          </w:p>
        </w:tc>
        <w:tc>
          <w:tcPr>
            <w:tcW w:w="422" w:type="dxa"/>
            <w:tcBorders>
              <w:top w:val="single" w:sz="8"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2" w:right="0" w:firstLine="0"/>
              <w:jc w:val="center"/>
            </w:pPr>
            <w:r>
              <w:rPr>
                <w:sz w:val="20"/>
              </w:rPr>
              <w:t xml:space="preserve"> </w:t>
            </w:r>
          </w:p>
        </w:tc>
        <w:tc>
          <w:tcPr>
            <w:tcW w:w="422" w:type="dxa"/>
            <w:tcBorders>
              <w:top w:val="single" w:sz="8"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2" w:right="0" w:firstLine="0"/>
              <w:jc w:val="center"/>
            </w:pPr>
            <w:r>
              <w:rPr>
                <w:sz w:val="20"/>
              </w:rPr>
              <w:t xml:space="preserve"> </w:t>
            </w:r>
          </w:p>
        </w:tc>
        <w:tc>
          <w:tcPr>
            <w:tcW w:w="420" w:type="dxa"/>
            <w:tcBorders>
              <w:top w:val="single" w:sz="8" w:space="0" w:color="000000"/>
              <w:left w:val="single" w:sz="4" w:space="0" w:color="000000"/>
              <w:bottom w:val="single" w:sz="4" w:space="0" w:color="000000"/>
              <w:right w:val="single" w:sz="8" w:space="0" w:color="000000"/>
            </w:tcBorders>
            <w:vAlign w:val="center"/>
          </w:tcPr>
          <w:p w:rsidR="00E8309B" w:rsidRDefault="009D0949">
            <w:pPr>
              <w:spacing w:after="0" w:line="259" w:lineRule="auto"/>
              <w:ind w:left="5" w:right="0" w:firstLine="0"/>
              <w:jc w:val="center"/>
            </w:pPr>
            <w:r>
              <w:rPr>
                <w:sz w:val="20"/>
              </w:rPr>
              <w:t xml:space="preserve"> </w:t>
            </w:r>
          </w:p>
        </w:tc>
      </w:tr>
      <w:tr w:rsidR="00E8309B">
        <w:trPr>
          <w:trHeight w:val="470"/>
        </w:trPr>
        <w:tc>
          <w:tcPr>
            <w:tcW w:w="427" w:type="dxa"/>
            <w:tcBorders>
              <w:top w:val="single" w:sz="4" w:space="0" w:color="000000"/>
              <w:left w:val="single" w:sz="8" w:space="0" w:color="000000"/>
              <w:bottom w:val="single" w:sz="4" w:space="0" w:color="000000"/>
              <w:right w:val="single" w:sz="8" w:space="0" w:color="000000"/>
            </w:tcBorders>
          </w:tcPr>
          <w:p w:rsidR="00E8309B" w:rsidRDefault="009D0949">
            <w:pPr>
              <w:spacing w:after="0" w:line="259" w:lineRule="auto"/>
              <w:ind w:left="0" w:right="51" w:firstLine="0"/>
              <w:jc w:val="right"/>
            </w:pPr>
            <w:r>
              <w:rPr>
                <w:sz w:val="20"/>
              </w:rPr>
              <w:t xml:space="preserve">2 </w:t>
            </w:r>
          </w:p>
        </w:tc>
        <w:tc>
          <w:tcPr>
            <w:tcW w:w="4123" w:type="dxa"/>
            <w:tcBorders>
              <w:top w:val="single" w:sz="4" w:space="0" w:color="000000"/>
              <w:left w:val="single" w:sz="8" w:space="0" w:color="000000"/>
              <w:bottom w:val="single" w:sz="4" w:space="0" w:color="000000"/>
              <w:right w:val="single" w:sz="8" w:space="0" w:color="000000"/>
            </w:tcBorders>
          </w:tcPr>
          <w:p w:rsidR="00E8309B" w:rsidRDefault="009D0949">
            <w:pPr>
              <w:spacing w:after="0" w:line="259" w:lineRule="auto"/>
              <w:ind w:left="0" w:right="0" w:firstLine="0"/>
            </w:pPr>
            <w:r>
              <w:rPr>
                <w:sz w:val="20"/>
              </w:rPr>
              <w:t xml:space="preserve">Утврђивање потреба и захтева будућих корисника дигиталне платформе е-Простор </w:t>
            </w:r>
          </w:p>
        </w:tc>
        <w:tc>
          <w:tcPr>
            <w:tcW w:w="419" w:type="dxa"/>
            <w:tcBorders>
              <w:top w:val="single" w:sz="4" w:space="0" w:color="000000"/>
              <w:left w:val="single" w:sz="8"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1" w:right="0" w:firstLine="0"/>
              <w:jc w:val="center"/>
            </w:pPr>
            <w:r>
              <w:rPr>
                <w:sz w:val="20"/>
              </w:rPr>
              <w:t xml:space="preserve"> </w:t>
            </w:r>
          </w:p>
        </w:tc>
        <w:tc>
          <w:tcPr>
            <w:tcW w:w="421"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1" w:right="0" w:firstLine="0"/>
              <w:jc w:val="center"/>
            </w:pPr>
            <w:r>
              <w:rPr>
                <w:sz w:val="20"/>
              </w:rPr>
              <w:t xml:space="preserve"> </w:t>
            </w:r>
          </w:p>
        </w:tc>
        <w:tc>
          <w:tcPr>
            <w:tcW w:w="422"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2" w:right="0" w:firstLine="0"/>
              <w:jc w:val="center"/>
            </w:pPr>
            <w:r>
              <w:rPr>
                <w:sz w:val="20"/>
              </w:rPr>
              <w:t xml:space="preserve"> </w:t>
            </w:r>
          </w:p>
        </w:tc>
        <w:tc>
          <w:tcPr>
            <w:tcW w:w="421" w:type="dxa"/>
            <w:tcBorders>
              <w:top w:val="single" w:sz="4" w:space="0" w:color="000000"/>
              <w:left w:val="single" w:sz="4" w:space="0" w:color="000000"/>
              <w:bottom w:val="single" w:sz="4" w:space="0" w:color="000000"/>
              <w:right w:val="single" w:sz="8" w:space="0" w:color="000000"/>
            </w:tcBorders>
            <w:shd w:val="clear" w:color="auto" w:fill="BFBFBF"/>
            <w:vAlign w:val="center"/>
          </w:tcPr>
          <w:p w:rsidR="00E8309B" w:rsidRDefault="009D0949">
            <w:pPr>
              <w:spacing w:after="0" w:line="259" w:lineRule="auto"/>
              <w:ind w:left="4" w:right="0" w:firstLine="0"/>
              <w:jc w:val="center"/>
            </w:pPr>
            <w:r>
              <w:rPr>
                <w:sz w:val="20"/>
              </w:rPr>
              <w:t xml:space="preserve"> </w:t>
            </w:r>
          </w:p>
        </w:tc>
        <w:tc>
          <w:tcPr>
            <w:tcW w:w="424" w:type="dxa"/>
            <w:tcBorders>
              <w:top w:val="single" w:sz="4" w:space="0" w:color="000000"/>
              <w:left w:val="single" w:sz="8" w:space="0" w:color="000000"/>
              <w:bottom w:val="single" w:sz="4" w:space="0" w:color="000000"/>
              <w:right w:val="single" w:sz="4" w:space="0" w:color="000000"/>
            </w:tcBorders>
            <w:vAlign w:val="center"/>
          </w:tcPr>
          <w:p w:rsidR="00E8309B" w:rsidRDefault="009D0949">
            <w:pPr>
              <w:spacing w:after="0" w:line="259" w:lineRule="auto"/>
              <w:ind w:left="4" w:right="0" w:firstLine="0"/>
              <w:jc w:val="center"/>
            </w:pPr>
            <w:r>
              <w:rPr>
                <w:sz w:val="20"/>
              </w:rPr>
              <w:t xml:space="preserve"> </w:t>
            </w:r>
          </w:p>
        </w:tc>
        <w:tc>
          <w:tcPr>
            <w:tcW w:w="421"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4" w:right="0" w:firstLine="0"/>
              <w:jc w:val="center"/>
            </w:pPr>
            <w:r>
              <w:rPr>
                <w:sz w:val="20"/>
              </w:rPr>
              <w:t xml:space="preserve"> </w:t>
            </w:r>
          </w:p>
        </w:tc>
        <w:tc>
          <w:tcPr>
            <w:tcW w:w="423"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5" w:right="0" w:firstLine="0"/>
              <w:jc w:val="center"/>
            </w:pPr>
            <w:r>
              <w:rPr>
                <w:sz w:val="20"/>
              </w:rPr>
              <w:t xml:space="preserve"> </w:t>
            </w:r>
          </w:p>
        </w:tc>
        <w:tc>
          <w:tcPr>
            <w:tcW w:w="420" w:type="dxa"/>
            <w:tcBorders>
              <w:top w:val="single" w:sz="4" w:space="0" w:color="000000"/>
              <w:left w:val="single" w:sz="4" w:space="0" w:color="000000"/>
              <w:bottom w:val="single" w:sz="4" w:space="0" w:color="000000"/>
              <w:right w:val="single" w:sz="8" w:space="0" w:color="000000"/>
            </w:tcBorders>
            <w:vAlign w:val="center"/>
          </w:tcPr>
          <w:p w:rsidR="00E8309B" w:rsidRDefault="009D0949">
            <w:pPr>
              <w:spacing w:after="0" w:line="259" w:lineRule="auto"/>
              <w:ind w:left="2" w:right="0" w:firstLine="0"/>
              <w:jc w:val="center"/>
            </w:pPr>
            <w:r>
              <w:rPr>
                <w:sz w:val="20"/>
              </w:rPr>
              <w:t xml:space="preserve"> </w:t>
            </w:r>
          </w:p>
        </w:tc>
        <w:tc>
          <w:tcPr>
            <w:tcW w:w="424" w:type="dxa"/>
            <w:tcBorders>
              <w:top w:val="single" w:sz="4" w:space="0" w:color="000000"/>
              <w:left w:val="single" w:sz="8" w:space="0" w:color="000000"/>
              <w:bottom w:val="single" w:sz="4" w:space="0" w:color="000000"/>
              <w:right w:val="single" w:sz="4" w:space="0" w:color="000000"/>
            </w:tcBorders>
            <w:vAlign w:val="center"/>
          </w:tcPr>
          <w:p w:rsidR="00E8309B" w:rsidRDefault="009D0949">
            <w:pPr>
              <w:spacing w:after="0" w:line="259" w:lineRule="auto"/>
              <w:ind w:left="4" w:right="0" w:firstLine="0"/>
              <w:jc w:val="center"/>
            </w:pPr>
            <w:r>
              <w:rPr>
                <w:sz w:val="20"/>
              </w:rPr>
              <w:t xml:space="preserve"> </w:t>
            </w:r>
          </w:p>
        </w:tc>
        <w:tc>
          <w:tcPr>
            <w:tcW w:w="422"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2" w:right="0" w:firstLine="0"/>
              <w:jc w:val="center"/>
            </w:pPr>
            <w:r>
              <w:rPr>
                <w:sz w:val="20"/>
              </w:rPr>
              <w:t xml:space="preserve"> </w:t>
            </w:r>
          </w:p>
        </w:tc>
        <w:tc>
          <w:tcPr>
            <w:tcW w:w="422"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2" w:right="0" w:firstLine="0"/>
              <w:jc w:val="center"/>
            </w:pPr>
            <w:r>
              <w:rPr>
                <w:sz w:val="20"/>
              </w:rPr>
              <w:t xml:space="preserve"> </w:t>
            </w:r>
          </w:p>
        </w:tc>
        <w:tc>
          <w:tcPr>
            <w:tcW w:w="420" w:type="dxa"/>
            <w:tcBorders>
              <w:top w:val="single" w:sz="4" w:space="0" w:color="000000"/>
              <w:left w:val="single" w:sz="4" w:space="0" w:color="000000"/>
              <w:bottom w:val="single" w:sz="4" w:space="0" w:color="000000"/>
              <w:right w:val="single" w:sz="8" w:space="0" w:color="000000"/>
            </w:tcBorders>
            <w:vAlign w:val="center"/>
          </w:tcPr>
          <w:p w:rsidR="00E8309B" w:rsidRDefault="009D0949">
            <w:pPr>
              <w:spacing w:after="0" w:line="259" w:lineRule="auto"/>
              <w:ind w:left="5" w:right="0" w:firstLine="0"/>
              <w:jc w:val="center"/>
            </w:pPr>
            <w:r>
              <w:rPr>
                <w:sz w:val="20"/>
              </w:rPr>
              <w:t xml:space="preserve"> </w:t>
            </w:r>
          </w:p>
        </w:tc>
      </w:tr>
      <w:tr w:rsidR="00E8309B">
        <w:trPr>
          <w:trHeight w:val="700"/>
        </w:trPr>
        <w:tc>
          <w:tcPr>
            <w:tcW w:w="427" w:type="dxa"/>
            <w:tcBorders>
              <w:top w:val="single" w:sz="4" w:space="0" w:color="000000"/>
              <w:left w:val="single" w:sz="8" w:space="0" w:color="000000"/>
              <w:bottom w:val="single" w:sz="4" w:space="0" w:color="000000"/>
              <w:right w:val="single" w:sz="8" w:space="0" w:color="000000"/>
            </w:tcBorders>
          </w:tcPr>
          <w:p w:rsidR="00E8309B" w:rsidRDefault="009D0949">
            <w:pPr>
              <w:spacing w:after="0" w:line="259" w:lineRule="auto"/>
              <w:ind w:left="0" w:right="51" w:firstLine="0"/>
              <w:jc w:val="right"/>
            </w:pPr>
            <w:r>
              <w:rPr>
                <w:sz w:val="20"/>
              </w:rPr>
              <w:t xml:space="preserve">3 </w:t>
            </w:r>
          </w:p>
        </w:tc>
        <w:tc>
          <w:tcPr>
            <w:tcW w:w="4123" w:type="dxa"/>
            <w:tcBorders>
              <w:top w:val="single" w:sz="4" w:space="0" w:color="000000"/>
              <w:left w:val="single" w:sz="8" w:space="0" w:color="000000"/>
              <w:bottom w:val="single" w:sz="4" w:space="0" w:color="000000"/>
              <w:right w:val="single" w:sz="8" w:space="0" w:color="000000"/>
            </w:tcBorders>
          </w:tcPr>
          <w:p w:rsidR="00E8309B" w:rsidRDefault="009D0949">
            <w:pPr>
              <w:spacing w:after="0" w:line="259" w:lineRule="auto"/>
              <w:ind w:left="0" w:right="22" w:firstLine="0"/>
              <w:jc w:val="left"/>
            </w:pPr>
            <w:r>
              <w:rPr>
                <w:sz w:val="20"/>
              </w:rPr>
              <w:t xml:space="preserve">Изградња дигиталне базе података и каталога податaкa просторних и урбанистичких планова </w:t>
            </w:r>
          </w:p>
        </w:tc>
        <w:tc>
          <w:tcPr>
            <w:tcW w:w="419" w:type="dxa"/>
            <w:tcBorders>
              <w:top w:val="single" w:sz="4" w:space="0" w:color="000000"/>
              <w:left w:val="single" w:sz="8" w:space="0" w:color="000000"/>
              <w:bottom w:val="single" w:sz="4" w:space="0" w:color="000000"/>
              <w:right w:val="single" w:sz="4" w:space="0" w:color="000000"/>
            </w:tcBorders>
            <w:vAlign w:val="center"/>
          </w:tcPr>
          <w:p w:rsidR="00E8309B" w:rsidRDefault="009D0949">
            <w:pPr>
              <w:spacing w:after="0" w:line="259" w:lineRule="auto"/>
              <w:ind w:left="1" w:right="0" w:firstLine="0"/>
              <w:jc w:val="center"/>
            </w:pPr>
            <w:r>
              <w:rPr>
                <w:sz w:val="20"/>
              </w:rPr>
              <w:t xml:space="preserve"> </w:t>
            </w:r>
          </w:p>
        </w:tc>
        <w:tc>
          <w:tcPr>
            <w:tcW w:w="421"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1" w:right="0" w:firstLine="0"/>
              <w:jc w:val="center"/>
            </w:pPr>
            <w:r>
              <w:rPr>
                <w:sz w:val="20"/>
              </w:rPr>
              <w:t xml:space="preserve"> </w:t>
            </w:r>
          </w:p>
        </w:tc>
        <w:tc>
          <w:tcPr>
            <w:tcW w:w="422"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2" w:right="0" w:firstLine="0"/>
              <w:jc w:val="center"/>
            </w:pPr>
            <w:r>
              <w:rPr>
                <w:sz w:val="20"/>
              </w:rPr>
              <w:t xml:space="preserve"> </w:t>
            </w:r>
          </w:p>
        </w:tc>
        <w:tc>
          <w:tcPr>
            <w:tcW w:w="421" w:type="dxa"/>
            <w:tcBorders>
              <w:top w:val="single" w:sz="4" w:space="0" w:color="000000"/>
              <w:left w:val="single" w:sz="4" w:space="0" w:color="000000"/>
              <w:bottom w:val="single" w:sz="4" w:space="0" w:color="000000"/>
              <w:right w:val="single" w:sz="8" w:space="0" w:color="000000"/>
            </w:tcBorders>
            <w:vAlign w:val="center"/>
          </w:tcPr>
          <w:p w:rsidR="00E8309B" w:rsidRDefault="009D0949">
            <w:pPr>
              <w:spacing w:after="0" w:line="259" w:lineRule="auto"/>
              <w:ind w:left="4" w:right="0" w:firstLine="0"/>
              <w:jc w:val="center"/>
            </w:pPr>
            <w:r>
              <w:rPr>
                <w:sz w:val="20"/>
              </w:rPr>
              <w:t xml:space="preserve"> </w:t>
            </w:r>
          </w:p>
        </w:tc>
        <w:tc>
          <w:tcPr>
            <w:tcW w:w="424" w:type="dxa"/>
            <w:tcBorders>
              <w:top w:val="single" w:sz="4" w:space="0" w:color="000000"/>
              <w:left w:val="single" w:sz="8"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4" w:right="0" w:firstLine="0"/>
              <w:jc w:val="center"/>
            </w:pPr>
            <w:r>
              <w:rPr>
                <w:sz w:val="20"/>
              </w:rPr>
              <w:t xml:space="preserve"> </w:t>
            </w:r>
          </w:p>
        </w:tc>
        <w:tc>
          <w:tcPr>
            <w:tcW w:w="421"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4" w:right="0" w:firstLine="0"/>
              <w:jc w:val="center"/>
            </w:pPr>
            <w:r>
              <w:rPr>
                <w:sz w:val="20"/>
              </w:rPr>
              <w:t xml:space="preserve"> </w:t>
            </w:r>
          </w:p>
        </w:tc>
        <w:tc>
          <w:tcPr>
            <w:tcW w:w="423"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5" w:right="0" w:firstLine="0"/>
              <w:jc w:val="center"/>
            </w:pPr>
            <w:r>
              <w:rPr>
                <w:sz w:val="20"/>
              </w:rPr>
              <w:t xml:space="preserve"> </w:t>
            </w:r>
          </w:p>
        </w:tc>
        <w:tc>
          <w:tcPr>
            <w:tcW w:w="420" w:type="dxa"/>
            <w:tcBorders>
              <w:top w:val="single" w:sz="4" w:space="0" w:color="000000"/>
              <w:left w:val="single" w:sz="4" w:space="0" w:color="000000"/>
              <w:bottom w:val="single" w:sz="4" w:space="0" w:color="000000"/>
              <w:right w:val="single" w:sz="8" w:space="0" w:color="000000"/>
            </w:tcBorders>
            <w:shd w:val="clear" w:color="auto" w:fill="BFBFBF"/>
            <w:vAlign w:val="center"/>
          </w:tcPr>
          <w:p w:rsidR="00E8309B" w:rsidRDefault="009D0949">
            <w:pPr>
              <w:spacing w:after="0" w:line="259" w:lineRule="auto"/>
              <w:ind w:left="2" w:right="0" w:firstLine="0"/>
              <w:jc w:val="center"/>
            </w:pPr>
            <w:r>
              <w:rPr>
                <w:sz w:val="20"/>
              </w:rPr>
              <w:t xml:space="preserve"> </w:t>
            </w:r>
          </w:p>
        </w:tc>
        <w:tc>
          <w:tcPr>
            <w:tcW w:w="424" w:type="dxa"/>
            <w:tcBorders>
              <w:top w:val="single" w:sz="4" w:space="0" w:color="000000"/>
              <w:left w:val="single" w:sz="8" w:space="0" w:color="000000"/>
              <w:bottom w:val="single" w:sz="4" w:space="0" w:color="000000"/>
              <w:right w:val="single" w:sz="4" w:space="0" w:color="000000"/>
            </w:tcBorders>
            <w:vAlign w:val="center"/>
          </w:tcPr>
          <w:p w:rsidR="00E8309B" w:rsidRDefault="009D0949">
            <w:pPr>
              <w:spacing w:after="0" w:line="259" w:lineRule="auto"/>
              <w:ind w:left="4" w:right="0" w:firstLine="0"/>
              <w:jc w:val="center"/>
            </w:pPr>
            <w:r>
              <w:rPr>
                <w:sz w:val="20"/>
              </w:rPr>
              <w:t xml:space="preserve"> </w:t>
            </w:r>
          </w:p>
        </w:tc>
        <w:tc>
          <w:tcPr>
            <w:tcW w:w="422"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2" w:right="0" w:firstLine="0"/>
              <w:jc w:val="center"/>
            </w:pPr>
            <w:r>
              <w:rPr>
                <w:sz w:val="20"/>
              </w:rPr>
              <w:t xml:space="preserve"> </w:t>
            </w:r>
          </w:p>
        </w:tc>
        <w:tc>
          <w:tcPr>
            <w:tcW w:w="422"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2" w:right="0" w:firstLine="0"/>
              <w:jc w:val="center"/>
            </w:pPr>
            <w:r>
              <w:rPr>
                <w:sz w:val="20"/>
              </w:rPr>
              <w:t xml:space="preserve"> </w:t>
            </w:r>
          </w:p>
        </w:tc>
        <w:tc>
          <w:tcPr>
            <w:tcW w:w="420" w:type="dxa"/>
            <w:tcBorders>
              <w:top w:val="single" w:sz="4" w:space="0" w:color="000000"/>
              <w:left w:val="single" w:sz="4" w:space="0" w:color="000000"/>
              <w:bottom w:val="single" w:sz="4" w:space="0" w:color="000000"/>
              <w:right w:val="single" w:sz="8" w:space="0" w:color="000000"/>
            </w:tcBorders>
            <w:vAlign w:val="center"/>
          </w:tcPr>
          <w:p w:rsidR="00E8309B" w:rsidRDefault="009D0949">
            <w:pPr>
              <w:spacing w:after="0" w:line="259" w:lineRule="auto"/>
              <w:ind w:left="5" w:right="0" w:firstLine="0"/>
              <w:jc w:val="center"/>
            </w:pPr>
            <w:r>
              <w:rPr>
                <w:sz w:val="20"/>
              </w:rPr>
              <w:t xml:space="preserve"> </w:t>
            </w:r>
          </w:p>
        </w:tc>
      </w:tr>
      <w:tr w:rsidR="00E8309B">
        <w:trPr>
          <w:trHeight w:val="470"/>
        </w:trPr>
        <w:tc>
          <w:tcPr>
            <w:tcW w:w="427" w:type="dxa"/>
            <w:tcBorders>
              <w:top w:val="single" w:sz="4" w:space="0" w:color="000000"/>
              <w:left w:val="single" w:sz="8" w:space="0" w:color="000000"/>
              <w:bottom w:val="single" w:sz="4" w:space="0" w:color="000000"/>
              <w:right w:val="single" w:sz="8" w:space="0" w:color="000000"/>
            </w:tcBorders>
          </w:tcPr>
          <w:p w:rsidR="00E8309B" w:rsidRDefault="009D0949">
            <w:pPr>
              <w:spacing w:after="0" w:line="259" w:lineRule="auto"/>
              <w:ind w:left="0" w:right="51" w:firstLine="0"/>
              <w:jc w:val="right"/>
            </w:pPr>
            <w:r>
              <w:rPr>
                <w:sz w:val="20"/>
              </w:rPr>
              <w:t xml:space="preserve">4 </w:t>
            </w:r>
          </w:p>
        </w:tc>
        <w:tc>
          <w:tcPr>
            <w:tcW w:w="4123" w:type="dxa"/>
            <w:tcBorders>
              <w:top w:val="single" w:sz="4" w:space="0" w:color="000000"/>
              <w:left w:val="single" w:sz="8" w:space="0" w:color="000000"/>
              <w:bottom w:val="single" w:sz="4" w:space="0" w:color="000000"/>
              <w:right w:val="single" w:sz="8" w:space="0" w:color="000000"/>
            </w:tcBorders>
          </w:tcPr>
          <w:p w:rsidR="00E8309B" w:rsidRDefault="009D0949">
            <w:pPr>
              <w:spacing w:after="0" w:line="259" w:lineRule="auto"/>
              <w:ind w:left="0" w:right="0" w:firstLine="0"/>
              <w:jc w:val="left"/>
            </w:pPr>
            <w:r>
              <w:rPr>
                <w:sz w:val="20"/>
              </w:rPr>
              <w:t xml:space="preserve">Развој дистрибуционе базе података за просторне и урбанистичке планове </w:t>
            </w:r>
          </w:p>
        </w:tc>
        <w:tc>
          <w:tcPr>
            <w:tcW w:w="419" w:type="dxa"/>
            <w:tcBorders>
              <w:top w:val="single" w:sz="4" w:space="0" w:color="000000"/>
              <w:left w:val="single" w:sz="8" w:space="0" w:color="000000"/>
              <w:bottom w:val="single" w:sz="4" w:space="0" w:color="000000"/>
              <w:right w:val="single" w:sz="4" w:space="0" w:color="000000"/>
            </w:tcBorders>
            <w:vAlign w:val="center"/>
          </w:tcPr>
          <w:p w:rsidR="00E8309B" w:rsidRDefault="009D0949">
            <w:pPr>
              <w:spacing w:after="0" w:line="259" w:lineRule="auto"/>
              <w:ind w:left="1" w:right="0" w:firstLine="0"/>
              <w:jc w:val="center"/>
            </w:pPr>
            <w:r>
              <w:rPr>
                <w:sz w:val="20"/>
              </w:rPr>
              <w:t xml:space="preserve"> </w:t>
            </w:r>
          </w:p>
        </w:tc>
        <w:tc>
          <w:tcPr>
            <w:tcW w:w="421"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1" w:right="0" w:firstLine="0"/>
              <w:jc w:val="center"/>
            </w:pPr>
            <w:r>
              <w:rPr>
                <w:sz w:val="20"/>
              </w:rPr>
              <w:t xml:space="preserve"> </w:t>
            </w:r>
          </w:p>
        </w:tc>
        <w:tc>
          <w:tcPr>
            <w:tcW w:w="422"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2" w:right="0" w:firstLine="0"/>
              <w:jc w:val="center"/>
            </w:pPr>
            <w:r>
              <w:rPr>
                <w:sz w:val="20"/>
              </w:rPr>
              <w:t xml:space="preserve"> </w:t>
            </w:r>
          </w:p>
        </w:tc>
        <w:tc>
          <w:tcPr>
            <w:tcW w:w="421" w:type="dxa"/>
            <w:tcBorders>
              <w:top w:val="single" w:sz="4" w:space="0" w:color="000000"/>
              <w:left w:val="single" w:sz="4" w:space="0" w:color="000000"/>
              <w:bottom w:val="single" w:sz="4" w:space="0" w:color="000000"/>
              <w:right w:val="single" w:sz="8" w:space="0" w:color="000000"/>
            </w:tcBorders>
            <w:vAlign w:val="center"/>
          </w:tcPr>
          <w:p w:rsidR="00E8309B" w:rsidRDefault="009D0949">
            <w:pPr>
              <w:spacing w:after="0" w:line="259" w:lineRule="auto"/>
              <w:ind w:left="4" w:right="0" w:firstLine="0"/>
              <w:jc w:val="center"/>
            </w:pPr>
            <w:r>
              <w:rPr>
                <w:sz w:val="20"/>
              </w:rPr>
              <w:t xml:space="preserve"> </w:t>
            </w:r>
          </w:p>
        </w:tc>
        <w:tc>
          <w:tcPr>
            <w:tcW w:w="424" w:type="dxa"/>
            <w:tcBorders>
              <w:top w:val="single" w:sz="4" w:space="0" w:color="000000"/>
              <w:left w:val="single" w:sz="8" w:space="0" w:color="000000"/>
              <w:bottom w:val="single" w:sz="4" w:space="0" w:color="000000"/>
              <w:right w:val="single" w:sz="4" w:space="0" w:color="000000"/>
            </w:tcBorders>
            <w:vAlign w:val="center"/>
          </w:tcPr>
          <w:p w:rsidR="00E8309B" w:rsidRDefault="009D0949">
            <w:pPr>
              <w:spacing w:after="0" w:line="259" w:lineRule="auto"/>
              <w:ind w:left="4" w:right="0" w:firstLine="0"/>
              <w:jc w:val="center"/>
            </w:pPr>
            <w:r>
              <w:rPr>
                <w:sz w:val="20"/>
              </w:rPr>
              <w:t xml:space="preserve"> </w:t>
            </w:r>
          </w:p>
        </w:tc>
        <w:tc>
          <w:tcPr>
            <w:tcW w:w="421"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4" w:right="0" w:firstLine="0"/>
              <w:jc w:val="center"/>
            </w:pPr>
            <w:r>
              <w:rPr>
                <w:sz w:val="20"/>
              </w:rPr>
              <w:t xml:space="preserve"> </w:t>
            </w:r>
          </w:p>
        </w:tc>
        <w:tc>
          <w:tcPr>
            <w:tcW w:w="423"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5" w:right="0" w:firstLine="0"/>
              <w:jc w:val="center"/>
            </w:pPr>
            <w:r>
              <w:rPr>
                <w:sz w:val="20"/>
              </w:rPr>
              <w:t xml:space="preserve"> </w:t>
            </w:r>
          </w:p>
        </w:tc>
        <w:tc>
          <w:tcPr>
            <w:tcW w:w="420" w:type="dxa"/>
            <w:tcBorders>
              <w:top w:val="single" w:sz="4" w:space="0" w:color="000000"/>
              <w:left w:val="single" w:sz="4" w:space="0" w:color="000000"/>
              <w:bottom w:val="single" w:sz="4" w:space="0" w:color="000000"/>
              <w:right w:val="single" w:sz="8" w:space="0" w:color="000000"/>
            </w:tcBorders>
            <w:shd w:val="clear" w:color="auto" w:fill="BFBFBF"/>
            <w:vAlign w:val="center"/>
          </w:tcPr>
          <w:p w:rsidR="00E8309B" w:rsidRDefault="009D0949">
            <w:pPr>
              <w:spacing w:after="0" w:line="259" w:lineRule="auto"/>
              <w:ind w:left="2" w:right="0" w:firstLine="0"/>
              <w:jc w:val="center"/>
            </w:pPr>
            <w:r>
              <w:rPr>
                <w:sz w:val="20"/>
              </w:rPr>
              <w:t xml:space="preserve"> </w:t>
            </w:r>
          </w:p>
        </w:tc>
        <w:tc>
          <w:tcPr>
            <w:tcW w:w="424" w:type="dxa"/>
            <w:tcBorders>
              <w:top w:val="single" w:sz="4" w:space="0" w:color="000000"/>
              <w:left w:val="single" w:sz="8" w:space="0" w:color="000000"/>
              <w:bottom w:val="single" w:sz="4" w:space="0" w:color="000000"/>
              <w:right w:val="single" w:sz="4" w:space="0" w:color="000000"/>
            </w:tcBorders>
            <w:vAlign w:val="center"/>
          </w:tcPr>
          <w:p w:rsidR="00E8309B" w:rsidRDefault="009D0949">
            <w:pPr>
              <w:spacing w:after="0" w:line="259" w:lineRule="auto"/>
              <w:ind w:left="4" w:right="0" w:firstLine="0"/>
              <w:jc w:val="center"/>
            </w:pPr>
            <w:r>
              <w:rPr>
                <w:sz w:val="20"/>
              </w:rPr>
              <w:t xml:space="preserve"> </w:t>
            </w:r>
          </w:p>
        </w:tc>
        <w:tc>
          <w:tcPr>
            <w:tcW w:w="422"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2" w:right="0" w:firstLine="0"/>
              <w:jc w:val="center"/>
            </w:pPr>
            <w:r>
              <w:rPr>
                <w:sz w:val="20"/>
              </w:rPr>
              <w:t xml:space="preserve"> </w:t>
            </w:r>
          </w:p>
        </w:tc>
        <w:tc>
          <w:tcPr>
            <w:tcW w:w="422"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2" w:right="0" w:firstLine="0"/>
              <w:jc w:val="center"/>
            </w:pPr>
            <w:r>
              <w:rPr>
                <w:sz w:val="20"/>
              </w:rPr>
              <w:t xml:space="preserve"> </w:t>
            </w:r>
          </w:p>
        </w:tc>
        <w:tc>
          <w:tcPr>
            <w:tcW w:w="420" w:type="dxa"/>
            <w:tcBorders>
              <w:top w:val="single" w:sz="4" w:space="0" w:color="000000"/>
              <w:left w:val="single" w:sz="4" w:space="0" w:color="000000"/>
              <w:bottom w:val="single" w:sz="4" w:space="0" w:color="000000"/>
              <w:right w:val="single" w:sz="8" w:space="0" w:color="000000"/>
            </w:tcBorders>
            <w:vAlign w:val="center"/>
          </w:tcPr>
          <w:p w:rsidR="00E8309B" w:rsidRDefault="009D0949">
            <w:pPr>
              <w:spacing w:after="0" w:line="259" w:lineRule="auto"/>
              <w:ind w:left="5" w:right="0" w:firstLine="0"/>
              <w:jc w:val="center"/>
            </w:pPr>
            <w:r>
              <w:rPr>
                <w:sz w:val="20"/>
              </w:rPr>
              <w:t xml:space="preserve"> </w:t>
            </w:r>
          </w:p>
        </w:tc>
      </w:tr>
      <w:tr w:rsidR="00E8309B">
        <w:trPr>
          <w:trHeight w:val="470"/>
        </w:trPr>
        <w:tc>
          <w:tcPr>
            <w:tcW w:w="427" w:type="dxa"/>
            <w:tcBorders>
              <w:top w:val="single" w:sz="4" w:space="0" w:color="000000"/>
              <w:left w:val="single" w:sz="8" w:space="0" w:color="000000"/>
              <w:bottom w:val="single" w:sz="4" w:space="0" w:color="000000"/>
              <w:right w:val="single" w:sz="8" w:space="0" w:color="000000"/>
            </w:tcBorders>
          </w:tcPr>
          <w:p w:rsidR="00E8309B" w:rsidRDefault="009D0949">
            <w:pPr>
              <w:spacing w:after="0" w:line="259" w:lineRule="auto"/>
              <w:ind w:left="0" w:right="51" w:firstLine="0"/>
              <w:jc w:val="right"/>
            </w:pPr>
            <w:r>
              <w:rPr>
                <w:sz w:val="20"/>
              </w:rPr>
              <w:t xml:space="preserve">5 </w:t>
            </w:r>
          </w:p>
        </w:tc>
        <w:tc>
          <w:tcPr>
            <w:tcW w:w="4123" w:type="dxa"/>
            <w:tcBorders>
              <w:top w:val="single" w:sz="4" w:space="0" w:color="000000"/>
              <w:left w:val="single" w:sz="8" w:space="0" w:color="000000"/>
              <w:bottom w:val="single" w:sz="4" w:space="0" w:color="000000"/>
              <w:right w:val="single" w:sz="8" w:space="0" w:color="000000"/>
            </w:tcBorders>
          </w:tcPr>
          <w:p w:rsidR="00E8309B" w:rsidRDefault="009D0949">
            <w:pPr>
              <w:spacing w:after="0" w:line="259" w:lineRule="auto"/>
              <w:ind w:left="0" w:right="0" w:firstLine="0"/>
              <w:jc w:val="left"/>
            </w:pPr>
            <w:r>
              <w:rPr>
                <w:sz w:val="20"/>
              </w:rPr>
              <w:t xml:space="preserve">Дигитализација података просторних и урбанистичких планова (пилот - подручја) </w:t>
            </w:r>
          </w:p>
        </w:tc>
        <w:tc>
          <w:tcPr>
            <w:tcW w:w="419" w:type="dxa"/>
            <w:tcBorders>
              <w:top w:val="single" w:sz="4" w:space="0" w:color="000000"/>
              <w:left w:val="single" w:sz="8" w:space="0" w:color="000000"/>
              <w:bottom w:val="single" w:sz="4" w:space="0" w:color="000000"/>
              <w:right w:val="single" w:sz="4" w:space="0" w:color="000000"/>
            </w:tcBorders>
            <w:vAlign w:val="center"/>
          </w:tcPr>
          <w:p w:rsidR="00E8309B" w:rsidRDefault="009D0949">
            <w:pPr>
              <w:spacing w:after="0" w:line="259" w:lineRule="auto"/>
              <w:ind w:left="1" w:right="0" w:firstLine="0"/>
              <w:jc w:val="center"/>
            </w:pPr>
            <w:r>
              <w:rPr>
                <w:sz w:val="20"/>
              </w:rPr>
              <w:t xml:space="preserve"> </w:t>
            </w:r>
          </w:p>
        </w:tc>
        <w:tc>
          <w:tcPr>
            <w:tcW w:w="421"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1" w:right="0" w:firstLine="0"/>
              <w:jc w:val="center"/>
            </w:pPr>
            <w:r>
              <w:rPr>
                <w:sz w:val="20"/>
              </w:rPr>
              <w:t xml:space="preserve"> </w:t>
            </w:r>
          </w:p>
        </w:tc>
        <w:tc>
          <w:tcPr>
            <w:tcW w:w="422"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2" w:right="0" w:firstLine="0"/>
              <w:jc w:val="center"/>
            </w:pPr>
            <w:r>
              <w:rPr>
                <w:sz w:val="20"/>
              </w:rPr>
              <w:t xml:space="preserve"> </w:t>
            </w:r>
          </w:p>
        </w:tc>
        <w:tc>
          <w:tcPr>
            <w:tcW w:w="421" w:type="dxa"/>
            <w:tcBorders>
              <w:top w:val="single" w:sz="4" w:space="0" w:color="000000"/>
              <w:left w:val="single" w:sz="4" w:space="0" w:color="000000"/>
              <w:bottom w:val="single" w:sz="4" w:space="0" w:color="000000"/>
              <w:right w:val="single" w:sz="8" w:space="0" w:color="000000"/>
            </w:tcBorders>
            <w:vAlign w:val="center"/>
          </w:tcPr>
          <w:p w:rsidR="00E8309B" w:rsidRDefault="009D0949">
            <w:pPr>
              <w:spacing w:after="0" w:line="259" w:lineRule="auto"/>
              <w:ind w:left="4" w:right="0" w:firstLine="0"/>
              <w:jc w:val="center"/>
            </w:pPr>
            <w:r>
              <w:rPr>
                <w:sz w:val="20"/>
              </w:rPr>
              <w:t xml:space="preserve"> </w:t>
            </w:r>
          </w:p>
        </w:tc>
        <w:tc>
          <w:tcPr>
            <w:tcW w:w="424" w:type="dxa"/>
            <w:tcBorders>
              <w:top w:val="single" w:sz="4" w:space="0" w:color="000000"/>
              <w:left w:val="single" w:sz="8"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4" w:right="0" w:firstLine="0"/>
              <w:jc w:val="center"/>
            </w:pPr>
            <w:r>
              <w:rPr>
                <w:sz w:val="20"/>
              </w:rPr>
              <w:t xml:space="preserve"> </w:t>
            </w:r>
          </w:p>
        </w:tc>
        <w:tc>
          <w:tcPr>
            <w:tcW w:w="421"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4" w:right="0" w:firstLine="0"/>
              <w:jc w:val="center"/>
            </w:pPr>
            <w:r>
              <w:rPr>
                <w:sz w:val="20"/>
              </w:rPr>
              <w:t xml:space="preserve"> </w:t>
            </w:r>
          </w:p>
        </w:tc>
        <w:tc>
          <w:tcPr>
            <w:tcW w:w="423"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5" w:right="0" w:firstLine="0"/>
              <w:jc w:val="center"/>
            </w:pPr>
            <w:r>
              <w:rPr>
                <w:sz w:val="20"/>
              </w:rPr>
              <w:t xml:space="preserve"> </w:t>
            </w:r>
          </w:p>
        </w:tc>
        <w:tc>
          <w:tcPr>
            <w:tcW w:w="420" w:type="dxa"/>
            <w:tcBorders>
              <w:top w:val="single" w:sz="4" w:space="0" w:color="000000"/>
              <w:left w:val="single" w:sz="4" w:space="0" w:color="000000"/>
              <w:bottom w:val="single" w:sz="4" w:space="0" w:color="000000"/>
              <w:right w:val="single" w:sz="8" w:space="0" w:color="000000"/>
            </w:tcBorders>
            <w:shd w:val="clear" w:color="auto" w:fill="BFBFBF"/>
            <w:vAlign w:val="center"/>
          </w:tcPr>
          <w:p w:rsidR="00E8309B" w:rsidRDefault="009D0949">
            <w:pPr>
              <w:spacing w:after="0" w:line="259" w:lineRule="auto"/>
              <w:ind w:left="2" w:right="0" w:firstLine="0"/>
              <w:jc w:val="center"/>
            </w:pPr>
            <w:r>
              <w:rPr>
                <w:sz w:val="20"/>
              </w:rPr>
              <w:t xml:space="preserve"> </w:t>
            </w:r>
          </w:p>
        </w:tc>
        <w:tc>
          <w:tcPr>
            <w:tcW w:w="424" w:type="dxa"/>
            <w:tcBorders>
              <w:top w:val="single" w:sz="4" w:space="0" w:color="000000"/>
              <w:left w:val="single" w:sz="8"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4" w:right="0" w:firstLine="0"/>
              <w:jc w:val="center"/>
            </w:pPr>
            <w:r>
              <w:rPr>
                <w:sz w:val="20"/>
              </w:rPr>
              <w:t xml:space="preserve"> </w:t>
            </w:r>
          </w:p>
        </w:tc>
        <w:tc>
          <w:tcPr>
            <w:tcW w:w="422"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2" w:right="0" w:firstLine="0"/>
              <w:jc w:val="center"/>
            </w:pPr>
            <w:r>
              <w:rPr>
                <w:sz w:val="20"/>
              </w:rPr>
              <w:t xml:space="preserve"> </w:t>
            </w:r>
          </w:p>
        </w:tc>
        <w:tc>
          <w:tcPr>
            <w:tcW w:w="422"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2" w:right="0" w:firstLine="0"/>
              <w:jc w:val="center"/>
            </w:pPr>
            <w:r>
              <w:rPr>
                <w:sz w:val="20"/>
              </w:rPr>
              <w:t xml:space="preserve"> </w:t>
            </w:r>
          </w:p>
        </w:tc>
        <w:tc>
          <w:tcPr>
            <w:tcW w:w="420" w:type="dxa"/>
            <w:tcBorders>
              <w:top w:val="single" w:sz="4" w:space="0" w:color="000000"/>
              <w:left w:val="single" w:sz="4" w:space="0" w:color="000000"/>
              <w:bottom w:val="single" w:sz="4" w:space="0" w:color="000000"/>
              <w:right w:val="single" w:sz="8" w:space="0" w:color="000000"/>
            </w:tcBorders>
            <w:vAlign w:val="center"/>
          </w:tcPr>
          <w:p w:rsidR="00E8309B" w:rsidRDefault="009D0949">
            <w:pPr>
              <w:spacing w:after="0" w:line="259" w:lineRule="auto"/>
              <w:ind w:left="5" w:right="0" w:firstLine="0"/>
              <w:jc w:val="center"/>
            </w:pPr>
            <w:r>
              <w:rPr>
                <w:sz w:val="20"/>
              </w:rPr>
              <w:t xml:space="preserve"> </w:t>
            </w:r>
          </w:p>
        </w:tc>
      </w:tr>
      <w:tr w:rsidR="00E8309B">
        <w:trPr>
          <w:trHeight w:val="701"/>
        </w:trPr>
        <w:tc>
          <w:tcPr>
            <w:tcW w:w="427" w:type="dxa"/>
            <w:tcBorders>
              <w:top w:val="single" w:sz="4" w:space="0" w:color="000000"/>
              <w:left w:val="single" w:sz="8" w:space="0" w:color="000000"/>
              <w:bottom w:val="single" w:sz="4" w:space="0" w:color="000000"/>
              <w:right w:val="single" w:sz="8" w:space="0" w:color="000000"/>
            </w:tcBorders>
          </w:tcPr>
          <w:p w:rsidR="00E8309B" w:rsidRDefault="009D0949">
            <w:pPr>
              <w:spacing w:after="0" w:line="259" w:lineRule="auto"/>
              <w:ind w:left="0" w:right="51" w:firstLine="0"/>
              <w:jc w:val="right"/>
            </w:pPr>
            <w:r>
              <w:rPr>
                <w:sz w:val="20"/>
              </w:rPr>
              <w:t xml:space="preserve">6 </w:t>
            </w:r>
          </w:p>
        </w:tc>
        <w:tc>
          <w:tcPr>
            <w:tcW w:w="4123" w:type="dxa"/>
            <w:tcBorders>
              <w:top w:val="single" w:sz="4" w:space="0" w:color="000000"/>
              <w:left w:val="single" w:sz="8" w:space="0" w:color="000000"/>
              <w:bottom w:val="single" w:sz="4" w:space="0" w:color="000000"/>
              <w:right w:val="single" w:sz="8" w:space="0" w:color="000000"/>
            </w:tcBorders>
          </w:tcPr>
          <w:p w:rsidR="00E8309B" w:rsidRDefault="009D0949">
            <w:pPr>
              <w:spacing w:after="0" w:line="259" w:lineRule="auto"/>
              <w:ind w:left="0" w:right="47" w:firstLine="0"/>
              <w:jc w:val="left"/>
            </w:pPr>
            <w:r>
              <w:rPr>
                <w:sz w:val="20"/>
              </w:rPr>
              <w:t xml:space="preserve">Успостављање дигиталне платформе еПростор (укључујући систем епартиципације) </w:t>
            </w:r>
          </w:p>
        </w:tc>
        <w:tc>
          <w:tcPr>
            <w:tcW w:w="419" w:type="dxa"/>
            <w:tcBorders>
              <w:top w:val="single" w:sz="4" w:space="0" w:color="000000"/>
              <w:left w:val="single" w:sz="8" w:space="0" w:color="000000"/>
              <w:bottom w:val="single" w:sz="4" w:space="0" w:color="000000"/>
              <w:right w:val="single" w:sz="4" w:space="0" w:color="000000"/>
            </w:tcBorders>
            <w:vAlign w:val="center"/>
          </w:tcPr>
          <w:p w:rsidR="00E8309B" w:rsidRDefault="009D0949">
            <w:pPr>
              <w:spacing w:after="0" w:line="259" w:lineRule="auto"/>
              <w:ind w:left="1" w:right="0" w:firstLine="0"/>
              <w:jc w:val="center"/>
            </w:pPr>
            <w:r>
              <w:rPr>
                <w:sz w:val="20"/>
              </w:rPr>
              <w:t xml:space="preserve"> </w:t>
            </w:r>
          </w:p>
        </w:tc>
        <w:tc>
          <w:tcPr>
            <w:tcW w:w="421"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1" w:right="0" w:firstLine="0"/>
              <w:jc w:val="center"/>
            </w:pPr>
            <w:r>
              <w:rPr>
                <w:sz w:val="20"/>
              </w:rPr>
              <w:t xml:space="preserve"> </w:t>
            </w:r>
          </w:p>
        </w:tc>
        <w:tc>
          <w:tcPr>
            <w:tcW w:w="422"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2" w:right="0" w:firstLine="0"/>
              <w:jc w:val="center"/>
            </w:pPr>
            <w:r>
              <w:rPr>
                <w:sz w:val="20"/>
              </w:rPr>
              <w:t xml:space="preserve"> </w:t>
            </w:r>
          </w:p>
        </w:tc>
        <w:tc>
          <w:tcPr>
            <w:tcW w:w="421" w:type="dxa"/>
            <w:tcBorders>
              <w:top w:val="single" w:sz="4" w:space="0" w:color="000000"/>
              <w:left w:val="single" w:sz="4" w:space="0" w:color="000000"/>
              <w:bottom w:val="single" w:sz="4" w:space="0" w:color="000000"/>
              <w:right w:val="single" w:sz="8" w:space="0" w:color="000000"/>
            </w:tcBorders>
            <w:vAlign w:val="center"/>
          </w:tcPr>
          <w:p w:rsidR="00E8309B" w:rsidRDefault="009D0949">
            <w:pPr>
              <w:spacing w:after="0" w:line="259" w:lineRule="auto"/>
              <w:ind w:left="4" w:right="0" w:firstLine="0"/>
              <w:jc w:val="center"/>
            </w:pPr>
            <w:r>
              <w:rPr>
                <w:sz w:val="20"/>
              </w:rPr>
              <w:t xml:space="preserve"> </w:t>
            </w:r>
          </w:p>
        </w:tc>
        <w:tc>
          <w:tcPr>
            <w:tcW w:w="424" w:type="dxa"/>
            <w:tcBorders>
              <w:top w:val="single" w:sz="4" w:space="0" w:color="000000"/>
              <w:left w:val="single" w:sz="8" w:space="0" w:color="000000"/>
              <w:bottom w:val="single" w:sz="4" w:space="0" w:color="000000"/>
              <w:right w:val="single" w:sz="4" w:space="0" w:color="000000"/>
            </w:tcBorders>
            <w:vAlign w:val="center"/>
          </w:tcPr>
          <w:p w:rsidR="00E8309B" w:rsidRDefault="009D0949">
            <w:pPr>
              <w:spacing w:after="0" w:line="259" w:lineRule="auto"/>
              <w:ind w:left="4" w:right="0" w:firstLine="0"/>
              <w:jc w:val="center"/>
            </w:pPr>
            <w:r>
              <w:rPr>
                <w:sz w:val="20"/>
              </w:rPr>
              <w:t xml:space="preserve"> </w:t>
            </w:r>
          </w:p>
        </w:tc>
        <w:tc>
          <w:tcPr>
            <w:tcW w:w="421"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4" w:right="0" w:firstLine="0"/>
              <w:jc w:val="center"/>
            </w:pPr>
            <w:r>
              <w:rPr>
                <w:sz w:val="20"/>
              </w:rPr>
              <w:t xml:space="preserve"> </w:t>
            </w:r>
          </w:p>
        </w:tc>
        <w:tc>
          <w:tcPr>
            <w:tcW w:w="423"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5" w:right="0" w:firstLine="0"/>
              <w:jc w:val="center"/>
            </w:pPr>
            <w:r>
              <w:rPr>
                <w:sz w:val="20"/>
              </w:rPr>
              <w:t xml:space="preserve"> </w:t>
            </w:r>
          </w:p>
        </w:tc>
        <w:tc>
          <w:tcPr>
            <w:tcW w:w="420" w:type="dxa"/>
            <w:tcBorders>
              <w:top w:val="single" w:sz="4" w:space="0" w:color="000000"/>
              <w:left w:val="single" w:sz="4" w:space="0" w:color="000000"/>
              <w:bottom w:val="single" w:sz="4" w:space="0" w:color="000000"/>
              <w:right w:val="single" w:sz="8" w:space="0" w:color="000000"/>
            </w:tcBorders>
            <w:shd w:val="clear" w:color="auto" w:fill="BFBFBF"/>
            <w:vAlign w:val="center"/>
          </w:tcPr>
          <w:p w:rsidR="00E8309B" w:rsidRDefault="009D0949">
            <w:pPr>
              <w:spacing w:after="0" w:line="259" w:lineRule="auto"/>
              <w:ind w:left="2" w:right="0" w:firstLine="0"/>
              <w:jc w:val="center"/>
            </w:pPr>
            <w:r>
              <w:rPr>
                <w:sz w:val="20"/>
              </w:rPr>
              <w:t xml:space="preserve"> </w:t>
            </w:r>
          </w:p>
        </w:tc>
        <w:tc>
          <w:tcPr>
            <w:tcW w:w="424" w:type="dxa"/>
            <w:tcBorders>
              <w:top w:val="single" w:sz="4" w:space="0" w:color="000000"/>
              <w:left w:val="single" w:sz="8"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4" w:right="0" w:firstLine="0"/>
              <w:jc w:val="center"/>
            </w:pPr>
            <w:r>
              <w:rPr>
                <w:sz w:val="20"/>
              </w:rPr>
              <w:t xml:space="preserve"> </w:t>
            </w:r>
          </w:p>
        </w:tc>
        <w:tc>
          <w:tcPr>
            <w:tcW w:w="422"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2" w:right="0" w:firstLine="0"/>
              <w:jc w:val="center"/>
            </w:pPr>
            <w:r>
              <w:rPr>
                <w:sz w:val="20"/>
              </w:rPr>
              <w:t xml:space="preserve"> </w:t>
            </w:r>
          </w:p>
        </w:tc>
        <w:tc>
          <w:tcPr>
            <w:tcW w:w="422"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2" w:right="0" w:firstLine="0"/>
              <w:jc w:val="center"/>
            </w:pPr>
            <w:r>
              <w:rPr>
                <w:sz w:val="20"/>
              </w:rPr>
              <w:t xml:space="preserve"> </w:t>
            </w:r>
          </w:p>
        </w:tc>
        <w:tc>
          <w:tcPr>
            <w:tcW w:w="420" w:type="dxa"/>
            <w:tcBorders>
              <w:top w:val="single" w:sz="4" w:space="0" w:color="000000"/>
              <w:left w:val="single" w:sz="4" w:space="0" w:color="000000"/>
              <w:bottom w:val="single" w:sz="4" w:space="0" w:color="000000"/>
              <w:right w:val="single" w:sz="8" w:space="0" w:color="000000"/>
            </w:tcBorders>
            <w:shd w:val="clear" w:color="auto" w:fill="BFBFBF"/>
            <w:vAlign w:val="center"/>
          </w:tcPr>
          <w:p w:rsidR="00E8309B" w:rsidRDefault="009D0949">
            <w:pPr>
              <w:spacing w:after="0" w:line="259" w:lineRule="auto"/>
              <w:ind w:left="5" w:right="0" w:firstLine="0"/>
              <w:jc w:val="center"/>
            </w:pPr>
            <w:r>
              <w:rPr>
                <w:sz w:val="20"/>
              </w:rPr>
              <w:t xml:space="preserve"> </w:t>
            </w:r>
          </w:p>
        </w:tc>
      </w:tr>
      <w:tr w:rsidR="00E8309B">
        <w:trPr>
          <w:trHeight w:val="698"/>
        </w:trPr>
        <w:tc>
          <w:tcPr>
            <w:tcW w:w="427" w:type="dxa"/>
            <w:tcBorders>
              <w:top w:val="single" w:sz="4" w:space="0" w:color="000000"/>
              <w:left w:val="single" w:sz="8" w:space="0" w:color="000000"/>
              <w:bottom w:val="single" w:sz="4" w:space="0" w:color="000000"/>
              <w:right w:val="single" w:sz="8" w:space="0" w:color="000000"/>
            </w:tcBorders>
          </w:tcPr>
          <w:p w:rsidR="00E8309B" w:rsidRDefault="009D0949">
            <w:pPr>
              <w:spacing w:after="0" w:line="259" w:lineRule="auto"/>
              <w:ind w:left="0" w:right="51" w:firstLine="0"/>
              <w:jc w:val="right"/>
            </w:pPr>
            <w:r>
              <w:rPr>
                <w:sz w:val="20"/>
              </w:rPr>
              <w:t xml:space="preserve">7 </w:t>
            </w:r>
          </w:p>
        </w:tc>
        <w:tc>
          <w:tcPr>
            <w:tcW w:w="4123" w:type="dxa"/>
            <w:tcBorders>
              <w:top w:val="single" w:sz="4" w:space="0" w:color="000000"/>
              <w:left w:val="single" w:sz="8" w:space="0" w:color="000000"/>
              <w:bottom w:val="single" w:sz="4" w:space="0" w:color="000000"/>
              <w:right w:val="single" w:sz="8" w:space="0" w:color="000000"/>
            </w:tcBorders>
          </w:tcPr>
          <w:p w:rsidR="00E8309B" w:rsidRDefault="009D0949">
            <w:pPr>
              <w:spacing w:after="0" w:line="259" w:lineRule="auto"/>
              <w:ind w:left="0" w:right="0" w:firstLine="0"/>
              <w:jc w:val="left"/>
            </w:pPr>
            <w:r>
              <w:rPr>
                <w:sz w:val="20"/>
              </w:rPr>
              <w:t xml:space="preserve">Обука државних службеника и других професионалних корисника дигиталне платформе е-Простор </w:t>
            </w:r>
          </w:p>
        </w:tc>
        <w:tc>
          <w:tcPr>
            <w:tcW w:w="419" w:type="dxa"/>
            <w:tcBorders>
              <w:top w:val="single" w:sz="4" w:space="0" w:color="000000"/>
              <w:left w:val="single" w:sz="8" w:space="0" w:color="000000"/>
              <w:bottom w:val="single" w:sz="4" w:space="0" w:color="000000"/>
              <w:right w:val="single" w:sz="4" w:space="0" w:color="000000"/>
            </w:tcBorders>
            <w:vAlign w:val="center"/>
          </w:tcPr>
          <w:p w:rsidR="00E8309B" w:rsidRDefault="009D0949">
            <w:pPr>
              <w:spacing w:after="0" w:line="259" w:lineRule="auto"/>
              <w:ind w:left="1" w:right="0" w:firstLine="0"/>
              <w:jc w:val="center"/>
            </w:pPr>
            <w:r>
              <w:rPr>
                <w:sz w:val="20"/>
              </w:rPr>
              <w:t xml:space="preserve"> </w:t>
            </w:r>
          </w:p>
        </w:tc>
        <w:tc>
          <w:tcPr>
            <w:tcW w:w="421"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1" w:right="0" w:firstLine="0"/>
              <w:jc w:val="center"/>
            </w:pPr>
            <w:r>
              <w:rPr>
                <w:sz w:val="20"/>
              </w:rPr>
              <w:t xml:space="preserve"> </w:t>
            </w:r>
          </w:p>
        </w:tc>
        <w:tc>
          <w:tcPr>
            <w:tcW w:w="422"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2" w:right="0" w:firstLine="0"/>
              <w:jc w:val="center"/>
            </w:pPr>
            <w:r>
              <w:rPr>
                <w:sz w:val="20"/>
              </w:rPr>
              <w:t xml:space="preserve"> </w:t>
            </w:r>
          </w:p>
        </w:tc>
        <w:tc>
          <w:tcPr>
            <w:tcW w:w="421" w:type="dxa"/>
            <w:tcBorders>
              <w:top w:val="single" w:sz="4" w:space="0" w:color="000000"/>
              <w:left w:val="single" w:sz="4" w:space="0" w:color="000000"/>
              <w:bottom w:val="single" w:sz="4" w:space="0" w:color="000000"/>
              <w:right w:val="single" w:sz="8" w:space="0" w:color="000000"/>
            </w:tcBorders>
            <w:vAlign w:val="center"/>
          </w:tcPr>
          <w:p w:rsidR="00E8309B" w:rsidRDefault="009D0949">
            <w:pPr>
              <w:spacing w:after="0" w:line="259" w:lineRule="auto"/>
              <w:ind w:left="4" w:right="0" w:firstLine="0"/>
              <w:jc w:val="center"/>
            </w:pPr>
            <w:r>
              <w:rPr>
                <w:sz w:val="20"/>
              </w:rPr>
              <w:t xml:space="preserve"> </w:t>
            </w:r>
          </w:p>
        </w:tc>
        <w:tc>
          <w:tcPr>
            <w:tcW w:w="424" w:type="dxa"/>
            <w:tcBorders>
              <w:top w:val="single" w:sz="4" w:space="0" w:color="000000"/>
              <w:left w:val="single" w:sz="8" w:space="0" w:color="000000"/>
              <w:bottom w:val="single" w:sz="4" w:space="0" w:color="000000"/>
              <w:right w:val="single" w:sz="4" w:space="0" w:color="000000"/>
            </w:tcBorders>
            <w:vAlign w:val="center"/>
          </w:tcPr>
          <w:p w:rsidR="00E8309B" w:rsidRDefault="009D0949">
            <w:pPr>
              <w:spacing w:after="0" w:line="259" w:lineRule="auto"/>
              <w:ind w:left="4" w:right="0" w:firstLine="0"/>
              <w:jc w:val="center"/>
            </w:pPr>
            <w:r>
              <w:rPr>
                <w:sz w:val="20"/>
              </w:rPr>
              <w:t xml:space="preserve"> </w:t>
            </w:r>
          </w:p>
        </w:tc>
        <w:tc>
          <w:tcPr>
            <w:tcW w:w="421"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4" w:right="0" w:firstLine="0"/>
              <w:jc w:val="center"/>
            </w:pPr>
            <w:r>
              <w:rPr>
                <w:sz w:val="20"/>
              </w:rPr>
              <w:t xml:space="preserve"> </w:t>
            </w:r>
          </w:p>
        </w:tc>
        <w:tc>
          <w:tcPr>
            <w:tcW w:w="423"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5" w:right="0" w:firstLine="0"/>
              <w:jc w:val="center"/>
            </w:pPr>
            <w:r>
              <w:rPr>
                <w:sz w:val="20"/>
              </w:rPr>
              <w:t xml:space="preserve"> </w:t>
            </w:r>
          </w:p>
        </w:tc>
        <w:tc>
          <w:tcPr>
            <w:tcW w:w="420" w:type="dxa"/>
            <w:tcBorders>
              <w:top w:val="single" w:sz="4" w:space="0" w:color="000000"/>
              <w:left w:val="single" w:sz="4" w:space="0" w:color="000000"/>
              <w:bottom w:val="single" w:sz="4" w:space="0" w:color="000000"/>
              <w:right w:val="single" w:sz="8" w:space="0" w:color="000000"/>
            </w:tcBorders>
            <w:shd w:val="clear" w:color="auto" w:fill="BFBFBF"/>
            <w:vAlign w:val="center"/>
          </w:tcPr>
          <w:p w:rsidR="00E8309B" w:rsidRDefault="009D0949">
            <w:pPr>
              <w:spacing w:after="0" w:line="259" w:lineRule="auto"/>
              <w:ind w:left="2" w:right="0" w:firstLine="0"/>
              <w:jc w:val="center"/>
            </w:pPr>
            <w:r>
              <w:rPr>
                <w:sz w:val="20"/>
              </w:rPr>
              <w:t xml:space="preserve"> </w:t>
            </w:r>
          </w:p>
        </w:tc>
        <w:tc>
          <w:tcPr>
            <w:tcW w:w="424" w:type="dxa"/>
            <w:tcBorders>
              <w:top w:val="single" w:sz="4" w:space="0" w:color="000000"/>
              <w:left w:val="single" w:sz="8"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4" w:right="0" w:firstLine="0"/>
              <w:jc w:val="center"/>
            </w:pPr>
            <w:r>
              <w:rPr>
                <w:sz w:val="20"/>
              </w:rPr>
              <w:t xml:space="preserve"> </w:t>
            </w:r>
          </w:p>
        </w:tc>
        <w:tc>
          <w:tcPr>
            <w:tcW w:w="422"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2" w:right="0" w:firstLine="0"/>
              <w:jc w:val="center"/>
            </w:pPr>
            <w:r>
              <w:rPr>
                <w:sz w:val="20"/>
              </w:rPr>
              <w:t xml:space="preserve"> </w:t>
            </w:r>
          </w:p>
        </w:tc>
        <w:tc>
          <w:tcPr>
            <w:tcW w:w="422"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2" w:right="0" w:firstLine="0"/>
              <w:jc w:val="center"/>
            </w:pPr>
            <w:r>
              <w:rPr>
                <w:sz w:val="20"/>
              </w:rPr>
              <w:t xml:space="preserve"> </w:t>
            </w:r>
          </w:p>
        </w:tc>
        <w:tc>
          <w:tcPr>
            <w:tcW w:w="420" w:type="dxa"/>
            <w:tcBorders>
              <w:top w:val="single" w:sz="4" w:space="0" w:color="000000"/>
              <w:left w:val="single" w:sz="4" w:space="0" w:color="000000"/>
              <w:bottom w:val="single" w:sz="4" w:space="0" w:color="000000"/>
              <w:right w:val="single" w:sz="8" w:space="0" w:color="000000"/>
            </w:tcBorders>
            <w:shd w:val="clear" w:color="auto" w:fill="BFBFBF"/>
            <w:vAlign w:val="center"/>
          </w:tcPr>
          <w:p w:rsidR="00E8309B" w:rsidRDefault="009D0949">
            <w:pPr>
              <w:spacing w:after="0" w:line="259" w:lineRule="auto"/>
              <w:ind w:left="5" w:right="0" w:firstLine="0"/>
              <w:jc w:val="center"/>
            </w:pPr>
            <w:r>
              <w:rPr>
                <w:sz w:val="20"/>
              </w:rPr>
              <w:t xml:space="preserve"> </w:t>
            </w:r>
          </w:p>
        </w:tc>
      </w:tr>
      <w:tr w:rsidR="00E8309B">
        <w:trPr>
          <w:trHeight w:val="470"/>
        </w:trPr>
        <w:tc>
          <w:tcPr>
            <w:tcW w:w="427" w:type="dxa"/>
            <w:tcBorders>
              <w:top w:val="single" w:sz="4" w:space="0" w:color="000000"/>
              <w:left w:val="single" w:sz="8" w:space="0" w:color="000000"/>
              <w:bottom w:val="single" w:sz="4" w:space="0" w:color="000000"/>
              <w:right w:val="single" w:sz="8" w:space="0" w:color="000000"/>
            </w:tcBorders>
          </w:tcPr>
          <w:p w:rsidR="00E8309B" w:rsidRDefault="009D0949">
            <w:pPr>
              <w:spacing w:after="0" w:line="259" w:lineRule="auto"/>
              <w:ind w:left="0" w:right="51" w:firstLine="0"/>
              <w:jc w:val="right"/>
            </w:pPr>
            <w:r>
              <w:rPr>
                <w:sz w:val="20"/>
              </w:rPr>
              <w:t xml:space="preserve">8 </w:t>
            </w:r>
          </w:p>
        </w:tc>
        <w:tc>
          <w:tcPr>
            <w:tcW w:w="4123" w:type="dxa"/>
            <w:tcBorders>
              <w:top w:val="single" w:sz="4" w:space="0" w:color="000000"/>
              <w:left w:val="single" w:sz="8" w:space="0" w:color="000000"/>
              <w:bottom w:val="single" w:sz="4" w:space="0" w:color="000000"/>
              <w:right w:val="single" w:sz="8" w:space="0" w:color="000000"/>
            </w:tcBorders>
          </w:tcPr>
          <w:p w:rsidR="00E8309B" w:rsidRDefault="009D0949">
            <w:pPr>
              <w:spacing w:after="0" w:line="259" w:lineRule="auto"/>
              <w:ind w:left="0" w:right="0" w:firstLine="0"/>
            </w:pPr>
            <w:r>
              <w:rPr>
                <w:sz w:val="20"/>
              </w:rPr>
              <w:t xml:space="preserve">Израда регулативе и успостављање правног оквира за дигиталну платформу е-Простор </w:t>
            </w:r>
          </w:p>
        </w:tc>
        <w:tc>
          <w:tcPr>
            <w:tcW w:w="419" w:type="dxa"/>
            <w:tcBorders>
              <w:top w:val="single" w:sz="4" w:space="0" w:color="000000"/>
              <w:left w:val="single" w:sz="8" w:space="0" w:color="000000"/>
              <w:bottom w:val="single" w:sz="4" w:space="0" w:color="000000"/>
              <w:right w:val="single" w:sz="4" w:space="0" w:color="000000"/>
            </w:tcBorders>
            <w:vAlign w:val="center"/>
          </w:tcPr>
          <w:p w:rsidR="00E8309B" w:rsidRDefault="009D0949">
            <w:pPr>
              <w:spacing w:after="0" w:line="259" w:lineRule="auto"/>
              <w:ind w:left="1" w:right="0" w:firstLine="0"/>
              <w:jc w:val="center"/>
            </w:pPr>
            <w:r>
              <w:rPr>
                <w:sz w:val="20"/>
              </w:rPr>
              <w:t xml:space="preserve"> </w:t>
            </w:r>
          </w:p>
        </w:tc>
        <w:tc>
          <w:tcPr>
            <w:tcW w:w="421"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1" w:right="0" w:firstLine="0"/>
              <w:jc w:val="center"/>
            </w:pPr>
            <w:r>
              <w:rPr>
                <w:sz w:val="20"/>
              </w:rPr>
              <w:t xml:space="preserve"> </w:t>
            </w:r>
          </w:p>
        </w:tc>
        <w:tc>
          <w:tcPr>
            <w:tcW w:w="422"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2" w:right="0" w:firstLine="0"/>
              <w:jc w:val="center"/>
            </w:pPr>
            <w:r>
              <w:rPr>
                <w:sz w:val="20"/>
              </w:rPr>
              <w:t xml:space="preserve"> </w:t>
            </w:r>
          </w:p>
        </w:tc>
        <w:tc>
          <w:tcPr>
            <w:tcW w:w="421" w:type="dxa"/>
            <w:tcBorders>
              <w:top w:val="single" w:sz="4" w:space="0" w:color="000000"/>
              <w:left w:val="single" w:sz="4" w:space="0" w:color="000000"/>
              <w:bottom w:val="single" w:sz="4" w:space="0" w:color="000000"/>
              <w:right w:val="single" w:sz="8" w:space="0" w:color="000000"/>
            </w:tcBorders>
            <w:vAlign w:val="center"/>
          </w:tcPr>
          <w:p w:rsidR="00E8309B" w:rsidRDefault="009D0949">
            <w:pPr>
              <w:spacing w:after="0" w:line="259" w:lineRule="auto"/>
              <w:ind w:left="4" w:right="0" w:firstLine="0"/>
              <w:jc w:val="center"/>
            </w:pPr>
            <w:r>
              <w:rPr>
                <w:sz w:val="20"/>
              </w:rPr>
              <w:t xml:space="preserve"> </w:t>
            </w:r>
          </w:p>
        </w:tc>
        <w:tc>
          <w:tcPr>
            <w:tcW w:w="424" w:type="dxa"/>
            <w:tcBorders>
              <w:top w:val="single" w:sz="4" w:space="0" w:color="000000"/>
              <w:left w:val="single" w:sz="8" w:space="0" w:color="000000"/>
              <w:bottom w:val="single" w:sz="4" w:space="0" w:color="000000"/>
              <w:right w:val="single" w:sz="4" w:space="0" w:color="000000"/>
            </w:tcBorders>
            <w:vAlign w:val="center"/>
          </w:tcPr>
          <w:p w:rsidR="00E8309B" w:rsidRDefault="009D0949">
            <w:pPr>
              <w:spacing w:after="0" w:line="259" w:lineRule="auto"/>
              <w:ind w:left="4" w:right="0" w:firstLine="0"/>
              <w:jc w:val="center"/>
            </w:pPr>
            <w:r>
              <w:rPr>
                <w:sz w:val="20"/>
              </w:rPr>
              <w:t xml:space="preserve"> </w:t>
            </w:r>
          </w:p>
        </w:tc>
        <w:tc>
          <w:tcPr>
            <w:tcW w:w="421"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4" w:right="0" w:firstLine="0"/>
              <w:jc w:val="center"/>
            </w:pPr>
            <w:r>
              <w:rPr>
                <w:sz w:val="20"/>
              </w:rPr>
              <w:t xml:space="preserve"> </w:t>
            </w:r>
          </w:p>
        </w:tc>
        <w:tc>
          <w:tcPr>
            <w:tcW w:w="423"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5" w:right="0" w:firstLine="0"/>
              <w:jc w:val="center"/>
            </w:pPr>
            <w:r>
              <w:rPr>
                <w:sz w:val="20"/>
              </w:rPr>
              <w:t xml:space="preserve"> </w:t>
            </w:r>
          </w:p>
        </w:tc>
        <w:tc>
          <w:tcPr>
            <w:tcW w:w="420" w:type="dxa"/>
            <w:tcBorders>
              <w:top w:val="single" w:sz="4" w:space="0" w:color="000000"/>
              <w:left w:val="single" w:sz="4" w:space="0" w:color="000000"/>
              <w:bottom w:val="single" w:sz="4" w:space="0" w:color="000000"/>
              <w:right w:val="single" w:sz="8" w:space="0" w:color="000000"/>
            </w:tcBorders>
            <w:vAlign w:val="center"/>
          </w:tcPr>
          <w:p w:rsidR="00E8309B" w:rsidRDefault="009D0949">
            <w:pPr>
              <w:spacing w:after="0" w:line="259" w:lineRule="auto"/>
              <w:ind w:left="2" w:right="0" w:firstLine="0"/>
              <w:jc w:val="center"/>
            </w:pPr>
            <w:r>
              <w:rPr>
                <w:sz w:val="20"/>
              </w:rPr>
              <w:t xml:space="preserve"> </w:t>
            </w:r>
          </w:p>
        </w:tc>
        <w:tc>
          <w:tcPr>
            <w:tcW w:w="424" w:type="dxa"/>
            <w:tcBorders>
              <w:top w:val="single" w:sz="4" w:space="0" w:color="000000"/>
              <w:left w:val="single" w:sz="8"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4" w:right="0" w:firstLine="0"/>
              <w:jc w:val="center"/>
            </w:pPr>
            <w:r>
              <w:rPr>
                <w:sz w:val="20"/>
              </w:rPr>
              <w:t xml:space="preserve"> </w:t>
            </w:r>
          </w:p>
        </w:tc>
        <w:tc>
          <w:tcPr>
            <w:tcW w:w="422"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2" w:right="0" w:firstLine="0"/>
              <w:jc w:val="center"/>
            </w:pPr>
            <w:r>
              <w:rPr>
                <w:sz w:val="20"/>
              </w:rPr>
              <w:t xml:space="preserve"> </w:t>
            </w:r>
          </w:p>
        </w:tc>
        <w:tc>
          <w:tcPr>
            <w:tcW w:w="422"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2" w:right="0" w:firstLine="0"/>
              <w:jc w:val="center"/>
            </w:pPr>
            <w:r>
              <w:rPr>
                <w:sz w:val="20"/>
              </w:rPr>
              <w:t xml:space="preserve"> </w:t>
            </w:r>
          </w:p>
        </w:tc>
        <w:tc>
          <w:tcPr>
            <w:tcW w:w="420" w:type="dxa"/>
            <w:tcBorders>
              <w:top w:val="single" w:sz="4" w:space="0" w:color="000000"/>
              <w:left w:val="single" w:sz="4" w:space="0" w:color="000000"/>
              <w:bottom w:val="single" w:sz="4" w:space="0" w:color="000000"/>
              <w:right w:val="single" w:sz="8" w:space="0" w:color="000000"/>
            </w:tcBorders>
            <w:shd w:val="clear" w:color="auto" w:fill="BFBFBF"/>
            <w:vAlign w:val="center"/>
          </w:tcPr>
          <w:p w:rsidR="00E8309B" w:rsidRDefault="009D0949">
            <w:pPr>
              <w:spacing w:after="0" w:line="259" w:lineRule="auto"/>
              <w:ind w:left="5" w:right="0" w:firstLine="0"/>
              <w:jc w:val="center"/>
            </w:pPr>
            <w:r>
              <w:rPr>
                <w:sz w:val="20"/>
              </w:rPr>
              <w:t xml:space="preserve"> </w:t>
            </w:r>
          </w:p>
        </w:tc>
      </w:tr>
      <w:tr w:rsidR="00E8309B">
        <w:trPr>
          <w:trHeight w:val="700"/>
        </w:trPr>
        <w:tc>
          <w:tcPr>
            <w:tcW w:w="427" w:type="dxa"/>
            <w:tcBorders>
              <w:top w:val="single" w:sz="4" w:space="0" w:color="000000"/>
              <w:left w:val="single" w:sz="8" w:space="0" w:color="000000"/>
              <w:bottom w:val="single" w:sz="4" w:space="0" w:color="000000"/>
              <w:right w:val="single" w:sz="8" w:space="0" w:color="000000"/>
            </w:tcBorders>
          </w:tcPr>
          <w:p w:rsidR="00E8309B" w:rsidRDefault="009D0949">
            <w:pPr>
              <w:spacing w:after="0" w:line="259" w:lineRule="auto"/>
              <w:ind w:left="0" w:right="51" w:firstLine="0"/>
              <w:jc w:val="right"/>
            </w:pPr>
            <w:r>
              <w:rPr>
                <w:sz w:val="20"/>
              </w:rPr>
              <w:t xml:space="preserve">9 </w:t>
            </w:r>
          </w:p>
        </w:tc>
        <w:tc>
          <w:tcPr>
            <w:tcW w:w="4123" w:type="dxa"/>
            <w:tcBorders>
              <w:top w:val="single" w:sz="4" w:space="0" w:color="000000"/>
              <w:left w:val="single" w:sz="8" w:space="0" w:color="000000"/>
              <w:bottom w:val="single" w:sz="4" w:space="0" w:color="000000"/>
              <w:right w:val="single" w:sz="8" w:space="0" w:color="000000"/>
            </w:tcBorders>
          </w:tcPr>
          <w:p w:rsidR="00E8309B" w:rsidRDefault="009D0949">
            <w:pPr>
              <w:spacing w:after="0" w:line="259" w:lineRule="auto"/>
              <w:ind w:left="0" w:right="0" w:firstLine="0"/>
              <w:jc w:val="left"/>
            </w:pPr>
            <w:r>
              <w:rPr>
                <w:sz w:val="20"/>
              </w:rPr>
              <w:t xml:space="preserve">Дигитализација података просторних и урбанистичких планова (за целу територију Републике Србије ) </w:t>
            </w:r>
          </w:p>
        </w:tc>
        <w:tc>
          <w:tcPr>
            <w:tcW w:w="419" w:type="dxa"/>
            <w:tcBorders>
              <w:top w:val="single" w:sz="4" w:space="0" w:color="000000"/>
              <w:left w:val="single" w:sz="8" w:space="0" w:color="000000"/>
              <w:bottom w:val="single" w:sz="4" w:space="0" w:color="000000"/>
              <w:right w:val="single" w:sz="4" w:space="0" w:color="000000"/>
            </w:tcBorders>
            <w:vAlign w:val="center"/>
          </w:tcPr>
          <w:p w:rsidR="00E8309B" w:rsidRDefault="009D0949">
            <w:pPr>
              <w:spacing w:after="0" w:line="259" w:lineRule="auto"/>
              <w:ind w:left="1" w:right="0" w:firstLine="0"/>
              <w:jc w:val="center"/>
            </w:pPr>
            <w:r>
              <w:rPr>
                <w:sz w:val="20"/>
              </w:rPr>
              <w:t xml:space="preserve"> </w:t>
            </w:r>
          </w:p>
        </w:tc>
        <w:tc>
          <w:tcPr>
            <w:tcW w:w="421"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1" w:right="0" w:firstLine="0"/>
              <w:jc w:val="center"/>
            </w:pPr>
            <w:r>
              <w:rPr>
                <w:sz w:val="20"/>
              </w:rPr>
              <w:t xml:space="preserve"> </w:t>
            </w:r>
          </w:p>
        </w:tc>
        <w:tc>
          <w:tcPr>
            <w:tcW w:w="422"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2" w:right="0" w:firstLine="0"/>
              <w:jc w:val="center"/>
            </w:pPr>
            <w:r>
              <w:rPr>
                <w:sz w:val="20"/>
              </w:rPr>
              <w:t xml:space="preserve"> </w:t>
            </w:r>
          </w:p>
        </w:tc>
        <w:tc>
          <w:tcPr>
            <w:tcW w:w="421" w:type="dxa"/>
            <w:tcBorders>
              <w:top w:val="single" w:sz="4" w:space="0" w:color="000000"/>
              <w:left w:val="single" w:sz="4" w:space="0" w:color="000000"/>
              <w:bottom w:val="single" w:sz="4" w:space="0" w:color="000000"/>
              <w:right w:val="single" w:sz="8" w:space="0" w:color="000000"/>
            </w:tcBorders>
            <w:vAlign w:val="center"/>
          </w:tcPr>
          <w:p w:rsidR="00E8309B" w:rsidRDefault="009D0949">
            <w:pPr>
              <w:spacing w:after="0" w:line="259" w:lineRule="auto"/>
              <w:ind w:left="4" w:right="0" w:firstLine="0"/>
              <w:jc w:val="center"/>
            </w:pPr>
            <w:r>
              <w:rPr>
                <w:sz w:val="20"/>
              </w:rPr>
              <w:t xml:space="preserve"> </w:t>
            </w:r>
          </w:p>
        </w:tc>
        <w:tc>
          <w:tcPr>
            <w:tcW w:w="424" w:type="dxa"/>
            <w:tcBorders>
              <w:top w:val="single" w:sz="4" w:space="0" w:color="000000"/>
              <w:left w:val="single" w:sz="8" w:space="0" w:color="000000"/>
              <w:bottom w:val="single" w:sz="4" w:space="0" w:color="000000"/>
              <w:right w:val="single" w:sz="4" w:space="0" w:color="000000"/>
            </w:tcBorders>
            <w:vAlign w:val="center"/>
          </w:tcPr>
          <w:p w:rsidR="00E8309B" w:rsidRDefault="009D0949">
            <w:pPr>
              <w:spacing w:after="0" w:line="259" w:lineRule="auto"/>
              <w:ind w:left="4" w:right="0" w:firstLine="0"/>
              <w:jc w:val="center"/>
            </w:pPr>
            <w:r>
              <w:rPr>
                <w:sz w:val="20"/>
              </w:rPr>
              <w:t xml:space="preserve"> </w:t>
            </w:r>
          </w:p>
        </w:tc>
        <w:tc>
          <w:tcPr>
            <w:tcW w:w="421"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4" w:right="0" w:firstLine="0"/>
              <w:jc w:val="center"/>
            </w:pPr>
            <w:r>
              <w:rPr>
                <w:sz w:val="20"/>
              </w:rPr>
              <w:t xml:space="preserve"> </w:t>
            </w:r>
          </w:p>
        </w:tc>
        <w:tc>
          <w:tcPr>
            <w:tcW w:w="423"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5" w:right="0" w:firstLine="0"/>
              <w:jc w:val="center"/>
            </w:pPr>
            <w:r>
              <w:rPr>
                <w:sz w:val="20"/>
              </w:rPr>
              <w:t xml:space="preserve"> </w:t>
            </w:r>
          </w:p>
        </w:tc>
        <w:tc>
          <w:tcPr>
            <w:tcW w:w="420" w:type="dxa"/>
            <w:tcBorders>
              <w:top w:val="single" w:sz="4" w:space="0" w:color="000000"/>
              <w:left w:val="single" w:sz="4" w:space="0" w:color="000000"/>
              <w:bottom w:val="single" w:sz="4" w:space="0" w:color="000000"/>
              <w:right w:val="single" w:sz="8" w:space="0" w:color="000000"/>
            </w:tcBorders>
            <w:vAlign w:val="center"/>
          </w:tcPr>
          <w:p w:rsidR="00E8309B" w:rsidRDefault="009D0949">
            <w:pPr>
              <w:spacing w:after="0" w:line="259" w:lineRule="auto"/>
              <w:ind w:left="2" w:right="0" w:firstLine="0"/>
              <w:jc w:val="center"/>
            </w:pPr>
            <w:r>
              <w:rPr>
                <w:sz w:val="20"/>
              </w:rPr>
              <w:t xml:space="preserve"> </w:t>
            </w:r>
          </w:p>
        </w:tc>
        <w:tc>
          <w:tcPr>
            <w:tcW w:w="424" w:type="dxa"/>
            <w:tcBorders>
              <w:top w:val="single" w:sz="4" w:space="0" w:color="000000"/>
              <w:left w:val="single" w:sz="8"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4" w:right="0" w:firstLine="0"/>
              <w:jc w:val="center"/>
            </w:pPr>
            <w:r>
              <w:rPr>
                <w:sz w:val="20"/>
              </w:rPr>
              <w:t xml:space="preserve"> </w:t>
            </w:r>
          </w:p>
        </w:tc>
        <w:tc>
          <w:tcPr>
            <w:tcW w:w="422"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2" w:right="0" w:firstLine="0"/>
              <w:jc w:val="center"/>
            </w:pPr>
            <w:r>
              <w:rPr>
                <w:sz w:val="20"/>
              </w:rPr>
              <w:t xml:space="preserve"> </w:t>
            </w:r>
          </w:p>
        </w:tc>
        <w:tc>
          <w:tcPr>
            <w:tcW w:w="422"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2" w:right="0" w:firstLine="0"/>
              <w:jc w:val="center"/>
            </w:pPr>
            <w:r>
              <w:rPr>
                <w:sz w:val="20"/>
              </w:rPr>
              <w:t xml:space="preserve"> </w:t>
            </w:r>
          </w:p>
        </w:tc>
        <w:tc>
          <w:tcPr>
            <w:tcW w:w="420" w:type="dxa"/>
            <w:tcBorders>
              <w:top w:val="single" w:sz="4" w:space="0" w:color="000000"/>
              <w:left w:val="single" w:sz="4" w:space="0" w:color="000000"/>
              <w:bottom w:val="single" w:sz="4" w:space="0" w:color="000000"/>
              <w:right w:val="single" w:sz="8" w:space="0" w:color="000000"/>
            </w:tcBorders>
            <w:shd w:val="clear" w:color="auto" w:fill="BFBFBF"/>
            <w:vAlign w:val="center"/>
          </w:tcPr>
          <w:p w:rsidR="00E8309B" w:rsidRDefault="009D0949">
            <w:pPr>
              <w:spacing w:after="0" w:line="259" w:lineRule="auto"/>
              <w:ind w:left="5" w:right="0" w:firstLine="0"/>
              <w:jc w:val="center"/>
            </w:pPr>
            <w:r>
              <w:rPr>
                <w:sz w:val="20"/>
              </w:rPr>
              <w:t xml:space="preserve"> </w:t>
            </w:r>
          </w:p>
        </w:tc>
      </w:tr>
    </w:tbl>
    <w:p w:rsidR="00E8309B" w:rsidRDefault="009D0949">
      <w:pPr>
        <w:numPr>
          <w:ilvl w:val="0"/>
          <w:numId w:val="32"/>
        </w:numPr>
        <w:spacing w:after="0" w:line="271" w:lineRule="auto"/>
        <w:ind w:right="9" w:hanging="427"/>
      </w:pPr>
      <w:r>
        <w:rPr>
          <w:b/>
        </w:rPr>
        <w:t xml:space="preserve">Индикатори рeзултата </w:t>
      </w:r>
    </w:p>
    <w:tbl>
      <w:tblPr>
        <w:tblStyle w:val="TableGrid"/>
        <w:tblW w:w="9635" w:type="dxa"/>
        <w:tblInd w:w="5" w:type="dxa"/>
        <w:tblCellMar>
          <w:top w:w="10" w:type="dxa"/>
          <w:left w:w="108" w:type="dxa"/>
          <w:bottom w:w="0" w:type="dxa"/>
          <w:right w:w="56" w:type="dxa"/>
        </w:tblCellMar>
        <w:tblLook w:val="04A0" w:firstRow="1" w:lastRow="0" w:firstColumn="1" w:lastColumn="0" w:noHBand="0" w:noVBand="1"/>
      </w:tblPr>
      <w:tblGrid>
        <w:gridCol w:w="4107"/>
        <w:gridCol w:w="1841"/>
        <w:gridCol w:w="1844"/>
        <w:gridCol w:w="1843"/>
      </w:tblGrid>
      <w:tr w:rsidR="00E8309B">
        <w:trPr>
          <w:trHeight w:val="470"/>
        </w:trPr>
        <w:tc>
          <w:tcPr>
            <w:tcW w:w="4107"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2" w:right="0" w:firstLine="0"/>
              <w:jc w:val="left"/>
            </w:pPr>
            <w:r>
              <w:rPr>
                <w:b/>
                <w:sz w:val="20"/>
              </w:rPr>
              <w:t xml:space="preserve">Показатељ </w:t>
            </w:r>
          </w:p>
        </w:tc>
        <w:tc>
          <w:tcPr>
            <w:tcW w:w="1841"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48" w:firstLine="0"/>
              <w:jc w:val="left"/>
            </w:pPr>
            <w:r>
              <w:rPr>
                <w:b/>
                <w:sz w:val="20"/>
              </w:rPr>
              <w:t xml:space="preserve">Почетна вредност (година) </w:t>
            </w:r>
          </w:p>
        </w:tc>
        <w:tc>
          <w:tcPr>
            <w:tcW w:w="1844" w:type="dxa"/>
            <w:tcBorders>
              <w:top w:val="single" w:sz="4" w:space="0" w:color="000000"/>
              <w:left w:val="single" w:sz="4" w:space="0" w:color="000000"/>
              <w:bottom w:val="single" w:sz="4" w:space="0" w:color="000000"/>
              <w:right w:val="single" w:sz="4" w:space="0" w:color="000000"/>
            </w:tcBorders>
          </w:tcPr>
          <w:p w:rsidR="00E8309B" w:rsidRDefault="009D0949">
            <w:pPr>
              <w:spacing w:after="21" w:line="259" w:lineRule="auto"/>
              <w:ind w:left="2" w:right="0" w:firstLine="0"/>
              <w:jc w:val="left"/>
            </w:pPr>
            <w:r>
              <w:rPr>
                <w:b/>
                <w:sz w:val="20"/>
              </w:rPr>
              <w:t xml:space="preserve">Међурезултат </w:t>
            </w:r>
          </w:p>
          <w:p w:rsidR="00E8309B" w:rsidRDefault="009D0949">
            <w:pPr>
              <w:spacing w:after="0" w:line="259" w:lineRule="auto"/>
              <w:ind w:left="2" w:right="0" w:firstLine="0"/>
              <w:jc w:val="left"/>
            </w:pPr>
            <w:r>
              <w:rPr>
                <w:b/>
                <w:sz w:val="20"/>
              </w:rPr>
              <w:t xml:space="preserve">(година) </w:t>
            </w:r>
          </w:p>
        </w:tc>
        <w:tc>
          <w:tcPr>
            <w:tcW w:w="1843" w:type="dxa"/>
            <w:tcBorders>
              <w:top w:val="single" w:sz="4" w:space="0" w:color="000000"/>
              <w:left w:val="single" w:sz="4" w:space="0" w:color="000000"/>
              <w:bottom w:val="single" w:sz="4" w:space="0" w:color="000000"/>
              <w:right w:val="single" w:sz="4" w:space="0" w:color="000000"/>
            </w:tcBorders>
          </w:tcPr>
          <w:p w:rsidR="00E8309B" w:rsidRDefault="009D0949">
            <w:pPr>
              <w:spacing w:after="21" w:line="259" w:lineRule="auto"/>
              <w:ind w:left="2" w:right="0" w:firstLine="0"/>
              <w:jc w:val="left"/>
            </w:pPr>
            <w:r>
              <w:rPr>
                <w:b/>
                <w:sz w:val="20"/>
              </w:rPr>
              <w:t xml:space="preserve">Циљна вредност </w:t>
            </w:r>
          </w:p>
          <w:p w:rsidR="00E8309B" w:rsidRDefault="009D0949">
            <w:pPr>
              <w:spacing w:after="0" w:line="259" w:lineRule="auto"/>
              <w:ind w:left="2" w:right="0" w:firstLine="0"/>
              <w:jc w:val="left"/>
            </w:pPr>
            <w:r>
              <w:rPr>
                <w:b/>
                <w:sz w:val="20"/>
              </w:rPr>
              <w:t xml:space="preserve">(година) </w:t>
            </w:r>
          </w:p>
        </w:tc>
      </w:tr>
      <w:tr w:rsidR="00E8309B">
        <w:trPr>
          <w:trHeight w:val="1620"/>
        </w:trPr>
        <w:tc>
          <w:tcPr>
            <w:tcW w:w="4107"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2" w:right="0" w:firstLine="0"/>
            </w:pPr>
            <w:r>
              <w:rPr>
                <w:sz w:val="20"/>
              </w:rPr>
              <w:t xml:space="preserve">Успостављена дигитална база података просторних и урбанистичких планова  </w:t>
            </w:r>
          </w:p>
        </w:tc>
        <w:tc>
          <w:tcPr>
            <w:tcW w:w="1841"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50" w:firstLine="0"/>
              <w:jc w:val="right"/>
            </w:pPr>
            <w:r>
              <w:rPr>
                <w:sz w:val="20"/>
              </w:rPr>
              <w:t xml:space="preserve">0 (2020) </w:t>
            </w:r>
          </w:p>
        </w:tc>
        <w:tc>
          <w:tcPr>
            <w:tcW w:w="1844" w:type="dxa"/>
            <w:tcBorders>
              <w:top w:val="single" w:sz="4" w:space="0" w:color="000000"/>
              <w:left w:val="single" w:sz="4" w:space="0" w:color="000000"/>
              <w:bottom w:val="single" w:sz="4" w:space="0" w:color="000000"/>
              <w:right w:val="single" w:sz="4" w:space="0" w:color="000000"/>
            </w:tcBorders>
          </w:tcPr>
          <w:p w:rsidR="00E8309B" w:rsidRDefault="009D0949">
            <w:pPr>
              <w:spacing w:after="39" w:line="238" w:lineRule="auto"/>
              <w:ind w:left="0" w:right="50" w:firstLine="44"/>
              <w:jc w:val="right"/>
            </w:pPr>
            <w:r>
              <w:rPr>
                <w:sz w:val="20"/>
              </w:rPr>
              <w:t xml:space="preserve">Подаци просторних и урбанистичких </w:t>
            </w:r>
          </w:p>
          <w:p w:rsidR="00E8309B" w:rsidRDefault="009D0949">
            <w:pPr>
              <w:spacing w:after="0" w:line="259" w:lineRule="auto"/>
              <w:ind w:left="0" w:right="46" w:firstLine="0"/>
              <w:jc w:val="right"/>
            </w:pPr>
            <w:r>
              <w:rPr>
                <w:sz w:val="20"/>
              </w:rPr>
              <w:t xml:space="preserve">планова за пилотподручја у дигиталној бази података (2022) </w:t>
            </w:r>
          </w:p>
        </w:tc>
        <w:tc>
          <w:tcPr>
            <w:tcW w:w="1843"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0" w:right="47" w:firstLine="0"/>
              <w:jc w:val="right"/>
            </w:pPr>
            <w:r>
              <w:rPr>
                <w:sz w:val="20"/>
              </w:rPr>
              <w:t xml:space="preserve">Подаци већине просторних и урбанистичких планова у дигиталној бази података (2023) </w:t>
            </w:r>
          </w:p>
        </w:tc>
      </w:tr>
      <w:tr w:rsidR="00E8309B">
        <w:trPr>
          <w:trHeight w:val="293"/>
        </w:trPr>
        <w:tc>
          <w:tcPr>
            <w:tcW w:w="4107"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2" w:right="0" w:firstLine="0"/>
              <w:jc w:val="left"/>
            </w:pPr>
            <w:r>
              <w:rPr>
                <w:sz w:val="20"/>
              </w:rPr>
              <w:t xml:space="preserve">Број дана за издавање локацијских услова </w:t>
            </w:r>
            <w:r>
              <w:rPr>
                <w:b/>
                <w:sz w:val="20"/>
              </w:rPr>
              <w:t xml:space="preserve"> </w:t>
            </w:r>
          </w:p>
        </w:tc>
        <w:tc>
          <w:tcPr>
            <w:tcW w:w="1841"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50" w:firstLine="0"/>
              <w:jc w:val="right"/>
            </w:pPr>
            <w:r>
              <w:rPr>
                <w:sz w:val="20"/>
              </w:rPr>
              <w:t xml:space="preserve">33 дана (2020) </w:t>
            </w:r>
          </w:p>
        </w:tc>
        <w:tc>
          <w:tcPr>
            <w:tcW w:w="1844"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48" w:firstLine="0"/>
              <w:jc w:val="right"/>
            </w:pPr>
            <w:r>
              <w:rPr>
                <w:sz w:val="20"/>
              </w:rPr>
              <w:t xml:space="preserve">25 (2022) </w:t>
            </w:r>
          </w:p>
        </w:tc>
        <w:tc>
          <w:tcPr>
            <w:tcW w:w="1843"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50" w:firstLine="0"/>
              <w:jc w:val="right"/>
            </w:pPr>
            <w:r>
              <w:rPr>
                <w:sz w:val="20"/>
              </w:rPr>
              <w:t xml:space="preserve">/ </w:t>
            </w:r>
          </w:p>
        </w:tc>
      </w:tr>
      <w:tr w:rsidR="00E8309B">
        <w:trPr>
          <w:trHeight w:val="471"/>
        </w:trPr>
        <w:tc>
          <w:tcPr>
            <w:tcW w:w="4107"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2" w:right="39" w:firstLine="0"/>
              <w:jc w:val="left"/>
            </w:pPr>
            <w:r>
              <w:rPr>
                <w:sz w:val="20"/>
              </w:rPr>
              <w:t>Број дана потребних за издавање грађевинске дозволе</w:t>
            </w:r>
            <w:r>
              <w:rPr>
                <w:b/>
                <w:sz w:val="20"/>
              </w:rPr>
              <w:t xml:space="preserve"> </w:t>
            </w:r>
          </w:p>
        </w:tc>
        <w:tc>
          <w:tcPr>
            <w:tcW w:w="1841"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50" w:firstLine="0"/>
              <w:jc w:val="right"/>
            </w:pPr>
            <w:r>
              <w:rPr>
                <w:sz w:val="20"/>
              </w:rPr>
              <w:t>11 дана (2020)</w:t>
            </w:r>
            <w:r>
              <w:rPr>
                <w:b/>
                <w:sz w:val="20"/>
              </w:rPr>
              <w:t xml:space="preserve"> </w:t>
            </w:r>
          </w:p>
        </w:tc>
        <w:tc>
          <w:tcPr>
            <w:tcW w:w="1844"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50" w:firstLine="0"/>
              <w:jc w:val="right"/>
            </w:pPr>
            <w:r>
              <w:rPr>
                <w:b/>
                <w:sz w:val="20"/>
              </w:rPr>
              <w:t xml:space="preserve">/ </w:t>
            </w:r>
          </w:p>
        </w:tc>
        <w:tc>
          <w:tcPr>
            <w:tcW w:w="1843"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49" w:firstLine="0"/>
              <w:jc w:val="right"/>
            </w:pPr>
            <w:r>
              <w:rPr>
                <w:sz w:val="20"/>
              </w:rPr>
              <w:t>6 (2023)</w:t>
            </w:r>
            <w:r>
              <w:rPr>
                <w:b/>
                <w:sz w:val="20"/>
              </w:rPr>
              <w:t xml:space="preserve"> </w:t>
            </w:r>
          </w:p>
        </w:tc>
      </w:tr>
    </w:tbl>
    <w:p w:rsidR="00E8309B" w:rsidRDefault="009D0949">
      <w:pPr>
        <w:numPr>
          <w:ilvl w:val="0"/>
          <w:numId w:val="32"/>
        </w:numPr>
        <w:spacing w:after="126" w:line="271" w:lineRule="auto"/>
        <w:ind w:right="9" w:hanging="427"/>
      </w:pPr>
      <w:r>
        <w:rPr>
          <w:b/>
        </w:rPr>
        <w:t xml:space="preserve">Очекивани утицај на конкурентност </w:t>
      </w:r>
    </w:p>
    <w:p w:rsidR="00E8309B" w:rsidRDefault="009D0949">
      <w:pPr>
        <w:ind w:left="-5" w:right="17"/>
      </w:pPr>
      <w:r>
        <w:t>Успостављање дигиталне платформе е-Простор ће омогућити брже издавање грађевинских дозвола кроз ефикаснију координацију свих имаоца јавних овлашћења у домену планског управљања просторним развојем. Такође, очекује се да ћ</w:t>
      </w:r>
      <w:r>
        <w:t>е се створити повољни услови за повећање нивоа инвестиција због боље приступачности информација о слободним локацијама и локацијским условима (дозвољена спратност и габарит објекта, планирана намена земљишта, приступ саобраћајницама, опремљеност локације к</w:t>
      </w:r>
      <w:r>
        <w:t xml:space="preserve">омуналном инфраструктуром, и др.), што ће обезбедити даље јачање грађевинског сектора уз стабилан раст БДП-а у будућности.  </w:t>
      </w:r>
    </w:p>
    <w:p w:rsidR="00E8309B" w:rsidRDefault="009D0949">
      <w:pPr>
        <w:spacing w:after="36" w:line="259" w:lineRule="auto"/>
        <w:ind w:left="0" w:right="0" w:firstLine="0"/>
        <w:jc w:val="left"/>
      </w:pPr>
      <w:r>
        <w:t xml:space="preserve"> </w:t>
      </w:r>
    </w:p>
    <w:p w:rsidR="00E8309B" w:rsidRDefault="009D0949">
      <w:pPr>
        <w:spacing w:after="36" w:line="259" w:lineRule="auto"/>
        <w:ind w:left="0" w:right="0" w:firstLine="0"/>
        <w:jc w:val="left"/>
      </w:pPr>
      <w:r>
        <w:t xml:space="preserve"> </w:t>
      </w:r>
    </w:p>
    <w:p w:rsidR="00E8309B" w:rsidRDefault="009D0949">
      <w:pPr>
        <w:spacing w:after="0" w:line="259" w:lineRule="auto"/>
        <w:ind w:left="0" w:right="0" w:firstLine="0"/>
        <w:jc w:val="left"/>
      </w:pPr>
      <w:r>
        <w:t xml:space="preserve"> </w:t>
      </w:r>
    </w:p>
    <w:p w:rsidR="00E8309B" w:rsidRDefault="009D0949">
      <w:pPr>
        <w:numPr>
          <w:ilvl w:val="0"/>
          <w:numId w:val="32"/>
        </w:numPr>
        <w:spacing w:after="79" w:line="271" w:lineRule="auto"/>
        <w:ind w:right="9" w:hanging="427"/>
      </w:pPr>
      <w:r>
        <w:rPr>
          <w:b/>
        </w:rPr>
        <w:t xml:space="preserve">Процењени трошкови спровођења структурне реформе и предвиђени извори њиховог финансирања </w:t>
      </w:r>
    </w:p>
    <w:p w:rsidR="00E8309B" w:rsidRDefault="009D0949">
      <w:pPr>
        <w:spacing w:after="160"/>
        <w:ind w:left="-5" w:right="17"/>
      </w:pPr>
      <w:r>
        <w:t xml:space="preserve">Укупни трошкови спровођења реформе </w:t>
      </w:r>
      <w:r>
        <w:t>планирани су у износу од 2,95 милиона евра, и исти ће се комбиновано финансирати из буџета Републике Србије и других доступних извора финансирања. Тако, за спровођење прве две планиране активности реформе у 2021. години, чија је вредност трошкова процењена</w:t>
      </w:r>
      <w:r>
        <w:t xml:space="preserve"> на 80.000 евра, средства ће бити обезбеђена кроз донацију. За успостављање иницијалне дигиталне платформе е-Простор планирано је 1,5 милиона евра у 2022. и 1,37 милиона евра у 2023. години. За ове трошкове спровођења реформе (укупно 2,87 милиона евра) пор</w:t>
      </w:r>
      <w:r>
        <w:t>ед буџета РС тражиће се и други потенцијални извори финансирања међу традиционалним стратешким партнерима Владе РС, као што је ЕУ, Влада Краљевине Шведске, Светска банка, Влада Швајцарске Конфедерације, и др.</w:t>
      </w:r>
      <w:r>
        <w:rPr>
          <w:i/>
        </w:rPr>
        <w:t xml:space="preserve"> </w:t>
      </w:r>
    </w:p>
    <w:p w:rsidR="00E8309B" w:rsidRDefault="009D0949">
      <w:pPr>
        <w:numPr>
          <w:ilvl w:val="0"/>
          <w:numId w:val="32"/>
        </w:numPr>
        <w:spacing w:after="79" w:line="271" w:lineRule="auto"/>
        <w:ind w:right="9" w:hanging="427"/>
      </w:pPr>
      <w:r>
        <w:rPr>
          <w:b/>
        </w:rPr>
        <w:t xml:space="preserve">Очекивани утицај на социјалне циљеве, као што су запосленост, смањење сиромаштва, једнакост и род </w:t>
      </w:r>
    </w:p>
    <w:p w:rsidR="00E8309B" w:rsidRDefault="009D0949">
      <w:pPr>
        <w:spacing w:after="96"/>
        <w:ind w:left="-5" w:right="17"/>
      </w:pPr>
      <w:r>
        <w:t>Кроз очекивано повећање инвестиционих улагања, пре свега у производном, посебно грађевинском сектору, прехрамбеној индустрији и сектору услуга, директно ће с</w:t>
      </w:r>
      <w:r>
        <w:t>е створити услови за отварање нових радних места и, одатле, смањење сиромаштва. Такође, реформа ће допринети стварању једнаких могућности приступа и коришћења електронских информација о планираним развојним активностима на неком подручју, као и о утицају и</w:t>
      </w:r>
      <w:r>
        <w:t>сте на кретање вредности непокретности, што ће утицати на пораст атрактивности пословног окружења и већу сигурност улагања, и одатле на опште унапређење услова живота и рада у Републици Србији. Већа социјална издвајања на бази реалније процене и ефикасније</w:t>
      </w:r>
      <w:r>
        <w:t xml:space="preserve"> наплате пореских прихода допринеће додатно смањењу сиромаштва, повећању родне једнакости и социјалној инклузији. </w:t>
      </w:r>
    </w:p>
    <w:p w:rsidR="00E8309B" w:rsidRDefault="009D0949">
      <w:pPr>
        <w:numPr>
          <w:ilvl w:val="0"/>
          <w:numId w:val="32"/>
        </w:numPr>
        <w:spacing w:after="41" w:line="271" w:lineRule="auto"/>
        <w:ind w:right="9" w:hanging="427"/>
      </w:pPr>
      <w:r>
        <w:rPr>
          <w:b/>
        </w:rPr>
        <w:t xml:space="preserve">Очекивани утицај на животну средину </w:t>
      </w:r>
    </w:p>
    <w:p w:rsidR="00E8309B" w:rsidRDefault="009D0949">
      <w:pPr>
        <w:spacing w:after="157"/>
        <w:ind w:left="-5" w:right="17"/>
      </w:pPr>
      <w:r>
        <w:t>Имплементација структурне реформе имаће позитиван утицај на животну средину, у смислу њене заштите и уна</w:t>
      </w:r>
      <w:r>
        <w:t>пређења, а допринеће и остварењу циљева Европског зеленог договора у Републици Србији, и то кроз: боље дефинисање и ефикаснију имплементацију планских решења која се односе на остварење циљева одрживог процеса урбанизације и развоја уопште; смањење друштве</w:t>
      </w:r>
      <w:r>
        <w:t xml:space="preserve">них трошкова по основу нерационалног коришћења земљишта и других ресурса, уз прецизније утврђивање висине и бољу наплату тзв. еколошких пореза; и др. </w:t>
      </w:r>
    </w:p>
    <w:p w:rsidR="00E8309B" w:rsidRDefault="009D0949">
      <w:pPr>
        <w:numPr>
          <w:ilvl w:val="0"/>
          <w:numId w:val="32"/>
        </w:numPr>
        <w:spacing w:after="0" w:line="271" w:lineRule="auto"/>
        <w:ind w:right="9" w:hanging="427"/>
      </w:pPr>
      <w:r>
        <w:rPr>
          <w:b/>
        </w:rPr>
        <w:t xml:space="preserve">Потенцијални ризици </w:t>
      </w:r>
    </w:p>
    <w:tbl>
      <w:tblPr>
        <w:tblStyle w:val="TableGrid"/>
        <w:tblW w:w="9696" w:type="dxa"/>
        <w:tblInd w:w="0" w:type="dxa"/>
        <w:tblCellMar>
          <w:top w:w="46" w:type="dxa"/>
          <w:left w:w="108" w:type="dxa"/>
          <w:bottom w:w="0" w:type="dxa"/>
          <w:right w:w="53" w:type="dxa"/>
        </w:tblCellMar>
        <w:tblLook w:val="04A0" w:firstRow="1" w:lastRow="0" w:firstColumn="1" w:lastColumn="0" w:noHBand="0" w:noVBand="1"/>
      </w:tblPr>
      <w:tblGrid>
        <w:gridCol w:w="5"/>
        <w:gridCol w:w="3330"/>
        <w:gridCol w:w="859"/>
        <w:gridCol w:w="1178"/>
        <w:gridCol w:w="164"/>
        <w:gridCol w:w="289"/>
        <w:gridCol w:w="1811"/>
        <w:gridCol w:w="451"/>
        <w:gridCol w:w="1582"/>
        <w:gridCol w:w="32"/>
      </w:tblGrid>
      <w:tr w:rsidR="00E8309B">
        <w:trPr>
          <w:gridBefore w:val="1"/>
          <w:trHeight w:val="468"/>
        </w:trPr>
        <w:tc>
          <w:tcPr>
            <w:tcW w:w="3330"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0" w:right="0" w:firstLine="0"/>
              <w:jc w:val="left"/>
            </w:pPr>
            <w:r>
              <w:rPr>
                <w:b/>
                <w:sz w:val="20"/>
              </w:rPr>
              <w:t xml:space="preserve">Ризик </w:t>
            </w:r>
          </w:p>
        </w:tc>
        <w:tc>
          <w:tcPr>
            <w:tcW w:w="2201" w:type="dxa"/>
            <w:gridSpan w:val="3"/>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2" w:right="0" w:firstLine="0"/>
              <w:jc w:val="left"/>
            </w:pPr>
            <w:r>
              <w:rPr>
                <w:b/>
                <w:sz w:val="20"/>
              </w:rPr>
              <w:t xml:space="preserve">Вероватноћа за остваривање ризика </w:t>
            </w:r>
          </w:p>
        </w:tc>
        <w:tc>
          <w:tcPr>
            <w:tcW w:w="4165" w:type="dxa"/>
            <w:gridSpan w:val="5"/>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0" w:firstLine="0"/>
              <w:jc w:val="left"/>
            </w:pPr>
            <w:r>
              <w:rPr>
                <w:b/>
                <w:sz w:val="20"/>
              </w:rPr>
              <w:t>Активност за ублажавање негативних ефеката</w:t>
            </w:r>
            <w:r>
              <w:rPr>
                <w:b/>
                <w:sz w:val="20"/>
              </w:rPr>
              <w:t xml:space="preserve"> ризика </w:t>
            </w:r>
          </w:p>
        </w:tc>
      </w:tr>
      <w:tr w:rsidR="00E8309B">
        <w:trPr>
          <w:gridBefore w:val="1"/>
          <w:trHeight w:val="701"/>
        </w:trPr>
        <w:tc>
          <w:tcPr>
            <w:tcW w:w="3330"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0" w:firstLine="0"/>
              <w:jc w:val="left"/>
            </w:pPr>
            <w:r>
              <w:rPr>
                <w:sz w:val="20"/>
              </w:rPr>
              <w:t xml:space="preserve">Неуједначена доступност, формат и  квалитет података просторних и урбанистичких планова </w:t>
            </w:r>
          </w:p>
        </w:tc>
        <w:tc>
          <w:tcPr>
            <w:tcW w:w="2201" w:type="dxa"/>
            <w:gridSpan w:val="3"/>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2" w:right="0" w:firstLine="0"/>
              <w:jc w:val="left"/>
            </w:pPr>
            <w:r>
              <w:rPr>
                <w:sz w:val="20"/>
              </w:rPr>
              <w:t xml:space="preserve">Висока </w:t>
            </w:r>
          </w:p>
        </w:tc>
        <w:tc>
          <w:tcPr>
            <w:tcW w:w="4165" w:type="dxa"/>
            <w:gridSpan w:val="5"/>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776" w:firstLine="0"/>
            </w:pPr>
            <w:r>
              <w:rPr>
                <w:sz w:val="20"/>
              </w:rPr>
              <w:t xml:space="preserve">Ангажовање додатних ресурса на дигитализацији и припреми података просторних и урбанистичких планова </w:t>
            </w:r>
          </w:p>
        </w:tc>
      </w:tr>
      <w:tr w:rsidR="00E8309B">
        <w:trPr>
          <w:gridBefore w:val="1"/>
          <w:trHeight w:val="701"/>
        </w:trPr>
        <w:tc>
          <w:tcPr>
            <w:tcW w:w="3330"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0" w:firstLine="0"/>
              <w:jc w:val="left"/>
            </w:pPr>
            <w:r>
              <w:rPr>
                <w:sz w:val="20"/>
              </w:rPr>
              <w:t xml:space="preserve">Промена корисничких или регулаторних захтева у току реализације пројекта  </w:t>
            </w:r>
          </w:p>
        </w:tc>
        <w:tc>
          <w:tcPr>
            <w:tcW w:w="2201" w:type="dxa"/>
            <w:gridSpan w:val="3"/>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2" w:right="0" w:firstLine="0"/>
              <w:jc w:val="left"/>
            </w:pPr>
            <w:r>
              <w:rPr>
                <w:sz w:val="20"/>
              </w:rPr>
              <w:t xml:space="preserve">Ниска </w:t>
            </w:r>
          </w:p>
        </w:tc>
        <w:tc>
          <w:tcPr>
            <w:tcW w:w="4165" w:type="dxa"/>
            <w:gridSpan w:val="5"/>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0" w:firstLine="0"/>
              <w:jc w:val="left"/>
            </w:pPr>
            <w:r>
              <w:rPr>
                <w:sz w:val="20"/>
              </w:rPr>
              <w:t xml:space="preserve">Продужење трајања планираних пројектних активности </w:t>
            </w:r>
          </w:p>
        </w:tc>
      </w:tr>
      <w:tr w:rsidR="00E8309B">
        <w:tblPrEx>
          <w:tblCellMar>
            <w:top w:w="59" w:type="dxa"/>
            <w:left w:w="0" w:type="dxa"/>
            <w:right w:w="0" w:type="dxa"/>
          </w:tblCellMar>
        </w:tblPrEx>
        <w:trPr>
          <w:gridAfter w:val="1"/>
          <w:wAfter w:w="32" w:type="dxa"/>
          <w:trHeight w:val="280"/>
        </w:trPr>
        <w:tc>
          <w:tcPr>
            <w:tcW w:w="4194" w:type="dxa"/>
            <w:gridSpan w:val="3"/>
            <w:tcBorders>
              <w:top w:val="nil"/>
              <w:left w:val="nil"/>
              <w:bottom w:val="nil"/>
              <w:right w:val="nil"/>
            </w:tcBorders>
            <w:shd w:val="clear" w:color="auto" w:fill="D9D9D9"/>
          </w:tcPr>
          <w:p w:rsidR="00E8309B" w:rsidRDefault="009D0949">
            <w:pPr>
              <w:tabs>
                <w:tab w:val="center" w:pos="1213"/>
                <w:tab w:val="center" w:pos="2900"/>
              </w:tabs>
              <w:spacing w:after="0" w:line="259" w:lineRule="auto"/>
              <w:ind w:left="0" w:right="0" w:firstLine="0"/>
              <w:jc w:val="left"/>
            </w:pPr>
            <w:r>
              <w:rPr>
                <w:b/>
              </w:rPr>
              <w:t xml:space="preserve">5.3.4. </w:t>
            </w:r>
            <w:r>
              <w:rPr>
                <w:b/>
              </w:rPr>
              <w:tab/>
              <w:t xml:space="preserve">Област </w:t>
            </w:r>
            <w:r>
              <w:rPr>
                <w:b/>
              </w:rPr>
              <w:tab/>
              <w:t xml:space="preserve">ИСТРАЖИВАЊЕ, </w:t>
            </w:r>
          </w:p>
        </w:tc>
        <w:tc>
          <w:tcPr>
            <w:tcW w:w="1178" w:type="dxa"/>
            <w:tcBorders>
              <w:top w:val="nil"/>
              <w:left w:val="nil"/>
              <w:bottom w:val="nil"/>
              <w:right w:val="nil"/>
            </w:tcBorders>
            <w:shd w:val="clear" w:color="auto" w:fill="D9D9D9"/>
          </w:tcPr>
          <w:p w:rsidR="00E8309B" w:rsidRDefault="009D0949">
            <w:pPr>
              <w:spacing w:after="0" w:line="259" w:lineRule="auto"/>
              <w:ind w:left="0" w:right="0" w:firstLine="0"/>
              <w:jc w:val="left"/>
            </w:pPr>
            <w:r>
              <w:rPr>
                <w:b/>
              </w:rPr>
              <w:t xml:space="preserve">РАЗВОЈ </w:t>
            </w:r>
          </w:p>
        </w:tc>
        <w:tc>
          <w:tcPr>
            <w:tcW w:w="453" w:type="dxa"/>
            <w:gridSpan w:val="2"/>
            <w:tcBorders>
              <w:top w:val="nil"/>
              <w:left w:val="nil"/>
              <w:bottom w:val="nil"/>
              <w:right w:val="nil"/>
            </w:tcBorders>
            <w:shd w:val="clear" w:color="auto" w:fill="D9D9D9"/>
          </w:tcPr>
          <w:p w:rsidR="00E8309B" w:rsidRDefault="009D0949">
            <w:pPr>
              <w:spacing w:after="0" w:line="259" w:lineRule="auto"/>
              <w:ind w:left="0" w:right="0" w:firstLine="0"/>
              <w:jc w:val="left"/>
            </w:pPr>
            <w:r>
              <w:rPr>
                <w:b/>
              </w:rPr>
              <w:t xml:space="preserve">И </w:t>
            </w:r>
          </w:p>
        </w:tc>
        <w:tc>
          <w:tcPr>
            <w:tcW w:w="1811" w:type="dxa"/>
            <w:tcBorders>
              <w:top w:val="nil"/>
              <w:left w:val="nil"/>
              <w:bottom w:val="nil"/>
              <w:right w:val="nil"/>
            </w:tcBorders>
            <w:shd w:val="clear" w:color="auto" w:fill="D9D9D9"/>
          </w:tcPr>
          <w:p w:rsidR="00E8309B" w:rsidRDefault="009D0949">
            <w:pPr>
              <w:spacing w:after="0" w:line="259" w:lineRule="auto"/>
              <w:ind w:left="0" w:right="0" w:firstLine="0"/>
              <w:jc w:val="left"/>
            </w:pPr>
            <w:r>
              <w:rPr>
                <w:b/>
              </w:rPr>
              <w:t xml:space="preserve">ИНОВАЦИЈЕ </w:t>
            </w:r>
          </w:p>
        </w:tc>
        <w:tc>
          <w:tcPr>
            <w:tcW w:w="451" w:type="dxa"/>
            <w:tcBorders>
              <w:top w:val="nil"/>
              <w:left w:val="nil"/>
              <w:bottom w:val="nil"/>
              <w:right w:val="nil"/>
            </w:tcBorders>
            <w:shd w:val="clear" w:color="auto" w:fill="D9D9D9"/>
          </w:tcPr>
          <w:p w:rsidR="00E8309B" w:rsidRDefault="009D0949">
            <w:pPr>
              <w:spacing w:after="0" w:line="259" w:lineRule="auto"/>
              <w:ind w:left="0" w:right="0" w:firstLine="0"/>
              <w:jc w:val="left"/>
            </w:pPr>
            <w:r>
              <w:rPr>
                <w:b/>
              </w:rPr>
              <w:t xml:space="preserve">И </w:t>
            </w:r>
          </w:p>
        </w:tc>
        <w:tc>
          <w:tcPr>
            <w:tcW w:w="1582" w:type="dxa"/>
            <w:tcBorders>
              <w:top w:val="nil"/>
              <w:left w:val="nil"/>
              <w:bottom w:val="nil"/>
              <w:right w:val="nil"/>
            </w:tcBorders>
            <w:shd w:val="clear" w:color="auto" w:fill="D9D9D9"/>
          </w:tcPr>
          <w:p w:rsidR="00E8309B" w:rsidRDefault="009D0949">
            <w:pPr>
              <w:spacing w:after="0" w:line="259" w:lineRule="auto"/>
              <w:ind w:left="0" w:right="0" w:firstLine="0"/>
            </w:pPr>
            <w:r>
              <w:rPr>
                <w:b/>
              </w:rPr>
              <w:t xml:space="preserve">ДИГИТАЛНА </w:t>
            </w:r>
          </w:p>
        </w:tc>
      </w:tr>
      <w:tr w:rsidR="00E8309B">
        <w:tblPrEx>
          <w:tblCellMar>
            <w:top w:w="59" w:type="dxa"/>
            <w:left w:w="0" w:type="dxa"/>
            <w:right w:w="0" w:type="dxa"/>
          </w:tblCellMar>
        </w:tblPrEx>
        <w:trPr>
          <w:gridAfter w:val="1"/>
          <w:wAfter w:w="32" w:type="dxa"/>
          <w:trHeight w:val="276"/>
        </w:trPr>
        <w:tc>
          <w:tcPr>
            <w:tcW w:w="4194" w:type="dxa"/>
            <w:gridSpan w:val="3"/>
            <w:tcBorders>
              <w:top w:val="nil"/>
              <w:left w:val="nil"/>
              <w:bottom w:val="nil"/>
              <w:right w:val="nil"/>
            </w:tcBorders>
            <w:shd w:val="clear" w:color="auto" w:fill="D9D9D9"/>
          </w:tcPr>
          <w:p w:rsidR="00E8309B" w:rsidRDefault="009D0949">
            <w:pPr>
              <w:spacing w:after="0" w:line="259" w:lineRule="auto"/>
              <w:ind w:left="15" w:right="0" w:firstLine="0"/>
              <w:jc w:val="left"/>
            </w:pPr>
            <w:r>
              <w:rPr>
                <w:b/>
              </w:rPr>
              <w:t xml:space="preserve">ТРАНСФОРМАЦИЈА </w:t>
            </w:r>
          </w:p>
        </w:tc>
        <w:tc>
          <w:tcPr>
            <w:tcW w:w="1178" w:type="dxa"/>
            <w:tcBorders>
              <w:top w:val="nil"/>
              <w:left w:val="nil"/>
              <w:bottom w:val="nil"/>
              <w:right w:val="nil"/>
            </w:tcBorders>
            <w:shd w:val="clear" w:color="auto" w:fill="D9D9D9"/>
          </w:tcPr>
          <w:p w:rsidR="00E8309B" w:rsidRDefault="00E8309B">
            <w:pPr>
              <w:spacing w:after="160" w:line="259" w:lineRule="auto"/>
              <w:ind w:left="0" w:right="0" w:firstLine="0"/>
              <w:jc w:val="left"/>
            </w:pPr>
          </w:p>
        </w:tc>
        <w:tc>
          <w:tcPr>
            <w:tcW w:w="453" w:type="dxa"/>
            <w:gridSpan w:val="2"/>
            <w:tcBorders>
              <w:top w:val="nil"/>
              <w:left w:val="nil"/>
              <w:bottom w:val="nil"/>
              <w:right w:val="nil"/>
            </w:tcBorders>
            <w:shd w:val="clear" w:color="auto" w:fill="D9D9D9"/>
          </w:tcPr>
          <w:p w:rsidR="00E8309B" w:rsidRDefault="00E8309B">
            <w:pPr>
              <w:spacing w:after="160" w:line="259" w:lineRule="auto"/>
              <w:ind w:left="0" w:right="0" w:firstLine="0"/>
              <w:jc w:val="left"/>
            </w:pPr>
          </w:p>
        </w:tc>
        <w:tc>
          <w:tcPr>
            <w:tcW w:w="1811" w:type="dxa"/>
            <w:tcBorders>
              <w:top w:val="nil"/>
              <w:left w:val="nil"/>
              <w:bottom w:val="nil"/>
              <w:right w:val="nil"/>
            </w:tcBorders>
            <w:shd w:val="clear" w:color="auto" w:fill="D9D9D9"/>
          </w:tcPr>
          <w:p w:rsidR="00E8309B" w:rsidRDefault="00E8309B">
            <w:pPr>
              <w:spacing w:after="160" w:line="259" w:lineRule="auto"/>
              <w:ind w:left="0" w:right="0" w:firstLine="0"/>
              <w:jc w:val="left"/>
            </w:pPr>
          </w:p>
        </w:tc>
        <w:tc>
          <w:tcPr>
            <w:tcW w:w="451" w:type="dxa"/>
            <w:tcBorders>
              <w:top w:val="nil"/>
              <w:left w:val="nil"/>
              <w:bottom w:val="nil"/>
              <w:right w:val="nil"/>
            </w:tcBorders>
            <w:shd w:val="clear" w:color="auto" w:fill="D9D9D9"/>
          </w:tcPr>
          <w:p w:rsidR="00E8309B" w:rsidRDefault="00E8309B">
            <w:pPr>
              <w:spacing w:after="160" w:line="259" w:lineRule="auto"/>
              <w:ind w:left="0" w:right="0" w:firstLine="0"/>
              <w:jc w:val="left"/>
            </w:pPr>
          </w:p>
        </w:tc>
        <w:tc>
          <w:tcPr>
            <w:tcW w:w="1582" w:type="dxa"/>
            <w:tcBorders>
              <w:top w:val="nil"/>
              <w:left w:val="nil"/>
              <w:bottom w:val="nil"/>
              <w:right w:val="nil"/>
            </w:tcBorders>
            <w:shd w:val="clear" w:color="auto" w:fill="D9D9D9"/>
          </w:tcPr>
          <w:p w:rsidR="00E8309B" w:rsidRDefault="00E8309B">
            <w:pPr>
              <w:spacing w:after="160" w:line="259" w:lineRule="auto"/>
              <w:ind w:left="0" w:right="0" w:firstLine="0"/>
              <w:jc w:val="left"/>
            </w:pPr>
          </w:p>
        </w:tc>
      </w:tr>
    </w:tbl>
    <w:p w:rsidR="00E8309B" w:rsidRDefault="009D0949">
      <w:pPr>
        <w:spacing w:after="79" w:line="271" w:lineRule="auto"/>
        <w:ind w:left="-5" w:right="9"/>
      </w:pPr>
      <w:r>
        <w:rPr>
          <w:b/>
        </w:rPr>
        <w:t xml:space="preserve">а) Анализа главних препрека </w:t>
      </w:r>
    </w:p>
    <w:p w:rsidR="00E8309B" w:rsidRDefault="009D0949">
      <w:pPr>
        <w:ind w:left="-5" w:right="17"/>
      </w:pPr>
      <w:r>
        <w:rPr>
          <w:b/>
        </w:rPr>
        <w:t xml:space="preserve">Улагања у истраживање и развој, иако се последњих година повећава износ средстава, и даље су недовољна за интеграцију истраживачке мреже Србије у европске и глобалне мреже. </w:t>
      </w:r>
      <w:r>
        <w:t>Укупна издвајања за науку у Србији износила су 0,89% БДП-а у 2019. (за 0,03 п.п. ма</w:t>
      </w:r>
      <w:r>
        <w:t>ње у односу на претходну годину) и дупло су нижа од просека у ЕУ-28 (2,14% БДП). Из пословног (нефинансијског) сектора долази 39,5% укупних улагања у науку у 2019. години, што је повећање од 0,4 п.п. у односу на 2018. (39,1%), али је знатно испод просека Е</w:t>
      </w:r>
      <w:r>
        <w:t xml:space="preserve">У-28 (66,6%). </w:t>
      </w:r>
    </w:p>
    <w:p w:rsidR="00E8309B" w:rsidRDefault="009D0949">
      <w:pPr>
        <w:spacing w:after="92"/>
        <w:ind w:left="-5" w:right="17"/>
      </w:pPr>
      <w:r>
        <w:rPr>
          <w:b/>
        </w:rPr>
        <w:t xml:space="preserve">Оријентисаност научних истраживања ка привреди релативно је ниска. </w:t>
      </w:r>
      <w:r>
        <w:t xml:space="preserve">Сарадња између предузећа и академске заједнице у Србији је и даље слаба и не подржава се систематски, </w:t>
      </w:r>
      <w:r>
        <w:t>што се одразило и на ранг Србије у Извештају о глобалној конкурентности (</w:t>
      </w:r>
      <w:r>
        <w:rPr>
          <w:i/>
        </w:rPr>
        <w:t>Global Competitiveness Report - GCI</w:t>
      </w:r>
      <w:r>
        <w:t>) за 2019. годину, у којем се, према квалитету сарадње универзитета и привреде, Србија налази на 80. месту (од 141 државе). Са циљем побољшања сарад</w:t>
      </w:r>
      <w:r>
        <w:t xml:space="preserve">ње, пре свега са привредним сектором, усвојена је </w:t>
      </w:r>
      <w:r>
        <w:rPr>
          <w:b/>
        </w:rPr>
        <w:t>Стратегија паметне специјализације у Републици Србији за период од 2020. до 2027</w:t>
      </w:r>
      <w:r>
        <w:t>. године („Сл. гласник РС“, бр. 21/20). Ова стратегија</w:t>
      </w:r>
      <w:r>
        <w:rPr>
          <w:vertAlign w:val="superscript"/>
        </w:rPr>
        <w:footnoteReference w:id="41"/>
      </w:r>
      <w:r>
        <w:t xml:space="preserve"> представља важан инструмент за побољшање иновационог и истраживачког е</w:t>
      </w:r>
      <w:r>
        <w:t>косистема у Србији, као и за развој економије засноване на знању и иновацијама. Стратегија је идентификовала приоритетне правце развоја, а као кључне мере наводе се међусекторска сарадња, модернизација образовног система, повећање иновационих капацитета до</w:t>
      </w:r>
      <w:r>
        <w:t xml:space="preserve">маћих компанија и сарадње научно-истраживачког и пословног сектора. Такође, неке од мера су и конкретни програми за сарадњу привреде и науке у областима специјализације, који се реализују кроз Фонд за иновациону делатност и Фонд за науку. </w:t>
      </w:r>
    </w:p>
    <w:p w:rsidR="00E8309B" w:rsidRDefault="009D0949">
      <w:pPr>
        <w:spacing w:after="89"/>
        <w:ind w:left="-5" w:right="17"/>
      </w:pPr>
      <w:r>
        <w:rPr>
          <w:b/>
        </w:rPr>
        <w:t>Реформа организа</w:t>
      </w:r>
      <w:r>
        <w:rPr>
          <w:b/>
        </w:rPr>
        <w:t>ције и финансирања науке и истраживања</w:t>
      </w:r>
      <w:r>
        <w:t xml:space="preserve"> у Србији, што је </w:t>
      </w:r>
      <w:r>
        <w:rPr>
          <w:b/>
        </w:rPr>
        <w:t>велики остварени помак</w:t>
      </w:r>
      <w:r>
        <w:t xml:space="preserve">, подразумева </w:t>
      </w:r>
      <w:r>
        <w:rPr>
          <w:b/>
        </w:rPr>
        <w:t xml:space="preserve">увођење комбинованог институционално-пројектног финансирања </w:t>
      </w:r>
      <w:r>
        <w:t>(елиминише се неизвесност у раду и омогућава вишегодишње планирање активности научноистраживачких инстит</w:t>
      </w:r>
      <w:r>
        <w:t xml:space="preserve">уција), као и </w:t>
      </w:r>
      <w:r>
        <w:rPr>
          <w:b/>
        </w:rPr>
        <w:t>успостављање рада Фонда за науку</w:t>
      </w:r>
      <w:r>
        <w:t>. Фонд за науку пружа подршку научноистраживачкој делатности тиме што расписује јавне позиве и обавља комплетну процедуру и управљање компетитивним пројектним позивима. Програми Фонда подржавају технолошки разв</w:t>
      </w:r>
      <w:r>
        <w:t>ој, напредне и иновативне идеје, развој кадрова, лабораторија и истраживања, изградњу научне инфраструктуре, интеграцију у међународне научне токове, сарадњу науке и привреде и друге теме од стратешког и друштвеног значаја.</w:t>
      </w:r>
      <w:r>
        <w:rPr>
          <w:b/>
        </w:rPr>
        <w:t xml:space="preserve"> </w:t>
      </w:r>
    </w:p>
    <w:p w:rsidR="00E8309B" w:rsidRDefault="009D0949">
      <w:pPr>
        <w:ind w:left="-5" w:right="17"/>
      </w:pPr>
      <w:r>
        <w:rPr>
          <w:b/>
        </w:rPr>
        <w:t>Различитим финансијским инструм</w:t>
      </w:r>
      <w:r>
        <w:rPr>
          <w:b/>
        </w:rPr>
        <w:t>ентима Фонд за иновациону делатност</w:t>
      </w:r>
      <w:r>
        <w:rPr>
          <w:vertAlign w:val="superscript"/>
        </w:rPr>
        <w:footnoteReference w:id="42"/>
      </w:r>
      <w:r>
        <w:rPr>
          <w:b/>
        </w:rPr>
        <w:t xml:space="preserve"> подржава стварање иновација, јачање везе између науке и привреде, оснивање нових и оснаживање постојећих предузећа са иновативним потенцијалом. </w:t>
      </w:r>
      <w:r>
        <w:t xml:space="preserve">Фонд је до сада одобрио 25,9 милиона </w:t>
      </w:r>
      <w:r>
        <w:t>евра за 192 иновативна пројекта, 3,2 милиона евра за 633 иновациона ваучера и 540 хиљаде евра за подршку при трансферу технологије, као и 1,7 милиона евра за доказ концепта. Укупно је одобрено нешто више од 32 милиона евра.</w:t>
      </w:r>
      <w:r>
        <w:rPr>
          <w:b/>
        </w:rPr>
        <w:t xml:space="preserve"> </w:t>
      </w:r>
    </w:p>
    <w:p w:rsidR="00E8309B" w:rsidRDefault="009D0949">
      <w:pPr>
        <w:spacing w:after="89"/>
        <w:ind w:left="-5" w:right="17"/>
      </w:pPr>
      <w:r>
        <w:rPr>
          <w:b/>
        </w:rPr>
        <w:t>Отворене су и бројне могућности</w:t>
      </w:r>
      <w:r>
        <w:rPr>
          <w:b/>
        </w:rPr>
        <w:t xml:space="preserve"> институцијама у Србији за учествовање у програму Хоризонт 2020 и другим програмима ЕУ. </w:t>
      </w:r>
      <w:r>
        <w:t>Тренутно у програму Хоризонт 2020 учествује 510 институција из Србије</w:t>
      </w:r>
      <w:r>
        <w:rPr>
          <w:vertAlign w:val="superscript"/>
        </w:rPr>
        <w:footnoteReference w:id="43"/>
      </w:r>
      <w:r>
        <w:rPr>
          <w:vertAlign w:val="superscript"/>
        </w:rPr>
        <w:footnoteReference w:id="44"/>
      </w:r>
      <w:r>
        <w:t xml:space="preserve"> на укупно 355 пројеката који су одобрени за финансирање, а број партиципација из приватног секто</w:t>
      </w:r>
      <w:r>
        <w:t>ра је 173. За реализацију ових пројеката одобрено 1.146,2 милиона евра од стране Европске комисије, а приватни сектор је повукао 36,9 милиона евра од укупних средстава. Просечна успешност Србије је 11,61%, што је близу ЕУ просека (12,01%). Највећи број одо</w:t>
      </w:r>
      <w:r>
        <w:t xml:space="preserve">брених пројеката је у областима: храна, затим енергетика, информационе технологије и др. </w:t>
      </w:r>
    </w:p>
    <w:p w:rsidR="00E8309B" w:rsidRDefault="009D0949">
      <w:pPr>
        <w:spacing w:after="97"/>
        <w:ind w:left="-5" w:right="17"/>
      </w:pPr>
      <w:r>
        <w:rPr>
          <w:b/>
        </w:rPr>
        <w:t>Примена Стратегије за развој вештачке интелигенције</w:t>
      </w:r>
      <w:r>
        <w:t xml:space="preserve"> започета је програмом за научне пројекте из области вештачке интелигенције, као и имплементацијом софтвера који ко</w:t>
      </w:r>
      <w:r>
        <w:t xml:space="preserve">ристе вештачку интелигенцију у јавној управи. Такође, усвојен је </w:t>
      </w:r>
      <w:r>
        <w:rPr>
          <w:b/>
        </w:rPr>
        <w:t>Акциони план за период 2020– 2022</w:t>
      </w:r>
      <w:r>
        <w:t>. године (јун 2020), којим су обухваћени пројекти за подршку развоју вештачке интелигенције са новим програмима у областима образовања, привреде, науке и држа</w:t>
      </w:r>
      <w:r>
        <w:t xml:space="preserve">вне управе. </w:t>
      </w:r>
    </w:p>
    <w:p w:rsidR="00E8309B" w:rsidRDefault="009D0949">
      <w:pPr>
        <w:ind w:left="-5" w:right="17"/>
      </w:pPr>
      <w:r>
        <w:rPr>
          <w:b/>
        </w:rPr>
        <w:t xml:space="preserve">Иновациони екосистем се развија даљим улагањем у иновациону инфраструктуру и технолошко предузетништво у универзитетским центрима и регионима на територији Србије. </w:t>
      </w:r>
      <w:r>
        <w:t>Према оцени Стартап Џинома</w:t>
      </w:r>
      <w:r>
        <w:rPr>
          <w:vertAlign w:val="superscript"/>
        </w:rPr>
        <w:footnoteReference w:id="45"/>
      </w:r>
      <w:r>
        <w:t>, екосистеми Београд и Нови Сад добили су највише оц</w:t>
      </w:r>
      <w:r>
        <w:t xml:space="preserve">ене у 2019. години, 10 за инвестиције и 9 за раст укупног броја стартап компанија. Тренутно има између 200 и 400 стартапа у Београду и Новом Саду, што је у складу са просеком за ову фазу развоја и слично је са бројем стартапа у градовима у региону као што </w:t>
      </w:r>
      <w:r>
        <w:t>су Варшава и Букурешт. У извештају ове агенције за 2020. годину</w:t>
      </w:r>
      <w:r>
        <w:rPr>
          <w:vertAlign w:val="superscript"/>
        </w:rPr>
        <w:footnoteReference w:id="46"/>
      </w:r>
      <w:r>
        <w:rPr>
          <w:b/>
        </w:rPr>
        <w:t xml:space="preserve"> Србија је позиционирана у топ пет земаља по броју блокчејн девелопера у свету</w:t>
      </w:r>
      <w:r>
        <w:t>. Најперспективније области деловања српских стартапова су блокчејн (</w:t>
      </w:r>
      <w:r>
        <w:rPr>
          <w:i/>
        </w:rPr>
        <w:t>blockchain</w:t>
      </w:r>
      <w:r>
        <w:t>) и развој видео игара (</w:t>
      </w:r>
      <w:r>
        <w:rPr>
          <w:i/>
        </w:rPr>
        <w:t>gaming</w:t>
      </w:r>
      <w:r>
        <w:t xml:space="preserve">), а </w:t>
      </w:r>
      <w:r>
        <w:t>поред тога, домаћи стартапи се у великој мери значајно баве и креирањем решења за велике компаније, производима који користе вештачку интелигенцију и рад са великом количином података (</w:t>
      </w:r>
      <w:r>
        <w:rPr>
          <w:i/>
        </w:rPr>
        <w:t>Big Data</w:t>
      </w:r>
      <w:r>
        <w:t xml:space="preserve">), као и паметним градовима. Изграђена су </w:t>
      </w:r>
      <w:r>
        <w:rPr>
          <w:b/>
        </w:rPr>
        <w:t>четири најсавременија</w:t>
      </w:r>
      <w:r>
        <w:rPr>
          <w:b/>
        </w:rPr>
        <w:t xml:space="preserve"> научно-технолошка парка</w:t>
      </w:r>
      <w:r>
        <w:t xml:space="preserve"> (Београд, Нови Сад, Ниш и Чачак) у којима наука и привреда заједнички раде на развоју иновација за глобално тржиште. </w:t>
      </w:r>
    </w:p>
    <w:p w:rsidR="00E8309B" w:rsidRDefault="009D0949">
      <w:pPr>
        <w:ind w:left="-5" w:right="17"/>
      </w:pPr>
      <w:r>
        <w:t>У настојању да се иде у корак са савременим тенденцијама глобалног, дигиталног и електронског пословања, половино</w:t>
      </w:r>
      <w:r>
        <w:t>м децембра 2020. године усвојен је Закон о дигиталној имовини. На тај начин је омогућено финансирање помоћу инвестиционих токена, унапређење и развој тржишта капитала, коришћење дигиталне технологије и обезбеђивање оквира за борбу против злоупотреба на трж</w:t>
      </w:r>
      <w:r>
        <w:t xml:space="preserve">ишту дигиталне имовине, као и против прања новца и финансирања тероризма.  </w:t>
      </w:r>
    </w:p>
    <w:p w:rsidR="00E8309B" w:rsidRDefault="009D0949">
      <w:pPr>
        <w:ind w:left="-5" w:right="17"/>
      </w:pPr>
      <w:r>
        <w:rPr>
          <w:b/>
        </w:rPr>
        <w:t xml:space="preserve">И даље постоји недостатак људских ресурса у области истраживања и развоја, што ограничава економски раст и иновативност. </w:t>
      </w:r>
      <w:r>
        <w:t>У Србији има 3.308 запослених у области истраживању и разво</w:t>
      </w:r>
      <w:r>
        <w:t>ја</w:t>
      </w:r>
      <w:r>
        <w:rPr>
          <w:vertAlign w:val="superscript"/>
        </w:rPr>
        <w:footnoteReference w:id="47"/>
      </w:r>
      <w:r>
        <w:t xml:space="preserve"> на милион становника у 2019. години што је скоро дупло мање у поређењу са просеком ЕУ-28 (6.300). Њихово учешће у укупној запослености у Србији износи 0,79%, што је такође знатно мање када се пореди са просеком ЕУ-28 од 1,46%</w:t>
      </w:r>
      <w:r>
        <w:rPr>
          <w:vertAlign w:val="superscript"/>
        </w:rPr>
        <w:footnoteReference w:id="48"/>
      </w:r>
      <w:r>
        <w:t>. Науком се бави 16.399 ис</w:t>
      </w:r>
      <w:r>
        <w:t xml:space="preserve">траживача (од чега су 68% или 11.145 доктори наука), а само 9% је запослено у пословном сектору. Нерегулисана реинтеграција истраживача повратника један је од разлога ниске конкурентности Србије у области науке. </w:t>
      </w:r>
    </w:p>
    <w:p w:rsidR="00E8309B" w:rsidRDefault="009D0949">
      <w:pPr>
        <w:spacing w:after="90"/>
        <w:ind w:left="-5" w:right="17"/>
      </w:pPr>
      <w:r>
        <w:rPr>
          <w:b/>
        </w:rPr>
        <w:t>Број регистрованих патената је на ниском ни</w:t>
      </w:r>
      <w:r>
        <w:rPr>
          <w:b/>
        </w:rPr>
        <w:t>воу</w:t>
      </w:r>
      <w:r>
        <w:t>, с тим да број признатих патената за проналаске домаћих проналазача у иностранству на основу међународне и/или европске пријаве патента остварује раст у последњих 7 година</w:t>
      </w:r>
      <w:r>
        <w:rPr>
          <w:vertAlign w:val="superscript"/>
        </w:rPr>
        <w:t>53</w:t>
      </w:r>
      <w:r>
        <w:t xml:space="preserve"> (са 23 у 2013. на 71 признат патент у 2019. години). Због ниске патентне актив</w:t>
      </w:r>
      <w:r>
        <w:t xml:space="preserve">ности, патенти представљају само посредне резултате иновативних активности и не пружају јасну слику о иновационом потенцијалу Србије. </w:t>
      </w:r>
    </w:p>
    <w:p w:rsidR="00E8309B" w:rsidRDefault="009D0949">
      <w:pPr>
        <w:spacing w:after="87"/>
        <w:ind w:left="-5" w:right="17"/>
      </w:pPr>
      <w:r>
        <w:rPr>
          <w:b/>
        </w:rPr>
        <w:t>Наука</w:t>
      </w:r>
      <w:r>
        <w:t xml:space="preserve"> је једна од области друштва која је, не само </w:t>
      </w:r>
      <w:r>
        <w:rPr>
          <w:b/>
        </w:rPr>
        <w:t>одиграла важну улогу у погледу брзе реакције на пандемију Ковид-19</w:t>
      </w:r>
      <w:r>
        <w:t>, ве</w:t>
      </w:r>
      <w:r>
        <w:t xml:space="preserve">ћ ће и њен развој у наредном периоду бити под снажним утицајем новонасталих потреба. По избијању пандемије у Србији, Влада је у сарадњи са Пекиншким институтом за геномику </w:t>
      </w:r>
      <w:r>
        <w:rPr>
          <w:i/>
        </w:rPr>
        <w:t>(Beijing Genomics Institute, BGI)</w:t>
      </w:r>
      <w:r>
        <w:t xml:space="preserve"> започела заједнички пројекат</w:t>
      </w:r>
      <w:r>
        <w:rPr>
          <w:b/>
        </w:rPr>
        <w:t xml:space="preserve"> изградње лабораторија</w:t>
      </w:r>
      <w:r>
        <w:rPr>
          <w:b/>
        </w:rPr>
        <w:t xml:space="preserve"> за детекцију корона вируса великог капацитета које су почеле са радом у Београду </w:t>
      </w:r>
      <w:r>
        <w:t xml:space="preserve">(до 2.000 анализа дневно) </w:t>
      </w:r>
      <w:r>
        <w:rPr>
          <w:b/>
        </w:rPr>
        <w:t xml:space="preserve">и Нишу </w:t>
      </w:r>
      <w:r>
        <w:t xml:space="preserve">(до 1.000 анализа дневно). </w:t>
      </w:r>
    </w:p>
    <w:p w:rsidR="00E8309B" w:rsidRDefault="009D0949">
      <w:pPr>
        <w:ind w:left="-5" w:right="17"/>
      </w:pPr>
      <w:r>
        <w:rPr>
          <w:b/>
        </w:rPr>
        <w:t>Фонд за иновациону делатност</w:t>
      </w:r>
      <w:r>
        <w:t xml:space="preserve"> одобрио је 53 милиона РСД (око 450 хиљада евра) за финансирање </w:t>
      </w:r>
      <w:r>
        <w:rPr>
          <w:b/>
        </w:rPr>
        <w:t>12 иновативних пројек</w:t>
      </w:r>
      <w:r>
        <w:rPr>
          <w:b/>
        </w:rPr>
        <w:t>ата</w:t>
      </w:r>
      <w:r>
        <w:rPr>
          <w:vertAlign w:val="superscript"/>
        </w:rPr>
        <w:footnoteReference w:id="49"/>
      </w:r>
      <w:r>
        <w:t xml:space="preserve"> чији је циљ сузбијање ефеката пандемије изазване Ковид-19. У кратком периоду развијено је и доступно за коришћење 12 решења, попут нове врсте </w:t>
      </w:r>
      <w:r>
        <w:rPr>
          <w:b/>
        </w:rPr>
        <w:t xml:space="preserve">заштитне маске са измењивим </w:t>
      </w:r>
      <w:r>
        <w:rPr>
          <w:b/>
          <w:i/>
        </w:rPr>
        <w:t>ХЕПА</w:t>
      </w:r>
      <w:r>
        <w:rPr>
          <w:b/>
        </w:rPr>
        <w:t xml:space="preserve"> филтером за вишеструку и дугорочну употребу</w:t>
      </w:r>
      <w:r>
        <w:t xml:space="preserve">, </w:t>
      </w:r>
      <w:r>
        <w:rPr>
          <w:b/>
        </w:rPr>
        <w:t>кабине за дезинфекцију</w:t>
      </w:r>
      <w:r>
        <w:t xml:space="preserve"> која је </w:t>
      </w:r>
      <w:r>
        <w:t xml:space="preserve">намењена употреби на јавним местима и локацијама од интереса, </w:t>
      </w:r>
      <w:r>
        <w:rPr>
          <w:b/>
        </w:rPr>
        <w:t>мобилни пулт за бесконтактно мерење температуре</w:t>
      </w:r>
      <w:r>
        <w:t xml:space="preserve"> и ручну дезинфекцију, </w:t>
      </w:r>
      <w:r>
        <w:rPr>
          <w:b/>
        </w:rPr>
        <w:t>преносиви озонизатори</w:t>
      </w:r>
      <w:r>
        <w:t xml:space="preserve"> за брзу и безбедну дезинфекцију објеката. </w:t>
      </w:r>
    </w:p>
    <w:p w:rsidR="00E8309B" w:rsidRDefault="009D0949">
      <w:pPr>
        <w:spacing w:after="93"/>
        <w:ind w:left="-5" w:right="17"/>
      </w:pPr>
      <w:r>
        <w:t xml:space="preserve">Такође, </w:t>
      </w:r>
      <w:r>
        <w:rPr>
          <w:b/>
        </w:rPr>
        <w:t>Фонд за науку</w:t>
      </w:r>
      <w:r>
        <w:t xml:space="preserve"> је маја 2020. објавио Јавни позив за </w:t>
      </w:r>
      <w:r>
        <w:t xml:space="preserve">подношење предлога научноистраживачких пројеката у оквиру </w:t>
      </w:r>
      <w:r>
        <w:rPr>
          <w:b/>
        </w:rPr>
        <w:t>Специјалног програма истраживања Ковид-19</w:t>
      </w:r>
      <w:r>
        <w:rPr>
          <w:vertAlign w:val="superscript"/>
        </w:rPr>
        <w:footnoteReference w:id="50"/>
      </w:r>
      <w:r>
        <w:t xml:space="preserve"> са укупним буџетом од 2 милиона евра. Програм има за циљ финансирање пројеката који ће допринети ефикасном научном одговору на епидемију Ковид-19 и омогући</w:t>
      </w:r>
      <w:r>
        <w:t xml:space="preserve">ти бољу спремност и реаговање друштва. </w:t>
      </w:r>
    </w:p>
    <w:p w:rsidR="00E8309B" w:rsidRDefault="009D0949">
      <w:pPr>
        <w:spacing w:after="82"/>
        <w:ind w:left="-5" w:right="17"/>
      </w:pPr>
      <w:r>
        <w:rPr>
          <w:b/>
        </w:rPr>
        <w:t>Сектор информационо-комуникационих технологија (ИКТ) је најдинамичнији сектор у Србији у последњих 10 година, и један од важних носилаца сектора креативне индустрије.</w:t>
      </w:r>
      <w:r>
        <w:t xml:space="preserve"> Извоз ИКТ услуга</w:t>
      </w:r>
      <w:r>
        <w:rPr>
          <w:vertAlign w:val="superscript"/>
        </w:rPr>
        <w:footnoteReference w:id="51"/>
      </w:r>
      <w:r>
        <w:t xml:space="preserve"> бележи континуиран раст од прек</w:t>
      </w:r>
      <w:r>
        <w:t xml:space="preserve">о 20% годишње у периоду од 2015-2019. године. У првих два месеца 2020. постигнут је раст извоза ИКТ услуга за 22% у односу на исти период 2019. године, али након тога (период март-мај) уследио је благи пад извоза ИКТ услуга вероватно проузрокован смањеном </w:t>
      </w:r>
      <w:r>
        <w:t>тражњом услед глобалне пандемије. Иако запослени у ИКТ сектору представљају само 2,6% укупне регистроване запослености</w:t>
      </w:r>
      <w:r>
        <w:rPr>
          <w:vertAlign w:val="superscript"/>
        </w:rPr>
        <w:footnoteReference w:id="52"/>
      </w:r>
      <w:r>
        <w:t>, број запослених у овом сектору значајно расте из године у годину (7% у 2019. и 10% у 2018. години). Сваке године у Србији се региструје</w:t>
      </w:r>
      <w:r>
        <w:t xml:space="preserve"> у просеку 200 нових ИКТ компанија; већина новооснованих компанија запошљава програмере и оријентисана је ка снажним и ликвидним међународним ИТ тржиштима. </w:t>
      </w:r>
      <w:r>
        <w:rPr>
          <w:b/>
        </w:rPr>
        <w:t>Изазов је осигурати повезаност између ИКТ сектора и традиционалних индустрија како би се убрзала мод</w:t>
      </w:r>
      <w:r>
        <w:rPr>
          <w:b/>
        </w:rPr>
        <w:t>ернизација у традиционалним секторима</w:t>
      </w:r>
      <w:r>
        <w:t xml:space="preserve">. </w:t>
      </w:r>
    </w:p>
    <w:p w:rsidR="00E8309B" w:rsidRDefault="009D0949">
      <w:pPr>
        <w:spacing w:after="70"/>
        <w:ind w:left="-5" w:right="17"/>
      </w:pPr>
      <w:r>
        <w:t xml:space="preserve">Према </w:t>
      </w:r>
      <w:r>
        <w:rPr>
          <w:b/>
        </w:rPr>
        <w:t>индексу мрежне спремности</w:t>
      </w:r>
      <w:r>
        <w:t xml:space="preserve"> (</w:t>
      </w:r>
      <w:r>
        <w:rPr>
          <w:i/>
        </w:rPr>
        <w:t>Network Readiness Index 2019</w:t>
      </w:r>
      <w:r>
        <w:rPr>
          <w:i/>
          <w:vertAlign w:val="superscript"/>
        </w:rPr>
        <w:footnoteReference w:id="53"/>
      </w:r>
      <w:r>
        <w:t xml:space="preserve">), као индикатору развоја дигиталне економије односно </w:t>
      </w:r>
      <w:r>
        <w:rPr>
          <w:b/>
        </w:rPr>
        <w:t>спремности земље за укључење у ИТ сектор</w:t>
      </w:r>
      <w:r>
        <w:t xml:space="preserve">, Србија у 2019. </w:t>
      </w:r>
      <w:r>
        <w:t>заузима 52. позицију од укупно 121 рангиране земље. Позиција је знатно побољшавана током неколико последњих година, али Србија и даље заостаје за већином земаља из региона које су чланице Европске уније: Словеније (27), Мађарске (38), Хрватске (44), Румуни</w:t>
      </w:r>
      <w:r>
        <w:t xml:space="preserve">је (47) и Бугарске (49). Према </w:t>
      </w:r>
      <w:r>
        <w:rPr>
          <w:b/>
        </w:rPr>
        <w:t>индексу дигиталне економије и друштва</w:t>
      </w:r>
      <w:r>
        <w:t xml:space="preserve"> (</w:t>
      </w:r>
      <w:r>
        <w:rPr>
          <w:i/>
        </w:rPr>
        <w:t>DESI</w:t>
      </w:r>
      <w:r>
        <w:t xml:space="preserve">), Србија заузима 22. место на листи европских земаља у 2019. години. Боља позиција на ранг листи у односу на претходне године дугује се оствареним резултатима у категоријама </w:t>
      </w:r>
      <w:r>
        <w:rPr>
          <w:i/>
        </w:rPr>
        <w:t>Повезан</w:t>
      </w:r>
      <w:r>
        <w:rPr>
          <w:i/>
        </w:rPr>
        <w:t>ост</w:t>
      </w:r>
      <w:r>
        <w:t xml:space="preserve"> која представља инфраструктуру потребну за дигиталну економију и друштво и нуди информације о врстама, доступности и квалитету приступа интернету и </w:t>
      </w:r>
      <w:r>
        <w:rPr>
          <w:i/>
        </w:rPr>
        <w:t>Дигиталне јавне услуге</w:t>
      </w:r>
      <w:r>
        <w:t>, која се односи на дигиталне технологије у функцији унапређивања интерекције прав</w:t>
      </w:r>
      <w:r>
        <w:t>них и физичких лица са јавном управом</w:t>
      </w:r>
      <w:r>
        <w:rPr>
          <w:vertAlign w:val="superscript"/>
        </w:rPr>
        <w:footnoteReference w:id="54"/>
      </w:r>
      <w:r>
        <w:t xml:space="preserve">.  </w:t>
      </w:r>
    </w:p>
    <w:p w:rsidR="00E8309B" w:rsidRDefault="009D0949">
      <w:pPr>
        <w:spacing w:after="92"/>
        <w:ind w:left="-5" w:right="17"/>
      </w:pPr>
      <w:r>
        <w:t>Влада је 2018. године донела Стратегију развоја мрежа нове генерације до 2023. године, која као главни циљ има обезбеђивање неопходне инфраструктуре за развој јединственог дигиталног тржишта у Србији, а у складу са</w:t>
      </w:r>
      <w:r>
        <w:t xml:space="preserve"> стратешким оквиром Европске уније у овој области. МТТТ је започело активности на припреми израде Нацрта закона о електронским комуникацијама, што обухвата транспоновање одредби Европског законика електронских комуникација који је ступио на снагу 20. децем</w:t>
      </w:r>
      <w:r>
        <w:t>бра 2018. а земље чланице Европске уније су у обавези да транспонују одредбе ове директиве до 21. децембра 2020. Овом директивом су уведене значајне измене, у складу са променама на тржишту и трендовима у области електронских комуникација. Планирано је усв</w:t>
      </w:r>
      <w:r>
        <w:t xml:space="preserve">ајање закона до краја 2021. године. </w:t>
      </w:r>
    </w:p>
    <w:p w:rsidR="00E8309B" w:rsidRDefault="009D0949">
      <w:pPr>
        <w:ind w:left="-5" w:right="17"/>
      </w:pPr>
      <w:r>
        <w:t>Иако је сектор ИКТ у константном расту,</w:t>
      </w:r>
      <w:r>
        <w:rPr>
          <w:b/>
        </w:rPr>
        <w:t xml:space="preserve"> комуникациону инфраструктуру у Србији потребно је системски унапредити</w:t>
      </w:r>
      <w:r>
        <w:t>, како регулаторни оквир, тако и област инвестиција. Широкопојасна ИКТ представља значајну карику у развоју р</w:t>
      </w:r>
      <w:r>
        <w:t>уралних и удаљених области. Због тога је за развој комуникационе инфраструктуре у руралним пределима („белим или сивим зонама”) одобрен пројектни зајам Европске банке за обнову и развој од 18 милиона евра</w:t>
      </w:r>
      <w:r>
        <w:rPr>
          <w:vertAlign w:val="superscript"/>
        </w:rPr>
        <w:footnoteReference w:id="55"/>
      </w:r>
      <w:r>
        <w:t>. Пројекат ће омогућити повезивање на интернет најм</w:t>
      </w:r>
      <w:r>
        <w:t>ање 600 школа односно јавних установа, месних заједница и других објеката републичких и органа локалне самоуправе, и, према проценама, приближно 90.000 домаћинстава (преко 200.000 грађана) на дефинисаним територијама.</w:t>
      </w:r>
      <w:r>
        <w:rPr>
          <w:b/>
        </w:rPr>
        <w:t xml:space="preserve"> </w:t>
      </w:r>
    </w:p>
    <w:p w:rsidR="00E8309B" w:rsidRDefault="009D0949">
      <w:pPr>
        <w:ind w:left="-5" w:right="17"/>
      </w:pPr>
      <w:r>
        <w:rPr>
          <w:b/>
        </w:rPr>
        <w:t>Број претплатника фиксног широкопојас</w:t>
      </w:r>
      <w:r>
        <w:rPr>
          <w:b/>
        </w:rPr>
        <w:t>ног приступа интернету у другом кварталу 2020. године благо је порастао и износи око 1,66 милиона</w:t>
      </w:r>
      <w:r>
        <w:rPr>
          <w:vertAlign w:val="superscript"/>
        </w:rPr>
        <w:t>61</w:t>
      </w:r>
      <w:r>
        <w:rPr>
          <w:b/>
        </w:rPr>
        <w:t xml:space="preserve"> </w:t>
      </w:r>
      <w:r>
        <w:t>што је 66,7% укупног броја домаћинстава. У структури преовладавају претплатници xDSL и кабловског приступа; чак 48,8% претплатника користи мреже великих брз</w:t>
      </w:r>
      <w:r>
        <w:t xml:space="preserve">ина (веће од 30Mbit/s). </w:t>
      </w:r>
      <w:r>
        <w:rPr>
          <w:b/>
        </w:rPr>
        <w:t>Приступ рачунарима и интернету у привредним друштвима је широко распрострањен</w:t>
      </w:r>
      <w:r>
        <w:t xml:space="preserve">, с обзиром на то да сва привредна друштва користе рачунаре и прикључена су на интернет мрежу. </w:t>
      </w:r>
    </w:p>
    <w:p w:rsidR="00E8309B" w:rsidRDefault="009D0949">
      <w:pPr>
        <w:ind w:left="-5" w:right="17"/>
      </w:pPr>
      <w:r>
        <w:t>У погледу повезивања образовних институција остварен је значајан напредак, јер је на Академску мрежу Републике Србије (АМРЕС) до јуна 2018. године повезано укупно 1.879 образовних, научних и културних институција, од тога 1.557 основних и средњих школа. Та</w:t>
      </w:r>
      <w:r>
        <w:t xml:space="preserve">кође, улажу се напори како би се обезбедила средства за побољшање квалитета и брзине интернет веза у већ повезаним школама. </w:t>
      </w:r>
    </w:p>
    <w:p w:rsidR="00E8309B" w:rsidRDefault="009D0949">
      <w:pPr>
        <w:ind w:left="-5" w:right="17"/>
      </w:pPr>
      <w:r>
        <w:rPr>
          <w:b/>
        </w:rPr>
        <w:t xml:space="preserve">Развој информационог друштва и еУправе у Србији зависи и од унапређења законске регулативе која регулише ову област. </w:t>
      </w:r>
      <w:r>
        <w:t>Усвајањем Зако</w:t>
      </w:r>
      <w:r>
        <w:t xml:space="preserve">на о електронским комуникацијама (који је у припреми) биће завршена хармонизација са регулаторним оквиром ЕУ у области електронских комуникација. </w:t>
      </w:r>
    </w:p>
    <w:p w:rsidR="00E8309B" w:rsidRDefault="009D0949">
      <w:pPr>
        <w:ind w:left="-5" w:right="17"/>
      </w:pPr>
      <w:r>
        <w:rPr>
          <w:b/>
        </w:rPr>
        <w:t>Напредак је остварен у даљем развоју електронске управе, што је јасно препознато и у прошлогодишњем извештају</w:t>
      </w:r>
      <w:r>
        <w:rPr>
          <w:b/>
        </w:rPr>
        <w:t xml:space="preserve"> СИГМА</w:t>
      </w:r>
      <w:r>
        <w:t>. Фокус Владе РС је на даљем увођењу и развоју еуслуга, односно позиционирању националног портала еУправа као централног места за пружање е-услуга. Преко Сервисне магистрале органа (СМО) укупан број позива сервиса до 06.10.2020. износио је више од 15</w:t>
      </w:r>
      <w:r>
        <w:t xml:space="preserve"> милиона. Од стране осам институција су доступни сетови података из њихових надлежности, укупно </w:t>
      </w:r>
      <w:r>
        <w:rPr>
          <w:b/>
        </w:rPr>
        <w:t>28 сетова података</w:t>
      </w:r>
      <w:r>
        <w:t xml:space="preserve"> (МДУЛС–5 сетова података, Министарство правде–3, МУП-5, НСЗ-3, ПУРС-4, РГЗ-4, ПИО фонд-2, ЦРОСО-2), а 332 институције размењују податке путем</w:t>
      </w:r>
      <w:r>
        <w:t xml:space="preserve"> СМО. </w:t>
      </w:r>
    </w:p>
    <w:p w:rsidR="00E8309B" w:rsidRDefault="009D0949">
      <w:pPr>
        <w:ind w:left="-5" w:right="17"/>
      </w:pPr>
      <w:r>
        <w:t xml:space="preserve">У циљу унапређења корисничког искуства, Портал је функционално и садржински </w:t>
      </w:r>
      <w:r>
        <w:rPr>
          <w:b/>
        </w:rPr>
        <w:t>редизајниран</w:t>
      </w:r>
      <w:r>
        <w:t xml:space="preserve"> у фебруару 2020. године, уведена је секција „животни догађаји“ и прилагођен је за приступ преко мобилних телефона и таблета. Корисницима је стављена на располаг</w:t>
      </w:r>
      <w:r>
        <w:t xml:space="preserve">ање и могућност увида у своје личне податке који су похрањени у регистрима и електронским евиденцијама јавне управе. Шеме </w:t>
      </w:r>
      <w:r>
        <w:rPr>
          <w:b/>
        </w:rPr>
        <w:t>еИдентификације</w:t>
      </w:r>
      <w:r>
        <w:t xml:space="preserve"> основног и средњег нивоа поузданости Канцеларије за информационе технологије и електронску управу су уписане у Региста</w:t>
      </w:r>
      <w:r>
        <w:t>р пружалаца услуге електронске идентификације и шема електронске идентификавције. Успостављен је национални портал за аутентикацију корисника електронске управе (еИД) и двофакторска (вишефакторска) идентификација корисника услуга еУправе. Посебно је значај</w:t>
      </w:r>
      <w:r>
        <w:t xml:space="preserve">но да је у времену пандемије Ковид-19 Портал еЗдравље први повезани информациони систем јавне управе за који је омогућена функционалност јединствене пријаве (SSO) путем еИД портала. У току је повезивање и свих осталих информационих система и портала јавне </w:t>
      </w:r>
      <w:r>
        <w:t xml:space="preserve">управе. </w:t>
      </w:r>
      <w:r>
        <w:rPr>
          <w:b/>
        </w:rPr>
        <w:t>еПлаћање</w:t>
      </w:r>
      <w:r>
        <w:t xml:space="preserve"> је омогућено свим корисницима преко Портала еУправа и то: било којом платном картицом, интегрисаним електронским банкарством и електронским новцем (iPay see). еПлаћање је омогућено на шалтерима ЈЛС, катастра и МУП-а, преко ПОС терминала, а</w:t>
      </w:r>
      <w:r>
        <w:t xml:space="preserve"> у току је израда решења којим би било омогућено и инстант плаћање на шалтерима органа јавне управе и Порталу еУправа. Везано за развој дигиталних вештина, спроводе се обуке везане за развој и унапређивање дигиталних вештина, затим различите обуке везане з</w:t>
      </w:r>
      <w:r>
        <w:t xml:space="preserve">а коришћење ИС и услуга еУправе, програм Преквалификације за ИТ за запослена лицa, и сл. </w:t>
      </w:r>
    </w:p>
    <w:p w:rsidR="00E8309B" w:rsidRDefault="009D0949">
      <w:pPr>
        <w:ind w:left="-5" w:right="17"/>
      </w:pPr>
      <w:r>
        <w:t xml:space="preserve">Значај процеса </w:t>
      </w:r>
      <w:r>
        <w:rPr>
          <w:b/>
        </w:rPr>
        <w:t>дигитализације услуга здравствене заштите</w:t>
      </w:r>
      <w:r>
        <w:t xml:space="preserve"> посебно је дошао до изражаја услед пандемије Ковид-19 (више у области </w:t>
      </w:r>
      <w:r>
        <w:rPr>
          <w:i/>
        </w:rPr>
        <w:t>Социјална заштита и инклузија, укључују</w:t>
      </w:r>
      <w:r>
        <w:rPr>
          <w:i/>
        </w:rPr>
        <w:t>ћи здравствену заштиту</w:t>
      </w:r>
      <w:r>
        <w:t xml:space="preserve">, стр. 178). </w:t>
      </w:r>
    </w:p>
    <w:p w:rsidR="00E8309B" w:rsidRDefault="009D0949">
      <w:pPr>
        <w:spacing w:after="246" w:line="271" w:lineRule="auto"/>
        <w:ind w:left="-5" w:right="9"/>
      </w:pPr>
      <w:r>
        <w:rPr>
          <w:b/>
        </w:rPr>
        <w:t>б) Реформе</w:t>
      </w:r>
      <w:r>
        <w:t xml:space="preserve"> </w:t>
      </w:r>
    </w:p>
    <w:p w:rsidR="00E8309B" w:rsidRDefault="009D0949">
      <w:pPr>
        <w:spacing w:after="153"/>
        <w:ind w:left="-5" w:right="17"/>
      </w:pPr>
      <w:r>
        <w:rPr>
          <w:b/>
          <w:u w:val="single" w:color="000000"/>
        </w:rPr>
        <w:t>СТРУКТУРНА РЕФОРМА 14:</w:t>
      </w:r>
      <w:r>
        <w:rPr>
          <w:b/>
        </w:rPr>
        <w:t xml:space="preserve"> </w:t>
      </w:r>
      <w:r>
        <w:t>ПОДРШКА</w:t>
      </w:r>
      <w:r>
        <w:rPr>
          <w:sz w:val="19"/>
        </w:rPr>
        <w:t xml:space="preserve"> </w:t>
      </w:r>
      <w:r>
        <w:t>НАУЧНОИСТРАЖИВАЧКОЈ</w:t>
      </w:r>
      <w:r>
        <w:rPr>
          <w:sz w:val="19"/>
        </w:rPr>
        <w:t xml:space="preserve"> </w:t>
      </w:r>
      <w:r>
        <w:t>ДЕЛАТНОСТИ</w:t>
      </w:r>
      <w:r>
        <w:rPr>
          <w:sz w:val="19"/>
        </w:rPr>
        <w:t xml:space="preserve"> </w:t>
      </w:r>
      <w:r>
        <w:t>КРОЗ</w:t>
      </w:r>
      <w:r>
        <w:rPr>
          <w:sz w:val="19"/>
        </w:rPr>
        <w:t xml:space="preserve"> </w:t>
      </w:r>
      <w:r>
        <w:t>JAЧАЊЕ</w:t>
      </w:r>
      <w:r>
        <w:rPr>
          <w:sz w:val="19"/>
        </w:rPr>
        <w:t xml:space="preserve"> </w:t>
      </w:r>
      <w:r>
        <w:t>НАУЧНОИСТРАЖИВАЧКИХ</w:t>
      </w:r>
      <w:r>
        <w:rPr>
          <w:sz w:val="19"/>
        </w:rPr>
        <w:t xml:space="preserve"> </w:t>
      </w:r>
      <w:r>
        <w:t>КАПАЦИТЕТА</w:t>
      </w:r>
      <w:r>
        <w:rPr>
          <w:b/>
        </w:rPr>
        <w:t xml:space="preserve"> </w:t>
      </w:r>
    </w:p>
    <w:p w:rsidR="00E8309B" w:rsidRDefault="009D0949">
      <w:pPr>
        <w:numPr>
          <w:ilvl w:val="0"/>
          <w:numId w:val="33"/>
        </w:numPr>
        <w:spacing w:after="79" w:line="271" w:lineRule="auto"/>
        <w:ind w:right="9" w:hanging="360"/>
      </w:pPr>
      <w:r>
        <w:rPr>
          <w:b/>
        </w:rPr>
        <w:t xml:space="preserve">Опис структурне реформе </w:t>
      </w:r>
    </w:p>
    <w:p w:rsidR="00E8309B" w:rsidRDefault="009D0949">
      <w:pPr>
        <w:ind w:left="-5" w:right="17"/>
      </w:pPr>
      <w:r>
        <w:t xml:space="preserve">Реформа научноистраживачког система, са једне стране треба да обезбеди </w:t>
      </w:r>
      <w:r>
        <w:rPr>
          <w:b/>
        </w:rPr>
        <w:t>стабилност финансирања научноистраживачких организација</w:t>
      </w:r>
      <w:r>
        <w:t>, а са друге стране да подржи изврсност у науци као основе иновативног друштва и дугорочно обезбеди квалитет научноистраживачког рада кроз јачање научноистраживачких институција. Кроз реформу научноист</w:t>
      </w:r>
      <w:r>
        <w:t xml:space="preserve">раживачког сектора ће се омогућити позиционирање института као поузданих партнера како унутар српског друштва, тако и у оквиру европског истраживачког простора, пружајући кључан допринос развоју економије засноване на знању. Фокус реформе је на </w:t>
      </w:r>
      <w:r>
        <w:rPr>
          <w:b/>
        </w:rPr>
        <w:t>јачању капа</w:t>
      </w:r>
      <w:r>
        <w:rPr>
          <w:b/>
        </w:rPr>
        <w:t>цитета научноистраживачких института</w:t>
      </w:r>
      <w:r>
        <w:t>, чији оснивач је углавном Република Србија (69 од 73 акредитована института). Завршен је процес самоевалуације института, а након тога ће се пилотирати процес екстерне евалуације одабраних института, како би се у крајњо</w:t>
      </w:r>
      <w:r>
        <w:t xml:space="preserve">ј фази спровела њихова трансформација. То подразумева: унапређење квалитета научноистраживачког рада института и јачање капацитета уз адекватно коришћење финансијских средстава и истраживачке опреме. Реформа доприноси остваривању </w:t>
      </w:r>
      <w:r>
        <w:rPr>
          <w:b/>
        </w:rPr>
        <w:t>ЦОР 9.5.</w:t>
      </w:r>
      <w:r>
        <w:t xml:space="preserve"> Унапредити научна</w:t>
      </w:r>
      <w:r>
        <w:t xml:space="preserve"> истраживања, побољшати технолошке могућности индустријских сектора, што подразумева да се до 2030. подстичу иновације и значајно повећа број запослених у области истраживања и развоја, као и да се повећа јавна и приватна потрошња за истраживање и развој. </w:t>
      </w:r>
    </w:p>
    <w:p w:rsidR="00E8309B" w:rsidRDefault="009D0949">
      <w:pPr>
        <w:ind w:left="-5" w:right="17"/>
      </w:pPr>
      <w:r>
        <w:t xml:space="preserve">Применом Закона о Фонду за науку </w:t>
      </w:r>
      <w:r>
        <w:rPr>
          <w:b/>
        </w:rPr>
        <w:t xml:space="preserve">наставља се подршка </w:t>
      </w:r>
      <w:r>
        <w:t xml:space="preserve">најквалитетнијим научницима, тимовима и њиховим идејама </w:t>
      </w:r>
      <w:r>
        <w:rPr>
          <w:b/>
        </w:rPr>
        <w:t>кроз Програме Фонда за науку</w:t>
      </w:r>
      <w:r>
        <w:t>. До сада (од марта 2019.), расписао позиве за 5 различитих програма за чију реализацију је опредељено око 38,2 милион</w:t>
      </w:r>
      <w:r>
        <w:t xml:space="preserve">а евра. </w:t>
      </w:r>
    </w:p>
    <w:p w:rsidR="00E8309B" w:rsidRDefault="009D0949">
      <w:pPr>
        <w:spacing w:after="153"/>
        <w:ind w:left="-5" w:right="17"/>
      </w:pPr>
      <w:r>
        <w:t xml:space="preserve">Актуелна </w:t>
      </w:r>
      <w:r>
        <w:rPr>
          <w:i/>
        </w:rPr>
        <w:t>Стратегија научног и технолошког развоја „Истраживање за иновације” за период 2016-2020. године</w:t>
      </w:r>
      <w:r>
        <w:t xml:space="preserve"> дала је добар оквир за реформе у области науке и истраживања. У припреми је нови стратешки документ за период 2021-2027. године којим ће омогу</w:t>
      </w:r>
      <w:r>
        <w:t xml:space="preserve">ћити даљи реформски процес и динамичнији развој ове области. </w:t>
      </w:r>
    </w:p>
    <w:p w:rsidR="00E8309B" w:rsidRDefault="009D0949">
      <w:pPr>
        <w:numPr>
          <w:ilvl w:val="0"/>
          <w:numId w:val="33"/>
        </w:numPr>
        <w:spacing w:after="126" w:line="271" w:lineRule="auto"/>
        <w:ind w:right="9" w:hanging="360"/>
      </w:pPr>
      <w:r>
        <w:rPr>
          <w:b/>
        </w:rPr>
        <w:t xml:space="preserve">Ковид-19 – ефекти, мере и изазови </w:t>
      </w:r>
    </w:p>
    <w:p w:rsidR="00E8309B" w:rsidRDefault="009D0949">
      <w:pPr>
        <w:spacing w:after="157"/>
        <w:ind w:left="-5" w:right="17"/>
      </w:pPr>
      <w:r>
        <w:t xml:space="preserve">Фонд за науку је расписао Специјални програм истраживања Ковид-19, који је дао </w:t>
      </w:r>
      <w:r>
        <w:rPr>
          <w:b/>
        </w:rPr>
        <w:t>ефикасан научни одговор на актуелну пандемију</w:t>
      </w:r>
      <w:r>
        <w:t xml:space="preserve"> и показао спремност реаговања науч</w:t>
      </w:r>
      <w:r>
        <w:t xml:space="preserve">не заједнице на нове друштвене изазове. Фонд за науку ће кроз овај позив финансирати 14 пројеката, од којих је 11 из области биомедицинских наука, 2 из области економских, социолошких, психолошких истраживања и управљања сложеним системима и 1 пројекат из </w:t>
      </w:r>
      <w:r>
        <w:t xml:space="preserve">области биомедицинског инжењерства и информационих технологија, са укупним буџетом од скоро 2 милиона евра. </w:t>
      </w:r>
    </w:p>
    <w:p w:rsidR="00E8309B" w:rsidRDefault="009D0949">
      <w:pPr>
        <w:numPr>
          <w:ilvl w:val="0"/>
          <w:numId w:val="33"/>
        </w:numPr>
        <w:spacing w:after="0" w:line="271" w:lineRule="auto"/>
        <w:ind w:right="9" w:hanging="360"/>
      </w:pPr>
      <w:r>
        <w:rPr>
          <w:b/>
        </w:rPr>
        <w:t xml:space="preserve">Планирање активности по годинама </w:t>
      </w:r>
    </w:p>
    <w:tbl>
      <w:tblPr>
        <w:tblStyle w:val="TableGrid"/>
        <w:tblW w:w="9610" w:type="dxa"/>
        <w:tblInd w:w="10" w:type="dxa"/>
        <w:tblCellMar>
          <w:top w:w="7" w:type="dxa"/>
          <w:left w:w="58" w:type="dxa"/>
          <w:bottom w:w="0" w:type="dxa"/>
          <w:right w:w="8" w:type="dxa"/>
        </w:tblCellMar>
        <w:tblLook w:val="04A0" w:firstRow="1" w:lastRow="0" w:firstColumn="1" w:lastColumn="0" w:noHBand="0" w:noVBand="1"/>
      </w:tblPr>
      <w:tblGrid>
        <w:gridCol w:w="427"/>
        <w:gridCol w:w="4123"/>
        <w:gridCol w:w="419"/>
        <w:gridCol w:w="421"/>
        <w:gridCol w:w="422"/>
        <w:gridCol w:w="421"/>
        <w:gridCol w:w="424"/>
        <w:gridCol w:w="421"/>
        <w:gridCol w:w="423"/>
        <w:gridCol w:w="420"/>
        <w:gridCol w:w="424"/>
        <w:gridCol w:w="422"/>
        <w:gridCol w:w="422"/>
        <w:gridCol w:w="420"/>
      </w:tblGrid>
      <w:tr w:rsidR="00E8309B">
        <w:trPr>
          <w:trHeight w:val="331"/>
        </w:trPr>
        <w:tc>
          <w:tcPr>
            <w:tcW w:w="427" w:type="dxa"/>
            <w:vMerge w:val="restart"/>
            <w:tcBorders>
              <w:top w:val="single" w:sz="8" w:space="0" w:color="000000"/>
              <w:left w:val="single" w:sz="8" w:space="0" w:color="000000"/>
              <w:bottom w:val="single" w:sz="4" w:space="0" w:color="000000"/>
              <w:right w:val="single" w:sz="8" w:space="0" w:color="000000"/>
            </w:tcBorders>
            <w:vAlign w:val="center"/>
          </w:tcPr>
          <w:p w:rsidR="00E8309B" w:rsidRDefault="009D0949">
            <w:pPr>
              <w:spacing w:after="0" w:line="259" w:lineRule="auto"/>
              <w:ind w:left="29" w:right="0" w:firstLine="0"/>
            </w:pPr>
            <w:r>
              <w:rPr>
                <w:b/>
                <w:sz w:val="20"/>
              </w:rPr>
              <w:t xml:space="preserve">РБ </w:t>
            </w:r>
          </w:p>
        </w:tc>
        <w:tc>
          <w:tcPr>
            <w:tcW w:w="4123" w:type="dxa"/>
            <w:vMerge w:val="restart"/>
            <w:tcBorders>
              <w:top w:val="single" w:sz="8" w:space="0" w:color="000000"/>
              <w:left w:val="single" w:sz="8" w:space="0" w:color="000000"/>
              <w:bottom w:val="single" w:sz="4" w:space="0" w:color="000000"/>
              <w:right w:val="single" w:sz="8" w:space="0" w:color="000000"/>
            </w:tcBorders>
            <w:vAlign w:val="center"/>
          </w:tcPr>
          <w:p w:rsidR="00E8309B" w:rsidRDefault="009D0949">
            <w:pPr>
              <w:spacing w:after="0" w:line="259" w:lineRule="auto"/>
              <w:ind w:left="0" w:right="0" w:firstLine="0"/>
              <w:jc w:val="left"/>
            </w:pPr>
            <w:r>
              <w:rPr>
                <w:b/>
                <w:sz w:val="20"/>
              </w:rPr>
              <w:t xml:space="preserve">Планиране активности </w:t>
            </w:r>
          </w:p>
        </w:tc>
        <w:tc>
          <w:tcPr>
            <w:tcW w:w="1684" w:type="dxa"/>
            <w:gridSpan w:val="4"/>
            <w:tcBorders>
              <w:top w:val="single" w:sz="8" w:space="0" w:color="000000"/>
              <w:left w:val="single" w:sz="8" w:space="0" w:color="000000"/>
              <w:bottom w:val="single" w:sz="4" w:space="0" w:color="000000"/>
              <w:right w:val="single" w:sz="8" w:space="0" w:color="000000"/>
            </w:tcBorders>
          </w:tcPr>
          <w:p w:rsidR="00E8309B" w:rsidRDefault="009D0949">
            <w:pPr>
              <w:spacing w:after="0" w:line="259" w:lineRule="auto"/>
              <w:ind w:left="0" w:right="47" w:firstLine="0"/>
              <w:jc w:val="center"/>
            </w:pPr>
            <w:r>
              <w:rPr>
                <w:b/>
                <w:sz w:val="20"/>
              </w:rPr>
              <w:t xml:space="preserve">2021 </w:t>
            </w:r>
          </w:p>
        </w:tc>
        <w:tc>
          <w:tcPr>
            <w:tcW w:w="1688" w:type="dxa"/>
            <w:gridSpan w:val="4"/>
            <w:tcBorders>
              <w:top w:val="single" w:sz="8" w:space="0" w:color="000000"/>
              <w:left w:val="single" w:sz="8" w:space="0" w:color="000000"/>
              <w:bottom w:val="single" w:sz="4" w:space="0" w:color="000000"/>
              <w:right w:val="single" w:sz="8" w:space="0" w:color="000000"/>
            </w:tcBorders>
          </w:tcPr>
          <w:p w:rsidR="00E8309B" w:rsidRDefault="009D0949">
            <w:pPr>
              <w:spacing w:after="0" w:line="259" w:lineRule="auto"/>
              <w:ind w:left="0" w:right="44" w:firstLine="0"/>
              <w:jc w:val="center"/>
            </w:pPr>
            <w:r>
              <w:rPr>
                <w:b/>
                <w:sz w:val="20"/>
              </w:rPr>
              <w:t xml:space="preserve">2022 </w:t>
            </w:r>
          </w:p>
        </w:tc>
        <w:tc>
          <w:tcPr>
            <w:tcW w:w="1688" w:type="dxa"/>
            <w:gridSpan w:val="4"/>
            <w:tcBorders>
              <w:top w:val="single" w:sz="8" w:space="0" w:color="000000"/>
              <w:left w:val="single" w:sz="8" w:space="0" w:color="000000"/>
              <w:bottom w:val="single" w:sz="4" w:space="0" w:color="000000"/>
              <w:right w:val="single" w:sz="8" w:space="0" w:color="000000"/>
            </w:tcBorders>
          </w:tcPr>
          <w:p w:rsidR="00E8309B" w:rsidRDefault="009D0949">
            <w:pPr>
              <w:spacing w:after="0" w:line="259" w:lineRule="auto"/>
              <w:ind w:left="0" w:right="45" w:firstLine="0"/>
              <w:jc w:val="center"/>
            </w:pPr>
            <w:r>
              <w:rPr>
                <w:b/>
                <w:sz w:val="20"/>
              </w:rPr>
              <w:t xml:space="preserve">2023 </w:t>
            </w:r>
          </w:p>
        </w:tc>
      </w:tr>
      <w:tr w:rsidR="00E8309B">
        <w:trPr>
          <w:trHeight w:val="320"/>
        </w:trPr>
        <w:tc>
          <w:tcPr>
            <w:tcW w:w="0" w:type="auto"/>
            <w:vMerge/>
            <w:tcBorders>
              <w:top w:val="nil"/>
              <w:left w:val="single" w:sz="8" w:space="0" w:color="000000"/>
              <w:bottom w:val="single" w:sz="4" w:space="0" w:color="000000"/>
              <w:right w:val="single" w:sz="8" w:space="0" w:color="000000"/>
            </w:tcBorders>
          </w:tcPr>
          <w:p w:rsidR="00E8309B" w:rsidRDefault="00E8309B">
            <w:pPr>
              <w:spacing w:after="160" w:line="259" w:lineRule="auto"/>
              <w:ind w:left="0" w:right="0" w:firstLine="0"/>
              <w:jc w:val="left"/>
            </w:pPr>
          </w:p>
        </w:tc>
        <w:tc>
          <w:tcPr>
            <w:tcW w:w="0" w:type="auto"/>
            <w:vMerge/>
            <w:tcBorders>
              <w:top w:val="nil"/>
              <w:left w:val="single" w:sz="8" w:space="0" w:color="000000"/>
              <w:bottom w:val="single" w:sz="4" w:space="0" w:color="000000"/>
              <w:right w:val="single" w:sz="8" w:space="0" w:color="000000"/>
            </w:tcBorders>
          </w:tcPr>
          <w:p w:rsidR="00E8309B" w:rsidRDefault="00E8309B">
            <w:pPr>
              <w:spacing w:after="160" w:line="259" w:lineRule="auto"/>
              <w:ind w:left="0" w:right="0" w:firstLine="0"/>
              <w:jc w:val="left"/>
            </w:pPr>
          </w:p>
        </w:tc>
        <w:tc>
          <w:tcPr>
            <w:tcW w:w="419" w:type="dxa"/>
            <w:tcBorders>
              <w:top w:val="single" w:sz="4" w:space="0" w:color="000000"/>
              <w:left w:val="single" w:sz="8" w:space="0" w:color="000000"/>
              <w:bottom w:val="single" w:sz="4" w:space="0" w:color="000000"/>
              <w:right w:val="single" w:sz="4" w:space="0" w:color="000000"/>
            </w:tcBorders>
          </w:tcPr>
          <w:p w:rsidR="00E8309B" w:rsidRDefault="009D0949">
            <w:pPr>
              <w:spacing w:after="0" w:line="259" w:lineRule="auto"/>
              <w:ind w:left="42" w:right="0" w:firstLine="0"/>
              <w:jc w:val="left"/>
            </w:pPr>
            <w:r>
              <w:rPr>
                <w:i/>
                <w:sz w:val="18"/>
              </w:rPr>
              <w:t xml:space="preserve">Q1 </w:t>
            </w:r>
          </w:p>
        </w:tc>
        <w:tc>
          <w:tcPr>
            <w:tcW w:w="421"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43" w:right="0" w:firstLine="0"/>
              <w:jc w:val="left"/>
            </w:pPr>
            <w:r>
              <w:rPr>
                <w:i/>
                <w:sz w:val="18"/>
              </w:rPr>
              <w:t xml:space="preserve">Q2 </w:t>
            </w:r>
          </w:p>
        </w:tc>
        <w:tc>
          <w:tcPr>
            <w:tcW w:w="422"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44" w:right="0" w:firstLine="0"/>
              <w:jc w:val="left"/>
            </w:pPr>
            <w:r>
              <w:rPr>
                <w:i/>
                <w:sz w:val="18"/>
              </w:rPr>
              <w:t xml:space="preserve">Q3 </w:t>
            </w:r>
          </w:p>
        </w:tc>
        <w:tc>
          <w:tcPr>
            <w:tcW w:w="421" w:type="dxa"/>
            <w:tcBorders>
              <w:top w:val="single" w:sz="4" w:space="0" w:color="000000"/>
              <w:left w:val="single" w:sz="4" w:space="0" w:color="000000"/>
              <w:bottom w:val="single" w:sz="4" w:space="0" w:color="000000"/>
              <w:right w:val="single" w:sz="8" w:space="0" w:color="000000"/>
            </w:tcBorders>
          </w:tcPr>
          <w:p w:rsidR="00E8309B" w:rsidRDefault="009D0949">
            <w:pPr>
              <w:spacing w:after="0" w:line="259" w:lineRule="auto"/>
              <w:ind w:left="44" w:right="0" w:firstLine="0"/>
              <w:jc w:val="left"/>
            </w:pPr>
            <w:r>
              <w:rPr>
                <w:i/>
                <w:sz w:val="18"/>
              </w:rPr>
              <w:t xml:space="preserve">Q4 </w:t>
            </w:r>
          </w:p>
        </w:tc>
        <w:tc>
          <w:tcPr>
            <w:tcW w:w="424" w:type="dxa"/>
            <w:tcBorders>
              <w:top w:val="single" w:sz="4" w:space="0" w:color="000000"/>
              <w:left w:val="single" w:sz="8" w:space="0" w:color="000000"/>
              <w:bottom w:val="single" w:sz="4" w:space="0" w:color="000000"/>
              <w:right w:val="single" w:sz="4" w:space="0" w:color="000000"/>
            </w:tcBorders>
          </w:tcPr>
          <w:p w:rsidR="00E8309B" w:rsidRDefault="009D0949">
            <w:pPr>
              <w:spacing w:after="0" w:line="259" w:lineRule="auto"/>
              <w:ind w:left="46" w:right="0" w:firstLine="0"/>
              <w:jc w:val="left"/>
            </w:pPr>
            <w:r>
              <w:rPr>
                <w:i/>
                <w:sz w:val="18"/>
              </w:rPr>
              <w:t xml:space="preserve">Q1 </w:t>
            </w:r>
          </w:p>
        </w:tc>
        <w:tc>
          <w:tcPr>
            <w:tcW w:w="421"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44" w:right="0" w:firstLine="0"/>
              <w:jc w:val="left"/>
            </w:pPr>
            <w:r>
              <w:rPr>
                <w:i/>
                <w:sz w:val="18"/>
              </w:rPr>
              <w:t xml:space="preserve">Q2 </w:t>
            </w:r>
          </w:p>
        </w:tc>
        <w:tc>
          <w:tcPr>
            <w:tcW w:w="423"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46" w:right="0" w:firstLine="0"/>
              <w:jc w:val="left"/>
            </w:pPr>
            <w:r>
              <w:rPr>
                <w:i/>
                <w:sz w:val="18"/>
              </w:rPr>
              <w:t xml:space="preserve">Q3 </w:t>
            </w:r>
          </w:p>
        </w:tc>
        <w:tc>
          <w:tcPr>
            <w:tcW w:w="420" w:type="dxa"/>
            <w:tcBorders>
              <w:top w:val="single" w:sz="4" w:space="0" w:color="000000"/>
              <w:left w:val="single" w:sz="4" w:space="0" w:color="000000"/>
              <w:bottom w:val="single" w:sz="4" w:space="0" w:color="000000"/>
              <w:right w:val="single" w:sz="8" w:space="0" w:color="000000"/>
            </w:tcBorders>
          </w:tcPr>
          <w:p w:rsidR="00E8309B" w:rsidRDefault="009D0949">
            <w:pPr>
              <w:spacing w:after="0" w:line="259" w:lineRule="auto"/>
              <w:ind w:left="43" w:right="0" w:firstLine="0"/>
              <w:jc w:val="left"/>
            </w:pPr>
            <w:r>
              <w:rPr>
                <w:i/>
                <w:sz w:val="18"/>
              </w:rPr>
              <w:t xml:space="preserve">Q4 </w:t>
            </w:r>
          </w:p>
        </w:tc>
        <w:tc>
          <w:tcPr>
            <w:tcW w:w="424" w:type="dxa"/>
            <w:tcBorders>
              <w:top w:val="single" w:sz="4" w:space="0" w:color="000000"/>
              <w:left w:val="single" w:sz="8" w:space="0" w:color="000000"/>
              <w:bottom w:val="single" w:sz="4" w:space="0" w:color="000000"/>
              <w:right w:val="single" w:sz="4" w:space="0" w:color="000000"/>
            </w:tcBorders>
          </w:tcPr>
          <w:p w:rsidR="00E8309B" w:rsidRDefault="009D0949">
            <w:pPr>
              <w:spacing w:after="0" w:line="259" w:lineRule="auto"/>
              <w:ind w:left="46" w:right="0" w:firstLine="0"/>
              <w:jc w:val="left"/>
            </w:pPr>
            <w:r>
              <w:rPr>
                <w:i/>
                <w:sz w:val="18"/>
              </w:rPr>
              <w:t xml:space="preserve">Q1 </w:t>
            </w:r>
          </w:p>
        </w:tc>
        <w:tc>
          <w:tcPr>
            <w:tcW w:w="422"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44" w:right="0" w:firstLine="0"/>
              <w:jc w:val="left"/>
            </w:pPr>
            <w:r>
              <w:rPr>
                <w:i/>
                <w:sz w:val="18"/>
              </w:rPr>
              <w:t xml:space="preserve">Q2 </w:t>
            </w:r>
          </w:p>
        </w:tc>
        <w:tc>
          <w:tcPr>
            <w:tcW w:w="422"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44" w:right="0" w:firstLine="0"/>
              <w:jc w:val="left"/>
            </w:pPr>
            <w:r>
              <w:rPr>
                <w:i/>
                <w:sz w:val="18"/>
              </w:rPr>
              <w:t xml:space="preserve">Q3 </w:t>
            </w:r>
          </w:p>
        </w:tc>
        <w:tc>
          <w:tcPr>
            <w:tcW w:w="420" w:type="dxa"/>
            <w:tcBorders>
              <w:top w:val="single" w:sz="4" w:space="0" w:color="000000"/>
              <w:left w:val="single" w:sz="4" w:space="0" w:color="000000"/>
              <w:bottom w:val="single" w:sz="4" w:space="0" w:color="000000"/>
              <w:right w:val="single" w:sz="8" w:space="0" w:color="000000"/>
            </w:tcBorders>
          </w:tcPr>
          <w:p w:rsidR="00E8309B" w:rsidRDefault="009D0949">
            <w:pPr>
              <w:spacing w:after="0" w:line="259" w:lineRule="auto"/>
              <w:ind w:left="44" w:right="0" w:firstLine="0"/>
              <w:jc w:val="left"/>
            </w:pPr>
            <w:r>
              <w:rPr>
                <w:i/>
                <w:sz w:val="18"/>
              </w:rPr>
              <w:t xml:space="preserve">Q4 </w:t>
            </w:r>
          </w:p>
        </w:tc>
      </w:tr>
      <w:tr w:rsidR="00E8309B">
        <w:trPr>
          <w:trHeight w:val="308"/>
        </w:trPr>
        <w:tc>
          <w:tcPr>
            <w:tcW w:w="427" w:type="dxa"/>
            <w:tcBorders>
              <w:top w:val="single" w:sz="4" w:space="0" w:color="000000"/>
              <w:left w:val="single" w:sz="8" w:space="0" w:color="000000"/>
              <w:bottom w:val="single" w:sz="4" w:space="0" w:color="000000"/>
              <w:right w:val="single" w:sz="8" w:space="0" w:color="000000"/>
            </w:tcBorders>
          </w:tcPr>
          <w:p w:rsidR="00E8309B" w:rsidRDefault="009D0949">
            <w:pPr>
              <w:spacing w:after="0" w:line="259" w:lineRule="auto"/>
              <w:ind w:left="0" w:right="51" w:firstLine="0"/>
              <w:jc w:val="right"/>
            </w:pPr>
            <w:r>
              <w:rPr>
                <w:sz w:val="20"/>
              </w:rPr>
              <w:t xml:space="preserve">1 </w:t>
            </w:r>
          </w:p>
        </w:tc>
        <w:tc>
          <w:tcPr>
            <w:tcW w:w="4123" w:type="dxa"/>
            <w:tcBorders>
              <w:top w:val="single" w:sz="4" w:space="0" w:color="000000"/>
              <w:left w:val="single" w:sz="8" w:space="0" w:color="000000"/>
              <w:bottom w:val="single" w:sz="4" w:space="0" w:color="000000"/>
              <w:right w:val="single" w:sz="8" w:space="0" w:color="000000"/>
            </w:tcBorders>
          </w:tcPr>
          <w:p w:rsidR="00E8309B" w:rsidRDefault="009D0949">
            <w:pPr>
              <w:spacing w:after="0" w:line="259" w:lineRule="auto"/>
              <w:ind w:left="0" w:right="0" w:firstLine="0"/>
              <w:jc w:val="left"/>
            </w:pPr>
            <w:r>
              <w:rPr>
                <w:sz w:val="20"/>
              </w:rPr>
              <w:t xml:space="preserve">Програм институционалног финансирања </w:t>
            </w:r>
          </w:p>
        </w:tc>
        <w:tc>
          <w:tcPr>
            <w:tcW w:w="419" w:type="dxa"/>
            <w:tcBorders>
              <w:top w:val="single" w:sz="4" w:space="0" w:color="000000"/>
              <w:left w:val="single" w:sz="8" w:space="0" w:color="000000"/>
              <w:bottom w:val="single" w:sz="4" w:space="0" w:color="000000"/>
              <w:right w:val="single" w:sz="4" w:space="0" w:color="000000"/>
            </w:tcBorders>
            <w:shd w:val="clear" w:color="auto" w:fill="BFBFBF"/>
          </w:tcPr>
          <w:p w:rsidR="00E8309B" w:rsidRDefault="009D0949">
            <w:pPr>
              <w:spacing w:after="0" w:line="259" w:lineRule="auto"/>
              <w:ind w:left="1" w:right="0" w:firstLine="0"/>
              <w:jc w:val="center"/>
            </w:pPr>
            <w:r>
              <w:rPr>
                <w:sz w:val="20"/>
              </w:rPr>
              <w:t xml:space="preserve"> </w:t>
            </w:r>
          </w:p>
        </w:tc>
        <w:tc>
          <w:tcPr>
            <w:tcW w:w="421" w:type="dxa"/>
            <w:tcBorders>
              <w:top w:val="single" w:sz="4" w:space="0" w:color="000000"/>
              <w:left w:val="single" w:sz="4" w:space="0" w:color="000000"/>
              <w:bottom w:val="single" w:sz="4" w:space="0" w:color="000000"/>
              <w:right w:val="single" w:sz="4" w:space="0" w:color="000000"/>
            </w:tcBorders>
            <w:shd w:val="clear" w:color="auto" w:fill="BFBFBF"/>
          </w:tcPr>
          <w:p w:rsidR="00E8309B" w:rsidRDefault="009D0949">
            <w:pPr>
              <w:spacing w:after="0" w:line="259" w:lineRule="auto"/>
              <w:ind w:left="1" w:right="0" w:firstLine="0"/>
              <w:jc w:val="center"/>
            </w:pPr>
            <w:r>
              <w:rPr>
                <w:sz w:val="20"/>
              </w:rPr>
              <w:t xml:space="preserve"> </w:t>
            </w:r>
          </w:p>
        </w:tc>
        <w:tc>
          <w:tcPr>
            <w:tcW w:w="422" w:type="dxa"/>
            <w:tcBorders>
              <w:top w:val="single" w:sz="4" w:space="0" w:color="000000"/>
              <w:left w:val="single" w:sz="4" w:space="0" w:color="000000"/>
              <w:bottom w:val="single" w:sz="4" w:space="0" w:color="000000"/>
              <w:right w:val="single" w:sz="4" w:space="0" w:color="000000"/>
            </w:tcBorders>
            <w:shd w:val="clear" w:color="auto" w:fill="BFBFBF"/>
          </w:tcPr>
          <w:p w:rsidR="00E8309B" w:rsidRDefault="009D0949">
            <w:pPr>
              <w:spacing w:after="0" w:line="259" w:lineRule="auto"/>
              <w:ind w:left="2" w:right="0" w:firstLine="0"/>
              <w:jc w:val="center"/>
            </w:pPr>
            <w:r>
              <w:rPr>
                <w:sz w:val="20"/>
              </w:rPr>
              <w:t xml:space="preserve"> </w:t>
            </w:r>
          </w:p>
        </w:tc>
        <w:tc>
          <w:tcPr>
            <w:tcW w:w="421" w:type="dxa"/>
            <w:tcBorders>
              <w:top w:val="single" w:sz="4" w:space="0" w:color="000000"/>
              <w:left w:val="single" w:sz="4" w:space="0" w:color="000000"/>
              <w:bottom w:val="single" w:sz="4" w:space="0" w:color="000000"/>
              <w:right w:val="single" w:sz="8" w:space="0" w:color="000000"/>
            </w:tcBorders>
            <w:shd w:val="clear" w:color="auto" w:fill="BFBFBF"/>
          </w:tcPr>
          <w:p w:rsidR="00E8309B" w:rsidRDefault="009D0949">
            <w:pPr>
              <w:spacing w:after="0" w:line="259" w:lineRule="auto"/>
              <w:ind w:left="4" w:right="0" w:firstLine="0"/>
              <w:jc w:val="center"/>
            </w:pPr>
            <w:r>
              <w:rPr>
                <w:sz w:val="20"/>
              </w:rPr>
              <w:t xml:space="preserve"> </w:t>
            </w:r>
          </w:p>
        </w:tc>
        <w:tc>
          <w:tcPr>
            <w:tcW w:w="424" w:type="dxa"/>
            <w:tcBorders>
              <w:top w:val="single" w:sz="4" w:space="0" w:color="000000"/>
              <w:left w:val="single" w:sz="8" w:space="0" w:color="000000"/>
              <w:bottom w:val="single" w:sz="4" w:space="0" w:color="000000"/>
              <w:right w:val="single" w:sz="4" w:space="0" w:color="000000"/>
            </w:tcBorders>
            <w:shd w:val="clear" w:color="auto" w:fill="BFBFBF"/>
          </w:tcPr>
          <w:p w:rsidR="00E8309B" w:rsidRDefault="009D0949">
            <w:pPr>
              <w:spacing w:after="0" w:line="259" w:lineRule="auto"/>
              <w:ind w:left="4" w:right="0" w:firstLine="0"/>
              <w:jc w:val="center"/>
            </w:pPr>
            <w:r>
              <w:rPr>
                <w:sz w:val="20"/>
              </w:rPr>
              <w:t xml:space="preserve"> </w:t>
            </w:r>
          </w:p>
        </w:tc>
        <w:tc>
          <w:tcPr>
            <w:tcW w:w="421" w:type="dxa"/>
            <w:tcBorders>
              <w:top w:val="single" w:sz="4" w:space="0" w:color="000000"/>
              <w:left w:val="single" w:sz="4" w:space="0" w:color="000000"/>
              <w:bottom w:val="single" w:sz="4" w:space="0" w:color="000000"/>
              <w:right w:val="single" w:sz="4" w:space="0" w:color="000000"/>
            </w:tcBorders>
            <w:shd w:val="clear" w:color="auto" w:fill="BFBFBF"/>
          </w:tcPr>
          <w:p w:rsidR="00E8309B" w:rsidRDefault="009D0949">
            <w:pPr>
              <w:spacing w:after="0" w:line="259" w:lineRule="auto"/>
              <w:ind w:left="4" w:right="0" w:firstLine="0"/>
              <w:jc w:val="center"/>
            </w:pPr>
            <w:r>
              <w:rPr>
                <w:sz w:val="20"/>
              </w:rPr>
              <w:t xml:space="preserve"> </w:t>
            </w:r>
          </w:p>
        </w:tc>
        <w:tc>
          <w:tcPr>
            <w:tcW w:w="423" w:type="dxa"/>
            <w:tcBorders>
              <w:top w:val="single" w:sz="4" w:space="0" w:color="000000"/>
              <w:left w:val="single" w:sz="4" w:space="0" w:color="000000"/>
              <w:bottom w:val="single" w:sz="4" w:space="0" w:color="000000"/>
              <w:right w:val="single" w:sz="4" w:space="0" w:color="000000"/>
            </w:tcBorders>
            <w:shd w:val="clear" w:color="auto" w:fill="BFBFBF"/>
          </w:tcPr>
          <w:p w:rsidR="00E8309B" w:rsidRDefault="009D0949">
            <w:pPr>
              <w:spacing w:after="0" w:line="259" w:lineRule="auto"/>
              <w:ind w:left="5" w:right="0" w:firstLine="0"/>
              <w:jc w:val="center"/>
            </w:pPr>
            <w:r>
              <w:rPr>
                <w:sz w:val="20"/>
              </w:rPr>
              <w:t xml:space="preserve"> </w:t>
            </w:r>
          </w:p>
        </w:tc>
        <w:tc>
          <w:tcPr>
            <w:tcW w:w="420" w:type="dxa"/>
            <w:tcBorders>
              <w:top w:val="single" w:sz="4" w:space="0" w:color="000000"/>
              <w:left w:val="single" w:sz="4" w:space="0" w:color="000000"/>
              <w:bottom w:val="single" w:sz="4" w:space="0" w:color="000000"/>
              <w:right w:val="single" w:sz="8" w:space="0" w:color="000000"/>
            </w:tcBorders>
            <w:shd w:val="clear" w:color="auto" w:fill="BFBFBF"/>
          </w:tcPr>
          <w:p w:rsidR="00E8309B" w:rsidRDefault="009D0949">
            <w:pPr>
              <w:spacing w:after="0" w:line="259" w:lineRule="auto"/>
              <w:ind w:left="2" w:right="0" w:firstLine="0"/>
              <w:jc w:val="center"/>
            </w:pPr>
            <w:r>
              <w:rPr>
                <w:sz w:val="20"/>
              </w:rPr>
              <w:t xml:space="preserve"> </w:t>
            </w:r>
          </w:p>
        </w:tc>
        <w:tc>
          <w:tcPr>
            <w:tcW w:w="424" w:type="dxa"/>
            <w:tcBorders>
              <w:top w:val="single" w:sz="4" w:space="0" w:color="000000"/>
              <w:left w:val="single" w:sz="8" w:space="0" w:color="000000"/>
              <w:bottom w:val="single" w:sz="4" w:space="0" w:color="000000"/>
              <w:right w:val="single" w:sz="4" w:space="0" w:color="000000"/>
            </w:tcBorders>
            <w:shd w:val="clear" w:color="auto" w:fill="BFBFBF"/>
          </w:tcPr>
          <w:p w:rsidR="00E8309B" w:rsidRDefault="009D0949">
            <w:pPr>
              <w:spacing w:after="0" w:line="259" w:lineRule="auto"/>
              <w:ind w:left="4" w:right="0" w:firstLine="0"/>
              <w:jc w:val="center"/>
            </w:pPr>
            <w:r>
              <w:rPr>
                <w:sz w:val="20"/>
              </w:rPr>
              <w:t xml:space="preserve"> </w:t>
            </w:r>
          </w:p>
        </w:tc>
        <w:tc>
          <w:tcPr>
            <w:tcW w:w="422" w:type="dxa"/>
            <w:tcBorders>
              <w:top w:val="single" w:sz="4" w:space="0" w:color="000000"/>
              <w:left w:val="single" w:sz="4" w:space="0" w:color="000000"/>
              <w:bottom w:val="single" w:sz="4" w:space="0" w:color="000000"/>
              <w:right w:val="single" w:sz="4" w:space="0" w:color="000000"/>
            </w:tcBorders>
            <w:shd w:val="clear" w:color="auto" w:fill="BFBFBF"/>
          </w:tcPr>
          <w:p w:rsidR="00E8309B" w:rsidRDefault="009D0949">
            <w:pPr>
              <w:spacing w:after="0" w:line="259" w:lineRule="auto"/>
              <w:ind w:left="2" w:right="0" w:firstLine="0"/>
              <w:jc w:val="center"/>
            </w:pPr>
            <w:r>
              <w:rPr>
                <w:sz w:val="20"/>
              </w:rPr>
              <w:t xml:space="preserve"> </w:t>
            </w:r>
          </w:p>
        </w:tc>
        <w:tc>
          <w:tcPr>
            <w:tcW w:w="422" w:type="dxa"/>
            <w:tcBorders>
              <w:top w:val="single" w:sz="4" w:space="0" w:color="000000"/>
              <w:left w:val="single" w:sz="4" w:space="0" w:color="000000"/>
              <w:bottom w:val="single" w:sz="4" w:space="0" w:color="000000"/>
              <w:right w:val="single" w:sz="4" w:space="0" w:color="000000"/>
            </w:tcBorders>
            <w:shd w:val="clear" w:color="auto" w:fill="BFBFBF"/>
          </w:tcPr>
          <w:p w:rsidR="00E8309B" w:rsidRDefault="009D0949">
            <w:pPr>
              <w:spacing w:after="0" w:line="259" w:lineRule="auto"/>
              <w:ind w:left="2" w:right="0" w:firstLine="0"/>
              <w:jc w:val="center"/>
            </w:pPr>
            <w:r>
              <w:rPr>
                <w:sz w:val="20"/>
              </w:rPr>
              <w:t xml:space="preserve"> </w:t>
            </w:r>
          </w:p>
        </w:tc>
        <w:tc>
          <w:tcPr>
            <w:tcW w:w="420" w:type="dxa"/>
            <w:tcBorders>
              <w:top w:val="single" w:sz="4" w:space="0" w:color="000000"/>
              <w:left w:val="single" w:sz="4" w:space="0" w:color="000000"/>
              <w:bottom w:val="single" w:sz="4" w:space="0" w:color="000000"/>
              <w:right w:val="single" w:sz="8" w:space="0" w:color="000000"/>
            </w:tcBorders>
            <w:shd w:val="clear" w:color="auto" w:fill="BFBFBF"/>
          </w:tcPr>
          <w:p w:rsidR="00E8309B" w:rsidRDefault="009D0949">
            <w:pPr>
              <w:spacing w:after="0" w:line="259" w:lineRule="auto"/>
              <w:ind w:left="5" w:right="0" w:firstLine="0"/>
              <w:jc w:val="center"/>
            </w:pPr>
            <w:r>
              <w:rPr>
                <w:sz w:val="20"/>
              </w:rPr>
              <w:t xml:space="preserve"> </w:t>
            </w:r>
          </w:p>
        </w:tc>
      </w:tr>
      <w:tr w:rsidR="00E8309B">
        <w:trPr>
          <w:trHeight w:val="310"/>
        </w:trPr>
        <w:tc>
          <w:tcPr>
            <w:tcW w:w="427" w:type="dxa"/>
            <w:tcBorders>
              <w:top w:val="single" w:sz="4" w:space="0" w:color="000000"/>
              <w:left w:val="single" w:sz="8" w:space="0" w:color="000000"/>
              <w:bottom w:val="single" w:sz="4" w:space="0" w:color="000000"/>
              <w:right w:val="single" w:sz="8" w:space="0" w:color="000000"/>
            </w:tcBorders>
          </w:tcPr>
          <w:p w:rsidR="00E8309B" w:rsidRDefault="009D0949">
            <w:pPr>
              <w:spacing w:after="0" w:line="259" w:lineRule="auto"/>
              <w:ind w:left="0" w:right="51" w:firstLine="0"/>
              <w:jc w:val="right"/>
            </w:pPr>
            <w:r>
              <w:rPr>
                <w:sz w:val="20"/>
              </w:rPr>
              <w:t xml:space="preserve">2 </w:t>
            </w:r>
          </w:p>
        </w:tc>
        <w:tc>
          <w:tcPr>
            <w:tcW w:w="4123" w:type="dxa"/>
            <w:tcBorders>
              <w:top w:val="single" w:sz="4" w:space="0" w:color="000000"/>
              <w:left w:val="single" w:sz="8" w:space="0" w:color="000000"/>
              <w:bottom w:val="single" w:sz="4" w:space="0" w:color="000000"/>
              <w:right w:val="single" w:sz="8" w:space="0" w:color="000000"/>
            </w:tcBorders>
          </w:tcPr>
          <w:p w:rsidR="00E8309B" w:rsidRDefault="009D0949">
            <w:pPr>
              <w:spacing w:after="0" w:line="259" w:lineRule="auto"/>
              <w:ind w:left="0" w:right="0" w:firstLine="0"/>
            </w:pPr>
            <w:r>
              <w:rPr>
                <w:sz w:val="20"/>
              </w:rPr>
              <w:t xml:space="preserve">Спровођење пилот трансформације института </w:t>
            </w:r>
          </w:p>
        </w:tc>
        <w:tc>
          <w:tcPr>
            <w:tcW w:w="419" w:type="dxa"/>
            <w:tcBorders>
              <w:top w:val="single" w:sz="4" w:space="0" w:color="000000"/>
              <w:left w:val="single" w:sz="8" w:space="0" w:color="000000"/>
              <w:bottom w:val="single" w:sz="4" w:space="0" w:color="000000"/>
              <w:right w:val="single" w:sz="4" w:space="0" w:color="000000"/>
            </w:tcBorders>
            <w:shd w:val="clear" w:color="auto" w:fill="BFBFBF"/>
          </w:tcPr>
          <w:p w:rsidR="00E8309B" w:rsidRDefault="009D0949">
            <w:pPr>
              <w:spacing w:after="0" w:line="259" w:lineRule="auto"/>
              <w:ind w:left="1" w:right="0" w:firstLine="0"/>
              <w:jc w:val="center"/>
            </w:pPr>
            <w:r>
              <w:rPr>
                <w:sz w:val="20"/>
              </w:rPr>
              <w:t xml:space="preserve"> </w:t>
            </w:r>
          </w:p>
        </w:tc>
        <w:tc>
          <w:tcPr>
            <w:tcW w:w="421" w:type="dxa"/>
            <w:tcBorders>
              <w:top w:val="single" w:sz="4" w:space="0" w:color="000000"/>
              <w:left w:val="single" w:sz="4" w:space="0" w:color="000000"/>
              <w:bottom w:val="single" w:sz="4" w:space="0" w:color="000000"/>
              <w:right w:val="single" w:sz="4" w:space="0" w:color="000000"/>
            </w:tcBorders>
            <w:shd w:val="clear" w:color="auto" w:fill="BFBFBF"/>
          </w:tcPr>
          <w:p w:rsidR="00E8309B" w:rsidRDefault="009D0949">
            <w:pPr>
              <w:spacing w:after="0" w:line="259" w:lineRule="auto"/>
              <w:ind w:left="1" w:right="0" w:firstLine="0"/>
              <w:jc w:val="center"/>
            </w:pPr>
            <w:r>
              <w:rPr>
                <w:sz w:val="20"/>
              </w:rPr>
              <w:t xml:space="preserve"> </w:t>
            </w:r>
          </w:p>
        </w:tc>
        <w:tc>
          <w:tcPr>
            <w:tcW w:w="422" w:type="dxa"/>
            <w:tcBorders>
              <w:top w:val="single" w:sz="4" w:space="0" w:color="000000"/>
              <w:left w:val="single" w:sz="4" w:space="0" w:color="000000"/>
              <w:bottom w:val="single" w:sz="4" w:space="0" w:color="000000"/>
              <w:right w:val="single" w:sz="4" w:space="0" w:color="000000"/>
            </w:tcBorders>
            <w:shd w:val="clear" w:color="auto" w:fill="BFBFBF"/>
          </w:tcPr>
          <w:p w:rsidR="00E8309B" w:rsidRDefault="009D0949">
            <w:pPr>
              <w:spacing w:after="0" w:line="259" w:lineRule="auto"/>
              <w:ind w:left="2" w:right="0" w:firstLine="0"/>
              <w:jc w:val="center"/>
            </w:pPr>
            <w:r>
              <w:rPr>
                <w:sz w:val="20"/>
              </w:rPr>
              <w:t xml:space="preserve"> </w:t>
            </w:r>
          </w:p>
        </w:tc>
        <w:tc>
          <w:tcPr>
            <w:tcW w:w="421" w:type="dxa"/>
            <w:tcBorders>
              <w:top w:val="single" w:sz="4" w:space="0" w:color="000000"/>
              <w:left w:val="single" w:sz="4" w:space="0" w:color="000000"/>
              <w:bottom w:val="single" w:sz="4" w:space="0" w:color="000000"/>
              <w:right w:val="single" w:sz="8" w:space="0" w:color="000000"/>
            </w:tcBorders>
            <w:shd w:val="clear" w:color="auto" w:fill="BFBFBF"/>
          </w:tcPr>
          <w:p w:rsidR="00E8309B" w:rsidRDefault="009D0949">
            <w:pPr>
              <w:spacing w:after="0" w:line="259" w:lineRule="auto"/>
              <w:ind w:left="4" w:right="0" w:firstLine="0"/>
              <w:jc w:val="center"/>
            </w:pPr>
            <w:r>
              <w:rPr>
                <w:sz w:val="20"/>
              </w:rPr>
              <w:t xml:space="preserve"> </w:t>
            </w:r>
          </w:p>
        </w:tc>
        <w:tc>
          <w:tcPr>
            <w:tcW w:w="424" w:type="dxa"/>
            <w:tcBorders>
              <w:top w:val="single" w:sz="4" w:space="0" w:color="000000"/>
              <w:left w:val="single" w:sz="8" w:space="0" w:color="000000"/>
              <w:bottom w:val="single" w:sz="4" w:space="0" w:color="000000"/>
              <w:right w:val="single" w:sz="4" w:space="0" w:color="000000"/>
            </w:tcBorders>
            <w:shd w:val="clear" w:color="auto" w:fill="BFBFBF"/>
          </w:tcPr>
          <w:p w:rsidR="00E8309B" w:rsidRDefault="009D0949">
            <w:pPr>
              <w:spacing w:after="0" w:line="259" w:lineRule="auto"/>
              <w:ind w:left="4" w:right="0" w:firstLine="0"/>
              <w:jc w:val="center"/>
            </w:pPr>
            <w:r>
              <w:rPr>
                <w:sz w:val="20"/>
              </w:rPr>
              <w:t xml:space="preserve"> </w:t>
            </w:r>
          </w:p>
        </w:tc>
        <w:tc>
          <w:tcPr>
            <w:tcW w:w="421" w:type="dxa"/>
            <w:tcBorders>
              <w:top w:val="single" w:sz="4" w:space="0" w:color="000000"/>
              <w:left w:val="single" w:sz="4" w:space="0" w:color="000000"/>
              <w:bottom w:val="single" w:sz="4" w:space="0" w:color="000000"/>
              <w:right w:val="single" w:sz="4" w:space="0" w:color="000000"/>
            </w:tcBorders>
            <w:shd w:val="clear" w:color="auto" w:fill="BFBFBF"/>
          </w:tcPr>
          <w:p w:rsidR="00E8309B" w:rsidRDefault="009D0949">
            <w:pPr>
              <w:spacing w:after="0" w:line="259" w:lineRule="auto"/>
              <w:ind w:left="4" w:right="0" w:firstLine="0"/>
              <w:jc w:val="center"/>
            </w:pPr>
            <w:r>
              <w:rPr>
                <w:sz w:val="20"/>
              </w:rPr>
              <w:t xml:space="preserve"> </w:t>
            </w:r>
          </w:p>
        </w:tc>
        <w:tc>
          <w:tcPr>
            <w:tcW w:w="423" w:type="dxa"/>
            <w:tcBorders>
              <w:top w:val="single" w:sz="4" w:space="0" w:color="000000"/>
              <w:left w:val="single" w:sz="4" w:space="0" w:color="000000"/>
              <w:bottom w:val="single" w:sz="4" w:space="0" w:color="000000"/>
              <w:right w:val="single" w:sz="4" w:space="0" w:color="000000"/>
            </w:tcBorders>
            <w:shd w:val="clear" w:color="auto" w:fill="BFBFBF"/>
          </w:tcPr>
          <w:p w:rsidR="00E8309B" w:rsidRDefault="009D0949">
            <w:pPr>
              <w:spacing w:after="0" w:line="259" w:lineRule="auto"/>
              <w:ind w:left="5" w:right="0" w:firstLine="0"/>
              <w:jc w:val="center"/>
            </w:pPr>
            <w:r>
              <w:rPr>
                <w:sz w:val="20"/>
              </w:rPr>
              <w:t xml:space="preserve"> </w:t>
            </w:r>
          </w:p>
        </w:tc>
        <w:tc>
          <w:tcPr>
            <w:tcW w:w="420" w:type="dxa"/>
            <w:tcBorders>
              <w:top w:val="single" w:sz="4" w:space="0" w:color="000000"/>
              <w:left w:val="single" w:sz="4" w:space="0" w:color="000000"/>
              <w:bottom w:val="single" w:sz="4" w:space="0" w:color="000000"/>
              <w:right w:val="single" w:sz="8" w:space="0" w:color="000000"/>
            </w:tcBorders>
            <w:shd w:val="clear" w:color="auto" w:fill="BFBFBF"/>
          </w:tcPr>
          <w:p w:rsidR="00E8309B" w:rsidRDefault="009D0949">
            <w:pPr>
              <w:spacing w:after="0" w:line="259" w:lineRule="auto"/>
              <w:ind w:left="2" w:right="0" w:firstLine="0"/>
              <w:jc w:val="center"/>
            </w:pPr>
            <w:r>
              <w:rPr>
                <w:sz w:val="20"/>
              </w:rPr>
              <w:t xml:space="preserve"> </w:t>
            </w:r>
          </w:p>
        </w:tc>
        <w:tc>
          <w:tcPr>
            <w:tcW w:w="424" w:type="dxa"/>
            <w:tcBorders>
              <w:top w:val="single" w:sz="4" w:space="0" w:color="000000"/>
              <w:left w:val="single" w:sz="8" w:space="0" w:color="000000"/>
              <w:bottom w:val="single" w:sz="4" w:space="0" w:color="000000"/>
              <w:right w:val="single" w:sz="4" w:space="0" w:color="000000"/>
            </w:tcBorders>
            <w:shd w:val="clear" w:color="auto" w:fill="BFBFBF"/>
          </w:tcPr>
          <w:p w:rsidR="00E8309B" w:rsidRDefault="009D0949">
            <w:pPr>
              <w:spacing w:after="0" w:line="259" w:lineRule="auto"/>
              <w:ind w:left="4" w:right="0" w:firstLine="0"/>
              <w:jc w:val="center"/>
            </w:pPr>
            <w:r>
              <w:rPr>
                <w:sz w:val="20"/>
              </w:rPr>
              <w:t xml:space="preserve"> </w:t>
            </w:r>
          </w:p>
        </w:tc>
        <w:tc>
          <w:tcPr>
            <w:tcW w:w="422" w:type="dxa"/>
            <w:tcBorders>
              <w:top w:val="single" w:sz="4" w:space="0" w:color="000000"/>
              <w:left w:val="single" w:sz="4" w:space="0" w:color="000000"/>
              <w:bottom w:val="single" w:sz="4" w:space="0" w:color="000000"/>
              <w:right w:val="single" w:sz="4" w:space="0" w:color="000000"/>
            </w:tcBorders>
            <w:shd w:val="clear" w:color="auto" w:fill="BFBFBF"/>
          </w:tcPr>
          <w:p w:rsidR="00E8309B" w:rsidRDefault="009D0949">
            <w:pPr>
              <w:spacing w:after="0" w:line="259" w:lineRule="auto"/>
              <w:ind w:left="2" w:right="0" w:firstLine="0"/>
              <w:jc w:val="center"/>
            </w:pPr>
            <w:r>
              <w:rPr>
                <w:sz w:val="20"/>
              </w:rPr>
              <w:t xml:space="preserve"> </w:t>
            </w:r>
          </w:p>
        </w:tc>
        <w:tc>
          <w:tcPr>
            <w:tcW w:w="422"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2" w:right="0" w:firstLine="0"/>
              <w:jc w:val="center"/>
            </w:pPr>
            <w:r>
              <w:rPr>
                <w:sz w:val="20"/>
              </w:rPr>
              <w:t xml:space="preserve"> </w:t>
            </w:r>
          </w:p>
        </w:tc>
        <w:tc>
          <w:tcPr>
            <w:tcW w:w="420" w:type="dxa"/>
            <w:tcBorders>
              <w:top w:val="single" w:sz="4" w:space="0" w:color="000000"/>
              <w:left w:val="single" w:sz="4" w:space="0" w:color="000000"/>
              <w:bottom w:val="single" w:sz="4" w:space="0" w:color="000000"/>
              <w:right w:val="single" w:sz="8" w:space="0" w:color="000000"/>
            </w:tcBorders>
          </w:tcPr>
          <w:p w:rsidR="00E8309B" w:rsidRDefault="009D0949">
            <w:pPr>
              <w:spacing w:after="0" w:line="259" w:lineRule="auto"/>
              <w:ind w:left="5" w:right="0" w:firstLine="0"/>
              <w:jc w:val="center"/>
            </w:pPr>
            <w:r>
              <w:rPr>
                <w:sz w:val="20"/>
              </w:rPr>
              <w:t xml:space="preserve"> </w:t>
            </w:r>
          </w:p>
        </w:tc>
      </w:tr>
      <w:tr w:rsidR="00E8309B">
        <w:trPr>
          <w:trHeight w:val="470"/>
        </w:trPr>
        <w:tc>
          <w:tcPr>
            <w:tcW w:w="427" w:type="dxa"/>
            <w:tcBorders>
              <w:top w:val="single" w:sz="4" w:space="0" w:color="000000"/>
              <w:left w:val="single" w:sz="8" w:space="0" w:color="000000"/>
              <w:bottom w:val="single" w:sz="4" w:space="0" w:color="000000"/>
              <w:right w:val="single" w:sz="8" w:space="0" w:color="000000"/>
            </w:tcBorders>
          </w:tcPr>
          <w:p w:rsidR="00E8309B" w:rsidRDefault="009D0949">
            <w:pPr>
              <w:spacing w:after="0" w:line="259" w:lineRule="auto"/>
              <w:ind w:left="0" w:right="51" w:firstLine="0"/>
              <w:jc w:val="right"/>
            </w:pPr>
            <w:r>
              <w:rPr>
                <w:sz w:val="20"/>
              </w:rPr>
              <w:t xml:space="preserve">3 </w:t>
            </w:r>
          </w:p>
        </w:tc>
        <w:tc>
          <w:tcPr>
            <w:tcW w:w="4123" w:type="dxa"/>
            <w:tcBorders>
              <w:top w:val="single" w:sz="4" w:space="0" w:color="000000"/>
              <w:left w:val="single" w:sz="8" w:space="0" w:color="000000"/>
              <w:bottom w:val="single" w:sz="4" w:space="0" w:color="000000"/>
              <w:right w:val="single" w:sz="8" w:space="0" w:color="000000"/>
            </w:tcBorders>
          </w:tcPr>
          <w:p w:rsidR="00E8309B" w:rsidRDefault="009D0949">
            <w:pPr>
              <w:spacing w:after="0" w:line="259" w:lineRule="auto"/>
              <w:ind w:left="0" w:right="0" w:firstLine="0"/>
              <w:jc w:val="left"/>
            </w:pPr>
            <w:r>
              <w:rPr>
                <w:sz w:val="20"/>
              </w:rPr>
              <w:t xml:space="preserve">Имплементација Програма ПРОМИС од стране НИО </w:t>
            </w:r>
          </w:p>
        </w:tc>
        <w:tc>
          <w:tcPr>
            <w:tcW w:w="419" w:type="dxa"/>
            <w:tcBorders>
              <w:top w:val="single" w:sz="4" w:space="0" w:color="000000"/>
              <w:left w:val="single" w:sz="8"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1" w:right="0" w:firstLine="0"/>
              <w:jc w:val="center"/>
            </w:pPr>
            <w:r>
              <w:rPr>
                <w:sz w:val="20"/>
              </w:rPr>
              <w:t xml:space="preserve"> </w:t>
            </w:r>
          </w:p>
        </w:tc>
        <w:tc>
          <w:tcPr>
            <w:tcW w:w="421"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1" w:right="0" w:firstLine="0"/>
              <w:jc w:val="center"/>
            </w:pPr>
            <w:r>
              <w:rPr>
                <w:sz w:val="20"/>
              </w:rPr>
              <w:t xml:space="preserve"> </w:t>
            </w:r>
          </w:p>
        </w:tc>
        <w:tc>
          <w:tcPr>
            <w:tcW w:w="422"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2" w:right="0" w:firstLine="0"/>
              <w:jc w:val="center"/>
            </w:pPr>
            <w:r>
              <w:rPr>
                <w:sz w:val="20"/>
              </w:rPr>
              <w:t xml:space="preserve"> </w:t>
            </w:r>
          </w:p>
        </w:tc>
        <w:tc>
          <w:tcPr>
            <w:tcW w:w="421" w:type="dxa"/>
            <w:tcBorders>
              <w:top w:val="single" w:sz="4" w:space="0" w:color="000000"/>
              <w:left w:val="single" w:sz="4" w:space="0" w:color="000000"/>
              <w:bottom w:val="single" w:sz="4" w:space="0" w:color="000000"/>
              <w:right w:val="single" w:sz="8" w:space="0" w:color="000000"/>
            </w:tcBorders>
            <w:shd w:val="clear" w:color="auto" w:fill="BFBFBF"/>
            <w:vAlign w:val="center"/>
          </w:tcPr>
          <w:p w:rsidR="00E8309B" w:rsidRDefault="009D0949">
            <w:pPr>
              <w:spacing w:after="0" w:line="259" w:lineRule="auto"/>
              <w:ind w:left="4" w:right="0" w:firstLine="0"/>
              <w:jc w:val="center"/>
            </w:pPr>
            <w:r>
              <w:rPr>
                <w:sz w:val="20"/>
              </w:rPr>
              <w:t xml:space="preserve"> </w:t>
            </w:r>
          </w:p>
        </w:tc>
        <w:tc>
          <w:tcPr>
            <w:tcW w:w="424" w:type="dxa"/>
            <w:tcBorders>
              <w:top w:val="single" w:sz="4" w:space="0" w:color="000000"/>
              <w:left w:val="single" w:sz="8"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4" w:right="0" w:firstLine="0"/>
              <w:jc w:val="center"/>
            </w:pPr>
            <w:r>
              <w:rPr>
                <w:sz w:val="20"/>
              </w:rPr>
              <w:t xml:space="preserve"> </w:t>
            </w:r>
          </w:p>
        </w:tc>
        <w:tc>
          <w:tcPr>
            <w:tcW w:w="421"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4" w:right="0" w:firstLine="0"/>
              <w:jc w:val="center"/>
            </w:pPr>
            <w:r>
              <w:rPr>
                <w:sz w:val="20"/>
              </w:rPr>
              <w:t xml:space="preserve"> </w:t>
            </w:r>
          </w:p>
        </w:tc>
        <w:tc>
          <w:tcPr>
            <w:tcW w:w="423"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5" w:right="0" w:firstLine="0"/>
              <w:jc w:val="center"/>
            </w:pPr>
            <w:r>
              <w:rPr>
                <w:sz w:val="20"/>
              </w:rPr>
              <w:t xml:space="preserve"> </w:t>
            </w:r>
          </w:p>
        </w:tc>
        <w:tc>
          <w:tcPr>
            <w:tcW w:w="420" w:type="dxa"/>
            <w:tcBorders>
              <w:top w:val="single" w:sz="4" w:space="0" w:color="000000"/>
              <w:left w:val="single" w:sz="4" w:space="0" w:color="000000"/>
              <w:bottom w:val="single" w:sz="4" w:space="0" w:color="000000"/>
              <w:right w:val="single" w:sz="8" w:space="0" w:color="000000"/>
            </w:tcBorders>
            <w:shd w:val="clear" w:color="auto" w:fill="BFBFBF"/>
            <w:vAlign w:val="center"/>
          </w:tcPr>
          <w:p w:rsidR="00E8309B" w:rsidRDefault="009D0949">
            <w:pPr>
              <w:spacing w:after="0" w:line="259" w:lineRule="auto"/>
              <w:ind w:left="2" w:right="0" w:firstLine="0"/>
              <w:jc w:val="center"/>
            </w:pPr>
            <w:r>
              <w:rPr>
                <w:sz w:val="20"/>
              </w:rPr>
              <w:t xml:space="preserve"> </w:t>
            </w:r>
          </w:p>
        </w:tc>
        <w:tc>
          <w:tcPr>
            <w:tcW w:w="424" w:type="dxa"/>
            <w:tcBorders>
              <w:top w:val="single" w:sz="4" w:space="0" w:color="000000"/>
              <w:left w:val="single" w:sz="8" w:space="0" w:color="000000"/>
              <w:bottom w:val="single" w:sz="4" w:space="0" w:color="000000"/>
              <w:right w:val="single" w:sz="4" w:space="0" w:color="000000"/>
            </w:tcBorders>
            <w:vAlign w:val="center"/>
          </w:tcPr>
          <w:p w:rsidR="00E8309B" w:rsidRDefault="009D0949">
            <w:pPr>
              <w:spacing w:after="0" w:line="259" w:lineRule="auto"/>
              <w:ind w:left="4" w:right="0" w:firstLine="0"/>
              <w:jc w:val="center"/>
            </w:pPr>
            <w:r>
              <w:rPr>
                <w:sz w:val="20"/>
              </w:rPr>
              <w:t xml:space="preserve"> </w:t>
            </w:r>
          </w:p>
        </w:tc>
        <w:tc>
          <w:tcPr>
            <w:tcW w:w="422"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2" w:right="0" w:firstLine="0"/>
              <w:jc w:val="center"/>
            </w:pPr>
            <w:r>
              <w:rPr>
                <w:sz w:val="20"/>
              </w:rPr>
              <w:t xml:space="preserve"> </w:t>
            </w:r>
          </w:p>
        </w:tc>
        <w:tc>
          <w:tcPr>
            <w:tcW w:w="422"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2" w:right="0" w:firstLine="0"/>
              <w:jc w:val="center"/>
            </w:pPr>
            <w:r>
              <w:rPr>
                <w:sz w:val="20"/>
              </w:rPr>
              <w:t xml:space="preserve"> </w:t>
            </w:r>
          </w:p>
        </w:tc>
        <w:tc>
          <w:tcPr>
            <w:tcW w:w="420" w:type="dxa"/>
            <w:tcBorders>
              <w:top w:val="single" w:sz="4" w:space="0" w:color="000000"/>
              <w:left w:val="single" w:sz="4" w:space="0" w:color="000000"/>
              <w:bottom w:val="single" w:sz="4" w:space="0" w:color="000000"/>
              <w:right w:val="single" w:sz="8" w:space="0" w:color="000000"/>
            </w:tcBorders>
            <w:vAlign w:val="center"/>
          </w:tcPr>
          <w:p w:rsidR="00E8309B" w:rsidRDefault="009D0949">
            <w:pPr>
              <w:spacing w:after="0" w:line="259" w:lineRule="auto"/>
              <w:ind w:left="5" w:right="0" w:firstLine="0"/>
              <w:jc w:val="center"/>
            </w:pPr>
            <w:r>
              <w:rPr>
                <w:sz w:val="20"/>
              </w:rPr>
              <w:t xml:space="preserve"> </w:t>
            </w:r>
          </w:p>
        </w:tc>
      </w:tr>
      <w:tr w:rsidR="00E8309B">
        <w:trPr>
          <w:trHeight w:val="470"/>
        </w:trPr>
        <w:tc>
          <w:tcPr>
            <w:tcW w:w="427" w:type="dxa"/>
            <w:tcBorders>
              <w:top w:val="single" w:sz="4" w:space="0" w:color="000000"/>
              <w:left w:val="single" w:sz="8" w:space="0" w:color="000000"/>
              <w:bottom w:val="single" w:sz="4" w:space="0" w:color="000000"/>
              <w:right w:val="single" w:sz="8" w:space="0" w:color="000000"/>
            </w:tcBorders>
          </w:tcPr>
          <w:p w:rsidR="00E8309B" w:rsidRDefault="009D0949">
            <w:pPr>
              <w:spacing w:after="0" w:line="259" w:lineRule="auto"/>
              <w:ind w:left="0" w:right="51" w:firstLine="0"/>
              <w:jc w:val="right"/>
            </w:pPr>
            <w:r>
              <w:rPr>
                <w:sz w:val="20"/>
              </w:rPr>
              <w:t xml:space="preserve">4 </w:t>
            </w:r>
          </w:p>
        </w:tc>
        <w:tc>
          <w:tcPr>
            <w:tcW w:w="4123" w:type="dxa"/>
            <w:tcBorders>
              <w:top w:val="single" w:sz="4" w:space="0" w:color="000000"/>
              <w:left w:val="single" w:sz="8" w:space="0" w:color="000000"/>
              <w:bottom w:val="single" w:sz="4" w:space="0" w:color="000000"/>
              <w:right w:val="single" w:sz="8" w:space="0" w:color="000000"/>
            </w:tcBorders>
          </w:tcPr>
          <w:p w:rsidR="00E8309B" w:rsidRDefault="009D0949">
            <w:pPr>
              <w:spacing w:after="0" w:line="259" w:lineRule="auto"/>
              <w:ind w:left="0" w:right="0" w:firstLine="0"/>
              <w:jc w:val="left"/>
            </w:pPr>
            <w:r>
              <w:rPr>
                <w:sz w:val="20"/>
              </w:rPr>
              <w:t xml:space="preserve">Имплементација Програма вештачке интелигенције </w:t>
            </w:r>
          </w:p>
        </w:tc>
        <w:tc>
          <w:tcPr>
            <w:tcW w:w="419" w:type="dxa"/>
            <w:tcBorders>
              <w:top w:val="single" w:sz="4" w:space="0" w:color="000000"/>
              <w:left w:val="single" w:sz="8"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1" w:right="0" w:firstLine="0"/>
              <w:jc w:val="center"/>
            </w:pPr>
            <w:r>
              <w:rPr>
                <w:sz w:val="20"/>
              </w:rPr>
              <w:t xml:space="preserve"> </w:t>
            </w:r>
          </w:p>
        </w:tc>
        <w:tc>
          <w:tcPr>
            <w:tcW w:w="421"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1" w:right="0" w:firstLine="0"/>
              <w:jc w:val="center"/>
            </w:pPr>
            <w:r>
              <w:rPr>
                <w:sz w:val="20"/>
              </w:rPr>
              <w:t xml:space="preserve"> </w:t>
            </w:r>
          </w:p>
        </w:tc>
        <w:tc>
          <w:tcPr>
            <w:tcW w:w="422"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2" w:right="0" w:firstLine="0"/>
              <w:jc w:val="center"/>
            </w:pPr>
            <w:r>
              <w:rPr>
                <w:sz w:val="20"/>
              </w:rPr>
              <w:t xml:space="preserve"> </w:t>
            </w:r>
          </w:p>
        </w:tc>
        <w:tc>
          <w:tcPr>
            <w:tcW w:w="421" w:type="dxa"/>
            <w:tcBorders>
              <w:top w:val="single" w:sz="4" w:space="0" w:color="000000"/>
              <w:left w:val="single" w:sz="4" w:space="0" w:color="000000"/>
              <w:bottom w:val="single" w:sz="4" w:space="0" w:color="000000"/>
              <w:right w:val="single" w:sz="8" w:space="0" w:color="000000"/>
            </w:tcBorders>
            <w:shd w:val="clear" w:color="auto" w:fill="BFBFBF"/>
            <w:vAlign w:val="center"/>
          </w:tcPr>
          <w:p w:rsidR="00E8309B" w:rsidRDefault="009D0949">
            <w:pPr>
              <w:spacing w:after="0" w:line="259" w:lineRule="auto"/>
              <w:ind w:left="4" w:right="0" w:firstLine="0"/>
              <w:jc w:val="center"/>
            </w:pPr>
            <w:r>
              <w:rPr>
                <w:sz w:val="20"/>
              </w:rPr>
              <w:t xml:space="preserve"> </w:t>
            </w:r>
          </w:p>
        </w:tc>
        <w:tc>
          <w:tcPr>
            <w:tcW w:w="424" w:type="dxa"/>
            <w:tcBorders>
              <w:top w:val="single" w:sz="4" w:space="0" w:color="000000"/>
              <w:left w:val="single" w:sz="8"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4" w:right="0" w:firstLine="0"/>
              <w:jc w:val="center"/>
            </w:pPr>
            <w:r>
              <w:rPr>
                <w:sz w:val="20"/>
              </w:rPr>
              <w:t xml:space="preserve"> </w:t>
            </w:r>
          </w:p>
        </w:tc>
        <w:tc>
          <w:tcPr>
            <w:tcW w:w="421"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4" w:right="0" w:firstLine="0"/>
              <w:jc w:val="center"/>
            </w:pPr>
            <w:r>
              <w:rPr>
                <w:sz w:val="20"/>
              </w:rPr>
              <w:t xml:space="preserve"> </w:t>
            </w:r>
          </w:p>
        </w:tc>
        <w:tc>
          <w:tcPr>
            <w:tcW w:w="423"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5" w:right="0" w:firstLine="0"/>
              <w:jc w:val="center"/>
            </w:pPr>
            <w:r>
              <w:rPr>
                <w:sz w:val="20"/>
              </w:rPr>
              <w:t xml:space="preserve"> </w:t>
            </w:r>
          </w:p>
        </w:tc>
        <w:tc>
          <w:tcPr>
            <w:tcW w:w="420" w:type="dxa"/>
            <w:tcBorders>
              <w:top w:val="single" w:sz="4" w:space="0" w:color="000000"/>
              <w:left w:val="single" w:sz="4" w:space="0" w:color="000000"/>
              <w:bottom w:val="single" w:sz="4" w:space="0" w:color="000000"/>
              <w:right w:val="single" w:sz="8" w:space="0" w:color="000000"/>
            </w:tcBorders>
            <w:vAlign w:val="center"/>
          </w:tcPr>
          <w:p w:rsidR="00E8309B" w:rsidRDefault="009D0949">
            <w:pPr>
              <w:spacing w:after="0" w:line="259" w:lineRule="auto"/>
              <w:ind w:left="2" w:right="0" w:firstLine="0"/>
              <w:jc w:val="center"/>
            </w:pPr>
            <w:r>
              <w:rPr>
                <w:sz w:val="20"/>
              </w:rPr>
              <w:t xml:space="preserve"> </w:t>
            </w:r>
          </w:p>
        </w:tc>
        <w:tc>
          <w:tcPr>
            <w:tcW w:w="424" w:type="dxa"/>
            <w:tcBorders>
              <w:top w:val="single" w:sz="4" w:space="0" w:color="000000"/>
              <w:left w:val="single" w:sz="8" w:space="0" w:color="000000"/>
              <w:bottom w:val="single" w:sz="4" w:space="0" w:color="000000"/>
              <w:right w:val="single" w:sz="4" w:space="0" w:color="000000"/>
            </w:tcBorders>
            <w:vAlign w:val="center"/>
          </w:tcPr>
          <w:p w:rsidR="00E8309B" w:rsidRDefault="009D0949">
            <w:pPr>
              <w:spacing w:after="0" w:line="259" w:lineRule="auto"/>
              <w:ind w:left="4" w:right="0" w:firstLine="0"/>
              <w:jc w:val="center"/>
            </w:pPr>
            <w:r>
              <w:rPr>
                <w:sz w:val="20"/>
              </w:rPr>
              <w:t xml:space="preserve"> </w:t>
            </w:r>
          </w:p>
        </w:tc>
        <w:tc>
          <w:tcPr>
            <w:tcW w:w="422"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2" w:right="0" w:firstLine="0"/>
              <w:jc w:val="center"/>
            </w:pPr>
            <w:r>
              <w:rPr>
                <w:sz w:val="20"/>
              </w:rPr>
              <w:t xml:space="preserve"> </w:t>
            </w:r>
          </w:p>
        </w:tc>
        <w:tc>
          <w:tcPr>
            <w:tcW w:w="422"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2" w:right="0" w:firstLine="0"/>
              <w:jc w:val="center"/>
            </w:pPr>
            <w:r>
              <w:rPr>
                <w:sz w:val="20"/>
              </w:rPr>
              <w:t xml:space="preserve"> </w:t>
            </w:r>
          </w:p>
        </w:tc>
        <w:tc>
          <w:tcPr>
            <w:tcW w:w="420" w:type="dxa"/>
            <w:tcBorders>
              <w:top w:val="single" w:sz="4" w:space="0" w:color="000000"/>
              <w:left w:val="single" w:sz="4" w:space="0" w:color="000000"/>
              <w:bottom w:val="single" w:sz="4" w:space="0" w:color="000000"/>
              <w:right w:val="single" w:sz="8" w:space="0" w:color="000000"/>
            </w:tcBorders>
            <w:vAlign w:val="center"/>
          </w:tcPr>
          <w:p w:rsidR="00E8309B" w:rsidRDefault="009D0949">
            <w:pPr>
              <w:spacing w:after="0" w:line="259" w:lineRule="auto"/>
              <w:ind w:left="5" w:right="0" w:firstLine="0"/>
              <w:jc w:val="center"/>
            </w:pPr>
            <w:r>
              <w:rPr>
                <w:sz w:val="20"/>
              </w:rPr>
              <w:t xml:space="preserve"> </w:t>
            </w:r>
          </w:p>
        </w:tc>
      </w:tr>
      <w:tr w:rsidR="00E8309B">
        <w:trPr>
          <w:trHeight w:val="470"/>
        </w:trPr>
        <w:tc>
          <w:tcPr>
            <w:tcW w:w="427" w:type="dxa"/>
            <w:tcBorders>
              <w:top w:val="single" w:sz="4" w:space="0" w:color="000000"/>
              <w:left w:val="single" w:sz="8" w:space="0" w:color="000000"/>
              <w:bottom w:val="single" w:sz="4" w:space="0" w:color="000000"/>
              <w:right w:val="single" w:sz="8" w:space="0" w:color="000000"/>
            </w:tcBorders>
          </w:tcPr>
          <w:p w:rsidR="00E8309B" w:rsidRDefault="009D0949">
            <w:pPr>
              <w:spacing w:after="0" w:line="259" w:lineRule="auto"/>
              <w:ind w:left="0" w:right="51" w:firstLine="0"/>
              <w:jc w:val="right"/>
            </w:pPr>
            <w:r>
              <w:rPr>
                <w:sz w:val="20"/>
              </w:rPr>
              <w:t xml:space="preserve">5 </w:t>
            </w:r>
          </w:p>
        </w:tc>
        <w:tc>
          <w:tcPr>
            <w:tcW w:w="4123" w:type="dxa"/>
            <w:tcBorders>
              <w:top w:val="single" w:sz="4" w:space="0" w:color="000000"/>
              <w:left w:val="single" w:sz="8" w:space="0" w:color="000000"/>
              <w:bottom w:val="single" w:sz="4" w:space="0" w:color="000000"/>
              <w:right w:val="single" w:sz="8" w:space="0" w:color="000000"/>
            </w:tcBorders>
          </w:tcPr>
          <w:p w:rsidR="00E8309B" w:rsidRDefault="009D0949">
            <w:pPr>
              <w:spacing w:after="0" w:line="259" w:lineRule="auto"/>
              <w:ind w:left="0" w:right="0" w:firstLine="0"/>
              <w:jc w:val="left"/>
            </w:pPr>
            <w:r>
              <w:rPr>
                <w:sz w:val="20"/>
              </w:rPr>
              <w:t xml:space="preserve">Имплементација Програма сарадње српске науке са дијаспором  </w:t>
            </w:r>
          </w:p>
        </w:tc>
        <w:tc>
          <w:tcPr>
            <w:tcW w:w="419" w:type="dxa"/>
            <w:tcBorders>
              <w:top w:val="single" w:sz="4" w:space="0" w:color="000000"/>
              <w:left w:val="single" w:sz="8"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1" w:right="0" w:firstLine="0"/>
              <w:jc w:val="center"/>
            </w:pPr>
            <w:r>
              <w:rPr>
                <w:sz w:val="20"/>
              </w:rPr>
              <w:t xml:space="preserve"> </w:t>
            </w:r>
          </w:p>
        </w:tc>
        <w:tc>
          <w:tcPr>
            <w:tcW w:w="421"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1" w:right="0" w:firstLine="0"/>
              <w:jc w:val="center"/>
            </w:pPr>
            <w:r>
              <w:rPr>
                <w:sz w:val="20"/>
              </w:rPr>
              <w:t xml:space="preserve"> </w:t>
            </w:r>
          </w:p>
        </w:tc>
        <w:tc>
          <w:tcPr>
            <w:tcW w:w="422"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2" w:right="0" w:firstLine="0"/>
              <w:jc w:val="center"/>
            </w:pPr>
            <w:r>
              <w:rPr>
                <w:sz w:val="20"/>
              </w:rPr>
              <w:t xml:space="preserve"> </w:t>
            </w:r>
          </w:p>
        </w:tc>
        <w:tc>
          <w:tcPr>
            <w:tcW w:w="421" w:type="dxa"/>
            <w:tcBorders>
              <w:top w:val="single" w:sz="4" w:space="0" w:color="000000"/>
              <w:left w:val="single" w:sz="4" w:space="0" w:color="000000"/>
              <w:bottom w:val="single" w:sz="4" w:space="0" w:color="000000"/>
              <w:right w:val="single" w:sz="8" w:space="0" w:color="000000"/>
            </w:tcBorders>
            <w:vAlign w:val="center"/>
          </w:tcPr>
          <w:p w:rsidR="00E8309B" w:rsidRDefault="009D0949">
            <w:pPr>
              <w:spacing w:after="0" w:line="259" w:lineRule="auto"/>
              <w:ind w:left="4" w:right="0" w:firstLine="0"/>
              <w:jc w:val="center"/>
            </w:pPr>
            <w:r>
              <w:rPr>
                <w:sz w:val="20"/>
              </w:rPr>
              <w:t xml:space="preserve"> </w:t>
            </w:r>
          </w:p>
        </w:tc>
        <w:tc>
          <w:tcPr>
            <w:tcW w:w="424" w:type="dxa"/>
            <w:tcBorders>
              <w:top w:val="single" w:sz="4" w:space="0" w:color="000000"/>
              <w:left w:val="single" w:sz="8" w:space="0" w:color="000000"/>
              <w:bottom w:val="single" w:sz="4" w:space="0" w:color="000000"/>
              <w:right w:val="single" w:sz="4" w:space="0" w:color="000000"/>
            </w:tcBorders>
            <w:vAlign w:val="center"/>
          </w:tcPr>
          <w:p w:rsidR="00E8309B" w:rsidRDefault="009D0949">
            <w:pPr>
              <w:spacing w:after="0" w:line="259" w:lineRule="auto"/>
              <w:ind w:left="4" w:right="0" w:firstLine="0"/>
              <w:jc w:val="center"/>
            </w:pPr>
            <w:r>
              <w:rPr>
                <w:sz w:val="20"/>
              </w:rPr>
              <w:t xml:space="preserve"> </w:t>
            </w:r>
          </w:p>
        </w:tc>
        <w:tc>
          <w:tcPr>
            <w:tcW w:w="421"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4" w:right="0" w:firstLine="0"/>
              <w:jc w:val="center"/>
            </w:pPr>
            <w:r>
              <w:rPr>
                <w:sz w:val="20"/>
              </w:rPr>
              <w:t xml:space="preserve"> </w:t>
            </w:r>
          </w:p>
        </w:tc>
        <w:tc>
          <w:tcPr>
            <w:tcW w:w="423"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5" w:right="0" w:firstLine="0"/>
              <w:jc w:val="center"/>
            </w:pPr>
            <w:r>
              <w:rPr>
                <w:sz w:val="20"/>
              </w:rPr>
              <w:t xml:space="preserve"> </w:t>
            </w:r>
          </w:p>
        </w:tc>
        <w:tc>
          <w:tcPr>
            <w:tcW w:w="420" w:type="dxa"/>
            <w:tcBorders>
              <w:top w:val="single" w:sz="4" w:space="0" w:color="000000"/>
              <w:left w:val="single" w:sz="4" w:space="0" w:color="000000"/>
              <w:bottom w:val="single" w:sz="4" w:space="0" w:color="000000"/>
              <w:right w:val="single" w:sz="8" w:space="0" w:color="000000"/>
            </w:tcBorders>
            <w:vAlign w:val="center"/>
          </w:tcPr>
          <w:p w:rsidR="00E8309B" w:rsidRDefault="009D0949">
            <w:pPr>
              <w:spacing w:after="0" w:line="259" w:lineRule="auto"/>
              <w:ind w:left="2" w:right="0" w:firstLine="0"/>
              <w:jc w:val="center"/>
            </w:pPr>
            <w:r>
              <w:rPr>
                <w:sz w:val="20"/>
              </w:rPr>
              <w:t xml:space="preserve"> </w:t>
            </w:r>
          </w:p>
        </w:tc>
        <w:tc>
          <w:tcPr>
            <w:tcW w:w="424" w:type="dxa"/>
            <w:tcBorders>
              <w:top w:val="single" w:sz="4" w:space="0" w:color="000000"/>
              <w:left w:val="single" w:sz="8" w:space="0" w:color="000000"/>
              <w:bottom w:val="single" w:sz="4" w:space="0" w:color="000000"/>
              <w:right w:val="single" w:sz="4" w:space="0" w:color="000000"/>
            </w:tcBorders>
            <w:vAlign w:val="center"/>
          </w:tcPr>
          <w:p w:rsidR="00E8309B" w:rsidRDefault="009D0949">
            <w:pPr>
              <w:spacing w:after="0" w:line="259" w:lineRule="auto"/>
              <w:ind w:left="4" w:right="0" w:firstLine="0"/>
              <w:jc w:val="center"/>
            </w:pPr>
            <w:r>
              <w:rPr>
                <w:sz w:val="20"/>
              </w:rPr>
              <w:t xml:space="preserve"> </w:t>
            </w:r>
          </w:p>
        </w:tc>
        <w:tc>
          <w:tcPr>
            <w:tcW w:w="422"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2" w:right="0" w:firstLine="0"/>
              <w:jc w:val="center"/>
            </w:pPr>
            <w:r>
              <w:rPr>
                <w:sz w:val="20"/>
              </w:rPr>
              <w:t xml:space="preserve"> </w:t>
            </w:r>
          </w:p>
        </w:tc>
        <w:tc>
          <w:tcPr>
            <w:tcW w:w="422"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2" w:right="0" w:firstLine="0"/>
              <w:jc w:val="center"/>
            </w:pPr>
            <w:r>
              <w:rPr>
                <w:sz w:val="20"/>
              </w:rPr>
              <w:t xml:space="preserve"> </w:t>
            </w:r>
          </w:p>
        </w:tc>
        <w:tc>
          <w:tcPr>
            <w:tcW w:w="420" w:type="dxa"/>
            <w:tcBorders>
              <w:top w:val="single" w:sz="4" w:space="0" w:color="000000"/>
              <w:left w:val="single" w:sz="4" w:space="0" w:color="000000"/>
              <w:bottom w:val="single" w:sz="4" w:space="0" w:color="000000"/>
              <w:right w:val="single" w:sz="8" w:space="0" w:color="000000"/>
            </w:tcBorders>
            <w:vAlign w:val="center"/>
          </w:tcPr>
          <w:p w:rsidR="00E8309B" w:rsidRDefault="009D0949">
            <w:pPr>
              <w:spacing w:after="0" w:line="259" w:lineRule="auto"/>
              <w:ind w:left="5" w:right="0" w:firstLine="0"/>
              <w:jc w:val="center"/>
            </w:pPr>
            <w:r>
              <w:rPr>
                <w:sz w:val="20"/>
              </w:rPr>
              <w:t xml:space="preserve"> </w:t>
            </w:r>
          </w:p>
        </w:tc>
      </w:tr>
      <w:tr w:rsidR="00E8309B">
        <w:trPr>
          <w:trHeight w:val="468"/>
        </w:trPr>
        <w:tc>
          <w:tcPr>
            <w:tcW w:w="427" w:type="dxa"/>
            <w:tcBorders>
              <w:top w:val="single" w:sz="4" w:space="0" w:color="000000"/>
              <w:left w:val="single" w:sz="8" w:space="0" w:color="000000"/>
              <w:bottom w:val="single" w:sz="4" w:space="0" w:color="000000"/>
              <w:right w:val="single" w:sz="8" w:space="0" w:color="000000"/>
            </w:tcBorders>
          </w:tcPr>
          <w:p w:rsidR="00E8309B" w:rsidRDefault="009D0949">
            <w:pPr>
              <w:spacing w:after="0" w:line="259" w:lineRule="auto"/>
              <w:ind w:left="0" w:right="51" w:firstLine="0"/>
              <w:jc w:val="right"/>
            </w:pPr>
            <w:r>
              <w:rPr>
                <w:sz w:val="20"/>
              </w:rPr>
              <w:t xml:space="preserve">6 </w:t>
            </w:r>
          </w:p>
        </w:tc>
        <w:tc>
          <w:tcPr>
            <w:tcW w:w="4123" w:type="dxa"/>
            <w:tcBorders>
              <w:top w:val="single" w:sz="4" w:space="0" w:color="000000"/>
              <w:left w:val="single" w:sz="8" w:space="0" w:color="000000"/>
              <w:bottom w:val="single" w:sz="4" w:space="0" w:color="000000"/>
              <w:right w:val="single" w:sz="8" w:space="0" w:color="000000"/>
            </w:tcBorders>
          </w:tcPr>
          <w:p w:rsidR="00E8309B" w:rsidRDefault="009D0949">
            <w:pPr>
              <w:spacing w:after="0" w:line="259" w:lineRule="auto"/>
              <w:ind w:left="0" w:right="0" w:firstLine="0"/>
              <w:jc w:val="left"/>
            </w:pPr>
            <w:r>
              <w:rPr>
                <w:sz w:val="20"/>
              </w:rPr>
              <w:t xml:space="preserve">Програм Идеје - спровођење активности евалуације и одабира пројеката </w:t>
            </w:r>
          </w:p>
        </w:tc>
        <w:tc>
          <w:tcPr>
            <w:tcW w:w="419" w:type="dxa"/>
            <w:tcBorders>
              <w:top w:val="single" w:sz="4" w:space="0" w:color="000000"/>
              <w:left w:val="single" w:sz="8"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1" w:right="0" w:firstLine="0"/>
              <w:jc w:val="center"/>
            </w:pPr>
            <w:r>
              <w:rPr>
                <w:sz w:val="20"/>
              </w:rPr>
              <w:t xml:space="preserve"> </w:t>
            </w:r>
          </w:p>
        </w:tc>
        <w:tc>
          <w:tcPr>
            <w:tcW w:w="421"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1" w:right="0" w:firstLine="0"/>
              <w:jc w:val="center"/>
            </w:pPr>
            <w:r>
              <w:rPr>
                <w:sz w:val="20"/>
              </w:rPr>
              <w:t xml:space="preserve"> </w:t>
            </w:r>
          </w:p>
        </w:tc>
        <w:tc>
          <w:tcPr>
            <w:tcW w:w="422"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2" w:right="0" w:firstLine="0"/>
              <w:jc w:val="center"/>
            </w:pPr>
            <w:r>
              <w:rPr>
                <w:sz w:val="20"/>
              </w:rPr>
              <w:t xml:space="preserve"> </w:t>
            </w:r>
          </w:p>
        </w:tc>
        <w:tc>
          <w:tcPr>
            <w:tcW w:w="421" w:type="dxa"/>
            <w:tcBorders>
              <w:top w:val="single" w:sz="4" w:space="0" w:color="000000"/>
              <w:left w:val="single" w:sz="4" w:space="0" w:color="000000"/>
              <w:bottom w:val="single" w:sz="4" w:space="0" w:color="000000"/>
              <w:right w:val="single" w:sz="8" w:space="0" w:color="000000"/>
            </w:tcBorders>
            <w:vAlign w:val="center"/>
          </w:tcPr>
          <w:p w:rsidR="00E8309B" w:rsidRDefault="009D0949">
            <w:pPr>
              <w:spacing w:after="0" w:line="259" w:lineRule="auto"/>
              <w:ind w:left="4" w:right="0" w:firstLine="0"/>
              <w:jc w:val="center"/>
            </w:pPr>
            <w:r>
              <w:rPr>
                <w:sz w:val="20"/>
              </w:rPr>
              <w:t xml:space="preserve"> </w:t>
            </w:r>
          </w:p>
        </w:tc>
        <w:tc>
          <w:tcPr>
            <w:tcW w:w="424" w:type="dxa"/>
            <w:tcBorders>
              <w:top w:val="single" w:sz="4" w:space="0" w:color="000000"/>
              <w:left w:val="single" w:sz="8" w:space="0" w:color="000000"/>
              <w:bottom w:val="single" w:sz="4" w:space="0" w:color="000000"/>
              <w:right w:val="single" w:sz="4" w:space="0" w:color="000000"/>
            </w:tcBorders>
            <w:vAlign w:val="center"/>
          </w:tcPr>
          <w:p w:rsidR="00E8309B" w:rsidRDefault="009D0949">
            <w:pPr>
              <w:spacing w:after="0" w:line="259" w:lineRule="auto"/>
              <w:ind w:left="4" w:right="0" w:firstLine="0"/>
              <w:jc w:val="center"/>
            </w:pPr>
            <w:r>
              <w:rPr>
                <w:sz w:val="20"/>
              </w:rPr>
              <w:t xml:space="preserve"> </w:t>
            </w:r>
          </w:p>
        </w:tc>
        <w:tc>
          <w:tcPr>
            <w:tcW w:w="421"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4" w:right="0" w:firstLine="0"/>
              <w:jc w:val="center"/>
            </w:pPr>
            <w:r>
              <w:rPr>
                <w:sz w:val="20"/>
              </w:rPr>
              <w:t xml:space="preserve"> </w:t>
            </w:r>
          </w:p>
        </w:tc>
        <w:tc>
          <w:tcPr>
            <w:tcW w:w="423"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5" w:right="0" w:firstLine="0"/>
              <w:jc w:val="center"/>
            </w:pPr>
            <w:r>
              <w:rPr>
                <w:sz w:val="20"/>
              </w:rPr>
              <w:t xml:space="preserve"> </w:t>
            </w:r>
          </w:p>
        </w:tc>
        <w:tc>
          <w:tcPr>
            <w:tcW w:w="420" w:type="dxa"/>
            <w:tcBorders>
              <w:top w:val="single" w:sz="4" w:space="0" w:color="000000"/>
              <w:left w:val="single" w:sz="4" w:space="0" w:color="000000"/>
              <w:bottom w:val="single" w:sz="4" w:space="0" w:color="000000"/>
              <w:right w:val="single" w:sz="8" w:space="0" w:color="000000"/>
            </w:tcBorders>
            <w:vAlign w:val="center"/>
          </w:tcPr>
          <w:p w:rsidR="00E8309B" w:rsidRDefault="009D0949">
            <w:pPr>
              <w:spacing w:after="0" w:line="259" w:lineRule="auto"/>
              <w:ind w:left="2" w:right="0" w:firstLine="0"/>
              <w:jc w:val="center"/>
            </w:pPr>
            <w:r>
              <w:rPr>
                <w:sz w:val="20"/>
              </w:rPr>
              <w:t xml:space="preserve"> </w:t>
            </w:r>
          </w:p>
        </w:tc>
        <w:tc>
          <w:tcPr>
            <w:tcW w:w="424" w:type="dxa"/>
            <w:tcBorders>
              <w:top w:val="single" w:sz="4" w:space="0" w:color="000000"/>
              <w:left w:val="single" w:sz="8" w:space="0" w:color="000000"/>
              <w:bottom w:val="single" w:sz="4" w:space="0" w:color="000000"/>
              <w:right w:val="single" w:sz="4" w:space="0" w:color="000000"/>
            </w:tcBorders>
            <w:vAlign w:val="center"/>
          </w:tcPr>
          <w:p w:rsidR="00E8309B" w:rsidRDefault="009D0949">
            <w:pPr>
              <w:spacing w:after="0" w:line="259" w:lineRule="auto"/>
              <w:ind w:left="4" w:right="0" w:firstLine="0"/>
              <w:jc w:val="center"/>
            </w:pPr>
            <w:r>
              <w:rPr>
                <w:sz w:val="20"/>
              </w:rPr>
              <w:t xml:space="preserve"> </w:t>
            </w:r>
          </w:p>
        </w:tc>
        <w:tc>
          <w:tcPr>
            <w:tcW w:w="422"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2" w:right="0" w:firstLine="0"/>
              <w:jc w:val="center"/>
            </w:pPr>
            <w:r>
              <w:rPr>
                <w:sz w:val="20"/>
              </w:rPr>
              <w:t xml:space="preserve"> </w:t>
            </w:r>
          </w:p>
        </w:tc>
        <w:tc>
          <w:tcPr>
            <w:tcW w:w="422"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2" w:right="0" w:firstLine="0"/>
              <w:jc w:val="center"/>
            </w:pPr>
            <w:r>
              <w:rPr>
                <w:sz w:val="20"/>
              </w:rPr>
              <w:t xml:space="preserve"> </w:t>
            </w:r>
          </w:p>
        </w:tc>
        <w:tc>
          <w:tcPr>
            <w:tcW w:w="420" w:type="dxa"/>
            <w:tcBorders>
              <w:top w:val="single" w:sz="4" w:space="0" w:color="000000"/>
              <w:left w:val="single" w:sz="4" w:space="0" w:color="000000"/>
              <w:bottom w:val="single" w:sz="4" w:space="0" w:color="000000"/>
              <w:right w:val="single" w:sz="8" w:space="0" w:color="000000"/>
            </w:tcBorders>
            <w:vAlign w:val="center"/>
          </w:tcPr>
          <w:p w:rsidR="00E8309B" w:rsidRDefault="009D0949">
            <w:pPr>
              <w:spacing w:after="0" w:line="259" w:lineRule="auto"/>
              <w:ind w:left="5" w:right="0" w:firstLine="0"/>
              <w:jc w:val="center"/>
            </w:pPr>
            <w:r>
              <w:rPr>
                <w:sz w:val="20"/>
              </w:rPr>
              <w:t xml:space="preserve"> </w:t>
            </w:r>
          </w:p>
        </w:tc>
      </w:tr>
      <w:tr w:rsidR="00E8309B">
        <w:trPr>
          <w:trHeight w:val="468"/>
        </w:trPr>
        <w:tc>
          <w:tcPr>
            <w:tcW w:w="427" w:type="dxa"/>
            <w:tcBorders>
              <w:top w:val="single" w:sz="4" w:space="0" w:color="000000"/>
              <w:left w:val="single" w:sz="8" w:space="0" w:color="000000"/>
              <w:bottom w:val="single" w:sz="4" w:space="0" w:color="000000"/>
              <w:right w:val="single" w:sz="8" w:space="0" w:color="000000"/>
            </w:tcBorders>
          </w:tcPr>
          <w:p w:rsidR="00E8309B" w:rsidRDefault="009D0949">
            <w:pPr>
              <w:spacing w:after="0" w:line="259" w:lineRule="auto"/>
              <w:ind w:left="0" w:right="51" w:firstLine="0"/>
              <w:jc w:val="right"/>
            </w:pPr>
            <w:r>
              <w:rPr>
                <w:sz w:val="20"/>
              </w:rPr>
              <w:t xml:space="preserve">7 </w:t>
            </w:r>
          </w:p>
        </w:tc>
        <w:tc>
          <w:tcPr>
            <w:tcW w:w="4123" w:type="dxa"/>
            <w:tcBorders>
              <w:top w:val="single" w:sz="4" w:space="0" w:color="000000"/>
              <w:left w:val="single" w:sz="8" w:space="0" w:color="000000"/>
              <w:bottom w:val="single" w:sz="4" w:space="0" w:color="000000"/>
              <w:right w:val="single" w:sz="8" w:space="0" w:color="000000"/>
            </w:tcBorders>
          </w:tcPr>
          <w:p w:rsidR="00E8309B" w:rsidRDefault="009D0949">
            <w:pPr>
              <w:spacing w:after="17" w:line="259" w:lineRule="auto"/>
              <w:ind w:left="0" w:right="0" w:firstLine="0"/>
              <w:jc w:val="left"/>
            </w:pPr>
            <w:r>
              <w:rPr>
                <w:sz w:val="20"/>
              </w:rPr>
              <w:t xml:space="preserve">Имплементација Програма Идеје од стране </w:t>
            </w:r>
          </w:p>
          <w:p w:rsidR="00E8309B" w:rsidRDefault="009D0949">
            <w:pPr>
              <w:spacing w:after="0" w:line="259" w:lineRule="auto"/>
              <w:ind w:left="0" w:right="0" w:firstLine="0"/>
              <w:jc w:val="left"/>
            </w:pPr>
            <w:r>
              <w:rPr>
                <w:sz w:val="20"/>
              </w:rPr>
              <w:t xml:space="preserve">НИО </w:t>
            </w:r>
          </w:p>
        </w:tc>
        <w:tc>
          <w:tcPr>
            <w:tcW w:w="419" w:type="dxa"/>
            <w:tcBorders>
              <w:top w:val="single" w:sz="4" w:space="0" w:color="000000"/>
              <w:left w:val="single" w:sz="8" w:space="0" w:color="000000"/>
              <w:bottom w:val="single" w:sz="4" w:space="0" w:color="000000"/>
              <w:right w:val="single" w:sz="4" w:space="0" w:color="000000"/>
            </w:tcBorders>
            <w:vAlign w:val="center"/>
          </w:tcPr>
          <w:p w:rsidR="00E8309B" w:rsidRDefault="009D0949">
            <w:pPr>
              <w:spacing w:after="0" w:line="259" w:lineRule="auto"/>
              <w:ind w:left="1" w:right="0" w:firstLine="0"/>
              <w:jc w:val="center"/>
            </w:pPr>
            <w:r>
              <w:rPr>
                <w:sz w:val="20"/>
              </w:rPr>
              <w:t xml:space="preserve"> </w:t>
            </w:r>
          </w:p>
        </w:tc>
        <w:tc>
          <w:tcPr>
            <w:tcW w:w="421"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0" w:right="4" w:firstLine="0"/>
              <w:jc w:val="center"/>
            </w:pPr>
            <w:r>
              <w:rPr>
                <w:sz w:val="20"/>
              </w:rPr>
              <w:t xml:space="preserve"> </w:t>
            </w:r>
          </w:p>
        </w:tc>
        <w:tc>
          <w:tcPr>
            <w:tcW w:w="422"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0" w:right="1" w:firstLine="0"/>
              <w:jc w:val="center"/>
            </w:pPr>
            <w:r>
              <w:rPr>
                <w:sz w:val="20"/>
              </w:rPr>
              <w:t xml:space="preserve"> </w:t>
            </w:r>
          </w:p>
        </w:tc>
        <w:tc>
          <w:tcPr>
            <w:tcW w:w="421" w:type="dxa"/>
            <w:tcBorders>
              <w:top w:val="single" w:sz="4" w:space="0" w:color="000000"/>
              <w:left w:val="single" w:sz="4" w:space="0" w:color="000000"/>
              <w:bottom w:val="single" w:sz="4" w:space="0" w:color="000000"/>
              <w:right w:val="single" w:sz="8" w:space="0" w:color="000000"/>
            </w:tcBorders>
            <w:shd w:val="clear" w:color="auto" w:fill="BFBFBF"/>
            <w:vAlign w:val="center"/>
          </w:tcPr>
          <w:p w:rsidR="00E8309B" w:rsidRDefault="009D0949">
            <w:pPr>
              <w:spacing w:after="0" w:line="259" w:lineRule="auto"/>
              <w:ind w:left="2" w:right="0" w:firstLine="0"/>
              <w:jc w:val="center"/>
            </w:pPr>
            <w:r>
              <w:rPr>
                <w:sz w:val="20"/>
              </w:rPr>
              <w:t xml:space="preserve"> </w:t>
            </w:r>
          </w:p>
        </w:tc>
        <w:tc>
          <w:tcPr>
            <w:tcW w:w="424" w:type="dxa"/>
            <w:tcBorders>
              <w:top w:val="single" w:sz="4" w:space="0" w:color="000000"/>
              <w:left w:val="single" w:sz="8"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2" w:right="0" w:firstLine="0"/>
              <w:jc w:val="center"/>
            </w:pPr>
            <w:r>
              <w:rPr>
                <w:sz w:val="20"/>
              </w:rPr>
              <w:t xml:space="preserve"> </w:t>
            </w:r>
          </w:p>
        </w:tc>
        <w:tc>
          <w:tcPr>
            <w:tcW w:w="421"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0" w:right="0" w:firstLine="0"/>
              <w:jc w:val="center"/>
            </w:pPr>
            <w:r>
              <w:rPr>
                <w:sz w:val="20"/>
              </w:rPr>
              <w:t xml:space="preserve"> </w:t>
            </w:r>
          </w:p>
        </w:tc>
        <w:tc>
          <w:tcPr>
            <w:tcW w:w="423"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1" w:right="0" w:firstLine="0"/>
              <w:jc w:val="center"/>
            </w:pPr>
            <w:r>
              <w:rPr>
                <w:sz w:val="20"/>
              </w:rPr>
              <w:t xml:space="preserve"> </w:t>
            </w:r>
          </w:p>
        </w:tc>
        <w:tc>
          <w:tcPr>
            <w:tcW w:w="420" w:type="dxa"/>
            <w:tcBorders>
              <w:top w:val="single" w:sz="4" w:space="0" w:color="000000"/>
              <w:left w:val="single" w:sz="4" w:space="0" w:color="000000"/>
              <w:bottom w:val="single" w:sz="4" w:space="0" w:color="000000"/>
              <w:right w:val="single" w:sz="8" w:space="0" w:color="000000"/>
            </w:tcBorders>
            <w:shd w:val="clear" w:color="auto" w:fill="BFBFBF"/>
            <w:vAlign w:val="center"/>
          </w:tcPr>
          <w:p w:rsidR="00E8309B" w:rsidRDefault="009D0949">
            <w:pPr>
              <w:spacing w:after="0" w:line="259" w:lineRule="auto"/>
              <w:ind w:left="0" w:right="0" w:firstLine="0"/>
              <w:jc w:val="center"/>
            </w:pPr>
            <w:r>
              <w:rPr>
                <w:sz w:val="20"/>
              </w:rPr>
              <w:t xml:space="preserve"> </w:t>
            </w:r>
          </w:p>
        </w:tc>
        <w:tc>
          <w:tcPr>
            <w:tcW w:w="424" w:type="dxa"/>
            <w:tcBorders>
              <w:top w:val="single" w:sz="4" w:space="0" w:color="000000"/>
              <w:left w:val="single" w:sz="8"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4" w:right="0" w:firstLine="0"/>
              <w:jc w:val="center"/>
            </w:pPr>
            <w:r>
              <w:rPr>
                <w:sz w:val="20"/>
              </w:rPr>
              <w:t xml:space="preserve"> </w:t>
            </w:r>
          </w:p>
        </w:tc>
        <w:tc>
          <w:tcPr>
            <w:tcW w:w="422"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2" w:right="0" w:firstLine="0"/>
              <w:jc w:val="center"/>
            </w:pPr>
            <w:r>
              <w:rPr>
                <w:sz w:val="20"/>
              </w:rPr>
              <w:t xml:space="preserve"> </w:t>
            </w:r>
          </w:p>
        </w:tc>
        <w:tc>
          <w:tcPr>
            <w:tcW w:w="422"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1" w:right="0" w:firstLine="0"/>
              <w:jc w:val="center"/>
            </w:pPr>
            <w:r>
              <w:rPr>
                <w:sz w:val="20"/>
              </w:rPr>
              <w:t xml:space="preserve"> </w:t>
            </w:r>
          </w:p>
        </w:tc>
        <w:tc>
          <w:tcPr>
            <w:tcW w:w="420" w:type="dxa"/>
            <w:tcBorders>
              <w:top w:val="single" w:sz="4" w:space="0" w:color="000000"/>
              <w:left w:val="single" w:sz="4" w:space="0" w:color="000000"/>
              <w:bottom w:val="single" w:sz="4" w:space="0" w:color="000000"/>
              <w:right w:val="single" w:sz="8" w:space="0" w:color="000000"/>
            </w:tcBorders>
            <w:vAlign w:val="center"/>
          </w:tcPr>
          <w:p w:rsidR="00E8309B" w:rsidRDefault="009D0949">
            <w:pPr>
              <w:spacing w:after="0" w:line="259" w:lineRule="auto"/>
              <w:ind w:left="2" w:right="0" w:firstLine="0"/>
              <w:jc w:val="center"/>
            </w:pPr>
            <w:r>
              <w:rPr>
                <w:sz w:val="20"/>
              </w:rPr>
              <w:t xml:space="preserve"> </w:t>
            </w:r>
          </w:p>
        </w:tc>
      </w:tr>
      <w:tr w:rsidR="00E8309B">
        <w:trPr>
          <w:trHeight w:val="311"/>
        </w:trPr>
        <w:tc>
          <w:tcPr>
            <w:tcW w:w="427"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51" w:firstLine="0"/>
              <w:jc w:val="right"/>
            </w:pPr>
            <w:r>
              <w:rPr>
                <w:sz w:val="20"/>
              </w:rPr>
              <w:t xml:space="preserve">8 </w:t>
            </w:r>
          </w:p>
        </w:tc>
        <w:tc>
          <w:tcPr>
            <w:tcW w:w="4123"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0" w:firstLine="0"/>
              <w:jc w:val="left"/>
            </w:pPr>
            <w:r>
              <w:rPr>
                <w:sz w:val="20"/>
              </w:rPr>
              <w:t xml:space="preserve">Имплементација Програма Ковид-19  </w:t>
            </w:r>
          </w:p>
        </w:tc>
        <w:tc>
          <w:tcPr>
            <w:tcW w:w="419" w:type="dxa"/>
            <w:tcBorders>
              <w:top w:val="single" w:sz="4" w:space="0" w:color="000000"/>
              <w:left w:val="single" w:sz="4" w:space="0" w:color="000000"/>
              <w:bottom w:val="single" w:sz="4" w:space="0" w:color="000000"/>
              <w:right w:val="single" w:sz="4" w:space="0" w:color="000000"/>
            </w:tcBorders>
            <w:shd w:val="clear" w:color="auto" w:fill="BFBFBF"/>
          </w:tcPr>
          <w:p w:rsidR="00E8309B" w:rsidRDefault="009D0949">
            <w:pPr>
              <w:spacing w:after="0" w:line="259" w:lineRule="auto"/>
              <w:ind w:left="1" w:right="0" w:firstLine="0"/>
              <w:jc w:val="center"/>
            </w:pPr>
            <w:r>
              <w:rPr>
                <w:sz w:val="20"/>
              </w:rPr>
              <w:t xml:space="preserve"> </w:t>
            </w:r>
          </w:p>
        </w:tc>
        <w:tc>
          <w:tcPr>
            <w:tcW w:w="421" w:type="dxa"/>
            <w:tcBorders>
              <w:top w:val="single" w:sz="4" w:space="0" w:color="000000"/>
              <w:left w:val="single" w:sz="4" w:space="0" w:color="000000"/>
              <w:bottom w:val="single" w:sz="4" w:space="0" w:color="000000"/>
              <w:right w:val="single" w:sz="4" w:space="0" w:color="000000"/>
            </w:tcBorders>
            <w:shd w:val="clear" w:color="auto" w:fill="BFBFBF"/>
          </w:tcPr>
          <w:p w:rsidR="00E8309B" w:rsidRDefault="009D0949">
            <w:pPr>
              <w:spacing w:after="0" w:line="259" w:lineRule="auto"/>
              <w:ind w:left="0" w:right="4" w:firstLine="0"/>
              <w:jc w:val="center"/>
            </w:pPr>
            <w:r>
              <w:rPr>
                <w:sz w:val="20"/>
              </w:rPr>
              <w:t xml:space="preserve"> </w:t>
            </w:r>
          </w:p>
        </w:tc>
        <w:tc>
          <w:tcPr>
            <w:tcW w:w="422" w:type="dxa"/>
            <w:tcBorders>
              <w:top w:val="single" w:sz="4" w:space="0" w:color="000000"/>
              <w:left w:val="single" w:sz="4" w:space="0" w:color="000000"/>
              <w:bottom w:val="single" w:sz="4" w:space="0" w:color="000000"/>
              <w:right w:val="single" w:sz="4" w:space="0" w:color="000000"/>
            </w:tcBorders>
            <w:shd w:val="clear" w:color="auto" w:fill="BFBFBF"/>
          </w:tcPr>
          <w:p w:rsidR="00E8309B" w:rsidRDefault="009D0949">
            <w:pPr>
              <w:spacing w:after="0" w:line="259" w:lineRule="auto"/>
              <w:ind w:left="0" w:right="1" w:firstLine="0"/>
              <w:jc w:val="center"/>
            </w:pPr>
            <w:r>
              <w:rPr>
                <w:sz w:val="20"/>
              </w:rPr>
              <w:t xml:space="preserve"> </w:t>
            </w:r>
          </w:p>
        </w:tc>
        <w:tc>
          <w:tcPr>
            <w:tcW w:w="421" w:type="dxa"/>
            <w:tcBorders>
              <w:top w:val="single" w:sz="4" w:space="0" w:color="000000"/>
              <w:left w:val="single" w:sz="4" w:space="0" w:color="000000"/>
              <w:bottom w:val="single" w:sz="4" w:space="0" w:color="000000"/>
              <w:right w:val="single" w:sz="4" w:space="0" w:color="000000"/>
            </w:tcBorders>
            <w:shd w:val="clear" w:color="auto" w:fill="BFBFBF"/>
          </w:tcPr>
          <w:p w:rsidR="00E8309B" w:rsidRDefault="009D0949">
            <w:pPr>
              <w:spacing w:after="0" w:line="259" w:lineRule="auto"/>
              <w:ind w:left="2" w:right="0" w:firstLine="0"/>
              <w:jc w:val="center"/>
            </w:pPr>
            <w:r>
              <w:rPr>
                <w:sz w:val="20"/>
              </w:rPr>
              <w:t xml:space="preserve"> </w:t>
            </w:r>
          </w:p>
        </w:tc>
        <w:tc>
          <w:tcPr>
            <w:tcW w:w="424" w:type="dxa"/>
            <w:tcBorders>
              <w:top w:val="single" w:sz="4" w:space="0" w:color="000000"/>
              <w:left w:val="single" w:sz="4" w:space="0" w:color="000000"/>
              <w:bottom w:val="single" w:sz="4" w:space="0" w:color="000000"/>
              <w:right w:val="single" w:sz="4" w:space="0" w:color="000000"/>
            </w:tcBorders>
            <w:shd w:val="clear" w:color="auto" w:fill="BFBFBF"/>
          </w:tcPr>
          <w:p w:rsidR="00E8309B" w:rsidRDefault="009D0949">
            <w:pPr>
              <w:spacing w:after="0" w:line="259" w:lineRule="auto"/>
              <w:ind w:left="2" w:right="0" w:firstLine="0"/>
              <w:jc w:val="center"/>
            </w:pPr>
            <w:r>
              <w:rPr>
                <w:sz w:val="20"/>
              </w:rPr>
              <w:t xml:space="preserve"> </w:t>
            </w:r>
          </w:p>
        </w:tc>
        <w:tc>
          <w:tcPr>
            <w:tcW w:w="421" w:type="dxa"/>
            <w:tcBorders>
              <w:top w:val="single" w:sz="4" w:space="0" w:color="000000"/>
              <w:left w:val="single" w:sz="4" w:space="0" w:color="000000"/>
              <w:bottom w:val="single" w:sz="4" w:space="0" w:color="000000"/>
              <w:right w:val="single" w:sz="4" w:space="0" w:color="000000"/>
            </w:tcBorders>
            <w:shd w:val="clear" w:color="auto" w:fill="BFBFBF"/>
          </w:tcPr>
          <w:p w:rsidR="00E8309B" w:rsidRDefault="009D0949">
            <w:pPr>
              <w:spacing w:after="0" w:line="259" w:lineRule="auto"/>
              <w:ind w:left="0" w:right="0" w:firstLine="0"/>
              <w:jc w:val="center"/>
            </w:pPr>
            <w:r>
              <w:rPr>
                <w:sz w:val="20"/>
              </w:rPr>
              <w:t xml:space="preserve"> </w:t>
            </w:r>
          </w:p>
        </w:tc>
        <w:tc>
          <w:tcPr>
            <w:tcW w:w="423" w:type="dxa"/>
            <w:tcBorders>
              <w:top w:val="single" w:sz="4" w:space="0" w:color="000000"/>
              <w:left w:val="single" w:sz="4" w:space="0" w:color="000000"/>
              <w:bottom w:val="single" w:sz="4" w:space="0" w:color="000000"/>
              <w:right w:val="single" w:sz="4" w:space="0" w:color="000000"/>
            </w:tcBorders>
            <w:shd w:val="clear" w:color="auto" w:fill="BFBFBF"/>
          </w:tcPr>
          <w:p w:rsidR="00E8309B" w:rsidRDefault="009D0949">
            <w:pPr>
              <w:spacing w:after="0" w:line="259" w:lineRule="auto"/>
              <w:ind w:left="1" w:right="0" w:firstLine="0"/>
              <w:jc w:val="center"/>
            </w:pPr>
            <w:r>
              <w:rPr>
                <w:sz w:val="20"/>
              </w:rPr>
              <w:t xml:space="preserve"> </w:t>
            </w:r>
          </w:p>
        </w:tc>
        <w:tc>
          <w:tcPr>
            <w:tcW w:w="420" w:type="dxa"/>
            <w:tcBorders>
              <w:top w:val="single" w:sz="4" w:space="0" w:color="000000"/>
              <w:left w:val="single" w:sz="4" w:space="0" w:color="000000"/>
              <w:bottom w:val="single" w:sz="4" w:space="0" w:color="000000"/>
              <w:right w:val="single" w:sz="4" w:space="0" w:color="000000"/>
            </w:tcBorders>
            <w:shd w:val="clear" w:color="auto" w:fill="BFBFBF"/>
          </w:tcPr>
          <w:p w:rsidR="00E8309B" w:rsidRDefault="009D0949">
            <w:pPr>
              <w:spacing w:after="0" w:line="259" w:lineRule="auto"/>
              <w:ind w:left="0" w:right="0" w:firstLine="0"/>
              <w:jc w:val="center"/>
            </w:pPr>
            <w:r>
              <w:rPr>
                <w:sz w:val="20"/>
              </w:rPr>
              <w:t xml:space="preserve"> </w:t>
            </w:r>
          </w:p>
        </w:tc>
        <w:tc>
          <w:tcPr>
            <w:tcW w:w="424"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4" w:right="0" w:firstLine="0"/>
              <w:jc w:val="center"/>
            </w:pPr>
            <w:r>
              <w:rPr>
                <w:sz w:val="20"/>
              </w:rPr>
              <w:t xml:space="preserve"> </w:t>
            </w:r>
          </w:p>
        </w:tc>
        <w:tc>
          <w:tcPr>
            <w:tcW w:w="422"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2" w:right="0" w:firstLine="0"/>
              <w:jc w:val="center"/>
            </w:pPr>
            <w:r>
              <w:rPr>
                <w:sz w:val="20"/>
              </w:rPr>
              <w:t xml:space="preserve"> </w:t>
            </w:r>
          </w:p>
        </w:tc>
        <w:tc>
          <w:tcPr>
            <w:tcW w:w="422"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1" w:right="0" w:firstLine="0"/>
              <w:jc w:val="center"/>
            </w:pPr>
            <w:r>
              <w:rPr>
                <w:sz w:val="20"/>
              </w:rPr>
              <w:t xml:space="preserve"> </w:t>
            </w:r>
          </w:p>
        </w:tc>
        <w:tc>
          <w:tcPr>
            <w:tcW w:w="420"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2" w:right="0" w:firstLine="0"/>
              <w:jc w:val="center"/>
            </w:pPr>
            <w:r>
              <w:rPr>
                <w:sz w:val="20"/>
              </w:rPr>
              <w:t xml:space="preserve"> </w:t>
            </w:r>
          </w:p>
        </w:tc>
      </w:tr>
      <w:tr w:rsidR="00E8309B">
        <w:trPr>
          <w:trHeight w:val="468"/>
        </w:trPr>
        <w:tc>
          <w:tcPr>
            <w:tcW w:w="427"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51" w:firstLine="0"/>
              <w:jc w:val="right"/>
            </w:pPr>
            <w:r>
              <w:rPr>
                <w:sz w:val="20"/>
              </w:rPr>
              <w:t xml:space="preserve">9 </w:t>
            </w:r>
          </w:p>
        </w:tc>
        <w:tc>
          <w:tcPr>
            <w:tcW w:w="4123"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0" w:firstLine="0"/>
              <w:jc w:val="left"/>
            </w:pPr>
            <w:r>
              <w:rPr>
                <w:sz w:val="20"/>
              </w:rPr>
              <w:t xml:space="preserve">Припрема нових Програма Фонда за Науку - Људи </w:t>
            </w:r>
          </w:p>
        </w:tc>
        <w:tc>
          <w:tcPr>
            <w:tcW w:w="419"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1" w:right="0" w:firstLine="0"/>
              <w:jc w:val="center"/>
            </w:pPr>
            <w:r>
              <w:rPr>
                <w:sz w:val="20"/>
              </w:rPr>
              <w:t xml:space="preserve"> </w:t>
            </w:r>
          </w:p>
        </w:tc>
        <w:tc>
          <w:tcPr>
            <w:tcW w:w="421"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0" w:right="4" w:firstLine="0"/>
              <w:jc w:val="center"/>
            </w:pPr>
            <w:r>
              <w:rPr>
                <w:sz w:val="20"/>
              </w:rPr>
              <w:t xml:space="preserve"> </w:t>
            </w:r>
          </w:p>
        </w:tc>
        <w:tc>
          <w:tcPr>
            <w:tcW w:w="422"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0" w:right="1" w:firstLine="0"/>
              <w:jc w:val="center"/>
            </w:pPr>
            <w:r>
              <w:rPr>
                <w:sz w:val="20"/>
              </w:rPr>
              <w:t xml:space="preserve"> </w:t>
            </w:r>
          </w:p>
        </w:tc>
        <w:tc>
          <w:tcPr>
            <w:tcW w:w="421"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2" w:right="0" w:firstLine="0"/>
              <w:jc w:val="center"/>
            </w:pPr>
            <w:r>
              <w:rPr>
                <w:sz w:val="20"/>
              </w:rPr>
              <w:t xml:space="preserve"> </w:t>
            </w:r>
          </w:p>
        </w:tc>
        <w:tc>
          <w:tcPr>
            <w:tcW w:w="424"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2" w:right="0" w:firstLine="0"/>
              <w:jc w:val="center"/>
            </w:pPr>
            <w:r>
              <w:rPr>
                <w:sz w:val="20"/>
              </w:rPr>
              <w:t xml:space="preserve"> </w:t>
            </w:r>
          </w:p>
        </w:tc>
        <w:tc>
          <w:tcPr>
            <w:tcW w:w="421"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0" w:right="0" w:firstLine="0"/>
              <w:jc w:val="center"/>
            </w:pPr>
            <w:r>
              <w:rPr>
                <w:sz w:val="20"/>
              </w:rPr>
              <w:t xml:space="preserve"> </w:t>
            </w:r>
          </w:p>
        </w:tc>
        <w:tc>
          <w:tcPr>
            <w:tcW w:w="423"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1" w:right="0" w:firstLine="0"/>
              <w:jc w:val="center"/>
            </w:pPr>
            <w:r>
              <w:rPr>
                <w:sz w:val="20"/>
              </w:rPr>
              <w:t xml:space="preserve"> </w:t>
            </w:r>
          </w:p>
        </w:tc>
        <w:tc>
          <w:tcPr>
            <w:tcW w:w="420"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0" w:right="0" w:firstLine="0"/>
              <w:jc w:val="center"/>
            </w:pPr>
            <w:r>
              <w:rPr>
                <w:sz w:val="20"/>
              </w:rPr>
              <w:t xml:space="preserve"> </w:t>
            </w:r>
          </w:p>
        </w:tc>
        <w:tc>
          <w:tcPr>
            <w:tcW w:w="424"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4" w:right="0" w:firstLine="0"/>
              <w:jc w:val="center"/>
            </w:pPr>
            <w:r>
              <w:rPr>
                <w:sz w:val="20"/>
              </w:rPr>
              <w:t xml:space="preserve"> </w:t>
            </w:r>
          </w:p>
        </w:tc>
        <w:tc>
          <w:tcPr>
            <w:tcW w:w="422"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2" w:right="0" w:firstLine="0"/>
              <w:jc w:val="center"/>
            </w:pPr>
            <w:r>
              <w:rPr>
                <w:sz w:val="20"/>
              </w:rPr>
              <w:t xml:space="preserve"> </w:t>
            </w:r>
          </w:p>
        </w:tc>
        <w:tc>
          <w:tcPr>
            <w:tcW w:w="422"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1" w:right="0" w:firstLine="0"/>
              <w:jc w:val="center"/>
            </w:pPr>
            <w:r>
              <w:rPr>
                <w:sz w:val="20"/>
              </w:rPr>
              <w:t xml:space="preserve"> </w:t>
            </w:r>
          </w:p>
        </w:tc>
        <w:tc>
          <w:tcPr>
            <w:tcW w:w="420"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2" w:right="0" w:firstLine="0"/>
              <w:jc w:val="center"/>
            </w:pPr>
            <w:r>
              <w:rPr>
                <w:sz w:val="20"/>
              </w:rPr>
              <w:t xml:space="preserve"> </w:t>
            </w:r>
          </w:p>
        </w:tc>
      </w:tr>
    </w:tbl>
    <w:p w:rsidR="00E8309B" w:rsidRDefault="009D0949">
      <w:pPr>
        <w:numPr>
          <w:ilvl w:val="0"/>
          <w:numId w:val="33"/>
        </w:numPr>
        <w:spacing w:after="0" w:line="271" w:lineRule="auto"/>
        <w:ind w:right="9" w:hanging="360"/>
      </w:pPr>
      <w:r>
        <w:rPr>
          <w:b/>
        </w:rPr>
        <w:t xml:space="preserve">Индикатори рeзултата </w:t>
      </w:r>
    </w:p>
    <w:tbl>
      <w:tblPr>
        <w:tblStyle w:val="TableGrid"/>
        <w:tblW w:w="9635" w:type="dxa"/>
        <w:tblInd w:w="5" w:type="dxa"/>
        <w:tblCellMar>
          <w:top w:w="10" w:type="dxa"/>
          <w:left w:w="110" w:type="dxa"/>
          <w:bottom w:w="0" w:type="dxa"/>
          <w:right w:w="56" w:type="dxa"/>
        </w:tblCellMar>
        <w:tblLook w:val="04A0" w:firstRow="1" w:lastRow="0" w:firstColumn="1" w:lastColumn="0" w:noHBand="0" w:noVBand="1"/>
      </w:tblPr>
      <w:tblGrid>
        <w:gridCol w:w="4107"/>
        <w:gridCol w:w="1841"/>
        <w:gridCol w:w="1844"/>
        <w:gridCol w:w="1843"/>
      </w:tblGrid>
      <w:tr w:rsidR="00E8309B">
        <w:trPr>
          <w:trHeight w:val="470"/>
        </w:trPr>
        <w:tc>
          <w:tcPr>
            <w:tcW w:w="4107"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0" w:right="0" w:firstLine="0"/>
              <w:jc w:val="left"/>
            </w:pPr>
            <w:r>
              <w:rPr>
                <w:b/>
                <w:sz w:val="20"/>
              </w:rPr>
              <w:t xml:space="preserve">Показатељ </w:t>
            </w:r>
          </w:p>
        </w:tc>
        <w:tc>
          <w:tcPr>
            <w:tcW w:w="1841"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7" w:right="50" w:firstLine="0"/>
              <w:jc w:val="right"/>
            </w:pPr>
            <w:r>
              <w:rPr>
                <w:b/>
                <w:sz w:val="20"/>
              </w:rPr>
              <w:t xml:space="preserve">Почетна вредност (година) </w:t>
            </w:r>
          </w:p>
        </w:tc>
        <w:tc>
          <w:tcPr>
            <w:tcW w:w="1844"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50" w:firstLine="0"/>
              <w:jc w:val="right"/>
            </w:pPr>
            <w:r>
              <w:rPr>
                <w:b/>
                <w:sz w:val="20"/>
              </w:rPr>
              <w:t xml:space="preserve">Међурезултат (година) </w:t>
            </w:r>
          </w:p>
        </w:tc>
        <w:tc>
          <w:tcPr>
            <w:tcW w:w="1843"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49" w:firstLine="0"/>
              <w:jc w:val="right"/>
            </w:pPr>
            <w:r>
              <w:rPr>
                <w:b/>
                <w:sz w:val="20"/>
              </w:rPr>
              <w:t xml:space="preserve">Циљна вредност (година) </w:t>
            </w:r>
          </w:p>
        </w:tc>
      </w:tr>
      <w:tr w:rsidR="00E8309B">
        <w:trPr>
          <w:trHeight w:val="470"/>
        </w:trPr>
        <w:tc>
          <w:tcPr>
            <w:tcW w:w="4107"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0" w:firstLine="0"/>
              <w:jc w:val="left"/>
            </w:pPr>
            <w:r>
              <w:rPr>
                <w:sz w:val="20"/>
              </w:rPr>
              <w:t xml:space="preserve">Број финансираних пројеката у Фонду за науку </w:t>
            </w:r>
          </w:p>
        </w:tc>
        <w:tc>
          <w:tcPr>
            <w:tcW w:w="1841"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50" w:firstLine="0"/>
              <w:jc w:val="right"/>
            </w:pPr>
            <w:r>
              <w:rPr>
                <w:sz w:val="20"/>
              </w:rPr>
              <w:t xml:space="preserve">/ </w:t>
            </w:r>
          </w:p>
        </w:tc>
        <w:tc>
          <w:tcPr>
            <w:tcW w:w="1844"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51" w:firstLine="0"/>
              <w:jc w:val="right"/>
            </w:pPr>
            <w:r>
              <w:rPr>
                <w:sz w:val="20"/>
              </w:rPr>
              <w:t xml:space="preserve">180* (2020) </w:t>
            </w:r>
          </w:p>
        </w:tc>
        <w:tc>
          <w:tcPr>
            <w:tcW w:w="1843"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50" w:firstLine="0"/>
              <w:jc w:val="right"/>
            </w:pPr>
            <w:r>
              <w:rPr>
                <w:sz w:val="20"/>
              </w:rPr>
              <w:t xml:space="preserve">500* (2023) </w:t>
            </w:r>
          </w:p>
        </w:tc>
      </w:tr>
      <w:tr w:rsidR="00E8309B">
        <w:trPr>
          <w:trHeight w:val="470"/>
        </w:trPr>
        <w:tc>
          <w:tcPr>
            <w:tcW w:w="4107"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0" w:firstLine="0"/>
              <w:jc w:val="left"/>
            </w:pPr>
            <w:r>
              <w:rPr>
                <w:sz w:val="20"/>
              </w:rPr>
              <w:t>Број објављених радова у мрежи Web of Science (</w:t>
            </w:r>
            <w:r>
              <w:rPr>
                <w:i/>
                <w:sz w:val="20"/>
              </w:rPr>
              <w:t>All documents</w:t>
            </w:r>
            <w:r>
              <w:rPr>
                <w:sz w:val="20"/>
              </w:rPr>
              <w:t xml:space="preserve">) </w:t>
            </w:r>
            <w:r>
              <w:rPr>
                <w:b/>
                <w:sz w:val="20"/>
              </w:rPr>
              <w:t xml:space="preserve"> </w:t>
            </w:r>
          </w:p>
        </w:tc>
        <w:tc>
          <w:tcPr>
            <w:tcW w:w="1841"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50" w:firstLine="0"/>
              <w:jc w:val="right"/>
            </w:pPr>
            <w:r>
              <w:rPr>
                <w:sz w:val="20"/>
              </w:rPr>
              <w:t xml:space="preserve">7221 (2016) </w:t>
            </w:r>
          </w:p>
        </w:tc>
        <w:tc>
          <w:tcPr>
            <w:tcW w:w="1844"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51" w:firstLine="0"/>
              <w:jc w:val="right"/>
            </w:pPr>
            <w:r>
              <w:rPr>
                <w:sz w:val="20"/>
              </w:rPr>
              <w:t xml:space="preserve">8600 (2020) </w:t>
            </w:r>
          </w:p>
        </w:tc>
        <w:tc>
          <w:tcPr>
            <w:tcW w:w="1843"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50" w:firstLine="0"/>
              <w:jc w:val="right"/>
            </w:pPr>
            <w:r>
              <w:rPr>
                <w:sz w:val="20"/>
              </w:rPr>
              <w:t xml:space="preserve">8750 (2023) </w:t>
            </w:r>
          </w:p>
        </w:tc>
      </w:tr>
      <w:tr w:rsidR="00E8309B">
        <w:trPr>
          <w:trHeight w:val="293"/>
        </w:trPr>
        <w:tc>
          <w:tcPr>
            <w:tcW w:w="4107"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0" w:firstLine="0"/>
              <w:jc w:val="left"/>
            </w:pPr>
            <w:r>
              <w:rPr>
                <w:sz w:val="20"/>
              </w:rPr>
              <w:t>Број истраживача на милион становника</w:t>
            </w:r>
            <w:r>
              <w:rPr>
                <w:b/>
                <w:sz w:val="20"/>
              </w:rPr>
              <w:t xml:space="preserve"> </w:t>
            </w:r>
          </w:p>
        </w:tc>
        <w:tc>
          <w:tcPr>
            <w:tcW w:w="1841"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50" w:firstLine="0"/>
              <w:jc w:val="right"/>
            </w:pPr>
            <w:r>
              <w:rPr>
                <w:sz w:val="20"/>
              </w:rPr>
              <w:t xml:space="preserve">2350 (2016) </w:t>
            </w:r>
          </w:p>
        </w:tc>
        <w:tc>
          <w:tcPr>
            <w:tcW w:w="1844"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51" w:firstLine="0"/>
              <w:jc w:val="right"/>
            </w:pPr>
            <w:r>
              <w:rPr>
                <w:sz w:val="20"/>
              </w:rPr>
              <w:t xml:space="preserve">2322 (2018) </w:t>
            </w:r>
          </w:p>
        </w:tc>
        <w:tc>
          <w:tcPr>
            <w:tcW w:w="1843"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50" w:firstLine="0"/>
              <w:jc w:val="right"/>
            </w:pPr>
            <w:r>
              <w:rPr>
                <w:sz w:val="20"/>
              </w:rPr>
              <w:t xml:space="preserve">2400 (2023) </w:t>
            </w:r>
          </w:p>
        </w:tc>
      </w:tr>
      <w:tr w:rsidR="00E8309B">
        <w:trPr>
          <w:trHeight w:val="296"/>
        </w:trPr>
        <w:tc>
          <w:tcPr>
            <w:tcW w:w="4107"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0" w:firstLine="0"/>
              <w:jc w:val="left"/>
            </w:pPr>
            <w:r>
              <w:rPr>
                <w:sz w:val="20"/>
              </w:rPr>
              <w:t xml:space="preserve">Број трансформисаних института </w:t>
            </w:r>
          </w:p>
        </w:tc>
        <w:tc>
          <w:tcPr>
            <w:tcW w:w="1841"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50" w:firstLine="0"/>
              <w:jc w:val="right"/>
            </w:pPr>
            <w:r>
              <w:rPr>
                <w:sz w:val="20"/>
              </w:rPr>
              <w:t xml:space="preserve">0 (2020)** </w:t>
            </w:r>
          </w:p>
        </w:tc>
        <w:tc>
          <w:tcPr>
            <w:tcW w:w="1844"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50" w:firstLine="0"/>
              <w:jc w:val="right"/>
            </w:pPr>
            <w:r>
              <w:rPr>
                <w:sz w:val="20"/>
              </w:rPr>
              <w:t xml:space="preserve">/ </w:t>
            </w:r>
          </w:p>
        </w:tc>
        <w:tc>
          <w:tcPr>
            <w:tcW w:w="1843"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50" w:firstLine="0"/>
              <w:jc w:val="right"/>
            </w:pPr>
            <w:r>
              <w:rPr>
                <w:sz w:val="20"/>
              </w:rPr>
              <w:t xml:space="preserve">5 (2023) </w:t>
            </w:r>
          </w:p>
        </w:tc>
      </w:tr>
    </w:tbl>
    <w:p w:rsidR="00E8309B" w:rsidRDefault="009D0949">
      <w:pPr>
        <w:spacing w:after="4" w:line="268" w:lineRule="auto"/>
        <w:ind w:left="-5" w:right="0"/>
        <w:jc w:val="left"/>
      </w:pPr>
      <w:r>
        <w:rPr>
          <w:sz w:val="18"/>
        </w:rPr>
        <w:t xml:space="preserve">* Укупан број свих пројеката Програма Фонда - груба пројекција. </w:t>
      </w:r>
    </w:p>
    <w:p w:rsidR="00E8309B" w:rsidRDefault="009D0949">
      <w:pPr>
        <w:spacing w:after="208" w:line="268" w:lineRule="auto"/>
        <w:ind w:left="-5" w:right="0"/>
        <w:jc w:val="left"/>
      </w:pPr>
      <w:r>
        <w:rPr>
          <w:sz w:val="18"/>
        </w:rPr>
        <w:t xml:space="preserve">** У </w:t>
      </w:r>
      <w:r>
        <w:rPr>
          <w:sz w:val="18"/>
        </w:rPr>
        <w:t xml:space="preserve">2020. години отпочео је процес самоевалуације научноистраживачких института Очекивани утицај на конкурентност. </w:t>
      </w:r>
    </w:p>
    <w:p w:rsidR="00E8309B" w:rsidRDefault="009D0949">
      <w:pPr>
        <w:numPr>
          <w:ilvl w:val="0"/>
          <w:numId w:val="34"/>
        </w:numPr>
        <w:spacing w:after="79" w:line="271" w:lineRule="auto"/>
        <w:ind w:right="9" w:hanging="360"/>
      </w:pPr>
      <w:r>
        <w:rPr>
          <w:b/>
        </w:rPr>
        <w:t xml:space="preserve">Очекивани утицај на конкурентност </w:t>
      </w:r>
    </w:p>
    <w:p w:rsidR="00E8309B" w:rsidRDefault="009D0949">
      <w:pPr>
        <w:ind w:left="-5" w:right="17"/>
      </w:pPr>
      <w:r>
        <w:t>Реформом ће се унапредити постојећи потенцијали и капацитети научноистраживачког сектора по угледу на развије</w:t>
      </w:r>
      <w:r>
        <w:t>не светске економије. Већа и боља примена резултата научних истраживања омогући ће одржив економски раст. Данас у условима бројних глобалних изазова, ефикасно иновативно реаговање на друштвене изазове и промене је предуслов за будући економски напредак, оч</w:t>
      </w:r>
      <w:r>
        <w:t xml:space="preserve">ување здравља и безбедности друштва. </w:t>
      </w:r>
    </w:p>
    <w:p w:rsidR="00E8309B" w:rsidRDefault="009D0949">
      <w:pPr>
        <w:spacing w:after="161"/>
        <w:ind w:left="-5" w:right="17"/>
      </w:pPr>
      <w:r>
        <w:t>Системским уређењем сарадње између науке и привреде кроз програме Фонда за науку, стимулисаће се привредна активност и повећати тржишна конкуренција. Примена резултата истраживања, утицаће на оснивање привредних друшта</w:t>
      </w:r>
      <w:r>
        <w:t xml:space="preserve">ва заснованих на знању и повећање запослености кроз отварање нових радних места. </w:t>
      </w:r>
    </w:p>
    <w:p w:rsidR="00E8309B" w:rsidRDefault="009D0949">
      <w:pPr>
        <w:numPr>
          <w:ilvl w:val="0"/>
          <w:numId w:val="34"/>
        </w:numPr>
        <w:spacing w:after="123" w:line="271" w:lineRule="auto"/>
        <w:ind w:right="9" w:hanging="360"/>
      </w:pPr>
      <w:r>
        <w:rPr>
          <w:b/>
        </w:rPr>
        <w:t xml:space="preserve">Процењени трошкови спровођења структурне реформе и предвиђени извори њиховог финансирања </w:t>
      </w:r>
    </w:p>
    <w:p w:rsidR="00E8309B" w:rsidRDefault="009D0949">
      <w:pPr>
        <w:spacing w:after="159"/>
        <w:ind w:left="-5" w:right="17"/>
      </w:pPr>
      <w:r>
        <w:t>Реформске активности ће се у периоду 2021-</w:t>
      </w:r>
      <w:r>
        <w:t xml:space="preserve">2023. углавном финансирати из буџета РС у пројектованом износу од око 362 милиона евра. У 2021. кроз Пројекат акцелерација иновација и подстицање раста предузетништва - Пројекат SAIGE обезбеђено је 34 милиона евра, а кроз ИПА 2019 у износу од 31,5 милиона </w:t>
      </w:r>
      <w:r>
        <w:t>евра. Наставиће се континуирано обезбеђење подршке, а износи ће бити утврђени финансијским планом за 2021. годину и пројекцијама за наредне године.</w:t>
      </w:r>
      <w:r>
        <w:rPr>
          <w:b/>
        </w:rPr>
        <w:t xml:space="preserve"> </w:t>
      </w:r>
    </w:p>
    <w:p w:rsidR="00E8309B" w:rsidRDefault="009D0949">
      <w:pPr>
        <w:numPr>
          <w:ilvl w:val="0"/>
          <w:numId w:val="34"/>
        </w:numPr>
        <w:spacing w:after="79" w:line="271" w:lineRule="auto"/>
        <w:ind w:right="9" w:hanging="360"/>
      </w:pPr>
      <w:r>
        <w:rPr>
          <w:b/>
        </w:rPr>
        <w:t xml:space="preserve">Очекивани утицај на социјалне циљеве, као што су запосленост, смањење сиромаштва, једнакост и род </w:t>
      </w:r>
    </w:p>
    <w:p w:rsidR="00E8309B" w:rsidRDefault="009D0949">
      <w:pPr>
        <w:spacing w:after="159"/>
        <w:ind w:left="-5" w:right="17"/>
      </w:pPr>
      <w:r>
        <w:t>Позитива</w:t>
      </w:r>
      <w:r>
        <w:t>н ефекат се односи на повећање запослености и то кроз допринос стварању дугорочно одрживих и одговарајуће плаћених висококвалификованих радних места. Кроз финансирање путем својих инструмената Фонд за иновациону делатност већ дуги низ година подржава отвар</w:t>
      </w:r>
      <w:r>
        <w:t xml:space="preserve">ање нових радних места.  </w:t>
      </w:r>
    </w:p>
    <w:p w:rsidR="00E8309B" w:rsidRDefault="009D0949">
      <w:pPr>
        <w:numPr>
          <w:ilvl w:val="0"/>
          <w:numId w:val="34"/>
        </w:numPr>
        <w:spacing w:after="126" w:line="271" w:lineRule="auto"/>
        <w:ind w:right="9" w:hanging="360"/>
      </w:pPr>
      <w:r>
        <w:rPr>
          <w:b/>
        </w:rPr>
        <w:t xml:space="preserve">Очекивани утицај на животну средину </w:t>
      </w:r>
    </w:p>
    <w:p w:rsidR="00E8309B" w:rsidRDefault="009D0949">
      <w:pPr>
        <w:spacing w:after="155"/>
        <w:ind w:left="-5" w:right="17"/>
      </w:pPr>
      <w:r>
        <w:t xml:space="preserve">Фонд за науку подржава само пројекте који немају негативан утицај на животну средину. </w:t>
      </w:r>
    </w:p>
    <w:p w:rsidR="00E8309B" w:rsidRDefault="009D0949">
      <w:pPr>
        <w:numPr>
          <w:ilvl w:val="0"/>
          <w:numId w:val="34"/>
        </w:numPr>
        <w:spacing w:after="0" w:line="271" w:lineRule="auto"/>
        <w:ind w:right="9" w:hanging="360"/>
      </w:pPr>
      <w:r>
        <w:rPr>
          <w:b/>
        </w:rPr>
        <w:t xml:space="preserve">Потенцијални ризици </w:t>
      </w:r>
    </w:p>
    <w:tbl>
      <w:tblPr>
        <w:tblStyle w:val="TableGrid"/>
        <w:tblW w:w="9696" w:type="dxa"/>
        <w:tblInd w:w="0" w:type="dxa"/>
        <w:tblCellMar>
          <w:top w:w="46" w:type="dxa"/>
          <w:left w:w="108" w:type="dxa"/>
          <w:bottom w:w="0" w:type="dxa"/>
          <w:right w:w="66" w:type="dxa"/>
        </w:tblCellMar>
        <w:tblLook w:val="04A0" w:firstRow="1" w:lastRow="0" w:firstColumn="1" w:lastColumn="0" w:noHBand="0" w:noVBand="1"/>
      </w:tblPr>
      <w:tblGrid>
        <w:gridCol w:w="3330"/>
        <w:gridCol w:w="2201"/>
        <w:gridCol w:w="4165"/>
      </w:tblGrid>
      <w:tr w:rsidR="00E8309B">
        <w:trPr>
          <w:trHeight w:val="470"/>
        </w:trPr>
        <w:tc>
          <w:tcPr>
            <w:tcW w:w="3330"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0" w:right="0" w:firstLine="0"/>
              <w:jc w:val="left"/>
            </w:pPr>
            <w:r>
              <w:rPr>
                <w:b/>
                <w:sz w:val="20"/>
              </w:rPr>
              <w:t xml:space="preserve">Ризик </w:t>
            </w:r>
          </w:p>
        </w:tc>
        <w:tc>
          <w:tcPr>
            <w:tcW w:w="2201"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2" w:right="0" w:firstLine="0"/>
              <w:jc w:val="left"/>
            </w:pPr>
            <w:r>
              <w:rPr>
                <w:b/>
                <w:sz w:val="20"/>
              </w:rPr>
              <w:t xml:space="preserve">Вероватноћа за остваривање ризика </w:t>
            </w:r>
          </w:p>
        </w:tc>
        <w:tc>
          <w:tcPr>
            <w:tcW w:w="4165"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0" w:firstLine="0"/>
              <w:jc w:val="left"/>
            </w:pPr>
            <w:r>
              <w:rPr>
                <w:b/>
                <w:sz w:val="20"/>
              </w:rPr>
              <w:t xml:space="preserve">Активност за ублажавање негативних ефеката </w:t>
            </w:r>
            <w:r>
              <w:rPr>
                <w:b/>
                <w:sz w:val="20"/>
              </w:rPr>
              <w:t xml:space="preserve">ризика </w:t>
            </w:r>
          </w:p>
        </w:tc>
      </w:tr>
      <w:tr w:rsidR="00E8309B">
        <w:trPr>
          <w:trHeight w:val="932"/>
        </w:trPr>
        <w:tc>
          <w:tcPr>
            <w:tcW w:w="3330" w:type="dxa"/>
            <w:tcBorders>
              <w:top w:val="single" w:sz="4" w:space="0" w:color="000000"/>
              <w:left w:val="single" w:sz="4" w:space="0" w:color="000000"/>
              <w:bottom w:val="single" w:sz="4" w:space="0" w:color="000000"/>
              <w:right w:val="single" w:sz="4" w:space="0" w:color="000000"/>
            </w:tcBorders>
          </w:tcPr>
          <w:p w:rsidR="00E8309B" w:rsidRDefault="009D0949">
            <w:pPr>
              <w:spacing w:after="39" w:line="240" w:lineRule="auto"/>
              <w:ind w:left="0" w:right="0" w:firstLine="0"/>
              <w:jc w:val="left"/>
            </w:pPr>
            <w:r>
              <w:rPr>
                <w:sz w:val="20"/>
              </w:rPr>
              <w:t xml:space="preserve">Недовољна заинтересованост и непрепознавање важности за спровођење реформе </w:t>
            </w:r>
          </w:p>
          <w:p w:rsidR="00E8309B" w:rsidRDefault="009D0949">
            <w:pPr>
              <w:spacing w:after="0" w:line="259" w:lineRule="auto"/>
              <w:ind w:left="0" w:right="0" w:firstLine="0"/>
              <w:jc w:val="left"/>
            </w:pPr>
            <w:r>
              <w:rPr>
                <w:sz w:val="20"/>
              </w:rPr>
              <w:t xml:space="preserve">научноистраживачких института </w:t>
            </w:r>
          </w:p>
        </w:tc>
        <w:tc>
          <w:tcPr>
            <w:tcW w:w="2201"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2" w:right="0" w:firstLine="0"/>
              <w:jc w:val="left"/>
            </w:pPr>
            <w:r>
              <w:rPr>
                <w:sz w:val="20"/>
              </w:rPr>
              <w:t>Висока</w:t>
            </w:r>
            <w:r>
              <w:rPr>
                <w:b/>
                <w:sz w:val="20"/>
              </w:rPr>
              <w:t xml:space="preserve"> </w:t>
            </w:r>
          </w:p>
        </w:tc>
        <w:tc>
          <w:tcPr>
            <w:tcW w:w="4165"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0" w:firstLine="0"/>
              <w:jc w:val="left"/>
            </w:pPr>
            <w:r>
              <w:rPr>
                <w:sz w:val="20"/>
              </w:rPr>
              <w:t xml:space="preserve">Мотивисање и благовремено пружање подршке заинтересованим институтима  </w:t>
            </w:r>
          </w:p>
        </w:tc>
      </w:tr>
      <w:tr w:rsidR="00E8309B">
        <w:trPr>
          <w:trHeight w:val="1392"/>
        </w:trPr>
        <w:tc>
          <w:tcPr>
            <w:tcW w:w="3330"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49" w:firstLine="0"/>
            </w:pPr>
            <w:r>
              <w:rPr>
                <w:sz w:val="20"/>
              </w:rPr>
              <w:t>Неблаговремено спровођење других реформи у сектору високог образовања, науке и иновација</w:t>
            </w:r>
            <w:r>
              <w:rPr>
                <w:b/>
                <w:sz w:val="20"/>
              </w:rPr>
              <w:t xml:space="preserve"> </w:t>
            </w:r>
          </w:p>
        </w:tc>
        <w:tc>
          <w:tcPr>
            <w:tcW w:w="2201"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2" w:right="0" w:firstLine="0"/>
              <w:jc w:val="left"/>
            </w:pPr>
            <w:r>
              <w:rPr>
                <w:sz w:val="20"/>
              </w:rPr>
              <w:t>Средња</w:t>
            </w:r>
            <w:r>
              <w:rPr>
                <w:b/>
                <w:sz w:val="20"/>
              </w:rPr>
              <w:t xml:space="preserve"> </w:t>
            </w:r>
          </w:p>
        </w:tc>
        <w:tc>
          <w:tcPr>
            <w:tcW w:w="4165"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30" w:firstLine="0"/>
              <w:jc w:val="left"/>
            </w:pPr>
            <w:r>
              <w:rPr>
                <w:sz w:val="20"/>
              </w:rPr>
              <w:t>Потпуно успостављање институционалног финансирања као основе за развој науке и способност НИО да апсорбују средстава из институционалног (кроз МПНТР) и пројек</w:t>
            </w:r>
            <w:r>
              <w:rPr>
                <w:sz w:val="20"/>
              </w:rPr>
              <w:t>тног финансирања (кроз Фонд за науку) заједно</w:t>
            </w:r>
            <w:r>
              <w:rPr>
                <w:b/>
                <w:sz w:val="20"/>
              </w:rPr>
              <w:t xml:space="preserve"> </w:t>
            </w:r>
          </w:p>
        </w:tc>
      </w:tr>
      <w:tr w:rsidR="00E8309B">
        <w:trPr>
          <w:trHeight w:val="929"/>
        </w:trPr>
        <w:tc>
          <w:tcPr>
            <w:tcW w:w="3330"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0" w:firstLine="0"/>
              <w:jc w:val="left"/>
            </w:pPr>
            <w:r>
              <w:rPr>
                <w:sz w:val="20"/>
              </w:rPr>
              <w:t xml:space="preserve">Недостатак услова и технологија за комерцијализацију научноистраживачких решења </w:t>
            </w:r>
          </w:p>
        </w:tc>
        <w:tc>
          <w:tcPr>
            <w:tcW w:w="2201"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2" w:right="0" w:firstLine="0"/>
              <w:jc w:val="left"/>
            </w:pPr>
            <w:r>
              <w:rPr>
                <w:sz w:val="20"/>
              </w:rPr>
              <w:t>Средња</w:t>
            </w:r>
            <w:r>
              <w:rPr>
                <w:b/>
                <w:sz w:val="20"/>
              </w:rPr>
              <w:t xml:space="preserve"> </w:t>
            </w:r>
          </w:p>
        </w:tc>
        <w:tc>
          <w:tcPr>
            <w:tcW w:w="4165"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0" w:firstLine="0"/>
              <w:jc w:val="left"/>
            </w:pPr>
            <w:r>
              <w:rPr>
                <w:sz w:val="20"/>
              </w:rPr>
              <w:t xml:space="preserve">Континуирано обезбеђење подршке </w:t>
            </w:r>
          </w:p>
          <w:p w:rsidR="00E8309B" w:rsidRDefault="009D0949">
            <w:pPr>
              <w:spacing w:after="0" w:line="259" w:lineRule="auto"/>
              <w:ind w:left="0" w:right="24" w:firstLine="0"/>
              <w:jc w:val="left"/>
            </w:pPr>
            <w:r>
              <w:rPr>
                <w:sz w:val="20"/>
              </w:rPr>
              <w:t>(финансијске и нефинансијске) за различите механизме којима се стимулише повезивање и сарадња НИО и привредног сектора</w:t>
            </w:r>
            <w:r>
              <w:rPr>
                <w:b/>
                <w:sz w:val="20"/>
              </w:rPr>
              <w:t xml:space="preserve"> </w:t>
            </w:r>
          </w:p>
        </w:tc>
      </w:tr>
    </w:tbl>
    <w:p w:rsidR="00E8309B" w:rsidRDefault="009D0949">
      <w:pPr>
        <w:spacing w:after="153"/>
        <w:ind w:left="-5" w:right="17"/>
      </w:pPr>
      <w:r>
        <w:rPr>
          <w:b/>
          <w:u w:val="single" w:color="000000"/>
        </w:rPr>
        <w:t>СТРУКТУРНА РЕФОРМА 15</w:t>
      </w:r>
      <w:r>
        <w:rPr>
          <w:u w:val="single" w:color="000000"/>
        </w:rPr>
        <w:t>:</w:t>
      </w:r>
      <w:r>
        <w:t xml:space="preserve"> УНАПРЕЂЕЊЕ</w:t>
      </w:r>
      <w:r>
        <w:rPr>
          <w:sz w:val="19"/>
        </w:rPr>
        <w:t xml:space="preserve"> </w:t>
      </w:r>
      <w:r>
        <w:t>ИНСТИТУЦИОНАЛНЕ</w:t>
      </w:r>
      <w:r>
        <w:rPr>
          <w:sz w:val="19"/>
        </w:rPr>
        <w:t xml:space="preserve"> </w:t>
      </w:r>
      <w:r>
        <w:t>ПОДРШКЕ</w:t>
      </w:r>
      <w:r>
        <w:rPr>
          <w:sz w:val="19"/>
        </w:rPr>
        <w:t xml:space="preserve"> </w:t>
      </w:r>
      <w:r>
        <w:t>ЗА</w:t>
      </w:r>
      <w:r>
        <w:rPr>
          <w:sz w:val="19"/>
        </w:rPr>
        <w:t xml:space="preserve"> </w:t>
      </w:r>
      <w:r>
        <w:t>РАЗВОЈ</w:t>
      </w:r>
      <w:r>
        <w:rPr>
          <w:sz w:val="19"/>
        </w:rPr>
        <w:t xml:space="preserve"> </w:t>
      </w:r>
      <w:r>
        <w:t>ПАМЕТНИХ</w:t>
      </w:r>
      <w:r>
        <w:rPr>
          <w:sz w:val="19"/>
        </w:rPr>
        <w:t xml:space="preserve"> </w:t>
      </w:r>
      <w:r>
        <w:t>СПЕЦИЈАЛИЗАЦИЈА</w:t>
      </w:r>
      <w:r>
        <w:rPr>
          <w:sz w:val="19"/>
        </w:rPr>
        <w:t xml:space="preserve"> </w:t>
      </w:r>
      <w:r>
        <w:t>И</w:t>
      </w:r>
      <w:r>
        <w:rPr>
          <w:sz w:val="19"/>
        </w:rPr>
        <w:t xml:space="preserve"> </w:t>
      </w:r>
      <w:r>
        <w:t>ИНОВАЦИЈА</w:t>
      </w:r>
      <w:r>
        <w:rPr>
          <w:b/>
        </w:rPr>
        <w:t xml:space="preserve"> </w:t>
      </w:r>
    </w:p>
    <w:p w:rsidR="00E8309B" w:rsidRDefault="009D0949">
      <w:pPr>
        <w:spacing w:after="79" w:line="271" w:lineRule="auto"/>
        <w:ind w:left="-5" w:right="9"/>
      </w:pPr>
      <w:r>
        <w:rPr>
          <w:b/>
        </w:rPr>
        <w:t>1.</w:t>
      </w:r>
      <w:r>
        <w:rPr>
          <w:rFonts w:ascii="Arial" w:eastAsia="Arial" w:hAnsi="Arial" w:cs="Arial"/>
          <w:b/>
        </w:rPr>
        <w:t xml:space="preserve"> </w:t>
      </w:r>
      <w:r>
        <w:rPr>
          <w:b/>
        </w:rPr>
        <w:t xml:space="preserve">Опис структурне реформе </w:t>
      </w:r>
    </w:p>
    <w:p w:rsidR="00E8309B" w:rsidRDefault="009D0949">
      <w:pPr>
        <w:spacing w:after="103"/>
        <w:ind w:left="-5" w:right="17"/>
      </w:pPr>
      <w:r>
        <w:t>Циљ реформе је да унапреди институционалну подршку иновативним компанијама кроз различите механизме и подстакне њихове развојне активности на изналажењу иновативних решења и производа, запошљавање, дигитализацију и унапређење инфраструктуре за стварање пос</w:t>
      </w:r>
      <w:r>
        <w:t xml:space="preserve">ловног екосистема. </w:t>
      </w:r>
    </w:p>
    <w:p w:rsidR="00E8309B" w:rsidRDefault="009D0949">
      <w:pPr>
        <w:spacing w:after="149"/>
        <w:ind w:left="-5" w:right="17"/>
      </w:pPr>
      <w:r>
        <w:t xml:space="preserve">Фонд за иновациону делатност утемељује дугорочну институционалну подршку државе иновативном предузетништву и успостављању сарадње привреде и академског сектора. Кроз </w:t>
      </w:r>
      <w:r>
        <w:rPr>
          <w:b/>
        </w:rPr>
        <w:t>Програм акцелерације пословања</w:t>
      </w:r>
      <w:r>
        <w:t xml:space="preserve"> успоставиће се нови инструмент којим ће</w:t>
      </w:r>
      <w:r>
        <w:t xml:space="preserve"> се додатно подржати развој и унапређење конкурентности иновативних предузећа у раној фази развоја, али и у фази раста, као и њихово оспособљавање за привлачење инвестиција.  </w:t>
      </w:r>
    </w:p>
    <w:p w:rsidR="00E8309B" w:rsidRDefault="009D0949">
      <w:pPr>
        <w:spacing w:after="146"/>
        <w:ind w:left="-5" w:right="17"/>
      </w:pPr>
      <w:r>
        <w:t>Координација платформе Србија Ствара, које функционише у оквиру канцеларије за е</w:t>
      </w:r>
      <w:r>
        <w:t xml:space="preserve">Управу, допринела је креирању мреже научно-технолошких паркова. Успеси научно-технолошког парка Београд допринели су успостављању </w:t>
      </w:r>
      <w:r>
        <w:rPr>
          <w:b/>
        </w:rPr>
        <w:t>нових научно-технолошких паркова</w:t>
      </w:r>
      <w:r>
        <w:t xml:space="preserve"> у Нишу, Новом Саду (у изградњи) и Чачку, пружајући основу за даља улагања у инфраструктуру у </w:t>
      </w:r>
      <w:r>
        <w:t xml:space="preserve">циљу стварања погодног окружења за иновације, узимајући у обзир значај развоја региона у Србији у погледу њихових специфичних потреба и потенцијала. До сада има 107 компанија које су чланови три научно-технолошка парка са 1.207 запослених. </w:t>
      </w:r>
    </w:p>
    <w:p w:rsidR="00E8309B" w:rsidRDefault="009D0949">
      <w:pPr>
        <w:spacing w:after="150"/>
        <w:ind w:left="-5" w:right="17"/>
      </w:pPr>
      <w:r>
        <w:rPr>
          <w:b/>
          <w:i/>
        </w:rPr>
        <w:t>Стратегија паме</w:t>
      </w:r>
      <w:r>
        <w:rPr>
          <w:b/>
          <w:i/>
        </w:rPr>
        <w:t>тне специјализације за период 2020-2027. године</w:t>
      </w:r>
      <w:r>
        <w:rPr>
          <w:i/>
        </w:rPr>
        <w:t xml:space="preserve"> </w:t>
      </w:r>
      <w:r>
        <w:t>(усвојена у фебруару 2020. године), реализоваће се кроз циљану подршку истраживачким, развојним и иновационим активностима. Ресурси ће се усмеравати на области које имају највећи конкурентски и иновациони пот</w:t>
      </w:r>
      <w:r>
        <w:t>енцијал. Пружиће се подршка домаћој привреди да ефикасније искористи своје потенцијале и да се боље позиционира на глобалним тржиштима и у међународним ланцима вредности. У складу са препоруком Европске комисије, налази ове стратегије су коришћени за израд</w:t>
      </w:r>
      <w:r>
        <w:t xml:space="preserve">у Стратегије индустријске политике, која је такође усвојена. Сарадња између два ресорна министарства се наставља кроз израду акционих планова за обе стратегије. </w:t>
      </w:r>
      <w:r>
        <w:rPr>
          <w:i/>
        </w:rPr>
        <w:t>Акционим планом за спровођење Стратегије за развој вештачке интелигенције у РС за период 2020-2</w:t>
      </w:r>
      <w:r>
        <w:rPr>
          <w:i/>
        </w:rPr>
        <w:t>025. године</w:t>
      </w:r>
      <w:r>
        <w:t xml:space="preserve"> (усвојен у јуну 2020.) предвиђена је употреба вештачке интелигенције у функцији развоја науке и иновација, као и </w:t>
      </w:r>
      <w:r>
        <w:rPr>
          <w:b/>
        </w:rPr>
        <w:t>успостављање Института за вештачку интелигенцију</w:t>
      </w:r>
      <w:r>
        <w:t>, централне институције за повезивање и јачање сарадње са светским стручњацима у ов</w:t>
      </w:r>
      <w:r>
        <w:t xml:space="preserve">ој области. </w:t>
      </w:r>
    </w:p>
    <w:p w:rsidR="00E8309B" w:rsidRDefault="009D0949">
      <w:pPr>
        <w:spacing w:after="102"/>
        <w:ind w:left="-5" w:right="17"/>
      </w:pPr>
      <w:r>
        <w:t xml:space="preserve">Реформа доприноси остваривању </w:t>
      </w:r>
      <w:r>
        <w:rPr>
          <w:b/>
        </w:rPr>
        <w:t>ЦОР 9.5.</w:t>
      </w:r>
      <w:r>
        <w:t xml:space="preserve"> Унапредити научна истраживања, побољшати технолошке могућности индустријских сектора, што подразумева да се до 2030. подстичу иновације и значајно повећа број запослених у области истраживања и развоја, к</w:t>
      </w:r>
      <w:r>
        <w:t xml:space="preserve">ао и да се повећа јавна и приватна потрошња за истраживање и развој, као и </w:t>
      </w:r>
      <w:r>
        <w:rPr>
          <w:b/>
        </w:rPr>
        <w:t>ЦОР 9.б</w:t>
      </w:r>
      <w:r>
        <w:t xml:space="preserve"> Подржати развој домаће технологије, истраживања и иновације, укључујући осигурање погодног окружења у погледу политика за, између осталог, индустријску диверсификацију и дод</w:t>
      </w:r>
      <w:r>
        <w:t xml:space="preserve">атну вредност роба. </w:t>
      </w:r>
    </w:p>
    <w:p w:rsidR="00E8309B" w:rsidRDefault="009D0949">
      <w:pPr>
        <w:spacing w:after="96" w:line="259" w:lineRule="auto"/>
        <w:ind w:left="0" w:right="0" w:firstLine="0"/>
        <w:jc w:val="left"/>
      </w:pPr>
      <w:r>
        <w:t xml:space="preserve"> </w:t>
      </w:r>
    </w:p>
    <w:p w:rsidR="00E8309B" w:rsidRDefault="009D0949">
      <w:pPr>
        <w:spacing w:after="0" w:line="259" w:lineRule="auto"/>
        <w:ind w:left="0" w:right="0" w:firstLine="0"/>
        <w:jc w:val="left"/>
      </w:pPr>
      <w:r>
        <w:t xml:space="preserve"> </w:t>
      </w:r>
    </w:p>
    <w:p w:rsidR="00E8309B" w:rsidRDefault="009D0949">
      <w:pPr>
        <w:spacing w:after="127" w:line="271" w:lineRule="auto"/>
        <w:ind w:left="-5" w:right="9"/>
      </w:pPr>
      <w:r>
        <w:rPr>
          <w:b/>
        </w:rPr>
        <w:t>2.</w:t>
      </w:r>
      <w:r>
        <w:rPr>
          <w:rFonts w:ascii="Arial" w:eastAsia="Arial" w:hAnsi="Arial" w:cs="Arial"/>
          <w:b/>
        </w:rPr>
        <w:t xml:space="preserve"> </w:t>
      </w:r>
      <w:r>
        <w:rPr>
          <w:b/>
        </w:rPr>
        <w:t xml:space="preserve">Ковид-19 – ефекти, мере и изазови </w:t>
      </w:r>
    </w:p>
    <w:p w:rsidR="00E8309B" w:rsidRDefault="009D0949">
      <w:pPr>
        <w:spacing w:after="6"/>
        <w:ind w:left="-5" w:right="17"/>
      </w:pPr>
      <w:r>
        <w:t>Успостављени иновациони систем пружио је брзи одговор на бројне изазове у друштву који су последица пандемије Ковид-</w:t>
      </w:r>
      <w:r>
        <w:t>19. Фонд за иновациону делатност је у оквиру расписаног Јавног позива за сузбијање ефеката пандемије финансирао 12 различитих иновативних пројеката компанија. Пројекти су успешно имплементирани, а производи и услуге су донирани институцијама и установама о</w:t>
      </w:r>
      <w:r>
        <w:t xml:space="preserve">д јавног значаја широм Србије. Иновативна решења која су подржана кроз јавни позив Фонда, остаће применљива и корисна и након пандемије.  </w:t>
      </w:r>
      <w:r>
        <w:rPr>
          <w:b/>
        </w:rPr>
        <w:t>3.</w:t>
      </w:r>
      <w:r>
        <w:rPr>
          <w:rFonts w:ascii="Arial" w:eastAsia="Arial" w:hAnsi="Arial" w:cs="Arial"/>
          <w:b/>
        </w:rPr>
        <w:t xml:space="preserve"> </w:t>
      </w:r>
      <w:r>
        <w:rPr>
          <w:b/>
        </w:rPr>
        <w:t xml:space="preserve">Планирање активности по годинама </w:t>
      </w:r>
    </w:p>
    <w:tbl>
      <w:tblPr>
        <w:tblStyle w:val="TableGrid"/>
        <w:tblW w:w="9610" w:type="dxa"/>
        <w:tblInd w:w="10" w:type="dxa"/>
        <w:tblCellMar>
          <w:top w:w="9" w:type="dxa"/>
          <w:left w:w="58" w:type="dxa"/>
          <w:bottom w:w="0" w:type="dxa"/>
          <w:right w:w="8" w:type="dxa"/>
        </w:tblCellMar>
        <w:tblLook w:val="04A0" w:firstRow="1" w:lastRow="0" w:firstColumn="1" w:lastColumn="0" w:noHBand="0" w:noVBand="1"/>
      </w:tblPr>
      <w:tblGrid>
        <w:gridCol w:w="427"/>
        <w:gridCol w:w="4123"/>
        <w:gridCol w:w="419"/>
        <w:gridCol w:w="421"/>
        <w:gridCol w:w="422"/>
        <w:gridCol w:w="421"/>
        <w:gridCol w:w="424"/>
        <w:gridCol w:w="421"/>
        <w:gridCol w:w="423"/>
        <w:gridCol w:w="420"/>
        <w:gridCol w:w="424"/>
        <w:gridCol w:w="422"/>
        <w:gridCol w:w="422"/>
        <w:gridCol w:w="420"/>
      </w:tblGrid>
      <w:tr w:rsidR="00E8309B">
        <w:trPr>
          <w:trHeight w:val="331"/>
        </w:trPr>
        <w:tc>
          <w:tcPr>
            <w:tcW w:w="427" w:type="dxa"/>
            <w:vMerge w:val="restart"/>
            <w:tcBorders>
              <w:top w:val="single" w:sz="8" w:space="0" w:color="000000"/>
              <w:left w:val="single" w:sz="8" w:space="0" w:color="000000"/>
              <w:bottom w:val="single" w:sz="8" w:space="0" w:color="000000"/>
              <w:right w:val="single" w:sz="8" w:space="0" w:color="000000"/>
            </w:tcBorders>
            <w:vAlign w:val="center"/>
          </w:tcPr>
          <w:p w:rsidR="00E8309B" w:rsidRDefault="009D0949">
            <w:pPr>
              <w:spacing w:after="0" w:line="259" w:lineRule="auto"/>
              <w:ind w:left="29" w:right="0" w:firstLine="0"/>
            </w:pPr>
            <w:r>
              <w:rPr>
                <w:b/>
                <w:sz w:val="20"/>
              </w:rPr>
              <w:t xml:space="preserve">РБ </w:t>
            </w:r>
          </w:p>
        </w:tc>
        <w:tc>
          <w:tcPr>
            <w:tcW w:w="4123" w:type="dxa"/>
            <w:vMerge w:val="restart"/>
            <w:tcBorders>
              <w:top w:val="single" w:sz="8" w:space="0" w:color="000000"/>
              <w:left w:val="single" w:sz="8" w:space="0" w:color="000000"/>
              <w:bottom w:val="single" w:sz="8" w:space="0" w:color="000000"/>
              <w:right w:val="single" w:sz="8" w:space="0" w:color="000000"/>
            </w:tcBorders>
            <w:vAlign w:val="center"/>
          </w:tcPr>
          <w:p w:rsidR="00E8309B" w:rsidRDefault="009D0949">
            <w:pPr>
              <w:spacing w:after="0" w:line="259" w:lineRule="auto"/>
              <w:ind w:left="0" w:right="0" w:firstLine="0"/>
              <w:jc w:val="left"/>
            </w:pPr>
            <w:r>
              <w:rPr>
                <w:b/>
                <w:sz w:val="20"/>
              </w:rPr>
              <w:t xml:space="preserve">Планиране активности </w:t>
            </w:r>
          </w:p>
        </w:tc>
        <w:tc>
          <w:tcPr>
            <w:tcW w:w="419" w:type="dxa"/>
            <w:tcBorders>
              <w:top w:val="single" w:sz="8" w:space="0" w:color="000000"/>
              <w:left w:val="single" w:sz="8" w:space="0" w:color="000000"/>
              <w:bottom w:val="single" w:sz="4" w:space="0" w:color="000000"/>
              <w:right w:val="nil"/>
            </w:tcBorders>
          </w:tcPr>
          <w:p w:rsidR="00E8309B" w:rsidRDefault="00E8309B">
            <w:pPr>
              <w:spacing w:after="160" w:line="259" w:lineRule="auto"/>
              <w:ind w:left="0" w:right="0" w:firstLine="0"/>
              <w:jc w:val="left"/>
            </w:pPr>
          </w:p>
        </w:tc>
        <w:tc>
          <w:tcPr>
            <w:tcW w:w="844" w:type="dxa"/>
            <w:gridSpan w:val="2"/>
            <w:tcBorders>
              <w:top w:val="single" w:sz="8" w:space="0" w:color="000000"/>
              <w:left w:val="nil"/>
              <w:bottom w:val="single" w:sz="4" w:space="0" w:color="000000"/>
              <w:right w:val="nil"/>
            </w:tcBorders>
          </w:tcPr>
          <w:p w:rsidR="00E8309B" w:rsidRDefault="009D0949">
            <w:pPr>
              <w:spacing w:after="0" w:line="259" w:lineRule="auto"/>
              <w:ind w:left="0" w:right="45" w:firstLine="0"/>
              <w:jc w:val="center"/>
            </w:pPr>
            <w:r>
              <w:rPr>
                <w:b/>
                <w:sz w:val="20"/>
              </w:rPr>
              <w:t xml:space="preserve">2021 </w:t>
            </w:r>
          </w:p>
        </w:tc>
        <w:tc>
          <w:tcPr>
            <w:tcW w:w="421" w:type="dxa"/>
            <w:tcBorders>
              <w:top w:val="single" w:sz="8" w:space="0" w:color="000000"/>
              <w:left w:val="nil"/>
              <w:bottom w:val="single" w:sz="4" w:space="0" w:color="000000"/>
              <w:right w:val="single" w:sz="8" w:space="0" w:color="000000"/>
            </w:tcBorders>
          </w:tcPr>
          <w:p w:rsidR="00E8309B" w:rsidRDefault="00E8309B">
            <w:pPr>
              <w:spacing w:after="160" w:line="259" w:lineRule="auto"/>
              <w:ind w:left="0" w:right="0" w:firstLine="0"/>
              <w:jc w:val="left"/>
            </w:pPr>
          </w:p>
        </w:tc>
        <w:tc>
          <w:tcPr>
            <w:tcW w:w="424" w:type="dxa"/>
            <w:tcBorders>
              <w:top w:val="single" w:sz="8" w:space="0" w:color="000000"/>
              <w:left w:val="single" w:sz="8" w:space="0" w:color="000000"/>
              <w:bottom w:val="single" w:sz="4" w:space="0" w:color="000000"/>
              <w:right w:val="nil"/>
            </w:tcBorders>
          </w:tcPr>
          <w:p w:rsidR="00E8309B" w:rsidRDefault="00E8309B">
            <w:pPr>
              <w:spacing w:after="160" w:line="259" w:lineRule="auto"/>
              <w:ind w:left="0" w:right="0" w:firstLine="0"/>
              <w:jc w:val="left"/>
            </w:pPr>
          </w:p>
        </w:tc>
        <w:tc>
          <w:tcPr>
            <w:tcW w:w="844" w:type="dxa"/>
            <w:gridSpan w:val="2"/>
            <w:tcBorders>
              <w:top w:val="single" w:sz="8" w:space="0" w:color="000000"/>
              <w:left w:val="nil"/>
              <w:bottom w:val="single" w:sz="4" w:space="0" w:color="000000"/>
              <w:right w:val="nil"/>
            </w:tcBorders>
          </w:tcPr>
          <w:p w:rsidR="00E8309B" w:rsidRDefault="009D0949">
            <w:pPr>
              <w:spacing w:after="0" w:line="259" w:lineRule="auto"/>
              <w:ind w:left="0" w:right="48" w:firstLine="0"/>
              <w:jc w:val="center"/>
            </w:pPr>
            <w:r>
              <w:rPr>
                <w:b/>
                <w:sz w:val="20"/>
              </w:rPr>
              <w:t xml:space="preserve">2022 </w:t>
            </w:r>
          </w:p>
        </w:tc>
        <w:tc>
          <w:tcPr>
            <w:tcW w:w="420" w:type="dxa"/>
            <w:tcBorders>
              <w:top w:val="single" w:sz="8" w:space="0" w:color="000000"/>
              <w:left w:val="nil"/>
              <w:bottom w:val="single" w:sz="4" w:space="0" w:color="000000"/>
              <w:right w:val="single" w:sz="8" w:space="0" w:color="000000"/>
            </w:tcBorders>
          </w:tcPr>
          <w:p w:rsidR="00E8309B" w:rsidRDefault="00E8309B">
            <w:pPr>
              <w:spacing w:after="160" w:line="259" w:lineRule="auto"/>
              <w:ind w:left="0" w:right="0" w:firstLine="0"/>
              <w:jc w:val="left"/>
            </w:pPr>
          </w:p>
        </w:tc>
        <w:tc>
          <w:tcPr>
            <w:tcW w:w="424" w:type="dxa"/>
            <w:tcBorders>
              <w:top w:val="single" w:sz="8" w:space="0" w:color="000000"/>
              <w:left w:val="single" w:sz="8" w:space="0" w:color="000000"/>
              <w:bottom w:val="single" w:sz="4" w:space="0" w:color="000000"/>
              <w:right w:val="nil"/>
            </w:tcBorders>
          </w:tcPr>
          <w:p w:rsidR="00E8309B" w:rsidRDefault="00E8309B">
            <w:pPr>
              <w:spacing w:after="160" w:line="259" w:lineRule="auto"/>
              <w:ind w:left="0" w:right="0" w:firstLine="0"/>
              <w:jc w:val="left"/>
            </w:pPr>
          </w:p>
        </w:tc>
        <w:tc>
          <w:tcPr>
            <w:tcW w:w="845" w:type="dxa"/>
            <w:gridSpan w:val="2"/>
            <w:tcBorders>
              <w:top w:val="single" w:sz="8" w:space="0" w:color="000000"/>
              <w:left w:val="nil"/>
              <w:bottom w:val="single" w:sz="4" w:space="0" w:color="000000"/>
              <w:right w:val="nil"/>
            </w:tcBorders>
          </w:tcPr>
          <w:p w:rsidR="00E8309B" w:rsidRDefault="009D0949">
            <w:pPr>
              <w:spacing w:after="0" w:line="259" w:lineRule="auto"/>
              <w:ind w:left="0" w:right="49" w:firstLine="0"/>
              <w:jc w:val="center"/>
            </w:pPr>
            <w:r>
              <w:rPr>
                <w:b/>
                <w:sz w:val="20"/>
              </w:rPr>
              <w:t xml:space="preserve">2023 </w:t>
            </w:r>
          </w:p>
        </w:tc>
        <w:tc>
          <w:tcPr>
            <w:tcW w:w="420" w:type="dxa"/>
            <w:tcBorders>
              <w:top w:val="single" w:sz="8" w:space="0" w:color="000000"/>
              <w:left w:val="nil"/>
              <w:bottom w:val="single" w:sz="4" w:space="0" w:color="000000"/>
              <w:right w:val="single" w:sz="8" w:space="0" w:color="000000"/>
            </w:tcBorders>
          </w:tcPr>
          <w:p w:rsidR="00E8309B" w:rsidRDefault="00E8309B">
            <w:pPr>
              <w:spacing w:after="160" w:line="259" w:lineRule="auto"/>
              <w:ind w:left="0" w:right="0" w:firstLine="0"/>
              <w:jc w:val="left"/>
            </w:pPr>
          </w:p>
        </w:tc>
      </w:tr>
      <w:tr w:rsidR="00E8309B">
        <w:trPr>
          <w:trHeight w:val="326"/>
        </w:trPr>
        <w:tc>
          <w:tcPr>
            <w:tcW w:w="0" w:type="auto"/>
            <w:vMerge/>
            <w:tcBorders>
              <w:top w:val="nil"/>
              <w:left w:val="single" w:sz="8" w:space="0" w:color="000000"/>
              <w:bottom w:val="single" w:sz="8" w:space="0" w:color="000000"/>
              <w:right w:val="single" w:sz="8" w:space="0" w:color="000000"/>
            </w:tcBorders>
          </w:tcPr>
          <w:p w:rsidR="00E8309B" w:rsidRDefault="00E8309B">
            <w:pPr>
              <w:spacing w:after="160" w:line="259" w:lineRule="auto"/>
              <w:ind w:left="0" w:right="0" w:firstLine="0"/>
              <w:jc w:val="left"/>
            </w:pPr>
          </w:p>
        </w:tc>
        <w:tc>
          <w:tcPr>
            <w:tcW w:w="0" w:type="auto"/>
            <w:vMerge/>
            <w:tcBorders>
              <w:top w:val="nil"/>
              <w:left w:val="single" w:sz="8" w:space="0" w:color="000000"/>
              <w:bottom w:val="single" w:sz="8" w:space="0" w:color="000000"/>
              <w:right w:val="single" w:sz="8" w:space="0" w:color="000000"/>
            </w:tcBorders>
          </w:tcPr>
          <w:p w:rsidR="00E8309B" w:rsidRDefault="00E8309B">
            <w:pPr>
              <w:spacing w:after="160" w:line="259" w:lineRule="auto"/>
              <w:ind w:left="0" w:right="0" w:firstLine="0"/>
              <w:jc w:val="left"/>
            </w:pPr>
          </w:p>
        </w:tc>
        <w:tc>
          <w:tcPr>
            <w:tcW w:w="419" w:type="dxa"/>
            <w:tcBorders>
              <w:top w:val="single" w:sz="4" w:space="0" w:color="000000"/>
              <w:left w:val="single" w:sz="8" w:space="0" w:color="000000"/>
              <w:bottom w:val="single" w:sz="8" w:space="0" w:color="000000"/>
              <w:right w:val="single" w:sz="4" w:space="0" w:color="000000"/>
            </w:tcBorders>
          </w:tcPr>
          <w:p w:rsidR="00E8309B" w:rsidRDefault="009D0949">
            <w:pPr>
              <w:spacing w:after="0" w:line="259" w:lineRule="auto"/>
              <w:ind w:left="42" w:right="0" w:firstLine="0"/>
              <w:jc w:val="left"/>
            </w:pPr>
            <w:r>
              <w:rPr>
                <w:i/>
                <w:sz w:val="18"/>
              </w:rPr>
              <w:t xml:space="preserve">Q1 </w:t>
            </w:r>
          </w:p>
        </w:tc>
        <w:tc>
          <w:tcPr>
            <w:tcW w:w="421" w:type="dxa"/>
            <w:tcBorders>
              <w:top w:val="single" w:sz="4" w:space="0" w:color="000000"/>
              <w:left w:val="single" w:sz="4" w:space="0" w:color="000000"/>
              <w:bottom w:val="single" w:sz="8" w:space="0" w:color="000000"/>
              <w:right w:val="single" w:sz="4" w:space="0" w:color="000000"/>
            </w:tcBorders>
          </w:tcPr>
          <w:p w:rsidR="00E8309B" w:rsidRDefault="009D0949">
            <w:pPr>
              <w:spacing w:after="0" w:line="259" w:lineRule="auto"/>
              <w:ind w:left="43" w:right="0" w:firstLine="0"/>
              <w:jc w:val="left"/>
            </w:pPr>
            <w:r>
              <w:rPr>
                <w:i/>
                <w:sz w:val="18"/>
              </w:rPr>
              <w:t xml:space="preserve">Q2 </w:t>
            </w:r>
          </w:p>
        </w:tc>
        <w:tc>
          <w:tcPr>
            <w:tcW w:w="422" w:type="dxa"/>
            <w:tcBorders>
              <w:top w:val="single" w:sz="4" w:space="0" w:color="000000"/>
              <w:left w:val="single" w:sz="4" w:space="0" w:color="000000"/>
              <w:bottom w:val="single" w:sz="8" w:space="0" w:color="000000"/>
              <w:right w:val="single" w:sz="4" w:space="0" w:color="000000"/>
            </w:tcBorders>
          </w:tcPr>
          <w:p w:rsidR="00E8309B" w:rsidRDefault="009D0949">
            <w:pPr>
              <w:spacing w:after="0" w:line="259" w:lineRule="auto"/>
              <w:ind w:left="44" w:right="0" w:firstLine="0"/>
              <w:jc w:val="left"/>
            </w:pPr>
            <w:r>
              <w:rPr>
                <w:i/>
                <w:sz w:val="18"/>
              </w:rPr>
              <w:t xml:space="preserve">Q3 </w:t>
            </w:r>
          </w:p>
        </w:tc>
        <w:tc>
          <w:tcPr>
            <w:tcW w:w="421" w:type="dxa"/>
            <w:tcBorders>
              <w:top w:val="single" w:sz="4" w:space="0" w:color="000000"/>
              <w:left w:val="single" w:sz="4" w:space="0" w:color="000000"/>
              <w:bottom w:val="single" w:sz="8" w:space="0" w:color="000000"/>
              <w:right w:val="single" w:sz="8" w:space="0" w:color="000000"/>
            </w:tcBorders>
          </w:tcPr>
          <w:p w:rsidR="00E8309B" w:rsidRDefault="009D0949">
            <w:pPr>
              <w:spacing w:after="0" w:line="259" w:lineRule="auto"/>
              <w:ind w:left="44" w:right="0" w:firstLine="0"/>
              <w:jc w:val="left"/>
            </w:pPr>
            <w:r>
              <w:rPr>
                <w:i/>
                <w:sz w:val="18"/>
              </w:rPr>
              <w:t xml:space="preserve">Q4 </w:t>
            </w:r>
          </w:p>
        </w:tc>
        <w:tc>
          <w:tcPr>
            <w:tcW w:w="424" w:type="dxa"/>
            <w:tcBorders>
              <w:top w:val="single" w:sz="4" w:space="0" w:color="000000"/>
              <w:left w:val="single" w:sz="8" w:space="0" w:color="000000"/>
              <w:bottom w:val="single" w:sz="8" w:space="0" w:color="000000"/>
              <w:right w:val="single" w:sz="4" w:space="0" w:color="000000"/>
            </w:tcBorders>
          </w:tcPr>
          <w:p w:rsidR="00E8309B" w:rsidRDefault="009D0949">
            <w:pPr>
              <w:spacing w:after="0" w:line="259" w:lineRule="auto"/>
              <w:ind w:left="46" w:right="0" w:firstLine="0"/>
              <w:jc w:val="left"/>
            </w:pPr>
            <w:r>
              <w:rPr>
                <w:i/>
                <w:sz w:val="18"/>
              </w:rPr>
              <w:t xml:space="preserve">Q1 </w:t>
            </w:r>
          </w:p>
        </w:tc>
        <w:tc>
          <w:tcPr>
            <w:tcW w:w="421" w:type="dxa"/>
            <w:tcBorders>
              <w:top w:val="single" w:sz="4" w:space="0" w:color="000000"/>
              <w:left w:val="single" w:sz="4" w:space="0" w:color="000000"/>
              <w:bottom w:val="single" w:sz="8" w:space="0" w:color="000000"/>
              <w:right w:val="single" w:sz="4" w:space="0" w:color="000000"/>
            </w:tcBorders>
          </w:tcPr>
          <w:p w:rsidR="00E8309B" w:rsidRDefault="009D0949">
            <w:pPr>
              <w:spacing w:after="0" w:line="259" w:lineRule="auto"/>
              <w:ind w:left="44" w:right="0" w:firstLine="0"/>
              <w:jc w:val="left"/>
            </w:pPr>
            <w:r>
              <w:rPr>
                <w:i/>
                <w:sz w:val="18"/>
              </w:rPr>
              <w:t xml:space="preserve">Q2 </w:t>
            </w:r>
          </w:p>
        </w:tc>
        <w:tc>
          <w:tcPr>
            <w:tcW w:w="423" w:type="dxa"/>
            <w:tcBorders>
              <w:top w:val="single" w:sz="4" w:space="0" w:color="000000"/>
              <w:left w:val="single" w:sz="4" w:space="0" w:color="000000"/>
              <w:bottom w:val="single" w:sz="8" w:space="0" w:color="000000"/>
              <w:right w:val="single" w:sz="4" w:space="0" w:color="000000"/>
            </w:tcBorders>
          </w:tcPr>
          <w:p w:rsidR="00E8309B" w:rsidRDefault="009D0949">
            <w:pPr>
              <w:spacing w:after="0" w:line="259" w:lineRule="auto"/>
              <w:ind w:left="46" w:right="0" w:firstLine="0"/>
              <w:jc w:val="left"/>
            </w:pPr>
            <w:r>
              <w:rPr>
                <w:i/>
                <w:sz w:val="18"/>
              </w:rPr>
              <w:t xml:space="preserve">Q3 </w:t>
            </w:r>
          </w:p>
        </w:tc>
        <w:tc>
          <w:tcPr>
            <w:tcW w:w="420" w:type="dxa"/>
            <w:tcBorders>
              <w:top w:val="single" w:sz="4" w:space="0" w:color="000000"/>
              <w:left w:val="single" w:sz="4" w:space="0" w:color="000000"/>
              <w:bottom w:val="single" w:sz="8" w:space="0" w:color="000000"/>
              <w:right w:val="single" w:sz="8" w:space="0" w:color="000000"/>
            </w:tcBorders>
          </w:tcPr>
          <w:p w:rsidR="00E8309B" w:rsidRDefault="009D0949">
            <w:pPr>
              <w:spacing w:after="0" w:line="259" w:lineRule="auto"/>
              <w:ind w:left="43" w:right="0" w:firstLine="0"/>
              <w:jc w:val="left"/>
            </w:pPr>
            <w:r>
              <w:rPr>
                <w:i/>
                <w:sz w:val="18"/>
              </w:rPr>
              <w:t xml:space="preserve">Q4 </w:t>
            </w:r>
          </w:p>
        </w:tc>
        <w:tc>
          <w:tcPr>
            <w:tcW w:w="424" w:type="dxa"/>
            <w:tcBorders>
              <w:top w:val="single" w:sz="4" w:space="0" w:color="000000"/>
              <w:left w:val="single" w:sz="8" w:space="0" w:color="000000"/>
              <w:bottom w:val="single" w:sz="8" w:space="0" w:color="000000"/>
              <w:right w:val="single" w:sz="4" w:space="0" w:color="000000"/>
            </w:tcBorders>
          </w:tcPr>
          <w:p w:rsidR="00E8309B" w:rsidRDefault="009D0949">
            <w:pPr>
              <w:spacing w:after="0" w:line="259" w:lineRule="auto"/>
              <w:ind w:left="46" w:right="0" w:firstLine="0"/>
              <w:jc w:val="left"/>
            </w:pPr>
            <w:r>
              <w:rPr>
                <w:i/>
                <w:sz w:val="18"/>
              </w:rPr>
              <w:t xml:space="preserve">Q1 </w:t>
            </w:r>
          </w:p>
        </w:tc>
        <w:tc>
          <w:tcPr>
            <w:tcW w:w="422" w:type="dxa"/>
            <w:tcBorders>
              <w:top w:val="single" w:sz="4" w:space="0" w:color="000000"/>
              <w:left w:val="single" w:sz="4" w:space="0" w:color="000000"/>
              <w:bottom w:val="single" w:sz="8" w:space="0" w:color="000000"/>
              <w:right w:val="single" w:sz="4" w:space="0" w:color="000000"/>
            </w:tcBorders>
          </w:tcPr>
          <w:p w:rsidR="00E8309B" w:rsidRDefault="009D0949">
            <w:pPr>
              <w:spacing w:after="0" w:line="259" w:lineRule="auto"/>
              <w:ind w:left="44" w:right="0" w:firstLine="0"/>
              <w:jc w:val="left"/>
            </w:pPr>
            <w:r>
              <w:rPr>
                <w:i/>
                <w:sz w:val="18"/>
              </w:rPr>
              <w:t xml:space="preserve">Q2 </w:t>
            </w:r>
          </w:p>
        </w:tc>
        <w:tc>
          <w:tcPr>
            <w:tcW w:w="422" w:type="dxa"/>
            <w:tcBorders>
              <w:top w:val="single" w:sz="4" w:space="0" w:color="000000"/>
              <w:left w:val="single" w:sz="4" w:space="0" w:color="000000"/>
              <w:bottom w:val="single" w:sz="8" w:space="0" w:color="000000"/>
              <w:right w:val="single" w:sz="4" w:space="0" w:color="000000"/>
            </w:tcBorders>
          </w:tcPr>
          <w:p w:rsidR="00E8309B" w:rsidRDefault="009D0949">
            <w:pPr>
              <w:spacing w:after="0" w:line="259" w:lineRule="auto"/>
              <w:ind w:left="44" w:right="0" w:firstLine="0"/>
              <w:jc w:val="left"/>
            </w:pPr>
            <w:r>
              <w:rPr>
                <w:i/>
                <w:sz w:val="18"/>
              </w:rPr>
              <w:t xml:space="preserve">Q3 </w:t>
            </w:r>
          </w:p>
        </w:tc>
        <w:tc>
          <w:tcPr>
            <w:tcW w:w="420" w:type="dxa"/>
            <w:tcBorders>
              <w:top w:val="single" w:sz="4" w:space="0" w:color="000000"/>
              <w:left w:val="single" w:sz="4" w:space="0" w:color="000000"/>
              <w:bottom w:val="single" w:sz="8" w:space="0" w:color="000000"/>
              <w:right w:val="single" w:sz="8" w:space="0" w:color="000000"/>
            </w:tcBorders>
          </w:tcPr>
          <w:p w:rsidR="00E8309B" w:rsidRDefault="009D0949">
            <w:pPr>
              <w:spacing w:after="0" w:line="259" w:lineRule="auto"/>
              <w:ind w:left="44" w:right="0" w:firstLine="0"/>
              <w:jc w:val="left"/>
            </w:pPr>
            <w:r>
              <w:rPr>
                <w:i/>
                <w:sz w:val="18"/>
              </w:rPr>
              <w:t xml:space="preserve">Q4 </w:t>
            </w:r>
          </w:p>
        </w:tc>
      </w:tr>
      <w:tr w:rsidR="00E8309B">
        <w:trPr>
          <w:trHeight w:val="704"/>
        </w:trPr>
        <w:tc>
          <w:tcPr>
            <w:tcW w:w="427" w:type="dxa"/>
            <w:tcBorders>
              <w:top w:val="single" w:sz="8" w:space="0" w:color="000000"/>
              <w:left w:val="single" w:sz="8" w:space="0" w:color="000000"/>
              <w:bottom w:val="single" w:sz="4" w:space="0" w:color="000000"/>
              <w:right w:val="single" w:sz="8" w:space="0" w:color="000000"/>
            </w:tcBorders>
          </w:tcPr>
          <w:p w:rsidR="00E8309B" w:rsidRDefault="009D0949">
            <w:pPr>
              <w:spacing w:after="0" w:line="259" w:lineRule="auto"/>
              <w:ind w:left="0" w:right="51" w:firstLine="0"/>
              <w:jc w:val="right"/>
            </w:pPr>
            <w:r>
              <w:rPr>
                <w:sz w:val="20"/>
              </w:rPr>
              <w:t xml:space="preserve">1 </w:t>
            </w:r>
          </w:p>
        </w:tc>
        <w:tc>
          <w:tcPr>
            <w:tcW w:w="4123" w:type="dxa"/>
            <w:tcBorders>
              <w:top w:val="single" w:sz="8" w:space="0" w:color="000000"/>
              <w:left w:val="single" w:sz="8" w:space="0" w:color="000000"/>
              <w:bottom w:val="single" w:sz="4" w:space="0" w:color="000000"/>
              <w:right w:val="single" w:sz="8" w:space="0" w:color="000000"/>
            </w:tcBorders>
          </w:tcPr>
          <w:p w:rsidR="00E8309B" w:rsidRDefault="009D0949">
            <w:pPr>
              <w:spacing w:after="0" w:line="259" w:lineRule="auto"/>
              <w:ind w:left="0" w:right="89" w:firstLine="0"/>
            </w:pPr>
            <w:r>
              <w:rPr>
                <w:sz w:val="20"/>
              </w:rPr>
              <w:t xml:space="preserve">ИПА 2014 - Развој нових производа и услуга кроз комерцијализацију истраживања у малим и средњим предузећима </w:t>
            </w:r>
          </w:p>
        </w:tc>
        <w:tc>
          <w:tcPr>
            <w:tcW w:w="419" w:type="dxa"/>
            <w:tcBorders>
              <w:top w:val="single" w:sz="8" w:space="0" w:color="000000"/>
              <w:left w:val="single" w:sz="8"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1" w:right="0" w:firstLine="0"/>
              <w:jc w:val="center"/>
            </w:pPr>
            <w:r>
              <w:rPr>
                <w:sz w:val="20"/>
              </w:rPr>
              <w:t xml:space="preserve"> </w:t>
            </w:r>
          </w:p>
        </w:tc>
        <w:tc>
          <w:tcPr>
            <w:tcW w:w="421" w:type="dxa"/>
            <w:tcBorders>
              <w:top w:val="single" w:sz="8" w:space="0" w:color="000000"/>
              <w:left w:val="single" w:sz="4"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1" w:right="0" w:firstLine="0"/>
              <w:jc w:val="center"/>
            </w:pPr>
            <w:r>
              <w:rPr>
                <w:sz w:val="20"/>
              </w:rPr>
              <w:t xml:space="preserve"> </w:t>
            </w:r>
          </w:p>
        </w:tc>
        <w:tc>
          <w:tcPr>
            <w:tcW w:w="422" w:type="dxa"/>
            <w:tcBorders>
              <w:top w:val="single" w:sz="8" w:space="0" w:color="000000"/>
              <w:left w:val="single" w:sz="4"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2" w:right="0" w:firstLine="0"/>
              <w:jc w:val="center"/>
            </w:pPr>
            <w:r>
              <w:rPr>
                <w:sz w:val="20"/>
              </w:rPr>
              <w:t xml:space="preserve"> </w:t>
            </w:r>
          </w:p>
        </w:tc>
        <w:tc>
          <w:tcPr>
            <w:tcW w:w="421" w:type="dxa"/>
            <w:tcBorders>
              <w:top w:val="single" w:sz="8" w:space="0" w:color="000000"/>
              <w:left w:val="single" w:sz="4" w:space="0" w:color="000000"/>
              <w:bottom w:val="single" w:sz="4" w:space="0" w:color="000000"/>
              <w:right w:val="single" w:sz="8" w:space="0" w:color="000000"/>
            </w:tcBorders>
            <w:vAlign w:val="center"/>
          </w:tcPr>
          <w:p w:rsidR="00E8309B" w:rsidRDefault="009D0949">
            <w:pPr>
              <w:spacing w:after="0" w:line="259" w:lineRule="auto"/>
              <w:ind w:left="4" w:right="0" w:firstLine="0"/>
              <w:jc w:val="center"/>
            </w:pPr>
            <w:r>
              <w:rPr>
                <w:sz w:val="20"/>
              </w:rPr>
              <w:t xml:space="preserve"> </w:t>
            </w:r>
          </w:p>
        </w:tc>
        <w:tc>
          <w:tcPr>
            <w:tcW w:w="424" w:type="dxa"/>
            <w:tcBorders>
              <w:top w:val="single" w:sz="8" w:space="0" w:color="000000"/>
              <w:left w:val="single" w:sz="8" w:space="0" w:color="000000"/>
              <w:bottom w:val="single" w:sz="4" w:space="0" w:color="000000"/>
              <w:right w:val="single" w:sz="4" w:space="0" w:color="000000"/>
            </w:tcBorders>
            <w:vAlign w:val="center"/>
          </w:tcPr>
          <w:p w:rsidR="00E8309B" w:rsidRDefault="009D0949">
            <w:pPr>
              <w:spacing w:after="0" w:line="259" w:lineRule="auto"/>
              <w:ind w:left="4" w:right="0" w:firstLine="0"/>
              <w:jc w:val="center"/>
            </w:pPr>
            <w:r>
              <w:rPr>
                <w:sz w:val="20"/>
              </w:rPr>
              <w:t xml:space="preserve"> </w:t>
            </w:r>
          </w:p>
        </w:tc>
        <w:tc>
          <w:tcPr>
            <w:tcW w:w="421" w:type="dxa"/>
            <w:tcBorders>
              <w:top w:val="single" w:sz="8"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4" w:right="0" w:firstLine="0"/>
              <w:jc w:val="center"/>
            </w:pPr>
            <w:r>
              <w:rPr>
                <w:sz w:val="20"/>
              </w:rPr>
              <w:t xml:space="preserve"> </w:t>
            </w:r>
          </w:p>
        </w:tc>
        <w:tc>
          <w:tcPr>
            <w:tcW w:w="423" w:type="dxa"/>
            <w:tcBorders>
              <w:top w:val="single" w:sz="8"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5" w:right="0" w:firstLine="0"/>
              <w:jc w:val="center"/>
            </w:pPr>
            <w:r>
              <w:rPr>
                <w:sz w:val="20"/>
              </w:rPr>
              <w:t xml:space="preserve"> </w:t>
            </w:r>
          </w:p>
        </w:tc>
        <w:tc>
          <w:tcPr>
            <w:tcW w:w="420" w:type="dxa"/>
            <w:tcBorders>
              <w:top w:val="single" w:sz="8" w:space="0" w:color="000000"/>
              <w:left w:val="single" w:sz="4" w:space="0" w:color="000000"/>
              <w:bottom w:val="single" w:sz="4" w:space="0" w:color="000000"/>
              <w:right w:val="single" w:sz="8" w:space="0" w:color="000000"/>
            </w:tcBorders>
            <w:vAlign w:val="center"/>
          </w:tcPr>
          <w:p w:rsidR="00E8309B" w:rsidRDefault="009D0949">
            <w:pPr>
              <w:spacing w:after="0" w:line="259" w:lineRule="auto"/>
              <w:ind w:left="2" w:right="0" w:firstLine="0"/>
              <w:jc w:val="center"/>
            </w:pPr>
            <w:r>
              <w:rPr>
                <w:sz w:val="20"/>
              </w:rPr>
              <w:t xml:space="preserve"> </w:t>
            </w:r>
          </w:p>
        </w:tc>
        <w:tc>
          <w:tcPr>
            <w:tcW w:w="424" w:type="dxa"/>
            <w:tcBorders>
              <w:top w:val="single" w:sz="8" w:space="0" w:color="000000"/>
              <w:left w:val="single" w:sz="8" w:space="0" w:color="000000"/>
              <w:bottom w:val="single" w:sz="4" w:space="0" w:color="000000"/>
              <w:right w:val="single" w:sz="4" w:space="0" w:color="000000"/>
            </w:tcBorders>
            <w:vAlign w:val="center"/>
          </w:tcPr>
          <w:p w:rsidR="00E8309B" w:rsidRDefault="009D0949">
            <w:pPr>
              <w:spacing w:after="0" w:line="259" w:lineRule="auto"/>
              <w:ind w:left="4" w:right="0" w:firstLine="0"/>
              <w:jc w:val="center"/>
            </w:pPr>
            <w:r>
              <w:rPr>
                <w:sz w:val="20"/>
              </w:rPr>
              <w:t xml:space="preserve"> </w:t>
            </w:r>
          </w:p>
        </w:tc>
        <w:tc>
          <w:tcPr>
            <w:tcW w:w="422" w:type="dxa"/>
            <w:tcBorders>
              <w:top w:val="single" w:sz="8"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2" w:right="0" w:firstLine="0"/>
              <w:jc w:val="center"/>
            </w:pPr>
            <w:r>
              <w:rPr>
                <w:sz w:val="20"/>
              </w:rPr>
              <w:t xml:space="preserve"> </w:t>
            </w:r>
          </w:p>
        </w:tc>
        <w:tc>
          <w:tcPr>
            <w:tcW w:w="422" w:type="dxa"/>
            <w:tcBorders>
              <w:top w:val="single" w:sz="8"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2" w:right="0" w:firstLine="0"/>
              <w:jc w:val="center"/>
            </w:pPr>
            <w:r>
              <w:rPr>
                <w:sz w:val="20"/>
              </w:rPr>
              <w:t xml:space="preserve"> </w:t>
            </w:r>
          </w:p>
        </w:tc>
        <w:tc>
          <w:tcPr>
            <w:tcW w:w="420" w:type="dxa"/>
            <w:tcBorders>
              <w:top w:val="single" w:sz="8" w:space="0" w:color="000000"/>
              <w:left w:val="single" w:sz="4" w:space="0" w:color="000000"/>
              <w:bottom w:val="single" w:sz="4" w:space="0" w:color="000000"/>
              <w:right w:val="single" w:sz="8" w:space="0" w:color="000000"/>
            </w:tcBorders>
            <w:vAlign w:val="center"/>
          </w:tcPr>
          <w:p w:rsidR="00E8309B" w:rsidRDefault="009D0949">
            <w:pPr>
              <w:spacing w:after="0" w:line="259" w:lineRule="auto"/>
              <w:ind w:left="5" w:right="0" w:firstLine="0"/>
              <w:jc w:val="center"/>
            </w:pPr>
            <w:r>
              <w:rPr>
                <w:sz w:val="20"/>
              </w:rPr>
              <w:t xml:space="preserve"> </w:t>
            </w:r>
          </w:p>
        </w:tc>
      </w:tr>
      <w:tr w:rsidR="00E8309B">
        <w:trPr>
          <w:trHeight w:val="700"/>
        </w:trPr>
        <w:tc>
          <w:tcPr>
            <w:tcW w:w="427" w:type="dxa"/>
            <w:tcBorders>
              <w:top w:val="single" w:sz="4" w:space="0" w:color="000000"/>
              <w:left w:val="single" w:sz="8" w:space="0" w:color="000000"/>
              <w:bottom w:val="single" w:sz="4" w:space="0" w:color="000000"/>
              <w:right w:val="single" w:sz="8" w:space="0" w:color="000000"/>
            </w:tcBorders>
          </w:tcPr>
          <w:p w:rsidR="00E8309B" w:rsidRDefault="009D0949">
            <w:pPr>
              <w:spacing w:after="0" w:line="259" w:lineRule="auto"/>
              <w:ind w:left="0" w:right="51" w:firstLine="0"/>
              <w:jc w:val="right"/>
            </w:pPr>
            <w:r>
              <w:rPr>
                <w:sz w:val="20"/>
              </w:rPr>
              <w:t xml:space="preserve">2 </w:t>
            </w:r>
          </w:p>
        </w:tc>
        <w:tc>
          <w:tcPr>
            <w:tcW w:w="4123" w:type="dxa"/>
            <w:tcBorders>
              <w:top w:val="single" w:sz="4" w:space="0" w:color="000000"/>
              <w:left w:val="single" w:sz="8" w:space="0" w:color="000000"/>
              <w:bottom w:val="single" w:sz="4" w:space="0" w:color="000000"/>
              <w:right w:val="single" w:sz="8" w:space="0" w:color="000000"/>
            </w:tcBorders>
          </w:tcPr>
          <w:p w:rsidR="00E8309B" w:rsidRDefault="009D0949">
            <w:pPr>
              <w:spacing w:after="0" w:line="259" w:lineRule="auto"/>
              <w:ind w:left="0" w:right="39" w:firstLine="0"/>
              <w:jc w:val="left"/>
            </w:pPr>
            <w:r>
              <w:rPr>
                <w:sz w:val="20"/>
              </w:rPr>
              <w:t xml:space="preserve">ИПА 2018 - Повећани иновациони капацитет и технолошка спремност малих и средњих предузећа </w:t>
            </w:r>
          </w:p>
        </w:tc>
        <w:tc>
          <w:tcPr>
            <w:tcW w:w="419" w:type="dxa"/>
            <w:tcBorders>
              <w:top w:val="single" w:sz="4" w:space="0" w:color="000000"/>
              <w:left w:val="single" w:sz="8"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1" w:right="0" w:firstLine="0"/>
              <w:jc w:val="center"/>
            </w:pPr>
            <w:r>
              <w:rPr>
                <w:sz w:val="20"/>
              </w:rPr>
              <w:t xml:space="preserve"> </w:t>
            </w:r>
          </w:p>
        </w:tc>
        <w:tc>
          <w:tcPr>
            <w:tcW w:w="421"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1" w:right="0" w:firstLine="0"/>
              <w:jc w:val="center"/>
            </w:pPr>
            <w:r>
              <w:rPr>
                <w:sz w:val="20"/>
              </w:rPr>
              <w:t xml:space="preserve"> </w:t>
            </w:r>
          </w:p>
        </w:tc>
        <w:tc>
          <w:tcPr>
            <w:tcW w:w="422"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2" w:right="0" w:firstLine="0"/>
              <w:jc w:val="center"/>
            </w:pPr>
            <w:r>
              <w:rPr>
                <w:sz w:val="20"/>
              </w:rPr>
              <w:t xml:space="preserve"> </w:t>
            </w:r>
          </w:p>
        </w:tc>
        <w:tc>
          <w:tcPr>
            <w:tcW w:w="421" w:type="dxa"/>
            <w:tcBorders>
              <w:top w:val="single" w:sz="4" w:space="0" w:color="000000"/>
              <w:left w:val="single" w:sz="4" w:space="0" w:color="000000"/>
              <w:bottom w:val="single" w:sz="4" w:space="0" w:color="000000"/>
              <w:right w:val="single" w:sz="8" w:space="0" w:color="000000"/>
            </w:tcBorders>
            <w:shd w:val="clear" w:color="auto" w:fill="BFBFBF"/>
            <w:vAlign w:val="center"/>
          </w:tcPr>
          <w:p w:rsidR="00E8309B" w:rsidRDefault="009D0949">
            <w:pPr>
              <w:spacing w:after="0" w:line="259" w:lineRule="auto"/>
              <w:ind w:left="4" w:right="0" w:firstLine="0"/>
              <w:jc w:val="center"/>
            </w:pPr>
            <w:r>
              <w:rPr>
                <w:sz w:val="20"/>
              </w:rPr>
              <w:t xml:space="preserve"> </w:t>
            </w:r>
          </w:p>
        </w:tc>
        <w:tc>
          <w:tcPr>
            <w:tcW w:w="424" w:type="dxa"/>
            <w:tcBorders>
              <w:top w:val="single" w:sz="4" w:space="0" w:color="000000"/>
              <w:left w:val="single" w:sz="8"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4" w:right="0" w:firstLine="0"/>
              <w:jc w:val="center"/>
            </w:pPr>
            <w:r>
              <w:rPr>
                <w:sz w:val="20"/>
              </w:rPr>
              <w:t xml:space="preserve"> </w:t>
            </w:r>
          </w:p>
        </w:tc>
        <w:tc>
          <w:tcPr>
            <w:tcW w:w="421"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4" w:right="0" w:firstLine="0"/>
              <w:jc w:val="center"/>
            </w:pPr>
            <w:r>
              <w:rPr>
                <w:sz w:val="20"/>
              </w:rPr>
              <w:t xml:space="preserve"> </w:t>
            </w:r>
          </w:p>
        </w:tc>
        <w:tc>
          <w:tcPr>
            <w:tcW w:w="423"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5" w:right="0" w:firstLine="0"/>
              <w:jc w:val="center"/>
            </w:pPr>
            <w:r>
              <w:rPr>
                <w:sz w:val="20"/>
              </w:rPr>
              <w:t xml:space="preserve"> </w:t>
            </w:r>
          </w:p>
        </w:tc>
        <w:tc>
          <w:tcPr>
            <w:tcW w:w="420" w:type="dxa"/>
            <w:tcBorders>
              <w:top w:val="single" w:sz="4" w:space="0" w:color="000000"/>
              <w:left w:val="single" w:sz="4" w:space="0" w:color="000000"/>
              <w:bottom w:val="single" w:sz="4" w:space="0" w:color="000000"/>
              <w:right w:val="single" w:sz="8" w:space="0" w:color="000000"/>
            </w:tcBorders>
            <w:shd w:val="clear" w:color="auto" w:fill="BFBFBF"/>
            <w:vAlign w:val="center"/>
          </w:tcPr>
          <w:p w:rsidR="00E8309B" w:rsidRDefault="009D0949">
            <w:pPr>
              <w:spacing w:after="0" w:line="259" w:lineRule="auto"/>
              <w:ind w:left="2" w:right="0" w:firstLine="0"/>
              <w:jc w:val="center"/>
            </w:pPr>
            <w:r>
              <w:rPr>
                <w:sz w:val="20"/>
              </w:rPr>
              <w:t xml:space="preserve"> </w:t>
            </w:r>
          </w:p>
        </w:tc>
        <w:tc>
          <w:tcPr>
            <w:tcW w:w="424" w:type="dxa"/>
            <w:tcBorders>
              <w:top w:val="single" w:sz="4" w:space="0" w:color="000000"/>
              <w:left w:val="single" w:sz="8"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4" w:right="0" w:firstLine="0"/>
              <w:jc w:val="center"/>
            </w:pPr>
            <w:r>
              <w:rPr>
                <w:sz w:val="20"/>
              </w:rPr>
              <w:t xml:space="preserve"> </w:t>
            </w:r>
          </w:p>
        </w:tc>
        <w:tc>
          <w:tcPr>
            <w:tcW w:w="422"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2" w:right="0" w:firstLine="0"/>
              <w:jc w:val="center"/>
            </w:pPr>
            <w:r>
              <w:rPr>
                <w:sz w:val="20"/>
              </w:rPr>
              <w:t xml:space="preserve"> </w:t>
            </w:r>
          </w:p>
        </w:tc>
        <w:tc>
          <w:tcPr>
            <w:tcW w:w="422"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2" w:right="0" w:firstLine="0"/>
              <w:jc w:val="center"/>
            </w:pPr>
            <w:r>
              <w:rPr>
                <w:sz w:val="20"/>
              </w:rPr>
              <w:t xml:space="preserve"> </w:t>
            </w:r>
          </w:p>
        </w:tc>
        <w:tc>
          <w:tcPr>
            <w:tcW w:w="420" w:type="dxa"/>
            <w:tcBorders>
              <w:top w:val="single" w:sz="4" w:space="0" w:color="000000"/>
              <w:left w:val="single" w:sz="4" w:space="0" w:color="000000"/>
              <w:bottom w:val="single" w:sz="4" w:space="0" w:color="000000"/>
              <w:right w:val="single" w:sz="8" w:space="0" w:color="000000"/>
            </w:tcBorders>
            <w:shd w:val="clear" w:color="auto" w:fill="BFBFBF"/>
            <w:vAlign w:val="center"/>
          </w:tcPr>
          <w:p w:rsidR="00E8309B" w:rsidRDefault="009D0949">
            <w:pPr>
              <w:spacing w:after="0" w:line="259" w:lineRule="auto"/>
              <w:ind w:left="5" w:right="0" w:firstLine="0"/>
              <w:jc w:val="center"/>
            </w:pPr>
            <w:r>
              <w:rPr>
                <w:sz w:val="20"/>
              </w:rPr>
              <w:t xml:space="preserve"> </w:t>
            </w:r>
          </w:p>
        </w:tc>
      </w:tr>
      <w:tr w:rsidR="00E8309B">
        <w:trPr>
          <w:trHeight w:val="1160"/>
        </w:trPr>
        <w:tc>
          <w:tcPr>
            <w:tcW w:w="427" w:type="dxa"/>
            <w:tcBorders>
              <w:top w:val="single" w:sz="4" w:space="0" w:color="000000"/>
              <w:left w:val="single" w:sz="8" w:space="0" w:color="000000"/>
              <w:bottom w:val="single" w:sz="4" w:space="0" w:color="000000"/>
              <w:right w:val="single" w:sz="8" w:space="0" w:color="000000"/>
            </w:tcBorders>
          </w:tcPr>
          <w:p w:rsidR="00E8309B" w:rsidRDefault="009D0949">
            <w:pPr>
              <w:spacing w:after="0" w:line="259" w:lineRule="auto"/>
              <w:ind w:left="0" w:right="51" w:firstLine="0"/>
              <w:jc w:val="right"/>
            </w:pPr>
            <w:r>
              <w:rPr>
                <w:sz w:val="20"/>
              </w:rPr>
              <w:t xml:space="preserve">3 </w:t>
            </w:r>
          </w:p>
        </w:tc>
        <w:tc>
          <w:tcPr>
            <w:tcW w:w="4123" w:type="dxa"/>
            <w:tcBorders>
              <w:top w:val="single" w:sz="4" w:space="0" w:color="000000"/>
              <w:left w:val="single" w:sz="8" w:space="0" w:color="000000"/>
              <w:bottom w:val="single" w:sz="4" w:space="0" w:color="000000"/>
              <w:right w:val="single" w:sz="8" w:space="0" w:color="000000"/>
            </w:tcBorders>
          </w:tcPr>
          <w:p w:rsidR="00E8309B" w:rsidRDefault="009D0949">
            <w:pPr>
              <w:spacing w:after="0" w:line="259" w:lineRule="auto"/>
              <w:ind w:left="0" w:right="0" w:firstLine="0"/>
              <w:jc w:val="left"/>
            </w:pPr>
            <w:r>
              <w:rPr>
                <w:sz w:val="20"/>
              </w:rPr>
              <w:t xml:space="preserve">Пројекат акцелерације иновација и подстицања раста предузетништва - Компонента 2 - </w:t>
            </w:r>
            <w:r>
              <w:rPr>
                <w:sz w:val="20"/>
              </w:rPr>
              <w:t xml:space="preserve">успостављање Програма акцелерације пословања, укључујући средства из ИПА 2019 </w:t>
            </w:r>
          </w:p>
        </w:tc>
        <w:tc>
          <w:tcPr>
            <w:tcW w:w="419" w:type="dxa"/>
            <w:tcBorders>
              <w:top w:val="single" w:sz="4" w:space="0" w:color="000000"/>
              <w:left w:val="single" w:sz="8"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1" w:right="0" w:firstLine="0"/>
              <w:jc w:val="center"/>
            </w:pPr>
            <w:r>
              <w:rPr>
                <w:sz w:val="20"/>
              </w:rPr>
              <w:t xml:space="preserve"> </w:t>
            </w:r>
          </w:p>
        </w:tc>
        <w:tc>
          <w:tcPr>
            <w:tcW w:w="421"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1" w:right="0" w:firstLine="0"/>
              <w:jc w:val="center"/>
            </w:pPr>
            <w:r>
              <w:rPr>
                <w:sz w:val="20"/>
              </w:rPr>
              <w:t xml:space="preserve"> </w:t>
            </w:r>
          </w:p>
        </w:tc>
        <w:tc>
          <w:tcPr>
            <w:tcW w:w="422"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2" w:right="0" w:firstLine="0"/>
              <w:jc w:val="center"/>
            </w:pPr>
            <w:r>
              <w:rPr>
                <w:sz w:val="20"/>
              </w:rPr>
              <w:t xml:space="preserve"> </w:t>
            </w:r>
          </w:p>
        </w:tc>
        <w:tc>
          <w:tcPr>
            <w:tcW w:w="421" w:type="dxa"/>
            <w:tcBorders>
              <w:top w:val="single" w:sz="4" w:space="0" w:color="000000"/>
              <w:left w:val="single" w:sz="4" w:space="0" w:color="000000"/>
              <w:bottom w:val="single" w:sz="4" w:space="0" w:color="000000"/>
              <w:right w:val="single" w:sz="8" w:space="0" w:color="000000"/>
            </w:tcBorders>
            <w:shd w:val="clear" w:color="auto" w:fill="BFBFBF"/>
            <w:vAlign w:val="center"/>
          </w:tcPr>
          <w:p w:rsidR="00E8309B" w:rsidRDefault="009D0949">
            <w:pPr>
              <w:spacing w:after="0" w:line="259" w:lineRule="auto"/>
              <w:ind w:left="4" w:right="0" w:firstLine="0"/>
              <w:jc w:val="center"/>
            </w:pPr>
            <w:r>
              <w:rPr>
                <w:sz w:val="20"/>
              </w:rPr>
              <w:t xml:space="preserve"> </w:t>
            </w:r>
          </w:p>
        </w:tc>
        <w:tc>
          <w:tcPr>
            <w:tcW w:w="424" w:type="dxa"/>
            <w:tcBorders>
              <w:top w:val="single" w:sz="4" w:space="0" w:color="000000"/>
              <w:left w:val="single" w:sz="8"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4" w:right="0" w:firstLine="0"/>
              <w:jc w:val="center"/>
            </w:pPr>
            <w:r>
              <w:rPr>
                <w:sz w:val="20"/>
              </w:rPr>
              <w:t xml:space="preserve"> </w:t>
            </w:r>
          </w:p>
        </w:tc>
        <w:tc>
          <w:tcPr>
            <w:tcW w:w="421"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4" w:right="0" w:firstLine="0"/>
              <w:jc w:val="center"/>
            </w:pPr>
            <w:r>
              <w:rPr>
                <w:sz w:val="20"/>
              </w:rPr>
              <w:t xml:space="preserve"> </w:t>
            </w:r>
          </w:p>
        </w:tc>
        <w:tc>
          <w:tcPr>
            <w:tcW w:w="423"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5" w:right="0" w:firstLine="0"/>
              <w:jc w:val="center"/>
            </w:pPr>
            <w:r>
              <w:rPr>
                <w:sz w:val="20"/>
              </w:rPr>
              <w:t xml:space="preserve"> </w:t>
            </w:r>
          </w:p>
        </w:tc>
        <w:tc>
          <w:tcPr>
            <w:tcW w:w="420" w:type="dxa"/>
            <w:tcBorders>
              <w:top w:val="single" w:sz="4" w:space="0" w:color="000000"/>
              <w:left w:val="single" w:sz="4" w:space="0" w:color="000000"/>
              <w:bottom w:val="single" w:sz="4" w:space="0" w:color="000000"/>
              <w:right w:val="single" w:sz="8" w:space="0" w:color="000000"/>
            </w:tcBorders>
            <w:shd w:val="clear" w:color="auto" w:fill="BFBFBF"/>
            <w:vAlign w:val="center"/>
          </w:tcPr>
          <w:p w:rsidR="00E8309B" w:rsidRDefault="009D0949">
            <w:pPr>
              <w:spacing w:after="0" w:line="259" w:lineRule="auto"/>
              <w:ind w:left="2" w:right="0" w:firstLine="0"/>
              <w:jc w:val="center"/>
            </w:pPr>
            <w:r>
              <w:rPr>
                <w:sz w:val="20"/>
              </w:rPr>
              <w:t xml:space="preserve"> </w:t>
            </w:r>
          </w:p>
        </w:tc>
        <w:tc>
          <w:tcPr>
            <w:tcW w:w="424" w:type="dxa"/>
            <w:tcBorders>
              <w:top w:val="single" w:sz="4" w:space="0" w:color="000000"/>
              <w:left w:val="single" w:sz="8"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4" w:right="0" w:firstLine="0"/>
              <w:jc w:val="center"/>
            </w:pPr>
            <w:r>
              <w:rPr>
                <w:sz w:val="20"/>
              </w:rPr>
              <w:t xml:space="preserve"> </w:t>
            </w:r>
          </w:p>
        </w:tc>
        <w:tc>
          <w:tcPr>
            <w:tcW w:w="422"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2" w:right="0" w:firstLine="0"/>
              <w:jc w:val="center"/>
            </w:pPr>
            <w:r>
              <w:rPr>
                <w:sz w:val="20"/>
              </w:rPr>
              <w:t xml:space="preserve"> </w:t>
            </w:r>
          </w:p>
        </w:tc>
        <w:tc>
          <w:tcPr>
            <w:tcW w:w="422"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2" w:right="0" w:firstLine="0"/>
              <w:jc w:val="center"/>
            </w:pPr>
            <w:r>
              <w:rPr>
                <w:sz w:val="20"/>
              </w:rPr>
              <w:t xml:space="preserve"> </w:t>
            </w:r>
          </w:p>
        </w:tc>
        <w:tc>
          <w:tcPr>
            <w:tcW w:w="420" w:type="dxa"/>
            <w:tcBorders>
              <w:top w:val="single" w:sz="4" w:space="0" w:color="000000"/>
              <w:left w:val="single" w:sz="4" w:space="0" w:color="000000"/>
              <w:bottom w:val="single" w:sz="4" w:space="0" w:color="000000"/>
              <w:right w:val="single" w:sz="8" w:space="0" w:color="000000"/>
            </w:tcBorders>
            <w:shd w:val="clear" w:color="auto" w:fill="BFBFBF"/>
            <w:vAlign w:val="center"/>
          </w:tcPr>
          <w:p w:rsidR="00E8309B" w:rsidRDefault="009D0949">
            <w:pPr>
              <w:spacing w:after="0" w:line="259" w:lineRule="auto"/>
              <w:ind w:left="5" w:right="0" w:firstLine="0"/>
              <w:jc w:val="center"/>
            </w:pPr>
            <w:r>
              <w:rPr>
                <w:sz w:val="20"/>
              </w:rPr>
              <w:t xml:space="preserve"> </w:t>
            </w:r>
          </w:p>
        </w:tc>
      </w:tr>
      <w:tr w:rsidR="00E8309B">
        <w:trPr>
          <w:trHeight w:val="697"/>
        </w:trPr>
        <w:tc>
          <w:tcPr>
            <w:tcW w:w="427" w:type="dxa"/>
            <w:tcBorders>
              <w:top w:val="single" w:sz="4" w:space="0" w:color="000000"/>
              <w:left w:val="single" w:sz="8" w:space="0" w:color="000000"/>
              <w:bottom w:val="single" w:sz="4" w:space="0" w:color="000000"/>
              <w:right w:val="single" w:sz="8" w:space="0" w:color="000000"/>
            </w:tcBorders>
          </w:tcPr>
          <w:p w:rsidR="00E8309B" w:rsidRDefault="009D0949">
            <w:pPr>
              <w:spacing w:after="0" w:line="259" w:lineRule="auto"/>
              <w:ind w:left="0" w:right="51" w:firstLine="0"/>
              <w:jc w:val="right"/>
            </w:pPr>
            <w:r>
              <w:rPr>
                <w:sz w:val="20"/>
              </w:rPr>
              <w:t xml:space="preserve">4 </w:t>
            </w:r>
          </w:p>
        </w:tc>
        <w:tc>
          <w:tcPr>
            <w:tcW w:w="4123" w:type="dxa"/>
            <w:tcBorders>
              <w:top w:val="single" w:sz="4" w:space="0" w:color="000000"/>
              <w:left w:val="single" w:sz="8" w:space="0" w:color="000000"/>
              <w:bottom w:val="single" w:sz="4" w:space="0" w:color="000000"/>
              <w:right w:val="single" w:sz="8" w:space="0" w:color="000000"/>
            </w:tcBorders>
          </w:tcPr>
          <w:p w:rsidR="00E8309B" w:rsidRDefault="009D0949">
            <w:pPr>
              <w:spacing w:after="0" w:line="259" w:lineRule="auto"/>
              <w:ind w:left="0" w:right="0" w:firstLine="0"/>
              <w:jc w:val="left"/>
            </w:pPr>
            <w:r>
              <w:rPr>
                <w:sz w:val="20"/>
              </w:rPr>
              <w:t xml:space="preserve">Успостављање Института за вештачку интелигенцију и инструмената за  пружање подршке сектору привреде </w:t>
            </w:r>
          </w:p>
        </w:tc>
        <w:tc>
          <w:tcPr>
            <w:tcW w:w="419" w:type="dxa"/>
            <w:tcBorders>
              <w:top w:val="single" w:sz="4" w:space="0" w:color="000000"/>
              <w:left w:val="single" w:sz="8"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1" w:right="0" w:firstLine="0"/>
              <w:jc w:val="center"/>
            </w:pPr>
            <w:r>
              <w:rPr>
                <w:sz w:val="20"/>
              </w:rPr>
              <w:t xml:space="preserve"> </w:t>
            </w:r>
          </w:p>
        </w:tc>
        <w:tc>
          <w:tcPr>
            <w:tcW w:w="421"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1" w:right="0" w:firstLine="0"/>
              <w:jc w:val="center"/>
            </w:pPr>
            <w:r>
              <w:rPr>
                <w:sz w:val="20"/>
              </w:rPr>
              <w:t xml:space="preserve"> </w:t>
            </w:r>
          </w:p>
        </w:tc>
        <w:tc>
          <w:tcPr>
            <w:tcW w:w="422"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2" w:right="0" w:firstLine="0"/>
              <w:jc w:val="center"/>
            </w:pPr>
            <w:r>
              <w:rPr>
                <w:sz w:val="20"/>
              </w:rPr>
              <w:t xml:space="preserve"> </w:t>
            </w:r>
          </w:p>
        </w:tc>
        <w:tc>
          <w:tcPr>
            <w:tcW w:w="421" w:type="dxa"/>
            <w:tcBorders>
              <w:top w:val="single" w:sz="4" w:space="0" w:color="000000"/>
              <w:left w:val="single" w:sz="4" w:space="0" w:color="000000"/>
              <w:bottom w:val="single" w:sz="4" w:space="0" w:color="000000"/>
              <w:right w:val="single" w:sz="8" w:space="0" w:color="000000"/>
            </w:tcBorders>
            <w:shd w:val="clear" w:color="auto" w:fill="BFBFBF"/>
            <w:vAlign w:val="center"/>
          </w:tcPr>
          <w:p w:rsidR="00E8309B" w:rsidRDefault="009D0949">
            <w:pPr>
              <w:spacing w:after="0" w:line="259" w:lineRule="auto"/>
              <w:ind w:left="4" w:right="0" w:firstLine="0"/>
              <w:jc w:val="center"/>
            </w:pPr>
            <w:r>
              <w:rPr>
                <w:sz w:val="20"/>
              </w:rPr>
              <w:t xml:space="preserve"> </w:t>
            </w:r>
          </w:p>
        </w:tc>
        <w:tc>
          <w:tcPr>
            <w:tcW w:w="424" w:type="dxa"/>
            <w:tcBorders>
              <w:top w:val="single" w:sz="4" w:space="0" w:color="000000"/>
              <w:left w:val="single" w:sz="8"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4" w:right="0" w:firstLine="0"/>
              <w:jc w:val="center"/>
            </w:pPr>
            <w:r>
              <w:rPr>
                <w:sz w:val="20"/>
              </w:rPr>
              <w:t xml:space="preserve"> </w:t>
            </w:r>
          </w:p>
        </w:tc>
        <w:tc>
          <w:tcPr>
            <w:tcW w:w="421"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4" w:right="0" w:firstLine="0"/>
              <w:jc w:val="center"/>
            </w:pPr>
            <w:r>
              <w:rPr>
                <w:sz w:val="20"/>
              </w:rPr>
              <w:t xml:space="preserve"> </w:t>
            </w:r>
          </w:p>
        </w:tc>
        <w:tc>
          <w:tcPr>
            <w:tcW w:w="423"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5" w:right="0" w:firstLine="0"/>
              <w:jc w:val="center"/>
            </w:pPr>
            <w:r>
              <w:rPr>
                <w:sz w:val="20"/>
              </w:rPr>
              <w:t xml:space="preserve"> </w:t>
            </w:r>
          </w:p>
        </w:tc>
        <w:tc>
          <w:tcPr>
            <w:tcW w:w="420" w:type="dxa"/>
            <w:tcBorders>
              <w:top w:val="single" w:sz="4" w:space="0" w:color="000000"/>
              <w:left w:val="single" w:sz="4" w:space="0" w:color="000000"/>
              <w:bottom w:val="single" w:sz="4" w:space="0" w:color="000000"/>
              <w:right w:val="single" w:sz="8" w:space="0" w:color="000000"/>
            </w:tcBorders>
            <w:shd w:val="clear" w:color="auto" w:fill="BFBFBF"/>
            <w:vAlign w:val="center"/>
          </w:tcPr>
          <w:p w:rsidR="00E8309B" w:rsidRDefault="009D0949">
            <w:pPr>
              <w:spacing w:after="0" w:line="259" w:lineRule="auto"/>
              <w:ind w:left="2" w:right="0" w:firstLine="0"/>
              <w:jc w:val="center"/>
            </w:pPr>
            <w:r>
              <w:rPr>
                <w:sz w:val="20"/>
              </w:rPr>
              <w:t xml:space="preserve"> </w:t>
            </w:r>
          </w:p>
        </w:tc>
        <w:tc>
          <w:tcPr>
            <w:tcW w:w="424" w:type="dxa"/>
            <w:tcBorders>
              <w:top w:val="single" w:sz="4" w:space="0" w:color="000000"/>
              <w:left w:val="single" w:sz="8"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4" w:right="0" w:firstLine="0"/>
              <w:jc w:val="center"/>
            </w:pPr>
            <w:r>
              <w:rPr>
                <w:sz w:val="20"/>
              </w:rPr>
              <w:t xml:space="preserve"> </w:t>
            </w:r>
          </w:p>
        </w:tc>
        <w:tc>
          <w:tcPr>
            <w:tcW w:w="422"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2" w:right="0" w:firstLine="0"/>
              <w:jc w:val="center"/>
            </w:pPr>
            <w:r>
              <w:rPr>
                <w:sz w:val="20"/>
              </w:rPr>
              <w:t xml:space="preserve"> </w:t>
            </w:r>
          </w:p>
        </w:tc>
        <w:tc>
          <w:tcPr>
            <w:tcW w:w="422"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2" w:right="0" w:firstLine="0"/>
              <w:jc w:val="center"/>
            </w:pPr>
            <w:r>
              <w:rPr>
                <w:sz w:val="20"/>
              </w:rPr>
              <w:t xml:space="preserve"> </w:t>
            </w:r>
          </w:p>
        </w:tc>
        <w:tc>
          <w:tcPr>
            <w:tcW w:w="420" w:type="dxa"/>
            <w:tcBorders>
              <w:top w:val="single" w:sz="4" w:space="0" w:color="000000"/>
              <w:left w:val="single" w:sz="4" w:space="0" w:color="000000"/>
              <w:bottom w:val="single" w:sz="4" w:space="0" w:color="000000"/>
              <w:right w:val="single" w:sz="8" w:space="0" w:color="000000"/>
            </w:tcBorders>
            <w:shd w:val="clear" w:color="auto" w:fill="BFBFBF"/>
            <w:vAlign w:val="center"/>
          </w:tcPr>
          <w:p w:rsidR="00E8309B" w:rsidRDefault="009D0949">
            <w:pPr>
              <w:spacing w:after="0" w:line="259" w:lineRule="auto"/>
              <w:ind w:left="5" w:right="0" w:firstLine="0"/>
              <w:jc w:val="center"/>
            </w:pPr>
            <w:r>
              <w:rPr>
                <w:sz w:val="20"/>
              </w:rPr>
              <w:t xml:space="preserve"> </w:t>
            </w:r>
          </w:p>
        </w:tc>
      </w:tr>
    </w:tbl>
    <w:p w:rsidR="00E8309B" w:rsidRDefault="009D0949">
      <w:pPr>
        <w:numPr>
          <w:ilvl w:val="0"/>
          <w:numId w:val="35"/>
        </w:numPr>
        <w:spacing w:after="0" w:line="271" w:lineRule="auto"/>
        <w:ind w:right="9" w:hanging="360"/>
      </w:pPr>
      <w:r>
        <w:rPr>
          <w:b/>
        </w:rPr>
        <w:t xml:space="preserve">Индикатори резултата </w:t>
      </w:r>
    </w:p>
    <w:tbl>
      <w:tblPr>
        <w:tblStyle w:val="TableGrid"/>
        <w:tblW w:w="9635" w:type="dxa"/>
        <w:tblInd w:w="5" w:type="dxa"/>
        <w:tblCellMar>
          <w:top w:w="10" w:type="dxa"/>
          <w:left w:w="110" w:type="dxa"/>
          <w:bottom w:w="0" w:type="dxa"/>
          <w:right w:w="56" w:type="dxa"/>
        </w:tblCellMar>
        <w:tblLook w:val="04A0" w:firstRow="1" w:lastRow="0" w:firstColumn="1" w:lastColumn="0" w:noHBand="0" w:noVBand="1"/>
      </w:tblPr>
      <w:tblGrid>
        <w:gridCol w:w="4107"/>
        <w:gridCol w:w="1841"/>
        <w:gridCol w:w="1844"/>
        <w:gridCol w:w="1843"/>
      </w:tblGrid>
      <w:tr w:rsidR="00E8309B">
        <w:trPr>
          <w:trHeight w:val="471"/>
        </w:trPr>
        <w:tc>
          <w:tcPr>
            <w:tcW w:w="4107"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0" w:right="0" w:firstLine="0"/>
              <w:jc w:val="left"/>
            </w:pPr>
            <w:r>
              <w:rPr>
                <w:b/>
                <w:sz w:val="20"/>
              </w:rPr>
              <w:t xml:space="preserve">Показатељ  </w:t>
            </w:r>
          </w:p>
        </w:tc>
        <w:tc>
          <w:tcPr>
            <w:tcW w:w="1841"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7" w:right="50" w:firstLine="0"/>
              <w:jc w:val="right"/>
            </w:pPr>
            <w:r>
              <w:rPr>
                <w:b/>
                <w:sz w:val="20"/>
              </w:rPr>
              <w:t xml:space="preserve">Почетна вредност (година) </w:t>
            </w:r>
          </w:p>
        </w:tc>
        <w:tc>
          <w:tcPr>
            <w:tcW w:w="1844"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50" w:firstLine="0"/>
              <w:jc w:val="right"/>
            </w:pPr>
            <w:r>
              <w:rPr>
                <w:b/>
                <w:sz w:val="20"/>
              </w:rPr>
              <w:t xml:space="preserve">Међурезултат (година) </w:t>
            </w:r>
          </w:p>
        </w:tc>
        <w:tc>
          <w:tcPr>
            <w:tcW w:w="1843"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49" w:firstLine="0"/>
              <w:jc w:val="right"/>
            </w:pPr>
            <w:r>
              <w:rPr>
                <w:b/>
                <w:sz w:val="20"/>
              </w:rPr>
              <w:t xml:space="preserve">Циљна вредност (година) </w:t>
            </w:r>
          </w:p>
        </w:tc>
      </w:tr>
      <w:tr w:rsidR="00E8309B">
        <w:trPr>
          <w:trHeight w:val="470"/>
        </w:trPr>
        <w:tc>
          <w:tcPr>
            <w:tcW w:w="4107" w:type="dxa"/>
            <w:tcBorders>
              <w:top w:val="single" w:sz="4" w:space="0" w:color="000000"/>
              <w:left w:val="single" w:sz="4" w:space="0" w:color="000000"/>
              <w:bottom w:val="single" w:sz="4" w:space="0" w:color="000000"/>
              <w:right w:val="single" w:sz="4" w:space="0" w:color="000000"/>
            </w:tcBorders>
          </w:tcPr>
          <w:p w:rsidR="00E8309B" w:rsidRDefault="009D0949">
            <w:pPr>
              <w:tabs>
                <w:tab w:val="center" w:pos="1126"/>
                <w:tab w:val="center" w:pos="2443"/>
                <w:tab w:val="right" w:pos="3941"/>
              </w:tabs>
              <w:spacing w:after="25" w:line="259" w:lineRule="auto"/>
              <w:ind w:left="0" w:right="0" w:firstLine="0"/>
              <w:jc w:val="left"/>
            </w:pPr>
            <w:r>
              <w:rPr>
                <w:sz w:val="20"/>
              </w:rPr>
              <w:t xml:space="preserve">Број </w:t>
            </w:r>
            <w:r>
              <w:rPr>
                <w:sz w:val="20"/>
              </w:rPr>
              <w:tab/>
              <w:t xml:space="preserve">пројектних </w:t>
            </w:r>
            <w:r>
              <w:rPr>
                <w:sz w:val="20"/>
              </w:rPr>
              <w:tab/>
              <w:t xml:space="preserve">партнерстава </w:t>
            </w:r>
            <w:r>
              <w:rPr>
                <w:sz w:val="20"/>
              </w:rPr>
              <w:tab/>
              <w:t xml:space="preserve">између </w:t>
            </w:r>
          </w:p>
          <w:p w:rsidR="00E8309B" w:rsidRDefault="009D0949">
            <w:pPr>
              <w:spacing w:after="0" w:line="259" w:lineRule="auto"/>
              <w:ind w:left="0" w:right="0" w:firstLine="0"/>
              <w:jc w:val="left"/>
            </w:pPr>
            <w:r>
              <w:rPr>
                <w:sz w:val="20"/>
              </w:rPr>
              <w:t xml:space="preserve">привредног и академског сектора  </w:t>
            </w:r>
          </w:p>
        </w:tc>
        <w:tc>
          <w:tcPr>
            <w:tcW w:w="1841"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50" w:firstLine="0"/>
              <w:jc w:val="right"/>
            </w:pPr>
            <w:r>
              <w:rPr>
                <w:sz w:val="20"/>
              </w:rPr>
              <w:t xml:space="preserve">22 (2016) </w:t>
            </w:r>
          </w:p>
        </w:tc>
        <w:tc>
          <w:tcPr>
            <w:tcW w:w="1844"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50" w:firstLine="0"/>
              <w:jc w:val="right"/>
            </w:pPr>
            <w:r>
              <w:rPr>
                <w:sz w:val="20"/>
              </w:rPr>
              <w:t xml:space="preserve">36 (2020) </w:t>
            </w:r>
          </w:p>
        </w:tc>
        <w:tc>
          <w:tcPr>
            <w:tcW w:w="1843"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50" w:firstLine="0"/>
              <w:jc w:val="right"/>
            </w:pPr>
            <w:r>
              <w:rPr>
                <w:sz w:val="20"/>
              </w:rPr>
              <w:t xml:space="preserve">70 (2023) </w:t>
            </w:r>
          </w:p>
        </w:tc>
      </w:tr>
      <w:tr w:rsidR="00E8309B">
        <w:trPr>
          <w:trHeight w:val="470"/>
        </w:trPr>
        <w:tc>
          <w:tcPr>
            <w:tcW w:w="4107" w:type="dxa"/>
            <w:tcBorders>
              <w:top w:val="single" w:sz="4" w:space="0" w:color="000000"/>
              <w:left w:val="single" w:sz="4" w:space="0" w:color="000000"/>
              <w:bottom w:val="single" w:sz="4" w:space="0" w:color="000000"/>
              <w:right w:val="single" w:sz="4" w:space="0" w:color="000000"/>
            </w:tcBorders>
          </w:tcPr>
          <w:p w:rsidR="00E8309B" w:rsidRDefault="009D0949">
            <w:pPr>
              <w:tabs>
                <w:tab w:val="center" w:pos="1580"/>
                <w:tab w:val="right" w:pos="3941"/>
              </w:tabs>
              <w:spacing w:after="25" w:line="259" w:lineRule="auto"/>
              <w:ind w:left="0" w:right="0" w:firstLine="0"/>
              <w:jc w:val="left"/>
            </w:pPr>
            <w:r>
              <w:rPr>
                <w:sz w:val="20"/>
              </w:rPr>
              <w:t xml:space="preserve">Број </w:t>
            </w:r>
            <w:r>
              <w:rPr>
                <w:sz w:val="20"/>
              </w:rPr>
              <w:tab/>
              <w:t xml:space="preserve">новооснованих </w:t>
            </w:r>
            <w:r>
              <w:rPr>
                <w:sz w:val="20"/>
              </w:rPr>
              <w:tab/>
              <w:t xml:space="preserve">иновативних </w:t>
            </w:r>
          </w:p>
          <w:p w:rsidR="00E8309B" w:rsidRDefault="009D0949">
            <w:pPr>
              <w:spacing w:after="0" w:line="259" w:lineRule="auto"/>
              <w:ind w:left="0" w:right="0" w:firstLine="0"/>
              <w:jc w:val="left"/>
            </w:pPr>
            <w:r>
              <w:rPr>
                <w:sz w:val="20"/>
              </w:rPr>
              <w:t xml:space="preserve">привредних друштава </w:t>
            </w:r>
            <w:r>
              <w:rPr>
                <w:b/>
                <w:sz w:val="20"/>
              </w:rPr>
              <w:t xml:space="preserve"> </w:t>
            </w:r>
          </w:p>
        </w:tc>
        <w:tc>
          <w:tcPr>
            <w:tcW w:w="1841"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50" w:firstLine="0"/>
              <w:jc w:val="right"/>
            </w:pPr>
            <w:r>
              <w:rPr>
                <w:sz w:val="20"/>
              </w:rPr>
              <w:t xml:space="preserve">156 (2016) </w:t>
            </w:r>
          </w:p>
        </w:tc>
        <w:tc>
          <w:tcPr>
            <w:tcW w:w="1844"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50" w:firstLine="0"/>
              <w:jc w:val="right"/>
            </w:pPr>
            <w:r>
              <w:rPr>
                <w:sz w:val="20"/>
              </w:rPr>
              <w:t xml:space="preserve">368 (2020) </w:t>
            </w:r>
          </w:p>
        </w:tc>
        <w:tc>
          <w:tcPr>
            <w:tcW w:w="1843"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50" w:firstLine="0"/>
              <w:jc w:val="right"/>
            </w:pPr>
            <w:r>
              <w:rPr>
                <w:sz w:val="20"/>
              </w:rPr>
              <w:t xml:space="preserve">460 (2023) </w:t>
            </w:r>
          </w:p>
        </w:tc>
      </w:tr>
      <w:tr w:rsidR="00E8309B">
        <w:trPr>
          <w:trHeight w:val="293"/>
        </w:trPr>
        <w:tc>
          <w:tcPr>
            <w:tcW w:w="4107"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0" w:firstLine="0"/>
              <w:jc w:val="left"/>
            </w:pPr>
            <w:r>
              <w:rPr>
                <w:sz w:val="20"/>
              </w:rPr>
              <w:t xml:space="preserve">Број пријављених патената </w:t>
            </w:r>
            <w:r>
              <w:rPr>
                <w:b/>
                <w:sz w:val="20"/>
              </w:rPr>
              <w:t xml:space="preserve"> </w:t>
            </w:r>
          </w:p>
        </w:tc>
        <w:tc>
          <w:tcPr>
            <w:tcW w:w="1841"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50" w:firstLine="0"/>
              <w:jc w:val="right"/>
            </w:pPr>
            <w:r>
              <w:rPr>
                <w:sz w:val="20"/>
              </w:rPr>
              <w:t xml:space="preserve">58 (2016) </w:t>
            </w:r>
          </w:p>
        </w:tc>
        <w:tc>
          <w:tcPr>
            <w:tcW w:w="1844"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50" w:firstLine="0"/>
              <w:jc w:val="right"/>
            </w:pPr>
            <w:r>
              <w:rPr>
                <w:sz w:val="20"/>
              </w:rPr>
              <w:t xml:space="preserve">84 (2020) </w:t>
            </w:r>
          </w:p>
        </w:tc>
        <w:tc>
          <w:tcPr>
            <w:tcW w:w="1843"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50" w:firstLine="0"/>
              <w:jc w:val="right"/>
            </w:pPr>
            <w:r>
              <w:rPr>
                <w:sz w:val="20"/>
              </w:rPr>
              <w:t xml:space="preserve">120 (2023) </w:t>
            </w:r>
          </w:p>
        </w:tc>
      </w:tr>
      <w:tr w:rsidR="00E8309B">
        <w:trPr>
          <w:trHeight w:val="470"/>
        </w:trPr>
        <w:tc>
          <w:tcPr>
            <w:tcW w:w="4107"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0" w:firstLine="0"/>
              <w:jc w:val="left"/>
            </w:pPr>
            <w:r>
              <w:rPr>
                <w:sz w:val="20"/>
              </w:rPr>
              <w:t xml:space="preserve">Број </w:t>
            </w:r>
            <w:r>
              <w:rPr>
                <w:sz w:val="20"/>
              </w:rPr>
              <w:tab/>
              <w:t xml:space="preserve">запослених </w:t>
            </w:r>
            <w:r>
              <w:rPr>
                <w:sz w:val="20"/>
              </w:rPr>
              <w:tab/>
              <w:t xml:space="preserve">у </w:t>
            </w:r>
            <w:r>
              <w:rPr>
                <w:sz w:val="20"/>
              </w:rPr>
              <w:tab/>
              <w:t xml:space="preserve">новооснованим компанијама </w:t>
            </w:r>
          </w:p>
        </w:tc>
        <w:tc>
          <w:tcPr>
            <w:tcW w:w="1841"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50" w:firstLine="0"/>
              <w:jc w:val="right"/>
            </w:pPr>
            <w:r>
              <w:rPr>
                <w:sz w:val="20"/>
              </w:rPr>
              <w:t xml:space="preserve">341 (2016) </w:t>
            </w:r>
          </w:p>
        </w:tc>
        <w:tc>
          <w:tcPr>
            <w:tcW w:w="1844"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50" w:firstLine="0"/>
              <w:jc w:val="right"/>
            </w:pPr>
            <w:r>
              <w:rPr>
                <w:sz w:val="20"/>
              </w:rPr>
              <w:t xml:space="preserve">428 (2018) </w:t>
            </w:r>
          </w:p>
        </w:tc>
        <w:tc>
          <w:tcPr>
            <w:tcW w:w="1843"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50" w:firstLine="0"/>
              <w:jc w:val="right"/>
            </w:pPr>
            <w:r>
              <w:rPr>
                <w:sz w:val="20"/>
              </w:rPr>
              <w:t xml:space="preserve">600 (2023) </w:t>
            </w:r>
          </w:p>
        </w:tc>
      </w:tr>
    </w:tbl>
    <w:p w:rsidR="00E8309B" w:rsidRDefault="009D0949">
      <w:pPr>
        <w:spacing w:after="208" w:line="268" w:lineRule="auto"/>
        <w:ind w:left="-5" w:right="0"/>
        <w:jc w:val="left"/>
      </w:pPr>
      <w:r>
        <w:rPr>
          <w:sz w:val="18"/>
        </w:rPr>
        <w:t xml:space="preserve">*Последњи доступни резултати су за 2018. годину (АПР). </w:t>
      </w:r>
    </w:p>
    <w:p w:rsidR="00E8309B" w:rsidRDefault="009D0949">
      <w:pPr>
        <w:numPr>
          <w:ilvl w:val="0"/>
          <w:numId w:val="35"/>
        </w:numPr>
        <w:spacing w:after="79" w:line="271" w:lineRule="auto"/>
        <w:ind w:right="9" w:hanging="360"/>
      </w:pPr>
      <w:r>
        <w:rPr>
          <w:b/>
        </w:rPr>
        <w:t xml:space="preserve">Очекивани утицај на конкурентност </w:t>
      </w:r>
    </w:p>
    <w:p w:rsidR="00E8309B" w:rsidRDefault="009D0949">
      <w:pPr>
        <w:spacing w:after="161"/>
        <w:ind w:left="-5" w:right="17"/>
      </w:pPr>
      <w:r>
        <w:t>Кроз институционалну и финансијску подршку иновативних компанија и омогућавање сарадње са домаћим институтима и светским стручњацима прошириће се постојећи иновациони потенцијали, што је предуслов за јачање конкурентности српске привреде и постизање високи</w:t>
      </w:r>
      <w:r>
        <w:t xml:space="preserve">х стопа привредног раста.  </w:t>
      </w:r>
    </w:p>
    <w:p w:rsidR="00E8309B" w:rsidRDefault="009D0949">
      <w:pPr>
        <w:numPr>
          <w:ilvl w:val="0"/>
          <w:numId w:val="35"/>
        </w:numPr>
        <w:spacing w:after="123" w:line="271" w:lineRule="auto"/>
        <w:ind w:right="9" w:hanging="360"/>
      </w:pPr>
      <w:r>
        <w:rPr>
          <w:b/>
        </w:rPr>
        <w:t xml:space="preserve">Процењени трошкови спровођења структурне реформе и предвиђени извори њиховог финансирања </w:t>
      </w:r>
    </w:p>
    <w:p w:rsidR="00E8309B" w:rsidRDefault="009D0949">
      <w:pPr>
        <w:ind w:left="-5" w:right="17"/>
      </w:pPr>
      <w:r>
        <w:t xml:space="preserve">Структурна реформа ће се у периоду 2021-2023 финансирати из више извора: средства буџета РС у пројектованом износу од око 36 милиона евра </w:t>
      </w:r>
      <w:r>
        <w:t>за подршку раду Фонда за иновациону делатност, кроз три уговора о директном гранту из ИПА 2014, ИПА 2018 и ИПА 2019, при чему је из ИПА фондова планирано финансирање у укупном износу од око 41,2 милиона евра уз суфинансирање из буџета РС у износу од око 15</w:t>
      </w:r>
      <w:r>
        <w:t xml:space="preserve"> милиона евра. У 2021. години кроз Пројекат акцелерација иновација и подстицање раста предузетништва - Пројекат SAIGE Светске банке обезбеђено је додатних 7 милиона евра за Програм акцелерације пословања. Наставиће се континуирано обезбеђење подршке, а изн</w:t>
      </w:r>
      <w:r>
        <w:t xml:space="preserve">оси ће бити утврђени финансијским планом за 2021. годину и пројекцијама за наредне године. </w:t>
      </w:r>
    </w:p>
    <w:p w:rsidR="00E8309B" w:rsidRDefault="009D0949">
      <w:pPr>
        <w:numPr>
          <w:ilvl w:val="0"/>
          <w:numId w:val="35"/>
        </w:numPr>
        <w:spacing w:after="79" w:line="271" w:lineRule="auto"/>
        <w:ind w:right="9" w:hanging="360"/>
      </w:pPr>
      <w:r>
        <w:rPr>
          <w:b/>
        </w:rPr>
        <w:t xml:space="preserve">Очекивани утицај на социјалне циљеве, као што су запосленост, смањење сиромаштва, једнакост и род </w:t>
      </w:r>
    </w:p>
    <w:p w:rsidR="00E8309B" w:rsidRDefault="009D0949">
      <w:pPr>
        <w:spacing w:after="158"/>
        <w:ind w:left="-5" w:right="17"/>
      </w:pPr>
      <w:r>
        <w:t>Подстицање раста иновативног предузетништва, развој иновативних решења и њихова комерцијализација стварају могућност за нове инвестиције и на тој основи раст запослености. Унапређење конкурентности српске привреде на основу иновација и постизање високих ст</w:t>
      </w:r>
      <w:r>
        <w:t>опа привредног раста одразиће се и на повећање животног стандарда, већу једнакост и смањење сиромаштва. Фонд за иновациону делатност кроз своје програме подржава отварање нових радних места и прати раст запослености у иновативним компанијама које су корист</w:t>
      </w:r>
      <w:r>
        <w:t xml:space="preserve">иле средства Фонда. Иновације утичу и на образовне профиле који су кључни фактори тржишта рада.  </w:t>
      </w:r>
    </w:p>
    <w:p w:rsidR="00E8309B" w:rsidRDefault="009D0949">
      <w:pPr>
        <w:numPr>
          <w:ilvl w:val="0"/>
          <w:numId w:val="35"/>
        </w:numPr>
        <w:spacing w:after="79" w:line="271" w:lineRule="auto"/>
        <w:ind w:right="9" w:hanging="360"/>
      </w:pPr>
      <w:r>
        <w:rPr>
          <w:b/>
        </w:rPr>
        <w:t xml:space="preserve">Очекивани утицај на животну средину </w:t>
      </w:r>
    </w:p>
    <w:p w:rsidR="00E8309B" w:rsidRDefault="009D0949">
      <w:pPr>
        <w:spacing w:after="152"/>
        <w:ind w:left="-5" w:right="17"/>
      </w:pPr>
      <w:r>
        <w:t xml:space="preserve">Фонд за иновациону делатност не подржава пројекте који имају негативан утицај на животну средину. </w:t>
      </w:r>
    </w:p>
    <w:p w:rsidR="00E8309B" w:rsidRDefault="009D0949">
      <w:pPr>
        <w:numPr>
          <w:ilvl w:val="0"/>
          <w:numId w:val="35"/>
        </w:numPr>
        <w:spacing w:after="0" w:line="271" w:lineRule="auto"/>
        <w:ind w:right="9" w:hanging="360"/>
      </w:pPr>
      <w:r>
        <w:rPr>
          <w:b/>
        </w:rPr>
        <w:t xml:space="preserve">Потенцијални ризици </w:t>
      </w:r>
    </w:p>
    <w:tbl>
      <w:tblPr>
        <w:tblStyle w:val="TableGrid"/>
        <w:tblW w:w="9696" w:type="dxa"/>
        <w:tblInd w:w="0" w:type="dxa"/>
        <w:tblCellMar>
          <w:top w:w="46" w:type="dxa"/>
          <w:left w:w="108" w:type="dxa"/>
          <w:bottom w:w="0" w:type="dxa"/>
          <w:right w:w="108" w:type="dxa"/>
        </w:tblCellMar>
        <w:tblLook w:val="04A0" w:firstRow="1" w:lastRow="0" w:firstColumn="1" w:lastColumn="0" w:noHBand="0" w:noVBand="1"/>
      </w:tblPr>
      <w:tblGrid>
        <w:gridCol w:w="3330"/>
        <w:gridCol w:w="2201"/>
        <w:gridCol w:w="4165"/>
      </w:tblGrid>
      <w:tr w:rsidR="00E8309B">
        <w:trPr>
          <w:trHeight w:val="470"/>
        </w:trPr>
        <w:tc>
          <w:tcPr>
            <w:tcW w:w="3330"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0" w:right="0" w:firstLine="0"/>
              <w:jc w:val="left"/>
            </w:pPr>
            <w:r>
              <w:rPr>
                <w:b/>
                <w:sz w:val="20"/>
              </w:rPr>
              <w:t xml:space="preserve">Ризик </w:t>
            </w:r>
          </w:p>
        </w:tc>
        <w:tc>
          <w:tcPr>
            <w:tcW w:w="2201"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2" w:right="0" w:firstLine="0"/>
              <w:jc w:val="left"/>
            </w:pPr>
            <w:r>
              <w:rPr>
                <w:b/>
                <w:sz w:val="20"/>
              </w:rPr>
              <w:t xml:space="preserve">Вероватноћа за остваривање ризика </w:t>
            </w:r>
          </w:p>
        </w:tc>
        <w:tc>
          <w:tcPr>
            <w:tcW w:w="4165"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0" w:firstLine="0"/>
              <w:jc w:val="left"/>
            </w:pPr>
            <w:r>
              <w:rPr>
                <w:b/>
                <w:sz w:val="20"/>
              </w:rPr>
              <w:t xml:space="preserve">Активност за ублажавање негативних ефеката ризика </w:t>
            </w:r>
          </w:p>
        </w:tc>
      </w:tr>
      <w:tr w:rsidR="00E8309B">
        <w:trPr>
          <w:trHeight w:val="701"/>
        </w:trPr>
        <w:tc>
          <w:tcPr>
            <w:tcW w:w="3330"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0" w:firstLine="0"/>
              <w:jc w:val="left"/>
            </w:pPr>
            <w:r>
              <w:rPr>
                <w:sz w:val="20"/>
              </w:rPr>
              <w:t xml:space="preserve">Недовољна заинтересованост компанија да користе услуге научно-технолошких паркова </w:t>
            </w:r>
          </w:p>
        </w:tc>
        <w:tc>
          <w:tcPr>
            <w:tcW w:w="2201"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2" w:right="0" w:firstLine="0"/>
              <w:jc w:val="left"/>
            </w:pPr>
            <w:r>
              <w:rPr>
                <w:sz w:val="20"/>
              </w:rPr>
              <w:t>Средња</w:t>
            </w:r>
            <w:r>
              <w:rPr>
                <w:b/>
                <w:sz w:val="20"/>
              </w:rPr>
              <w:t xml:space="preserve"> </w:t>
            </w:r>
          </w:p>
        </w:tc>
        <w:tc>
          <w:tcPr>
            <w:tcW w:w="4165"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0" w:firstLine="0"/>
            </w:pPr>
            <w:r>
              <w:rPr>
                <w:sz w:val="20"/>
              </w:rPr>
              <w:t xml:space="preserve">Адекватне услуге прилагођене потребама компанија у свим фазама развоја </w:t>
            </w:r>
          </w:p>
        </w:tc>
      </w:tr>
      <w:tr w:rsidR="00E8309B">
        <w:trPr>
          <w:trHeight w:val="929"/>
        </w:trPr>
        <w:tc>
          <w:tcPr>
            <w:tcW w:w="3330" w:type="dxa"/>
            <w:tcBorders>
              <w:top w:val="single" w:sz="4" w:space="0" w:color="000000"/>
              <w:left w:val="single" w:sz="4" w:space="0" w:color="000000"/>
              <w:bottom w:val="single" w:sz="4" w:space="0" w:color="000000"/>
              <w:right w:val="single" w:sz="4" w:space="0" w:color="000000"/>
            </w:tcBorders>
          </w:tcPr>
          <w:p w:rsidR="00E8309B" w:rsidRDefault="009D0949">
            <w:pPr>
              <w:spacing w:after="39" w:line="238" w:lineRule="auto"/>
              <w:ind w:left="0" w:right="0" w:firstLine="0"/>
              <w:jc w:val="left"/>
            </w:pPr>
            <w:r>
              <w:rPr>
                <w:sz w:val="20"/>
              </w:rPr>
              <w:t xml:space="preserve">Недостатак потенцијалних технологија за комерцијализацију при научноистраживачким </w:t>
            </w:r>
          </w:p>
          <w:p w:rsidR="00E8309B" w:rsidRDefault="009D0949">
            <w:pPr>
              <w:spacing w:after="0" w:line="259" w:lineRule="auto"/>
              <w:ind w:left="0" w:right="0" w:firstLine="0"/>
              <w:jc w:val="left"/>
            </w:pPr>
            <w:r>
              <w:rPr>
                <w:sz w:val="20"/>
              </w:rPr>
              <w:t xml:space="preserve">организацијама </w:t>
            </w:r>
          </w:p>
        </w:tc>
        <w:tc>
          <w:tcPr>
            <w:tcW w:w="2201"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2" w:right="0" w:firstLine="0"/>
              <w:jc w:val="left"/>
            </w:pPr>
            <w:r>
              <w:rPr>
                <w:sz w:val="20"/>
              </w:rPr>
              <w:t>Ниска</w:t>
            </w:r>
            <w:r>
              <w:rPr>
                <w:b/>
                <w:sz w:val="20"/>
              </w:rPr>
              <w:t xml:space="preserve"> </w:t>
            </w:r>
          </w:p>
        </w:tc>
        <w:tc>
          <w:tcPr>
            <w:tcW w:w="4165"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0" w:firstLine="0"/>
              <w:jc w:val="left"/>
            </w:pPr>
            <w:r>
              <w:rPr>
                <w:sz w:val="20"/>
              </w:rPr>
              <w:t>Континуирано обезбеђење потребне подршке (финансијске и нефинансијске) за различите механизме којима се стимулише повезивање и сарадња НИО и привред</w:t>
            </w:r>
            <w:r>
              <w:rPr>
                <w:sz w:val="20"/>
              </w:rPr>
              <w:t>ног сектора</w:t>
            </w:r>
            <w:r>
              <w:rPr>
                <w:b/>
                <w:sz w:val="20"/>
              </w:rPr>
              <w:t xml:space="preserve"> </w:t>
            </w:r>
          </w:p>
        </w:tc>
      </w:tr>
      <w:tr w:rsidR="00E8309B">
        <w:trPr>
          <w:trHeight w:val="701"/>
        </w:trPr>
        <w:tc>
          <w:tcPr>
            <w:tcW w:w="3330"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0" w:firstLine="0"/>
              <w:jc w:val="left"/>
            </w:pPr>
            <w:r>
              <w:rPr>
                <w:sz w:val="20"/>
              </w:rPr>
              <w:t>Незаинтересованост привреде и науке за спровођење заједничких активности</w:t>
            </w:r>
            <w:r>
              <w:rPr>
                <w:b/>
                <w:sz w:val="20"/>
              </w:rPr>
              <w:t xml:space="preserve"> </w:t>
            </w:r>
          </w:p>
        </w:tc>
        <w:tc>
          <w:tcPr>
            <w:tcW w:w="2201"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2" w:right="0" w:firstLine="0"/>
              <w:jc w:val="left"/>
            </w:pPr>
            <w:r>
              <w:rPr>
                <w:sz w:val="20"/>
              </w:rPr>
              <w:t>Ниска</w:t>
            </w:r>
            <w:r>
              <w:rPr>
                <w:b/>
                <w:sz w:val="20"/>
              </w:rPr>
              <w:t xml:space="preserve"> </w:t>
            </w:r>
          </w:p>
        </w:tc>
        <w:tc>
          <w:tcPr>
            <w:tcW w:w="4165"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0" w:firstLine="0"/>
              <w:jc w:val="left"/>
            </w:pPr>
            <w:r>
              <w:rPr>
                <w:sz w:val="20"/>
              </w:rPr>
              <w:t>Интензивна промоција инструмената подршке</w:t>
            </w:r>
            <w:r>
              <w:rPr>
                <w:b/>
                <w:sz w:val="20"/>
              </w:rPr>
              <w:t xml:space="preserve"> </w:t>
            </w:r>
          </w:p>
        </w:tc>
      </w:tr>
    </w:tbl>
    <w:p w:rsidR="00E8309B" w:rsidRDefault="009D0949">
      <w:pPr>
        <w:tabs>
          <w:tab w:val="center" w:pos="2702"/>
          <w:tab w:val="center" w:pos="3895"/>
          <w:tab w:val="center" w:pos="5142"/>
          <w:tab w:val="center" w:pos="7137"/>
          <w:tab w:val="right" w:pos="9665"/>
        </w:tabs>
        <w:ind w:left="-15" w:right="0" w:firstLine="0"/>
        <w:jc w:val="left"/>
      </w:pPr>
      <w:r>
        <w:rPr>
          <w:b/>
          <w:u w:val="single" w:color="000000"/>
        </w:rPr>
        <w:t xml:space="preserve">СТРУКТУРНА </w:t>
      </w:r>
      <w:r>
        <w:rPr>
          <w:b/>
          <w:u w:val="single" w:color="000000"/>
        </w:rPr>
        <w:tab/>
        <w:t xml:space="preserve">РЕФОРМА </w:t>
      </w:r>
      <w:r>
        <w:rPr>
          <w:b/>
          <w:u w:val="single" w:color="000000"/>
        </w:rPr>
        <w:tab/>
        <w:t>16:</w:t>
      </w:r>
      <w:r>
        <w:rPr>
          <w:b/>
        </w:rPr>
        <w:t xml:space="preserve"> </w:t>
      </w:r>
      <w:r>
        <w:rPr>
          <w:b/>
        </w:rPr>
        <w:tab/>
      </w:r>
      <w:r>
        <w:t xml:space="preserve">ПОВЕЋАЊЕ </w:t>
      </w:r>
      <w:r>
        <w:tab/>
        <w:t xml:space="preserve">ДОСТУПНОСТИ </w:t>
      </w:r>
      <w:r>
        <w:tab/>
        <w:t xml:space="preserve">Е-УПРАВЕ </w:t>
      </w:r>
    </w:p>
    <w:p w:rsidR="00E8309B" w:rsidRDefault="009D0949">
      <w:pPr>
        <w:spacing w:after="156"/>
        <w:ind w:left="-5" w:right="17"/>
      </w:pPr>
      <w:r>
        <w:t>УНАПРЕЂЕЊЕМ ИНФРАСТРУКТУРЕ И УВОЂЕЊЕМ НОВИХ ТЕХНОЛОГИЈА</w:t>
      </w:r>
      <w:r>
        <w:rPr>
          <w:b/>
        </w:rPr>
        <w:t xml:space="preserve"> </w:t>
      </w:r>
    </w:p>
    <w:p w:rsidR="00E8309B" w:rsidRDefault="009D0949">
      <w:pPr>
        <w:numPr>
          <w:ilvl w:val="0"/>
          <w:numId w:val="36"/>
        </w:numPr>
        <w:spacing w:after="79" w:line="271" w:lineRule="auto"/>
        <w:ind w:right="9" w:hanging="360"/>
      </w:pPr>
      <w:r>
        <w:rPr>
          <w:b/>
        </w:rPr>
        <w:t xml:space="preserve">Опис структурне реформе </w:t>
      </w:r>
    </w:p>
    <w:p w:rsidR="00E8309B" w:rsidRDefault="009D0949">
      <w:pPr>
        <w:ind w:left="-5" w:right="17"/>
      </w:pPr>
      <w:r>
        <w:t xml:space="preserve">Програм дигитализације Владе Србије спроводи се углавном кроз пројекат </w:t>
      </w:r>
      <w:r>
        <w:rPr>
          <w:b/>
        </w:rPr>
        <w:t>Србија на дохват руке – Дигитална трансформација за развој</w:t>
      </w:r>
      <w:r>
        <w:t xml:space="preserve"> (</w:t>
      </w:r>
      <w:r>
        <w:rPr>
          <w:i/>
        </w:rPr>
        <w:t>Serbia at your Fingertips – Digital Transformation for Development</w:t>
      </w:r>
      <w:r>
        <w:t>), који укључује и подршку за реал</w:t>
      </w:r>
      <w:r>
        <w:t xml:space="preserve">изацију великих инфраструктурних пројеката. Реформа се спроводи у складу са стратешким документима: </w:t>
      </w:r>
      <w:r>
        <w:rPr>
          <w:b/>
          <w:i/>
        </w:rPr>
        <w:t>Програмом</w:t>
      </w:r>
      <w:r>
        <w:rPr>
          <w:i/>
        </w:rPr>
        <w:t xml:space="preserve"> развоја електронске управе у РС 2020-2022. и </w:t>
      </w:r>
      <w:r>
        <w:rPr>
          <w:b/>
          <w:i/>
        </w:rPr>
        <w:t>Акционом планом</w:t>
      </w:r>
      <w:r>
        <w:rPr>
          <w:i/>
        </w:rPr>
        <w:t xml:space="preserve"> за његову реализацију,</w:t>
      </w:r>
      <w:r>
        <w:t xml:space="preserve"> </w:t>
      </w:r>
      <w:r>
        <w:rPr>
          <w:b/>
          <w:i/>
        </w:rPr>
        <w:t>Стратегијом</w:t>
      </w:r>
      <w:r>
        <w:rPr>
          <w:i/>
        </w:rPr>
        <w:t xml:space="preserve"> реформе јавне управе у РС, </w:t>
      </w:r>
      <w:r>
        <w:rPr>
          <w:b/>
          <w:i/>
        </w:rPr>
        <w:t>Стратегијом</w:t>
      </w:r>
      <w:r>
        <w:rPr>
          <w:i/>
        </w:rPr>
        <w:t xml:space="preserve"> развоја веш</w:t>
      </w:r>
      <w:r>
        <w:rPr>
          <w:i/>
        </w:rPr>
        <w:t>тачке интелигенције у РС 2020–2025.</w:t>
      </w:r>
      <w:r>
        <w:t xml:space="preserve"> и </w:t>
      </w:r>
      <w:r>
        <w:rPr>
          <w:b/>
          <w:i/>
        </w:rPr>
        <w:t>Акционим планом</w:t>
      </w:r>
      <w:r>
        <w:rPr>
          <w:i/>
        </w:rPr>
        <w:t xml:space="preserve"> 2020–2022</w:t>
      </w:r>
      <w:r>
        <w:t xml:space="preserve">. У току је </w:t>
      </w:r>
      <w:r>
        <w:rPr>
          <w:b/>
        </w:rPr>
        <w:t>изградња Државног центра за управљање и чување података – Дата центар (ДЦ) у Крагујевцу</w:t>
      </w:r>
      <w:r>
        <w:t xml:space="preserve"> (активност пренета из претходног ЕРП-а), у којем ће бити смештена кључна информационокомуника</w:t>
      </w:r>
      <w:r>
        <w:t>циона инфраструктура Републике Србије. ДЦ ће пружати услуге смештања опреме у простор (telehousing) и виртуализације односно примене „cloud“ сервиса, обезбедиће висок ниво информационе безбедности, већи степен заштите података о личности, складиштење и чув</w:t>
      </w:r>
      <w:r>
        <w:t>ање огромне количине података у поседу државних органа, који ће се физички налазити на територији РС, њихов „back up“ и „disaster recovery“, уз ефикаснији и паметнији начин потрошње енергије. ДЦ ће директно допринети дигиталној трансформацији јавног сектор</w:t>
      </w:r>
      <w:r>
        <w:t xml:space="preserve">а, развоју будућих услуга и примени нових технологија попут вештачке интелигенције (ВИ) и </w:t>
      </w:r>
      <w:r>
        <w:rPr>
          <w:i/>
        </w:rPr>
        <w:t xml:space="preserve">„Internet of things“ </w:t>
      </w:r>
      <w:r>
        <w:t xml:space="preserve">(IoT), али и смањењу трошкова органа државне управе и ЈЛС који континуирано повећавају број услуга. Следећа активност је </w:t>
      </w:r>
      <w:r>
        <w:rPr>
          <w:b/>
        </w:rPr>
        <w:t>набавка рачунарског сист</w:t>
      </w:r>
      <w:r>
        <w:rPr>
          <w:b/>
        </w:rPr>
        <w:t>ема високих перформанси</w:t>
      </w:r>
      <w:r>
        <w:t xml:space="preserve"> (</w:t>
      </w:r>
      <w:r>
        <w:rPr>
          <w:i/>
        </w:rPr>
        <w:t>high performance computing</w:t>
      </w:r>
      <w:r>
        <w:t xml:space="preserve">) као једног од најважнијих делова будуће </w:t>
      </w:r>
      <w:r>
        <w:rPr>
          <w:b/>
        </w:rPr>
        <w:t>Националне платформе за вештачку интелигенцију</w:t>
      </w:r>
      <w:r>
        <w:t xml:space="preserve"> чије је успостављање дефинисано стратешким документима. Циљ </w:t>
      </w:r>
      <w:r>
        <w:rPr>
          <w:b/>
        </w:rPr>
        <w:t xml:space="preserve">пројекта </w:t>
      </w:r>
      <w:r>
        <w:rPr>
          <w:b/>
          <w:i/>
        </w:rPr>
        <w:t>Smart City</w:t>
      </w:r>
      <w:r>
        <w:t xml:space="preserve">, </w:t>
      </w:r>
      <w:r>
        <w:t>који је трећа активност, је да се кроз рационализацију функционисања великих градова и економичније управљање ресурсима, побољша квалитет живота целокупног становништва у тим градовима. Области примене биле би јавна управа, здравство, саобраћај, путна инфр</w:t>
      </w:r>
      <w:r>
        <w:t xml:space="preserve">аструктура и мобилност у градским срединама, екологија, дигиталне вештине за старије грађане и сл. </w:t>
      </w:r>
    </w:p>
    <w:p w:rsidR="00E8309B" w:rsidRDefault="009D0949">
      <w:pPr>
        <w:spacing w:after="99"/>
        <w:ind w:left="-5" w:right="17"/>
      </w:pPr>
      <w:r>
        <w:t xml:space="preserve">Реформа доприноси остваривању </w:t>
      </w:r>
      <w:r>
        <w:rPr>
          <w:b/>
        </w:rPr>
        <w:t>ЦОР 9.б</w:t>
      </w:r>
      <w:r>
        <w:t xml:space="preserve"> Подржати развој домаће технологије, истраживања и иновације, укључујући осигурање погодног окружења у погледу политика</w:t>
      </w:r>
      <w:r>
        <w:t xml:space="preserve"> за, између осталог, индустријску диверсификацију и додатну вредност роба, као и </w:t>
      </w:r>
      <w:r>
        <w:rPr>
          <w:b/>
        </w:rPr>
        <w:t>ЦОР 11.3.</w:t>
      </w:r>
      <w:r>
        <w:t xml:space="preserve"> До 2030. унапредити инклузивну и одрживу урбанизацију и капацитете за партиципативно, интегрисано и одрживо планирање и управљање људским насељима. </w:t>
      </w:r>
    </w:p>
    <w:p w:rsidR="00E8309B" w:rsidRDefault="009D0949">
      <w:pPr>
        <w:numPr>
          <w:ilvl w:val="0"/>
          <w:numId w:val="36"/>
        </w:numPr>
        <w:spacing w:after="19" w:line="271" w:lineRule="auto"/>
        <w:ind w:right="9" w:hanging="360"/>
      </w:pPr>
      <w:r>
        <w:rPr>
          <w:b/>
        </w:rPr>
        <w:t>Ковид-19 – ефект</w:t>
      </w:r>
      <w:r>
        <w:rPr>
          <w:b/>
        </w:rPr>
        <w:t xml:space="preserve">и, мере и изазови </w:t>
      </w:r>
    </w:p>
    <w:p w:rsidR="00E8309B" w:rsidRDefault="009D0949">
      <w:pPr>
        <w:spacing w:after="160"/>
        <w:ind w:left="-5" w:right="17"/>
      </w:pPr>
      <w:r>
        <w:t>Резултати спроведених активности у домену успостављања неопходне инфраструктуре и дигитализације јавних услуга, као једног од приоритета Владе РС, нарочито су постали видљиви током ванредне ситуације изазване пандемијом. Новоуспостављени</w:t>
      </w:r>
      <w:r>
        <w:t xml:space="preserve"> системи и спроведена унапређења омогућили су нам да брзо одговоримо на кризу и у кратком року развијемо велики број неопходних софтверских решења, платформи и услуга усмерених на епидемиолошко праћење, контролу инфекције, информисање и подршку грађанима и</w:t>
      </w:r>
      <w:r>
        <w:t xml:space="preserve"> привреди, јачање, усмеравање и координацију волонтерских иницијатива, наставак редовних активности у домену образовања, трговине, и другим областима. Кроз портал еУправа омогућено је пружање великог броја сервиса који су ранијих година подразумевали лично</w:t>
      </w:r>
      <w:r>
        <w:t xml:space="preserve"> присуство корисника, унапређена је доступност евиденција и електронска размена података унутар јавне управе. Неке активности на увођењу електронских сервиса су се убрзале и завршиле раније него што је планирано (упис деце у вртић, основну и средњу школу, </w:t>
      </w:r>
      <w:r>
        <w:t>регистрација возила, пријава туриста), а омогућено је и коришћене нових услуга које су биле предвиђене за неки будући период (електронска достава решења о порезу на имовину), као и услуга које су настале као потреба у ванредним условима (заказивање PCR тес</w:t>
      </w:r>
      <w:r>
        <w:t xml:space="preserve">тирања и обавештење о резултатима теста, тест самопроцене и др).  </w:t>
      </w:r>
    </w:p>
    <w:p w:rsidR="00E8309B" w:rsidRDefault="009D0949">
      <w:pPr>
        <w:numPr>
          <w:ilvl w:val="0"/>
          <w:numId w:val="36"/>
        </w:numPr>
        <w:spacing w:after="0" w:line="271" w:lineRule="auto"/>
        <w:ind w:right="9" w:hanging="360"/>
      </w:pPr>
      <w:r>
        <w:rPr>
          <w:b/>
        </w:rPr>
        <w:t xml:space="preserve">Планирање активности по годинама </w:t>
      </w:r>
    </w:p>
    <w:tbl>
      <w:tblPr>
        <w:tblStyle w:val="TableGrid"/>
        <w:tblW w:w="9610" w:type="dxa"/>
        <w:tblInd w:w="10" w:type="dxa"/>
        <w:tblCellMar>
          <w:top w:w="10" w:type="dxa"/>
          <w:left w:w="58" w:type="dxa"/>
          <w:bottom w:w="0" w:type="dxa"/>
          <w:right w:w="8" w:type="dxa"/>
        </w:tblCellMar>
        <w:tblLook w:val="04A0" w:firstRow="1" w:lastRow="0" w:firstColumn="1" w:lastColumn="0" w:noHBand="0" w:noVBand="1"/>
      </w:tblPr>
      <w:tblGrid>
        <w:gridCol w:w="427"/>
        <w:gridCol w:w="4123"/>
        <w:gridCol w:w="419"/>
        <w:gridCol w:w="421"/>
        <w:gridCol w:w="422"/>
        <w:gridCol w:w="421"/>
        <w:gridCol w:w="424"/>
        <w:gridCol w:w="421"/>
        <w:gridCol w:w="423"/>
        <w:gridCol w:w="420"/>
        <w:gridCol w:w="424"/>
        <w:gridCol w:w="422"/>
        <w:gridCol w:w="422"/>
        <w:gridCol w:w="420"/>
      </w:tblGrid>
      <w:tr w:rsidR="00E8309B">
        <w:trPr>
          <w:trHeight w:val="331"/>
        </w:trPr>
        <w:tc>
          <w:tcPr>
            <w:tcW w:w="427" w:type="dxa"/>
            <w:vMerge w:val="restart"/>
            <w:tcBorders>
              <w:top w:val="single" w:sz="8" w:space="0" w:color="000000"/>
              <w:left w:val="single" w:sz="8" w:space="0" w:color="000000"/>
              <w:bottom w:val="single" w:sz="8" w:space="0" w:color="000000"/>
              <w:right w:val="single" w:sz="8" w:space="0" w:color="000000"/>
            </w:tcBorders>
            <w:vAlign w:val="center"/>
          </w:tcPr>
          <w:p w:rsidR="00E8309B" w:rsidRDefault="009D0949">
            <w:pPr>
              <w:spacing w:after="0" w:line="259" w:lineRule="auto"/>
              <w:ind w:left="29" w:right="0" w:firstLine="0"/>
            </w:pPr>
            <w:r>
              <w:rPr>
                <w:b/>
                <w:sz w:val="20"/>
              </w:rPr>
              <w:t xml:space="preserve">РБ </w:t>
            </w:r>
          </w:p>
        </w:tc>
        <w:tc>
          <w:tcPr>
            <w:tcW w:w="4123" w:type="dxa"/>
            <w:vMerge w:val="restart"/>
            <w:tcBorders>
              <w:top w:val="single" w:sz="8" w:space="0" w:color="000000"/>
              <w:left w:val="single" w:sz="8" w:space="0" w:color="000000"/>
              <w:bottom w:val="single" w:sz="8" w:space="0" w:color="000000"/>
              <w:right w:val="single" w:sz="8" w:space="0" w:color="000000"/>
            </w:tcBorders>
            <w:vAlign w:val="center"/>
          </w:tcPr>
          <w:p w:rsidR="00E8309B" w:rsidRDefault="009D0949">
            <w:pPr>
              <w:spacing w:after="0" w:line="259" w:lineRule="auto"/>
              <w:ind w:left="0" w:right="0" w:firstLine="0"/>
              <w:jc w:val="left"/>
            </w:pPr>
            <w:r>
              <w:rPr>
                <w:b/>
                <w:sz w:val="20"/>
              </w:rPr>
              <w:t xml:space="preserve">Планиране активности </w:t>
            </w:r>
          </w:p>
        </w:tc>
        <w:tc>
          <w:tcPr>
            <w:tcW w:w="1263" w:type="dxa"/>
            <w:gridSpan w:val="3"/>
            <w:tcBorders>
              <w:top w:val="single" w:sz="8" w:space="0" w:color="000000"/>
              <w:left w:val="single" w:sz="8" w:space="0" w:color="000000"/>
              <w:bottom w:val="single" w:sz="4" w:space="0" w:color="000000"/>
              <w:right w:val="nil"/>
            </w:tcBorders>
          </w:tcPr>
          <w:p w:rsidR="00E8309B" w:rsidRDefault="009D0949">
            <w:pPr>
              <w:spacing w:after="0" w:line="259" w:lineRule="auto"/>
              <w:ind w:left="585" w:right="0" w:firstLine="0"/>
              <w:jc w:val="left"/>
            </w:pPr>
            <w:r>
              <w:rPr>
                <w:b/>
                <w:sz w:val="20"/>
              </w:rPr>
              <w:t xml:space="preserve">2021 </w:t>
            </w:r>
          </w:p>
        </w:tc>
        <w:tc>
          <w:tcPr>
            <w:tcW w:w="421" w:type="dxa"/>
            <w:tcBorders>
              <w:top w:val="single" w:sz="8" w:space="0" w:color="000000"/>
              <w:left w:val="nil"/>
              <w:bottom w:val="single" w:sz="4" w:space="0" w:color="000000"/>
              <w:right w:val="single" w:sz="8" w:space="0" w:color="000000"/>
            </w:tcBorders>
          </w:tcPr>
          <w:p w:rsidR="00E8309B" w:rsidRDefault="00E8309B">
            <w:pPr>
              <w:spacing w:after="160" w:line="259" w:lineRule="auto"/>
              <w:ind w:left="0" w:right="0" w:firstLine="0"/>
              <w:jc w:val="left"/>
            </w:pPr>
          </w:p>
        </w:tc>
        <w:tc>
          <w:tcPr>
            <w:tcW w:w="424" w:type="dxa"/>
            <w:tcBorders>
              <w:top w:val="single" w:sz="8" w:space="0" w:color="000000"/>
              <w:left w:val="single" w:sz="8" w:space="0" w:color="000000"/>
              <w:bottom w:val="single" w:sz="4" w:space="0" w:color="000000"/>
              <w:right w:val="nil"/>
            </w:tcBorders>
          </w:tcPr>
          <w:p w:rsidR="00E8309B" w:rsidRDefault="00E8309B">
            <w:pPr>
              <w:spacing w:after="160" w:line="259" w:lineRule="auto"/>
              <w:ind w:left="0" w:right="0" w:firstLine="0"/>
              <w:jc w:val="left"/>
            </w:pPr>
          </w:p>
        </w:tc>
        <w:tc>
          <w:tcPr>
            <w:tcW w:w="1264" w:type="dxa"/>
            <w:gridSpan w:val="3"/>
            <w:tcBorders>
              <w:top w:val="single" w:sz="8" w:space="0" w:color="000000"/>
              <w:left w:val="nil"/>
              <w:bottom w:val="single" w:sz="4" w:space="0" w:color="000000"/>
              <w:right w:val="single" w:sz="8" w:space="0" w:color="000000"/>
            </w:tcBorders>
          </w:tcPr>
          <w:p w:rsidR="00E8309B" w:rsidRDefault="009D0949">
            <w:pPr>
              <w:spacing w:after="0" w:line="259" w:lineRule="auto"/>
              <w:ind w:left="164" w:right="0" w:firstLine="0"/>
              <w:jc w:val="left"/>
            </w:pPr>
            <w:r>
              <w:rPr>
                <w:b/>
                <w:sz w:val="20"/>
              </w:rPr>
              <w:t xml:space="preserve">2022 </w:t>
            </w:r>
          </w:p>
        </w:tc>
        <w:tc>
          <w:tcPr>
            <w:tcW w:w="424" w:type="dxa"/>
            <w:tcBorders>
              <w:top w:val="single" w:sz="8" w:space="0" w:color="000000"/>
              <w:left w:val="single" w:sz="8" w:space="0" w:color="000000"/>
              <w:bottom w:val="single" w:sz="4" w:space="0" w:color="000000"/>
              <w:right w:val="nil"/>
            </w:tcBorders>
          </w:tcPr>
          <w:p w:rsidR="00E8309B" w:rsidRDefault="00E8309B">
            <w:pPr>
              <w:spacing w:after="160" w:line="259" w:lineRule="auto"/>
              <w:ind w:left="0" w:right="0" w:firstLine="0"/>
              <w:jc w:val="left"/>
            </w:pPr>
          </w:p>
        </w:tc>
        <w:tc>
          <w:tcPr>
            <w:tcW w:w="845" w:type="dxa"/>
            <w:gridSpan w:val="2"/>
            <w:tcBorders>
              <w:top w:val="single" w:sz="8" w:space="0" w:color="000000"/>
              <w:left w:val="nil"/>
              <w:bottom w:val="single" w:sz="4" w:space="0" w:color="000000"/>
              <w:right w:val="nil"/>
            </w:tcBorders>
          </w:tcPr>
          <w:p w:rsidR="00E8309B" w:rsidRDefault="009D0949">
            <w:pPr>
              <w:spacing w:after="0" w:line="259" w:lineRule="auto"/>
              <w:ind w:left="0" w:right="49" w:firstLine="0"/>
              <w:jc w:val="center"/>
            </w:pPr>
            <w:r>
              <w:rPr>
                <w:b/>
                <w:sz w:val="20"/>
              </w:rPr>
              <w:t xml:space="preserve">2023 </w:t>
            </w:r>
          </w:p>
        </w:tc>
        <w:tc>
          <w:tcPr>
            <w:tcW w:w="420" w:type="dxa"/>
            <w:tcBorders>
              <w:top w:val="single" w:sz="8" w:space="0" w:color="000000"/>
              <w:left w:val="nil"/>
              <w:bottom w:val="single" w:sz="4" w:space="0" w:color="000000"/>
              <w:right w:val="single" w:sz="8" w:space="0" w:color="000000"/>
            </w:tcBorders>
          </w:tcPr>
          <w:p w:rsidR="00E8309B" w:rsidRDefault="00E8309B">
            <w:pPr>
              <w:spacing w:after="160" w:line="259" w:lineRule="auto"/>
              <w:ind w:left="0" w:right="0" w:firstLine="0"/>
              <w:jc w:val="left"/>
            </w:pPr>
          </w:p>
        </w:tc>
      </w:tr>
      <w:tr w:rsidR="00E8309B">
        <w:trPr>
          <w:trHeight w:val="326"/>
        </w:trPr>
        <w:tc>
          <w:tcPr>
            <w:tcW w:w="0" w:type="auto"/>
            <w:vMerge/>
            <w:tcBorders>
              <w:top w:val="nil"/>
              <w:left w:val="single" w:sz="8" w:space="0" w:color="000000"/>
              <w:bottom w:val="single" w:sz="8" w:space="0" w:color="000000"/>
              <w:right w:val="single" w:sz="8" w:space="0" w:color="000000"/>
            </w:tcBorders>
          </w:tcPr>
          <w:p w:rsidR="00E8309B" w:rsidRDefault="00E8309B">
            <w:pPr>
              <w:spacing w:after="160" w:line="259" w:lineRule="auto"/>
              <w:ind w:left="0" w:right="0" w:firstLine="0"/>
              <w:jc w:val="left"/>
            </w:pPr>
          </w:p>
        </w:tc>
        <w:tc>
          <w:tcPr>
            <w:tcW w:w="0" w:type="auto"/>
            <w:vMerge/>
            <w:tcBorders>
              <w:top w:val="nil"/>
              <w:left w:val="single" w:sz="8" w:space="0" w:color="000000"/>
              <w:bottom w:val="single" w:sz="8" w:space="0" w:color="000000"/>
              <w:right w:val="single" w:sz="8" w:space="0" w:color="000000"/>
            </w:tcBorders>
          </w:tcPr>
          <w:p w:rsidR="00E8309B" w:rsidRDefault="00E8309B">
            <w:pPr>
              <w:spacing w:after="160" w:line="259" w:lineRule="auto"/>
              <w:ind w:left="0" w:right="0" w:firstLine="0"/>
              <w:jc w:val="left"/>
            </w:pPr>
          </w:p>
        </w:tc>
        <w:tc>
          <w:tcPr>
            <w:tcW w:w="419" w:type="dxa"/>
            <w:tcBorders>
              <w:top w:val="single" w:sz="4" w:space="0" w:color="000000"/>
              <w:left w:val="single" w:sz="8" w:space="0" w:color="000000"/>
              <w:bottom w:val="single" w:sz="8" w:space="0" w:color="000000"/>
              <w:right w:val="single" w:sz="4" w:space="0" w:color="000000"/>
            </w:tcBorders>
          </w:tcPr>
          <w:p w:rsidR="00E8309B" w:rsidRDefault="009D0949">
            <w:pPr>
              <w:spacing w:after="0" w:line="259" w:lineRule="auto"/>
              <w:ind w:left="42" w:right="0" w:firstLine="0"/>
              <w:jc w:val="left"/>
            </w:pPr>
            <w:r>
              <w:rPr>
                <w:i/>
                <w:sz w:val="18"/>
              </w:rPr>
              <w:t xml:space="preserve">Q1 </w:t>
            </w:r>
          </w:p>
        </w:tc>
        <w:tc>
          <w:tcPr>
            <w:tcW w:w="421" w:type="dxa"/>
            <w:tcBorders>
              <w:top w:val="single" w:sz="4" w:space="0" w:color="000000"/>
              <w:left w:val="single" w:sz="4" w:space="0" w:color="000000"/>
              <w:bottom w:val="single" w:sz="8" w:space="0" w:color="000000"/>
              <w:right w:val="single" w:sz="4" w:space="0" w:color="000000"/>
            </w:tcBorders>
          </w:tcPr>
          <w:p w:rsidR="00E8309B" w:rsidRDefault="009D0949">
            <w:pPr>
              <w:spacing w:after="0" w:line="259" w:lineRule="auto"/>
              <w:ind w:left="43" w:right="0" w:firstLine="0"/>
              <w:jc w:val="left"/>
            </w:pPr>
            <w:r>
              <w:rPr>
                <w:i/>
                <w:sz w:val="18"/>
              </w:rPr>
              <w:t xml:space="preserve">Q2 </w:t>
            </w:r>
          </w:p>
        </w:tc>
        <w:tc>
          <w:tcPr>
            <w:tcW w:w="422" w:type="dxa"/>
            <w:tcBorders>
              <w:top w:val="single" w:sz="4" w:space="0" w:color="000000"/>
              <w:left w:val="single" w:sz="4" w:space="0" w:color="000000"/>
              <w:bottom w:val="single" w:sz="8" w:space="0" w:color="000000"/>
              <w:right w:val="single" w:sz="4" w:space="0" w:color="000000"/>
            </w:tcBorders>
          </w:tcPr>
          <w:p w:rsidR="00E8309B" w:rsidRDefault="009D0949">
            <w:pPr>
              <w:spacing w:after="0" w:line="259" w:lineRule="auto"/>
              <w:ind w:left="44" w:right="0" w:firstLine="0"/>
              <w:jc w:val="left"/>
            </w:pPr>
            <w:r>
              <w:rPr>
                <w:i/>
                <w:sz w:val="18"/>
              </w:rPr>
              <w:t xml:space="preserve">Q3 </w:t>
            </w:r>
          </w:p>
        </w:tc>
        <w:tc>
          <w:tcPr>
            <w:tcW w:w="421" w:type="dxa"/>
            <w:tcBorders>
              <w:top w:val="single" w:sz="4" w:space="0" w:color="000000"/>
              <w:left w:val="single" w:sz="4" w:space="0" w:color="000000"/>
              <w:bottom w:val="single" w:sz="8" w:space="0" w:color="000000"/>
              <w:right w:val="single" w:sz="8" w:space="0" w:color="000000"/>
            </w:tcBorders>
          </w:tcPr>
          <w:p w:rsidR="00E8309B" w:rsidRDefault="009D0949">
            <w:pPr>
              <w:spacing w:after="0" w:line="259" w:lineRule="auto"/>
              <w:ind w:left="44" w:right="0" w:firstLine="0"/>
              <w:jc w:val="left"/>
            </w:pPr>
            <w:r>
              <w:rPr>
                <w:i/>
                <w:sz w:val="18"/>
              </w:rPr>
              <w:t xml:space="preserve">Q4 </w:t>
            </w:r>
          </w:p>
        </w:tc>
        <w:tc>
          <w:tcPr>
            <w:tcW w:w="424" w:type="dxa"/>
            <w:tcBorders>
              <w:top w:val="single" w:sz="4" w:space="0" w:color="000000"/>
              <w:left w:val="single" w:sz="8" w:space="0" w:color="000000"/>
              <w:bottom w:val="single" w:sz="8" w:space="0" w:color="000000"/>
              <w:right w:val="single" w:sz="4" w:space="0" w:color="000000"/>
            </w:tcBorders>
          </w:tcPr>
          <w:p w:rsidR="00E8309B" w:rsidRDefault="009D0949">
            <w:pPr>
              <w:spacing w:after="0" w:line="259" w:lineRule="auto"/>
              <w:ind w:left="46" w:right="0" w:firstLine="0"/>
              <w:jc w:val="left"/>
            </w:pPr>
            <w:r>
              <w:rPr>
                <w:i/>
                <w:sz w:val="18"/>
              </w:rPr>
              <w:t xml:space="preserve">Q1 </w:t>
            </w:r>
          </w:p>
        </w:tc>
        <w:tc>
          <w:tcPr>
            <w:tcW w:w="421" w:type="dxa"/>
            <w:tcBorders>
              <w:top w:val="single" w:sz="4" w:space="0" w:color="000000"/>
              <w:left w:val="single" w:sz="4" w:space="0" w:color="000000"/>
              <w:bottom w:val="single" w:sz="8" w:space="0" w:color="000000"/>
              <w:right w:val="single" w:sz="4" w:space="0" w:color="000000"/>
            </w:tcBorders>
          </w:tcPr>
          <w:p w:rsidR="00E8309B" w:rsidRDefault="009D0949">
            <w:pPr>
              <w:spacing w:after="0" w:line="259" w:lineRule="auto"/>
              <w:ind w:left="44" w:right="0" w:firstLine="0"/>
              <w:jc w:val="left"/>
            </w:pPr>
            <w:r>
              <w:rPr>
                <w:i/>
                <w:sz w:val="18"/>
              </w:rPr>
              <w:t xml:space="preserve">Q2 </w:t>
            </w:r>
          </w:p>
        </w:tc>
        <w:tc>
          <w:tcPr>
            <w:tcW w:w="423" w:type="dxa"/>
            <w:tcBorders>
              <w:top w:val="single" w:sz="4" w:space="0" w:color="000000"/>
              <w:left w:val="single" w:sz="4" w:space="0" w:color="000000"/>
              <w:bottom w:val="single" w:sz="8" w:space="0" w:color="000000"/>
              <w:right w:val="single" w:sz="4" w:space="0" w:color="000000"/>
            </w:tcBorders>
          </w:tcPr>
          <w:p w:rsidR="00E8309B" w:rsidRDefault="009D0949">
            <w:pPr>
              <w:spacing w:after="0" w:line="259" w:lineRule="auto"/>
              <w:ind w:left="46" w:right="0" w:firstLine="0"/>
              <w:jc w:val="left"/>
            </w:pPr>
            <w:r>
              <w:rPr>
                <w:i/>
                <w:sz w:val="18"/>
              </w:rPr>
              <w:t xml:space="preserve">Q3 </w:t>
            </w:r>
          </w:p>
        </w:tc>
        <w:tc>
          <w:tcPr>
            <w:tcW w:w="420" w:type="dxa"/>
            <w:tcBorders>
              <w:top w:val="single" w:sz="4" w:space="0" w:color="000000"/>
              <w:left w:val="single" w:sz="4" w:space="0" w:color="000000"/>
              <w:bottom w:val="single" w:sz="8" w:space="0" w:color="000000"/>
              <w:right w:val="single" w:sz="8" w:space="0" w:color="000000"/>
            </w:tcBorders>
          </w:tcPr>
          <w:p w:rsidR="00E8309B" w:rsidRDefault="009D0949">
            <w:pPr>
              <w:spacing w:after="0" w:line="259" w:lineRule="auto"/>
              <w:ind w:left="43" w:right="0" w:firstLine="0"/>
              <w:jc w:val="left"/>
            </w:pPr>
            <w:r>
              <w:rPr>
                <w:i/>
                <w:sz w:val="18"/>
              </w:rPr>
              <w:t xml:space="preserve">Q4 </w:t>
            </w:r>
          </w:p>
        </w:tc>
        <w:tc>
          <w:tcPr>
            <w:tcW w:w="424" w:type="dxa"/>
            <w:tcBorders>
              <w:top w:val="single" w:sz="4" w:space="0" w:color="000000"/>
              <w:left w:val="single" w:sz="8" w:space="0" w:color="000000"/>
              <w:bottom w:val="single" w:sz="8" w:space="0" w:color="000000"/>
              <w:right w:val="single" w:sz="4" w:space="0" w:color="000000"/>
            </w:tcBorders>
          </w:tcPr>
          <w:p w:rsidR="00E8309B" w:rsidRDefault="009D0949">
            <w:pPr>
              <w:spacing w:after="0" w:line="259" w:lineRule="auto"/>
              <w:ind w:left="46" w:right="0" w:firstLine="0"/>
              <w:jc w:val="left"/>
            </w:pPr>
            <w:r>
              <w:rPr>
                <w:i/>
                <w:sz w:val="18"/>
              </w:rPr>
              <w:t xml:space="preserve">Q1 </w:t>
            </w:r>
          </w:p>
        </w:tc>
        <w:tc>
          <w:tcPr>
            <w:tcW w:w="422" w:type="dxa"/>
            <w:tcBorders>
              <w:top w:val="single" w:sz="4" w:space="0" w:color="000000"/>
              <w:left w:val="single" w:sz="4" w:space="0" w:color="000000"/>
              <w:bottom w:val="single" w:sz="8" w:space="0" w:color="000000"/>
              <w:right w:val="single" w:sz="4" w:space="0" w:color="000000"/>
            </w:tcBorders>
          </w:tcPr>
          <w:p w:rsidR="00E8309B" w:rsidRDefault="009D0949">
            <w:pPr>
              <w:spacing w:after="0" w:line="259" w:lineRule="auto"/>
              <w:ind w:left="44" w:right="0" w:firstLine="0"/>
              <w:jc w:val="left"/>
            </w:pPr>
            <w:r>
              <w:rPr>
                <w:i/>
                <w:sz w:val="18"/>
              </w:rPr>
              <w:t xml:space="preserve">Q2 </w:t>
            </w:r>
          </w:p>
        </w:tc>
        <w:tc>
          <w:tcPr>
            <w:tcW w:w="422" w:type="dxa"/>
            <w:tcBorders>
              <w:top w:val="single" w:sz="4" w:space="0" w:color="000000"/>
              <w:left w:val="single" w:sz="4" w:space="0" w:color="000000"/>
              <w:bottom w:val="single" w:sz="8" w:space="0" w:color="000000"/>
              <w:right w:val="single" w:sz="4" w:space="0" w:color="000000"/>
            </w:tcBorders>
          </w:tcPr>
          <w:p w:rsidR="00E8309B" w:rsidRDefault="009D0949">
            <w:pPr>
              <w:spacing w:after="0" w:line="259" w:lineRule="auto"/>
              <w:ind w:left="44" w:right="0" w:firstLine="0"/>
              <w:jc w:val="left"/>
            </w:pPr>
            <w:r>
              <w:rPr>
                <w:i/>
                <w:sz w:val="18"/>
              </w:rPr>
              <w:t xml:space="preserve">Q3 </w:t>
            </w:r>
          </w:p>
        </w:tc>
        <w:tc>
          <w:tcPr>
            <w:tcW w:w="420" w:type="dxa"/>
            <w:tcBorders>
              <w:top w:val="single" w:sz="4" w:space="0" w:color="000000"/>
              <w:left w:val="single" w:sz="4" w:space="0" w:color="000000"/>
              <w:bottom w:val="single" w:sz="8" w:space="0" w:color="000000"/>
              <w:right w:val="single" w:sz="8" w:space="0" w:color="000000"/>
            </w:tcBorders>
          </w:tcPr>
          <w:p w:rsidR="00E8309B" w:rsidRDefault="009D0949">
            <w:pPr>
              <w:spacing w:after="0" w:line="259" w:lineRule="auto"/>
              <w:ind w:left="44" w:right="0" w:firstLine="0"/>
              <w:jc w:val="left"/>
            </w:pPr>
            <w:r>
              <w:rPr>
                <w:i/>
                <w:sz w:val="18"/>
              </w:rPr>
              <w:t xml:space="preserve">Q4 </w:t>
            </w:r>
          </w:p>
        </w:tc>
      </w:tr>
      <w:tr w:rsidR="00E8309B">
        <w:trPr>
          <w:trHeight w:val="312"/>
        </w:trPr>
        <w:tc>
          <w:tcPr>
            <w:tcW w:w="427" w:type="dxa"/>
            <w:tcBorders>
              <w:top w:val="single" w:sz="8" w:space="0" w:color="000000"/>
              <w:left w:val="single" w:sz="8" w:space="0" w:color="000000"/>
              <w:bottom w:val="single" w:sz="4" w:space="0" w:color="000000"/>
              <w:right w:val="single" w:sz="8" w:space="0" w:color="000000"/>
            </w:tcBorders>
          </w:tcPr>
          <w:p w:rsidR="00E8309B" w:rsidRDefault="009D0949">
            <w:pPr>
              <w:spacing w:after="0" w:line="259" w:lineRule="auto"/>
              <w:ind w:left="0" w:right="51" w:firstLine="0"/>
              <w:jc w:val="right"/>
            </w:pPr>
            <w:r>
              <w:rPr>
                <w:sz w:val="20"/>
              </w:rPr>
              <w:t xml:space="preserve">1 </w:t>
            </w:r>
          </w:p>
        </w:tc>
        <w:tc>
          <w:tcPr>
            <w:tcW w:w="4123" w:type="dxa"/>
            <w:tcBorders>
              <w:top w:val="single" w:sz="8" w:space="0" w:color="000000"/>
              <w:left w:val="single" w:sz="8" w:space="0" w:color="000000"/>
              <w:bottom w:val="single" w:sz="4" w:space="0" w:color="000000"/>
              <w:right w:val="single" w:sz="8" w:space="0" w:color="000000"/>
            </w:tcBorders>
          </w:tcPr>
          <w:p w:rsidR="00E8309B" w:rsidRDefault="009D0949">
            <w:pPr>
              <w:spacing w:after="0" w:line="259" w:lineRule="auto"/>
              <w:ind w:left="0" w:right="0" w:firstLine="0"/>
              <w:jc w:val="left"/>
            </w:pPr>
            <w:r>
              <w:rPr>
                <w:sz w:val="20"/>
              </w:rPr>
              <w:t>Успостављање ДЦ у Крагујевцу</w:t>
            </w:r>
            <w:r>
              <w:rPr>
                <w:sz w:val="18"/>
              </w:rPr>
              <w:t xml:space="preserve"> </w:t>
            </w:r>
          </w:p>
        </w:tc>
        <w:tc>
          <w:tcPr>
            <w:tcW w:w="419" w:type="dxa"/>
            <w:tcBorders>
              <w:top w:val="single" w:sz="8" w:space="0" w:color="000000"/>
              <w:left w:val="single" w:sz="8" w:space="0" w:color="000000"/>
              <w:bottom w:val="single" w:sz="4" w:space="0" w:color="000000"/>
              <w:right w:val="single" w:sz="4" w:space="0" w:color="000000"/>
            </w:tcBorders>
            <w:shd w:val="clear" w:color="auto" w:fill="BFBFBF"/>
          </w:tcPr>
          <w:p w:rsidR="00E8309B" w:rsidRDefault="009D0949">
            <w:pPr>
              <w:spacing w:after="0" w:line="259" w:lineRule="auto"/>
              <w:ind w:left="1" w:right="0" w:firstLine="0"/>
              <w:jc w:val="center"/>
            </w:pPr>
            <w:r>
              <w:rPr>
                <w:sz w:val="20"/>
              </w:rPr>
              <w:t xml:space="preserve"> </w:t>
            </w:r>
          </w:p>
        </w:tc>
        <w:tc>
          <w:tcPr>
            <w:tcW w:w="421" w:type="dxa"/>
            <w:tcBorders>
              <w:top w:val="single" w:sz="8" w:space="0" w:color="000000"/>
              <w:left w:val="single" w:sz="4" w:space="0" w:color="000000"/>
              <w:bottom w:val="single" w:sz="4" w:space="0" w:color="000000"/>
              <w:right w:val="single" w:sz="4" w:space="0" w:color="000000"/>
            </w:tcBorders>
            <w:shd w:val="clear" w:color="auto" w:fill="BFBFBF"/>
          </w:tcPr>
          <w:p w:rsidR="00E8309B" w:rsidRDefault="009D0949">
            <w:pPr>
              <w:spacing w:after="0" w:line="259" w:lineRule="auto"/>
              <w:ind w:left="1" w:right="0" w:firstLine="0"/>
              <w:jc w:val="center"/>
            </w:pPr>
            <w:r>
              <w:rPr>
                <w:sz w:val="20"/>
              </w:rPr>
              <w:t xml:space="preserve"> </w:t>
            </w:r>
          </w:p>
        </w:tc>
        <w:tc>
          <w:tcPr>
            <w:tcW w:w="422" w:type="dxa"/>
            <w:tcBorders>
              <w:top w:val="single" w:sz="8" w:space="0" w:color="000000"/>
              <w:left w:val="single" w:sz="4" w:space="0" w:color="000000"/>
              <w:bottom w:val="single" w:sz="4" w:space="0" w:color="000000"/>
              <w:right w:val="single" w:sz="4" w:space="0" w:color="000000"/>
            </w:tcBorders>
            <w:shd w:val="clear" w:color="auto" w:fill="BFBFBF"/>
          </w:tcPr>
          <w:p w:rsidR="00E8309B" w:rsidRDefault="009D0949">
            <w:pPr>
              <w:spacing w:after="0" w:line="259" w:lineRule="auto"/>
              <w:ind w:left="2" w:right="0" w:firstLine="0"/>
              <w:jc w:val="center"/>
            </w:pPr>
            <w:r>
              <w:rPr>
                <w:sz w:val="20"/>
              </w:rPr>
              <w:t xml:space="preserve"> </w:t>
            </w:r>
          </w:p>
        </w:tc>
        <w:tc>
          <w:tcPr>
            <w:tcW w:w="421" w:type="dxa"/>
            <w:tcBorders>
              <w:top w:val="single" w:sz="8" w:space="0" w:color="000000"/>
              <w:left w:val="single" w:sz="4" w:space="0" w:color="000000"/>
              <w:bottom w:val="single" w:sz="4" w:space="0" w:color="000000"/>
              <w:right w:val="single" w:sz="8" w:space="0" w:color="000000"/>
            </w:tcBorders>
            <w:shd w:val="clear" w:color="auto" w:fill="BFBFBF"/>
          </w:tcPr>
          <w:p w:rsidR="00E8309B" w:rsidRDefault="009D0949">
            <w:pPr>
              <w:spacing w:after="0" w:line="259" w:lineRule="auto"/>
              <w:ind w:left="4" w:right="0" w:firstLine="0"/>
              <w:jc w:val="center"/>
            </w:pPr>
            <w:r>
              <w:rPr>
                <w:sz w:val="20"/>
              </w:rPr>
              <w:t xml:space="preserve"> </w:t>
            </w:r>
          </w:p>
        </w:tc>
        <w:tc>
          <w:tcPr>
            <w:tcW w:w="424" w:type="dxa"/>
            <w:tcBorders>
              <w:top w:val="single" w:sz="8" w:space="0" w:color="000000"/>
              <w:left w:val="single" w:sz="8" w:space="0" w:color="000000"/>
              <w:bottom w:val="single" w:sz="4" w:space="0" w:color="000000"/>
              <w:right w:val="single" w:sz="4" w:space="0" w:color="000000"/>
            </w:tcBorders>
            <w:shd w:val="clear" w:color="auto" w:fill="BFBFBF"/>
          </w:tcPr>
          <w:p w:rsidR="00E8309B" w:rsidRDefault="009D0949">
            <w:pPr>
              <w:spacing w:after="0" w:line="259" w:lineRule="auto"/>
              <w:ind w:left="4" w:right="0" w:firstLine="0"/>
              <w:jc w:val="center"/>
            </w:pPr>
            <w:r>
              <w:rPr>
                <w:sz w:val="20"/>
              </w:rPr>
              <w:t xml:space="preserve"> </w:t>
            </w:r>
          </w:p>
        </w:tc>
        <w:tc>
          <w:tcPr>
            <w:tcW w:w="421" w:type="dxa"/>
            <w:tcBorders>
              <w:top w:val="single" w:sz="8" w:space="0" w:color="000000"/>
              <w:left w:val="single" w:sz="4" w:space="0" w:color="000000"/>
              <w:bottom w:val="single" w:sz="4" w:space="0" w:color="000000"/>
              <w:right w:val="single" w:sz="4" w:space="0" w:color="000000"/>
            </w:tcBorders>
            <w:shd w:val="clear" w:color="auto" w:fill="BFBFBF"/>
          </w:tcPr>
          <w:p w:rsidR="00E8309B" w:rsidRDefault="009D0949">
            <w:pPr>
              <w:spacing w:after="0" w:line="259" w:lineRule="auto"/>
              <w:ind w:left="4" w:right="0" w:firstLine="0"/>
              <w:jc w:val="center"/>
            </w:pPr>
            <w:r>
              <w:rPr>
                <w:sz w:val="20"/>
              </w:rPr>
              <w:t xml:space="preserve"> </w:t>
            </w:r>
          </w:p>
        </w:tc>
        <w:tc>
          <w:tcPr>
            <w:tcW w:w="423" w:type="dxa"/>
            <w:tcBorders>
              <w:top w:val="single" w:sz="8" w:space="0" w:color="000000"/>
              <w:left w:val="single" w:sz="4" w:space="0" w:color="000000"/>
              <w:bottom w:val="single" w:sz="4" w:space="0" w:color="000000"/>
              <w:right w:val="single" w:sz="4" w:space="0" w:color="000000"/>
            </w:tcBorders>
            <w:shd w:val="clear" w:color="auto" w:fill="BFBFBF"/>
          </w:tcPr>
          <w:p w:rsidR="00E8309B" w:rsidRDefault="009D0949">
            <w:pPr>
              <w:spacing w:after="0" w:line="259" w:lineRule="auto"/>
              <w:ind w:left="5" w:right="0" w:firstLine="0"/>
              <w:jc w:val="center"/>
            </w:pPr>
            <w:r>
              <w:rPr>
                <w:sz w:val="20"/>
              </w:rPr>
              <w:t xml:space="preserve"> </w:t>
            </w:r>
          </w:p>
        </w:tc>
        <w:tc>
          <w:tcPr>
            <w:tcW w:w="420" w:type="dxa"/>
            <w:tcBorders>
              <w:top w:val="single" w:sz="8" w:space="0" w:color="000000"/>
              <w:left w:val="single" w:sz="4" w:space="0" w:color="000000"/>
              <w:bottom w:val="single" w:sz="4" w:space="0" w:color="000000"/>
              <w:right w:val="single" w:sz="8" w:space="0" w:color="000000"/>
            </w:tcBorders>
            <w:shd w:val="clear" w:color="auto" w:fill="BFBFBF"/>
          </w:tcPr>
          <w:p w:rsidR="00E8309B" w:rsidRDefault="009D0949">
            <w:pPr>
              <w:spacing w:after="0" w:line="259" w:lineRule="auto"/>
              <w:ind w:left="2" w:right="0" w:firstLine="0"/>
              <w:jc w:val="center"/>
            </w:pPr>
            <w:r>
              <w:rPr>
                <w:sz w:val="20"/>
              </w:rPr>
              <w:t xml:space="preserve"> </w:t>
            </w:r>
          </w:p>
        </w:tc>
        <w:tc>
          <w:tcPr>
            <w:tcW w:w="424" w:type="dxa"/>
            <w:tcBorders>
              <w:top w:val="single" w:sz="8" w:space="0" w:color="000000"/>
              <w:left w:val="single" w:sz="8" w:space="0" w:color="000000"/>
              <w:bottom w:val="single" w:sz="4" w:space="0" w:color="000000"/>
              <w:right w:val="single" w:sz="4" w:space="0" w:color="000000"/>
            </w:tcBorders>
            <w:shd w:val="clear" w:color="auto" w:fill="BFBFBF"/>
          </w:tcPr>
          <w:p w:rsidR="00E8309B" w:rsidRDefault="009D0949">
            <w:pPr>
              <w:spacing w:after="0" w:line="259" w:lineRule="auto"/>
              <w:ind w:left="4" w:right="0" w:firstLine="0"/>
              <w:jc w:val="center"/>
            </w:pPr>
            <w:r>
              <w:rPr>
                <w:sz w:val="20"/>
              </w:rPr>
              <w:t xml:space="preserve"> </w:t>
            </w:r>
          </w:p>
        </w:tc>
        <w:tc>
          <w:tcPr>
            <w:tcW w:w="422" w:type="dxa"/>
            <w:tcBorders>
              <w:top w:val="single" w:sz="8" w:space="0" w:color="000000"/>
              <w:left w:val="single" w:sz="4" w:space="0" w:color="000000"/>
              <w:bottom w:val="single" w:sz="4" w:space="0" w:color="000000"/>
              <w:right w:val="single" w:sz="4" w:space="0" w:color="000000"/>
            </w:tcBorders>
            <w:shd w:val="clear" w:color="auto" w:fill="BFBFBF"/>
          </w:tcPr>
          <w:p w:rsidR="00E8309B" w:rsidRDefault="009D0949">
            <w:pPr>
              <w:spacing w:after="0" w:line="259" w:lineRule="auto"/>
              <w:ind w:left="2" w:right="0" w:firstLine="0"/>
              <w:jc w:val="center"/>
            </w:pPr>
            <w:r>
              <w:rPr>
                <w:sz w:val="20"/>
              </w:rPr>
              <w:t xml:space="preserve"> </w:t>
            </w:r>
          </w:p>
        </w:tc>
        <w:tc>
          <w:tcPr>
            <w:tcW w:w="422" w:type="dxa"/>
            <w:tcBorders>
              <w:top w:val="single" w:sz="8" w:space="0" w:color="000000"/>
              <w:left w:val="single" w:sz="4" w:space="0" w:color="000000"/>
              <w:bottom w:val="single" w:sz="4" w:space="0" w:color="000000"/>
              <w:right w:val="single" w:sz="4" w:space="0" w:color="000000"/>
            </w:tcBorders>
            <w:shd w:val="clear" w:color="auto" w:fill="BFBFBF"/>
          </w:tcPr>
          <w:p w:rsidR="00E8309B" w:rsidRDefault="009D0949">
            <w:pPr>
              <w:spacing w:after="0" w:line="259" w:lineRule="auto"/>
              <w:ind w:left="2" w:right="0" w:firstLine="0"/>
              <w:jc w:val="center"/>
            </w:pPr>
            <w:r>
              <w:rPr>
                <w:sz w:val="20"/>
              </w:rPr>
              <w:t xml:space="preserve"> </w:t>
            </w:r>
          </w:p>
        </w:tc>
        <w:tc>
          <w:tcPr>
            <w:tcW w:w="420" w:type="dxa"/>
            <w:tcBorders>
              <w:top w:val="single" w:sz="8" w:space="0" w:color="000000"/>
              <w:left w:val="single" w:sz="4" w:space="0" w:color="000000"/>
              <w:bottom w:val="single" w:sz="4" w:space="0" w:color="000000"/>
              <w:right w:val="single" w:sz="8" w:space="0" w:color="000000"/>
            </w:tcBorders>
            <w:shd w:val="clear" w:color="auto" w:fill="BFBFBF"/>
          </w:tcPr>
          <w:p w:rsidR="00E8309B" w:rsidRDefault="009D0949">
            <w:pPr>
              <w:spacing w:after="0" w:line="259" w:lineRule="auto"/>
              <w:ind w:left="5" w:right="0" w:firstLine="0"/>
              <w:jc w:val="center"/>
            </w:pPr>
            <w:r>
              <w:rPr>
                <w:sz w:val="20"/>
              </w:rPr>
              <w:t xml:space="preserve"> </w:t>
            </w:r>
          </w:p>
        </w:tc>
      </w:tr>
      <w:tr w:rsidR="00E8309B">
        <w:trPr>
          <w:trHeight w:val="470"/>
        </w:trPr>
        <w:tc>
          <w:tcPr>
            <w:tcW w:w="427" w:type="dxa"/>
            <w:tcBorders>
              <w:top w:val="single" w:sz="4" w:space="0" w:color="000000"/>
              <w:left w:val="single" w:sz="8" w:space="0" w:color="000000"/>
              <w:bottom w:val="single" w:sz="4" w:space="0" w:color="000000"/>
              <w:right w:val="single" w:sz="8" w:space="0" w:color="000000"/>
            </w:tcBorders>
          </w:tcPr>
          <w:p w:rsidR="00E8309B" w:rsidRDefault="009D0949">
            <w:pPr>
              <w:spacing w:after="0" w:line="259" w:lineRule="auto"/>
              <w:ind w:left="0" w:right="51" w:firstLine="0"/>
              <w:jc w:val="right"/>
            </w:pPr>
            <w:r>
              <w:rPr>
                <w:sz w:val="20"/>
              </w:rPr>
              <w:t xml:space="preserve">2 </w:t>
            </w:r>
          </w:p>
        </w:tc>
        <w:tc>
          <w:tcPr>
            <w:tcW w:w="4123" w:type="dxa"/>
            <w:tcBorders>
              <w:top w:val="single" w:sz="4" w:space="0" w:color="000000"/>
              <w:left w:val="single" w:sz="8" w:space="0" w:color="000000"/>
              <w:bottom w:val="single" w:sz="4" w:space="0" w:color="000000"/>
              <w:right w:val="single" w:sz="8" w:space="0" w:color="000000"/>
            </w:tcBorders>
          </w:tcPr>
          <w:p w:rsidR="00E8309B" w:rsidRDefault="009D0949">
            <w:pPr>
              <w:spacing w:after="0" w:line="259" w:lineRule="auto"/>
              <w:ind w:left="0" w:right="0" w:firstLine="0"/>
              <w:jc w:val="left"/>
            </w:pPr>
            <w:r>
              <w:rPr>
                <w:sz w:val="20"/>
              </w:rPr>
              <w:t>Набавка рачунарског система високих перформанси – Суперрачунара</w:t>
            </w:r>
            <w:r>
              <w:rPr>
                <w:sz w:val="18"/>
              </w:rPr>
              <w:t xml:space="preserve"> </w:t>
            </w:r>
          </w:p>
        </w:tc>
        <w:tc>
          <w:tcPr>
            <w:tcW w:w="419" w:type="dxa"/>
            <w:tcBorders>
              <w:top w:val="single" w:sz="4" w:space="0" w:color="000000"/>
              <w:left w:val="single" w:sz="8"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1" w:right="0" w:firstLine="0"/>
              <w:jc w:val="center"/>
            </w:pPr>
            <w:r>
              <w:rPr>
                <w:sz w:val="20"/>
              </w:rPr>
              <w:t xml:space="preserve"> </w:t>
            </w:r>
          </w:p>
        </w:tc>
        <w:tc>
          <w:tcPr>
            <w:tcW w:w="421"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1" w:right="0" w:firstLine="0"/>
              <w:jc w:val="center"/>
            </w:pPr>
            <w:r>
              <w:rPr>
                <w:sz w:val="20"/>
              </w:rPr>
              <w:t xml:space="preserve"> </w:t>
            </w:r>
          </w:p>
        </w:tc>
        <w:tc>
          <w:tcPr>
            <w:tcW w:w="422"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2" w:right="0" w:firstLine="0"/>
              <w:jc w:val="center"/>
            </w:pPr>
            <w:r>
              <w:rPr>
                <w:sz w:val="20"/>
              </w:rPr>
              <w:t xml:space="preserve"> </w:t>
            </w:r>
          </w:p>
        </w:tc>
        <w:tc>
          <w:tcPr>
            <w:tcW w:w="421" w:type="dxa"/>
            <w:tcBorders>
              <w:top w:val="single" w:sz="4" w:space="0" w:color="000000"/>
              <w:left w:val="single" w:sz="4" w:space="0" w:color="000000"/>
              <w:bottom w:val="single" w:sz="4" w:space="0" w:color="000000"/>
              <w:right w:val="single" w:sz="8" w:space="0" w:color="000000"/>
            </w:tcBorders>
            <w:shd w:val="clear" w:color="auto" w:fill="BFBFBF"/>
            <w:vAlign w:val="center"/>
          </w:tcPr>
          <w:p w:rsidR="00E8309B" w:rsidRDefault="009D0949">
            <w:pPr>
              <w:spacing w:after="0" w:line="259" w:lineRule="auto"/>
              <w:ind w:left="4" w:right="0" w:firstLine="0"/>
              <w:jc w:val="center"/>
            </w:pPr>
            <w:r>
              <w:rPr>
                <w:sz w:val="20"/>
              </w:rPr>
              <w:t xml:space="preserve"> </w:t>
            </w:r>
          </w:p>
        </w:tc>
        <w:tc>
          <w:tcPr>
            <w:tcW w:w="424" w:type="dxa"/>
            <w:tcBorders>
              <w:top w:val="single" w:sz="4" w:space="0" w:color="000000"/>
              <w:left w:val="single" w:sz="8" w:space="0" w:color="000000"/>
              <w:bottom w:val="single" w:sz="4" w:space="0" w:color="000000"/>
              <w:right w:val="single" w:sz="4" w:space="0" w:color="000000"/>
            </w:tcBorders>
            <w:vAlign w:val="center"/>
          </w:tcPr>
          <w:p w:rsidR="00E8309B" w:rsidRDefault="009D0949">
            <w:pPr>
              <w:spacing w:after="0" w:line="259" w:lineRule="auto"/>
              <w:ind w:left="4" w:right="0" w:firstLine="0"/>
              <w:jc w:val="center"/>
            </w:pPr>
            <w:r>
              <w:rPr>
                <w:sz w:val="20"/>
              </w:rPr>
              <w:t xml:space="preserve"> </w:t>
            </w:r>
          </w:p>
        </w:tc>
        <w:tc>
          <w:tcPr>
            <w:tcW w:w="421"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4" w:right="0" w:firstLine="0"/>
              <w:jc w:val="center"/>
            </w:pPr>
            <w:r>
              <w:rPr>
                <w:sz w:val="20"/>
              </w:rPr>
              <w:t xml:space="preserve"> </w:t>
            </w:r>
          </w:p>
        </w:tc>
        <w:tc>
          <w:tcPr>
            <w:tcW w:w="423"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5" w:right="0" w:firstLine="0"/>
              <w:jc w:val="center"/>
            </w:pPr>
            <w:r>
              <w:rPr>
                <w:sz w:val="20"/>
              </w:rPr>
              <w:t xml:space="preserve"> </w:t>
            </w:r>
          </w:p>
        </w:tc>
        <w:tc>
          <w:tcPr>
            <w:tcW w:w="420" w:type="dxa"/>
            <w:tcBorders>
              <w:top w:val="single" w:sz="4" w:space="0" w:color="000000"/>
              <w:left w:val="single" w:sz="4" w:space="0" w:color="000000"/>
              <w:bottom w:val="single" w:sz="4" w:space="0" w:color="000000"/>
              <w:right w:val="single" w:sz="8" w:space="0" w:color="000000"/>
            </w:tcBorders>
            <w:vAlign w:val="center"/>
          </w:tcPr>
          <w:p w:rsidR="00E8309B" w:rsidRDefault="009D0949">
            <w:pPr>
              <w:spacing w:after="0" w:line="259" w:lineRule="auto"/>
              <w:ind w:left="2" w:right="0" w:firstLine="0"/>
              <w:jc w:val="center"/>
            </w:pPr>
            <w:r>
              <w:rPr>
                <w:sz w:val="20"/>
              </w:rPr>
              <w:t xml:space="preserve"> </w:t>
            </w:r>
          </w:p>
        </w:tc>
        <w:tc>
          <w:tcPr>
            <w:tcW w:w="424" w:type="dxa"/>
            <w:tcBorders>
              <w:top w:val="single" w:sz="4" w:space="0" w:color="000000"/>
              <w:left w:val="single" w:sz="8" w:space="0" w:color="000000"/>
              <w:bottom w:val="single" w:sz="4" w:space="0" w:color="000000"/>
              <w:right w:val="single" w:sz="4" w:space="0" w:color="000000"/>
            </w:tcBorders>
            <w:vAlign w:val="center"/>
          </w:tcPr>
          <w:p w:rsidR="00E8309B" w:rsidRDefault="009D0949">
            <w:pPr>
              <w:spacing w:after="0" w:line="259" w:lineRule="auto"/>
              <w:ind w:left="4" w:right="0" w:firstLine="0"/>
              <w:jc w:val="center"/>
            </w:pPr>
            <w:r>
              <w:rPr>
                <w:sz w:val="20"/>
              </w:rPr>
              <w:t xml:space="preserve"> </w:t>
            </w:r>
          </w:p>
        </w:tc>
        <w:tc>
          <w:tcPr>
            <w:tcW w:w="422"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2" w:right="0" w:firstLine="0"/>
              <w:jc w:val="center"/>
            </w:pPr>
            <w:r>
              <w:rPr>
                <w:sz w:val="20"/>
              </w:rPr>
              <w:t xml:space="preserve"> </w:t>
            </w:r>
          </w:p>
        </w:tc>
        <w:tc>
          <w:tcPr>
            <w:tcW w:w="422"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2" w:right="0" w:firstLine="0"/>
              <w:jc w:val="center"/>
            </w:pPr>
            <w:r>
              <w:rPr>
                <w:sz w:val="20"/>
              </w:rPr>
              <w:t xml:space="preserve"> </w:t>
            </w:r>
          </w:p>
        </w:tc>
        <w:tc>
          <w:tcPr>
            <w:tcW w:w="420" w:type="dxa"/>
            <w:tcBorders>
              <w:top w:val="single" w:sz="4" w:space="0" w:color="000000"/>
              <w:left w:val="single" w:sz="4" w:space="0" w:color="000000"/>
              <w:bottom w:val="single" w:sz="4" w:space="0" w:color="000000"/>
              <w:right w:val="single" w:sz="8" w:space="0" w:color="000000"/>
            </w:tcBorders>
            <w:vAlign w:val="center"/>
          </w:tcPr>
          <w:p w:rsidR="00E8309B" w:rsidRDefault="009D0949">
            <w:pPr>
              <w:spacing w:after="0" w:line="259" w:lineRule="auto"/>
              <w:ind w:left="5" w:right="0" w:firstLine="0"/>
              <w:jc w:val="center"/>
            </w:pPr>
            <w:r>
              <w:rPr>
                <w:sz w:val="20"/>
              </w:rPr>
              <w:t xml:space="preserve"> </w:t>
            </w:r>
          </w:p>
        </w:tc>
      </w:tr>
      <w:tr w:rsidR="00E8309B">
        <w:trPr>
          <w:trHeight w:val="929"/>
        </w:trPr>
        <w:tc>
          <w:tcPr>
            <w:tcW w:w="427" w:type="dxa"/>
            <w:tcBorders>
              <w:top w:val="single" w:sz="4" w:space="0" w:color="000000"/>
              <w:left w:val="single" w:sz="8" w:space="0" w:color="000000"/>
              <w:bottom w:val="single" w:sz="4" w:space="0" w:color="000000"/>
              <w:right w:val="single" w:sz="8" w:space="0" w:color="000000"/>
            </w:tcBorders>
          </w:tcPr>
          <w:p w:rsidR="00E8309B" w:rsidRDefault="009D0949">
            <w:pPr>
              <w:spacing w:after="0" w:line="259" w:lineRule="auto"/>
              <w:ind w:left="0" w:right="51" w:firstLine="0"/>
              <w:jc w:val="right"/>
            </w:pPr>
            <w:r>
              <w:rPr>
                <w:sz w:val="20"/>
              </w:rPr>
              <w:t xml:space="preserve">3 </w:t>
            </w:r>
          </w:p>
        </w:tc>
        <w:tc>
          <w:tcPr>
            <w:tcW w:w="4123" w:type="dxa"/>
            <w:tcBorders>
              <w:top w:val="single" w:sz="4" w:space="0" w:color="000000"/>
              <w:left w:val="single" w:sz="8" w:space="0" w:color="000000"/>
              <w:bottom w:val="single" w:sz="4" w:space="0" w:color="000000"/>
              <w:right w:val="single" w:sz="8" w:space="0" w:color="000000"/>
            </w:tcBorders>
          </w:tcPr>
          <w:p w:rsidR="00E8309B" w:rsidRDefault="009D0949">
            <w:pPr>
              <w:spacing w:after="0" w:line="259" w:lineRule="auto"/>
              <w:ind w:left="0" w:right="0" w:firstLine="0"/>
              <w:jc w:val="left"/>
            </w:pPr>
            <w:r>
              <w:rPr>
                <w:sz w:val="20"/>
              </w:rPr>
              <w:t>Дигитализација и аутоматизација градских подручја кроз масовно постављање сензора и њихово повезивање, међусобно и са Дата центром</w:t>
            </w:r>
            <w:r>
              <w:rPr>
                <w:sz w:val="18"/>
              </w:rPr>
              <w:t xml:space="preserve"> </w:t>
            </w:r>
          </w:p>
        </w:tc>
        <w:tc>
          <w:tcPr>
            <w:tcW w:w="419" w:type="dxa"/>
            <w:tcBorders>
              <w:top w:val="single" w:sz="4" w:space="0" w:color="000000"/>
              <w:left w:val="single" w:sz="8" w:space="0" w:color="000000"/>
              <w:bottom w:val="single" w:sz="4" w:space="0" w:color="000000"/>
              <w:right w:val="single" w:sz="4" w:space="0" w:color="000000"/>
            </w:tcBorders>
            <w:vAlign w:val="center"/>
          </w:tcPr>
          <w:p w:rsidR="00E8309B" w:rsidRDefault="009D0949">
            <w:pPr>
              <w:spacing w:after="0" w:line="259" w:lineRule="auto"/>
              <w:ind w:left="1" w:right="0" w:firstLine="0"/>
              <w:jc w:val="center"/>
            </w:pPr>
            <w:r>
              <w:rPr>
                <w:sz w:val="20"/>
              </w:rPr>
              <w:t xml:space="preserve"> </w:t>
            </w:r>
          </w:p>
        </w:tc>
        <w:tc>
          <w:tcPr>
            <w:tcW w:w="421"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1" w:right="0" w:firstLine="0"/>
              <w:jc w:val="center"/>
            </w:pPr>
            <w:r>
              <w:rPr>
                <w:sz w:val="20"/>
              </w:rPr>
              <w:t xml:space="preserve"> </w:t>
            </w:r>
          </w:p>
        </w:tc>
        <w:tc>
          <w:tcPr>
            <w:tcW w:w="422"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2" w:right="0" w:firstLine="0"/>
              <w:jc w:val="center"/>
            </w:pPr>
            <w:r>
              <w:rPr>
                <w:sz w:val="20"/>
              </w:rPr>
              <w:t xml:space="preserve"> </w:t>
            </w:r>
          </w:p>
        </w:tc>
        <w:tc>
          <w:tcPr>
            <w:tcW w:w="421" w:type="dxa"/>
            <w:tcBorders>
              <w:top w:val="single" w:sz="4" w:space="0" w:color="000000"/>
              <w:left w:val="single" w:sz="4" w:space="0" w:color="000000"/>
              <w:bottom w:val="single" w:sz="4" w:space="0" w:color="000000"/>
              <w:right w:val="single" w:sz="8" w:space="0" w:color="000000"/>
            </w:tcBorders>
            <w:shd w:val="clear" w:color="auto" w:fill="BFBFBF"/>
            <w:vAlign w:val="center"/>
          </w:tcPr>
          <w:p w:rsidR="00E8309B" w:rsidRDefault="009D0949">
            <w:pPr>
              <w:spacing w:after="0" w:line="259" w:lineRule="auto"/>
              <w:ind w:left="4" w:right="0" w:firstLine="0"/>
              <w:jc w:val="center"/>
            </w:pPr>
            <w:r>
              <w:rPr>
                <w:sz w:val="20"/>
              </w:rPr>
              <w:t xml:space="preserve"> </w:t>
            </w:r>
          </w:p>
        </w:tc>
        <w:tc>
          <w:tcPr>
            <w:tcW w:w="424" w:type="dxa"/>
            <w:tcBorders>
              <w:top w:val="single" w:sz="4" w:space="0" w:color="000000"/>
              <w:left w:val="single" w:sz="8"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4" w:right="0" w:firstLine="0"/>
              <w:jc w:val="center"/>
            </w:pPr>
            <w:r>
              <w:rPr>
                <w:sz w:val="20"/>
              </w:rPr>
              <w:t xml:space="preserve"> </w:t>
            </w:r>
          </w:p>
        </w:tc>
        <w:tc>
          <w:tcPr>
            <w:tcW w:w="421"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4" w:right="0" w:firstLine="0"/>
              <w:jc w:val="center"/>
            </w:pPr>
            <w:r>
              <w:rPr>
                <w:sz w:val="20"/>
              </w:rPr>
              <w:t xml:space="preserve"> </w:t>
            </w:r>
          </w:p>
        </w:tc>
        <w:tc>
          <w:tcPr>
            <w:tcW w:w="423"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5" w:right="0" w:firstLine="0"/>
              <w:jc w:val="center"/>
            </w:pPr>
            <w:r>
              <w:rPr>
                <w:sz w:val="20"/>
              </w:rPr>
              <w:t xml:space="preserve"> </w:t>
            </w:r>
          </w:p>
        </w:tc>
        <w:tc>
          <w:tcPr>
            <w:tcW w:w="420" w:type="dxa"/>
            <w:tcBorders>
              <w:top w:val="single" w:sz="4" w:space="0" w:color="000000"/>
              <w:left w:val="single" w:sz="4" w:space="0" w:color="000000"/>
              <w:bottom w:val="single" w:sz="4" w:space="0" w:color="000000"/>
              <w:right w:val="single" w:sz="8" w:space="0" w:color="000000"/>
            </w:tcBorders>
            <w:shd w:val="clear" w:color="auto" w:fill="BFBFBF"/>
            <w:vAlign w:val="center"/>
          </w:tcPr>
          <w:p w:rsidR="00E8309B" w:rsidRDefault="009D0949">
            <w:pPr>
              <w:spacing w:after="0" w:line="259" w:lineRule="auto"/>
              <w:ind w:left="2" w:right="0" w:firstLine="0"/>
              <w:jc w:val="center"/>
            </w:pPr>
            <w:r>
              <w:rPr>
                <w:sz w:val="20"/>
              </w:rPr>
              <w:t xml:space="preserve"> </w:t>
            </w:r>
          </w:p>
        </w:tc>
        <w:tc>
          <w:tcPr>
            <w:tcW w:w="424" w:type="dxa"/>
            <w:tcBorders>
              <w:top w:val="single" w:sz="4" w:space="0" w:color="000000"/>
              <w:left w:val="single" w:sz="8"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4" w:right="0" w:firstLine="0"/>
              <w:jc w:val="center"/>
            </w:pPr>
            <w:r>
              <w:rPr>
                <w:sz w:val="20"/>
              </w:rPr>
              <w:t xml:space="preserve"> </w:t>
            </w:r>
          </w:p>
        </w:tc>
        <w:tc>
          <w:tcPr>
            <w:tcW w:w="422"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2" w:right="0" w:firstLine="0"/>
              <w:jc w:val="center"/>
            </w:pPr>
            <w:r>
              <w:rPr>
                <w:sz w:val="20"/>
              </w:rPr>
              <w:t xml:space="preserve"> </w:t>
            </w:r>
          </w:p>
        </w:tc>
        <w:tc>
          <w:tcPr>
            <w:tcW w:w="422"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2" w:right="0" w:firstLine="0"/>
              <w:jc w:val="center"/>
            </w:pPr>
            <w:r>
              <w:rPr>
                <w:sz w:val="20"/>
              </w:rPr>
              <w:t xml:space="preserve"> </w:t>
            </w:r>
          </w:p>
        </w:tc>
        <w:tc>
          <w:tcPr>
            <w:tcW w:w="420" w:type="dxa"/>
            <w:tcBorders>
              <w:top w:val="single" w:sz="4" w:space="0" w:color="000000"/>
              <w:left w:val="single" w:sz="4" w:space="0" w:color="000000"/>
              <w:bottom w:val="single" w:sz="4" w:space="0" w:color="000000"/>
              <w:right w:val="single" w:sz="8" w:space="0" w:color="000000"/>
            </w:tcBorders>
            <w:shd w:val="clear" w:color="auto" w:fill="BFBFBF"/>
            <w:vAlign w:val="center"/>
          </w:tcPr>
          <w:p w:rsidR="00E8309B" w:rsidRDefault="009D0949">
            <w:pPr>
              <w:spacing w:after="0" w:line="259" w:lineRule="auto"/>
              <w:ind w:left="5" w:right="0" w:firstLine="0"/>
              <w:jc w:val="center"/>
            </w:pPr>
            <w:r>
              <w:rPr>
                <w:sz w:val="20"/>
              </w:rPr>
              <w:t xml:space="preserve"> </w:t>
            </w:r>
          </w:p>
        </w:tc>
      </w:tr>
    </w:tbl>
    <w:p w:rsidR="00E8309B" w:rsidRDefault="009D0949">
      <w:pPr>
        <w:numPr>
          <w:ilvl w:val="0"/>
          <w:numId w:val="36"/>
        </w:numPr>
        <w:spacing w:after="0" w:line="271" w:lineRule="auto"/>
        <w:ind w:right="9" w:hanging="360"/>
      </w:pPr>
      <w:r>
        <w:rPr>
          <w:b/>
        </w:rPr>
        <w:t xml:space="preserve">Индикатори рeзултата </w:t>
      </w:r>
    </w:p>
    <w:tbl>
      <w:tblPr>
        <w:tblStyle w:val="TableGrid"/>
        <w:tblW w:w="9635" w:type="dxa"/>
        <w:tblInd w:w="5" w:type="dxa"/>
        <w:tblCellMar>
          <w:top w:w="10" w:type="dxa"/>
          <w:left w:w="110" w:type="dxa"/>
          <w:bottom w:w="0" w:type="dxa"/>
          <w:right w:w="56" w:type="dxa"/>
        </w:tblCellMar>
        <w:tblLook w:val="04A0" w:firstRow="1" w:lastRow="0" w:firstColumn="1" w:lastColumn="0" w:noHBand="0" w:noVBand="1"/>
      </w:tblPr>
      <w:tblGrid>
        <w:gridCol w:w="4249"/>
        <w:gridCol w:w="1844"/>
        <w:gridCol w:w="1700"/>
        <w:gridCol w:w="1843"/>
      </w:tblGrid>
      <w:tr w:rsidR="00E8309B">
        <w:trPr>
          <w:trHeight w:val="468"/>
        </w:trPr>
        <w:tc>
          <w:tcPr>
            <w:tcW w:w="4249"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0" w:right="0" w:firstLine="0"/>
              <w:jc w:val="left"/>
            </w:pPr>
            <w:r>
              <w:rPr>
                <w:b/>
                <w:sz w:val="20"/>
              </w:rPr>
              <w:t xml:space="preserve">Показатељ </w:t>
            </w:r>
          </w:p>
        </w:tc>
        <w:tc>
          <w:tcPr>
            <w:tcW w:w="1844"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right="50" w:firstLine="0"/>
              <w:jc w:val="right"/>
            </w:pPr>
            <w:r>
              <w:rPr>
                <w:b/>
                <w:sz w:val="20"/>
              </w:rPr>
              <w:t xml:space="preserve">Почетна вредност (година) </w:t>
            </w:r>
          </w:p>
        </w:tc>
        <w:tc>
          <w:tcPr>
            <w:tcW w:w="1700"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52" w:firstLine="0"/>
              <w:jc w:val="right"/>
            </w:pPr>
            <w:r>
              <w:rPr>
                <w:b/>
                <w:sz w:val="20"/>
              </w:rPr>
              <w:t xml:space="preserve">Међурезултат (година) </w:t>
            </w:r>
          </w:p>
        </w:tc>
        <w:tc>
          <w:tcPr>
            <w:tcW w:w="1843"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49" w:firstLine="0"/>
              <w:jc w:val="right"/>
            </w:pPr>
            <w:r>
              <w:rPr>
                <w:b/>
                <w:sz w:val="20"/>
              </w:rPr>
              <w:t xml:space="preserve">Циљна вредност (година) </w:t>
            </w:r>
          </w:p>
        </w:tc>
      </w:tr>
      <w:tr w:rsidR="00E8309B">
        <w:trPr>
          <w:trHeight w:val="931"/>
        </w:trPr>
        <w:tc>
          <w:tcPr>
            <w:tcW w:w="4249"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54" w:firstLine="0"/>
            </w:pPr>
            <w:r>
              <w:rPr>
                <w:sz w:val="20"/>
              </w:rPr>
              <w:t xml:space="preserve">Број органа државне управе и ЈЛС који користе Дата центар за управљање и чување података и број предузећа која користе Дата центар на комерцијалној основи </w:t>
            </w:r>
          </w:p>
        </w:tc>
        <w:tc>
          <w:tcPr>
            <w:tcW w:w="1844"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50" w:firstLine="0"/>
              <w:jc w:val="right"/>
            </w:pPr>
            <w:r>
              <w:rPr>
                <w:sz w:val="20"/>
              </w:rPr>
              <w:t xml:space="preserve">0 (2019) </w:t>
            </w:r>
          </w:p>
        </w:tc>
        <w:tc>
          <w:tcPr>
            <w:tcW w:w="1700"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53" w:firstLine="0"/>
              <w:jc w:val="right"/>
            </w:pPr>
            <w:r>
              <w:rPr>
                <w:sz w:val="20"/>
              </w:rPr>
              <w:t xml:space="preserve">10 (2020) </w:t>
            </w:r>
          </w:p>
        </w:tc>
        <w:tc>
          <w:tcPr>
            <w:tcW w:w="1843"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50" w:firstLine="0"/>
              <w:jc w:val="right"/>
            </w:pPr>
            <w:r>
              <w:rPr>
                <w:sz w:val="20"/>
              </w:rPr>
              <w:t xml:space="preserve">60 (2023) </w:t>
            </w:r>
          </w:p>
        </w:tc>
      </w:tr>
      <w:tr w:rsidR="00E8309B">
        <w:trPr>
          <w:trHeight w:val="470"/>
        </w:trPr>
        <w:tc>
          <w:tcPr>
            <w:tcW w:w="4249"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0" w:firstLine="0"/>
            </w:pPr>
            <w:r>
              <w:rPr>
                <w:sz w:val="20"/>
              </w:rPr>
              <w:t>Број софтверских решења органа државне управе и ЈЛС који су мигрирани у Дата центре</w:t>
            </w:r>
            <w:r>
              <w:rPr>
                <w:b/>
                <w:sz w:val="20"/>
              </w:rPr>
              <w:t xml:space="preserve"> </w:t>
            </w:r>
          </w:p>
        </w:tc>
        <w:tc>
          <w:tcPr>
            <w:tcW w:w="1844"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50" w:firstLine="0"/>
              <w:jc w:val="right"/>
            </w:pPr>
            <w:r>
              <w:rPr>
                <w:sz w:val="20"/>
              </w:rPr>
              <w:t>0 (2019)</w:t>
            </w:r>
            <w:r>
              <w:rPr>
                <w:b/>
                <w:sz w:val="20"/>
              </w:rPr>
              <w:t xml:space="preserve"> </w:t>
            </w:r>
          </w:p>
        </w:tc>
        <w:tc>
          <w:tcPr>
            <w:tcW w:w="1700"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52" w:firstLine="0"/>
              <w:jc w:val="right"/>
            </w:pPr>
            <w:r>
              <w:rPr>
                <w:b/>
                <w:sz w:val="20"/>
              </w:rPr>
              <w:t xml:space="preserve">/ </w:t>
            </w:r>
          </w:p>
        </w:tc>
        <w:tc>
          <w:tcPr>
            <w:tcW w:w="1843"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50" w:firstLine="0"/>
              <w:jc w:val="right"/>
            </w:pPr>
            <w:r>
              <w:rPr>
                <w:sz w:val="20"/>
              </w:rPr>
              <w:t>50 (2023)</w:t>
            </w:r>
            <w:r>
              <w:rPr>
                <w:b/>
                <w:sz w:val="20"/>
              </w:rPr>
              <w:t xml:space="preserve"> </w:t>
            </w:r>
          </w:p>
        </w:tc>
      </w:tr>
      <w:tr w:rsidR="00E8309B">
        <w:trPr>
          <w:trHeight w:val="293"/>
        </w:trPr>
        <w:tc>
          <w:tcPr>
            <w:tcW w:w="4249"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0" w:firstLine="0"/>
              <w:jc w:val="left"/>
            </w:pPr>
            <w:r>
              <w:rPr>
                <w:sz w:val="20"/>
              </w:rPr>
              <w:t xml:space="preserve">Пуштање Суперрачунара (HPC) у продукцију  </w:t>
            </w:r>
          </w:p>
        </w:tc>
        <w:tc>
          <w:tcPr>
            <w:tcW w:w="1844"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49" w:firstLine="0"/>
              <w:jc w:val="right"/>
            </w:pPr>
            <w:r>
              <w:rPr>
                <w:sz w:val="20"/>
              </w:rPr>
              <w:t xml:space="preserve">0% (2020) </w:t>
            </w:r>
          </w:p>
        </w:tc>
        <w:tc>
          <w:tcPr>
            <w:tcW w:w="1700"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52" w:firstLine="0"/>
              <w:jc w:val="right"/>
            </w:pPr>
            <w:r>
              <w:rPr>
                <w:sz w:val="20"/>
              </w:rPr>
              <w:t xml:space="preserve">/ </w:t>
            </w:r>
          </w:p>
        </w:tc>
        <w:tc>
          <w:tcPr>
            <w:tcW w:w="1843"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50" w:firstLine="0"/>
              <w:jc w:val="right"/>
            </w:pPr>
            <w:r>
              <w:rPr>
                <w:sz w:val="20"/>
              </w:rPr>
              <w:t xml:space="preserve">100% (2021) </w:t>
            </w:r>
          </w:p>
        </w:tc>
      </w:tr>
      <w:tr w:rsidR="00E8309B">
        <w:trPr>
          <w:trHeight w:val="470"/>
        </w:trPr>
        <w:tc>
          <w:tcPr>
            <w:tcW w:w="4249"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0" w:firstLine="0"/>
            </w:pPr>
            <w:r>
              <w:rPr>
                <w:sz w:val="20"/>
              </w:rPr>
              <w:t xml:space="preserve">Број градова у којима је спроведен пројекат Smart City </w:t>
            </w:r>
          </w:p>
        </w:tc>
        <w:tc>
          <w:tcPr>
            <w:tcW w:w="1844"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50" w:firstLine="0"/>
              <w:jc w:val="right"/>
            </w:pPr>
            <w:r>
              <w:rPr>
                <w:sz w:val="20"/>
              </w:rPr>
              <w:t xml:space="preserve">0 (2020) </w:t>
            </w:r>
          </w:p>
        </w:tc>
        <w:tc>
          <w:tcPr>
            <w:tcW w:w="1700"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52" w:firstLine="0"/>
              <w:jc w:val="right"/>
            </w:pPr>
            <w:r>
              <w:rPr>
                <w:sz w:val="20"/>
              </w:rPr>
              <w:t xml:space="preserve">/ </w:t>
            </w:r>
          </w:p>
        </w:tc>
        <w:tc>
          <w:tcPr>
            <w:tcW w:w="1843"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50" w:firstLine="0"/>
              <w:jc w:val="right"/>
            </w:pPr>
            <w:r>
              <w:rPr>
                <w:sz w:val="20"/>
              </w:rPr>
              <w:t xml:space="preserve">3 (2023) </w:t>
            </w:r>
          </w:p>
        </w:tc>
      </w:tr>
    </w:tbl>
    <w:p w:rsidR="00E8309B" w:rsidRDefault="009D0949">
      <w:pPr>
        <w:spacing w:after="216" w:line="259" w:lineRule="auto"/>
        <w:ind w:left="0" w:right="0" w:firstLine="0"/>
        <w:jc w:val="left"/>
      </w:pPr>
      <w:r>
        <w:rPr>
          <w:b/>
        </w:rPr>
        <w:t xml:space="preserve"> </w:t>
      </w:r>
    </w:p>
    <w:p w:rsidR="00E8309B" w:rsidRDefault="009D0949">
      <w:pPr>
        <w:spacing w:after="0" w:line="259" w:lineRule="auto"/>
        <w:ind w:left="0" w:right="0" w:firstLine="0"/>
        <w:jc w:val="left"/>
      </w:pPr>
      <w:r>
        <w:rPr>
          <w:b/>
        </w:rPr>
        <w:t xml:space="preserve"> </w:t>
      </w:r>
    </w:p>
    <w:p w:rsidR="00E8309B" w:rsidRDefault="009D0949">
      <w:pPr>
        <w:numPr>
          <w:ilvl w:val="0"/>
          <w:numId w:val="36"/>
        </w:numPr>
        <w:spacing w:after="79" w:line="271" w:lineRule="auto"/>
        <w:ind w:right="9" w:hanging="360"/>
      </w:pPr>
      <w:r>
        <w:rPr>
          <w:b/>
        </w:rPr>
        <w:t xml:space="preserve">Очекивани утицај на конкурентност </w:t>
      </w:r>
    </w:p>
    <w:p w:rsidR="00E8309B" w:rsidRDefault="009D0949">
      <w:pPr>
        <w:spacing w:after="161"/>
        <w:ind w:left="-5" w:right="17"/>
      </w:pPr>
      <w:r>
        <w:t>Корисници услуга новог државног ДЦ биће и приватни сектор под комерцијалним условима. Већ су потписани меморандуми о разумевању са неколико водећих светских ИКТ компанија и домаћом банком, као интересентима за коришћење капацитета и услуга ДЦ по највишим т</w:t>
      </w:r>
      <w:r>
        <w:t>ехничким стандардима у региону. Предвиђено је да будућа државна платформа за ВИ буде доступна и академској заједници, научно-технолошким парковима и бизнис сектору (МСЕ) у циљу пружања подршке за развој иновативних решења заснованих на ВИ. Прикупљање велик</w:t>
      </w:r>
      <w:r>
        <w:t xml:space="preserve">е количине података и економичније управљање ресурсима кроз пројекат Smart City, води ка осмишљавању и развоју нових услуга од којих би највећи део био комерцијалног карактера, што ће допринети покретању нових предузећа и повећању привредне активности. </w:t>
      </w:r>
    </w:p>
    <w:p w:rsidR="00E8309B" w:rsidRDefault="009D0949">
      <w:pPr>
        <w:numPr>
          <w:ilvl w:val="0"/>
          <w:numId w:val="36"/>
        </w:numPr>
        <w:spacing w:after="79" w:line="271" w:lineRule="auto"/>
        <w:ind w:right="9" w:hanging="360"/>
      </w:pPr>
      <w:r>
        <w:rPr>
          <w:b/>
        </w:rPr>
        <w:t>Пр</w:t>
      </w:r>
      <w:r>
        <w:rPr>
          <w:b/>
        </w:rPr>
        <w:t xml:space="preserve">оцењени трошкови спровођења структурне реформе и предвиђени извори њиховог финансирања </w:t>
      </w:r>
    </w:p>
    <w:p w:rsidR="00E8309B" w:rsidRDefault="009D0949">
      <w:pPr>
        <w:spacing w:after="159"/>
        <w:ind w:left="-5" w:right="17"/>
      </w:pPr>
      <w:r>
        <w:t>Почетак изградње објекта Б планиран је крајем 2020. године, средства су обезбеђена из буџета РС за 2020, док су средства за наставак градње планирана у оквиру одобреног</w:t>
      </w:r>
      <w:r>
        <w:t xml:space="preserve"> лимита на капиталном пројекту - Изградња ДЦ у Крагујевцу у укупном износу од 42.041.690 евра (10.958.341 евра из буџета за 2021, 18.583.341 евра за 2022. и 12.500.008 евра за 2023.). За набавку Суперрачунара укупни планирани трошкови износе 1.000.000 евра</w:t>
      </w:r>
      <w:r>
        <w:t xml:space="preserve">, средства су из буџета РС за 2021. годину. За реализацију пројекта </w:t>
      </w:r>
      <w:r>
        <w:rPr>
          <w:i/>
        </w:rPr>
        <w:t>Smart City</w:t>
      </w:r>
      <w:r>
        <w:t xml:space="preserve">, планирана су средства из буџета РС у укупном износу од 12.583.333 евра (83.333 евра за 2021, 6.250.000 евра за 2022. и 6.250.000 евра за 2023.). </w:t>
      </w:r>
    </w:p>
    <w:p w:rsidR="00E8309B" w:rsidRDefault="009D0949">
      <w:pPr>
        <w:numPr>
          <w:ilvl w:val="0"/>
          <w:numId w:val="36"/>
        </w:numPr>
        <w:spacing w:after="79" w:line="271" w:lineRule="auto"/>
        <w:ind w:right="9" w:hanging="360"/>
      </w:pPr>
      <w:r>
        <w:rPr>
          <w:b/>
        </w:rPr>
        <w:t xml:space="preserve">Очекивани утицај на социјалне </w:t>
      </w:r>
      <w:r>
        <w:rPr>
          <w:b/>
        </w:rPr>
        <w:t xml:space="preserve">циљеве, као што су запосленост, смањење сиромаштва, једнакост и род </w:t>
      </w:r>
    </w:p>
    <w:p w:rsidR="00E8309B" w:rsidRDefault="009D0949">
      <w:pPr>
        <w:spacing w:after="159"/>
        <w:ind w:left="-5" w:right="17"/>
      </w:pPr>
      <w:r>
        <w:t>За функционисање ДЦ биће неопходно запошљавање 30 високостручних кадрова из области ИТ, машинства и енергетике, уз додатну потребу за ИТ кадровима који би радили на развоју, имплементациј</w:t>
      </w:r>
      <w:r>
        <w:t>и и одржавању „cloud“ система. Реализацијом овог пројекта доћи ће до повећања обима рада путем Интернета, као и до подизања нивоа знања, компетенција и вештина у области ИКТ у земљи, уз пораст броја радних места у практично свим секторима. Развој ВИ довешћ</w:t>
      </w:r>
      <w:r>
        <w:t>е до повећања квалитета живота свих грађана кроз развој иновативних решења у областима јавне управе, здравства и медицине, саобраћаја, путне инфраструктуре и мобилности у градским срединама. Реализацијом Smart City пројекта кроз упућивање јавног позива гра</w:t>
      </w:r>
      <w:r>
        <w:t xml:space="preserve">довима (и општинама) у Србији да се, заједно са својим универзитетима и школама, као и приватним сектором, активно укључе у овај пројекат утицаће и на додатно запошљавање као и на генерисање нових услуга. </w:t>
      </w:r>
    </w:p>
    <w:p w:rsidR="00E8309B" w:rsidRDefault="009D0949">
      <w:pPr>
        <w:numPr>
          <w:ilvl w:val="0"/>
          <w:numId w:val="36"/>
        </w:numPr>
        <w:spacing w:after="127" w:line="271" w:lineRule="auto"/>
        <w:ind w:right="9" w:hanging="360"/>
      </w:pPr>
      <w:r>
        <w:rPr>
          <w:b/>
        </w:rPr>
        <w:t xml:space="preserve">Очекивани утицај на животну средину </w:t>
      </w:r>
    </w:p>
    <w:p w:rsidR="00E8309B" w:rsidRDefault="009D0949">
      <w:pPr>
        <w:spacing w:after="155"/>
        <w:ind w:left="-5" w:right="17"/>
      </w:pPr>
      <w:r>
        <w:t xml:space="preserve">Неће бити негативног утицаја на животну средину. </w:t>
      </w:r>
    </w:p>
    <w:p w:rsidR="00E8309B" w:rsidRDefault="009D0949">
      <w:pPr>
        <w:numPr>
          <w:ilvl w:val="0"/>
          <w:numId w:val="36"/>
        </w:numPr>
        <w:spacing w:after="0" w:line="271" w:lineRule="auto"/>
        <w:ind w:right="9" w:hanging="360"/>
      </w:pPr>
      <w:r>
        <w:rPr>
          <w:b/>
        </w:rPr>
        <w:t xml:space="preserve">Потенцијални ризици </w:t>
      </w:r>
    </w:p>
    <w:tbl>
      <w:tblPr>
        <w:tblStyle w:val="TableGrid"/>
        <w:tblW w:w="9696" w:type="dxa"/>
        <w:tblInd w:w="0" w:type="dxa"/>
        <w:tblCellMar>
          <w:top w:w="46" w:type="dxa"/>
          <w:left w:w="108" w:type="dxa"/>
          <w:bottom w:w="0" w:type="dxa"/>
          <w:right w:w="75" w:type="dxa"/>
        </w:tblCellMar>
        <w:tblLook w:val="04A0" w:firstRow="1" w:lastRow="0" w:firstColumn="1" w:lastColumn="0" w:noHBand="0" w:noVBand="1"/>
      </w:tblPr>
      <w:tblGrid>
        <w:gridCol w:w="3330"/>
        <w:gridCol w:w="2201"/>
        <w:gridCol w:w="4165"/>
      </w:tblGrid>
      <w:tr w:rsidR="00E8309B">
        <w:trPr>
          <w:trHeight w:val="470"/>
        </w:trPr>
        <w:tc>
          <w:tcPr>
            <w:tcW w:w="3330"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0" w:right="0" w:firstLine="0"/>
              <w:jc w:val="left"/>
            </w:pPr>
            <w:r>
              <w:rPr>
                <w:b/>
                <w:sz w:val="20"/>
              </w:rPr>
              <w:t xml:space="preserve">Ризик </w:t>
            </w:r>
          </w:p>
        </w:tc>
        <w:tc>
          <w:tcPr>
            <w:tcW w:w="2201"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2" w:right="0" w:firstLine="0"/>
              <w:jc w:val="left"/>
            </w:pPr>
            <w:r>
              <w:rPr>
                <w:b/>
                <w:sz w:val="20"/>
              </w:rPr>
              <w:t xml:space="preserve">Вероватноћа за остваривање ризика </w:t>
            </w:r>
          </w:p>
        </w:tc>
        <w:tc>
          <w:tcPr>
            <w:tcW w:w="4165"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0" w:firstLine="0"/>
              <w:jc w:val="left"/>
            </w:pPr>
            <w:r>
              <w:rPr>
                <w:b/>
                <w:sz w:val="20"/>
              </w:rPr>
              <w:t xml:space="preserve">Активност за ублажавање негативних ефеката ризика </w:t>
            </w:r>
          </w:p>
        </w:tc>
      </w:tr>
      <w:tr w:rsidR="00E8309B">
        <w:trPr>
          <w:trHeight w:val="545"/>
        </w:trPr>
        <w:tc>
          <w:tcPr>
            <w:tcW w:w="3330"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0" w:firstLine="0"/>
              <w:jc w:val="left"/>
            </w:pPr>
            <w:r>
              <w:rPr>
                <w:sz w:val="20"/>
              </w:rPr>
              <w:t xml:space="preserve">Одлагање планираних активности услед пандемије Ковид-19 </w:t>
            </w:r>
          </w:p>
        </w:tc>
        <w:tc>
          <w:tcPr>
            <w:tcW w:w="2201"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2" w:right="0" w:firstLine="0"/>
              <w:jc w:val="left"/>
            </w:pPr>
            <w:r>
              <w:rPr>
                <w:sz w:val="20"/>
              </w:rPr>
              <w:t xml:space="preserve">Висока </w:t>
            </w:r>
          </w:p>
        </w:tc>
        <w:tc>
          <w:tcPr>
            <w:tcW w:w="4165"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14" w:firstLine="0"/>
            </w:pPr>
            <w:r>
              <w:rPr>
                <w:sz w:val="20"/>
              </w:rPr>
              <w:t xml:space="preserve">Ажурирање оперативног плана за извршавање неопходних корака. </w:t>
            </w:r>
          </w:p>
        </w:tc>
      </w:tr>
      <w:tr w:rsidR="00E8309B">
        <w:trPr>
          <w:trHeight w:val="1620"/>
        </w:trPr>
        <w:tc>
          <w:tcPr>
            <w:tcW w:w="3330"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0" w:firstLine="0"/>
              <w:jc w:val="left"/>
            </w:pPr>
            <w:r>
              <w:rPr>
                <w:sz w:val="20"/>
              </w:rPr>
              <w:t xml:space="preserve">Потешкоће у набавци потребне опреме  </w:t>
            </w:r>
          </w:p>
        </w:tc>
        <w:tc>
          <w:tcPr>
            <w:tcW w:w="2201"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2" w:right="0" w:firstLine="0"/>
              <w:jc w:val="left"/>
            </w:pPr>
            <w:r>
              <w:rPr>
                <w:sz w:val="20"/>
              </w:rPr>
              <w:t xml:space="preserve">Средња </w:t>
            </w:r>
          </w:p>
        </w:tc>
        <w:tc>
          <w:tcPr>
            <w:tcW w:w="4165"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0" w:firstLine="0"/>
              <w:jc w:val="left"/>
            </w:pPr>
            <w:r>
              <w:rPr>
                <w:sz w:val="20"/>
              </w:rPr>
              <w:t>Поштовање уговорних одредби и процедура набавки. У зависности од актуелне ситуације поводом епидемије Ковид-19, покретање поновне производње код ин</w:t>
            </w:r>
            <w:r>
              <w:rPr>
                <w:sz w:val="20"/>
              </w:rPr>
              <w:t xml:space="preserve">остраних произвођача и несметана дистрибуција опреме од државе где се производи опрема до места испоруке </w:t>
            </w:r>
          </w:p>
        </w:tc>
      </w:tr>
      <w:tr w:rsidR="00E8309B">
        <w:trPr>
          <w:trHeight w:val="701"/>
        </w:trPr>
        <w:tc>
          <w:tcPr>
            <w:tcW w:w="3330"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0" w:firstLine="0"/>
              <w:jc w:val="left"/>
            </w:pPr>
            <w:r>
              <w:rPr>
                <w:sz w:val="20"/>
              </w:rPr>
              <w:t>Дуготрајни инсталацијски радови и зависност од спремности за друге кораке процеса</w:t>
            </w:r>
            <w:r>
              <w:rPr>
                <w:b/>
                <w:sz w:val="20"/>
              </w:rPr>
              <w:t xml:space="preserve"> </w:t>
            </w:r>
          </w:p>
        </w:tc>
        <w:tc>
          <w:tcPr>
            <w:tcW w:w="2201"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2" w:right="0" w:firstLine="0"/>
              <w:jc w:val="left"/>
            </w:pPr>
            <w:r>
              <w:rPr>
                <w:sz w:val="20"/>
              </w:rPr>
              <w:t>Ниска</w:t>
            </w:r>
            <w:r>
              <w:rPr>
                <w:b/>
                <w:sz w:val="20"/>
              </w:rPr>
              <w:t xml:space="preserve"> </w:t>
            </w:r>
          </w:p>
        </w:tc>
        <w:tc>
          <w:tcPr>
            <w:tcW w:w="4165"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0" w:firstLine="0"/>
              <w:jc w:val="left"/>
            </w:pPr>
            <w:r>
              <w:rPr>
                <w:sz w:val="20"/>
              </w:rPr>
              <w:t>Придржавање предвиђених рокова</w:t>
            </w:r>
            <w:r>
              <w:rPr>
                <w:b/>
                <w:sz w:val="20"/>
              </w:rPr>
              <w:t xml:space="preserve"> </w:t>
            </w:r>
          </w:p>
        </w:tc>
      </w:tr>
      <w:tr w:rsidR="00E8309B">
        <w:trPr>
          <w:trHeight w:val="1162"/>
        </w:trPr>
        <w:tc>
          <w:tcPr>
            <w:tcW w:w="3330"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11" w:firstLine="0"/>
              <w:jc w:val="left"/>
            </w:pPr>
            <w:r>
              <w:rPr>
                <w:sz w:val="20"/>
              </w:rPr>
              <w:t>Неискоришћеност инфраструктуре у очекиваном обиму</w:t>
            </w:r>
            <w:r>
              <w:rPr>
                <w:b/>
                <w:sz w:val="20"/>
              </w:rPr>
              <w:t xml:space="preserve"> </w:t>
            </w:r>
          </w:p>
        </w:tc>
        <w:tc>
          <w:tcPr>
            <w:tcW w:w="2201"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2" w:right="0" w:firstLine="0"/>
              <w:jc w:val="left"/>
            </w:pPr>
            <w:r>
              <w:rPr>
                <w:sz w:val="20"/>
              </w:rPr>
              <w:t xml:space="preserve">Ниска </w:t>
            </w:r>
            <w:r>
              <w:rPr>
                <w:b/>
                <w:sz w:val="20"/>
              </w:rPr>
              <w:t xml:space="preserve"> </w:t>
            </w:r>
          </w:p>
        </w:tc>
        <w:tc>
          <w:tcPr>
            <w:tcW w:w="4165"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0" w:firstLine="0"/>
              <w:jc w:val="left"/>
            </w:pPr>
            <w:r>
              <w:rPr>
                <w:sz w:val="20"/>
              </w:rPr>
              <w:t xml:space="preserve">Развој инфраструктуре у складу са потребама заинтересованих страна добијених кроз континуирани консултативни процес (прикупљање повратних информација од корисника и унапређење на основу предлога) </w:t>
            </w:r>
            <w:r>
              <w:rPr>
                <w:b/>
                <w:sz w:val="20"/>
              </w:rPr>
              <w:t xml:space="preserve"> </w:t>
            </w:r>
          </w:p>
        </w:tc>
      </w:tr>
    </w:tbl>
    <w:p w:rsidR="00E8309B" w:rsidRDefault="009D0949">
      <w:pPr>
        <w:tabs>
          <w:tab w:val="center" w:pos="2631"/>
          <w:tab w:val="center" w:pos="3751"/>
          <w:tab w:val="center" w:pos="4676"/>
          <w:tab w:val="center" w:pos="5529"/>
          <w:tab w:val="center" w:pos="6778"/>
          <w:tab w:val="right" w:pos="9665"/>
        </w:tabs>
        <w:ind w:left="-15" w:right="0" w:firstLine="0"/>
        <w:jc w:val="left"/>
      </w:pPr>
      <w:r>
        <w:rPr>
          <w:b/>
          <w:u w:val="single" w:color="000000"/>
        </w:rPr>
        <w:t xml:space="preserve">СТРУКТУРНА </w:t>
      </w:r>
      <w:r>
        <w:rPr>
          <w:b/>
          <w:u w:val="single" w:color="000000"/>
        </w:rPr>
        <w:tab/>
        <w:t xml:space="preserve">РЕФОРМА </w:t>
      </w:r>
      <w:r>
        <w:rPr>
          <w:b/>
          <w:u w:val="single" w:color="000000"/>
        </w:rPr>
        <w:tab/>
        <w:t>17:</w:t>
      </w:r>
      <w:r>
        <w:rPr>
          <w:b/>
        </w:rPr>
        <w:t xml:space="preserve"> </w:t>
      </w:r>
      <w:r>
        <w:rPr>
          <w:b/>
        </w:rPr>
        <w:tab/>
      </w:r>
      <w:r>
        <w:t xml:space="preserve">РАЗВОЈ </w:t>
      </w:r>
      <w:r>
        <w:tab/>
        <w:t xml:space="preserve">И </w:t>
      </w:r>
      <w:r>
        <w:tab/>
        <w:t xml:space="preserve">УНАПРЕЂЕЊЕ </w:t>
      </w:r>
      <w:r>
        <w:tab/>
        <w:t xml:space="preserve">НАЦИОНАЛНЕ </w:t>
      </w:r>
    </w:p>
    <w:p w:rsidR="00E8309B" w:rsidRDefault="009D0949">
      <w:pPr>
        <w:spacing w:after="156"/>
        <w:ind w:left="-5" w:right="17"/>
      </w:pPr>
      <w:r>
        <w:t>ИНФОРМАЦИОНО-КОМУНИКАЦИОНЕ ИНФРАСТРУКТУРЕ</w:t>
      </w:r>
      <w:r>
        <w:rPr>
          <w:b/>
        </w:rPr>
        <w:t xml:space="preserve"> </w:t>
      </w:r>
    </w:p>
    <w:p w:rsidR="00E8309B" w:rsidRDefault="009D0949">
      <w:pPr>
        <w:spacing w:after="79" w:line="271" w:lineRule="auto"/>
        <w:ind w:left="-5" w:right="9"/>
      </w:pPr>
      <w:r>
        <w:rPr>
          <w:b/>
        </w:rPr>
        <w:t>1.</w:t>
      </w:r>
      <w:r>
        <w:rPr>
          <w:rFonts w:ascii="Arial" w:eastAsia="Arial" w:hAnsi="Arial" w:cs="Arial"/>
          <w:b/>
        </w:rPr>
        <w:t xml:space="preserve"> </w:t>
      </w:r>
      <w:r>
        <w:rPr>
          <w:b/>
        </w:rPr>
        <w:t xml:space="preserve">Опис структурне реформе </w:t>
      </w:r>
    </w:p>
    <w:p w:rsidR="00E8309B" w:rsidRDefault="009D0949">
      <w:pPr>
        <w:spacing w:after="91"/>
        <w:ind w:left="-5" w:right="17"/>
      </w:pPr>
      <w:r>
        <w:t>Обим коришћења сервиса електронске управе у значајној мери зависи од постојања адекватне и ефикасно коришћене информационо</w:t>
      </w:r>
      <w:r>
        <w:t>-комуникационе инфраструктуре. Са друге стране подршка дигитализацији формалног образовања, као и сам приступ интернету, представљају неопходну инфраструктуру за развој дигиталне економије и друштва.</w:t>
      </w:r>
      <w:r>
        <w:rPr>
          <w:color w:val="FF0000"/>
        </w:rPr>
        <w:t xml:space="preserve"> </w:t>
      </w:r>
      <w:r>
        <w:t xml:space="preserve">Најважнији циљеви реализације реформске мере су: развој </w:t>
      </w:r>
      <w:r>
        <w:t>широкопојасних мрежа за приступ oбезбеђивањем подстицаја државе за заједничку изградњу ИК инфраструктуре; израда детаљних мапа доступности услуга широкопојасног приступа у Србији и побољшање услова за развој дигиталног образовања и повећање коришћења серви</w:t>
      </w:r>
      <w:r>
        <w:t xml:space="preserve">са електронске управе. </w:t>
      </w:r>
    </w:p>
    <w:p w:rsidR="00E8309B" w:rsidRDefault="009D0949">
      <w:pPr>
        <w:spacing w:after="88"/>
        <w:ind w:left="-5" w:right="17"/>
      </w:pPr>
      <w:r>
        <w:t xml:space="preserve">Реформа се реализује кроз следеће активности:  </w:t>
      </w:r>
    </w:p>
    <w:p w:rsidR="00E8309B" w:rsidRDefault="009D0949">
      <w:pPr>
        <w:numPr>
          <w:ilvl w:val="0"/>
          <w:numId w:val="37"/>
        </w:numPr>
        <w:spacing w:after="88"/>
        <w:ind w:right="17" w:hanging="139"/>
      </w:pPr>
      <w:r>
        <w:t xml:space="preserve">Повезивање установа образовања и културе на АМРЕС;  </w:t>
      </w:r>
    </w:p>
    <w:p w:rsidR="00E8309B" w:rsidRDefault="009D0949">
      <w:pPr>
        <w:numPr>
          <w:ilvl w:val="0"/>
          <w:numId w:val="37"/>
        </w:numPr>
        <w:spacing w:after="89"/>
        <w:ind w:right="17" w:hanging="139"/>
      </w:pPr>
      <w:r>
        <w:t xml:space="preserve">Пројекат „Повезане школеˮ;  </w:t>
      </w:r>
    </w:p>
    <w:p w:rsidR="00E8309B" w:rsidRDefault="009D0949">
      <w:pPr>
        <w:numPr>
          <w:ilvl w:val="0"/>
          <w:numId w:val="37"/>
        </w:numPr>
        <w:ind w:right="17" w:hanging="139"/>
      </w:pPr>
      <w:r>
        <w:t xml:space="preserve">Пројекат изградње оптичке широкопојасне мреже у руралним областима Србије (фаза 1 и 2).  </w:t>
      </w:r>
    </w:p>
    <w:p w:rsidR="00E8309B" w:rsidRDefault="009D0949">
      <w:pPr>
        <w:spacing w:after="0"/>
        <w:ind w:left="-5" w:right="17"/>
      </w:pPr>
      <w:r>
        <w:t>Како се редо</w:t>
      </w:r>
      <w:r>
        <w:t>вне активности АМРЕС-а, као академске мреже, односе на функционисање и унапређење мреже у високошколским установама, реформом се даје подршка повезивању установа основног и средњег образовања и установа културе и науке како би се смањиле разлике у доступно</w:t>
      </w:r>
      <w:r>
        <w:t xml:space="preserve">сти савремених услуга.  </w:t>
      </w:r>
    </w:p>
    <w:p w:rsidR="00E8309B" w:rsidRDefault="009D0949">
      <w:pPr>
        <w:ind w:left="-5" w:right="17"/>
      </w:pPr>
      <w:r>
        <w:t>Пројекат „Повезане школеˮ је усмерен на изградњу и унапређење локалне бежичне комуникационе инфраструктуре (WLAN) у свим школама у Србији. Овим пројектом, у фази 2, завршено је повезивање 900 школских објеката, док је у фази 3 план</w:t>
      </w:r>
      <w:r>
        <w:t xml:space="preserve">ирано да се до краја 2022. године повеже још 930 школских објеката и унапреди мрежа у постојећим. </w:t>
      </w:r>
    </w:p>
    <w:p w:rsidR="00E8309B" w:rsidRDefault="009D0949">
      <w:pPr>
        <w:spacing w:after="0"/>
        <w:ind w:left="-5" w:right="17"/>
      </w:pPr>
      <w:r>
        <w:t>У оквиру фазе 1 пројекта изградње оптичке широкопојасне мреже у руралним областима Србије предвиђена је изградња инфраструктуре којом ће се повезати 600 насе</w:t>
      </w:r>
      <w:r>
        <w:t xml:space="preserve">ља односно око 90.000 домаћинстава, док би фаза 2 укључивала додатних 900 насеља са око 135.000 домаћинстава. </w:t>
      </w:r>
    </w:p>
    <w:p w:rsidR="00E8309B" w:rsidRDefault="009D0949">
      <w:pPr>
        <w:spacing w:after="99"/>
        <w:ind w:left="-5" w:right="17"/>
      </w:pPr>
      <w:r>
        <w:t xml:space="preserve">Реформа доприноси остваривању </w:t>
      </w:r>
      <w:r>
        <w:rPr>
          <w:b/>
        </w:rPr>
        <w:t xml:space="preserve">ЦОР 9.ц </w:t>
      </w:r>
      <w:r>
        <w:t>Значајно повећати приступ информационим и комуникационим технологијама и уложити напоре да се обезбеди унив</w:t>
      </w:r>
      <w:r>
        <w:t xml:space="preserve">ерзалан и приуштив приступ интернету, као и </w:t>
      </w:r>
      <w:r>
        <w:rPr>
          <w:b/>
        </w:rPr>
        <w:t xml:space="preserve">ЦОР 4.4. </w:t>
      </w:r>
      <w:r>
        <w:t xml:space="preserve">До 2030. значајно повећати број младих и одраслих који имају релевантне вештине, укључујући техничке и стручне, за запошљавање, достојне послове и предузетништво. </w:t>
      </w:r>
    </w:p>
    <w:p w:rsidR="00E8309B" w:rsidRDefault="009D0949">
      <w:pPr>
        <w:numPr>
          <w:ilvl w:val="0"/>
          <w:numId w:val="38"/>
        </w:numPr>
        <w:spacing w:after="19" w:line="271" w:lineRule="auto"/>
        <w:ind w:right="9" w:hanging="360"/>
      </w:pPr>
      <w:r>
        <w:rPr>
          <w:b/>
        </w:rPr>
        <w:t xml:space="preserve">Ковид-19 – ефекти, мере и изазови </w:t>
      </w:r>
    </w:p>
    <w:p w:rsidR="00E8309B" w:rsidRDefault="009D0949">
      <w:pPr>
        <w:spacing w:after="0"/>
        <w:ind w:left="-5" w:right="17"/>
      </w:pPr>
      <w:r>
        <w:t>Криза изазвана пандемијом Ковид-19 утицала је на реализацију припремних активности на изградњи оптичке широкопојасне мреже у руралним областима Србије, те оне нису потпуно спроведене у складу са планираном динамиком, тако да је део планираних активности пр</w:t>
      </w:r>
      <w:r>
        <w:t xml:space="preserve">енет у 2021. годину. Такође, криза је указала и на потребу постојања поуздане комуникационе инфраструктуре како би се омогућило обављање пословних активности и допринело квалитету живота у новонасталим околностима. </w:t>
      </w:r>
    </w:p>
    <w:p w:rsidR="00E8309B" w:rsidRDefault="009D0949">
      <w:pPr>
        <w:ind w:left="-5" w:right="17"/>
      </w:pPr>
      <w:r>
        <w:t>Обезбеђивањем стабилних извора средстава</w:t>
      </w:r>
      <w:r>
        <w:t xml:space="preserve"> за даљу реализацију ове реформске мере умањиће се негативан ефекат пандемије кроз изградњу комуникационе мреже у руралним областима Републике Србије као и кроз повезивање значајног броја објеката јавне намене како би се у ванредним околностима омогућило н</w:t>
      </w:r>
      <w:r>
        <w:t xml:space="preserve">есметано образовање, већа доступност дигиталних услуга и како би се утицало на стварање повољних услова за општи развој економије и друштва. </w:t>
      </w:r>
    </w:p>
    <w:p w:rsidR="00E8309B" w:rsidRDefault="009D0949">
      <w:pPr>
        <w:numPr>
          <w:ilvl w:val="0"/>
          <w:numId w:val="38"/>
        </w:numPr>
        <w:spacing w:after="0" w:line="271" w:lineRule="auto"/>
        <w:ind w:right="9" w:hanging="360"/>
      </w:pPr>
      <w:r>
        <w:rPr>
          <w:b/>
        </w:rPr>
        <w:t xml:space="preserve">Планирање активности по годинама </w:t>
      </w:r>
    </w:p>
    <w:tbl>
      <w:tblPr>
        <w:tblStyle w:val="TableGrid"/>
        <w:tblW w:w="9610" w:type="dxa"/>
        <w:tblInd w:w="10" w:type="dxa"/>
        <w:tblCellMar>
          <w:top w:w="10" w:type="dxa"/>
          <w:left w:w="58" w:type="dxa"/>
          <w:bottom w:w="0" w:type="dxa"/>
          <w:right w:w="8" w:type="dxa"/>
        </w:tblCellMar>
        <w:tblLook w:val="04A0" w:firstRow="1" w:lastRow="0" w:firstColumn="1" w:lastColumn="0" w:noHBand="0" w:noVBand="1"/>
      </w:tblPr>
      <w:tblGrid>
        <w:gridCol w:w="427"/>
        <w:gridCol w:w="4123"/>
        <w:gridCol w:w="419"/>
        <w:gridCol w:w="421"/>
        <w:gridCol w:w="422"/>
        <w:gridCol w:w="421"/>
        <w:gridCol w:w="424"/>
        <w:gridCol w:w="421"/>
        <w:gridCol w:w="423"/>
        <w:gridCol w:w="420"/>
        <w:gridCol w:w="424"/>
        <w:gridCol w:w="422"/>
        <w:gridCol w:w="422"/>
        <w:gridCol w:w="420"/>
      </w:tblGrid>
      <w:tr w:rsidR="00E8309B">
        <w:trPr>
          <w:trHeight w:val="332"/>
        </w:trPr>
        <w:tc>
          <w:tcPr>
            <w:tcW w:w="427" w:type="dxa"/>
            <w:vMerge w:val="restart"/>
            <w:tcBorders>
              <w:top w:val="single" w:sz="8" w:space="0" w:color="000000"/>
              <w:left w:val="single" w:sz="8" w:space="0" w:color="000000"/>
              <w:bottom w:val="single" w:sz="8" w:space="0" w:color="000000"/>
              <w:right w:val="single" w:sz="8" w:space="0" w:color="000000"/>
            </w:tcBorders>
            <w:vAlign w:val="center"/>
          </w:tcPr>
          <w:p w:rsidR="00E8309B" w:rsidRDefault="009D0949">
            <w:pPr>
              <w:spacing w:after="0" w:line="259" w:lineRule="auto"/>
              <w:ind w:left="29" w:right="0" w:firstLine="0"/>
            </w:pPr>
            <w:r>
              <w:rPr>
                <w:b/>
                <w:sz w:val="20"/>
              </w:rPr>
              <w:t xml:space="preserve">РБ </w:t>
            </w:r>
          </w:p>
        </w:tc>
        <w:tc>
          <w:tcPr>
            <w:tcW w:w="4123" w:type="dxa"/>
            <w:vMerge w:val="restart"/>
            <w:tcBorders>
              <w:top w:val="single" w:sz="8" w:space="0" w:color="000000"/>
              <w:left w:val="single" w:sz="8" w:space="0" w:color="000000"/>
              <w:bottom w:val="single" w:sz="8" w:space="0" w:color="000000"/>
              <w:right w:val="single" w:sz="8" w:space="0" w:color="000000"/>
            </w:tcBorders>
            <w:vAlign w:val="center"/>
          </w:tcPr>
          <w:p w:rsidR="00E8309B" w:rsidRDefault="009D0949">
            <w:pPr>
              <w:spacing w:after="0" w:line="259" w:lineRule="auto"/>
              <w:ind w:left="0" w:right="0" w:firstLine="0"/>
              <w:jc w:val="left"/>
            </w:pPr>
            <w:r>
              <w:rPr>
                <w:b/>
                <w:sz w:val="20"/>
              </w:rPr>
              <w:t xml:space="preserve">Планиране активности </w:t>
            </w:r>
          </w:p>
        </w:tc>
        <w:tc>
          <w:tcPr>
            <w:tcW w:w="1684" w:type="dxa"/>
            <w:gridSpan w:val="4"/>
            <w:tcBorders>
              <w:top w:val="single" w:sz="8" w:space="0" w:color="000000"/>
              <w:left w:val="single" w:sz="8" w:space="0" w:color="000000"/>
              <w:bottom w:val="single" w:sz="4" w:space="0" w:color="000000"/>
              <w:right w:val="single" w:sz="8" w:space="0" w:color="000000"/>
            </w:tcBorders>
          </w:tcPr>
          <w:p w:rsidR="00E8309B" w:rsidRDefault="009D0949">
            <w:pPr>
              <w:spacing w:after="0" w:line="259" w:lineRule="auto"/>
              <w:ind w:left="0" w:right="47" w:firstLine="0"/>
              <w:jc w:val="center"/>
            </w:pPr>
            <w:r>
              <w:rPr>
                <w:b/>
                <w:sz w:val="20"/>
              </w:rPr>
              <w:t xml:space="preserve">2021 </w:t>
            </w:r>
          </w:p>
        </w:tc>
        <w:tc>
          <w:tcPr>
            <w:tcW w:w="1688" w:type="dxa"/>
            <w:gridSpan w:val="4"/>
            <w:tcBorders>
              <w:top w:val="single" w:sz="8" w:space="0" w:color="000000"/>
              <w:left w:val="single" w:sz="8" w:space="0" w:color="000000"/>
              <w:bottom w:val="single" w:sz="4" w:space="0" w:color="000000"/>
              <w:right w:val="single" w:sz="8" w:space="0" w:color="000000"/>
            </w:tcBorders>
          </w:tcPr>
          <w:p w:rsidR="00E8309B" w:rsidRDefault="009D0949">
            <w:pPr>
              <w:spacing w:after="0" w:line="259" w:lineRule="auto"/>
              <w:ind w:left="0" w:right="44" w:firstLine="0"/>
              <w:jc w:val="center"/>
            </w:pPr>
            <w:r>
              <w:rPr>
                <w:b/>
                <w:sz w:val="20"/>
              </w:rPr>
              <w:t xml:space="preserve">2022 </w:t>
            </w:r>
          </w:p>
        </w:tc>
        <w:tc>
          <w:tcPr>
            <w:tcW w:w="1688" w:type="dxa"/>
            <w:gridSpan w:val="4"/>
            <w:tcBorders>
              <w:top w:val="single" w:sz="8" w:space="0" w:color="000000"/>
              <w:left w:val="single" w:sz="8" w:space="0" w:color="000000"/>
              <w:bottom w:val="single" w:sz="4" w:space="0" w:color="000000"/>
              <w:right w:val="single" w:sz="8" w:space="0" w:color="000000"/>
            </w:tcBorders>
          </w:tcPr>
          <w:p w:rsidR="00E8309B" w:rsidRDefault="009D0949">
            <w:pPr>
              <w:spacing w:after="0" w:line="259" w:lineRule="auto"/>
              <w:ind w:left="0" w:right="45" w:firstLine="0"/>
              <w:jc w:val="center"/>
            </w:pPr>
            <w:r>
              <w:rPr>
                <w:b/>
                <w:sz w:val="20"/>
              </w:rPr>
              <w:t xml:space="preserve">2023 </w:t>
            </w:r>
          </w:p>
        </w:tc>
      </w:tr>
      <w:tr w:rsidR="00E8309B">
        <w:trPr>
          <w:trHeight w:val="326"/>
        </w:trPr>
        <w:tc>
          <w:tcPr>
            <w:tcW w:w="0" w:type="auto"/>
            <w:vMerge/>
            <w:tcBorders>
              <w:top w:val="nil"/>
              <w:left w:val="single" w:sz="8" w:space="0" w:color="000000"/>
              <w:bottom w:val="single" w:sz="8" w:space="0" w:color="000000"/>
              <w:right w:val="single" w:sz="8" w:space="0" w:color="000000"/>
            </w:tcBorders>
          </w:tcPr>
          <w:p w:rsidR="00E8309B" w:rsidRDefault="00E8309B">
            <w:pPr>
              <w:spacing w:after="160" w:line="259" w:lineRule="auto"/>
              <w:ind w:left="0" w:right="0" w:firstLine="0"/>
              <w:jc w:val="left"/>
            </w:pPr>
          </w:p>
        </w:tc>
        <w:tc>
          <w:tcPr>
            <w:tcW w:w="0" w:type="auto"/>
            <w:vMerge/>
            <w:tcBorders>
              <w:top w:val="nil"/>
              <w:left w:val="single" w:sz="8" w:space="0" w:color="000000"/>
              <w:bottom w:val="single" w:sz="8" w:space="0" w:color="000000"/>
              <w:right w:val="single" w:sz="8" w:space="0" w:color="000000"/>
            </w:tcBorders>
          </w:tcPr>
          <w:p w:rsidR="00E8309B" w:rsidRDefault="00E8309B">
            <w:pPr>
              <w:spacing w:after="160" w:line="259" w:lineRule="auto"/>
              <w:ind w:left="0" w:right="0" w:firstLine="0"/>
              <w:jc w:val="left"/>
            </w:pPr>
          </w:p>
        </w:tc>
        <w:tc>
          <w:tcPr>
            <w:tcW w:w="419" w:type="dxa"/>
            <w:tcBorders>
              <w:top w:val="single" w:sz="4" w:space="0" w:color="000000"/>
              <w:left w:val="single" w:sz="8" w:space="0" w:color="000000"/>
              <w:bottom w:val="single" w:sz="8" w:space="0" w:color="000000"/>
              <w:right w:val="single" w:sz="4" w:space="0" w:color="000000"/>
            </w:tcBorders>
          </w:tcPr>
          <w:p w:rsidR="00E8309B" w:rsidRDefault="009D0949">
            <w:pPr>
              <w:spacing w:after="0" w:line="259" w:lineRule="auto"/>
              <w:ind w:left="30" w:right="0" w:firstLine="0"/>
            </w:pPr>
            <w:r>
              <w:rPr>
                <w:i/>
                <w:sz w:val="20"/>
              </w:rPr>
              <w:t xml:space="preserve">Q1 </w:t>
            </w:r>
          </w:p>
        </w:tc>
        <w:tc>
          <w:tcPr>
            <w:tcW w:w="421" w:type="dxa"/>
            <w:tcBorders>
              <w:top w:val="single" w:sz="4" w:space="0" w:color="000000"/>
              <w:left w:val="single" w:sz="4" w:space="0" w:color="000000"/>
              <w:bottom w:val="single" w:sz="8" w:space="0" w:color="000000"/>
              <w:right w:val="single" w:sz="4" w:space="0" w:color="000000"/>
            </w:tcBorders>
          </w:tcPr>
          <w:p w:rsidR="00E8309B" w:rsidRDefault="009D0949">
            <w:pPr>
              <w:spacing w:after="0" w:line="259" w:lineRule="auto"/>
              <w:ind w:left="31" w:right="0" w:firstLine="0"/>
            </w:pPr>
            <w:r>
              <w:rPr>
                <w:i/>
                <w:sz w:val="20"/>
              </w:rPr>
              <w:t xml:space="preserve">Q2 </w:t>
            </w:r>
          </w:p>
        </w:tc>
        <w:tc>
          <w:tcPr>
            <w:tcW w:w="422" w:type="dxa"/>
            <w:tcBorders>
              <w:top w:val="single" w:sz="4" w:space="0" w:color="000000"/>
              <w:left w:val="single" w:sz="4" w:space="0" w:color="000000"/>
              <w:bottom w:val="single" w:sz="8" w:space="0" w:color="000000"/>
              <w:right w:val="single" w:sz="4" w:space="0" w:color="000000"/>
            </w:tcBorders>
          </w:tcPr>
          <w:p w:rsidR="00E8309B" w:rsidRDefault="009D0949">
            <w:pPr>
              <w:spacing w:after="0" w:line="259" w:lineRule="auto"/>
              <w:ind w:left="32" w:right="0" w:firstLine="0"/>
            </w:pPr>
            <w:r>
              <w:rPr>
                <w:i/>
                <w:sz w:val="20"/>
              </w:rPr>
              <w:t xml:space="preserve">Q3 </w:t>
            </w:r>
          </w:p>
        </w:tc>
        <w:tc>
          <w:tcPr>
            <w:tcW w:w="421" w:type="dxa"/>
            <w:tcBorders>
              <w:top w:val="single" w:sz="4" w:space="0" w:color="000000"/>
              <w:left w:val="single" w:sz="4" w:space="0" w:color="000000"/>
              <w:bottom w:val="single" w:sz="8" w:space="0" w:color="000000"/>
              <w:right w:val="single" w:sz="8" w:space="0" w:color="000000"/>
            </w:tcBorders>
          </w:tcPr>
          <w:p w:rsidR="00E8309B" w:rsidRDefault="009D0949">
            <w:pPr>
              <w:spacing w:after="0" w:line="259" w:lineRule="auto"/>
              <w:ind w:left="32" w:right="0" w:firstLine="0"/>
            </w:pPr>
            <w:r>
              <w:rPr>
                <w:i/>
                <w:sz w:val="20"/>
              </w:rPr>
              <w:t xml:space="preserve">Q4 </w:t>
            </w:r>
          </w:p>
        </w:tc>
        <w:tc>
          <w:tcPr>
            <w:tcW w:w="424" w:type="dxa"/>
            <w:tcBorders>
              <w:top w:val="single" w:sz="4" w:space="0" w:color="000000"/>
              <w:left w:val="single" w:sz="8" w:space="0" w:color="000000"/>
              <w:bottom w:val="single" w:sz="8" w:space="0" w:color="000000"/>
              <w:right w:val="single" w:sz="4" w:space="0" w:color="000000"/>
            </w:tcBorders>
          </w:tcPr>
          <w:p w:rsidR="00E8309B" w:rsidRDefault="009D0949">
            <w:pPr>
              <w:spacing w:after="0" w:line="259" w:lineRule="auto"/>
              <w:ind w:left="34" w:right="0" w:firstLine="0"/>
            </w:pPr>
            <w:r>
              <w:rPr>
                <w:i/>
                <w:sz w:val="20"/>
              </w:rPr>
              <w:t xml:space="preserve">Q1 </w:t>
            </w:r>
          </w:p>
        </w:tc>
        <w:tc>
          <w:tcPr>
            <w:tcW w:w="421" w:type="dxa"/>
            <w:tcBorders>
              <w:top w:val="single" w:sz="4" w:space="0" w:color="000000"/>
              <w:left w:val="single" w:sz="4" w:space="0" w:color="000000"/>
              <w:bottom w:val="single" w:sz="8" w:space="0" w:color="000000"/>
              <w:right w:val="single" w:sz="4" w:space="0" w:color="000000"/>
            </w:tcBorders>
          </w:tcPr>
          <w:p w:rsidR="00E8309B" w:rsidRDefault="009D0949">
            <w:pPr>
              <w:spacing w:after="0" w:line="259" w:lineRule="auto"/>
              <w:ind w:left="32" w:right="0" w:firstLine="0"/>
            </w:pPr>
            <w:r>
              <w:rPr>
                <w:i/>
                <w:sz w:val="20"/>
              </w:rPr>
              <w:t xml:space="preserve">Q2 </w:t>
            </w:r>
          </w:p>
        </w:tc>
        <w:tc>
          <w:tcPr>
            <w:tcW w:w="423" w:type="dxa"/>
            <w:tcBorders>
              <w:top w:val="single" w:sz="4" w:space="0" w:color="000000"/>
              <w:left w:val="single" w:sz="4" w:space="0" w:color="000000"/>
              <w:bottom w:val="single" w:sz="8" w:space="0" w:color="000000"/>
              <w:right w:val="single" w:sz="4" w:space="0" w:color="000000"/>
            </w:tcBorders>
          </w:tcPr>
          <w:p w:rsidR="00E8309B" w:rsidRDefault="009D0949">
            <w:pPr>
              <w:spacing w:after="0" w:line="259" w:lineRule="auto"/>
              <w:ind w:left="34" w:right="0" w:firstLine="0"/>
            </w:pPr>
            <w:r>
              <w:rPr>
                <w:i/>
                <w:sz w:val="20"/>
              </w:rPr>
              <w:t xml:space="preserve">Q3 </w:t>
            </w:r>
          </w:p>
        </w:tc>
        <w:tc>
          <w:tcPr>
            <w:tcW w:w="420" w:type="dxa"/>
            <w:tcBorders>
              <w:top w:val="single" w:sz="4" w:space="0" w:color="000000"/>
              <w:left w:val="single" w:sz="4" w:space="0" w:color="000000"/>
              <w:bottom w:val="single" w:sz="8" w:space="0" w:color="000000"/>
              <w:right w:val="single" w:sz="8" w:space="0" w:color="000000"/>
            </w:tcBorders>
          </w:tcPr>
          <w:p w:rsidR="00E8309B" w:rsidRDefault="009D0949">
            <w:pPr>
              <w:spacing w:after="0" w:line="259" w:lineRule="auto"/>
              <w:ind w:left="31" w:right="0" w:firstLine="0"/>
            </w:pPr>
            <w:r>
              <w:rPr>
                <w:i/>
                <w:sz w:val="20"/>
              </w:rPr>
              <w:t xml:space="preserve">Q4 </w:t>
            </w:r>
          </w:p>
        </w:tc>
        <w:tc>
          <w:tcPr>
            <w:tcW w:w="424" w:type="dxa"/>
            <w:tcBorders>
              <w:top w:val="single" w:sz="4" w:space="0" w:color="000000"/>
              <w:left w:val="single" w:sz="8" w:space="0" w:color="000000"/>
              <w:bottom w:val="single" w:sz="8" w:space="0" w:color="000000"/>
              <w:right w:val="single" w:sz="4" w:space="0" w:color="000000"/>
            </w:tcBorders>
          </w:tcPr>
          <w:p w:rsidR="00E8309B" w:rsidRDefault="009D0949">
            <w:pPr>
              <w:spacing w:after="0" w:line="259" w:lineRule="auto"/>
              <w:ind w:left="34" w:right="0" w:firstLine="0"/>
            </w:pPr>
            <w:r>
              <w:rPr>
                <w:i/>
                <w:sz w:val="20"/>
              </w:rPr>
              <w:t xml:space="preserve">Q1 </w:t>
            </w:r>
          </w:p>
        </w:tc>
        <w:tc>
          <w:tcPr>
            <w:tcW w:w="422" w:type="dxa"/>
            <w:tcBorders>
              <w:top w:val="single" w:sz="4" w:space="0" w:color="000000"/>
              <w:left w:val="single" w:sz="4" w:space="0" w:color="000000"/>
              <w:bottom w:val="single" w:sz="8" w:space="0" w:color="000000"/>
              <w:right w:val="single" w:sz="4" w:space="0" w:color="000000"/>
            </w:tcBorders>
          </w:tcPr>
          <w:p w:rsidR="00E8309B" w:rsidRDefault="009D0949">
            <w:pPr>
              <w:spacing w:after="0" w:line="259" w:lineRule="auto"/>
              <w:ind w:left="32" w:right="0" w:firstLine="0"/>
            </w:pPr>
            <w:r>
              <w:rPr>
                <w:i/>
                <w:sz w:val="20"/>
              </w:rPr>
              <w:t xml:space="preserve">Q2 </w:t>
            </w:r>
          </w:p>
        </w:tc>
        <w:tc>
          <w:tcPr>
            <w:tcW w:w="422" w:type="dxa"/>
            <w:tcBorders>
              <w:top w:val="single" w:sz="4" w:space="0" w:color="000000"/>
              <w:left w:val="single" w:sz="4" w:space="0" w:color="000000"/>
              <w:bottom w:val="single" w:sz="8" w:space="0" w:color="000000"/>
              <w:right w:val="single" w:sz="4" w:space="0" w:color="000000"/>
            </w:tcBorders>
          </w:tcPr>
          <w:p w:rsidR="00E8309B" w:rsidRDefault="009D0949">
            <w:pPr>
              <w:spacing w:after="0" w:line="259" w:lineRule="auto"/>
              <w:ind w:left="32" w:right="0" w:firstLine="0"/>
            </w:pPr>
            <w:r>
              <w:rPr>
                <w:i/>
                <w:sz w:val="20"/>
              </w:rPr>
              <w:t xml:space="preserve">Q3 </w:t>
            </w:r>
          </w:p>
        </w:tc>
        <w:tc>
          <w:tcPr>
            <w:tcW w:w="420" w:type="dxa"/>
            <w:tcBorders>
              <w:top w:val="single" w:sz="4" w:space="0" w:color="000000"/>
              <w:left w:val="single" w:sz="4" w:space="0" w:color="000000"/>
              <w:bottom w:val="single" w:sz="8" w:space="0" w:color="000000"/>
              <w:right w:val="single" w:sz="8" w:space="0" w:color="000000"/>
            </w:tcBorders>
          </w:tcPr>
          <w:p w:rsidR="00E8309B" w:rsidRDefault="009D0949">
            <w:pPr>
              <w:spacing w:after="0" w:line="259" w:lineRule="auto"/>
              <w:ind w:left="32" w:right="0" w:firstLine="0"/>
            </w:pPr>
            <w:r>
              <w:rPr>
                <w:i/>
                <w:sz w:val="20"/>
              </w:rPr>
              <w:t xml:space="preserve">Q4 </w:t>
            </w:r>
          </w:p>
        </w:tc>
      </w:tr>
      <w:tr w:rsidR="00E8309B">
        <w:trPr>
          <w:trHeight w:val="473"/>
        </w:trPr>
        <w:tc>
          <w:tcPr>
            <w:tcW w:w="427" w:type="dxa"/>
            <w:tcBorders>
              <w:top w:val="single" w:sz="8" w:space="0" w:color="000000"/>
              <w:left w:val="single" w:sz="8" w:space="0" w:color="000000"/>
              <w:bottom w:val="single" w:sz="4" w:space="0" w:color="000000"/>
              <w:right w:val="single" w:sz="8" w:space="0" w:color="000000"/>
            </w:tcBorders>
          </w:tcPr>
          <w:p w:rsidR="00E8309B" w:rsidRDefault="009D0949">
            <w:pPr>
              <w:spacing w:after="0" w:line="259" w:lineRule="auto"/>
              <w:ind w:left="0" w:right="51" w:firstLine="0"/>
              <w:jc w:val="right"/>
            </w:pPr>
            <w:r>
              <w:rPr>
                <w:sz w:val="20"/>
              </w:rPr>
              <w:t xml:space="preserve">1 </w:t>
            </w:r>
          </w:p>
        </w:tc>
        <w:tc>
          <w:tcPr>
            <w:tcW w:w="4123" w:type="dxa"/>
            <w:tcBorders>
              <w:top w:val="single" w:sz="8" w:space="0" w:color="000000"/>
              <w:left w:val="single" w:sz="8" w:space="0" w:color="000000"/>
              <w:bottom w:val="single" w:sz="4" w:space="0" w:color="000000"/>
              <w:right w:val="single" w:sz="8" w:space="0" w:color="000000"/>
            </w:tcBorders>
          </w:tcPr>
          <w:p w:rsidR="00E8309B" w:rsidRDefault="009D0949">
            <w:pPr>
              <w:spacing w:after="18" w:line="259" w:lineRule="auto"/>
              <w:ind w:left="0" w:right="0" w:firstLine="0"/>
            </w:pPr>
            <w:r>
              <w:rPr>
                <w:sz w:val="20"/>
              </w:rPr>
              <w:t xml:space="preserve">Повезивање установа образовања и културе на </w:t>
            </w:r>
          </w:p>
          <w:p w:rsidR="00E8309B" w:rsidRDefault="009D0949">
            <w:pPr>
              <w:spacing w:after="0" w:line="259" w:lineRule="auto"/>
              <w:ind w:left="0" w:right="0" w:firstLine="0"/>
              <w:jc w:val="left"/>
            </w:pPr>
            <w:r>
              <w:rPr>
                <w:sz w:val="20"/>
              </w:rPr>
              <w:t xml:space="preserve">АМРЕС </w:t>
            </w:r>
          </w:p>
        </w:tc>
        <w:tc>
          <w:tcPr>
            <w:tcW w:w="419" w:type="dxa"/>
            <w:tcBorders>
              <w:top w:val="single" w:sz="8" w:space="0" w:color="000000"/>
              <w:left w:val="single" w:sz="8"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1" w:right="0" w:firstLine="0"/>
              <w:jc w:val="center"/>
            </w:pPr>
            <w:r>
              <w:rPr>
                <w:sz w:val="20"/>
              </w:rPr>
              <w:t xml:space="preserve"> </w:t>
            </w:r>
          </w:p>
        </w:tc>
        <w:tc>
          <w:tcPr>
            <w:tcW w:w="421" w:type="dxa"/>
            <w:tcBorders>
              <w:top w:val="single" w:sz="8" w:space="0" w:color="000000"/>
              <w:left w:val="single" w:sz="4"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1" w:right="0" w:firstLine="0"/>
              <w:jc w:val="center"/>
            </w:pPr>
            <w:r>
              <w:rPr>
                <w:sz w:val="20"/>
              </w:rPr>
              <w:t xml:space="preserve"> </w:t>
            </w:r>
          </w:p>
        </w:tc>
        <w:tc>
          <w:tcPr>
            <w:tcW w:w="422" w:type="dxa"/>
            <w:tcBorders>
              <w:top w:val="single" w:sz="8" w:space="0" w:color="000000"/>
              <w:left w:val="single" w:sz="4"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2" w:right="0" w:firstLine="0"/>
              <w:jc w:val="center"/>
            </w:pPr>
            <w:r>
              <w:rPr>
                <w:sz w:val="20"/>
              </w:rPr>
              <w:t xml:space="preserve"> </w:t>
            </w:r>
          </w:p>
        </w:tc>
        <w:tc>
          <w:tcPr>
            <w:tcW w:w="421" w:type="dxa"/>
            <w:tcBorders>
              <w:top w:val="single" w:sz="8" w:space="0" w:color="000000"/>
              <w:left w:val="single" w:sz="4" w:space="0" w:color="000000"/>
              <w:bottom w:val="single" w:sz="4" w:space="0" w:color="000000"/>
              <w:right w:val="single" w:sz="8" w:space="0" w:color="000000"/>
            </w:tcBorders>
            <w:shd w:val="clear" w:color="auto" w:fill="BFBFBF"/>
            <w:vAlign w:val="center"/>
          </w:tcPr>
          <w:p w:rsidR="00E8309B" w:rsidRDefault="009D0949">
            <w:pPr>
              <w:spacing w:after="0" w:line="259" w:lineRule="auto"/>
              <w:ind w:left="4" w:right="0" w:firstLine="0"/>
              <w:jc w:val="center"/>
            </w:pPr>
            <w:r>
              <w:rPr>
                <w:sz w:val="20"/>
              </w:rPr>
              <w:t xml:space="preserve"> </w:t>
            </w:r>
          </w:p>
        </w:tc>
        <w:tc>
          <w:tcPr>
            <w:tcW w:w="424" w:type="dxa"/>
            <w:tcBorders>
              <w:top w:val="single" w:sz="8" w:space="0" w:color="000000"/>
              <w:left w:val="single" w:sz="8"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4" w:right="0" w:firstLine="0"/>
              <w:jc w:val="center"/>
            </w:pPr>
            <w:r>
              <w:rPr>
                <w:sz w:val="20"/>
              </w:rPr>
              <w:t xml:space="preserve"> </w:t>
            </w:r>
          </w:p>
        </w:tc>
        <w:tc>
          <w:tcPr>
            <w:tcW w:w="421" w:type="dxa"/>
            <w:tcBorders>
              <w:top w:val="single" w:sz="8" w:space="0" w:color="000000"/>
              <w:left w:val="single" w:sz="4"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4" w:right="0" w:firstLine="0"/>
              <w:jc w:val="center"/>
            </w:pPr>
            <w:r>
              <w:rPr>
                <w:sz w:val="20"/>
              </w:rPr>
              <w:t xml:space="preserve"> </w:t>
            </w:r>
          </w:p>
        </w:tc>
        <w:tc>
          <w:tcPr>
            <w:tcW w:w="423" w:type="dxa"/>
            <w:tcBorders>
              <w:top w:val="single" w:sz="8" w:space="0" w:color="000000"/>
              <w:left w:val="single" w:sz="4"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5" w:right="0" w:firstLine="0"/>
              <w:jc w:val="center"/>
            </w:pPr>
            <w:r>
              <w:rPr>
                <w:sz w:val="20"/>
              </w:rPr>
              <w:t xml:space="preserve"> </w:t>
            </w:r>
          </w:p>
        </w:tc>
        <w:tc>
          <w:tcPr>
            <w:tcW w:w="420" w:type="dxa"/>
            <w:tcBorders>
              <w:top w:val="single" w:sz="8" w:space="0" w:color="000000"/>
              <w:left w:val="single" w:sz="4" w:space="0" w:color="000000"/>
              <w:bottom w:val="single" w:sz="4" w:space="0" w:color="000000"/>
              <w:right w:val="single" w:sz="8" w:space="0" w:color="000000"/>
            </w:tcBorders>
            <w:shd w:val="clear" w:color="auto" w:fill="BFBFBF"/>
            <w:vAlign w:val="center"/>
          </w:tcPr>
          <w:p w:rsidR="00E8309B" w:rsidRDefault="009D0949">
            <w:pPr>
              <w:spacing w:after="0" w:line="259" w:lineRule="auto"/>
              <w:ind w:left="2" w:right="0" w:firstLine="0"/>
              <w:jc w:val="center"/>
            </w:pPr>
            <w:r>
              <w:rPr>
                <w:sz w:val="20"/>
              </w:rPr>
              <w:t xml:space="preserve"> </w:t>
            </w:r>
          </w:p>
        </w:tc>
        <w:tc>
          <w:tcPr>
            <w:tcW w:w="424" w:type="dxa"/>
            <w:tcBorders>
              <w:top w:val="single" w:sz="8" w:space="0" w:color="000000"/>
              <w:left w:val="single" w:sz="8"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4" w:right="0" w:firstLine="0"/>
              <w:jc w:val="center"/>
            </w:pPr>
            <w:r>
              <w:rPr>
                <w:sz w:val="20"/>
              </w:rPr>
              <w:t xml:space="preserve"> </w:t>
            </w:r>
          </w:p>
        </w:tc>
        <w:tc>
          <w:tcPr>
            <w:tcW w:w="422" w:type="dxa"/>
            <w:tcBorders>
              <w:top w:val="single" w:sz="8" w:space="0" w:color="000000"/>
              <w:left w:val="single" w:sz="4"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2" w:right="0" w:firstLine="0"/>
              <w:jc w:val="center"/>
            </w:pPr>
            <w:r>
              <w:rPr>
                <w:sz w:val="20"/>
              </w:rPr>
              <w:t xml:space="preserve"> </w:t>
            </w:r>
          </w:p>
        </w:tc>
        <w:tc>
          <w:tcPr>
            <w:tcW w:w="422" w:type="dxa"/>
            <w:tcBorders>
              <w:top w:val="single" w:sz="8" w:space="0" w:color="000000"/>
              <w:left w:val="single" w:sz="4"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2" w:right="0" w:firstLine="0"/>
              <w:jc w:val="center"/>
            </w:pPr>
            <w:r>
              <w:rPr>
                <w:sz w:val="20"/>
              </w:rPr>
              <w:t xml:space="preserve"> </w:t>
            </w:r>
          </w:p>
        </w:tc>
        <w:tc>
          <w:tcPr>
            <w:tcW w:w="420" w:type="dxa"/>
            <w:tcBorders>
              <w:top w:val="single" w:sz="8" w:space="0" w:color="000000"/>
              <w:left w:val="single" w:sz="4" w:space="0" w:color="000000"/>
              <w:bottom w:val="single" w:sz="4" w:space="0" w:color="000000"/>
              <w:right w:val="single" w:sz="8" w:space="0" w:color="000000"/>
            </w:tcBorders>
            <w:shd w:val="clear" w:color="auto" w:fill="BFBFBF"/>
            <w:vAlign w:val="center"/>
          </w:tcPr>
          <w:p w:rsidR="00E8309B" w:rsidRDefault="009D0949">
            <w:pPr>
              <w:spacing w:after="0" w:line="259" w:lineRule="auto"/>
              <w:ind w:left="5" w:right="0" w:firstLine="0"/>
              <w:jc w:val="center"/>
            </w:pPr>
            <w:r>
              <w:rPr>
                <w:sz w:val="20"/>
              </w:rPr>
              <w:t xml:space="preserve"> </w:t>
            </w:r>
          </w:p>
        </w:tc>
      </w:tr>
      <w:tr w:rsidR="00E8309B">
        <w:trPr>
          <w:trHeight w:val="701"/>
        </w:trPr>
        <w:tc>
          <w:tcPr>
            <w:tcW w:w="427" w:type="dxa"/>
            <w:tcBorders>
              <w:top w:val="single" w:sz="4" w:space="0" w:color="000000"/>
              <w:left w:val="single" w:sz="8" w:space="0" w:color="000000"/>
              <w:bottom w:val="single" w:sz="4" w:space="0" w:color="000000"/>
              <w:right w:val="single" w:sz="8" w:space="0" w:color="000000"/>
            </w:tcBorders>
          </w:tcPr>
          <w:p w:rsidR="00E8309B" w:rsidRDefault="009D0949">
            <w:pPr>
              <w:spacing w:after="0" w:line="259" w:lineRule="auto"/>
              <w:ind w:left="0" w:right="51" w:firstLine="0"/>
              <w:jc w:val="right"/>
            </w:pPr>
            <w:r>
              <w:rPr>
                <w:sz w:val="20"/>
              </w:rPr>
              <w:t xml:space="preserve">2 </w:t>
            </w:r>
          </w:p>
        </w:tc>
        <w:tc>
          <w:tcPr>
            <w:tcW w:w="4123" w:type="dxa"/>
            <w:tcBorders>
              <w:top w:val="single" w:sz="4" w:space="0" w:color="000000"/>
              <w:left w:val="single" w:sz="8" w:space="0" w:color="000000"/>
              <w:bottom w:val="single" w:sz="4" w:space="0" w:color="000000"/>
              <w:right w:val="single" w:sz="8" w:space="0" w:color="000000"/>
            </w:tcBorders>
          </w:tcPr>
          <w:p w:rsidR="00E8309B" w:rsidRDefault="009D0949">
            <w:pPr>
              <w:spacing w:after="0" w:line="259" w:lineRule="auto"/>
              <w:ind w:left="0" w:right="0" w:firstLine="0"/>
              <w:jc w:val="left"/>
            </w:pPr>
            <w:r>
              <w:rPr>
                <w:sz w:val="20"/>
              </w:rPr>
              <w:t xml:space="preserve">Активности на унапређењу ИК инфраструктуре у основним и средњим школама у РС – „Повезане школе“ </w:t>
            </w:r>
          </w:p>
        </w:tc>
        <w:tc>
          <w:tcPr>
            <w:tcW w:w="419" w:type="dxa"/>
            <w:tcBorders>
              <w:top w:val="single" w:sz="4" w:space="0" w:color="000000"/>
              <w:left w:val="single" w:sz="8"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1" w:right="0" w:firstLine="0"/>
              <w:jc w:val="center"/>
            </w:pPr>
            <w:r>
              <w:rPr>
                <w:sz w:val="20"/>
              </w:rPr>
              <w:t xml:space="preserve"> </w:t>
            </w:r>
          </w:p>
        </w:tc>
        <w:tc>
          <w:tcPr>
            <w:tcW w:w="421"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1" w:right="0" w:firstLine="0"/>
              <w:jc w:val="center"/>
            </w:pPr>
            <w:r>
              <w:rPr>
                <w:sz w:val="20"/>
              </w:rPr>
              <w:t xml:space="preserve"> </w:t>
            </w:r>
          </w:p>
        </w:tc>
        <w:tc>
          <w:tcPr>
            <w:tcW w:w="422"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2" w:right="0" w:firstLine="0"/>
              <w:jc w:val="center"/>
            </w:pPr>
            <w:r>
              <w:rPr>
                <w:sz w:val="20"/>
              </w:rPr>
              <w:t xml:space="preserve"> </w:t>
            </w:r>
          </w:p>
        </w:tc>
        <w:tc>
          <w:tcPr>
            <w:tcW w:w="421" w:type="dxa"/>
            <w:tcBorders>
              <w:top w:val="single" w:sz="4" w:space="0" w:color="000000"/>
              <w:left w:val="single" w:sz="4" w:space="0" w:color="000000"/>
              <w:bottom w:val="single" w:sz="4" w:space="0" w:color="000000"/>
              <w:right w:val="single" w:sz="8" w:space="0" w:color="000000"/>
            </w:tcBorders>
            <w:shd w:val="clear" w:color="auto" w:fill="BFBFBF"/>
            <w:vAlign w:val="center"/>
          </w:tcPr>
          <w:p w:rsidR="00E8309B" w:rsidRDefault="009D0949">
            <w:pPr>
              <w:spacing w:after="0" w:line="259" w:lineRule="auto"/>
              <w:ind w:left="4" w:right="0" w:firstLine="0"/>
              <w:jc w:val="center"/>
            </w:pPr>
            <w:r>
              <w:rPr>
                <w:sz w:val="20"/>
              </w:rPr>
              <w:t xml:space="preserve"> </w:t>
            </w:r>
          </w:p>
        </w:tc>
        <w:tc>
          <w:tcPr>
            <w:tcW w:w="424" w:type="dxa"/>
            <w:tcBorders>
              <w:top w:val="single" w:sz="4" w:space="0" w:color="000000"/>
              <w:left w:val="single" w:sz="8"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4" w:right="0" w:firstLine="0"/>
              <w:jc w:val="center"/>
            </w:pPr>
            <w:r>
              <w:rPr>
                <w:sz w:val="20"/>
              </w:rPr>
              <w:t xml:space="preserve"> </w:t>
            </w:r>
          </w:p>
        </w:tc>
        <w:tc>
          <w:tcPr>
            <w:tcW w:w="421"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4" w:right="0" w:firstLine="0"/>
              <w:jc w:val="center"/>
            </w:pPr>
            <w:r>
              <w:rPr>
                <w:sz w:val="20"/>
              </w:rPr>
              <w:t xml:space="preserve"> </w:t>
            </w:r>
          </w:p>
        </w:tc>
        <w:tc>
          <w:tcPr>
            <w:tcW w:w="423"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5" w:right="0" w:firstLine="0"/>
              <w:jc w:val="center"/>
            </w:pPr>
            <w:r>
              <w:rPr>
                <w:sz w:val="20"/>
              </w:rPr>
              <w:t xml:space="preserve"> </w:t>
            </w:r>
          </w:p>
        </w:tc>
        <w:tc>
          <w:tcPr>
            <w:tcW w:w="420" w:type="dxa"/>
            <w:tcBorders>
              <w:top w:val="single" w:sz="4" w:space="0" w:color="000000"/>
              <w:left w:val="single" w:sz="4" w:space="0" w:color="000000"/>
              <w:bottom w:val="single" w:sz="4" w:space="0" w:color="000000"/>
              <w:right w:val="single" w:sz="8" w:space="0" w:color="000000"/>
            </w:tcBorders>
            <w:shd w:val="clear" w:color="auto" w:fill="BFBFBF"/>
            <w:vAlign w:val="center"/>
          </w:tcPr>
          <w:p w:rsidR="00E8309B" w:rsidRDefault="009D0949">
            <w:pPr>
              <w:spacing w:after="0" w:line="259" w:lineRule="auto"/>
              <w:ind w:left="2" w:right="0" w:firstLine="0"/>
              <w:jc w:val="center"/>
            </w:pPr>
            <w:r>
              <w:rPr>
                <w:sz w:val="20"/>
              </w:rPr>
              <w:t xml:space="preserve"> </w:t>
            </w:r>
          </w:p>
        </w:tc>
        <w:tc>
          <w:tcPr>
            <w:tcW w:w="424" w:type="dxa"/>
            <w:tcBorders>
              <w:top w:val="single" w:sz="4" w:space="0" w:color="000000"/>
              <w:left w:val="single" w:sz="8" w:space="0" w:color="000000"/>
              <w:bottom w:val="single" w:sz="4" w:space="0" w:color="000000"/>
              <w:right w:val="single" w:sz="4" w:space="0" w:color="000000"/>
            </w:tcBorders>
            <w:vAlign w:val="center"/>
          </w:tcPr>
          <w:p w:rsidR="00E8309B" w:rsidRDefault="009D0949">
            <w:pPr>
              <w:spacing w:after="0" w:line="259" w:lineRule="auto"/>
              <w:ind w:left="4" w:right="0" w:firstLine="0"/>
              <w:jc w:val="center"/>
            </w:pPr>
            <w:r>
              <w:rPr>
                <w:sz w:val="20"/>
              </w:rPr>
              <w:t xml:space="preserve"> </w:t>
            </w:r>
          </w:p>
        </w:tc>
        <w:tc>
          <w:tcPr>
            <w:tcW w:w="422"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2" w:right="0" w:firstLine="0"/>
              <w:jc w:val="center"/>
            </w:pPr>
            <w:r>
              <w:rPr>
                <w:sz w:val="20"/>
              </w:rPr>
              <w:t xml:space="preserve"> </w:t>
            </w:r>
          </w:p>
        </w:tc>
        <w:tc>
          <w:tcPr>
            <w:tcW w:w="422"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2" w:right="0" w:firstLine="0"/>
              <w:jc w:val="center"/>
            </w:pPr>
            <w:r>
              <w:rPr>
                <w:sz w:val="20"/>
              </w:rPr>
              <w:t xml:space="preserve"> </w:t>
            </w:r>
          </w:p>
        </w:tc>
        <w:tc>
          <w:tcPr>
            <w:tcW w:w="420" w:type="dxa"/>
            <w:tcBorders>
              <w:top w:val="single" w:sz="4" w:space="0" w:color="000000"/>
              <w:left w:val="single" w:sz="4" w:space="0" w:color="000000"/>
              <w:bottom w:val="single" w:sz="4" w:space="0" w:color="000000"/>
              <w:right w:val="single" w:sz="8" w:space="0" w:color="000000"/>
            </w:tcBorders>
            <w:vAlign w:val="center"/>
          </w:tcPr>
          <w:p w:rsidR="00E8309B" w:rsidRDefault="009D0949">
            <w:pPr>
              <w:spacing w:after="0" w:line="259" w:lineRule="auto"/>
              <w:ind w:left="5" w:right="0" w:firstLine="0"/>
              <w:jc w:val="center"/>
            </w:pPr>
            <w:r>
              <w:rPr>
                <w:sz w:val="20"/>
              </w:rPr>
              <w:t xml:space="preserve"> </w:t>
            </w:r>
          </w:p>
        </w:tc>
      </w:tr>
      <w:tr w:rsidR="00E8309B">
        <w:trPr>
          <w:trHeight w:val="698"/>
        </w:trPr>
        <w:tc>
          <w:tcPr>
            <w:tcW w:w="427" w:type="dxa"/>
            <w:tcBorders>
              <w:top w:val="single" w:sz="4" w:space="0" w:color="000000"/>
              <w:left w:val="single" w:sz="8" w:space="0" w:color="000000"/>
              <w:bottom w:val="single" w:sz="4" w:space="0" w:color="000000"/>
              <w:right w:val="single" w:sz="8" w:space="0" w:color="000000"/>
            </w:tcBorders>
          </w:tcPr>
          <w:p w:rsidR="00E8309B" w:rsidRDefault="009D0949">
            <w:pPr>
              <w:spacing w:after="0" w:line="259" w:lineRule="auto"/>
              <w:ind w:left="0" w:right="51" w:firstLine="0"/>
              <w:jc w:val="right"/>
            </w:pPr>
            <w:r>
              <w:rPr>
                <w:sz w:val="20"/>
              </w:rPr>
              <w:t xml:space="preserve">3 </w:t>
            </w:r>
          </w:p>
        </w:tc>
        <w:tc>
          <w:tcPr>
            <w:tcW w:w="4123" w:type="dxa"/>
            <w:tcBorders>
              <w:top w:val="single" w:sz="4" w:space="0" w:color="000000"/>
              <w:left w:val="single" w:sz="8" w:space="0" w:color="000000"/>
              <w:bottom w:val="single" w:sz="4" w:space="0" w:color="000000"/>
              <w:right w:val="single" w:sz="8" w:space="0" w:color="000000"/>
            </w:tcBorders>
          </w:tcPr>
          <w:p w:rsidR="00E8309B" w:rsidRDefault="009D0949">
            <w:pPr>
              <w:spacing w:after="0" w:line="259" w:lineRule="auto"/>
              <w:ind w:left="0" w:right="0" w:firstLine="0"/>
              <w:jc w:val="left"/>
            </w:pPr>
            <w:r>
              <w:rPr>
                <w:sz w:val="20"/>
              </w:rPr>
              <w:t xml:space="preserve">Припрема за изградњу оптичке </w:t>
            </w:r>
          </w:p>
          <w:p w:rsidR="00E8309B" w:rsidRDefault="009D0949">
            <w:pPr>
              <w:spacing w:after="0" w:line="259" w:lineRule="auto"/>
              <w:ind w:left="0" w:right="0" w:firstLine="0"/>
              <w:jc w:val="left"/>
            </w:pPr>
            <w:r>
              <w:rPr>
                <w:sz w:val="20"/>
              </w:rPr>
              <w:t xml:space="preserve">широкопојасне мреже у руралним областима Србије – фаза 1 </w:t>
            </w:r>
          </w:p>
        </w:tc>
        <w:tc>
          <w:tcPr>
            <w:tcW w:w="419" w:type="dxa"/>
            <w:tcBorders>
              <w:top w:val="single" w:sz="4" w:space="0" w:color="000000"/>
              <w:left w:val="single" w:sz="8"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1" w:right="0" w:firstLine="0"/>
              <w:jc w:val="center"/>
            </w:pPr>
            <w:r>
              <w:rPr>
                <w:sz w:val="20"/>
              </w:rPr>
              <w:t xml:space="preserve"> </w:t>
            </w:r>
          </w:p>
        </w:tc>
        <w:tc>
          <w:tcPr>
            <w:tcW w:w="421"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1" w:right="0" w:firstLine="0"/>
              <w:jc w:val="center"/>
            </w:pPr>
            <w:r>
              <w:rPr>
                <w:sz w:val="20"/>
              </w:rPr>
              <w:t xml:space="preserve"> </w:t>
            </w:r>
          </w:p>
        </w:tc>
        <w:tc>
          <w:tcPr>
            <w:tcW w:w="422"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2" w:right="0" w:firstLine="0"/>
              <w:jc w:val="center"/>
            </w:pPr>
            <w:r>
              <w:rPr>
                <w:sz w:val="20"/>
              </w:rPr>
              <w:t xml:space="preserve"> </w:t>
            </w:r>
          </w:p>
        </w:tc>
        <w:tc>
          <w:tcPr>
            <w:tcW w:w="421" w:type="dxa"/>
            <w:tcBorders>
              <w:top w:val="single" w:sz="4" w:space="0" w:color="000000"/>
              <w:left w:val="single" w:sz="4" w:space="0" w:color="000000"/>
              <w:bottom w:val="single" w:sz="4" w:space="0" w:color="000000"/>
              <w:right w:val="single" w:sz="8" w:space="0" w:color="000000"/>
            </w:tcBorders>
            <w:vAlign w:val="center"/>
          </w:tcPr>
          <w:p w:rsidR="00E8309B" w:rsidRDefault="009D0949">
            <w:pPr>
              <w:spacing w:after="0" w:line="259" w:lineRule="auto"/>
              <w:ind w:left="4" w:right="0" w:firstLine="0"/>
              <w:jc w:val="center"/>
            </w:pPr>
            <w:r>
              <w:rPr>
                <w:sz w:val="20"/>
              </w:rPr>
              <w:t xml:space="preserve"> </w:t>
            </w:r>
          </w:p>
        </w:tc>
        <w:tc>
          <w:tcPr>
            <w:tcW w:w="424" w:type="dxa"/>
            <w:tcBorders>
              <w:top w:val="single" w:sz="4" w:space="0" w:color="000000"/>
              <w:left w:val="single" w:sz="8" w:space="0" w:color="000000"/>
              <w:bottom w:val="single" w:sz="4" w:space="0" w:color="000000"/>
              <w:right w:val="single" w:sz="4" w:space="0" w:color="000000"/>
            </w:tcBorders>
            <w:vAlign w:val="center"/>
          </w:tcPr>
          <w:p w:rsidR="00E8309B" w:rsidRDefault="009D0949">
            <w:pPr>
              <w:spacing w:after="0" w:line="259" w:lineRule="auto"/>
              <w:ind w:left="4" w:right="0" w:firstLine="0"/>
              <w:jc w:val="center"/>
            </w:pPr>
            <w:r>
              <w:rPr>
                <w:sz w:val="20"/>
              </w:rPr>
              <w:t xml:space="preserve"> </w:t>
            </w:r>
          </w:p>
        </w:tc>
        <w:tc>
          <w:tcPr>
            <w:tcW w:w="421"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4" w:right="0" w:firstLine="0"/>
              <w:jc w:val="center"/>
            </w:pPr>
            <w:r>
              <w:rPr>
                <w:sz w:val="20"/>
              </w:rPr>
              <w:t xml:space="preserve"> </w:t>
            </w:r>
          </w:p>
        </w:tc>
        <w:tc>
          <w:tcPr>
            <w:tcW w:w="423"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5" w:right="0" w:firstLine="0"/>
              <w:jc w:val="center"/>
            </w:pPr>
            <w:r>
              <w:rPr>
                <w:sz w:val="20"/>
              </w:rPr>
              <w:t xml:space="preserve"> </w:t>
            </w:r>
          </w:p>
        </w:tc>
        <w:tc>
          <w:tcPr>
            <w:tcW w:w="420" w:type="dxa"/>
            <w:tcBorders>
              <w:top w:val="single" w:sz="4" w:space="0" w:color="000000"/>
              <w:left w:val="single" w:sz="4" w:space="0" w:color="000000"/>
              <w:bottom w:val="single" w:sz="4" w:space="0" w:color="000000"/>
              <w:right w:val="single" w:sz="8" w:space="0" w:color="000000"/>
            </w:tcBorders>
            <w:vAlign w:val="center"/>
          </w:tcPr>
          <w:p w:rsidR="00E8309B" w:rsidRDefault="009D0949">
            <w:pPr>
              <w:spacing w:after="0" w:line="259" w:lineRule="auto"/>
              <w:ind w:left="2" w:right="0" w:firstLine="0"/>
              <w:jc w:val="center"/>
            </w:pPr>
            <w:r>
              <w:rPr>
                <w:sz w:val="20"/>
              </w:rPr>
              <w:t xml:space="preserve"> </w:t>
            </w:r>
          </w:p>
        </w:tc>
        <w:tc>
          <w:tcPr>
            <w:tcW w:w="424" w:type="dxa"/>
            <w:tcBorders>
              <w:top w:val="single" w:sz="4" w:space="0" w:color="000000"/>
              <w:left w:val="single" w:sz="8" w:space="0" w:color="000000"/>
              <w:bottom w:val="single" w:sz="4" w:space="0" w:color="000000"/>
              <w:right w:val="single" w:sz="4" w:space="0" w:color="000000"/>
            </w:tcBorders>
            <w:vAlign w:val="center"/>
          </w:tcPr>
          <w:p w:rsidR="00E8309B" w:rsidRDefault="009D0949">
            <w:pPr>
              <w:spacing w:after="0" w:line="259" w:lineRule="auto"/>
              <w:ind w:left="4" w:right="0" w:firstLine="0"/>
              <w:jc w:val="center"/>
            </w:pPr>
            <w:r>
              <w:rPr>
                <w:sz w:val="20"/>
              </w:rPr>
              <w:t xml:space="preserve"> </w:t>
            </w:r>
          </w:p>
        </w:tc>
        <w:tc>
          <w:tcPr>
            <w:tcW w:w="422"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2" w:right="0" w:firstLine="0"/>
              <w:jc w:val="center"/>
            </w:pPr>
            <w:r>
              <w:rPr>
                <w:sz w:val="20"/>
              </w:rPr>
              <w:t xml:space="preserve"> </w:t>
            </w:r>
          </w:p>
        </w:tc>
        <w:tc>
          <w:tcPr>
            <w:tcW w:w="422"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2" w:right="0" w:firstLine="0"/>
              <w:jc w:val="center"/>
            </w:pPr>
            <w:r>
              <w:rPr>
                <w:sz w:val="20"/>
              </w:rPr>
              <w:t xml:space="preserve"> </w:t>
            </w:r>
          </w:p>
        </w:tc>
        <w:tc>
          <w:tcPr>
            <w:tcW w:w="420" w:type="dxa"/>
            <w:tcBorders>
              <w:top w:val="single" w:sz="4" w:space="0" w:color="000000"/>
              <w:left w:val="single" w:sz="4" w:space="0" w:color="000000"/>
              <w:bottom w:val="single" w:sz="4" w:space="0" w:color="000000"/>
              <w:right w:val="single" w:sz="8" w:space="0" w:color="000000"/>
            </w:tcBorders>
            <w:vAlign w:val="center"/>
          </w:tcPr>
          <w:p w:rsidR="00E8309B" w:rsidRDefault="009D0949">
            <w:pPr>
              <w:spacing w:after="0" w:line="259" w:lineRule="auto"/>
              <w:ind w:left="5" w:right="0" w:firstLine="0"/>
              <w:jc w:val="center"/>
            </w:pPr>
            <w:r>
              <w:rPr>
                <w:sz w:val="20"/>
              </w:rPr>
              <w:t xml:space="preserve"> </w:t>
            </w:r>
          </w:p>
        </w:tc>
      </w:tr>
      <w:tr w:rsidR="00E8309B">
        <w:trPr>
          <w:trHeight w:val="470"/>
        </w:trPr>
        <w:tc>
          <w:tcPr>
            <w:tcW w:w="427" w:type="dxa"/>
            <w:tcBorders>
              <w:top w:val="single" w:sz="4" w:space="0" w:color="000000"/>
              <w:left w:val="single" w:sz="8" w:space="0" w:color="000000"/>
              <w:bottom w:val="single" w:sz="4" w:space="0" w:color="000000"/>
              <w:right w:val="single" w:sz="8" w:space="0" w:color="000000"/>
            </w:tcBorders>
          </w:tcPr>
          <w:p w:rsidR="00E8309B" w:rsidRDefault="009D0949">
            <w:pPr>
              <w:spacing w:after="0" w:line="259" w:lineRule="auto"/>
              <w:ind w:left="0" w:right="51" w:firstLine="0"/>
              <w:jc w:val="right"/>
            </w:pPr>
            <w:r>
              <w:rPr>
                <w:sz w:val="20"/>
              </w:rPr>
              <w:t xml:space="preserve">4 </w:t>
            </w:r>
          </w:p>
        </w:tc>
        <w:tc>
          <w:tcPr>
            <w:tcW w:w="4123" w:type="dxa"/>
            <w:tcBorders>
              <w:top w:val="single" w:sz="4" w:space="0" w:color="000000"/>
              <w:left w:val="single" w:sz="8" w:space="0" w:color="000000"/>
              <w:bottom w:val="single" w:sz="4" w:space="0" w:color="000000"/>
              <w:right w:val="single" w:sz="8" w:space="0" w:color="000000"/>
            </w:tcBorders>
          </w:tcPr>
          <w:p w:rsidR="00E8309B" w:rsidRDefault="009D0949">
            <w:pPr>
              <w:spacing w:after="0" w:line="259" w:lineRule="auto"/>
              <w:ind w:left="0" w:right="0" w:firstLine="0"/>
              <w:jc w:val="left"/>
            </w:pPr>
            <w:r>
              <w:rPr>
                <w:sz w:val="20"/>
              </w:rPr>
              <w:t xml:space="preserve">Изградња оптичке широкопојасне мреже  у руралним областима Србије – фаза 1  </w:t>
            </w:r>
          </w:p>
        </w:tc>
        <w:tc>
          <w:tcPr>
            <w:tcW w:w="419" w:type="dxa"/>
            <w:tcBorders>
              <w:top w:val="single" w:sz="4" w:space="0" w:color="000000"/>
              <w:left w:val="single" w:sz="8" w:space="0" w:color="000000"/>
              <w:bottom w:val="single" w:sz="4" w:space="0" w:color="000000"/>
              <w:right w:val="single" w:sz="4" w:space="0" w:color="000000"/>
            </w:tcBorders>
            <w:vAlign w:val="center"/>
          </w:tcPr>
          <w:p w:rsidR="00E8309B" w:rsidRDefault="009D0949">
            <w:pPr>
              <w:spacing w:after="0" w:line="259" w:lineRule="auto"/>
              <w:ind w:left="1" w:right="0" w:firstLine="0"/>
              <w:jc w:val="center"/>
            </w:pPr>
            <w:r>
              <w:rPr>
                <w:sz w:val="20"/>
              </w:rPr>
              <w:t xml:space="preserve"> </w:t>
            </w:r>
          </w:p>
        </w:tc>
        <w:tc>
          <w:tcPr>
            <w:tcW w:w="421"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1" w:right="0" w:firstLine="0"/>
              <w:jc w:val="center"/>
            </w:pPr>
            <w:r>
              <w:rPr>
                <w:sz w:val="20"/>
              </w:rPr>
              <w:t xml:space="preserve"> </w:t>
            </w:r>
          </w:p>
        </w:tc>
        <w:tc>
          <w:tcPr>
            <w:tcW w:w="422"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2" w:right="0" w:firstLine="0"/>
              <w:jc w:val="center"/>
            </w:pPr>
            <w:r>
              <w:rPr>
                <w:sz w:val="20"/>
              </w:rPr>
              <w:t xml:space="preserve"> </w:t>
            </w:r>
          </w:p>
        </w:tc>
        <w:tc>
          <w:tcPr>
            <w:tcW w:w="421" w:type="dxa"/>
            <w:tcBorders>
              <w:top w:val="single" w:sz="4" w:space="0" w:color="000000"/>
              <w:left w:val="single" w:sz="4" w:space="0" w:color="000000"/>
              <w:bottom w:val="single" w:sz="4" w:space="0" w:color="000000"/>
              <w:right w:val="single" w:sz="8" w:space="0" w:color="000000"/>
            </w:tcBorders>
            <w:shd w:val="clear" w:color="auto" w:fill="BFBFBF"/>
            <w:vAlign w:val="center"/>
          </w:tcPr>
          <w:p w:rsidR="00E8309B" w:rsidRDefault="009D0949">
            <w:pPr>
              <w:spacing w:after="0" w:line="259" w:lineRule="auto"/>
              <w:ind w:left="4" w:right="0" w:firstLine="0"/>
              <w:jc w:val="center"/>
            </w:pPr>
            <w:r>
              <w:rPr>
                <w:sz w:val="20"/>
              </w:rPr>
              <w:t xml:space="preserve"> </w:t>
            </w:r>
          </w:p>
        </w:tc>
        <w:tc>
          <w:tcPr>
            <w:tcW w:w="424" w:type="dxa"/>
            <w:tcBorders>
              <w:top w:val="single" w:sz="4" w:space="0" w:color="000000"/>
              <w:left w:val="single" w:sz="8"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4" w:right="0" w:firstLine="0"/>
              <w:jc w:val="center"/>
            </w:pPr>
            <w:r>
              <w:rPr>
                <w:sz w:val="20"/>
              </w:rPr>
              <w:t xml:space="preserve"> </w:t>
            </w:r>
          </w:p>
        </w:tc>
        <w:tc>
          <w:tcPr>
            <w:tcW w:w="421"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4" w:right="0" w:firstLine="0"/>
              <w:jc w:val="center"/>
            </w:pPr>
            <w:r>
              <w:rPr>
                <w:sz w:val="20"/>
              </w:rPr>
              <w:t xml:space="preserve"> </w:t>
            </w:r>
          </w:p>
        </w:tc>
        <w:tc>
          <w:tcPr>
            <w:tcW w:w="423"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5" w:right="0" w:firstLine="0"/>
              <w:jc w:val="center"/>
            </w:pPr>
            <w:r>
              <w:rPr>
                <w:sz w:val="20"/>
              </w:rPr>
              <w:t xml:space="preserve"> </w:t>
            </w:r>
          </w:p>
        </w:tc>
        <w:tc>
          <w:tcPr>
            <w:tcW w:w="420" w:type="dxa"/>
            <w:tcBorders>
              <w:top w:val="single" w:sz="4" w:space="0" w:color="000000"/>
              <w:left w:val="single" w:sz="4" w:space="0" w:color="000000"/>
              <w:bottom w:val="single" w:sz="4" w:space="0" w:color="000000"/>
              <w:right w:val="single" w:sz="8" w:space="0" w:color="000000"/>
            </w:tcBorders>
            <w:vAlign w:val="center"/>
          </w:tcPr>
          <w:p w:rsidR="00E8309B" w:rsidRDefault="009D0949">
            <w:pPr>
              <w:spacing w:after="0" w:line="259" w:lineRule="auto"/>
              <w:ind w:left="2" w:right="0" w:firstLine="0"/>
              <w:jc w:val="center"/>
            </w:pPr>
            <w:r>
              <w:rPr>
                <w:sz w:val="20"/>
              </w:rPr>
              <w:t xml:space="preserve"> </w:t>
            </w:r>
          </w:p>
        </w:tc>
        <w:tc>
          <w:tcPr>
            <w:tcW w:w="424" w:type="dxa"/>
            <w:tcBorders>
              <w:top w:val="single" w:sz="4" w:space="0" w:color="000000"/>
              <w:left w:val="single" w:sz="8" w:space="0" w:color="000000"/>
              <w:bottom w:val="single" w:sz="4" w:space="0" w:color="000000"/>
              <w:right w:val="single" w:sz="4" w:space="0" w:color="000000"/>
            </w:tcBorders>
            <w:vAlign w:val="center"/>
          </w:tcPr>
          <w:p w:rsidR="00E8309B" w:rsidRDefault="009D0949">
            <w:pPr>
              <w:spacing w:after="0" w:line="259" w:lineRule="auto"/>
              <w:ind w:left="4" w:right="0" w:firstLine="0"/>
              <w:jc w:val="center"/>
            </w:pPr>
            <w:r>
              <w:rPr>
                <w:sz w:val="20"/>
              </w:rPr>
              <w:t xml:space="preserve"> </w:t>
            </w:r>
          </w:p>
        </w:tc>
        <w:tc>
          <w:tcPr>
            <w:tcW w:w="422"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2" w:right="0" w:firstLine="0"/>
              <w:jc w:val="center"/>
            </w:pPr>
            <w:r>
              <w:rPr>
                <w:sz w:val="20"/>
              </w:rPr>
              <w:t xml:space="preserve"> </w:t>
            </w:r>
          </w:p>
        </w:tc>
        <w:tc>
          <w:tcPr>
            <w:tcW w:w="422"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2" w:right="0" w:firstLine="0"/>
              <w:jc w:val="center"/>
            </w:pPr>
            <w:r>
              <w:rPr>
                <w:sz w:val="20"/>
              </w:rPr>
              <w:t xml:space="preserve"> </w:t>
            </w:r>
          </w:p>
        </w:tc>
        <w:tc>
          <w:tcPr>
            <w:tcW w:w="420" w:type="dxa"/>
            <w:tcBorders>
              <w:top w:val="single" w:sz="4" w:space="0" w:color="000000"/>
              <w:left w:val="single" w:sz="4" w:space="0" w:color="000000"/>
              <w:bottom w:val="single" w:sz="4" w:space="0" w:color="000000"/>
              <w:right w:val="single" w:sz="8" w:space="0" w:color="000000"/>
            </w:tcBorders>
            <w:vAlign w:val="center"/>
          </w:tcPr>
          <w:p w:rsidR="00E8309B" w:rsidRDefault="009D0949">
            <w:pPr>
              <w:spacing w:after="0" w:line="259" w:lineRule="auto"/>
              <w:ind w:left="5" w:right="0" w:firstLine="0"/>
              <w:jc w:val="center"/>
            </w:pPr>
            <w:r>
              <w:rPr>
                <w:sz w:val="20"/>
              </w:rPr>
              <w:t xml:space="preserve"> </w:t>
            </w:r>
          </w:p>
        </w:tc>
      </w:tr>
      <w:tr w:rsidR="00E8309B">
        <w:trPr>
          <w:trHeight w:val="701"/>
        </w:trPr>
        <w:tc>
          <w:tcPr>
            <w:tcW w:w="427" w:type="dxa"/>
            <w:tcBorders>
              <w:top w:val="single" w:sz="4" w:space="0" w:color="000000"/>
              <w:left w:val="single" w:sz="8" w:space="0" w:color="000000"/>
              <w:bottom w:val="single" w:sz="4" w:space="0" w:color="000000"/>
              <w:right w:val="single" w:sz="8" w:space="0" w:color="000000"/>
            </w:tcBorders>
          </w:tcPr>
          <w:p w:rsidR="00E8309B" w:rsidRDefault="009D0949">
            <w:pPr>
              <w:spacing w:after="0" w:line="259" w:lineRule="auto"/>
              <w:ind w:left="0" w:right="51" w:firstLine="0"/>
              <w:jc w:val="right"/>
            </w:pPr>
            <w:r>
              <w:rPr>
                <w:sz w:val="20"/>
              </w:rPr>
              <w:t xml:space="preserve">5 </w:t>
            </w:r>
          </w:p>
        </w:tc>
        <w:tc>
          <w:tcPr>
            <w:tcW w:w="4123" w:type="dxa"/>
            <w:tcBorders>
              <w:top w:val="single" w:sz="4" w:space="0" w:color="000000"/>
              <w:left w:val="single" w:sz="8" w:space="0" w:color="000000"/>
              <w:bottom w:val="single" w:sz="4" w:space="0" w:color="000000"/>
              <w:right w:val="single" w:sz="8" w:space="0" w:color="000000"/>
            </w:tcBorders>
          </w:tcPr>
          <w:p w:rsidR="00E8309B" w:rsidRDefault="009D0949">
            <w:pPr>
              <w:spacing w:after="0" w:line="259" w:lineRule="auto"/>
              <w:ind w:left="0" w:right="0" w:firstLine="0"/>
              <w:jc w:val="left"/>
            </w:pPr>
            <w:r>
              <w:rPr>
                <w:sz w:val="20"/>
              </w:rPr>
              <w:t xml:space="preserve">Припрема за изградњу оптичке </w:t>
            </w:r>
          </w:p>
          <w:p w:rsidR="00E8309B" w:rsidRDefault="009D0949">
            <w:pPr>
              <w:spacing w:after="0" w:line="259" w:lineRule="auto"/>
              <w:ind w:left="0" w:right="0" w:firstLine="0"/>
              <w:jc w:val="left"/>
            </w:pPr>
            <w:r>
              <w:rPr>
                <w:sz w:val="20"/>
              </w:rPr>
              <w:t xml:space="preserve">широкопојасне мреже у руралним областима Србије – фаза 2 </w:t>
            </w:r>
          </w:p>
        </w:tc>
        <w:tc>
          <w:tcPr>
            <w:tcW w:w="419" w:type="dxa"/>
            <w:tcBorders>
              <w:top w:val="single" w:sz="4" w:space="0" w:color="000000"/>
              <w:left w:val="single" w:sz="8" w:space="0" w:color="000000"/>
              <w:bottom w:val="single" w:sz="4" w:space="0" w:color="000000"/>
              <w:right w:val="single" w:sz="4" w:space="0" w:color="000000"/>
            </w:tcBorders>
            <w:vAlign w:val="center"/>
          </w:tcPr>
          <w:p w:rsidR="00E8309B" w:rsidRDefault="009D0949">
            <w:pPr>
              <w:spacing w:after="0" w:line="259" w:lineRule="auto"/>
              <w:ind w:left="1" w:right="0" w:firstLine="0"/>
              <w:jc w:val="center"/>
            </w:pPr>
            <w:r>
              <w:rPr>
                <w:sz w:val="20"/>
              </w:rPr>
              <w:t xml:space="preserve"> </w:t>
            </w:r>
          </w:p>
        </w:tc>
        <w:tc>
          <w:tcPr>
            <w:tcW w:w="421"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1" w:right="0" w:firstLine="0"/>
              <w:jc w:val="center"/>
            </w:pPr>
            <w:r>
              <w:rPr>
                <w:sz w:val="20"/>
              </w:rPr>
              <w:t xml:space="preserve"> </w:t>
            </w:r>
          </w:p>
        </w:tc>
        <w:tc>
          <w:tcPr>
            <w:tcW w:w="422"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2" w:right="0" w:firstLine="0"/>
              <w:jc w:val="center"/>
            </w:pPr>
            <w:r>
              <w:rPr>
                <w:sz w:val="20"/>
              </w:rPr>
              <w:t xml:space="preserve"> </w:t>
            </w:r>
          </w:p>
        </w:tc>
        <w:tc>
          <w:tcPr>
            <w:tcW w:w="421" w:type="dxa"/>
            <w:tcBorders>
              <w:top w:val="single" w:sz="4" w:space="0" w:color="000000"/>
              <w:left w:val="single" w:sz="4" w:space="0" w:color="000000"/>
              <w:bottom w:val="single" w:sz="4" w:space="0" w:color="000000"/>
              <w:right w:val="single" w:sz="8" w:space="0" w:color="000000"/>
            </w:tcBorders>
            <w:vAlign w:val="center"/>
          </w:tcPr>
          <w:p w:rsidR="00E8309B" w:rsidRDefault="009D0949">
            <w:pPr>
              <w:spacing w:after="0" w:line="259" w:lineRule="auto"/>
              <w:ind w:left="4" w:right="0" w:firstLine="0"/>
              <w:jc w:val="center"/>
            </w:pPr>
            <w:r>
              <w:rPr>
                <w:sz w:val="20"/>
              </w:rPr>
              <w:t xml:space="preserve"> </w:t>
            </w:r>
          </w:p>
        </w:tc>
        <w:tc>
          <w:tcPr>
            <w:tcW w:w="424" w:type="dxa"/>
            <w:tcBorders>
              <w:top w:val="single" w:sz="4" w:space="0" w:color="000000"/>
              <w:left w:val="single" w:sz="8" w:space="0" w:color="000000"/>
              <w:bottom w:val="single" w:sz="4" w:space="0" w:color="000000"/>
              <w:right w:val="single" w:sz="4" w:space="0" w:color="000000"/>
            </w:tcBorders>
            <w:vAlign w:val="center"/>
          </w:tcPr>
          <w:p w:rsidR="00E8309B" w:rsidRDefault="009D0949">
            <w:pPr>
              <w:spacing w:after="0" w:line="259" w:lineRule="auto"/>
              <w:ind w:left="4" w:right="0" w:firstLine="0"/>
              <w:jc w:val="center"/>
            </w:pPr>
            <w:r>
              <w:rPr>
                <w:sz w:val="20"/>
              </w:rPr>
              <w:t xml:space="preserve"> </w:t>
            </w:r>
          </w:p>
        </w:tc>
        <w:tc>
          <w:tcPr>
            <w:tcW w:w="421"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4" w:right="0" w:firstLine="0"/>
              <w:jc w:val="center"/>
            </w:pPr>
            <w:r>
              <w:rPr>
                <w:sz w:val="20"/>
              </w:rPr>
              <w:t xml:space="preserve"> </w:t>
            </w:r>
          </w:p>
        </w:tc>
        <w:tc>
          <w:tcPr>
            <w:tcW w:w="423"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5" w:right="0" w:firstLine="0"/>
              <w:jc w:val="center"/>
            </w:pPr>
            <w:r>
              <w:rPr>
                <w:sz w:val="20"/>
              </w:rPr>
              <w:t xml:space="preserve"> </w:t>
            </w:r>
          </w:p>
        </w:tc>
        <w:tc>
          <w:tcPr>
            <w:tcW w:w="420" w:type="dxa"/>
            <w:tcBorders>
              <w:top w:val="single" w:sz="4" w:space="0" w:color="000000"/>
              <w:left w:val="single" w:sz="4" w:space="0" w:color="000000"/>
              <w:bottom w:val="single" w:sz="4" w:space="0" w:color="000000"/>
              <w:right w:val="single" w:sz="8" w:space="0" w:color="000000"/>
            </w:tcBorders>
            <w:shd w:val="clear" w:color="auto" w:fill="BFBFBF"/>
            <w:vAlign w:val="center"/>
          </w:tcPr>
          <w:p w:rsidR="00E8309B" w:rsidRDefault="009D0949">
            <w:pPr>
              <w:spacing w:after="0" w:line="259" w:lineRule="auto"/>
              <w:ind w:left="2" w:right="0" w:firstLine="0"/>
              <w:jc w:val="center"/>
            </w:pPr>
            <w:r>
              <w:rPr>
                <w:sz w:val="20"/>
              </w:rPr>
              <w:t xml:space="preserve"> </w:t>
            </w:r>
          </w:p>
        </w:tc>
        <w:tc>
          <w:tcPr>
            <w:tcW w:w="424" w:type="dxa"/>
            <w:tcBorders>
              <w:top w:val="single" w:sz="4" w:space="0" w:color="000000"/>
              <w:left w:val="single" w:sz="8" w:space="0" w:color="000000"/>
              <w:bottom w:val="single" w:sz="4" w:space="0" w:color="000000"/>
              <w:right w:val="single" w:sz="4" w:space="0" w:color="000000"/>
            </w:tcBorders>
            <w:vAlign w:val="center"/>
          </w:tcPr>
          <w:p w:rsidR="00E8309B" w:rsidRDefault="009D0949">
            <w:pPr>
              <w:spacing w:after="0" w:line="259" w:lineRule="auto"/>
              <w:ind w:left="4" w:right="0" w:firstLine="0"/>
              <w:jc w:val="center"/>
            </w:pPr>
            <w:r>
              <w:rPr>
                <w:sz w:val="20"/>
              </w:rPr>
              <w:t xml:space="preserve"> </w:t>
            </w:r>
          </w:p>
        </w:tc>
        <w:tc>
          <w:tcPr>
            <w:tcW w:w="422"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2" w:right="0" w:firstLine="0"/>
              <w:jc w:val="center"/>
            </w:pPr>
            <w:r>
              <w:rPr>
                <w:sz w:val="20"/>
              </w:rPr>
              <w:t xml:space="preserve"> </w:t>
            </w:r>
          </w:p>
        </w:tc>
        <w:tc>
          <w:tcPr>
            <w:tcW w:w="422"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2" w:right="0" w:firstLine="0"/>
              <w:jc w:val="center"/>
            </w:pPr>
            <w:r>
              <w:rPr>
                <w:sz w:val="20"/>
              </w:rPr>
              <w:t xml:space="preserve"> </w:t>
            </w:r>
          </w:p>
        </w:tc>
        <w:tc>
          <w:tcPr>
            <w:tcW w:w="420" w:type="dxa"/>
            <w:tcBorders>
              <w:top w:val="single" w:sz="4" w:space="0" w:color="000000"/>
              <w:left w:val="single" w:sz="4" w:space="0" w:color="000000"/>
              <w:bottom w:val="single" w:sz="4" w:space="0" w:color="000000"/>
              <w:right w:val="single" w:sz="8" w:space="0" w:color="000000"/>
            </w:tcBorders>
            <w:vAlign w:val="center"/>
          </w:tcPr>
          <w:p w:rsidR="00E8309B" w:rsidRDefault="009D0949">
            <w:pPr>
              <w:spacing w:after="0" w:line="259" w:lineRule="auto"/>
              <w:ind w:left="5" w:right="0" w:firstLine="0"/>
              <w:jc w:val="center"/>
            </w:pPr>
            <w:r>
              <w:rPr>
                <w:sz w:val="20"/>
              </w:rPr>
              <w:t xml:space="preserve"> </w:t>
            </w:r>
          </w:p>
        </w:tc>
      </w:tr>
      <w:tr w:rsidR="00E8309B">
        <w:trPr>
          <w:trHeight w:val="469"/>
        </w:trPr>
        <w:tc>
          <w:tcPr>
            <w:tcW w:w="427" w:type="dxa"/>
            <w:tcBorders>
              <w:top w:val="single" w:sz="4" w:space="0" w:color="000000"/>
              <w:left w:val="single" w:sz="8" w:space="0" w:color="000000"/>
              <w:bottom w:val="single" w:sz="4" w:space="0" w:color="000000"/>
              <w:right w:val="single" w:sz="8" w:space="0" w:color="000000"/>
            </w:tcBorders>
          </w:tcPr>
          <w:p w:rsidR="00E8309B" w:rsidRDefault="009D0949">
            <w:pPr>
              <w:spacing w:after="0" w:line="259" w:lineRule="auto"/>
              <w:ind w:left="0" w:right="51" w:firstLine="0"/>
              <w:jc w:val="right"/>
            </w:pPr>
            <w:r>
              <w:rPr>
                <w:sz w:val="20"/>
              </w:rPr>
              <w:t xml:space="preserve">6 </w:t>
            </w:r>
          </w:p>
        </w:tc>
        <w:tc>
          <w:tcPr>
            <w:tcW w:w="4123" w:type="dxa"/>
            <w:tcBorders>
              <w:top w:val="single" w:sz="4" w:space="0" w:color="000000"/>
              <w:left w:val="single" w:sz="8" w:space="0" w:color="000000"/>
              <w:bottom w:val="single" w:sz="4" w:space="0" w:color="000000"/>
              <w:right w:val="single" w:sz="8" w:space="0" w:color="000000"/>
            </w:tcBorders>
          </w:tcPr>
          <w:p w:rsidR="00E8309B" w:rsidRDefault="009D0949">
            <w:pPr>
              <w:spacing w:after="0" w:line="259" w:lineRule="auto"/>
              <w:ind w:left="0" w:right="0" w:firstLine="0"/>
              <w:jc w:val="left"/>
            </w:pPr>
            <w:r>
              <w:rPr>
                <w:sz w:val="20"/>
              </w:rPr>
              <w:t xml:space="preserve">Изградња оптичке широкопојасне мреже  у руралним областима Србије – фаза 2  </w:t>
            </w:r>
          </w:p>
        </w:tc>
        <w:tc>
          <w:tcPr>
            <w:tcW w:w="419" w:type="dxa"/>
            <w:tcBorders>
              <w:top w:val="single" w:sz="4" w:space="0" w:color="000000"/>
              <w:left w:val="single" w:sz="8" w:space="0" w:color="000000"/>
              <w:bottom w:val="single" w:sz="4" w:space="0" w:color="000000"/>
              <w:right w:val="single" w:sz="4" w:space="0" w:color="000000"/>
            </w:tcBorders>
            <w:vAlign w:val="center"/>
          </w:tcPr>
          <w:p w:rsidR="00E8309B" w:rsidRDefault="009D0949">
            <w:pPr>
              <w:spacing w:after="0" w:line="259" w:lineRule="auto"/>
              <w:ind w:left="1" w:right="0" w:firstLine="0"/>
              <w:jc w:val="center"/>
            </w:pPr>
            <w:r>
              <w:rPr>
                <w:sz w:val="20"/>
              </w:rPr>
              <w:t xml:space="preserve"> </w:t>
            </w:r>
          </w:p>
        </w:tc>
        <w:tc>
          <w:tcPr>
            <w:tcW w:w="421"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1" w:right="0" w:firstLine="0"/>
              <w:jc w:val="center"/>
            </w:pPr>
            <w:r>
              <w:rPr>
                <w:sz w:val="20"/>
              </w:rPr>
              <w:t xml:space="preserve"> </w:t>
            </w:r>
          </w:p>
        </w:tc>
        <w:tc>
          <w:tcPr>
            <w:tcW w:w="422"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2" w:right="0" w:firstLine="0"/>
              <w:jc w:val="center"/>
            </w:pPr>
            <w:r>
              <w:rPr>
                <w:sz w:val="20"/>
              </w:rPr>
              <w:t xml:space="preserve"> </w:t>
            </w:r>
          </w:p>
        </w:tc>
        <w:tc>
          <w:tcPr>
            <w:tcW w:w="421" w:type="dxa"/>
            <w:tcBorders>
              <w:top w:val="single" w:sz="4" w:space="0" w:color="000000"/>
              <w:left w:val="single" w:sz="4" w:space="0" w:color="000000"/>
              <w:bottom w:val="single" w:sz="4" w:space="0" w:color="000000"/>
              <w:right w:val="single" w:sz="8" w:space="0" w:color="000000"/>
            </w:tcBorders>
            <w:vAlign w:val="center"/>
          </w:tcPr>
          <w:p w:rsidR="00E8309B" w:rsidRDefault="009D0949">
            <w:pPr>
              <w:spacing w:after="0" w:line="259" w:lineRule="auto"/>
              <w:ind w:left="4" w:right="0" w:firstLine="0"/>
              <w:jc w:val="center"/>
            </w:pPr>
            <w:r>
              <w:rPr>
                <w:sz w:val="20"/>
              </w:rPr>
              <w:t xml:space="preserve"> </w:t>
            </w:r>
          </w:p>
        </w:tc>
        <w:tc>
          <w:tcPr>
            <w:tcW w:w="424" w:type="dxa"/>
            <w:tcBorders>
              <w:top w:val="single" w:sz="4" w:space="0" w:color="000000"/>
              <w:left w:val="single" w:sz="8" w:space="0" w:color="000000"/>
              <w:bottom w:val="single" w:sz="4" w:space="0" w:color="000000"/>
              <w:right w:val="single" w:sz="4" w:space="0" w:color="000000"/>
            </w:tcBorders>
            <w:vAlign w:val="center"/>
          </w:tcPr>
          <w:p w:rsidR="00E8309B" w:rsidRDefault="009D0949">
            <w:pPr>
              <w:spacing w:after="0" w:line="259" w:lineRule="auto"/>
              <w:ind w:left="4" w:right="0" w:firstLine="0"/>
              <w:jc w:val="center"/>
            </w:pPr>
            <w:r>
              <w:rPr>
                <w:sz w:val="20"/>
              </w:rPr>
              <w:t xml:space="preserve"> </w:t>
            </w:r>
          </w:p>
        </w:tc>
        <w:tc>
          <w:tcPr>
            <w:tcW w:w="421"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4" w:right="0" w:firstLine="0"/>
              <w:jc w:val="center"/>
            </w:pPr>
            <w:r>
              <w:rPr>
                <w:sz w:val="20"/>
              </w:rPr>
              <w:t xml:space="preserve"> </w:t>
            </w:r>
          </w:p>
        </w:tc>
        <w:tc>
          <w:tcPr>
            <w:tcW w:w="423"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5" w:right="0" w:firstLine="0"/>
              <w:jc w:val="center"/>
            </w:pPr>
            <w:r>
              <w:rPr>
                <w:sz w:val="20"/>
              </w:rPr>
              <w:t xml:space="preserve"> </w:t>
            </w:r>
          </w:p>
        </w:tc>
        <w:tc>
          <w:tcPr>
            <w:tcW w:w="420" w:type="dxa"/>
            <w:tcBorders>
              <w:top w:val="single" w:sz="4" w:space="0" w:color="000000"/>
              <w:left w:val="single" w:sz="4" w:space="0" w:color="000000"/>
              <w:bottom w:val="single" w:sz="4" w:space="0" w:color="000000"/>
              <w:right w:val="single" w:sz="8" w:space="0" w:color="000000"/>
            </w:tcBorders>
            <w:vAlign w:val="center"/>
          </w:tcPr>
          <w:p w:rsidR="00E8309B" w:rsidRDefault="009D0949">
            <w:pPr>
              <w:spacing w:after="0" w:line="259" w:lineRule="auto"/>
              <w:ind w:left="2" w:right="0" w:firstLine="0"/>
              <w:jc w:val="center"/>
            </w:pPr>
            <w:r>
              <w:rPr>
                <w:sz w:val="20"/>
              </w:rPr>
              <w:t xml:space="preserve"> </w:t>
            </w:r>
          </w:p>
        </w:tc>
        <w:tc>
          <w:tcPr>
            <w:tcW w:w="424" w:type="dxa"/>
            <w:tcBorders>
              <w:top w:val="single" w:sz="4" w:space="0" w:color="000000"/>
              <w:left w:val="single" w:sz="8"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4" w:right="0" w:firstLine="0"/>
              <w:jc w:val="center"/>
            </w:pPr>
            <w:r>
              <w:rPr>
                <w:sz w:val="20"/>
              </w:rPr>
              <w:t xml:space="preserve"> </w:t>
            </w:r>
          </w:p>
        </w:tc>
        <w:tc>
          <w:tcPr>
            <w:tcW w:w="422"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2" w:right="0" w:firstLine="0"/>
              <w:jc w:val="center"/>
            </w:pPr>
            <w:r>
              <w:rPr>
                <w:sz w:val="20"/>
              </w:rPr>
              <w:t xml:space="preserve"> </w:t>
            </w:r>
          </w:p>
        </w:tc>
        <w:tc>
          <w:tcPr>
            <w:tcW w:w="422"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2" w:right="0" w:firstLine="0"/>
              <w:jc w:val="center"/>
            </w:pPr>
            <w:r>
              <w:rPr>
                <w:sz w:val="20"/>
              </w:rPr>
              <w:t xml:space="preserve"> </w:t>
            </w:r>
          </w:p>
        </w:tc>
        <w:tc>
          <w:tcPr>
            <w:tcW w:w="420" w:type="dxa"/>
            <w:tcBorders>
              <w:top w:val="single" w:sz="4" w:space="0" w:color="000000"/>
              <w:left w:val="single" w:sz="4" w:space="0" w:color="000000"/>
              <w:bottom w:val="single" w:sz="4" w:space="0" w:color="000000"/>
              <w:right w:val="single" w:sz="8" w:space="0" w:color="000000"/>
            </w:tcBorders>
            <w:shd w:val="clear" w:color="auto" w:fill="BFBFBF"/>
            <w:vAlign w:val="center"/>
          </w:tcPr>
          <w:p w:rsidR="00E8309B" w:rsidRDefault="009D0949">
            <w:pPr>
              <w:spacing w:after="0" w:line="259" w:lineRule="auto"/>
              <w:ind w:left="5" w:right="0" w:firstLine="0"/>
              <w:jc w:val="center"/>
            </w:pPr>
            <w:r>
              <w:rPr>
                <w:sz w:val="20"/>
              </w:rPr>
              <w:t xml:space="preserve"> </w:t>
            </w:r>
          </w:p>
        </w:tc>
      </w:tr>
    </w:tbl>
    <w:p w:rsidR="00E8309B" w:rsidRDefault="009D0949">
      <w:pPr>
        <w:numPr>
          <w:ilvl w:val="0"/>
          <w:numId w:val="38"/>
        </w:numPr>
        <w:spacing w:after="0" w:line="271" w:lineRule="auto"/>
        <w:ind w:right="9" w:hanging="360"/>
      </w:pPr>
      <w:r>
        <w:rPr>
          <w:b/>
        </w:rPr>
        <w:t xml:space="preserve">Индикатори рeзултата </w:t>
      </w:r>
    </w:p>
    <w:tbl>
      <w:tblPr>
        <w:tblStyle w:val="TableGrid"/>
        <w:tblW w:w="9635" w:type="dxa"/>
        <w:tblInd w:w="5" w:type="dxa"/>
        <w:tblCellMar>
          <w:top w:w="7" w:type="dxa"/>
          <w:left w:w="110" w:type="dxa"/>
          <w:bottom w:w="0" w:type="dxa"/>
          <w:right w:w="56" w:type="dxa"/>
        </w:tblCellMar>
        <w:tblLook w:val="04A0" w:firstRow="1" w:lastRow="0" w:firstColumn="1" w:lastColumn="0" w:noHBand="0" w:noVBand="1"/>
      </w:tblPr>
      <w:tblGrid>
        <w:gridCol w:w="4107"/>
        <w:gridCol w:w="1841"/>
        <w:gridCol w:w="1844"/>
        <w:gridCol w:w="1843"/>
      </w:tblGrid>
      <w:tr w:rsidR="00E8309B">
        <w:trPr>
          <w:trHeight w:val="470"/>
        </w:trPr>
        <w:tc>
          <w:tcPr>
            <w:tcW w:w="4107"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0" w:right="0" w:firstLine="0"/>
              <w:jc w:val="left"/>
            </w:pPr>
            <w:r>
              <w:rPr>
                <w:b/>
                <w:sz w:val="20"/>
              </w:rPr>
              <w:t xml:space="preserve">Показатељ </w:t>
            </w:r>
          </w:p>
        </w:tc>
        <w:tc>
          <w:tcPr>
            <w:tcW w:w="1841"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7" w:right="50" w:firstLine="0"/>
              <w:jc w:val="right"/>
            </w:pPr>
            <w:r>
              <w:rPr>
                <w:b/>
                <w:sz w:val="20"/>
              </w:rPr>
              <w:t xml:space="preserve">Почетна вредност (година) </w:t>
            </w:r>
          </w:p>
        </w:tc>
        <w:tc>
          <w:tcPr>
            <w:tcW w:w="1844"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50" w:firstLine="0"/>
              <w:jc w:val="right"/>
            </w:pPr>
            <w:r>
              <w:rPr>
                <w:b/>
                <w:sz w:val="20"/>
              </w:rPr>
              <w:t xml:space="preserve">Међурезултат (година) </w:t>
            </w:r>
          </w:p>
        </w:tc>
        <w:tc>
          <w:tcPr>
            <w:tcW w:w="1843"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49" w:firstLine="0"/>
              <w:jc w:val="right"/>
            </w:pPr>
            <w:r>
              <w:rPr>
                <w:b/>
                <w:sz w:val="20"/>
              </w:rPr>
              <w:t xml:space="preserve">Циљна вредност (година) </w:t>
            </w:r>
          </w:p>
        </w:tc>
      </w:tr>
      <w:tr w:rsidR="00E8309B">
        <w:trPr>
          <w:trHeight w:val="698"/>
        </w:trPr>
        <w:tc>
          <w:tcPr>
            <w:tcW w:w="4107"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0" w:firstLine="0"/>
              <w:jc w:val="left"/>
            </w:pPr>
            <w:r>
              <w:rPr>
                <w:sz w:val="20"/>
              </w:rPr>
              <w:t xml:space="preserve">Број руралних насеља у белим областима до којих је изграђена субвенционисана оптичка мрежа  </w:t>
            </w:r>
          </w:p>
        </w:tc>
        <w:tc>
          <w:tcPr>
            <w:tcW w:w="1841"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48" w:firstLine="0"/>
              <w:jc w:val="right"/>
            </w:pPr>
            <w:r>
              <w:rPr>
                <w:sz w:val="20"/>
              </w:rPr>
              <w:t xml:space="preserve">0 (2020) </w:t>
            </w:r>
          </w:p>
        </w:tc>
        <w:tc>
          <w:tcPr>
            <w:tcW w:w="1844"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50" w:firstLine="0"/>
              <w:jc w:val="right"/>
            </w:pPr>
            <w:r>
              <w:rPr>
                <w:sz w:val="20"/>
              </w:rPr>
              <w:t xml:space="preserve">300 (2021) </w:t>
            </w:r>
          </w:p>
        </w:tc>
        <w:tc>
          <w:tcPr>
            <w:tcW w:w="1843"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50" w:firstLine="0"/>
              <w:jc w:val="right"/>
            </w:pPr>
            <w:r>
              <w:rPr>
                <w:sz w:val="20"/>
              </w:rPr>
              <w:t xml:space="preserve">900 (2023) </w:t>
            </w:r>
          </w:p>
        </w:tc>
      </w:tr>
      <w:tr w:rsidR="00E8309B">
        <w:trPr>
          <w:trHeight w:val="470"/>
        </w:trPr>
        <w:tc>
          <w:tcPr>
            <w:tcW w:w="4107"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0" w:firstLine="0"/>
            </w:pPr>
            <w:r>
              <w:rPr>
                <w:sz w:val="20"/>
              </w:rPr>
              <w:t>Број школских објеката у којима је изграђена бежична локална рачунарска мрежа</w:t>
            </w:r>
            <w:r>
              <w:rPr>
                <w:b/>
                <w:sz w:val="20"/>
              </w:rPr>
              <w:t xml:space="preserve"> </w:t>
            </w:r>
          </w:p>
        </w:tc>
        <w:tc>
          <w:tcPr>
            <w:tcW w:w="1841"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50" w:firstLine="0"/>
              <w:jc w:val="right"/>
            </w:pPr>
            <w:r>
              <w:rPr>
                <w:sz w:val="20"/>
              </w:rPr>
              <w:t xml:space="preserve">377 (2019) </w:t>
            </w:r>
          </w:p>
        </w:tc>
        <w:tc>
          <w:tcPr>
            <w:tcW w:w="1844"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50" w:firstLine="0"/>
              <w:jc w:val="right"/>
            </w:pPr>
            <w:r>
              <w:rPr>
                <w:sz w:val="20"/>
              </w:rPr>
              <w:t xml:space="preserve">1.500 (2021) </w:t>
            </w:r>
          </w:p>
        </w:tc>
        <w:tc>
          <w:tcPr>
            <w:tcW w:w="1843"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49" w:firstLine="0"/>
              <w:jc w:val="right"/>
            </w:pPr>
            <w:r>
              <w:rPr>
                <w:sz w:val="20"/>
              </w:rPr>
              <w:t xml:space="preserve">1.830 (2023) </w:t>
            </w:r>
          </w:p>
        </w:tc>
      </w:tr>
    </w:tbl>
    <w:p w:rsidR="00E8309B" w:rsidRDefault="009D0949">
      <w:pPr>
        <w:numPr>
          <w:ilvl w:val="0"/>
          <w:numId w:val="38"/>
        </w:numPr>
        <w:spacing w:after="79" w:line="271" w:lineRule="auto"/>
        <w:ind w:right="9" w:hanging="360"/>
      </w:pPr>
      <w:r>
        <w:rPr>
          <w:b/>
        </w:rPr>
        <w:t xml:space="preserve">Очекивани утицај на конкурентност </w:t>
      </w:r>
    </w:p>
    <w:p w:rsidR="00E8309B" w:rsidRDefault="009D0949">
      <w:pPr>
        <w:ind w:left="-5" w:right="17"/>
      </w:pPr>
      <w:r>
        <w:t>Позитиван ефекат реализације реформе огледа се кроз развој руралних области, повезивање привредних региона, развој индустријских зона, као и повећање употребе нових технологија и иновација у пословању и образовању. Широко</w:t>
      </w:r>
      <w:r>
        <w:t xml:space="preserve">појасни приступ интернету и информационокомуникационим технологијама утиче на брже, сигурније и ефикасније пословање чиме се повећава продуктивност предузећа и смањују трошкови пословања.  </w:t>
      </w:r>
    </w:p>
    <w:p w:rsidR="00E8309B" w:rsidRDefault="009D0949">
      <w:pPr>
        <w:ind w:left="-5" w:right="17"/>
      </w:pPr>
      <w:r>
        <w:t>Израђене су мапе доступности мобилне широкопојасне мреже за све мо</w:t>
      </w:r>
      <w:r>
        <w:t>билне технологије и МТТТ их редовно ажурира. Такође, израђене су и мапе доступности фиксног широкопојасног приступа интернету на нивоу насеља и подаци су јавно доступни. Анализом мапа доступности идентификоване су области у којима је потребан капитални под</w:t>
      </w:r>
      <w:r>
        <w:t xml:space="preserve">стицај како би се омогућио даљи развој с обзиром да оператори електронских комуникација немају економски интерес да самостално развијају широкопојасну инфраструктуру (беле области). </w:t>
      </w:r>
    </w:p>
    <w:p w:rsidR="00E8309B" w:rsidRDefault="009D0949">
      <w:pPr>
        <w:spacing w:after="160"/>
        <w:ind w:left="-5" w:right="17"/>
      </w:pPr>
      <w:r>
        <w:t>Израда детаљних мапа доступности широкопојасног приступа у Србији директн</w:t>
      </w:r>
      <w:r>
        <w:t xml:space="preserve">о утиче на транспарентност података о постојећој комуникационој инфраструктури као и на унапређење заједничког коришћења инфраструктуре од стране оператора. </w:t>
      </w:r>
    </w:p>
    <w:p w:rsidR="00E8309B" w:rsidRDefault="009D0949">
      <w:pPr>
        <w:numPr>
          <w:ilvl w:val="0"/>
          <w:numId w:val="38"/>
        </w:numPr>
        <w:spacing w:after="79" w:line="271" w:lineRule="auto"/>
        <w:ind w:right="9" w:hanging="360"/>
      </w:pPr>
      <w:r>
        <w:rPr>
          <w:b/>
        </w:rPr>
        <w:t xml:space="preserve">Процењени трошкови спровођења структурне реформе и предвиђени извори њиховог финансирања </w:t>
      </w:r>
    </w:p>
    <w:p w:rsidR="00E8309B" w:rsidRDefault="009D0949">
      <w:pPr>
        <w:ind w:left="-5" w:right="17"/>
      </w:pPr>
      <w:r>
        <w:t xml:space="preserve">У 2021. </w:t>
      </w:r>
      <w:r>
        <w:t>години, из буџета РС биће обезбеђено 1,925 милиона евра за потребе повезивања установа образовања и културе на АМРЕС мрежу. За унапређење ИК инфраструктуре у основним и средњим школама у Србији у оквиру пројекта „Повезане школе”- фаза 2 обезбеђена су средс</w:t>
      </w:r>
      <w:r>
        <w:t>тва од 22,4 милиона евра из пројектног зајма. Припрема за изградњу оптичке широкопојасне мреже у руралним областима – фаза 1 финансираће се са 1,7 милиона евра бесповратних средстава и 1,2 милиона евра из пројектног зајма, а сама изградња вредности 6 милио</w:t>
      </w:r>
      <w:r>
        <w:t xml:space="preserve">на евра из пројектног зајма. </w:t>
      </w:r>
    </w:p>
    <w:p w:rsidR="00E8309B" w:rsidRDefault="009D0949">
      <w:pPr>
        <w:spacing w:after="143"/>
        <w:ind w:left="-5" w:right="17"/>
      </w:pPr>
      <w:r>
        <w:t>У 2022. години за повезивање установа образовања и културе на АМРЕС (унапређење квалитета и брзине) потребно је обезбедити 1,925 милиона евра из буџета РС. За реализацију пројекта „Повезане школе”- фаза 3 биће издвојено 5,6 ми</w:t>
      </w:r>
      <w:r>
        <w:t>лиона евра из пројектног зајма. За реализацију активности на изградњи оптичке широкопојасне мреже у руралним областима – фаза 1 из пројектног зајма биће обезбеђено 10,8 милиона евра. Потребна средства за припрему изградње оптичке широкопојасне мреже у рура</w:t>
      </w:r>
      <w:r>
        <w:t xml:space="preserve">лним областима – фаза 2 износе 2,7 милиона евра и још увек нису обезбеђена. </w:t>
      </w:r>
    </w:p>
    <w:p w:rsidR="00E8309B" w:rsidRDefault="009D0949">
      <w:pPr>
        <w:spacing w:after="144"/>
        <w:ind w:left="-5" w:right="17"/>
      </w:pPr>
      <w:r>
        <w:t xml:space="preserve">У 2023. години потребно је обезбедити  1,925 милиона евра из буџета РС за повезивање установа образовања и културе на АМРЕС мрежу (унапређење квалитета и брзине). </w:t>
      </w:r>
    </w:p>
    <w:p w:rsidR="00E8309B" w:rsidRDefault="009D0949">
      <w:pPr>
        <w:spacing w:after="156"/>
        <w:ind w:left="-5" w:right="17"/>
      </w:pPr>
      <w:r>
        <w:t>Потребна средст</w:t>
      </w:r>
      <w:r>
        <w:t>ва, у износу од 54 милиона евра, за финансирање израде пројеката и изградње оптичке широкопојасне мреже у руралним областима - фаза 2 још увек нису обезбеђена.</w:t>
      </w:r>
      <w:r>
        <w:rPr>
          <w:i/>
        </w:rPr>
        <w:t xml:space="preserve"> </w:t>
      </w:r>
    </w:p>
    <w:p w:rsidR="00E8309B" w:rsidRDefault="009D0949">
      <w:pPr>
        <w:numPr>
          <w:ilvl w:val="0"/>
          <w:numId w:val="39"/>
        </w:numPr>
        <w:spacing w:after="79" w:line="271" w:lineRule="auto"/>
        <w:ind w:right="9" w:hanging="360"/>
      </w:pPr>
      <w:r>
        <w:rPr>
          <w:b/>
        </w:rPr>
        <w:t xml:space="preserve">Очекивани утицај на социјалне циљеве, као што су запосленост, смањење сиромаштва, једнакост и род </w:t>
      </w:r>
    </w:p>
    <w:p w:rsidR="00E8309B" w:rsidRDefault="009D0949">
      <w:pPr>
        <w:spacing w:after="160"/>
        <w:ind w:left="-5" w:right="17"/>
      </w:pPr>
      <w:r>
        <w:t>Изградња широкопојасних комуникационих мрежа омогућава запошљавање, али и рад преко интернета и пораст броја радних места у практично свим секторима, укључуј</w:t>
      </w:r>
      <w:r>
        <w:t>ући и сектор ИКТ. Подизање нивоа знања, компетенција и вештина у области ИКТ доприноси могућностима запошљавања у ИТ области, али и другим областима у којима долази до увођења или повећања коришћења нових технологија у пословању. Обезбеђењем широкопојасног</w:t>
      </w:r>
      <w:r>
        <w:t xml:space="preserve"> приступа нове генерације смањиле би се регионалне разлике између руралних и градских и приградских насеља и омогућио би се уједначен развој свих региона Србије што би дало подршку депопулацији руралних средина. Спровођење реформе утицаће на повезивање обј</w:t>
      </w:r>
      <w:r>
        <w:t xml:space="preserve">еката јавне намене, а нарочито установа образовања, са савременом ИТ инфраструктуром и унапређење сервиса електронске управе. </w:t>
      </w:r>
    </w:p>
    <w:p w:rsidR="00E8309B" w:rsidRDefault="009D0949">
      <w:pPr>
        <w:numPr>
          <w:ilvl w:val="0"/>
          <w:numId w:val="39"/>
        </w:numPr>
        <w:spacing w:after="79" w:line="271" w:lineRule="auto"/>
        <w:ind w:right="9" w:hanging="360"/>
      </w:pPr>
      <w:r>
        <w:rPr>
          <w:b/>
        </w:rPr>
        <w:t xml:space="preserve">Очекивани утицај на животну средину </w:t>
      </w:r>
    </w:p>
    <w:p w:rsidR="00E8309B" w:rsidRDefault="009D0949">
      <w:pPr>
        <w:spacing w:after="152"/>
        <w:ind w:left="-5" w:right="17"/>
      </w:pPr>
      <w:r>
        <w:t>Изградња планиране комуникационе инфраструктуре не представља опасност по здравље људи и нем</w:t>
      </w:r>
      <w:r>
        <w:t xml:space="preserve">а утицај на животну средину. </w:t>
      </w:r>
    </w:p>
    <w:p w:rsidR="00E8309B" w:rsidRDefault="009D0949">
      <w:pPr>
        <w:numPr>
          <w:ilvl w:val="0"/>
          <w:numId w:val="39"/>
        </w:numPr>
        <w:spacing w:after="0" w:line="271" w:lineRule="auto"/>
        <w:ind w:right="9" w:hanging="360"/>
      </w:pPr>
      <w:r>
        <w:rPr>
          <w:b/>
        </w:rPr>
        <w:t xml:space="preserve">Потенцијални ризици </w:t>
      </w:r>
    </w:p>
    <w:tbl>
      <w:tblPr>
        <w:tblStyle w:val="TableGrid"/>
        <w:tblW w:w="9696" w:type="dxa"/>
        <w:tblInd w:w="0" w:type="dxa"/>
        <w:tblCellMar>
          <w:top w:w="46" w:type="dxa"/>
          <w:left w:w="108" w:type="dxa"/>
          <w:bottom w:w="0" w:type="dxa"/>
          <w:right w:w="166" w:type="dxa"/>
        </w:tblCellMar>
        <w:tblLook w:val="04A0" w:firstRow="1" w:lastRow="0" w:firstColumn="1" w:lastColumn="0" w:noHBand="0" w:noVBand="1"/>
      </w:tblPr>
      <w:tblGrid>
        <w:gridCol w:w="5"/>
        <w:gridCol w:w="3330"/>
        <w:gridCol w:w="2201"/>
        <w:gridCol w:w="2453"/>
        <w:gridCol w:w="1695"/>
        <w:gridCol w:w="17"/>
      </w:tblGrid>
      <w:tr w:rsidR="00E8309B">
        <w:trPr>
          <w:gridBefore w:val="1"/>
          <w:trHeight w:val="470"/>
        </w:trPr>
        <w:tc>
          <w:tcPr>
            <w:tcW w:w="3330"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0" w:right="0" w:firstLine="0"/>
              <w:jc w:val="left"/>
            </w:pPr>
            <w:r>
              <w:rPr>
                <w:b/>
                <w:sz w:val="20"/>
              </w:rPr>
              <w:t xml:space="preserve">Ризик </w:t>
            </w:r>
          </w:p>
        </w:tc>
        <w:tc>
          <w:tcPr>
            <w:tcW w:w="2201"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2" w:right="0" w:firstLine="0"/>
              <w:jc w:val="left"/>
            </w:pPr>
            <w:r>
              <w:rPr>
                <w:b/>
                <w:sz w:val="20"/>
              </w:rPr>
              <w:t xml:space="preserve">Вероватноћа за остваривање ризика </w:t>
            </w:r>
          </w:p>
        </w:tc>
        <w:tc>
          <w:tcPr>
            <w:tcW w:w="4165" w:type="dxa"/>
            <w:gridSpan w:val="3"/>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0" w:firstLine="0"/>
              <w:jc w:val="left"/>
            </w:pPr>
            <w:r>
              <w:rPr>
                <w:b/>
                <w:sz w:val="20"/>
              </w:rPr>
              <w:t xml:space="preserve">Активност за ублажавање негативних ефеката ризика </w:t>
            </w:r>
          </w:p>
        </w:tc>
      </w:tr>
      <w:tr w:rsidR="00E8309B">
        <w:trPr>
          <w:gridBefore w:val="1"/>
          <w:trHeight w:val="931"/>
        </w:trPr>
        <w:tc>
          <w:tcPr>
            <w:tcW w:w="3330"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0" w:firstLine="0"/>
              <w:jc w:val="left"/>
            </w:pPr>
            <w:r>
              <w:rPr>
                <w:sz w:val="20"/>
              </w:rPr>
              <w:t xml:space="preserve">Неправовремено проналажење стабилних извора финансирања, како би се испоштовали дефинисани рокови </w:t>
            </w:r>
          </w:p>
        </w:tc>
        <w:tc>
          <w:tcPr>
            <w:tcW w:w="2201"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2" w:right="0" w:firstLine="0"/>
              <w:jc w:val="left"/>
            </w:pPr>
            <w:r>
              <w:rPr>
                <w:sz w:val="20"/>
              </w:rPr>
              <w:t xml:space="preserve">Висока </w:t>
            </w:r>
          </w:p>
        </w:tc>
        <w:tc>
          <w:tcPr>
            <w:tcW w:w="4165" w:type="dxa"/>
            <w:gridSpan w:val="3"/>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0" w:firstLine="0"/>
            </w:pPr>
            <w:r>
              <w:rPr>
                <w:sz w:val="20"/>
              </w:rPr>
              <w:t xml:space="preserve">Благовремено планирање и аплицирање код међународних финансијских институција </w:t>
            </w:r>
          </w:p>
        </w:tc>
      </w:tr>
      <w:tr w:rsidR="00E8309B">
        <w:trPr>
          <w:gridBefore w:val="1"/>
          <w:trHeight w:val="699"/>
        </w:trPr>
        <w:tc>
          <w:tcPr>
            <w:tcW w:w="3330" w:type="dxa"/>
            <w:tcBorders>
              <w:top w:val="single" w:sz="4" w:space="0" w:color="000000"/>
              <w:left w:val="single" w:sz="4" w:space="0" w:color="000000"/>
              <w:bottom w:val="single" w:sz="4" w:space="0" w:color="000000"/>
              <w:right w:val="single" w:sz="4" w:space="0" w:color="000000"/>
            </w:tcBorders>
          </w:tcPr>
          <w:p w:rsidR="00E8309B" w:rsidRDefault="009D0949">
            <w:pPr>
              <w:spacing w:after="41" w:line="237" w:lineRule="auto"/>
              <w:ind w:left="0" w:right="0" w:firstLine="0"/>
              <w:jc w:val="left"/>
            </w:pPr>
            <w:r>
              <w:rPr>
                <w:sz w:val="20"/>
              </w:rPr>
              <w:t xml:space="preserve">Недовољна заинтересованост оператора за изградњу заједничке </w:t>
            </w:r>
          </w:p>
          <w:p w:rsidR="00E8309B" w:rsidRDefault="009D0949">
            <w:pPr>
              <w:spacing w:after="0" w:line="259" w:lineRule="auto"/>
              <w:ind w:left="0" w:right="0" w:firstLine="0"/>
              <w:jc w:val="left"/>
            </w:pPr>
            <w:r>
              <w:rPr>
                <w:sz w:val="20"/>
              </w:rPr>
              <w:t>инфраструктуре</w:t>
            </w:r>
            <w:r>
              <w:rPr>
                <w:b/>
                <w:sz w:val="20"/>
              </w:rPr>
              <w:t xml:space="preserve"> </w:t>
            </w:r>
          </w:p>
        </w:tc>
        <w:tc>
          <w:tcPr>
            <w:tcW w:w="2201"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2" w:right="0" w:firstLine="0"/>
              <w:jc w:val="left"/>
            </w:pPr>
            <w:r>
              <w:rPr>
                <w:sz w:val="20"/>
              </w:rPr>
              <w:t>Висока</w:t>
            </w:r>
            <w:r>
              <w:rPr>
                <w:b/>
                <w:sz w:val="20"/>
              </w:rPr>
              <w:t xml:space="preserve"> </w:t>
            </w:r>
          </w:p>
        </w:tc>
        <w:tc>
          <w:tcPr>
            <w:tcW w:w="4165" w:type="dxa"/>
            <w:gridSpan w:val="3"/>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0" w:firstLine="0"/>
              <w:jc w:val="left"/>
            </w:pPr>
            <w:r>
              <w:rPr>
                <w:sz w:val="20"/>
              </w:rPr>
              <w:t xml:space="preserve">Повећање буџетских средставаза изградњу заједничке инфраструктуре </w:t>
            </w:r>
            <w:r>
              <w:rPr>
                <w:b/>
                <w:sz w:val="20"/>
              </w:rPr>
              <w:t xml:space="preserve"> </w:t>
            </w:r>
          </w:p>
        </w:tc>
      </w:tr>
      <w:tr w:rsidR="00E8309B">
        <w:trPr>
          <w:gridBefore w:val="1"/>
          <w:trHeight w:val="547"/>
        </w:trPr>
        <w:tc>
          <w:tcPr>
            <w:tcW w:w="3330"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0" w:firstLine="0"/>
            </w:pPr>
            <w:r>
              <w:rPr>
                <w:sz w:val="20"/>
              </w:rPr>
              <w:t>Благовремено исходовање потребних грађевинских дозвола</w:t>
            </w:r>
            <w:r>
              <w:rPr>
                <w:b/>
                <w:sz w:val="20"/>
              </w:rPr>
              <w:t xml:space="preserve"> </w:t>
            </w:r>
          </w:p>
        </w:tc>
        <w:tc>
          <w:tcPr>
            <w:tcW w:w="2201"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2" w:right="0" w:firstLine="0"/>
              <w:jc w:val="left"/>
            </w:pPr>
            <w:r>
              <w:rPr>
                <w:sz w:val="20"/>
              </w:rPr>
              <w:t>Висока</w:t>
            </w:r>
            <w:r>
              <w:rPr>
                <w:b/>
                <w:sz w:val="20"/>
              </w:rPr>
              <w:t xml:space="preserve"> </w:t>
            </w:r>
          </w:p>
        </w:tc>
        <w:tc>
          <w:tcPr>
            <w:tcW w:w="4165" w:type="dxa"/>
            <w:gridSpan w:val="3"/>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0" w:firstLine="0"/>
              <w:jc w:val="left"/>
            </w:pPr>
            <w:r>
              <w:rPr>
                <w:sz w:val="20"/>
              </w:rPr>
              <w:t>Ангажовање консултанта за координацију са другим државним органима и ЈЛС</w:t>
            </w:r>
            <w:r>
              <w:rPr>
                <w:b/>
                <w:sz w:val="20"/>
              </w:rPr>
              <w:t xml:space="preserve"> </w:t>
            </w:r>
          </w:p>
        </w:tc>
      </w:tr>
      <w:tr w:rsidR="00E8309B">
        <w:tblPrEx>
          <w:tblCellMar>
            <w:top w:w="13" w:type="dxa"/>
            <w:left w:w="0" w:type="dxa"/>
            <w:right w:w="6" w:type="dxa"/>
          </w:tblCellMar>
        </w:tblPrEx>
        <w:trPr>
          <w:gridAfter w:val="1"/>
          <w:wAfter w:w="17" w:type="dxa"/>
          <w:trHeight w:val="280"/>
        </w:trPr>
        <w:tc>
          <w:tcPr>
            <w:tcW w:w="7989" w:type="dxa"/>
            <w:gridSpan w:val="4"/>
            <w:tcBorders>
              <w:top w:val="nil"/>
              <w:left w:val="nil"/>
              <w:bottom w:val="nil"/>
              <w:right w:val="nil"/>
            </w:tcBorders>
            <w:shd w:val="clear" w:color="auto" w:fill="D9D9D9"/>
          </w:tcPr>
          <w:p w:rsidR="00E8309B" w:rsidRDefault="009D0949">
            <w:pPr>
              <w:spacing w:after="0" w:line="259" w:lineRule="auto"/>
              <w:ind w:left="15" w:right="0" w:firstLine="0"/>
            </w:pPr>
            <w:r>
              <w:rPr>
                <w:b/>
              </w:rPr>
              <w:t>5.3.5. Област РЕФОРМЕ У ОБЛАСТИ ЕКОНОМСКИХ ИНТЕГРАЦИЈА</w:t>
            </w:r>
          </w:p>
        </w:tc>
        <w:tc>
          <w:tcPr>
            <w:tcW w:w="1695" w:type="dxa"/>
            <w:tcBorders>
              <w:top w:val="nil"/>
              <w:left w:val="nil"/>
              <w:bottom w:val="nil"/>
              <w:right w:val="nil"/>
            </w:tcBorders>
            <w:shd w:val="clear" w:color="auto" w:fill="D9D9D9"/>
          </w:tcPr>
          <w:p w:rsidR="00E8309B" w:rsidRDefault="009D0949">
            <w:pPr>
              <w:spacing w:after="0" w:line="259" w:lineRule="auto"/>
              <w:ind w:left="0" w:right="0" w:firstLine="0"/>
              <w:jc w:val="left"/>
            </w:pPr>
            <w:r>
              <w:rPr>
                <w:b/>
              </w:rPr>
              <w:t xml:space="preserve"> </w:t>
            </w:r>
          </w:p>
        </w:tc>
      </w:tr>
    </w:tbl>
    <w:p w:rsidR="00E8309B" w:rsidRDefault="009D0949">
      <w:pPr>
        <w:spacing w:after="135" w:line="271" w:lineRule="auto"/>
        <w:ind w:left="-5" w:right="9"/>
      </w:pPr>
      <w:r>
        <w:rPr>
          <w:b/>
        </w:rPr>
        <w:t xml:space="preserve">а) Анализа главних препрека </w:t>
      </w:r>
    </w:p>
    <w:p w:rsidR="00E8309B" w:rsidRDefault="009D0949">
      <w:pPr>
        <w:spacing w:after="98"/>
        <w:ind w:left="-5" w:right="17"/>
      </w:pPr>
      <w:r>
        <w:rPr>
          <w:b/>
        </w:rPr>
        <w:t xml:space="preserve">Србија није у потпуности интегрисана у међународни економски систем, јер још увек није чланица Светске трговинске организације (СТО). </w:t>
      </w:r>
      <w:r>
        <w:t>У оквиру мултилатералне компоненте приступања (системска питања) тренутно је једино отворено питање забране спољнотрговинс</w:t>
      </w:r>
      <w:r>
        <w:t xml:space="preserve">ког промета генетички модификованим организмима (ГМО) производа и доношење Закона о изменама и допунама Закона о ГМО, што је и највећа препрека за окончање процеса приступања СТО. </w:t>
      </w:r>
    </w:p>
    <w:p w:rsidR="00E8309B" w:rsidRDefault="009D0949">
      <w:pPr>
        <w:spacing w:after="0" w:line="271" w:lineRule="auto"/>
        <w:ind w:left="-5" w:right="9"/>
      </w:pPr>
      <w:r>
        <w:rPr>
          <w:b/>
        </w:rPr>
        <w:t xml:space="preserve">На регионалном нивоу, Србија активно учествује у изради и имплементацији </w:t>
      </w:r>
    </w:p>
    <w:p w:rsidR="00E8309B" w:rsidRDefault="009D0949">
      <w:pPr>
        <w:spacing w:after="79" w:line="271" w:lineRule="auto"/>
        <w:ind w:left="-5" w:right="9"/>
      </w:pPr>
      <w:r>
        <w:rPr>
          <w:b/>
        </w:rPr>
        <w:t>В</w:t>
      </w:r>
      <w:r>
        <w:rPr>
          <w:b/>
        </w:rPr>
        <w:t xml:space="preserve">ишегодишњег акционог плана за развој Регионалног економског простора (MAP REA). </w:t>
      </w:r>
    </w:p>
    <w:p w:rsidR="00E8309B" w:rsidRDefault="009D0949">
      <w:pPr>
        <w:ind w:left="-5" w:right="17"/>
      </w:pPr>
      <w:r>
        <w:t>Регионална сарадња је дала конкретне резултате на пољу спровођења потписаног Споразума о ромингу, донети су појединачни акциони планови за спровођење Регионалне агенде инвести</w:t>
      </w:r>
      <w:r>
        <w:t>ционих реформи, настављени су преговори о узајамном признавању квалификација. Акциони план за регионално тржиште у оквирима Берлинског процеса је усвојен на Самиту Западног Балкана у Софији 10. новембра 2020. До краја 2024. године предвиђене су бројне акти</w:t>
      </w:r>
      <w:r>
        <w:t>вности у областима: а) унапређења четири слободе (кроз споразуме за узајамно признавање, уклањањем препрека и смањењем трошкова и времена кретања робе, услуга, капитала и људи), б) побољшања атрактивности региона за инвестирање (кроз кампању за промоцију р</w:t>
      </w:r>
      <w:r>
        <w:t>егионалних инвестиција, развијање регионалних смерница и процедура за механизме скрининга), в) интегрисање Западног Балкана у пан-eвропски дигитални простор (усклађивањем са принципима и праксом Јединственог дигиталног тржишта ЕУ, сарадњи у области приступ</w:t>
      </w:r>
      <w:r>
        <w:t>а заштити података, узајамног признавања електронских потписа) и г) унапређења развоја индустријске базе и иновационе инфраструктуре (подржавањем предузетништва младих, стартап предузећа и предузећа у раној фази оснивања, увођењем механизама за пренос знањ</w:t>
      </w:r>
      <w:r>
        <w:t xml:space="preserve">а из дијаспоре, подстицањем зеленог и женског предузетништва). </w:t>
      </w:r>
      <w:r>
        <w:rPr>
          <w:b/>
        </w:rPr>
        <w:t xml:space="preserve">У циљу даљег унапређења и продубљивања трговинско-економске сарадње, </w:t>
      </w:r>
      <w:r>
        <w:t xml:space="preserve">Србија је почетком 2020. године ратификовала Споразум о слободној трговини са Евроазијском економском унијом (Русија, Белорусија, Казахстан, Јерменија и Киргистан).  </w:t>
      </w:r>
    </w:p>
    <w:p w:rsidR="00E8309B" w:rsidRDefault="009D0949">
      <w:pPr>
        <w:ind w:left="-5" w:right="17"/>
      </w:pPr>
      <w:r>
        <w:rPr>
          <w:b/>
        </w:rPr>
        <w:t>На Doing business 2019 листи, Србија је према индикатору који се односи на спољнотрговинс</w:t>
      </w:r>
      <w:r>
        <w:rPr>
          <w:b/>
        </w:rPr>
        <w:t xml:space="preserve">ку размену заузела 23. позицију на ранг листи од 190 земаља, </w:t>
      </w:r>
      <w:r>
        <w:t>што је уједно и најзначајнији ранг унутар композитног индикатора Услови пословања. Најважнија активност за добар ранг у овој области је ефикасна примена NCTS (нови компјутеризовани транзитни сист</w:t>
      </w:r>
      <w:r>
        <w:t xml:space="preserve">ем) транзитног поступка од стране Управе царина. </w:t>
      </w:r>
    </w:p>
    <w:p w:rsidR="00E8309B" w:rsidRDefault="009D0949">
      <w:pPr>
        <w:ind w:left="-5" w:right="17"/>
      </w:pPr>
      <w:r>
        <w:rPr>
          <w:b/>
        </w:rPr>
        <w:t xml:space="preserve">Раст спољнотрговинске робне размене Србије прати и повећање спољнотрговинског дефицита. </w:t>
      </w:r>
      <w:r>
        <w:t>Извоз од 17,5 милијарде евра у 2019. години, бележи раст за 7,7% мг, док је увоз растао по стопи од 8,9% (23,9 милијар</w:t>
      </w:r>
      <w:r>
        <w:t>де евра)</w:t>
      </w:r>
      <w:r>
        <w:rPr>
          <w:vertAlign w:val="superscript"/>
        </w:rPr>
        <w:footnoteReference w:id="56"/>
      </w:r>
      <w:r>
        <w:t>. Дефицит спољнотрговинске робне размене (6,3 милијарде евра) повећан је за 12,5% мг, а извозом је покривено 73,4% увоза у 2019. години (74,3% у 2018. години). Широка дисперзивност извоза обезбеђена је диверсификацијом СДИ у велики број сектора ко</w:t>
      </w:r>
      <w:r>
        <w:t>ји производе разменљива добра. У првих осам месеци 2020. пандемија вируса Ковид-19 неповољно се одразила и на трговинске токове. Извоз Србије је износио преко 10,6 милијарде евра (што је пад од 7,6% у односу на исти период претходне године), увоз је износи</w:t>
      </w:r>
      <w:r>
        <w:t xml:space="preserve">о скоро 14,5 милијарде евра (пад од 6,5%). Дефицит спољнотрговинске робне размене (3,8 милијарде евра) нижи је за 3,2% у односу на исти период претходне године, док је покривеност увоза извозом остала на 73,4%. </w:t>
      </w:r>
    </w:p>
    <w:p w:rsidR="00E8309B" w:rsidRDefault="009D0949">
      <w:pPr>
        <w:ind w:left="-5" w:right="17"/>
      </w:pPr>
      <w:r>
        <w:rPr>
          <w:b/>
        </w:rPr>
        <w:t xml:space="preserve">Најважнији спољнотрговински партнери Србије </w:t>
      </w:r>
      <w:r>
        <w:rPr>
          <w:b/>
        </w:rPr>
        <w:t xml:space="preserve">су земље са којима Србија има потписане споразуме о слободној трговини. </w:t>
      </w:r>
      <w:r>
        <w:t xml:space="preserve">Применом </w:t>
      </w:r>
      <w:r>
        <w:rPr>
          <w:b/>
        </w:rPr>
        <w:t>ових споразума достигнут је висок степен либерализације спољне трговине Србије</w:t>
      </w:r>
      <w:r>
        <w:t>, тако да се у 2019. години око 82,2% укупне размене Србије са светом обављало са партнерима са к</w:t>
      </w:r>
      <w:r>
        <w:t>ојима су потписани споразуми о слободној трговини, а скоро 90% извоза Србије се пласира управо на ова тржишта. У првих 8 месеци 2020. ова учешћа су врло слична, 81% укупне размене Србије била је размена са партнерима са којима су потписани споразуми о слоб</w:t>
      </w:r>
      <w:r>
        <w:t xml:space="preserve">одној трговини, односно 89% укупног извоза Србије пласирано је у поменуте земље. </w:t>
      </w:r>
      <w:r>
        <w:rPr>
          <w:b/>
        </w:rPr>
        <w:t>Са земљама чланицама ЕУ одвијало се 61,8% укупне размене Србије у 2019. години</w:t>
      </w:r>
      <w:r>
        <w:t>. Извоз у ЕУ повећан је за 776,8 милиона евра у 2019. години (раст од 7,1% у односу на 2018. годи</w:t>
      </w:r>
      <w:r>
        <w:t>ну), уз пад трговинског дефицита од 4% мг. У првих осам месеци 2020. године учешће ЕУ у укупној размени Србије износи 60,6%, а укупна трговина са ЕУ (15,2 милијарде евра) услед последица пандемије нижа за 8% у односу на исти период претходне године, уз пад</w:t>
      </w:r>
      <w:r>
        <w:t xml:space="preserve"> извоза од 9,4% и увоза од 6,8%. Трговински дефицит у размени са ЕУ (1,6 милијарде евра) у посматраном периоду је за 6,5% виши него у истом периоду претходне године, а покривеност увоза извозом је 81%. </w:t>
      </w:r>
    </w:p>
    <w:p w:rsidR="00E8309B" w:rsidRDefault="009D0949">
      <w:pPr>
        <w:spacing w:after="93"/>
        <w:ind w:left="-5" w:right="17"/>
      </w:pPr>
      <w:r>
        <w:rPr>
          <w:b/>
        </w:rPr>
        <w:t>Изазов за кретање робне размене и трговинску интеграц</w:t>
      </w:r>
      <w:r>
        <w:rPr>
          <w:b/>
        </w:rPr>
        <w:t xml:space="preserve">ију Србије у ЕУ </w:t>
      </w:r>
      <w:r>
        <w:t xml:space="preserve">свакако представљају </w:t>
      </w:r>
      <w:r>
        <w:rPr>
          <w:b/>
        </w:rPr>
        <w:t>заштитне мере</w:t>
      </w:r>
      <w:r>
        <w:t xml:space="preserve"> (</w:t>
      </w:r>
      <w:r>
        <w:rPr>
          <w:b/>
        </w:rPr>
        <w:t>квоте за увоз</w:t>
      </w:r>
      <w:r>
        <w:t>) које је ЕУ увела у јануару 2019. на одређене групе производа од челика и гвожђа, на период од три године. Због наведених мера, извоз гвожђa и челикa из Србије у ЕУ током 2019. бележи пад од</w:t>
      </w:r>
      <w:r>
        <w:t xml:space="preserve"> 9,8% у односу на 2018. годину. Пад међународне тражње за овим производима, због пандемије Ковид-19, умањио је српски извоз и у 2020. - извоз гвожђа и челика од 401 милиона евра у првих осам месеци 2020. мањи је за 29,5% него у истом периоду претходне годи</w:t>
      </w:r>
      <w:r>
        <w:t xml:space="preserve">не. Извоз ових производа из Србије у ЕУ у посматраном периоду износио је 320 милиона евра уз пад од 25,8%. И поред тога што je од 1. јула 2020. за једну категорију производа дошло до повећања квоте на увоз челика у ЕУ за 3%, не очекује се повећање извоза, </w:t>
      </w:r>
      <w:r>
        <w:t>пошто је истовремено за другу категорију уведена специфична квота која је дупло мања од нашег прошлогодишњег извоза овог конкретног производа. Од увођења квота ЕУ, бележи се повећан раст увоза грађевинског челика у Србију, што може бити последица преусмера</w:t>
      </w:r>
      <w:r>
        <w:t xml:space="preserve">вања трговинских токова који су раније били усмерени ка ЕУ.  </w:t>
      </w:r>
    </w:p>
    <w:p w:rsidR="00E8309B" w:rsidRDefault="009D0949">
      <w:pPr>
        <w:ind w:left="-5" w:right="17"/>
      </w:pPr>
      <w:r>
        <w:rPr>
          <w:b/>
        </w:rPr>
        <w:t>Усклађивање националних са техничким прописима Европске уније</w:t>
      </w:r>
      <w:r>
        <w:t xml:space="preserve"> и њихова ефикасна примена кроз развијен систем инфраструктуре квалитета су предуслов за безбедност производа на домаћем тржишту и ук</w:t>
      </w:r>
      <w:r>
        <w:t xml:space="preserve">ључивање Србије у међународне и европске интеграционе токове и обезбеђивање слободног кретања робе и услуга.  </w:t>
      </w:r>
    </w:p>
    <w:p w:rsidR="00E8309B" w:rsidRDefault="009D0949">
      <w:pPr>
        <w:spacing w:after="91"/>
        <w:ind w:left="-5" w:right="17"/>
      </w:pPr>
      <w:r>
        <w:t xml:space="preserve">Усвајањем Закона о безбедности хране, Закона о здрављу биља и Законa о средствима за заштиту биља 2019. године, постигнуто је </w:t>
      </w:r>
      <w:r>
        <w:rPr>
          <w:b/>
        </w:rPr>
        <w:t>усаглашавање фитоса</w:t>
      </w:r>
      <w:r>
        <w:rPr>
          <w:b/>
        </w:rPr>
        <w:t>нитарних и санитарних прописа</w:t>
      </w:r>
      <w:r>
        <w:t xml:space="preserve"> са прописима Европске уније. </w:t>
      </w:r>
    </w:p>
    <w:p w:rsidR="00E8309B" w:rsidRDefault="009D0949">
      <w:pPr>
        <w:spacing w:after="91"/>
        <w:ind w:left="-5" w:right="17"/>
      </w:pPr>
      <w:r>
        <w:rPr>
          <w:b/>
        </w:rPr>
        <w:t>Други по важности спољнотрговински партнер јесу ЦЕФТА стране,</w:t>
      </w:r>
      <w:r>
        <w:t xml:space="preserve"> са којима је остварен суфицит у размени од 2 милијарде евра у 2019. години, као резултат углавном извоза пољопривредних производа (жит</w:t>
      </w:r>
      <w:r>
        <w:t xml:space="preserve">арице и производи од њих и разне врсте пића), нафте и нафтних деривата, гвожђа и челика и производа од метала. </w:t>
      </w:r>
    </w:p>
    <w:p w:rsidR="00E8309B" w:rsidRDefault="009D0949">
      <w:pPr>
        <w:ind w:left="-5" w:right="17"/>
      </w:pPr>
      <w:r>
        <w:rPr>
          <w:b/>
        </w:rPr>
        <w:t>Таксе које су привремене институције самоуправе у Приштини увеле</w:t>
      </w:r>
      <w:r>
        <w:t xml:space="preserve"> на производе из Централне Србије у новембру 2018. године, укинуте су 31. марта </w:t>
      </w:r>
      <w:r>
        <w:t>2020. године. Међутим, истовремено су уведене реципрочне трговинске мере, што је било ограничење за пласман робе из Централне Србије. Коначно је и ова мера укинута 6. јуна 2020. године  и од тада није било формалних условљавања на административним прелазим</w:t>
      </w:r>
      <w:r>
        <w:t>а за прелазак робе. Након укидања такси, од 1. априла до краја августа 2020. на територију АП КиМ је пласирано робе у вредности од 112,5 милиона евра (мање од милион евра дневнo). Још увек није дошло до опоравка и враћања на ниво извоза који је постојао пр</w:t>
      </w:r>
      <w:r>
        <w:t xml:space="preserve">е увођења такси од 100%, с обзиром да је извоз на ово подручје износио око 2 милиона евра дневно пре увођења такси. Свеукупно, штета од увођења такси до укидања мера реципроцитета износила је у просеку милион евра дневно. </w:t>
      </w:r>
    </w:p>
    <w:p w:rsidR="00E8309B" w:rsidRDefault="009D0949">
      <w:pPr>
        <w:spacing w:after="87"/>
        <w:ind w:left="-5" w:right="17"/>
      </w:pPr>
      <w:r>
        <w:rPr>
          <w:b/>
        </w:rPr>
        <w:t>Дефицит текућег рачуна је повећан</w:t>
      </w:r>
      <w:r>
        <w:rPr>
          <w:b/>
        </w:rPr>
        <w:t xml:space="preserve"> за 52,2% током 2019. </w:t>
      </w:r>
      <w:r>
        <w:t xml:space="preserve">године највише због раста дефицита робне размене док је на рачунима услуга остварено повећање суфицита од 5,4%, пре свега ИКТ услуга (у износу од 801,7 милиона евра што је раст од 30,4% мг). У периоду јануарјун 2020. </w:t>
      </w:r>
      <w:r>
        <w:rPr>
          <w:b/>
        </w:rPr>
        <w:t>дефицит текућег р</w:t>
      </w:r>
      <w:r>
        <w:rPr>
          <w:b/>
        </w:rPr>
        <w:t xml:space="preserve">ачуна је смањен за 11% </w:t>
      </w:r>
      <w:r>
        <w:t>(услед раста дефицита робне разменe за 4,5% мг, док је суфицит на рачунима услуга повећан за 31,2% мг). У 2020. се очекује да ће кључни фактори као што су пад домаће тражње, ниже цене нафте и отпорност извоза услед његове структуре и</w:t>
      </w:r>
      <w:r>
        <w:t xml:space="preserve"> диверсификације и инвестиције у извозне индустрије, допринети смањењу текућег дефицита. </w:t>
      </w:r>
    </w:p>
    <w:p w:rsidR="00E8309B" w:rsidRDefault="009D0949">
      <w:pPr>
        <w:spacing w:after="99"/>
        <w:ind w:left="-5" w:right="17"/>
      </w:pPr>
      <w:r>
        <w:t xml:space="preserve">Анализа спољнотрговинских перформанси </w:t>
      </w:r>
      <w:r>
        <w:rPr>
          <w:b/>
        </w:rPr>
        <w:t>у условима пандемије вируса Ковид-19</w:t>
      </w:r>
      <w:r>
        <w:t xml:space="preserve"> показује да није дошло до прекида ланца снабдевања од главних спољнотрговинских партнера (к</w:t>
      </w:r>
      <w:r>
        <w:t>оји највећим делом увозе сировине и полупроизводе из Србије). У периоду од јануара до августа 2020. године остварен је укупан извоз роба од 10,6 милијарде евра (-7,6% мг, извоз у ЕУ -9,4% мг), укупан увоз роба од 14,5 милијарде евра (-6,5% мг, увоз из ЕУ -</w:t>
      </w:r>
      <w:r>
        <w:t>6,8% мг), мањи дефицит спољнотрговинске робне размене за 3,2% и мања покривеност извоза увозом (73,4% у односу на 74,3% у истом периоду претходне године). Очекује се да ће извоз бити незнатно мањи у 2020. као последица глобалне рецесије, уз повратак на пре</w:t>
      </w:r>
      <w:r>
        <w:t xml:space="preserve">тходну путању раста већ у 2021. Највећи допринос паду извоза роба и услуга може имати смањени обим извоза прерађивачке индустрије услед пада екстерне тражње и поремећаја у глобалним ланцима вредности у 2020. Извоз услуга је отпорнији на ефекте кризе услед </w:t>
      </w:r>
      <w:r>
        <w:t xml:space="preserve">мањег удела туристичких услуга и високог раста сектора који су мање погођени (ИКТ, пословне услуге). Пад увоза може бити већи, а његов опоравак спорији услед комбинованог ефекта ниже домаће тражње и цена енергената у 2020. Највеће смањење увоза очекује се </w:t>
      </w:r>
      <w:r>
        <w:t xml:space="preserve">код енергије и других индустријских инпута (услед пада цене и смањене укупне економске активности), као и код увоза услуга. </w:t>
      </w:r>
    </w:p>
    <w:p w:rsidR="00E8309B" w:rsidRDefault="009D0949">
      <w:pPr>
        <w:spacing w:after="256" w:line="271" w:lineRule="auto"/>
        <w:ind w:left="-5" w:right="9"/>
      </w:pPr>
      <w:r>
        <w:rPr>
          <w:b/>
        </w:rPr>
        <w:t xml:space="preserve">E-трговинa je у условима избијања пандемије Ковид-19 нарочито добила на значају </w:t>
      </w:r>
      <w:r>
        <w:t xml:space="preserve">(више у области </w:t>
      </w:r>
      <w:r>
        <w:rPr>
          <w:i/>
        </w:rPr>
        <w:t>Пољопривреда, индустрија, услуге</w:t>
      </w:r>
      <w:r>
        <w:t xml:space="preserve">, стр. 107). </w:t>
      </w:r>
    </w:p>
    <w:p w:rsidR="00E8309B" w:rsidRDefault="009D0949">
      <w:pPr>
        <w:spacing w:after="246" w:line="271" w:lineRule="auto"/>
        <w:ind w:left="-5" w:right="9"/>
      </w:pPr>
      <w:r>
        <w:rPr>
          <w:b/>
        </w:rPr>
        <w:t>б) Реформе</w:t>
      </w:r>
      <w:r>
        <w:t xml:space="preserve"> </w:t>
      </w:r>
    </w:p>
    <w:p w:rsidR="00E8309B" w:rsidRDefault="009D0949">
      <w:pPr>
        <w:spacing w:after="154"/>
        <w:ind w:left="-5" w:right="17"/>
      </w:pPr>
      <w:r>
        <w:rPr>
          <w:b/>
          <w:u w:val="single" w:color="000000"/>
        </w:rPr>
        <w:t>СТРУКТУРНА РЕФОРМА 18</w:t>
      </w:r>
      <w:r>
        <w:rPr>
          <w:u w:val="single" w:color="000000"/>
        </w:rPr>
        <w:t>:</w:t>
      </w:r>
      <w:r>
        <w:t xml:space="preserve"> УНАПРЕЂЕЊЕ УСЛОВА И УКЛАЊАЊЕ ПРЕПРЕКА ТРГОВИНИ </w:t>
      </w:r>
    </w:p>
    <w:p w:rsidR="00E8309B" w:rsidRDefault="009D0949">
      <w:pPr>
        <w:spacing w:after="79" w:line="271" w:lineRule="auto"/>
        <w:ind w:left="-5" w:right="9"/>
      </w:pPr>
      <w:r>
        <w:rPr>
          <w:b/>
        </w:rPr>
        <w:t>1.</w:t>
      </w:r>
      <w:r>
        <w:rPr>
          <w:rFonts w:ascii="Arial" w:eastAsia="Arial" w:hAnsi="Arial" w:cs="Arial"/>
          <w:b/>
        </w:rPr>
        <w:t xml:space="preserve"> </w:t>
      </w:r>
      <w:r>
        <w:rPr>
          <w:b/>
        </w:rPr>
        <w:t xml:space="preserve">Опис структурне реформе </w:t>
      </w:r>
    </w:p>
    <w:p w:rsidR="00E8309B" w:rsidRDefault="009D0949">
      <w:pPr>
        <w:ind w:left="-5" w:right="17"/>
      </w:pPr>
      <w:r>
        <w:t>Циљ реформе је интензивирање, унапређење, диверсификација и даљи раст спољне трговине Србије како на регионалном, тако и на глобалн</w:t>
      </w:r>
      <w:r>
        <w:t>ом нивоу. Активности су усмерене и на јачање конкурентности српских компанија ради припреме за чланство у ЕУ и лакшег укључивања у тржишну утакмицу која постоји на јединственом европском тржишту. Реформом се посебно унапређује регионална сарадња и индирект</w:t>
      </w:r>
      <w:r>
        <w:t xml:space="preserve">но остварује напредак у испуњењу </w:t>
      </w:r>
      <w:r>
        <w:rPr>
          <w:b/>
        </w:rPr>
        <w:t>ЦОР 8.</w:t>
      </w:r>
      <w:r>
        <w:t xml:space="preserve"> Достојанствен рад и економски раст, ЦОР </w:t>
      </w:r>
      <w:r>
        <w:rPr>
          <w:b/>
        </w:rPr>
        <w:t>9</w:t>
      </w:r>
      <w:r>
        <w:t xml:space="preserve">. Индустрија, иновације и инфраструктура и ЦОР </w:t>
      </w:r>
      <w:r>
        <w:rPr>
          <w:b/>
        </w:rPr>
        <w:t>17</w:t>
      </w:r>
      <w:r>
        <w:t xml:space="preserve">. Партнерством до циља.  </w:t>
      </w:r>
    </w:p>
    <w:p w:rsidR="00E8309B" w:rsidRDefault="009D0949">
      <w:pPr>
        <w:spacing w:after="25" w:line="269" w:lineRule="auto"/>
        <w:ind w:left="-5" w:right="0"/>
        <w:jc w:val="left"/>
      </w:pPr>
      <w:r>
        <w:t>Србија наставља активности усмерене ка остварењу чланства у СТО, а нарочито ка решавању питања посто</w:t>
      </w:r>
      <w:r>
        <w:t xml:space="preserve">јеће забране спољнотрговинског промета ГМО производа у Републици Србији и окончању отворених билатералних преговора са појединим чланицама СТО. </w:t>
      </w:r>
    </w:p>
    <w:p w:rsidR="00E8309B" w:rsidRDefault="009D0949">
      <w:pPr>
        <w:ind w:left="-5" w:right="17"/>
      </w:pPr>
      <w:r>
        <w:t>У циљу даље трговинске интеграције у региону предвиђене Вишегодишњим акционим планом за стварање регионалне еко</w:t>
      </w:r>
      <w:r>
        <w:t xml:space="preserve">номске области (МАП РЕА), спроводиће се активности на имплементацији обавеза из ЦЕФТА Додатног протокола 5, ЦЕФТА Додатног протокола 6 и наставку преговора о ЦЕФТА Додатном протоколу 7. Пандемија Ковид-19 условила је да се одређене активности, посебно оне </w:t>
      </w:r>
      <w:r>
        <w:t xml:space="preserve">везане за преговоре, временски редефинишу и прилагоде новонасталим околностима.  </w:t>
      </w:r>
    </w:p>
    <w:p w:rsidR="00E8309B" w:rsidRDefault="009D0949">
      <w:pPr>
        <w:spacing w:after="148"/>
        <w:ind w:left="-5" w:right="17"/>
      </w:pPr>
      <w:r>
        <w:t>У оквиру Националног координационог тела за олакшавање трговине (НКТОТ), а уз учешће приватног сектора, приступиће се реализацији Акционог плана за 2020-2021 и изради Акционо</w:t>
      </w:r>
      <w:r>
        <w:t xml:space="preserve">г плана за период 2022-2023 у циљу идентификовању и уклањања препрека трговини, посебно техничких и фитосанитарних мера, као и олакшавању царинских процедура. </w:t>
      </w:r>
    </w:p>
    <w:p w:rsidR="00E8309B" w:rsidRDefault="009D0949">
      <w:pPr>
        <w:numPr>
          <w:ilvl w:val="0"/>
          <w:numId w:val="40"/>
        </w:numPr>
        <w:spacing w:after="127" w:line="271" w:lineRule="auto"/>
        <w:ind w:right="9" w:hanging="360"/>
      </w:pPr>
      <w:r>
        <w:rPr>
          <w:b/>
        </w:rPr>
        <w:t xml:space="preserve">Ковид-19 – ефекти, мере и изазови </w:t>
      </w:r>
    </w:p>
    <w:p w:rsidR="00E8309B" w:rsidRDefault="009D0949">
      <w:pPr>
        <w:ind w:left="-5" w:right="17"/>
      </w:pPr>
      <w:r>
        <w:t>Пандемија Ковид-</w:t>
      </w:r>
      <w:r>
        <w:t xml:space="preserve">19 је имала огроман утицај на одвијање спољне трговине, услед увођења великог броја различитих мера трговинске заштите, на регионалном и глобалном нивоу. У том смислу, основни циљ ове структурне реформе је угрожен и изложен ризику све док траје пандемија, </w:t>
      </w:r>
      <w:r>
        <w:t>јер је неизвесна ситуација по питању увођења трговинских мера и ограничења од стране других партнера. Пандемија има утицај и на пад производње како глобално тако и на националном нивоу, што последично доводи до смањења извоза и увоза. Промене у структури т</w:t>
      </w:r>
      <w:r>
        <w:t xml:space="preserve">ражње су утицале на спољнотрговинске токове, те је дошло до пада тражње трајних потрошних добара, сировина и полупроизвода за производњу ових добара, а раста тражње за основним животним намирницама, лековима и медицинском опремом. Утицај пандемије се може </w:t>
      </w:r>
      <w:r>
        <w:t xml:space="preserve">одразити и на форму и ток трговинских преговора (на билатералном, регионалном и мултилатерном плану). </w:t>
      </w:r>
    </w:p>
    <w:p w:rsidR="00E8309B" w:rsidRDefault="009D0949">
      <w:pPr>
        <w:spacing w:after="36" w:line="259" w:lineRule="auto"/>
        <w:ind w:left="0" w:right="0" w:firstLine="0"/>
        <w:jc w:val="left"/>
      </w:pPr>
      <w:r>
        <w:t xml:space="preserve"> </w:t>
      </w:r>
    </w:p>
    <w:p w:rsidR="00E8309B" w:rsidRDefault="009D0949">
      <w:pPr>
        <w:spacing w:after="36" w:line="259" w:lineRule="auto"/>
        <w:ind w:left="0" w:right="0" w:firstLine="0"/>
        <w:jc w:val="left"/>
      </w:pPr>
      <w:r>
        <w:t xml:space="preserve"> </w:t>
      </w:r>
    </w:p>
    <w:p w:rsidR="00E8309B" w:rsidRDefault="009D0949">
      <w:pPr>
        <w:spacing w:after="0" w:line="259" w:lineRule="auto"/>
        <w:ind w:left="0" w:right="0" w:firstLine="0"/>
        <w:jc w:val="left"/>
      </w:pPr>
      <w:r>
        <w:t xml:space="preserve"> </w:t>
      </w:r>
    </w:p>
    <w:p w:rsidR="00E8309B" w:rsidRDefault="009D0949">
      <w:pPr>
        <w:numPr>
          <w:ilvl w:val="0"/>
          <w:numId w:val="40"/>
        </w:numPr>
        <w:spacing w:after="0" w:line="271" w:lineRule="auto"/>
        <w:ind w:right="9" w:hanging="360"/>
      </w:pPr>
      <w:r>
        <w:rPr>
          <w:b/>
        </w:rPr>
        <w:t xml:space="preserve">Планирање активности по годинама </w:t>
      </w:r>
    </w:p>
    <w:tbl>
      <w:tblPr>
        <w:tblStyle w:val="TableGrid"/>
        <w:tblW w:w="9618" w:type="dxa"/>
        <w:tblInd w:w="10" w:type="dxa"/>
        <w:tblCellMar>
          <w:top w:w="15" w:type="dxa"/>
          <w:left w:w="107" w:type="dxa"/>
          <w:bottom w:w="0" w:type="dxa"/>
          <w:right w:w="56" w:type="dxa"/>
        </w:tblCellMar>
        <w:tblLook w:val="04A0" w:firstRow="1" w:lastRow="0" w:firstColumn="1" w:lastColumn="0" w:noHBand="0" w:noVBand="1"/>
      </w:tblPr>
      <w:tblGrid>
        <w:gridCol w:w="526"/>
        <w:gridCol w:w="3559"/>
        <w:gridCol w:w="457"/>
        <w:gridCol w:w="461"/>
        <w:gridCol w:w="462"/>
        <w:gridCol w:w="462"/>
        <w:gridCol w:w="464"/>
        <w:gridCol w:w="462"/>
        <w:gridCol w:w="463"/>
        <w:gridCol w:w="464"/>
        <w:gridCol w:w="463"/>
        <w:gridCol w:w="462"/>
        <w:gridCol w:w="462"/>
        <w:gridCol w:w="451"/>
      </w:tblGrid>
      <w:tr w:rsidR="00E8309B">
        <w:trPr>
          <w:trHeight w:val="332"/>
        </w:trPr>
        <w:tc>
          <w:tcPr>
            <w:tcW w:w="526" w:type="dxa"/>
            <w:vMerge w:val="restart"/>
            <w:tcBorders>
              <w:top w:val="single" w:sz="8" w:space="0" w:color="000000"/>
              <w:left w:val="single" w:sz="8" w:space="0" w:color="000000"/>
              <w:bottom w:val="single" w:sz="8" w:space="0" w:color="000000"/>
              <w:right w:val="single" w:sz="8" w:space="0" w:color="000000"/>
            </w:tcBorders>
            <w:vAlign w:val="center"/>
          </w:tcPr>
          <w:p w:rsidR="00E8309B" w:rsidRDefault="009D0949">
            <w:pPr>
              <w:spacing w:after="0" w:line="259" w:lineRule="auto"/>
              <w:ind w:left="30" w:right="0" w:firstLine="0"/>
              <w:jc w:val="left"/>
            </w:pPr>
            <w:r>
              <w:rPr>
                <w:b/>
                <w:sz w:val="20"/>
              </w:rPr>
              <w:t xml:space="preserve">РБ </w:t>
            </w:r>
          </w:p>
        </w:tc>
        <w:tc>
          <w:tcPr>
            <w:tcW w:w="3559" w:type="dxa"/>
            <w:vMerge w:val="restart"/>
            <w:tcBorders>
              <w:top w:val="single" w:sz="8" w:space="0" w:color="000000"/>
              <w:left w:val="single" w:sz="8" w:space="0" w:color="000000"/>
              <w:bottom w:val="single" w:sz="8" w:space="0" w:color="000000"/>
              <w:right w:val="single" w:sz="8" w:space="0" w:color="000000"/>
            </w:tcBorders>
            <w:vAlign w:val="center"/>
          </w:tcPr>
          <w:p w:rsidR="00E8309B" w:rsidRDefault="009D0949">
            <w:pPr>
              <w:spacing w:after="0" w:line="259" w:lineRule="auto"/>
              <w:ind w:left="4" w:right="0" w:firstLine="0"/>
              <w:jc w:val="left"/>
            </w:pPr>
            <w:r>
              <w:rPr>
                <w:b/>
                <w:sz w:val="20"/>
              </w:rPr>
              <w:t xml:space="preserve">Планиране активности по годинама </w:t>
            </w:r>
          </w:p>
        </w:tc>
        <w:tc>
          <w:tcPr>
            <w:tcW w:w="457" w:type="dxa"/>
            <w:tcBorders>
              <w:top w:val="single" w:sz="8" w:space="0" w:color="000000"/>
              <w:left w:val="single" w:sz="8" w:space="0" w:color="000000"/>
              <w:bottom w:val="single" w:sz="4" w:space="0" w:color="000000"/>
              <w:right w:val="nil"/>
            </w:tcBorders>
          </w:tcPr>
          <w:p w:rsidR="00E8309B" w:rsidRDefault="00E8309B">
            <w:pPr>
              <w:spacing w:after="160" w:line="259" w:lineRule="auto"/>
              <w:ind w:left="0" w:right="0" w:firstLine="0"/>
              <w:jc w:val="left"/>
            </w:pPr>
          </w:p>
        </w:tc>
        <w:tc>
          <w:tcPr>
            <w:tcW w:w="923" w:type="dxa"/>
            <w:gridSpan w:val="2"/>
            <w:tcBorders>
              <w:top w:val="single" w:sz="8" w:space="0" w:color="000000"/>
              <w:left w:val="nil"/>
              <w:bottom w:val="single" w:sz="4" w:space="0" w:color="000000"/>
              <w:right w:val="nil"/>
            </w:tcBorders>
          </w:tcPr>
          <w:p w:rsidR="00E8309B" w:rsidRDefault="009D0949">
            <w:pPr>
              <w:spacing w:after="0" w:line="259" w:lineRule="auto"/>
              <w:ind w:left="0" w:right="44" w:firstLine="0"/>
              <w:jc w:val="center"/>
            </w:pPr>
            <w:r>
              <w:rPr>
                <w:b/>
                <w:sz w:val="20"/>
              </w:rPr>
              <w:t xml:space="preserve">2021 </w:t>
            </w:r>
          </w:p>
        </w:tc>
        <w:tc>
          <w:tcPr>
            <w:tcW w:w="462" w:type="dxa"/>
            <w:tcBorders>
              <w:top w:val="single" w:sz="8" w:space="0" w:color="000000"/>
              <w:left w:val="nil"/>
              <w:bottom w:val="single" w:sz="4" w:space="0" w:color="000000"/>
              <w:right w:val="single" w:sz="8" w:space="0" w:color="000000"/>
            </w:tcBorders>
          </w:tcPr>
          <w:p w:rsidR="00E8309B" w:rsidRDefault="00E8309B">
            <w:pPr>
              <w:spacing w:after="160" w:line="259" w:lineRule="auto"/>
              <w:ind w:left="0" w:right="0" w:firstLine="0"/>
              <w:jc w:val="left"/>
            </w:pPr>
          </w:p>
        </w:tc>
        <w:tc>
          <w:tcPr>
            <w:tcW w:w="464" w:type="dxa"/>
            <w:tcBorders>
              <w:top w:val="single" w:sz="8" w:space="0" w:color="000000"/>
              <w:left w:val="single" w:sz="8" w:space="0" w:color="000000"/>
              <w:bottom w:val="single" w:sz="4" w:space="0" w:color="000000"/>
              <w:right w:val="nil"/>
            </w:tcBorders>
          </w:tcPr>
          <w:p w:rsidR="00E8309B" w:rsidRDefault="00E8309B">
            <w:pPr>
              <w:spacing w:after="160" w:line="259" w:lineRule="auto"/>
              <w:ind w:left="0" w:right="0" w:firstLine="0"/>
              <w:jc w:val="left"/>
            </w:pPr>
          </w:p>
        </w:tc>
        <w:tc>
          <w:tcPr>
            <w:tcW w:w="925" w:type="dxa"/>
            <w:gridSpan w:val="2"/>
            <w:tcBorders>
              <w:top w:val="single" w:sz="8" w:space="0" w:color="000000"/>
              <w:left w:val="nil"/>
              <w:bottom w:val="single" w:sz="4" w:space="0" w:color="000000"/>
              <w:right w:val="nil"/>
            </w:tcBorders>
          </w:tcPr>
          <w:p w:rsidR="00E8309B" w:rsidRDefault="009D0949">
            <w:pPr>
              <w:spacing w:after="0" w:line="259" w:lineRule="auto"/>
              <w:ind w:left="0" w:right="43" w:firstLine="0"/>
              <w:jc w:val="center"/>
            </w:pPr>
            <w:r>
              <w:rPr>
                <w:b/>
                <w:sz w:val="20"/>
              </w:rPr>
              <w:t xml:space="preserve">2022 </w:t>
            </w:r>
          </w:p>
        </w:tc>
        <w:tc>
          <w:tcPr>
            <w:tcW w:w="464" w:type="dxa"/>
            <w:tcBorders>
              <w:top w:val="single" w:sz="8" w:space="0" w:color="000000"/>
              <w:left w:val="nil"/>
              <w:bottom w:val="single" w:sz="4" w:space="0" w:color="000000"/>
              <w:right w:val="single" w:sz="8" w:space="0" w:color="000000"/>
            </w:tcBorders>
          </w:tcPr>
          <w:p w:rsidR="00E8309B" w:rsidRDefault="00E8309B">
            <w:pPr>
              <w:spacing w:after="160" w:line="259" w:lineRule="auto"/>
              <w:ind w:left="0" w:right="0" w:firstLine="0"/>
              <w:jc w:val="left"/>
            </w:pPr>
          </w:p>
        </w:tc>
        <w:tc>
          <w:tcPr>
            <w:tcW w:w="463" w:type="dxa"/>
            <w:tcBorders>
              <w:top w:val="single" w:sz="8" w:space="0" w:color="000000"/>
              <w:left w:val="single" w:sz="8" w:space="0" w:color="000000"/>
              <w:bottom w:val="single" w:sz="4" w:space="0" w:color="000000"/>
              <w:right w:val="nil"/>
            </w:tcBorders>
          </w:tcPr>
          <w:p w:rsidR="00E8309B" w:rsidRDefault="00E8309B">
            <w:pPr>
              <w:spacing w:after="160" w:line="259" w:lineRule="auto"/>
              <w:ind w:left="0" w:right="0" w:firstLine="0"/>
              <w:jc w:val="left"/>
            </w:pPr>
          </w:p>
        </w:tc>
        <w:tc>
          <w:tcPr>
            <w:tcW w:w="924" w:type="dxa"/>
            <w:gridSpan w:val="2"/>
            <w:tcBorders>
              <w:top w:val="single" w:sz="8" w:space="0" w:color="000000"/>
              <w:left w:val="nil"/>
              <w:bottom w:val="single" w:sz="4" w:space="0" w:color="000000"/>
              <w:right w:val="nil"/>
            </w:tcBorders>
          </w:tcPr>
          <w:p w:rsidR="00E8309B" w:rsidRDefault="009D0949">
            <w:pPr>
              <w:spacing w:after="0" w:line="259" w:lineRule="auto"/>
              <w:ind w:left="0" w:right="59" w:firstLine="0"/>
              <w:jc w:val="center"/>
            </w:pPr>
            <w:r>
              <w:rPr>
                <w:b/>
                <w:sz w:val="20"/>
              </w:rPr>
              <w:t xml:space="preserve">2023 </w:t>
            </w:r>
          </w:p>
        </w:tc>
        <w:tc>
          <w:tcPr>
            <w:tcW w:w="451" w:type="dxa"/>
            <w:tcBorders>
              <w:top w:val="single" w:sz="8" w:space="0" w:color="000000"/>
              <w:left w:val="nil"/>
              <w:bottom w:val="single" w:sz="4" w:space="0" w:color="000000"/>
              <w:right w:val="single" w:sz="8" w:space="0" w:color="000000"/>
            </w:tcBorders>
          </w:tcPr>
          <w:p w:rsidR="00E8309B" w:rsidRDefault="00E8309B">
            <w:pPr>
              <w:spacing w:after="160" w:line="259" w:lineRule="auto"/>
              <w:ind w:left="0" w:right="0" w:firstLine="0"/>
              <w:jc w:val="left"/>
            </w:pPr>
          </w:p>
        </w:tc>
      </w:tr>
      <w:tr w:rsidR="00E8309B">
        <w:trPr>
          <w:trHeight w:val="487"/>
        </w:trPr>
        <w:tc>
          <w:tcPr>
            <w:tcW w:w="0" w:type="auto"/>
            <w:vMerge/>
            <w:tcBorders>
              <w:top w:val="nil"/>
              <w:left w:val="single" w:sz="8" w:space="0" w:color="000000"/>
              <w:bottom w:val="single" w:sz="8" w:space="0" w:color="000000"/>
              <w:right w:val="single" w:sz="8" w:space="0" w:color="000000"/>
            </w:tcBorders>
          </w:tcPr>
          <w:p w:rsidR="00E8309B" w:rsidRDefault="00E8309B">
            <w:pPr>
              <w:spacing w:after="160" w:line="259" w:lineRule="auto"/>
              <w:ind w:left="0" w:right="0" w:firstLine="0"/>
              <w:jc w:val="left"/>
            </w:pPr>
          </w:p>
        </w:tc>
        <w:tc>
          <w:tcPr>
            <w:tcW w:w="0" w:type="auto"/>
            <w:vMerge/>
            <w:tcBorders>
              <w:top w:val="nil"/>
              <w:left w:val="single" w:sz="8" w:space="0" w:color="000000"/>
              <w:bottom w:val="single" w:sz="8" w:space="0" w:color="000000"/>
              <w:right w:val="single" w:sz="8" w:space="0" w:color="000000"/>
            </w:tcBorders>
          </w:tcPr>
          <w:p w:rsidR="00E8309B" w:rsidRDefault="00E8309B">
            <w:pPr>
              <w:spacing w:after="160" w:line="259" w:lineRule="auto"/>
              <w:ind w:left="0" w:right="0" w:firstLine="0"/>
              <w:jc w:val="left"/>
            </w:pPr>
          </w:p>
        </w:tc>
        <w:tc>
          <w:tcPr>
            <w:tcW w:w="457" w:type="dxa"/>
            <w:tcBorders>
              <w:top w:val="single" w:sz="4" w:space="0" w:color="000000"/>
              <w:left w:val="single" w:sz="8" w:space="0" w:color="000000"/>
              <w:bottom w:val="single" w:sz="8" w:space="0" w:color="000000"/>
              <w:right w:val="single" w:sz="4" w:space="0" w:color="000000"/>
            </w:tcBorders>
            <w:vAlign w:val="center"/>
          </w:tcPr>
          <w:p w:rsidR="00E8309B" w:rsidRDefault="009D0949">
            <w:pPr>
              <w:spacing w:after="0" w:line="259" w:lineRule="auto"/>
              <w:ind w:left="0" w:right="0" w:firstLine="0"/>
              <w:jc w:val="left"/>
            </w:pPr>
            <w:r>
              <w:rPr>
                <w:i/>
                <w:sz w:val="20"/>
              </w:rPr>
              <w:t xml:space="preserve">Q1 </w:t>
            </w:r>
          </w:p>
        </w:tc>
        <w:tc>
          <w:tcPr>
            <w:tcW w:w="461" w:type="dxa"/>
            <w:tcBorders>
              <w:top w:val="single" w:sz="4" w:space="0" w:color="000000"/>
              <w:left w:val="single" w:sz="4" w:space="0" w:color="000000"/>
              <w:bottom w:val="single" w:sz="8" w:space="0" w:color="000000"/>
              <w:right w:val="single" w:sz="4" w:space="0" w:color="000000"/>
            </w:tcBorders>
            <w:vAlign w:val="center"/>
          </w:tcPr>
          <w:p w:rsidR="00E8309B" w:rsidRDefault="009D0949">
            <w:pPr>
              <w:spacing w:after="0" w:line="259" w:lineRule="auto"/>
              <w:ind w:left="4" w:right="0" w:firstLine="0"/>
              <w:jc w:val="left"/>
            </w:pPr>
            <w:r>
              <w:rPr>
                <w:i/>
                <w:sz w:val="20"/>
              </w:rPr>
              <w:t xml:space="preserve">Q2 </w:t>
            </w:r>
          </w:p>
        </w:tc>
        <w:tc>
          <w:tcPr>
            <w:tcW w:w="462" w:type="dxa"/>
            <w:tcBorders>
              <w:top w:val="single" w:sz="4" w:space="0" w:color="000000"/>
              <w:left w:val="single" w:sz="4" w:space="0" w:color="000000"/>
              <w:bottom w:val="single" w:sz="8" w:space="0" w:color="000000"/>
              <w:right w:val="single" w:sz="4" w:space="0" w:color="000000"/>
            </w:tcBorders>
            <w:vAlign w:val="center"/>
          </w:tcPr>
          <w:p w:rsidR="00E8309B" w:rsidRDefault="009D0949">
            <w:pPr>
              <w:spacing w:after="0" w:line="259" w:lineRule="auto"/>
              <w:ind w:left="4" w:right="0" w:firstLine="0"/>
              <w:jc w:val="left"/>
            </w:pPr>
            <w:r>
              <w:rPr>
                <w:i/>
                <w:sz w:val="20"/>
              </w:rPr>
              <w:t xml:space="preserve">Q3 </w:t>
            </w:r>
          </w:p>
        </w:tc>
        <w:tc>
          <w:tcPr>
            <w:tcW w:w="462" w:type="dxa"/>
            <w:tcBorders>
              <w:top w:val="single" w:sz="4" w:space="0" w:color="000000"/>
              <w:left w:val="single" w:sz="4" w:space="0" w:color="000000"/>
              <w:bottom w:val="single" w:sz="8" w:space="0" w:color="000000"/>
              <w:right w:val="single" w:sz="8" w:space="0" w:color="000000"/>
            </w:tcBorders>
            <w:vAlign w:val="center"/>
          </w:tcPr>
          <w:p w:rsidR="00E8309B" w:rsidRDefault="009D0949">
            <w:pPr>
              <w:spacing w:after="0" w:line="259" w:lineRule="auto"/>
              <w:ind w:left="2" w:right="0" w:firstLine="0"/>
              <w:jc w:val="left"/>
            </w:pPr>
            <w:r>
              <w:rPr>
                <w:i/>
                <w:sz w:val="20"/>
              </w:rPr>
              <w:t xml:space="preserve">Q4 </w:t>
            </w:r>
          </w:p>
        </w:tc>
        <w:tc>
          <w:tcPr>
            <w:tcW w:w="464" w:type="dxa"/>
            <w:tcBorders>
              <w:top w:val="single" w:sz="4" w:space="0" w:color="000000"/>
              <w:left w:val="single" w:sz="8" w:space="0" w:color="000000"/>
              <w:bottom w:val="single" w:sz="8" w:space="0" w:color="000000"/>
              <w:right w:val="single" w:sz="4" w:space="0" w:color="000000"/>
            </w:tcBorders>
            <w:vAlign w:val="center"/>
          </w:tcPr>
          <w:p w:rsidR="00E8309B" w:rsidRDefault="009D0949">
            <w:pPr>
              <w:spacing w:after="0" w:line="259" w:lineRule="auto"/>
              <w:ind w:left="6" w:right="0" w:firstLine="0"/>
              <w:jc w:val="left"/>
            </w:pPr>
            <w:r>
              <w:rPr>
                <w:i/>
                <w:sz w:val="20"/>
              </w:rPr>
              <w:t xml:space="preserve">Q1 </w:t>
            </w:r>
          </w:p>
        </w:tc>
        <w:tc>
          <w:tcPr>
            <w:tcW w:w="462" w:type="dxa"/>
            <w:tcBorders>
              <w:top w:val="single" w:sz="4" w:space="0" w:color="000000"/>
              <w:left w:val="single" w:sz="4" w:space="0" w:color="000000"/>
              <w:bottom w:val="single" w:sz="8" w:space="0" w:color="000000"/>
              <w:right w:val="single" w:sz="4" w:space="0" w:color="000000"/>
            </w:tcBorders>
            <w:vAlign w:val="center"/>
          </w:tcPr>
          <w:p w:rsidR="00E8309B" w:rsidRDefault="009D0949">
            <w:pPr>
              <w:spacing w:after="0" w:line="259" w:lineRule="auto"/>
              <w:ind w:left="2" w:right="0" w:firstLine="0"/>
              <w:jc w:val="left"/>
            </w:pPr>
            <w:r>
              <w:rPr>
                <w:i/>
                <w:sz w:val="20"/>
              </w:rPr>
              <w:t xml:space="preserve">Q2 </w:t>
            </w:r>
          </w:p>
        </w:tc>
        <w:tc>
          <w:tcPr>
            <w:tcW w:w="463" w:type="dxa"/>
            <w:tcBorders>
              <w:top w:val="single" w:sz="4" w:space="0" w:color="000000"/>
              <w:left w:val="single" w:sz="4" w:space="0" w:color="000000"/>
              <w:bottom w:val="single" w:sz="8" w:space="0" w:color="000000"/>
              <w:right w:val="single" w:sz="4" w:space="0" w:color="000000"/>
            </w:tcBorders>
            <w:vAlign w:val="center"/>
          </w:tcPr>
          <w:p w:rsidR="00E8309B" w:rsidRDefault="009D0949">
            <w:pPr>
              <w:spacing w:after="0" w:line="259" w:lineRule="auto"/>
              <w:ind w:left="4" w:right="0" w:firstLine="0"/>
              <w:jc w:val="left"/>
            </w:pPr>
            <w:r>
              <w:rPr>
                <w:i/>
                <w:sz w:val="20"/>
              </w:rPr>
              <w:t xml:space="preserve">Q3 </w:t>
            </w:r>
          </w:p>
        </w:tc>
        <w:tc>
          <w:tcPr>
            <w:tcW w:w="464" w:type="dxa"/>
            <w:tcBorders>
              <w:top w:val="single" w:sz="4" w:space="0" w:color="000000"/>
              <w:left w:val="single" w:sz="4" w:space="0" w:color="000000"/>
              <w:bottom w:val="single" w:sz="8" w:space="0" w:color="000000"/>
              <w:right w:val="single" w:sz="8" w:space="0" w:color="000000"/>
            </w:tcBorders>
            <w:vAlign w:val="center"/>
          </w:tcPr>
          <w:p w:rsidR="00E8309B" w:rsidRDefault="009D0949">
            <w:pPr>
              <w:spacing w:after="0" w:line="259" w:lineRule="auto"/>
              <w:ind w:left="5" w:right="0" w:firstLine="0"/>
              <w:jc w:val="left"/>
            </w:pPr>
            <w:r>
              <w:rPr>
                <w:i/>
                <w:sz w:val="20"/>
              </w:rPr>
              <w:t xml:space="preserve">Q4 </w:t>
            </w:r>
          </w:p>
        </w:tc>
        <w:tc>
          <w:tcPr>
            <w:tcW w:w="463" w:type="dxa"/>
            <w:tcBorders>
              <w:top w:val="single" w:sz="4" w:space="0" w:color="000000"/>
              <w:left w:val="single" w:sz="8" w:space="0" w:color="000000"/>
              <w:bottom w:val="single" w:sz="8" w:space="0" w:color="000000"/>
              <w:right w:val="single" w:sz="4" w:space="0" w:color="000000"/>
            </w:tcBorders>
            <w:vAlign w:val="center"/>
          </w:tcPr>
          <w:p w:rsidR="00E8309B" w:rsidRDefault="009D0949">
            <w:pPr>
              <w:spacing w:after="0" w:line="259" w:lineRule="auto"/>
              <w:ind w:left="4" w:right="0" w:firstLine="0"/>
              <w:jc w:val="left"/>
            </w:pPr>
            <w:r>
              <w:rPr>
                <w:i/>
                <w:sz w:val="20"/>
              </w:rPr>
              <w:t xml:space="preserve">Q1 </w:t>
            </w:r>
          </w:p>
        </w:tc>
        <w:tc>
          <w:tcPr>
            <w:tcW w:w="462" w:type="dxa"/>
            <w:tcBorders>
              <w:top w:val="single" w:sz="4" w:space="0" w:color="000000"/>
              <w:left w:val="single" w:sz="4" w:space="0" w:color="000000"/>
              <w:bottom w:val="single" w:sz="8" w:space="0" w:color="000000"/>
              <w:right w:val="single" w:sz="4" w:space="0" w:color="000000"/>
            </w:tcBorders>
            <w:vAlign w:val="center"/>
          </w:tcPr>
          <w:p w:rsidR="00E8309B" w:rsidRDefault="009D0949">
            <w:pPr>
              <w:spacing w:after="0" w:line="259" w:lineRule="auto"/>
              <w:ind w:left="4" w:right="0" w:firstLine="0"/>
              <w:jc w:val="left"/>
            </w:pPr>
            <w:r>
              <w:rPr>
                <w:i/>
                <w:sz w:val="20"/>
              </w:rPr>
              <w:t xml:space="preserve">Q2 </w:t>
            </w:r>
          </w:p>
        </w:tc>
        <w:tc>
          <w:tcPr>
            <w:tcW w:w="462" w:type="dxa"/>
            <w:tcBorders>
              <w:top w:val="single" w:sz="4" w:space="0" w:color="000000"/>
              <w:left w:val="single" w:sz="4" w:space="0" w:color="000000"/>
              <w:bottom w:val="single" w:sz="8" w:space="0" w:color="000000"/>
              <w:right w:val="single" w:sz="4" w:space="0" w:color="000000"/>
            </w:tcBorders>
            <w:vAlign w:val="center"/>
          </w:tcPr>
          <w:p w:rsidR="00E8309B" w:rsidRDefault="009D0949">
            <w:pPr>
              <w:spacing w:after="0" w:line="259" w:lineRule="auto"/>
              <w:ind w:left="2" w:right="0" w:firstLine="0"/>
              <w:jc w:val="left"/>
            </w:pPr>
            <w:r>
              <w:rPr>
                <w:i/>
                <w:sz w:val="20"/>
              </w:rPr>
              <w:t xml:space="preserve">Q3 </w:t>
            </w:r>
          </w:p>
        </w:tc>
        <w:tc>
          <w:tcPr>
            <w:tcW w:w="451" w:type="dxa"/>
            <w:tcBorders>
              <w:top w:val="single" w:sz="4" w:space="0" w:color="000000"/>
              <w:left w:val="single" w:sz="4" w:space="0" w:color="000000"/>
              <w:bottom w:val="single" w:sz="8" w:space="0" w:color="000000"/>
              <w:right w:val="single" w:sz="8" w:space="0" w:color="000000"/>
            </w:tcBorders>
          </w:tcPr>
          <w:p w:rsidR="00E8309B" w:rsidRDefault="009D0949">
            <w:pPr>
              <w:spacing w:after="0" w:line="259" w:lineRule="auto"/>
              <w:ind w:left="49" w:right="0" w:firstLine="0"/>
              <w:jc w:val="left"/>
            </w:pPr>
            <w:r>
              <w:rPr>
                <w:i/>
                <w:sz w:val="20"/>
              </w:rPr>
              <w:t>Q</w:t>
            </w:r>
          </w:p>
          <w:p w:rsidR="00E8309B" w:rsidRDefault="009D0949">
            <w:pPr>
              <w:spacing w:after="0" w:line="259" w:lineRule="auto"/>
              <w:ind w:left="0" w:right="48" w:firstLine="0"/>
              <w:jc w:val="center"/>
            </w:pPr>
            <w:r>
              <w:rPr>
                <w:i/>
                <w:sz w:val="20"/>
              </w:rPr>
              <w:t xml:space="preserve">4 </w:t>
            </w:r>
          </w:p>
        </w:tc>
      </w:tr>
      <w:tr w:rsidR="00E8309B">
        <w:trPr>
          <w:trHeight w:val="934"/>
        </w:trPr>
        <w:tc>
          <w:tcPr>
            <w:tcW w:w="526" w:type="dxa"/>
            <w:tcBorders>
              <w:top w:val="single" w:sz="8" w:space="0" w:color="000000"/>
              <w:left w:val="single" w:sz="8" w:space="0" w:color="000000"/>
              <w:bottom w:val="single" w:sz="4" w:space="0" w:color="000000"/>
              <w:right w:val="single" w:sz="8" w:space="0" w:color="000000"/>
            </w:tcBorders>
          </w:tcPr>
          <w:p w:rsidR="00E8309B" w:rsidRDefault="009D0949">
            <w:pPr>
              <w:spacing w:after="0" w:line="259" w:lineRule="auto"/>
              <w:ind w:left="0" w:right="50" w:firstLine="0"/>
              <w:jc w:val="right"/>
            </w:pPr>
            <w:r>
              <w:rPr>
                <w:b/>
                <w:sz w:val="20"/>
              </w:rPr>
              <w:t xml:space="preserve">1. </w:t>
            </w:r>
          </w:p>
        </w:tc>
        <w:tc>
          <w:tcPr>
            <w:tcW w:w="3559" w:type="dxa"/>
            <w:tcBorders>
              <w:top w:val="single" w:sz="8" w:space="0" w:color="000000"/>
              <w:left w:val="single" w:sz="8" w:space="0" w:color="000000"/>
              <w:bottom w:val="single" w:sz="4" w:space="0" w:color="000000"/>
              <w:right w:val="single" w:sz="8" w:space="0" w:color="000000"/>
            </w:tcBorders>
          </w:tcPr>
          <w:p w:rsidR="00E8309B" w:rsidRDefault="009D0949">
            <w:pPr>
              <w:spacing w:after="0" w:line="259" w:lineRule="auto"/>
              <w:ind w:left="4" w:right="0" w:firstLine="0"/>
              <w:jc w:val="left"/>
            </w:pPr>
            <w:r>
              <w:rPr>
                <w:sz w:val="20"/>
              </w:rPr>
              <w:t xml:space="preserve">Преговори о приступању СТО - билатерални преговори, усвајање прописа усаглашeних са СТО правилима и принципима  </w:t>
            </w:r>
          </w:p>
        </w:tc>
        <w:tc>
          <w:tcPr>
            <w:tcW w:w="457" w:type="dxa"/>
            <w:tcBorders>
              <w:top w:val="single" w:sz="8" w:space="0" w:color="000000"/>
              <w:left w:val="single" w:sz="8"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0" w:right="0" w:firstLine="0"/>
              <w:jc w:val="left"/>
            </w:pPr>
            <w:r>
              <w:rPr>
                <w:sz w:val="20"/>
              </w:rPr>
              <w:t xml:space="preserve">  </w:t>
            </w:r>
          </w:p>
        </w:tc>
        <w:tc>
          <w:tcPr>
            <w:tcW w:w="461" w:type="dxa"/>
            <w:tcBorders>
              <w:top w:val="single" w:sz="8" w:space="0" w:color="000000"/>
              <w:left w:val="single" w:sz="4"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4" w:right="0" w:firstLine="0"/>
              <w:jc w:val="left"/>
            </w:pPr>
            <w:r>
              <w:rPr>
                <w:sz w:val="20"/>
              </w:rPr>
              <w:t xml:space="preserve">  </w:t>
            </w:r>
          </w:p>
        </w:tc>
        <w:tc>
          <w:tcPr>
            <w:tcW w:w="462" w:type="dxa"/>
            <w:tcBorders>
              <w:top w:val="single" w:sz="8" w:space="0" w:color="000000"/>
              <w:left w:val="single" w:sz="4"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4" w:right="0" w:firstLine="0"/>
              <w:jc w:val="left"/>
            </w:pPr>
            <w:r>
              <w:rPr>
                <w:sz w:val="20"/>
              </w:rPr>
              <w:t xml:space="preserve">  </w:t>
            </w:r>
          </w:p>
        </w:tc>
        <w:tc>
          <w:tcPr>
            <w:tcW w:w="462" w:type="dxa"/>
            <w:tcBorders>
              <w:top w:val="single" w:sz="8" w:space="0" w:color="000000"/>
              <w:left w:val="single" w:sz="4" w:space="0" w:color="000000"/>
              <w:bottom w:val="single" w:sz="4" w:space="0" w:color="000000"/>
              <w:right w:val="single" w:sz="8" w:space="0" w:color="000000"/>
            </w:tcBorders>
            <w:shd w:val="clear" w:color="auto" w:fill="BFBFBF"/>
            <w:vAlign w:val="center"/>
          </w:tcPr>
          <w:p w:rsidR="00E8309B" w:rsidRDefault="009D0949">
            <w:pPr>
              <w:spacing w:after="0" w:line="259" w:lineRule="auto"/>
              <w:ind w:left="2" w:right="0" w:firstLine="0"/>
              <w:jc w:val="left"/>
            </w:pPr>
            <w:r>
              <w:rPr>
                <w:sz w:val="20"/>
              </w:rPr>
              <w:t xml:space="preserve">  </w:t>
            </w:r>
          </w:p>
        </w:tc>
        <w:tc>
          <w:tcPr>
            <w:tcW w:w="464" w:type="dxa"/>
            <w:tcBorders>
              <w:top w:val="single" w:sz="8" w:space="0" w:color="000000"/>
              <w:left w:val="single" w:sz="8"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7" w:right="0" w:firstLine="0"/>
              <w:jc w:val="center"/>
            </w:pPr>
            <w:r>
              <w:rPr>
                <w:sz w:val="20"/>
              </w:rPr>
              <w:t xml:space="preserve">  </w:t>
            </w:r>
          </w:p>
        </w:tc>
        <w:tc>
          <w:tcPr>
            <w:tcW w:w="462" w:type="dxa"/>
            <w:tcBorders>
              <w:top w:val="single" w:sz="8" w:space="0" w:color="000000"/>
              <w:left w:val="single" w:sz="4"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2" w:right="0" w:firstLine="0"/>
              <w:jc w:val="center"/>
            </w:pPr>
            <w:r>
              <w:rPr>
                <w:sz w:val="20"/>
              </w:rPr>
              <w:t xml:space="preserve">  </w:t>
            </w:r>
          </w:p>
        </w:tc>
        <w:tc>
          <w:tcPr>
            <w:tcW w:w="463" w:type="dxa"/>
            <w:tcBorders>
              <w:top w:val="single" w:sz="8" w:space="0" w:color="000000"/>
              <w:left w:val="single" w:sz="4"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4" w:right="0" w:firstLine="0"/>
              <w:jc w:val="center"/>
            </w:pPr>
            <w:r>
              <w:rPr>
                <w:sz w:val="20"/>
              </w:rPr>
              <w:t xml:space="preserve">  </w:t>
            </w:r>
          </w:p>
        </w:tc>
        <w:tc>
          <w:tcPr>
            <w:tcW w:w="464" w:type="dxa"/>
            <w:tcBorders>
              <w:top w:val="single" w:sz="8" w:space="0" w:color="000000"/>
              <w:left w:val="single" w:sz="4" w:space="0" w:color="000000"/>
              <w:bottom w:val="single" w:sz="4" w:space="0" w:color="000000"/>
              <w:right w:val="single" w:sz="8" w:space="0" w:color="000000"/>
            </w:tcBorders>
            <w:shd w:val="clear" w:color="auto" w:fill="BFBFBF"/>
            <w:vAlign w:val="center"/>
          </w:tcPr>
          <w:p w:rsidR="00E8309B" w:rsidRDefault="009D0949">
            <w:pPr>
              <w:spacing w:after="0" w:line="259" w:lineRule="auto"/>
              <w:ind w:left="0" w:right="0" w:firstLine="0"/>
              <w:jc w:val="center"/>
            </w:pPr>
            <w:r>
              <w:rPr>
                <w:sz w:val="20"/>
              </w:rPr>
              <w:t xml:space="preserve">  </w:t>
            </w:r>
          </w:p>
        </w:tc>
        <w:tc>
          <w:tcPr>
            <w:tcW w:w="463" w:type="dxa"/>
            <w:tcBorders>
              <w:top w:val="single" w:sz="8" w:space="0" w:color="000000"/>
              <w:left w:val="single" w:sz="8" w:space="0" w:color="000000"/>
              <w:bottom w:val="single" w:sz="4" w:space="0" w:color="000000"/>
              <w:right w:val="single" w:sz="4" w:space="0" w:color="000000"/>
            </w:tcBorders>
            <w:vAlign w:val="center"/>
          </w:tcPr>
          <w:p w:rsidR="00E8309B" w:rsidRDefault="009D0949">
            <w:pPr>
              <w:spacing w:after="0" w:line="259" w:lineRule="auto"/>
              <w:ind w:left="4" w:right="0" w:firstLine="0"/>
              <w:jc w:val="center"/>
            </w:pPr>
            <w:r>
              <w:rPr>
                <w:sz w:val="20"/>
              </w:rPr>
              <w:t xml:space="preserve">  </w:t>
            </w:r>
          </w:p>
        </w:tc>
        <w:tc>
          <w:tcPr>
            <w:tcW w:w="462" w:type="dxa"/>
            <w:tcBorders>
              <w:top w:val="single" w:sz="8"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5" w:right="0" w:firstLine="0"/>
              <w:jc w:val="center"/>
            </w:pPr>
            <w:r>
              <w:rPr>
                <w:sz w:val="20"/>
              </w:rPr>
              <w:t xml:space="preserve">  </w:t>
            </w:r>
          </w:p>
        </w:tc>
        <w:tc>
          <w:tcPr>
            <w:tcW w:w="462" w:type="dxa"/>
            <w:tcBorders>
              <w:top w:val="single" w:sz="8"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2" w:right="0" w:firstLine="0"/>
              <w:jc w:val="center"/>
            </w:pPr>
            <w:r>
              <w:rPr>
                <w:sz w:val="20"/>
              </w:rPr>
              <w:t xml:space="preserve">  </w:t>
            </w:r>
          </w:p>
        </w:tc>
        <w:tc>
          <w:tcPr>
            <w:tcW w:w="451" w:type="dxa"/>
            <w:tcBorders>
              <w:top w:val="single" w:sz="8" w:space="0" w:color="000000"/>
              <w:left w:val="single" w:sz="4" w:space="0" w:color="000000"/>
              <w:bottom w:val="single" w:sz="4" w:space="0" w:color="000000"/>
              <w:right w:val="single" w:sz="8" w:space="0" w:color="000000"/>
            </w:tcBorders>
            <w:vAlign w:val="center"/>
          </w:tcPr>
          <w:p w:rsidR="00E8309B" w:rsidRDefault="009D0949">
            <w:pPr>
              <w:spacing w:after="0" w:line="259" w:lineRule="auto"/>
              <w:ind w:left="1" w:right="0" w:firstLine="0"/>
              <w:jc w:val="center"/>
            </w:pPr>
            <w:r>
              <w:rPr>
                <w:sz w:val="20"/>
              </w:rPr>
              <w:t xml:space="preserve">  </w:t>
            </w:r>
          </w:p>
        </w:tc>
      </w:tr>
      <w:tr w:rsidR="00E8309B">
        <w:trPr>
          <w:trHeight w:val="698"/>
        </w:trPr>
        <w:tc>
          <w:tcPr>
            <w:tcW w:w="526" w:type="dxa"/>
            <w:tcBorders>
              <w:top w:val="single" w:sz="4" w:space="0" w:color="000000"/>
              <w:left w:val="single" w:sz="8" w:space="0" w:color="000000"/>
              <w:bottom w:val="single" w:sz="4" w:space="0" w:color="000000"/>
              <w:right w:val="single" w:sz="8" w:space="0" w:color="000000"/>
            </w:tcBorders>
          </w:tcPr>
          <w:p w:rsidR="00E8309B" w:rsidRDefault="009D0949">
            <w:pPr>
              <w:spacing w:after="0" w:line="259" w:lineRule="auto"/>
              <w:ind w:left="0" w:right="50" w:firstLine="0"/>
              <w:jc w:val="right"/>
            </w:pPr>
            <w:r>
              <w:rPr>
                <w:b/>
                <w:sz w:val="20"/>
              </w:rPr>
              <w:t xml:space="preserve">2. </w:t>
            </w:r>
          </w:p>
        </w:tc>
        <w:tc>
          <w:tcPr>
            <w:tcW w:w="3559" w:type="dxa"/>
            <w:tcBorders>
              <w:top w:val="single" w:sz="4" w:space="0" w:color="000000"/>
              <w:left w:val="single" w:sz="8" w:space="0" w:color="000000"/>
              <w:bottom w:val="single" w:sz="4" w:space="0" w:color="000000"/>
              <w:right w:val="single" w:sz="8" w:space="0" w:color="000000"/>
            </w:tcBorders>
          </w:tcPr>
          <w:p w:rsidR="00E8309B" w:rsidRDefault="009D0949">
            <w:pPr>
              <w:spacing w:after="0" w:line="259" w:lineRule="auto"/>
              <w:ind w:left="4" w:right="0" w:firstLine="0"/>
              <w:jc w:val="left"/>
            </w:pPr>
            <w:r>
              <w:rPr>
                <w:sz w:val="20"/>
              </w:rPr>
              <w:t xml:space="preserve">МАП РЕА - ЦЕФТА - </w:t>
            </w:r>
          </w:p>
          <w:p w:rsidR="00E8309B" w:rsidRDefault="009D0949">
            <w:pPr>
              <w:spacing w:after="17" w:line="259" w:lineRule="auto"/>
              <w:ind w:left="4" w:right="0" w:firstLine="0"/>
              <w:jc w:val="left"/>
            </w:pPr>
            <w:r>
              <w:rPr>
                <w:sz w:val="20"/>
              </w:rPr>
              <w:t xml:space="preserve">Имплементација Додатног протокола </w:t>
            </w:r>
          </w:p>
          <w:p w:rsidR="00E8309B" w:rsidRDefault="009D0949">
            <w:pPr>
              <w:spacing w:after="0" w:line="259" w:lineRule="auto"/>
              <w:ind w:left="4" w:right="0" w:firstLine="0"/>
              <w:jc w:val="left"/>
            </w:pPr>
            <w:r>
              <w:rPr>
                <w:sz w:val="20"/>
              </w:rPr>
              <w:t xml:space="preserve">5 о олакшавању трговине </w:t>
            </w:r>
          </w:p>
        </w:tc>
        <w:tc>
          <w:tcPr>
            <w:tcW w:w="457" w:type="dxa"/>
            <w:tcBorders>
              <w:top w:val="single" w:sz="4" w:space="0" w:color="000000"/>
              <w:left w:val="single" w:sz="8"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0" w:right="0" w:firstLine="0"/>
              <w:jc w:val="left"/>
            </w:pPr>
            <w:r>
              <w:rPr>
                <w:sz w:val="20"/>
              </w:rPr>
              <w:t xml:space="preserve">  </w:t>
            </w:r>
          </w:p>
        </w:tc>
        <w:tc>
          <w:tcPr>
            <w:tcW w:w="461"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4" w:right="0" w:firstLine="0"/>
              <w:jc w:val="left"/>
            </w:pPr>
            <w:r>
              <w:rPr>
                <w:sz w:val="20"/>
              </w:rPr>
              <w:t xml:space="preserve">  </w:t>
            </w:r>
          </w:p>
        </w:tc>
        <w:tc>
          <w:tcPr>
            <w:tcW w:w="462"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4" w:right="0" w:firstLine="0"/>
              <w:jc w:val="left"/>
            </w:pPr>
            <w:r>
              <w:rPr>
                <w:sz w:val="20"/>
              </w:rPr>
              <w:t xml:space="preserve">  </w:t>
            </w:r>
          </w:p>
        </w:tc>
        <w:tc>
          <w:tcPr>
            <w:tcW w:w="462" w:type="dxa"/>
            <w:tcBorders>
              <w:top w:val="single" w:sz="4" w:space="0" w:color="000000"/>
              <w:left w:val="single" w:sz="4" w:space="0" w:color="000000"/>
              <w:bottom w:val="single" w:sz="4" w:space="0" w:color="000000"/>
              <w:right w:val="single" w:sz="8" w:space="0" w:color="000000"/>
            </w:tcBorders>
            <w:shd w:val="clear" w:color="auto" w:fill="BFBFBF"/>
            <w:vAlign w:val="center"/>
          </w:tcPr>
          <w:p w:rsidR="00E8309B" w:rsidRDefault="009D0949">
            <w:pPr>
              <w:spacing w:after="0" w:line="259" w:lineRule="auto"/>
              <w:ind w:left="2" w:right="0" w:firstLine="0"/>
              <w:jc w:val="left"/>
            </w:pPr>
            <w:r>
              <w:rPr>
                <w:sz w:val="20"/>
              </w:rPr>
              <w:t xml:space="preserve">  </w:t>
            </w:r>
          </w:p>
        </w:tc>
        <w:tc>
          <w:tcPr>
            <w:tcW w:w="464" w:type="dxa"/>
            <w:tcBorders>
              <w:top w:val="single" w:sz="4" w:space="0" w:color="000000"/>
              <w:left w:val="single" w:sz="8"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7" w:right="0" w:firstLine="0"/>
              <w:jc w:val="center"/>
            </w:pPr>
            <w:r>
              <w:rPr>
                <w:sz w:val="20"/>
              </w:rPr>
              <w:t xml:space="preserve">  </w:t>
            </w:r>
          </w:p>
        </w:tc>
        <w:tc>
          <w:tcPr>
            <w:tcW w:w="462"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2" w:right="0" w:firstLine="0"/>
              <w:jc w:val="center"/>
            </w:pPr>
            <w:r>
              <w:rPr>
                <w:sz w:val="20"/>
              </w:rPr>
              <w:t xml:space="preserve">  </w:t>
            </w:r>
          </w:p>
        </w:tc>
        <w:tc>
          <w:tcPr>
            <w:tcW w:w="463"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4" w:right="0" w:firstLine="0"/>
              <w:jc w:val="center"/>
            </w:pPr>
            <w:r>
              <w:rPr>
                <w:sz w:val="20"/>
              </w:rPr>
              <w:t xml:space="preserve">  </w:t>
            </w:r>
          </w:p>
        </w:tc>
        <w:tc>
          <w:tcPr>
            <w:tcW w:w="464" w:type="dxa"/>
            <w:tcBorders>
              <w:top w:val="single" w:sz="4" w:space="0" w:color="000000"/>
              <w:left w:val="single" w:sz="4" w:space="0" w:color="000000"/>
              <w:bottom w:val="single" w:sz="4" w:space="0" w:color="000000"/>
              <w:right w:val="single" w:sz="8" w:space="0" w:color="000000"/>
            </w:tcBorders>
            <w:shd w:val="clear" w:color="auto" w:fill="BFBFBF"/>
            <w:vAlign w:val="center"/>
          </w:tcPr>
          <w:p w:rsidR="00E8309B" w:rsidRDefault="009D0949">
            <w:pPr>
              <w:spacing w:after="0" w:line="259" w:lineRule="auto"/>
              <w:ind w:left="0" w:right="0" w:firstLine="0"/>
              <w:jc w:val="center"/>
            </w:pPr>
            <w:r>
              <w:rPr>
                <w:sz w:val="20"/>
              </w:rPr>
              <w:t xml:space="preserve">  </w:t>
            </w:r>
          </w:p>
        </w:tc>
        <w:tc>
          <w:tcPr>
            <w:tcW w:w="463" w:type="dxa"/>
            <w:tcBorders>
              <w:top w:val="single" w:sz="4" w:space="0" w:color="000000"/>
              <w:left w:val="single" w:sz="8"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4" w:right="0" w:firstLine="0"/>
              <w:jc w:val="center"/>
            </w:pPr>
            <w:r>
              <w:rPr>
                <w:sz w:val="20"/>
              </w:rPr>
              <w:t xml:space="preserve">  </w:t>
            </w:r>
          </w:p>
        </w:tc>
        <w:tc>
          <w:tcPr>
            <w:tcW w:w="462"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5" w:right="0" w:firstLine="0"/>
              <w:jc w:val="center"/>
            </w:pPr>
            <w:r>
              <w:rPr>
                <w:sz w:val="20"/>
              </w:rPr>
              <w:t xml:space="preserve">  </w:t>
            </w:r>
          </w:p>
        </w:tc>
        <w:tc>
          <w:tcPr>
            <w:tcW w:w="462"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2" w:right="0" w:firstLine="0"/>
              <w:jc w:val="center"/>
            </w:pPr>
            <w:r>
              <w:rPr>
                <w:sz w:val="20"/>
              </w:rPr>
              <w:t xml:space="preserve">  </w:t>
            </w:r>
          </w:p>
        </w:tc>
        <w:tc>
          <w:tcPr>
            <w:tcW w:w="451" w:type="dxa"/>
            <w:tcBorders>
              <w:top w:val="single" w:sz="4" w:space="0" w:color="000000"/>
              <w:left w:val="single" w:sz="4" w:space="0" w:color="000000"/>
              <w:bottom w:val="single" w:sz="4" w:space="0" w:color="000000"/>
              <w:right w:val="single" w:sz="8" w:space="0" w:color="000000"/>
            </w:tcBorders>
            <w:shd w:val="clear" w:color="auto" w:fill="BFBFBF"/>
            <w:vAlign w:val="center"/>
          </w:tcPr>
          <w:p w:rsidR="00E8309B" w:rsidRDefault="009D0949">
            <w:pPr>
              <w:spacing w:after="0" w:line="259" w:lineRule="auto"/>
              <w:ind w:left="1" w:right="0" w:firstLine="0"/>
              <w:jc w:val="center"/>
            </w:pPr>
            <w:r>
              <w:rPr>
                <w:sz w:val="20"/>
              </w:rPr>
              <w:t xml:space="preserve">  </w:t>
            </w:r>
          </w:p>
        </w:tc>
      </w:tr>
      <w:tr w:rsidR="00E8309B">
        <w:trPr>
          <w:trHeight w:val="701"/>
        </w:trPr>
        <w:tc>
          <w:tcPr>
            <w:tcW w:w="526" w:type="dxa"/>
            <w:tcBorders>
              <w:top w:val="single" w:sz="4" w:space="0" w:color="000000"/>
              <w:left w:val="single" w:sz="8" w:space="0" w:color="000000"/>
              <w:bottom w:val="single" w:sz="4" w:space="0" w:color="000000"/>
              <w:right w:val="single" w:sz="8" w:space="0" w:color="000000"/>
            </w:tcBorders>
          </w:tcPr>
          <w:p w:rsidR="00E8309B" w:rsidRDefault="009D0949">
            <w:pPr>
              <w:spacing w:after="0" w:line="259" w:lineRule="auto"/>
              <w:ind w:left="0" w:right="50" w:firstLine="0"/>
              <w:jc w:val="right"/>
            </w:pPr>
            <w:r>
              <w:rPr>
                <w:b/>
                <w:sz w:val="20"/>
              </w:rPr>
              <w:t xml:space="preserve">3. </w:t>
            </w:r>
          </w:p>
        </w:tc>
        <w:tc>
          <w:tcPr>
            <w:tcW w:w="3559" w:type="dxa"/>
            <w:tcBorders>
              <w:top w:val="single" w:sz="4" w:space="0" w:color="000000"/>
              <w:left w:val="single" w:sz="8" w:space="0" w:color="000000"/>
              <w:bottom w:val="single" w:sz="4" w:space="0" w:color="000000"/>
              <w:right w:val="single" w:sz="8" w:space="0" w:color="000000"/>
            </w:tcBorders>
          </w:tcPr>
          <w:p w:rsidR="00E8309B" w:rsidRDefault="009D0949">
            <w:pPr>
              <w:spacing w:after="0" w:line="259" w:lineRule="auto"/>
              <w:ind w:left="4" w:right="114" w:firstLine="0"/>
            </w:pPr>
            <w:r>
              <w:rPr>
                <w:sz w:val="20"/>
              </w:rPr>
              <w:t xml:space="preserve">МАП РЕА - ЦЕФТА: Имплементација  Додатног протокола 6 о либерализацији трговине услугама </w:t>
            </w:r>
          </w:p>
        </w:tc>
        <w:tc>
          <w:tcPr>
            <w:tcW w:w="457" w:type="dxa"/>
            <w:tcBorders>
              <w:top w:val="single" w:sz="4" w:space="0" w:color="000000"/>
              <w:left w:val="single" w:sz="8"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0" w:right="0" w:firstLine="0"/>
              <w:jc w:val="left"/>
            </w:pPr>
            <w:r>
              <w:rPr>
                <w:sz w:val="20"/>
              </w:rPr>
              <w:t xml:space="preserve">  </w:t>
            </w:r>
          </w:p>
        </w:tc>
        <w:tc>
          <w:tcPr>
            <w:tcW w:w="461"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4" w:right="0" w:firstLine="0"/>
              <w:jc w:val="left"/>
            </w:pPr>
            <w:r>
              <w:rPr>
                <w:sz w:val="20"/>
              </w:rPr>
              <w:t xml:space="preserve">  </w:t>
            </w:r>
          </w:p>
        </w:tc>
        <w:tc>
          <w:tcPr>
            <w:tcW w:w="462"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4" w:right="0" w:firstLine="0"/>
              <w:jc w:val="left"/>
            </w:pPr>
            <w:r>
              <w:rPr>
                <w:sz w:val="20"/>
              </w:rPr>
              <w:t xml:space="preserve">  </w:t>
            </w:r>
          </w:p>
        </w:tc>
        <w:tc>
          <w:tcPr>
            <w:tcW w:w="462" w:type="dxa"/>
            <w:tcBorders>
              <w:top w:val="single" w:sz="4" w:space="0" w:color="000000"/>
              <w:left w:val="single" w:sz="4" w:space="0" w:color="000000"/>
              <w:bottom w:val="single" w:sz="4" w:space="0" w:color="000000"/>
              <w:right w:val="single" w:sz="8" w:space="0" w:color="000000"/>
            </w:tcBorders>
            <w:shd w:val="clear" w:color="auto" w:fill="BFBFBF"/>
            <w:vAlign w:val="center"/>
          </w:tcPr>
          <w:p w:rsidR="00E8309B" w:rsidRDefault="009D0949">
            <w:pPr>
              <w:spacing w:after="0" w:line="259" w:lineRule="auto"/>
              <w:ind w:left="2" w:right="0" w:firstLine="0"/>
              <w:jc w:val="left"/>
            </w:pPr>
            <w:r>
              <w:rPr>
                <w:sz w:val="20"/>
              </w:rPr>
              <w:t xml:space="preserve">  </w:t>
            </w:r>
          </w:p>
        </w:tc>
        <w:tc>
          <w:tcPr>
            <w:tcW w:w="464" w:type="dxa"/>
            <w:tcBorders>
              <w:top w:val="single" w:sz="4" w:space="0" w:color="000000"/>
              <w:left w:val="single" w:sz="8"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7" w:right="0" w:firstLine="0"/>
              <w:jc w:val="center"/>
            </w:pPr>
            <w:r>
              <w:rPr>
                <w:sz w:val="20"/>
              </w:rPr>
              <w:t xml:space="preserve">  </w:t>
            </w:r>
          </w:p>
        </w:tc>
        <w:tc>
          <w:tcPr>
            <w:tcW w:w="462"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2" w:right="0" w:firstLine="0"/>
              <w:jc w:val="center"/>
            </w:pPr>
            <w:r>
              <w:rPr>
                <w:sz w:val="20"/>
              </w:rPr>
              <w:t xml:space="preserve">  </w:t>
            </w:r>
          </w:p>
        </w:tc>
        <w:tc>
          <w:tcPr>
            <w:tcW w:w="463"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4" w:right="0" w:firstLine="0"/>
              <w:jc w:val="center"/>
            </w:pPr>
            <w:r>
              <w:rPr>
                <w:sz w:val="20"/>
              </w:rPr>
              <w:t xml:space="preserve">  </w:t>
            </w:r>
          </w:p>
        </w:tc>
        <w:tc>
          <w:tcPr>
            <w:tcW w:w="464" w:type="dxa"/>
            <w:tcBorders>
              <w:top w:val="single" w:sz="4" w:space="0" w:color="000000"/>
              <w:left w:val="single" w:sz="4" w:space="0" w:color="000000"/>
              <w:bottom w:val="single" w:sz="4" w:space="0" w:color="000000"/>
              <w:right w:val="single" w:sz="8" w:space="0" w:color="000000"/>
            </w:tcBorders>
            <w:shd w:val="clear" w:color="auto" w:fill="BFBFBF"/>
            <w:vAlign w:val="center"/>
          </w:tcPr>
          <w:p w:rsidR="00E8309B" w:rsidRDefault="009D0949">
            <w:pPr>
              <w:spacing w:after="0" w:line="259" w:lineRule="auto"/>
              <w:ind w:left="0" w:right="0" w:firstLine="0"/>
              <w:jc w:val="center"/>
            </w:pPr>
            <w:r>
              <w:rPr>
                <w:sz w:val="20"/>
              </w:rPr>
              <w:t xml:space="preserve">  </w:t>
            </w:r>
          </w:p>
        </w:tc>
        <w:tc>
          <w:tcPr>
            <w:tcW w:w="463" w:type="dxa"/>
            <w:tcBorders>
              <w:top w:val="single" w:sz="4" w:space="0" w:color="000000"/>
              <w:left w:val="single" w:sz="8"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4" w:right="0" w:firstLine="0"/>
              <w:jc w:val="center"/>
            </w:pPr>
            <w:r>
              <w:rPr>
                <w:sz w:val="20"/>
              </w:rPr>
              <w:t xml:space="preserve">  </w:t>
            </w:r>
          </w:p>
        </w:tc>
        <w:tc>
          <w:tcPr>
            <w:tcW w:w="462"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5" w:right="0" w:firstLine="0"/>
              <w:jc w:val="center"/>
            </w:pPr>
            <w:r>
              <w:rPr>
                <w:sz w:val="20"/>
              </w:rPr>
              <w:t xml:space="preserve">  </w:t>
            </w:r>
          </w:p>
        </w:tc>
        <w:tc>
          <w:tcPr>
            <w:tcW w:w="462"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2" w:right="0" w:firstLine="0"/>
              <w:jc w:val="center"/>
            </w:pPr>
            <w:r>
              <w:rPr>
                <w:sz w:val="20"/>
              </w:rPr>
              <w:t xml:space="preserve">  </w:t>
            </w:r>
          </w:p>
        </w:tc>
        <w:tc>
          <w:tcPr>
            <w:tcW w:w="451" w:type="dxa"/>
            <w:tcBorders>
              <w:top w:val="single" w:sz="4" w:space="0" w:color="000000"/>
              <w:left w:val="single" w:sz="4" w:space="0" w:color="000000"/>
              <w:bottom w:val="single" w:sz="4" w:space="0" w:color="000000"/>
              <w:right w:val="single" w:sz="8" w:space="0" w:color="000000"/>
            </w:tcBorders>
            <w:shd w:val="clear" w:color="auto" w:fill="BFBFBF"/>
            <w:vAlign w:val="center"/>
          </w:tcPr>
          <w:p w:rsidR="00E8309B" w:rsidRDefault="009D0949">
            <w:pPr>
              <w:spacing w:after="0" w:line="259" w:lineRule="auto"/>
              <w:ind w:left="1" w:right="0" w:firstLine="0"/>
              <w:jc w:val="center"/>
            </w:pPr>
            <w:r>
              <w:rPr>
                <w:sz w:val="20"/>
              </w:rPr>
              <w:t xml:space="preserve">  </w:t>
            </w:r>
          </w:p>
        </w:tc>
      </w:tr>
      <w:tr w:rsidR="00E8309B">
        <w:trPr>
          <w:trHeight w:val="701"/>
        </w:trPr>
        <w:tc>
          <w:tcPr>
            <w:tcW w:w="526" w:type="dxa"/>
            <w:tcBorders>
              <w:top w:val="single" w:sz="4" w:space="0" w:color="000000"/>
              <w:left w:val="single" w:sz="8" w:space="0" w:color="000000"/>
              <w:bottom w:val="single" w:sz="4" w:space="0" w:color="000000"/>
              <w:right w:val="single" w:sz="8" w:space="0" w:color="000000"/>
            </w:tcBorders>
          </w:tcPr>
          <w:p w:rsidR="00E8309B" w:rsidRDefault="009D0949">
            <w:pPr>
              <w:spacing w:after="0" w:line="259" w:lineRule="auto"/>
              <w:ind w:left="0" w:right="50" w:firstLine="0"/>
              <w:jc w:val="right"/>
            </w:pPr>
            <w:r>
              <w:rPr>
                <w:b/>
                <w:sz w:val="20"/>
              </w:rPr>
              <w:t xml:space="preserve">4. </w:t>
            </w:r>
          </w:p>
        </w:tc>
        <w:tc>
          <w:tcPr>
            <w:tcW w:w="3559" w:type="dxa"/>
            <w:tcBorders>
              <w:top w:val="single" w:sz="4" w:space="0" w:color="000000"/>
              <w:left w:val="single" w:sz="8" w:space="0" w:color="000000"/>
              <w:bottom w:val="single" w:sz="4" w:space="0" w:color="000000"/>
              <w:right w:val="single" w:sz="8" w:space="0" w:color="000000"/>
            </w:tcBorders>
          </w:tcPr>
          <w:p w:rsidR="00E8309B" w:rsidRDefault="009D0949">
            <w:pPr>
              <w:spacing w:after="0" w:line="259" w:lineRule="auto"/>
              <w:ind w:left="4" w:right="463" w:firstLine="0"/>
            </w:pPr>
            <w:r>
              <w:rPr>
                <w:sz w:val="20"/>
              </w:rPr>
              <w:t xml:space="preserve">МАП РЕА - ЦЕФТА: Преговори и усвајање  Додатног протокола 7 о решавању спорова </w:t>
            </w:r>
          </w:p>
        </w:tc>
        <w:tc>
          <w:tcPr>
            <w:tcW w:w="457" w:type="dxa"/>
            <w:tcBorders>
              <w:top w:val="single" w:sz="4" w:space="0" w:color="000000"/>
              <w:left w:val="single" w:sz="8"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0" w:right="0" w:firstLine="0"/>
              <w:jc w:val="left"/>
            </w:pPr>
            <w:r>
              <w:rPr>
                <w:sz w:val="20"/>
              </w:rPr>
              <w:t xml:space="preserve">  </w:t>
            </w:r>
          </w:p>
        </w:tc>
        <w:tc>
          <w:tcPr>
            <w:tcW w:w="461"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4" w:right="0" w:firstLine="0"/>
              <w:jc w:val="left"/>
            </w:pPr>
            <w:r>
              <w:rPr>
                <w:sz w:val="20"/>
              </w:rPr>
              <w:t xml:space="preserve">  </w:t>
            </w:r>
          </w:p>
        </w:tc>
        <w:tc>
          <w:tcPr>
            <w:tcW w:w="462"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4" w:right="0" w:firstLine="0"/>
              <w:jc w:val="left"/>
            </w:pPr>
            <w:r>
              <w:rPr>
                <w:sz w:val="20"/>
              </w:rPr>
              <w:t xml:space="preserve">  </w:t>
            </w:r>
          </w:p>
        </w:tc>
        <w:tc>
          <w:tcPr>
            <w:tcW w:w="462" w:type="dxa"/>
            <w:tcBorders>
              <w:top w:val="single" w:sz="4" w:space="0" w:color="000000"/>
              <w:left w:val="single" w:sz="4" w:space="0" w:color="000000"/>
              <w:bottom w:val="single" w:sz="4" w:space="0" w:color="000000"/>
              <w:right w:val="single" w:sz="8" w:space="0" w:color="000000"/>
            </w:tcBorders>
            <w:vAlign w:val="center"/>
          </w:tcPr>
          <w:p w:rsidR="00E8309B" w:rsidRDefault="009D0949">
            <w:pPr>
              <w:spacing w:after="0" w:line="259" w:lineRule="auto"/>
              <w:ind w:left="2" w:right="0" w:firstLine="0"/>
              <w:jc w:val="left"/>
            </w:pPr>
            <w:r>
              <w:rPr>
                <w:sz w:val="20"/>
              </w:rPr>
              <w:t xml:space="preserve">  </w:t>
            </w:r>
          </w:p>
        </w:tc>
        <w:tc>
          <w:tcPr>
            <w:tcW w:w="464" w:type="dxa"/>
            <w:tcBorders>
              <w:top w:val="single" w:sz="4" w:space="0" w:color="000000"/>
              <w:left w:val="single" w:sz="8" w:space="0" w:color="000000"/>
              <w:bottom w:val="single" w:sz="4" w:space="0" w:color="000000"/>
              <w:right w:val="single" w:sz="4" w:space="0" w:color="000000"/>
            </w:tcBorders>
            <w:vAlign w:val="center"/>
          </w:tcPr>
          <w:p w:rsidR="00E8309B" w:rsidRDefault="009D0949">
            <w:pPr>
              <w:spacing w:after="0" w:line="259" w:lineRule="auto"/>
              <w:ind w:left="7" w:right="0" w:firstLine="0"/>
              <w:jc w:val="center"/>
            </w:pPr>
            <w:r>
              <w:rPr>
                <w:sz w:val="20"/>
              </w:rPr>
              <w:t xml:space="preserve">  </w:t>
            </w:r>
          </w:p>
        </w:tc>
        <w:tc>
          <w:tcPr>
            <w:tcW w:w="462"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2" w:right="0" w:firstLine="0"/>
              <w:jc w:val="center"/>
            </w:pPr>
            <w:r>
              <w:rPr>
                <w:sz w:val="20"/>
              </w:rPr>
              <w:t xml:space="preserve">  </w:t>
            </w:r>
          </w:p>
        </w:tc>
        <w:tc>
          <w:tcPr>
            <w:tcW w:w="463"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4" w:right="0" w:firstLine="0"/>
              <w:jc w:val="center"/>
            </w:pPr>
            <w:r>
              <w:rPr>
                <w:sz w:val="20"/>
              </w:rPr>
              <w:t xml:space="preserve">  </w:t>
            </w:r>
          </w:p>
        </w:tc>
        <w:tc>
          <w:tcPr>
            <w:tcW w:w="464" w:type="dxa"/>
            <w:tcBorders>
              <w:top w:val="single" w:sz="4" w:space="0" w:color="000000"/>
              <w:left w:val="single" w:sz="4" w:space="0" w:color="000000"/>
              <w:bottom w:val="single" w:sz="4" w:space="0" w:color="000000"/>
              <w:right w:val="single" w:sz="8" w:space="0" w:color="000000"/>
            </w:tcBorders>
            <w:vAlign w:val="center"/>
          </w:tcPr>
          <w:p w:rsidR="00E8309B" w:rsidRDefault="009D0949">
            <w:pPr>
              <w:spacing w:after="0" w:line="259" w:lineRule="auto"/>
              <w:ind w:left="0" w:right="0" w:firstLine="0"/>
              <w:jc w:val="center"/>
            </w:pPr>
            <w:r>
              <w:rPr>
                <w:sz w:val="20"/>
              </w:rPr>
              <w:t xml:space="preserve">  </w:t>
            </w:r>
          </w:p>
        </w:tc>
        <w:tc>
          <w:tcPr>
            <w:tcW w:w="463" w:type="dxa"/>
            <w:tcBorders>
              <w:top w:val="single" w:sz="4" w:space="0" w:color="000000"/>
              <w:left w:val="single" w:sz="8" w:space="0" w:color="000000"/>
              <w:bottom w:val="single" w:sz="4" w:space="0" w:color="000000"/>
              <w:right w:val="single" w:sz="4" w:space="0" w:color="000000"/>
            </w:tcBorders>
            <w:vAlign w:val="center"/>
          </w:tcPr>
          <w:p w:rsidR="00E8309B" w:rsidRDefault="009D0949">
            <w:pPr>
              <w:spacing w:after="0" w:line="259" w:lineRule="auto"/>
              <w:ind w:left="4" w:right="0" w:firstLine="0"/>
              <w:jc w:val="center"/>
            </w:pPr>
            <w:r>
              <w:rPr>
                <w:sz w:val="20"/>
              </w:rPr>
              <w:t xml:space="preserve">  </w:t>
            </w:r>
          </w:p>
        </w:tc>
        <w:tc>
          <w:tcPr>
            <w:tcW w:w="462"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5" w:right="0" w:firstLine="0"/>
              <w:jc w:val="center"/>
            </w:pPr>
            <w:r>
              <w:rPr>
                <w:sz w:val="20"/>
              </w:rPr>
              <w:t xml:space="preserve">  </w:t>
            </w:r>
          </w:p>
        </w:tc>
        <w:tc>
          <w:tcPr>
            <w:tcW w:w="462"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2" w:right="0" w:firstLine="0"/>
              <w:jc w:val="center"/>
            </w:pPr>
            <w:r>
              <w:rPr>
                <w:sz w:val="20"/>
              </w:rPr>
              <w:t xml:space="preserve">  </w:t>
            </w:r>
          </w:p>
        </w:tc>
        <w:tc>
          <w:tcPr>
            <w:tcW w:w="451" w:type="dxa"/>
            <w:tcBorders>
              <w:top w:val="single" w:sz="4" w:space="0" w:color="000000"/>
              <w:left w:val="single" w:sz="4" w:space="0" w:color="000000"/>
              <w:bottom w:val="single" w:sz="4" w:space="0" w:color="000000"/>
              <w:right w:val="single" w:sz="8" w:space="0" w:color="000000"/>
            </w:tcBorders>
            <w:vAlign w:val="center"/>
          </w:tcPr>
          <w:p w:rsidR="00E8309B" w:rsidRDefault="009D0949">
            <w:pPr>
              <w:spacing w:after="0" w:line="259" w:lineRule="auto"/>
              <w:ind w:left="1" w:right="0" w:firstLine="0"/>
              <w:jc w:val="center"/>
            </w:pPr>
            <w:r>
              <w:rPr>
                <w:sz w:val="20"/>
              </w:rPr>
              <w:t xml:space="preserve">  </w:t>
            </w:r>
          </w:p>
        </w:tc>
      </w:tr>
      <w:tr w:rsidR="00E8309B">
        <w:trPr>
          <w:trHeight w:val="929"/>
        </w:trPr>
        <w:tc>
          <w:tcPr>
            <w:tcW w:w="526" w:type="dxa"/>
            <w:tcBorders>
              <w:top w:val="single" w:sz="4" w:space="0" w:color="000000"/>
              <w:left w:val="single" w:sz="8" w:space="0" w:color="000000"/>
              <w:bottom w:val="single" w:sz="4" w:space="0" w:color="000000"/>
              <w:right w:val="single" w:sz="8" w:space="0" w:color="000000"/>
            </w:tcBorders>
          </w:tcPr>
          <w:p w:rsidR="00E8309B" w:rsidRDefault="009D0949">
            <w:pPr>
              <w:spacing w:after="0" w:line="259" w:lineRule="auto"/>
              <w:ind w:left="0" w:right="50" w:firstLine="0"/>
              <w:jc w:val="right"/>
            </w:pPr>
            <w:r>
              <w:rPr>
                <w:b/>
                <w:sz w:val="20"/>
              </w:rPr>
              <w:t xml:space="preserve">5. </w:t>
            </w:r>
          </w:p>
        </w:tc>
        <w:tc>
          <w:tcPr>
            <w:tcW w:w="3559" w:type="dxa"/>
            <w:tcBorders>
              <w:top w:val="single" w:sz="4" w:space="0" w:color="000000"/>
              <w:left w:val="single" w:sz="8" w:space="0" w:color="000000"/>
              <w:bottom w:val="single" w:sz="4" w:space="0" w:color="000000"/>
              <w:right w:val="single" w:sz="8" w:space="0" w:color="000000"/>
            </w:tcBorders>
          </w:tcPr>
          <w:p w:rsidR="00E8309B" w:rsidRDefault="009D0949">
            <w:pPr>
              <w:spacing w:after="0" w:line="259" w:lineRule="auto"/>
              <w:ind w:left="4" w:right="55" w:firstLine="0"/>
              <w:jc w:val="left"/>
            </w:pPr>
            <w:r>
              <w:rPr>
                <w:sz w:val="20"/>
              </w:rPr>
              <w:t xml:space="preserve">Спровођење активности дефинисаних Акционим плановима за 2020 и 2021  у оквиру Националног комитета за олакшање трговине (НКТОТ) </w:t>
            </w:r>
          </w:p>
        </w:tc>
        <w:tc>
          <w:tcPr>
            <w:tcW w:w="457" w:type="dxa"/>
            <w:tcBorders>
              <w:top w:val="single" w:sz="4" w:space="0" w:color="000000"/>
              <w:left w:val="single" w:sz="8"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0" w:right="0" w:firstLine="0"/>
              <w:jc w:val="left"/>
            </w:pPr>
            <w:r>
              <w:rPr>
                <w:sz w:val="20"/>
              </w:rPr>
              <w:t xml:space="preserve">  </w:t>
            </w:r>
          </w:p>
        </w:tc>
        <w:tc>
          <w:tcPr>
            <w:tcW w:w="461"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4" w:right="0" w:firstLine="0"/>
              <w:jc w:val="left"/>
            </w:pPr>
            <w:r>
              <w:rPr>
                <w:sz w:val="20"/>
              </w:rPr>
              <w:t xml:space="preserve">  </w:t>
            </w:r>
          </w:p>
        </w:tc>
        <w:tc>
          <w:tcPr>
            <w:tcW w:w="462"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4" w:right="0" w:firstLine="0"/>
              <w:jc w:val="left"/>
            </w:pPr>
            <w:r>
              <w:rPr>
                <w:sz w:val="20"/>
              </w:rPr>
              <w:t xml:space="preserve">  </w:t>
            </w:r>
          </w:p>
        </w:tc>
        <w:tc>
          <w:tcPr>
            <w:tcW w:w="462" w:type="dxa"/>
            <w:tcBorders>
              <w:top w:val="single" w:sz="4" w:space="0" w:color="000000"/>
              <w:left w:val="single" w:sz="4" w:space="0" w:color="000000"/>
              <w:bottom w:val="single" w:sz="4" w:space="0" w:color="000000"/>
              <w:right w:val="single" w:sz="8" w:space="0" w:color="000000"/>
            </w:tcBorders>
            <w:shd w:val="clear" w:color="auto" w:fill="BFBFBF"/>
            <w:vAlign w:val="center"/>
          </w:tcPr>
          <w:p w:rsidR="00E8309B" w:rsidRDefault="009D0949">
            <w:pPr>
              <w:spacing w:after="0" w:line="259" w:lineRule="auto"/>
              <w:ind w:left="2" w:right="0" w:firstLine="0"/>
              <w:jc w:val="left"/>
            </w:pPr>
            <w:r>
              <w:rPr>
                <w:sz w:val="20"/>
              </w:rPr>
              <w:t xml:space="preserve">  </w:t>
            </w:r>
          </w:p>
        </w:tc>
        <w:tc>
          <w:tcPr>
            <w:tcW w:w="464" w:type="dxa"/>
            <w:tcBorders>
              <w:top w:val="single" w:sz="4" w:space="0" w:color="000000"/>
              <w:left w:val="single" w:sz="8" w:space="0" w:color="000000"/>
              <w:bottom w:val="single" w:sz="4" w:space="0" w:color="000000"/>
              <w:right w:val="single" w:sz="4" w:space="0" w:color="000000"/>
            </w:tcBorders>
            <w:vAlign w:val="center"/>
          </w:tcPr>
          <w:p w:rsidR="00E8309B" w:rsidRDefault="009D0949">
            <w:pPr>
              <w:spacing w:after="0" w:line="259" w:lineRule="auto"/>
              <w:ind w:left="7" w:right="0" w:firstLine="0"/>
              <w:jc w:val="center"/>
            </w:pPr>
            <w:r>
              <w:rPr>
                <w:sz w:val="20"/>
              </w:rPr>
              <w:t xml:space="preserve">  </w:t>
            </w:r>
          </w:p>
        </w:tc>
        <w:tc>
          <w:tcPr>
            <w:tcW w:w="462"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2" w:right="0" w:firstLine="0"/>
              <w:jc w:val="center"/>
            </w:pPr>
            <w:r>
              <w:rPr>
                <w:sz w:val="20"/>
              </w:rPr>
              <w:t xml:space="preserve">  </w:t>
            </w:r>
          </w:p>
        </w:tc>
        <w:tc>
          <w:tcPr>
            <w:tcW w:w="463"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4" w:right="0" w:firstLine="0"/>
              <w:jc w:val="center"/>
            </w:pPr>
            <w:r>
              <w:rPr>
                <w:sz w:val="20"/>
              </w:rPr>
              <w:t xml:space="preserve">  </w:t>
            </w:r>
          </w:p>
        </w:tc>
        <w:tc>
          <w:tcPr>
            <w:tcW w:w="464" w:type="dxa"/>
            <w:tcBorders>
              <w:top w:val="single" w:sz="4" w:space="0" w:color="000000"/>
              <w:left w:val="single" w:sz="4" w:space="0" w:color="000000"/>
              <w:bottom w:val="single" w:sz="4" w:space="0" w:color="000000"/>
              <w:right w:val="single" w:sz="8" w:space="0" w:color="000000"/>
            </w:tcBorders>
            <w:vAlign w:val="center"/>
          </w:tcPr>
          <w:p w:rsidR="00E8309B" w:rsidRDefault="009D0949">
            <w:pPr>
              <w:spacing w:after="0" w:line="259" w:lineRule="auto"/>
              <w:ind w:left="0" w:right="0" w:firstLine="0"/>
              <w:jc w:val="center"/>
            </w:pPr>
            <w:r>
              <w:rPr>
                <w:sz w:val="20"/>
              </w:rPr>
              <w:t xml:space="preserve">  </w:t>
            </w:r>
          </w:p>
        </w:tc>
        <w:tc>
          <w:tcPr>
            <w:tcW w:w="463" w:type="dxa"/>
            <w:tcBorders>
              <w:top w:val="single" w:sz="4" w:space="0" w:color="000000"/>
              <w:left w:val="single" w:sz="8" w:space="0" w:color="000000"/>
              <w:bottom w:val="single" w:sz="4" w:space="0" w:color="000000"/>
              <w:right w:val="single" w:sz="4" w:space="0" w:color="000000"/>
            </w:tcBorders>
            <w:vAlign w:val="center"/>
          </w:tcPr>
          <w:p w:rsidR="00E8309B" w:rsidRDefault="009D0949">
            <w:pPr>
              <w:spacing w:after="0" w:line="259" w:lineRule="auto"/>
              <w:ind w:left="4" w:right="0" w:firstLine="0"/>
              <w:jc w:val="center"/>
            </w:pPr>
            <w:r>
              <w:rPr>
                <w:sz w:val="20"/>
              </w:rPr>
              <w:t xml:space="preserve">  </w:t>
            </w:r>
          </w:p>
        </w:tc>
        <w:tc>
          <w:tcPr>
            <w:tcW w:w="462"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5" w:right="0" w:firstLine="0"/>
              <w:jc w:val="center"/>
            </w:pPr>
            <w:r>
              <w:rPr>
                <w:sz w:val="20"/>
              </w:rPr>
              <w:t xml:space="preserve">  </w:t>
            </w:r>
          </w:p>
        </w:tc>
        <w:tc>
          <w:tcPr>
            <w:tcW w:w="462"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2" w:right="0" w:firstLine="0"/>
              <w:jc w:val="center"/>
            </w:pPr>
            <w:r>
              <w:rPr>
                <w:sz w:val="20"/>
              </w:rPr>
              <w:t xml:space="preserve">  </w:t>
            </w:r>
          </w:p>
        </w:tc>
        <w:tc>
          <w:tcPr>
            <w:tcW w:w="451" w:type="dxa"/>
            <w:tcBorders>
              <w:top w:val="single" w:sz="4" w:space="0" w:color="000000"/>
              <w:left w:val="single" w:sz="4" w:space="0" w:color="000000"/>
              <w:bottom w:val="single" w:sz="4" w:space="0" w:color="000000"/>
              <w:right w:val="single" w:sz="8" w:space="0" w:color="000000"/>
            </w:tcBorders>
            <w:vAlign w:val="center"/>
          </w:tcPr>
          <w:p w:rsidR="00E8309B" w:rsidRDefault="009D0949">
            <w:pPr>
              <w:spacing w:after="0" w:line="259" w:lineRule="auto"/>
              <w:ind w:left="1" w:right="0" w:firstLine="0"/>
              <w:jc w:val="center"/>
            </w:pPr>
            <w:r>
              <w:rPr>
                <w:sz w:val="20"/>
              </w:rPr>
              <w:t xml:space="preserve">  </w:t>
            </w:r>
          </w:p>
        </w:tc>
      </w:tr>
      <w:tr w:rsidR="00E8309B">
        <w:trPr>
          <w:trHeight w:val="930"/>
        </w:trPr>
        <w:tc>
          <w:tcPr>
            <w:tcW w:w="526" w:type="dxa"/>
            <w:tcBorders>
              <w:top w:val="single" w:sz="4" w:space="0" w:color="000000"/>
              <w:left w:val="single" w:sz="8" w:space="0" w:color="000000"/>
              <w:bottom w:val="single" w:sz="4" w:space="0" w:color="000000"/>
              <w:right w:val="single" w:sz="8" w:space="0" w:color="000000"/>
            </w:tcBorders>
          </w:tcPr>
          <w:p w:rsidR="00E8309B" w:rsidRDefault="009D0949">
            <w:pPr>
              <w:spacing w:after="0" w:line="259" w:lineRule="auto"/>
              <w:ind w:left="0" w:right="50" w:firstLine="0"/>
              <w:jc w:val="right"/>
            </w:pPr>
            <w:r>
              <w:rPr>
                <w:b/>
                <w:sz w:val="20"/>
              </w:rPr>
              <w:t xml:space="preserve">6. </w:t>
            </w:r>
          </w:p>
        </w:tc>
        <w:tc>
          <w:tcPr>
            <w:tcW w:w="3559" w:type="dxa"/>
            <w:tcBorders>
              <w:top w:val="single" w:sz="4" w:space="0" w:color="000000"/>
              <w:left w:val="single" w:sz="8" w:space="0" w:color="000000"/>
              <w:bottom w:val="single" w:sz="4" w:space="0" w:color="000000"/>
              <w:right w:val="single" w:sz="8" w:space="0" w:color="000000"/>
            </w:tcBorders>
          </w:tcPr>
          <w:p w:rsidR="00E8309B" w:rsidRDefault="009D0949">
            <w:pPr>
              <w:spacing w:after="0" w:line="259" w:lineRule="auto"/>
              <w:ind w:left="4" w:right="2" w:firstLine="0"/>
              <w:jc w:val="left"/>
            </w:pPr>
            <w:r>
              <w:rPr>
                <w:sz w:val="20"/>
              </w:rPr>
              <w:t xml:space="preserve">Усвајање новог Акционог плана НКТОТ за 2022-2023 и имплементација предвиђених активности </w:t>
            </w:r>
          </w:p>
        </w:tc>
        <w:tc>
          <w:tcPr>
            <w:tcW w:w="457" w:type="dxa"/>
            <w:tcBorders>
              <w:top w:val="single" w:sz="4" w:space="0" w:color="000000"/>
              <w:left w:val="single" w:sz="8" w:space="0" w:color="000000"/>
              <w:bottom w:val="single" w:sz="4" w:space="0" w:color="000000"/>
              <w:right w:val="single" w:sz="4" w:space="0" w:color="000000"/>
            </w:tcBorders>
            <w:vAlign w:val="center"/>
          </w:tcPr>
          <w:p w:rsidR="00E8309B" w:rsidRDefault="009D0949">
            <w:pPr>
              <w:spacing w:after="0" w:line="259" w:lineRule="auto"/>
              <w:ind w:left="0" w:right="0" w:firstLine="0"/>
              <w:jc w:val="left"/>
            </w:pPr>
            <w:r>
              <w:rPr>
                <w:sz w:val="20"/>
              </w:rPr>
              <w:t xml:space="preserve">  </w:t>
            </w:r>
          </w:p>
        </w:tc>
        <w:tc>
          <w:tcPr>
            <w:tcW w:w="461"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4" w:right="0" w:firstLine="0"/>
              <w:jc w:val="left"/>
            </w:pPr>
            <w:r>
              <w:rPr>
                <w:sz w:val="20"/>
              </w:rPr>
              <w:t xml:space="preserve">  </w:t>
            </w:r>
          </w:p>
        </w:tc>
        <w:tc>
          <w:tcPr>
            <w:tcW w:w="462"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4" w:right="0" w:firstLine="0"/>
              <w:jc w:val="left"/>
            </w:pPr>
            <w:r>
              <w:rPr>
                <w:sz w:val="20"/>
              </w:rPr>
              <w:t xml:space="preserve">  </w:t>
            </w:r>
          </w:p>
        </w:tc>
        <w:tc>
          <w:tcPr>
            <w:tcW w:w="462" w:type="dxa"/>
            <w:tcBorders>
              <w:top w:val="single" w:sz="4" w:space="0" w:color="000000"/>
              <w:left w:val="single" w:sz="4" w:space="0" w:color="000000"/>
              <w:bottom w:val="single" w:sz="4" w:space="0" w:color="000000"/>
              <w:right w:val="single" w:sz="8" w:space="0" w:color="000000"/>
            </w:tcBorders>
            <w:vAlign w:val="center"/>
          </w:tcPr>
          <w:p w:rsidR="00E8309B" w:rsidRDefault="009D0949">
            <w:pPr>
              <w:spacing w:after="0" w:line="259" w:lineRule="auto"/>
              <w:ind w:left="2" w:right="0" w:firstLine="0"/>
              <w:jc w:val="left"/>
            </w:pPr>
            <w:r>
              <w:rPr>
                <w:sz w:val="20"/>
              </w:rPr>
              <w:t xml:space="preserve">  </w:t>
            </w:r>
          </w:p>
        </w:tc>
        <w:tc>
          <w:tcPr>
            <w:tcW w:w="464" w:type="dxa"/>
            <w:tcBorders>
              <w:top w:val="single" w:sz="4" w:space="0" w:color="000000"/>
              <w:left w:val="single" w:sz="8"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7" w:right="0" w:firstLine="0"/>
              <w:jc w:val="center"/>
            </w:pPr>
            <w:r>
              <w:rPr>
                <w:sz w:val="20"/>
              </w:rPr>
              <w:t xml:space="preserve">  </w:t>
            </w:r>
          </w:p>
        </w:tc>
        <w:tc>
          <w:tcPr>
            <w:tcW w:w="462"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2" w:right="0" w:firstLine="0"/>
              <w:jc w:val="center"/>
            </w:pPr>
            <w:r>
              <w:rPr>
                <w:sz w:val="20"/>
              </w:rPr>
              <w:t xml:space="preserve">  </w:t>
            </w:r>
          </w:p>
        </w:tc>
        <w:tc>
          <w:tcPr>
            <w:tcW w:w="463"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4" w:right="0" w:firstLine="0"/>
              <w:jc w:val="center"/>
            </w:pPr>
            <w:r>
              <w:rPr>
                <w:sz w:val="20"/>
              </w:rPr>
              <w:t xml:space="preserve">  </w:t>
            </w:r>
          </w:p>
        </w:tc>
        <w:tc>
          <w:tcPr>
            <w:tcW w:w="464" w:type="dxa"/>
            <w:tcBorders>
              <w:top w:val="single" w:sz="4" w:space="0" w:color="000000"/>
              <w:left w:val="single" w:sz="4" w:space="0" w:color="000000"/>
              <w:bottom w:val="single" w:sz="4" w:space="0" w:color="000000"/>
              <w:right w:val="single" w:sz="8" w:space="0" w:color="000000"/>
            </w:tcBorders>
            <w:shd w:val="clear" w:color="auto" w:fill="BFBFBF"/>
            <w:vAlign w:val="center"/>
          </w:tcPr>
          <w:p w:rsidR="00E8309B" w:rsidRDefault="009D0949">
            <w:pPr>
              <w:spacing w:after="0" w:line="259" w:lineRule="auto"/>
              <w:ind w:left="0" w:right="0" w:firstLine="0"/>
              <w:jc w:val="center"/>
            </w:pPr>
            <w:r>
              <w:rPr>
                <w:sz w:val="20"/>
              </w:rPr>
              <w:t xml:space="preserve">  </w:t>
            </w:r>
          </w:p>
        </w:tc>
        <w:tc>
          <w:tcPr>
            <w:tcW w:w="463" w:type="dxa"/>
            <w:tcBorders>
              <w:top w:val="single" w:sz="4" w:space="0" w:color="000000"/>
              <w:left w:val="single" w:sz="8"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4" w:right="0" w:firstLine="0"/>
              <w:jc w:val="center"/>
            </w:pPr>
            <w:r>
              <w:rPr>
                <w:sz w:val="20"/>
              </w:rPr>
              <w:t xml:space="preserve">  </w:t>
            </w:r>
          </w:p>
        </w:tc>
        <w:tc>
          <w:tcPr>
            <w:tcW w:w="462"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5" w:right="0" w:firstLine="0"/>
              <w:jc w:val="center"/>
            </w:pPr>
            <w:r>
              <w:rPr>
                <w:sz w:val="20"/>
              </w:rPr>
              <w:t xml:space="preserve">  </w:t>
            </w:r>
          </w:p>
        </w:tc>
        <w:tc>
          <w:tcPr>
            <w:tcW w:w="462"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2" w:right="0" w:firstLine="0"/>
              <w:jc w:val="center"/>
            </w:pPr>
            <w:r>
              <w:rPr>
                <w:sz w:val="20"/>
              </w:rPr>
              <w:t xml:space="preserve">  </w:t>
            </w:r>
          </w:p>
        </w:tc>
        <w:tc>
          <w:tcPr>
            <w:tcW w:w="451" w:type="dxa"/>
            <w:tcBorders>
              <w:top w:val="single" w:sz="4" w:space="0" w:color="000000"/>
              <w:left w:val="single" w:sz="4" w:space="0" w:color="000000"/>
              <w:bottom w:val="single" w:sz="4" w:space="0" w:color="000000"/>
              <w:right w:val="single" w:sz="8" w:space="0" w:color="000000"/>
            </w:tcBorders>
            <w:shd w:val="clear" w:color="auto" w:fill="BFBFBF"/>
            <w:vAlign w:val="center"/>
          </w:tcPr>
          <w:p w:rsidR="00E8309B" w:rsidRDefault="009D0949">
            <w:pPr>
              <w:spacing w:after="0" w:line="259" w:lineRule="auto"/>
              <w:ind w:left="1" w:right="0" w:firstLine="0"/>
              <w:jc w:val="center"/>
            </w:pPr>
            <w:r>
              <w:rPr>
                <w:sz w:val="20"/>
              </w:rPr>
              <w:t xml:space="preserve">  </w:t>
            </w:r>
          </w:p>
        </w:tc>
      </w:tr>
    </w:tbl>
    <w:p w:rsidR="00E8309B" w:rsidRDefault="009D0949">
      <w:pPr>
        <w:numPr>
          <w:ilvl w:val="0"/>
          <w:numId w:val="40"/>
        </w:numPr>
        <w:spacing w:after="0" w:line="271" w:lineRule="auto"/>
        <w:ind w:right="9" w:hanging="360"/>
      </w:pPr>
      <w:r>
        <w:rPr>
          <w:b/>
        </w:rPr>
        <w:t xml:space="preserve">Индикатори рeзултата </w:t>
      </w:r>
    </w:p>
    <w:tbl>
      <w:tblPr>
        <w:tblStyle w:val="TableGrid"/>
        <w:tblW w:w="9633" w:type="dxa"/>
        <w:tblInd w:w="0" w:type="dxa"/>
        <w:tblCellMar>
          <w:top w:w="10" w:type="dxa"/>
          <w:left w:w="108" w:type="dxa"/>
          <w:bottom w:w="0" w:type="dxa"/>
          <w:right w:w="8" w:type="dxa"/>
        </w:tblCellMar>
        <w:tblLook w:val="04A0" w:firstRow="1" w:lastRow="0" w:firstColumn="1" w:lastColumn="0" w:noHBand="0" w:noVBand="1"/>
      </w:tblPr>
      <w:tblGrid>
        <w:gridCol w:w="3121"/>
        <w:gridCol w:w="2124"/>
        <w:gridCol w:w="2269"/>
        <w:gridCol w:w="2119"/>
      </w:tblGrid>
      <w:tr w:rsidR="00E8309B">
        <w:trPr>
          <w:trHeight w:val="471"/>
        </w:trPr>
        <w:tc>
          <w:tcPr>
            <w:tcW w:w="3121"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0" w:firstLine="0"/>
              <w:jc w:val="left"/>
            </w:pPr>
            <w:r>
              <w:rPr>
                <w:b/>
                <w:sz w:val="20"/>
              </w:rPr>
              <w:t xml:space="preserve">Показатељ </w:t>
            </w:r>
          </w:p>
        </w:tc>
        <w:tc>
          <w:tcPr>
            <w:tcW w:w="2124"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98" w:firstLine="0"/>
              <w:jc w:val="right"/>
            </w:pPr>
            <w:r>
              <w:rPr>
                <w:b/>
                <w:sz w:val="20"/>
              </w:rPr>
              <w:t xml:space="preserve">Почетна вредност (2019. година) </w:t>
            </w:r>
          </w:p>
        </w:tc>
        <w:tc>
          <w:tcPr>
            <w:tcW w:w="2269"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799" w:right="0" w:hanging="22"/>
              <w:jc w:val="left"/>
            </w:pPr>
            <w:r>
              <w:rPr>
                <w:b/>
                <w:sz w:val="20"/>
              </w:rPr>
              <w:t xml:space="preserve">Међурезултат  (2021. година) </w:t>
            </w:r>
          </w:p>
        </w:tc>
        <w:tc>
          <w:tcPr>
            <w:tcW w:w="2119"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100" w:firstLine="0"/>
              <w:jc w:val="right"/>
            </w:pPr>
            <w:r>
              <w:rPr>
                <w:b/>
                <w:sz w:val="20"/>
              </w:rPr>
              <w:t xml:space="preserve">Циљна вредност (2023. година) </w:t>
            </w:r>
          </w:p>
        </w:tc>
      </w:tr>
      <w:tr w:rsidR="00E8309B">
        <w:trPr>
          <w:trHeight w:val="470"/>
        </w:trPr>
        <w:tc>
          <w:tcPr>
            <w:tcW w:w="3121"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0" w:firstLine="0"/>
              <w:jc w:val="left"/>
            </w:pPr>
            <w:r>
              <w:rPr>
                <w:sz w:val="20"/>
              </w:rPr>
              <w:t xml:space="preserve">Стопа раста обима спољне трговине Србије – свет </w:t>
            </w:r>
          </w:p>
        </w:tc>
        <w:tc>
          <w:tcPr>
            <w:tcW w:w="2124"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98" w:firstLine="0"/>
              <w:jc w:val="right"/>
            </w:pPr>
            <w:r>
              <w:rPr>
                <w:sz w:val="20"/>
              </w:rPr>
              <w:t xml:space="preserve">8,4% </w:t>
            </w:r>
          </w:p>
        </w:tc>
        <w:tc>
          <w:tcPr>
            <w:tcW w:w="2269"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98" w:firstLine="0"/>
              <w:jc w:val="right"/>
            </w:pPr>
            <w:r>
              <w:rPr>
                <w:sz w:val="20"/>
              </w:rPr>
              <w:t xml:space="preserve">6% </w:t>
            </w:r>
          </w:p>
        </w:tc>
        <w:tc>
          <w:tcPr>
            <w:tcW w:w="2119"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100" w:firstLine="0"/>
              <w:jc w:val="right"/>
            </w:pPr>
            <w:r>
              <w:rPr>
                <w:sz w:val="20"/>
              </w:rPr>
              <w:t xml:space="preserve">7% </w:t>
            </w:r>
          </w:p>
        </w:tc>
      </w:tr>
    </w:tbl>
    <w:p w:rsidR="00E8309B" w:rsidRDefault="009D0949">
      <w:pPr>
        <w:numPr>
          <w:ilvl w:val="0"/>
          <w:numId w:val="40"/>
        </w:numPr>
        <w:spacing w:after="79" w:line="271" w:lineRule="auto"/>
        <w:ind w:right="9" w:hanging="360"/>
      </w:pPr>
      <w:r>
        <w:rPr>
          <w:b/>
        </w:rPr>
        <w:t xml:space="preserve">Очекивани утицај на конкурентност </w:t>
      </w:r>
    </w:p>
    <w:p w:rsidR="00E8309B" w:rsidRDefault="009D0949">
      <w:pPr>
        <w:spacing w:after="162"/>
        <w:ind w:left="-5" w:right="17"/>
      </w:pPr>
      <w:r>
        <w:t>Ступање у чланство СТО, унапређење трговине кроз примену ЦЕФТА додатних протокола, као и активности НКТОТ на плану олакшања трговине имаће значајан утицај на уклањање трговинских баријера, а самим тим и на повећање конкурентности српских предузећа на регио</w:t>
      </w:r>
      <w:r>
        <w:t>налном тржишту, као и на раст и даљи развој српске економије. Позитиван утицај на конкурентност се огледа, између осталог, и на смањење трошкова обављања спољнотрговинског промета робе, скраћење временског оквира за обављање процедура на граничним прелазим</w:t>
      </w:r>
      <w:r>
        <w:t xml:space="preserve">а, као и међусобно признавање исправа и наставак усклађивања са ЕУ регулативом у области слободног протока робе. </w:t>
      </w:r>
    </w:p>
    <w:p w:rsidR="00E8309B" w:rsidRDefault="009D0949">
      <w:pPr>
        <w:numPr>
          <w:ilvl w:val="0"/>
          <w:numId w:val="40"/>
        </w:numPr>
        <w:spacing w:after="79" w:line="271" w:lineRule="auto"/>
        <w:ind w:right="9" w:hanging="360"/>
      </w:pPr>
      <w:r>
        <w:rPr>
          <w:b/>
        </w:rPr>
        <w:t xml:space="preserve">Процењени трошкови спровођења структурне реформе и предвиђени извори њиховог финансирања </w:t>
      </w:r>
    </w:p>
    <w:p w:rsidR="00E8309B" w:rsidRDefault="009D0949">
      <w:pPr>
        <w:spacing w:after="102"/>
        <w:ind w:left="-5" w:right="17"/>
      </w:pPr>
      <w:r>
        <w:t xml:space="preserve">Спровођење наведених активности ће утицати на буџет </w:t>
      </w:r>
      <w:r>
        <w:t xml:space="preserve">само у делу који се односи на повећање броја службеника који се баве овим пословима. С тим у вези, планирано је додатно запошљавање два нова службеника у 2020. години и то је испуњено у потпуности. У смислу регионалног карактера активности које произилазе </w:t>
      </w:r>
      <w:r>
        <w:t xml:space="preserve">из поменутих ЦЕФТА додатних протокола и МАП, очекује се подршка из међународних извора. Када су у питању пројектне активности у вези са спровођењем ове реформе, за сада се не очекује раст трошкова у наредним годинама у односу на 2019. годину која се узима </w:t>
      </w:r>
      <w:r>
        <w:t xml:space="preserve">као базна година. </w:t>
      </w:r>
    </w:p>
    <w:p w:rsidR="00E8309B" w:rsidRDefault="009D0949">
      <w:pPr>
        <w:numPr>
          <w:ilvl w:val="0"/>
          <w:numId w:val="40"/>
        </w:numPr>
        <w:spacing w:after="16" w:line="271" w:lineRule="auto"/>
        <w:ind w:right="9" w:hanging="360"/>
      </w:pPr>
      <w:r>
        <w:rPr>
          <w:b/>
        </w:rPr>
        <w:t xml:space="preserve">Очекивани утицај на социјалне циљеве, као што су запосленост, смањење сиромаштва, једнакост и род </w:t>
      </w:r>
    </w:p>
    <w:p w:rsidR="00E8309B" w:rsidRDefault="009D0949">
      <w:pPr>
        <w:ind w:left="-5" w:right="17"/>
      </w:pPr>
      <w:r>
        <w:t xml:space="preserve">Описане активности ће имати позитиван утицај на пораст запошљавања и остваривање принципа родне равноправности. Очекује се да реформа има </w:t>
      </w:r>
      <w:r>
        <w:t xml:space="preserve">позитиван утицај на смањење сиромаштва, док је по питању приступа здравственој заштити неутрална. </w:t>
      </w:r>
    </w:p>
    <w:p w:rsidR="00E8309B" w:rsidRDefault="009D0949">
      <w:pPr>
        <w:numPr>
          <w:ilvl w:val="0"/>
          <w:numId w:val="40"/>
        </w:numPr>
        <w:spacing w:after="127" w:line="271" w:lineRule="auto"/>
        <w:ind w:right="9" w:hanging="360"/>
      </w:pPr>
      <w:r>
        <w:rPr>
          <w:b/>
        </w:rPr>
        <w:t xml:space="preserve">Очекивани утицај на животну средину </w:t>
      </w:r>
    </w:p>
    <w:p w:rsidR="00E8309B" w:rsidRDefault="009D0949">
      <w:pPr>
        <w:spacing w:after="6"/>
        <w:ind w:left="-5" w:right="1962"/>
      </w:pPr>
      <w:r>
        <w:t xml:space="preserve">Структурна реформа је неутрална у смислу утицаја на животну средину. </w:t>
      </w:r>
      <w:r>
        <w:rPr>
          <w:b/>
        </w:rPr>
        <w:t>9.</w:t>
      </w:r>
      <w:r>
        <w:rPr>
          <w:rFonts w:ascii="Arial" w:eastAsia="Arial" w:hAnsi="Arial" w:cs="Arial"/>
          <w:b/>
        </w:rPr>
        <w:t xml:space="preserve"> </w:t>
      </w:r>
      <w:r>
        <w:rPr>
          <w:b/>
        </w:rPr>
        <w:t xml:space="preserve">Потенцијални ризици </w:t>
      </w:r>
    </w:p>
    <w:tbl>
      <w:tblPr>
        <w:tblStyle w:val="TableGrid"/>
        <w:tblW w:w="9542" w:type="dxa"/>
        <w:tblInd w:w="91" w:type="dxa"/>
        <w:tblCellMar>
          <w:top w:w="42" w:type="dxa"/>
          <w:left w:w="108" w:type="dxa"/>
          <w:bottom w:w="0" w:type="dxa"/>
          <w:right w:w="110" w:type="dxa"/>
        </w:tblCellMar>
        <w:tblLook w:val="04A0" w:firstRow="1" w:lastRow="0" w:firstColumn="1" w:lastColumn="0" w:noHBand="0" w:noVBand="1"/>
      </w:tblPr>
      <w:tblGrid>
        <w:gridCol w:w="3601"/>
        <w:gridCol w:w="2429"/>
        <w:gridCol w:w="3512"/>
      </w:tblGrid>
      <w:tr w:rsidR="00E8309B">
        <w:trPr>
          <w:trHeight w:val="701"/>
        </w:trPr>
        <w:tc>
          <w:tcPr>
            <w:tcW w:w="3601"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0" w:right="0" w:firstLine="0"/>
              <w:jc w:val="left"/>
            </w:pPr>
            <w:r>
              <w:rPr>
                <w:b/>
                <w:sz w:val="20"/>
              </w:rPr>
              <w:t xml:space="preserve">Ризик </w:t>
            </w:r>
          </w:p>
        </w:tc>
        <w:tc>
          <w:tcPr>
            <w:tcW w:w="2429"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0" w:firstLine="0"/>
              <w:jc w:val="left"/>
            </w:pPr>
            <w:r>
              <w:rPr>
                <w:b/>
                <w:sz w:val="20"/>
              </w:rPr>
              <w:t>Вероватноћа за оства</w:t>
            </w:r>
            <w:r>
              <w:rPr>
                <w:b/>
                <w:sz w:val="20"/>
              </w:rPr>
              <w:t xml:space="preserve">ривање ризика (ниска или висока) </w:t>
            </w:r>
          </w:p>
        </w:tc>
        <w:tc>
          <w:tcPr>
            <w:tcW w:w="3512"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305" w:firstLine="0"/>
            </w:pPr>
            <w:r>
              <w:rPr>
                <w:b/>
                <w:sz w:val="20"/>
              </w:rPr>
              <w:t xml:space="preserve">Планиране активност за ублажавање негативних ефеката   ризика </w:t>
            </w:r>
          </w:p>
        </w:tc>
      </w:tr>
      <w:tr w:rsidR="00E8309B">
        <w:trPr>
          <w:trHeight w:val="1390"/>
        </w:trPr>
        <w:tc>
          <w:tcPr>
            <w:tcW w:w="3601"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0" w:firstLine="0"/>
              <w:jc w:val="left"/>
            </w:pPr>
            <w:r>
              <w:rPr>
                <w:sz w:val="20"/>
              </w:rPr>
              <w:t xml:space="preserve">Пандемија Ковид-19  - </w:t>
            </w:r>
            <w:r>
              <w:rPr>
                <w:sz w:val="20"/>
              </w:rPr>
              <w:t xml:space="preserve">увођење ванредних трговинских мера од стране најзначајниjих спољнотрговинских партнера, промена структуре тражње, рецесија у земљама најзначајнијим спољнотрговинским партнерима </w:t>
            </w:r>
          </w:p>
        </w:tc>
        <w:tc>
          <w:tcPr>
            <w:tcW w:w="2429" w:type="dxa"/>
            <w:tcBorders>
              <w:top w:val="single" w:sz="4" w:space="0" w:color="000000"/>
              <w:left w:val="single" w:sz="4" w:space="0" w:color="000000"/>
              <w:bottom w:val="single" w:sz="4" w:space="0" w:color="000000"/>
              <w:right w:val="single" w:sz="4" w:space="0" w:color="000000"/>
            </w:tcBorders>
          </w:tcPr>
          <w:p w:rsidR="00E8309B" w:rsidRDefault="009D0949">
            <w:pPr>
              <w:spacing w:after="19" w:line="259" w:lineRule="auto"/>
              <w:ind w:left="0" w:right="0" w:firstLine="0"/>
              <w:jc w:val="left"/>
            </w:pPr>
            <w:r>
              <w:rPr>
                <w:sz w:val="20"/>
              </w:rPr>
              <w:t xml:space="preserve">Висока  </w:t>
            </w:r>
          </w:p>
          <w:p w:rsidR="00E8309B" w:rsidRDefault="009D0949">
            <w:pPr>
              <w:spacing w:after="0" w:line="259" w:lineRule="auto"/>
              <w:ind w:left="0" w:right="0" w:firstLine="0"/>
              <w:jc w:val="left"/>
            </w:pPr>
            <w:r>
              <w:rPr>
                <w:sz w:val="20"/>
              </w:rPr>
              <w:t xml:space="preserve">(док траје пандемија) </w:t>
            </w:r>
          </w:p>
        </w:tc>
        <w:tc>
          <w:tcPr>
            <w:tcW w:w="3512"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0" w:firstLine="0"/>
              <w:jc w:val="left"/>
            </w:pPr>
            <w:r>
              <w:rPr>
                <w:sz w:val="20"/>
              </w:rPr>
              <w:t xml:space="preserve">Координација са најважнијим трговинским партнерима у циљу амортизације негативних ефеката потенцијалних трговинских ограничења </w:t>
            </w:r>
          </w:p>
        </w:tc>
      </w:tr>
      <w:tr w:rsidR="00E8309B">
        <w:trPr>
          <w:trHeight w:val="932"/>
        </w:trPr>
        <w:tc>
          <w:tcPr>
            <w:tcW w:w="3601"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0" w:firstLine="0"/>
              <w:jc w:val="left"/>
            </w:pPr>
            <w:r>
              <w:rPr>
                <w:sz w:val="20"/>
              </w:rPr>
              <w:t xml:space="preserve">Трговинске баријере и мере са економским и трговинским утицајем које уводе ЦЕФТА стране </w:t>
            </w:r>
          </w:p>
        </w:tc>
        <w:tc>
          <w:tcPr>
            <w:tcW w:w="2429"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0" w:firstLine="0"/>
              <w:jc w:val="left"/>
            </w:pPr>
            <w:r>
              <w:rPr>
                <w:sz w:val="20"/>
              </w:rPr>
              <w:t xml:space="preserve">Ниска </w:t>
            </w:r>
          </w:p>
        </w:tc>
        <w:tc>
          <w:tcPr>
            <w:tcW w:w="3512"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0" w:firstLine="0"/>
              <w:jc w:val="left"/>
            </w:pPr>
            <w:r>
              <w:rPr>
                <w:sz w:val="20"/>
              </w:rPr>
              <w:t xml:space="preserve">Координација </w:t>
            </w:r>
            <w:r>
              <w:rPr>
                <w:sz w:val="20"/>
              </w:rPr>
              <w:t xml:space="preserve">и комуникација са партнерима ЦЕФТА, дијалог о стварању услова за отклањање трговинских баријера </w:t>
            </w:r>
          </w:p>
        </w:tc>
      </w:tr>
      <w:tr w:rsidR="00E8309B">
        <w:trPr>
          <w:trHeight w:val="1159"/>
        </w:trPr>
        <w:tc>
          <w:tcPr>
            <w:tcW w:w="3601"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0" w:firstLine="0"/>
              <w:jc w:val="left"/>
            </w:pPr>
            <w:r>
              <w:rPr>
                <w:sz w:val="20"/>
              </w:rPr>
              <w:t xml:space="preserve">Приступање СТО подразумева мултилатералне преговоре, па окончање процеса зависи и од других учесника (чланица СТО) </w:t>
            </w:r>
          </w:p>
        </w:tc>
        <w:tc>
          <w:tcPr>
            <w:tcW w:w="2429"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0" w:firstLine="0"/>
              <w:jc w:val="left"/>
            </w:pPr>
            <w:r>
              <w:rPr>
                <w:sz w:val="20"/>
              </w:rPr>
              <w:t xml:space="preserve">Висока </w:t>
            </w:r>
          </w:p>
        </w:tc>
        <w:tc>
          <w:tcPr>
            <w:tcW w:w="3512" w:type="dxa"/>
            <w:tcBorders>
              <w:top w:val="single" w:sz="4" w:space="0" w:color="000000"/>
              <w:left w:val="single" w:sz="4" w:space="0" w:color="000000"/>
              <w:bottom w:val="single" w:sz="4" w:space="0" w:color="000000"/>
              <w:right w:val="single" w:sz="4" w:space="0" w:color="000000"/>
            </w:tcBorders>
          </w:tcPr>
          <w:p w:rsidR="00E8309B" w:rsidRDefault="009D0949">
            <w:pPr>
              <w:spacing w:after="39" w:line="239" w:lineRule="auto"/>
              <w:ind w:left="0" w:right="0" w:firstLine="0"/>
              <w:jc w:val="left"/>
            </w:pPr>
            <w:r>
              <w:rPr>
                <w:sz w:val="20"/>
              </w:rPr>
              <w:t xml:space="preserve">Затварање билатералних преговора са чланицама СТО. С тим у вези, доношење закона о ГМО олакшаће билатералне преговоре са неким </w:t>
            </w:r>
          </w:p>
          <w:p w:rsidR="00E8309B" w:rsidRDefault="009D0949">
            <w:pPr>
              <w:spacing w:after="0" w:line="259" w:lineRule="auto"/>
              <w:ind w:left="0" w:right="0" w:firstLine="0"/>
              <w:jc w:val="left"/>
            </w:pPr>
            <w:r>
              <w:rPr>
                <w:sz w:val="20"/>
              </w:rPr>
              <w:t xml:space="preserve">чланицама СТО  </w:t>
            </w:r>
          </w:p>
        </w:tc>
      </w:tr>
      <w:tr w:rsidR="00E8309B">
        <w:trPr>
          <w:trHeight w:val="720"/>
        </w:trPr>
        <w:tc>
          <w:tcPr>
            <w:tcW w:w="3601"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0" w:firstLine="0"/>
              <w:jc w:val="left"/>
            </w:pPr>
            <w:r>
              <w:rPr>
                <w:sz w:val="20"/>
              </w:rPr>
              <w:t xml:space="preserve">Увођење заштитних мера ЕУ (на одређене производе од челика) </w:t>
            </w:r>
          </w:p>
        </w:tc>
        <w:tc>
          <w:tcPr>
            <w:tcW w:w="2429"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0" w:firstLine="0"/>
              <w:jc w:val="left"/>
            </w:pPr>
            <w:r>
              <w:rPr>
                <w:sz w:val="20"/>
              </w:rPr>
              <w:t xml:space="preserve">Висока </w:t>
            </w:r>
          </w:p>
        </w:tc>
        <w:tc>
          <w:tcPr>
            <w:tcW w:w="3512"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0" w:firstLine="0"/>
              <w:jc w:val="left"/>
            </w:pPr>
            <w:r>
              <w:rPr>
                <w:sz w:val="20"/>
              </w:rPr>
              <w:t xml:space="preserve">Активности на искључивању Србије из листе </w:t>
            </w:r>
            <w:r>
              <w:rPr>
                <w:sz w:val="20"/>
              </w:rPr>
              <w:t xml:space="preserve">земаља на које се примењују ЕУ заштитне мере </w:t>
            </w:r>
          </w:p>
        </w:tc>
      </w:tr>
    </w:tbl>
    <w:p w:rsidR="00E8309B" w:rsidRDefault="009D0949">
      <w:pPr>
        <w:ind w:left="-5" w:right="17"/>
      </w:pPr>
      <w:r>
        <w:rPr>
          <w:b/>
          <w:u w:val="single" w:color="000000"/>
        </w:rPr>
        <w:t>СТРУКТУРНА РЕФОРМА 19</w:t>
      </w:r>
      <w:r>
        <w:rPr>
          <w:u w:val="single" w:color="000000"/>
        </w:rPr>
        <w:t>:</w:t>
      </w:r>
      <w:r>
        <w:t xml:space="preserve"> БЕЗБЕДАН И КВАЛИТЕТАН ПРОИЗВОД - ФАКТОР </w:t>
      </w:r>
    </w:p>
    <w:p w:rsidR="00E8309B" w:rsidRDefault="009D0949">
      <w:pPr>
        <w:spacing w:after="156"/>
        <w:ind w:left="-5" w:right="17"/>
      </w:pPr>
      <w:r>
        <w:t xml:space="preserve">РАЗВОЈА ИНДУСТРИЈЕ </w:t>
      </w:r>
    </w:p>
    <w:p w:rsidR="00E8309B" w:rsidRDefault="009D0949">
      <w:pPr>
        <w:numPr>
          <w:ilvl w:val="0"/>
          <w:numId w:val="41"/>
        </w:numPr>
        <w:spacing w:after="126" w:line="271" w:lineRule="auto"/>
        <w:ind w:right="9" w:hanging="360"/>
      </w:pPr>
      <w:r>
        <w:rPr>
          <w:b/>
        </w:rPr>
        <w:t xml:space="preserve">Опис структурне реформе </w:t>
      </w:r>
    </w:p>
    <w:p w:rsidR="00E8309B" w:rsidRDefault="009D0949">
      <w:pPr>
        <w:spacing w:after="6"/>
        <w:ind w:left="-5" w:right="17"/>
      </w:pPr>
      <w:r>
        <w:t xml:space="preserve">Циљ реформе је подршка привредним субјектима </w:t>
      </w:r>
      <w:r>
        <w:t xml:space="preserve">на унапређењу конкурентности, безбедности и квалитета производа и услуга, коришћењем најновијих стандарда у производњи и организацији пословања. Реформа обухвата две компоненте. Прва представља одговор на потребе привреде и укључује инструмент финансијске </w:t>
      </w:r>
      <w:r>
        <w:t>подршке привредним субјектима, превасходно малим и средњим предузећима, ка повећању нивоа коришћења стандарда у производњи и организацији пословања, сертификацији производа, система менаџмента и унапређење доступности свих других услуга у области ИК. Струк</w:t>
      </w:r>
      <w:r>
        <w:t xml:space="preserve">турна реформа има упориште у </w:t>
      </w:r>
      <w:r>
        <w:rPr>
          <w:i/>
        </w:rPr>
        <w:t>Стратегији индустријске политике Републике Србије 2021-2030. године.</w:t>
      </w:r>
      <w:r>
        <w:t xml:space="preserve"> Друга компонента, „Производ-инфо“ се односи на изградњу јединственог дигиталног сервиса ради унапређења информисаности и доступности дигиталних услуга у вези </w:t>
      </w:r>
      <w:r>
        <w:t>са применом техничких прописа. Подразумева умрежавање и унапређење база података институција ИК и министарстава надлежних за доношење техничких прописа, како би се обезбедили тачност и ажурност података о техничким захтевима, стандардима, активностима оцењ</w:t>
      </w:r>
      <w:r>
        <w:t>ивања усаглашености, акредитацији и метрологији. Развој дигиталних сервиса у вези са применом техничких прописа допринеће смањењу трошкова производње, увоза, извоза и стављања робе на тржиште. Реализацијом ове мере, унапређује се ефикасност процеса усклађи</w:t>
      </w:r>
      <w:r>
        <w:t>вања техничких прописа у оквиру Преговарачког поглавља 1 - Слобода кретања робе (ПП 1) и стандарда са ЕУ, правилима међународних организација (ЦЕФТА, СТО ТБТ и др.). Реформа испуњава препоруку Европске комисије за унапређењем Контактне тачке за производе (</w:t>
      </w:r>
      <w:r>
        <w:rPr>
          <w:i/>
        </w:rPr>
        <w:t>PCP-</w:t>
      </w:r>
    </w:p>
    <w:p w:rsidR="00E8309B" w:rsidRDefault="009D0949">
      <w:pPr>
        <w:ind w:left="-5" w:right="17"/>
      </w:pPr>
      <w:r>
        <w:rPr>
          <w:i/>
        </w:rPr>
        <w:t>Product Contact Point</w:t>
      </w:r>
      <w:r>
        <w:t>) (</w:t>
      </w:r>
      <w:r>
        <w:rPr>
          <w:i/>
        </w:rPr>
        <w:t>Progress report EC, 2019</w:t>
      </w:r>
      <w:r>
        <w:t xml:space="preserve">) а у складу са европском Уредбом 2019/515, као и Уредбом 2018/1724. У 2020. години су започете неопходне анализа стања и идентификација потреба. </w:t>
      </w:r>
    </w:p>
    <w:p w:rsidR="00E8309B" w:rsidRDefault="009D0949">
      <w:pPr>
        <w:spacing w:after="164"/>
        <w:ind w:left="-5" w:right="17"/>
      </w:pPr>
      <w:r>
        <w:t>Реформом се посебно унапређује коришћење најновијих стан</w:t>
      </w:r>
      <w:r>
        <w:t xml:space="preserve">дарда у производњи и организацији пословања и тиме индиректно остварује напредак у испуњењу </w:t>
      </w:r>
      <w:r>
        <w:rPr>
          <w:b/>
        </w:rPr>
        <w:t>ЦОР 12.</w:t>
      </w:r>
      <w:r>
        <w:t xml:space="preserve"> Одговорна потрошња и производња, односно </w:t>
      </w:r>
      <w:r>
        <w:rPr>
          <w:b/>
        </w:rPr>
        <w:t>ЦОР 12.8.</w:t>
      </w:r>
      <w:r>
        <w:t xml:space="preserve"> До 2030. осигурати да људи свуда имају релевантне информације и свест о одрживом развоју и стилом живота </w:t>
      </w:r>
      <w:r>
        <w:t xml:space="preserve">у хармонији са природом. Реформа делимично утиче и на испуњење </w:t>
      </w:r>
      <w:r>
        <w:rPr>
          <w:b/>
        </w:rPr>
        <w:t>ЦОР 9.2.</w:t>
      </w:r>
      <w:r>
        <w:t xml:space="preserve"> Промовисати инклузивну и одрживу индустријализацију и до 2030. значајно повећати удео индустрије у стопи запослености и бруто домаћем производу, у складу са националним околностима. </w:t>
      </w:r>
    </w:p>
    <w:p w:rsidR="00E8309B" w:rsidRDefault="009D0949">
      <w:pPr>
        <w:numPr>
          <w:ilvl w:val="0"/>
          <w:numId w:val="41"/>
        </w:numPr>
        <w:spacing w:after="126" w:line="271" w:lineRule="auto"/>
        <w:ind w:right="9" w:hanging="360"/>
      </w:pPr>
      <w:r>
        <w:rPr>
          <w:b/>
        </w:rPr>
        <w:t>К</w:t>
      </w:r>
      <w:r>
        <w:rPr>
          <w:b/>
        </w:rPr>
        <w:t xml:space="preserve">овид-19 – ефекти, мере и изазови </w:t>
      </w:r>
    </w:p>
    <w:p w:rsidR="00E8309B" w:rsidRDefault="009D0949">
      <w:pPr>
        <w:ind w:left="-5" w:right="17"/>
      </w:pPr>
      <w:r>
        <w:t>Спроведена је анализа утицаја кризе Ковид-19 на сектор ИК и пружања услуга именованих и овлашћених тела за оцењивање усаглашености – ТОУ (услуге испитивања и сертификације) и других услуга институција ИК (ИСС-Институт за с</w:t>
      </w:r>
      <w:r>
        <w:t xml:space="preserve">тандардизацију Србије, АТС- Акредитационо тело Србије и ДМДМ-Дирекција за мере и драгоцене метале).  </w:t>
      </w:r>
    </w:p>
    <w:p w:rsidR="00E8309B" w:rsidRDefault="009D0949">
      <w:pPr>
        <w:ind w:left="-5" w:right="17"/>
      </w:pPr>
      <w:r>
        <w:t xml:space="preserve">Резултати анализе показују да је криза узроковала смањење обима пословне активности код 90% анкетираних ТОУ као и смањење прихода и то у распону од 4% до </w:t>
      </w:r>
      <w:r>
        <w:t>30%. Разлози за то су: пад тражње привредних субјеката за услугама у области ИК до 30%, услед измена приоритета у пословању, отказивања јавних набавки, немогућности реализације теренског рада, немогућности реализације спољнотрговинских активности и др. Ана</w:t>
      </w:r>
      <w:r>
        <w:t xml:space="preserve">лиза је указала на потребу за подршком привреди у испуњавању обавезних техничких захтева за производе и примени добровољних стандарда, као фактора безбедних и квалитетних индустријских производа.  </w:t>
      </w:r>
    </w:p>
    <w:p w:rsidR="00E8309B" w:rsidRDefault="009D0949">
      <w:pPr>
        <w:spacing w:after="6"/>
        <w:ind w:left="-5" w:right="17"/>
      </w:pPr>
      <w:r>
        <w:t>Очекивања по питању последица изазваних кризом и изазови с</w:t>
      </w:r>
      <w:r>
        <w:t>у: немогућност реализације уговорених послова са иностранством због неизвесне ситуације и ризика кашњења у реализацији, транспорту или царинским процедурама; недовољно ефикасне активности надзора и провера на даљину од стране надлежних институција; промене</w:t>
      </w:r>
      <w:r>
        <w:t xml:space="preserve"> приоритета и планова активности; очекиван значајан пад обима пословне активности; очекивано смањење прихода и добити од 20-30% у односу на планирано итд. </w:t>
      </w:r>
      <w:r>
        <w:rPr>
          <w:b/>
        </w:rPr>
        <w:t>3.</w:t>
      </w:r>
      <w:r>
        <w:rPr>
          <w:rFonts w:ascii="Arial" w:eastAsia="Arial" w:hAnsi="Arial" w:cs="Arial"/>
          <w:b/>
        </w:rPr>
        <w:t xml:space="preserve"> </w:t>
      </w:r>
      <w:r>
        <w:rPr>
          <w:b/>
        </w:rPr>
        <w:t xml:space="preserve">Планирање активности по годинама </w:t>
      </w:r>
    </w:p>
    <w:tbl>
      <w:tblPr>
        <w:tblStyle w:val="TableGrid"/>
        <w:tblW w:w="9712" w:type="dxa"/>
        <w:tblInd w:w="10" w:type="dxa"/>
        <w:tblCellMar>
          <w:top w:w="7" w:type="dxa"/>
          <w:left w:w="107" w:type="dxa"/>
          <w:bottom w:w="0" w:type="dxa"/>
          <w:right w:w="56" w:type="dxa"/>
        </w:tblCellMar>
        <w:tblLook w:val="04A0" w:firstRow="1" w:lastRow="0" w:firstColumn="1" w:lastColumn="0" w:noHBand="0" w:noVBand="1"/>
      </w:tblPr>
      <w:tblGrid>
        <w:gridCol w:w="526"/>
        <w:gridCol w:w="3556"/>
        <w:gridCol w:w="462"/>
        <w:gridCol w:w="464"/>
        <w:gridCol w:w="461"/>
        <w:gridCol w:w="464"/>
        <w:gridCol w:w="462"/>
        <w:gridCol w:w="462"/>
        <w:gridCol w:w="463"/>
        <w:gridCol w:w="466"/>
        <w:gridCol w:w="463"/>
        <w:gridCol w:w="461"/>
        <w:gridCol w:w="463"/>
        <w:gridCol w:w="540"/>
      </w:tblGrid>
      <w:tr w:rsidR="00E8309B">
        <w:trPr>
          <w:trHeight w:val="332"/>
        </w:trPr>
        <w:tc>
          <w:tcPr>
            <w:tcW w:w="526" w:type="dxa"/>
            <w:vMerge w:val="restart"/>
            <w:tcBorders>
              <w:top w:val="single" w:sz="8" w:space="0" w:color="000000"/>
              <w:left w:val="single" w:sz="8" w:space="0" w:color="000000"/>
              <w:bottom w:val="single" w:sz="4" w:space="0" w:color="000000"/>
              <w:right w:val="single" w:sz="8" w:space="0" w:color="000000"/>
            </w:tcBorders>
            <w:vAlign w:val="center"/>
          </w:tcPr>
          <w:p w:rsidR="00E8309B" w:rsidRDefault="009D0949">
            <w:pPr>
              <w:spacing w:after="0" w:line="259" w:lineRule="auto"/>
              <w:ind w:left="30" w:right="0" w:firstLine="0"/>
              <w:jc w:val="left"/>
            </w:pPr>
            <w:r>
              <w:rPr>
                <w:b/>
                <w:sz w:val="20"/>
              </w:rPr>
              <w:t xml:space="preserve">РБ </w:t>
            </w:r>
          </w:p>
        </w:tc>
        <w:tc>
          <w:tcPr>
            <w:tcW w:w="3556" w:type="dxa"/>
            <w:vMerge w:val="restart"/>
            <w:tcBorders>
              <w:top w:val="single" w:sz="8" w:space="0" w:color="000000"/>
              <w:left w:val="single" w:sz="8" w:space="0" w:color="000000"/>
              <w:bottom w:val="single" w:sz="4" w:space="0" w:color="000000"/>
              <w:right w:val="single" w:sz="8" w:space="0" w:color="000000"/>
            </w:tcBorders>
            <w:vAlign w:val="center"/>
          </w:tcPr>
          <w:p w:rsidR="00E8309B" w:rsidRDefault="009D0949">
            <w:pPr>
              <w:spacing w:after="0" w:line="259" w:lineRule="auto"/>
              <w:ind w:left="1" w:right="0" w:firstLine="0"/>
              <w:jc w:val="left"/>
            </w:pPr>
            <w:r>
              <w:rPr>
                <w:b/>
                <w:sz w:val="20"/>
              </w:rPr>
              <w:t xml:space="preserve">Планиране активности по годинама </w:t>
            </w:r>
          </w:p>
        </w:tc>
        <w:tc>
          <w:tcPr>
            <w:tcW w:w="1386" w:type="dxa"/>
            <w:gridSpan w:val="3"/>
            <w:tcBorders>
              <w:top w:val="single" w:sz="8" w:space="0" w:color="000000"/>
              <w:left w:val="single" w:sz="8" w:space="0" w:color="000000"/>
              <w:bottom w:val="single" w:sz="4" w:space="0" w:color="000000"/>
              <w:right w:val="nil"/>
            </w:tcBorders>
          </w:tcPr>
          <w:p w:rsidR="00E8309B" w:rsidRDefault="009D0949">
            <w:pPr>
              <w:spacing w:after="0" w:line="259" w:lineRule="auto"/>
              <w:ind w:left="619" w:right="0" w:firstLine="0"/>
              <w:jc w:val="left"/>
            </w:pPr>
            <w:r>
              <w:rPr>
                <w:b/>
                <w:sz w:val="20"/>
              </w:rPr>
              <w:t xml:space="preserve">2021 </w:t>
            </w:r>
          </w:p>
        </w:tc>
        <w:tc>
          <w:tcPr>
            <w:tcW w:w="464" w:type="dxa"/>
            <w:tcBorders>
              <w:top w:val="single" w:sz="8" w:space="0" w:color="000000"/>
              <w:left w:val="nil"/>
              <w:bottom w:val="single" w:sz="4" w:space="0" w:color="000000"/>
              <w:right w:val="single" w:sz="8" w:space="0" w:color="000000"/>
            </w:tcBorders>
          </w:tcPr>
          <w:p w:rsidR="00E8309B" w:rsidRDefault="00E8309B">
            <w:pPr>
              <w:spacing w:after="160" w:line="259" w:lineRule="auto"/>
              <w:ind w:left="0" w:right="0" w:firstLine="0"/>
              <w:jc w:val="left"/>
            </w:pPr>
          </w:p>
        </w:tc>
        <w:tc>
          <w:tcPr>
            <w:tcW w:w="462" w:type="dxa"/>
            <w:tcBorders>
              <w:top w:val="single" w:sz="8" w:space="0" w:color="000000"/>
              <w:left w:val="single" w:sz="8" w:space="0" w:color="000000"/>
              <w:bottom w:val="single" w:sz="4" w:space="0" w:color="000000"/>
              <w:right w:val="nil"/>
            </w:tcBorders>
          </w:tcPr>
          <w:p w:rsidR="00E8309B" w:rsidRDefault="00E8309B">
            <w:pPr>
              <w:spacing w:after="160" w:line="259" w:lineRule="auto"/>
              <w:ind w:left="0" w:right="0" w:firstLine="0"/>
              <w:jc w:val="left"/>
            </w:pPr>
          </w:p>
        </w:tc>
        <w:tc>
          <w:tcPr>
            <w:tcW w:w="925" w:type="dxa"/>
            <w:gridSpan w:val="2"/>
            <w:tcBorders>
              <w:top w:val="single" w:sz="8" w:space="0" w:color="000000"/>
              <w:left w:val="nil"/>
              <w:bottom w:val="single" w:sz="4" w:space="0" w:color="000000"/>
              <w:right w:val="nil"/>
            </w:tcBorders>
          </w:tcPr>
          <w:p w:rsidR="00E8309B" w:rsidRDefault="009D0949">
            <w:pPr>
              <w:spacing w:after="0" w:line="259" w:lineRule="auto"/>
              <w:ind w:left="0" w:right="50" w:firstLine="0"/>
              <w:jc w:val="center"/>
            </w:pPr>
            <w:r>
              <w:rPr>
                <w:b/>
                <w:sz w:val="20"/>
              </w:rPr>
              <w:t xml:space="preserve">2022 </w:t>
            </w:r>
          </w:p>
        </w:tc>
        <w:tc>
          <w:tcPr>
            <w:tcW w:w="466" w:type="dxa"/>
            <w:tcBorders>
              <w:top w:val="single" w:sz="8" w:space="0" w:color="000000"/>
              <w:left w:val="nil"/>
              <w:bottom w:val="single" w:sz="4" w:space="0" w:color="000000"/>
              <w:right w:val="single" w:sz="8" w:space="0" w:color="000000"/>
            </w:tcBorders>
          </w:tcPr>
          <w:p w:rsidR="00E8309B" w:rsidRDefault="00E8309B">
            <w:pPr>
              <w:spacing w:after="160" w:line="259" w:lineRule="auto"/>
              <w:ind w:left="0" w:right="0" w:firstLine="0"/>
              <w:jc w:val="left"/>
            </w:pPr>
          </w:p>
        </w:tc>
        <w:tc>
          <w:tcPr>
            <w:tcW w:w="463" w:type="dxa"/>
            <w:tcBorders>
              <w:top w:val="single" w:sz="8" w:space="0" w:color="000000"/>
              <w:left w:val="single" w:sz="8" w:space="0" w:color="000000"/>
              <w:bottom w:val="single" w:sz="4" w:space="0" w:color="000000"/>
              <w:right w:val="nil"/>
            </w:tcBorders>
          </w:tcPr>
          <w:p w:rsidR="00E8309B" w:rsidRDefault="00E8309B">
            <w:pPr>
              <w:spacing w:after="160" w:line="259" w:lineRule="auto"/>
              <w:ind w:left="0" w:right="0" w:firstLine="0"/>
              <w:jc w:val="left"/>
            </w:pPr>
          </w:p>
        </w:tc>
        <w:tc>
          <w:tcPr>
            <w:tcW w:w="924" w:type="dxa"/>
            <w:gridSpan w:val="2"/>
            <w:tcBorders>
              <w:top w:val="single" w:sz="8" w:space="0" w:color="000000"/>
              <w:left w:val="nil"/>
              <w:bottom w:val="single" w:sz="4" w:space="0" w:color="000000"/>
              <w:right w:val="nil"/>
            </w:tcBorders>
          </w:tcPr>
          <w:p w:rsidR="00E8309B" w:rsidRDefault="009D0949">
            <w:pPr>
              <w:spacing w:after="0" w:line="259" w:lineRule="auto"/>
              <w:ind w:left="27" w:right="0" w:firstLine="0"/>
              <w:jc w:val="center"/>
            </w:pPr>
            <w:r>
              <w:rPr>
                <w:b/>
                <w:sz w:val="20"/>
              </w:rPr>
              <w:t xml:space="preserve">2023 </w:t>
            </w:r>
          </w:p>
        </w:tc>
        <w:tc>
          <w:tcPr>
            <w:tcW w:w="540" w:type="dxa"/>
            <w:tcBorders>
              <w:top w:val="single" w:sz="8" w:space="0" w:color="000000"/>
              <w:left w:val="nil"/>
              <w:bottom w:val="single" w:sz="4" w:space="0" w:color="000000"/>
              <w:right w:val="single" w:sz="8" w:space="0" w:color="000000"/>
            </w:tcBorders>
          </w:tcPr>
          <w:p w:rsidR="00E8309B" w:rsidRDefault="00E8309B">
            <w:pPr>
              <w:spacing w:after="160" w:line="259" w:lineRule="auto"/>
              <w:ind w:left="0" w:right="0" w:firstLine="0"/>
              <w:jc w:val="left"/>
            </w:pPr>
          </w:p>
        </w:tc>
      </w:tr>
      <w:tr w:rsidR="00E8309B">
        <w:trPr>
          <w:trHeight w:val="334"/>
        </w:trPr>
        <w:tc>
          <w:tcPr>
            <w:tcW w:w="0" w:type="auto"/>
            <w:vMerge/>
            <w:tcBorders>
              <w:top w:val="nil"/>
              <w:left w:val="single" w:sz="8" w:space="0" w:color="000000"/>
              <w:bottom w:val="single" w:sz="4" w:space="0" w:color="000000"/>
              <w:right w:val="single" w:sz="8" w:space="0" w:color="000000"/>
            </w:tcBorders>
          </w:tcPr>
          <w:p w:rsidR="00E8309B" w:rsidRDefault="00E8309B">
            <w:pPr>
              <w:spacing w:after="160" w:line="259" w:lineRule="auto"/>
              <w:ind w:left="0" w:right="0" w:firstLine="0"/>
              <w:jc w:val="left"/>
            </w:pPr>
          </w:p>
        </w:tc>
        <w:tc>
          <w:tcPr>
            <w:tcW w:w="0" w:type="auto"/>
            <w:vMerge/>
            <w:tcBorders>
              <w:top w:val="nil"/>
              <w:left w:val="single" w:sz="8" w:space="0" w:color="000000"/>
              <w:bottom w:val="single" w:sz="4" w:space="0" w:color="000000"/>
              <w:right w:val="single" w:sz="8" w:space="0" w:color="000000"/>
            </w:tcBorders>
          </w:tcPr>
          <w:p w:rsidR="00E8309B" w:rsidRDefault="00E8309B">
            <w:pPr>
              <w:spacing w:after="160" w:line="259" w:lineRule="auto"/>
              <w:ind w:left="0" w:right="0" w:firstLine="0"/>
              <w:jc w:val="left"/>
            </w:pPr>
          </w:p>
        </w:tc>
        <w:tc>
          <w:tcPr>
            <w:tcW w:w="462" w:type="dxa"/>
            <w:tcBorders>
              <w:top w:val="single" w:sz="4" w:space="0" w:color="000000"/>
              <w:left w:val="single" w:sz="8" w:space="0" w:color="000000"/>
              <w:bottom w:val="single" w:sz="4" w:space="0" w:color="000000"/>
              <w:right w:val="single" w:sz="4" w:space="0" w:color="000000"/>
            </w:tcBorders>
          </w:tcPr>
          <w:p w:rsidR="00E8309B" w:rsidRDefault="009D0949">
            <w:pPr>
              <w:spacing w:after="0" w:line="259" w:lineRule="auto"/>
              <w:ind w:left="2" w:right="0" w:firstLine="0"/>
              <w:jc w:val="left"/>
            </w:pPr>
            <w:r>
              <w:rPr>
                <w:i/>
                <w:sz w:val="20"/>
              </w:rPr>
              <w:t>Q1</w:t>
            </w:r>
            <w:r>
              <w:rPr>
                <w:i/>
                <w:sz w:val="20"/>
              </w:rPr>
              <w:t xml:space="preserve"> </w:t>
            </w:r>
          </w:p>
        </w:tc>
        <w:tc>
          <w:tcPr>
            <w:tcW w:w="464"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1" w:right="0" w:firstLine="0"/>
              <w:jc w:val="left"/>
            </w:pPr>
            <w:r>
              <w:rPr>
                <w:i/>
                <w:sz w:val="20"/>
              </w:rPr>
              <w:t xml:space="preserve">Q2 </w:t>
            </w:r>
          </w:p>
        </w:tc>
        <w:tc>
          <w:tcPr>
            <w:tcW w:w="461"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1" w:right="0" w:firstLine="0"/>
              <w:jc w:val="left"/>
            </w:pPr>
            <w:r>
              <w:rPr>
                <w:i/>
                <w:sz w:val="20"/>
              </w:rPr>
              <w:t xml:space="preserve">Q3 </w:t>
            </w:r>
          </w:p>
        </w:tc>
        <w:tc>
          <w:tcPr>
            <w:tcW w:w="464" w:type="dxa"/>
            <w:tcBorders>
              <w:top w:val="single" w:sz="4" w:space="0" w:color="000000"/>
              <w:left w:val="single" w:sz="4" w:space="0" w:color="000000"/>
              <w:bottom w:val="single" w:sz="4" w:space="0" w:color="000000"/>
              <w:right w:val="single" w:sz="8" w:space="0" w:color="000000"/>
            </w:tcBorders>
          </w:tcPr>
          <w:p w:rsidR="00E8309B" w:rsidRDefault="009D0949">
            <w:pPr>
              <w:spacing w:after="0" w:line="259" w:lineRule="auto"/>
              <w:ind w:left="1" w:right="0" w:firstLine="0"/>
              <w:jc w:val="left"/>
            </w:pPr>
            <w:r>
              <w:rPr>
                <w:i/>
                <w:sz w:val="20"/>
              </w:rPr>
              <w:t xml:space="preserve">Q4 </w:t>
            </w:r>
          </w:p>
        </w:tc>
        <w:tc>
          <w:tcPr>
            <w:tcW w:w="462" w:type="dxa"/>
            <w:tcBorders>
              <w:top w:val="single" w:sz="4" w:space="0" w:color="000000"/>
              <w:left w:val="single" w:sz="8" w:space="0" w:color="000000"/>
              <w:bottom w:val="single" w:sz="4" w:space="0" w:color="000000"/>
              <w:right w:val="single" w:sz="4" w:space="0" w:color="000000"/>
            </w:tcBorders>
          </w:tcPr>
          <w:p w:rsidR="00E8309B" w:rsidRDefault="009D0949">
            <w:pPr>
              <w:spacing w:after="0" w:line="259" w:lineRule="auto"/>
              <w:ind w:left="0" w:right="0" w:firstLine="0"/>
              <w:jc w:val="left"/>
            </w:pPr>
            <w:r>
              <w:rPr>
                <w:i/>
                <w:sz w:val="20"/>
              </w:rPr>
              <w:t xml:space="preserve">Q1 </w:t>
            </w:r>
          </w:p>
        </w:tc>
        <w:tc>
          <w:tcPr>
            <w:tcW w:w="462"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1" w:right="0" w:firstLine="0"/>
              <w:jc w:val="left"/>
            </w:pPr>
            <w:r>
              <w:rPr>
                <w:i/>
                <w:sz w:val="20"/>
              </w:rPr>
              <w:t xml:space="preserve">Q2 </w:t>
            </w:r>
          </w:p>
        </w:tc>
        <w:tc>
          <w:tcPr>
            <w:tcW w:w="463"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0" w:firstLine="0"/>
              <w:jc w:val="left"/>
            </w:pPr>
            <w:r>
              <w:rPr>
                <w:i/>
                <w:sz w:val="20"/>
              </w:rPr>
              <w:t xml:space="preserve">Q3 </w:t>
            </w:r>
          </w:p>
        </w:tc>
        <w:tc>
          <w:tcPr>
            <w:tcW w:w="466" w:type="dxa"/>
            <w:tcBorders>
              <w:top w:val="single" w:sz="4" w:space="0" w:color="000000"/>
              <w:left w:val="single" w:sz="4" w:space="0" w:color="000000"/>
              <w:bottom w:val="single" w:sz="4" w:space="0" w:color="000000"/>
              <w:right w:val="single" w:sz="8" w:space="0" w:color="000000"/>
            </w:tcBorders>
          </w:tcPr>
          <w:p w:rsidR="00E8309B" w:rsidRDefault="009D0949">
            <w:pPr>
              <w:spacing w:after="0" w:line="259" w:lineRule="auto"/>
              <w:ind w:left="4" w:right="0" w:firstLine="0"/>
              <w:jc w:val="left"/>
            </w:pPr>
            <w:r>
              <w:rPr>
                <w:i/>
                <w:sz w:val="20"/>
              </w:rPr>
              <w:t xml:space="preserve">Q4 </w:t>
            </w:r>
          </w:p>
        </w:tc>
        <w:tc>
          <w:tcPr>
            <w:tcW w:w="463" w:type="dxa"/>
            <w:tcBorders>
              <w:top w:val="single" w:sz="4" w:space="0" w:color="000000"/>
              <w:left w:val="single" w:sz="8" w:space="0" w:color="000000"/>
              <w:bottom w:val="single" w:sz="4" w:space="0" w:color="000000"/>
              <w:right w:val="single" w:sz="4" w:space="0" w:color="000000"/>
            </w:tcBorders>
          </w:tcPr>
          <w:p w:rsidR="00E8309B" w:rsidRDefault="009D0949">
            <w:pPr>
              <w:spacing w:after="0" w:line="259" w:lineRule="auto"/>
              <w:ind w:left="1" w:right="0" w:firstLine="0"/>
              <w:jc w:val="left"/>
            </w:pPr>
            <w:r>
              <w:rPr>
                <w:i/>
                <w:sz w:val="20"/>
              </w:rPr>
              <w:t xml:space="preserve">Q1 </w:t>
            </w:r>
          </w:p>
        </w:tc>
        <w:tc>
          <w:tcPr>
            <w:tcW w:w="461"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1" w:right="0" w:firstLine="0"/>
              <w:jc w:val="left"/>
            </w:pPr>
            <w:r>
              <w:rPr>
                <w:i/>
                <w:sz w:val="20"/>
              </w:rPr>
              <w:t xml:space="preserve">Q2 </w:t>
            </w:r>
          </w:p>
        </w:tc>
        <w:tc>
          <w:tcPr>
            <w:tcW w:w="463"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1" w:right="0" w:firstLine="0"/>
              <w:jc w:val="left"/>
            </w:pPr>
            <w:r>
              <w:rPr>
                <w:i/>
                <w:sz w:val="20"/>
              </w:rPr>
              <w:t xml:space="preserve">Q3 </w:t>
            </w:r>
          </w:p>
        </w:tc>
        <w:tc>
          <w:tcPr>
            <w:tcW w:w="540" w:type="dxa"/>
            <w:tcBorders>
              <w:top w:val="single" w:sz="4" w:space="0" w:color="000000"/>
              <w:left w:val="single" w:sz="4" w:space="0" w:color="000000"/>
              <w:bottom w:val="single" w:sz="4" w:space="0" w:color="000000"/>
              <w:right w:val="single" w:sz="8" w:space="0" w:color="000000"/>
            </w:tcBorders>
          </w:tcPr>
          <w:p w:rsidR="00E8309B" w:rsidRDefault="009D0949">
            <w:pPr>
              <w:spacing w:after="0" w:line="259" w:lineRule="auto"/>
              <w:ind w:left="42" w:right="0" w:firstLine="0"/>
              <w:jc w:val="left"/>
            </w:pPr>
            <w:r>
              <w:rPr>
                <w:i/>
                <w:sz w:val="20"/>
              </w:rPr>
              <w:t xml:space="preserve">Q4 </w:t>
            </w:r>
          </w:p>
        </w:tc>
      </w:tr>
      <w:tr w:rsidR="00E8309B">
        <w:trPr>
          <w:trHeight w:val="762"/>
        </w:trPr>
        <w:tc>
          <w:tcPr>
            <w:tcW w:w="526"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50" w:firstLine="0"/>
              <w:jc w:val="right"/>
            </w:pPr>
            <w:r>
              <w:rPr>
                <w:i/>
                <w:sz w:val="20"/>
              </w:rPr>
              <w:t xml:space="preserve">1. </w:t>
            </w:r>
          </w:p>
        </w:tc>
        <w:tc>
          <w:tcPr>
            <w:tcW w:w="3556"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1" w:right="0" w:firstLine="0"/>
              <w:jc w:val="left"/>
            </w:pPr>
            <w:r>
              <w:rPr>
                <w:i/>
                <w:sz w:val="20"/>
              </w:rPr>
              <w:t xml:space="preserve">Програм подршке привредним субјектима на унапређењу квалитета производа и услуга </w:t>
            </w:r>
          </w:p>
        </w:tc>
        <w:tc>
          <w:tcPr>
            <w:tcW w:w="462"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2" w:right="0" w:firstLine="0"/>
              <w:jc w:val="left"/>
            </w:pPr>
            <w:r>
              <w:rPr>
                <w:sz w:val="20"/>
              </w:rPr>
              <w:t xml:space="preserve">  </w:t>
            </w:r>
          </w:p>
        </w:tc>
        <w:tc>
          <w:tcPr>
            <w:tcW w:w="464"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1" w:right="0" w:firstLine="0"/>
              <w:jc w:val="left"/>
            </w:pPr>
            <w:r>
              <w:rPr>
                <w:sz w:val="20"/>
              </w:rPr>
              <w:t xml:space="preserve">  </w:t>
            </w:r>
          </w:p>
        </w:tc>
        <w:tc>
          <w:tcPr>
            <w:tcW w:w="461"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1" w:right="0" w:firstLine="0"/>
              <w:jc w:val="left"/>
            </w:pPr>
            <w:r>
              <w:rPr>
                <w:sz w:val="20"/>
              </w:rPr>
              <w:t xml:space="preserve">  </w:t>
            </w:r>
          </w:p>
        </w:tc>
        <w:tc>
          <w:tcPr>
            <w:tcW w:w="464"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1" w:right="0" w:firstLine="0"/>
              <w:jc w:val="left"/>
            </w:pPr>
            <w:r>
              <w:rPr>
                <w:sz w:val="20"/>
              </w:rPr>
              <w:t xml:space="preserve">  </w:t>
            </w:r>
          </w:p>
        </w:tc>
        <w:tc>
          <w:tcPr>
            <w:tcW w:w="462"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0" w:right="2" w:firstLine="0"/>
              <w:jc w:val="center"/>
            </w:pPr>
            <w:r>
              <w:rPr>
                <w:sz w:val="20"/>
              </w:rPr>
              <w:t xml:space="preserve">  </w:t>
            </w:r>
          </w:p>
        </w:tc>
        <w:tc>
          <w:tcPr>
            <w:tcW w:w="462"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0" w:right="0" w:firstLine="0"/>
              <w:jc w:val="center"/>
            </w:pPr>
            <w:r>
              <w:rPr>
                <w:sz w:val="20"/>
              </w:rPr>
              <w:t xml:space="preserve">  </w:t>
            </w:r>
          </w:p>
        </w:tc>
        <w:tc>
          <w:tcPr>
            <w:tcW w:w="463"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0" w:right="3" w:firstLine="0"/>
              <w:jc w:val="center"/>
            </w:pPr>
            <w:r>
              <w:rPr>
                <w:sz w:val="20"/>
              </w:rPr>
              <w:t xml:space="preserve">  </w:t>
            </w:r>
          </w:p>
        </w:tc>
        <w:tc>
          <w:tcPr>
            <w:tcW w:w="466"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0" w:right="4" w:firstLine="0"/>
              <w:jc w:val="center"/>
            </w:pPr>
            <w:r>
              <w:rPr>
                <w:sz w:val="20"/>
              </w:rPr>
              <w:t xml:space="preserve">  </w:t>
            </w:r>
          </w:p>
        </w:tc>
        <w:tc>
          <w:tcPr>
            <w:tcW w:w="463"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0" w:right="1" w:firstLine="0"/>
              <w:jc w:val="center"/>
            </w:pPr>
            <w:r>
              <w:rPr>
                <w:sz w:val="20"/>
              </w:rPr>
              <w:t xml:space="preserve">  </w:t>
            </w:r>
          </w:p>
        </w:tc>
        <w:tc>
          <w:tcPr>
            <w:tcW w:w="461"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1" w:right="0" w:firstLine="0"/>
              <w:jc w:val="center"/>
            </w:pPr>
            <w:r>
              <w:rPr>
                <w:sz w:val="20"/>
              </w:rPr>
              <w:t xml:space="preserve">  </w:t>
            </w:r>
          </w:p>
        </w:tc>
        <w:tc>
          <w:tcPr>
            <w:tcW w:w="463"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0" w:right="1" w:firstLine="0"/>
              <w:jc w:val="center"/>
            </w:pPr>
            <w:r>
              <w:rPr>
                <w:sz w:val="20"/>
              </w:rPr>
              <w:t xml:space="preserve">  </w:t>
            </w:r>
          </w:p>
        </w:tc>
        <w:tc>
          <w:tcPr>
            <w:tcW w:w="540"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0" w:right="2" w:firstLine="0"/>
              <w:jc w:val="center"/>
            </w:pPr>
            <w:r>
              <w:rPr>
                <w:sz w:val="20"/>
              </w:rPr>
              <w:t xml:space="preserve">  </w:t>
            </w:r>
          </w:p>
        </w:tc>
      </w:tr>
      <w:tr w:rsidR="00E8309B">
        <w:trPr>
          <w:trHeight w:val="469"/>
        </w:trPr>
        <w:tc>
          <w:tcPr>
            <w:tcW w:w="526"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49" w:firstLine="0"/>
              <w:jc w:val="right"/>
            </w:pPr>
            <w:r>
              <w:rPr>
                <w:sz w:val="20"/>
              </w:rPr>
              <w:t xml:space="preserve">1.1 </w:t>
            </w:r>
          </w:p>
        </w:tc>
        <w:tc>
          <w:tcPr>
            <w:tcW w:w="3556"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1" w:right="0" w:firstLine="0"/>
              <w:jc w:val="left"/>
            </w:pPr>
            <w:r>
              <w:rPr>
                <w:sz w:val="20"/>
              </w:rPr>
              <w:t xml:space="preserve">Развој програма подршке привредним субјектима </w:t>
            </w:r>
          </w:p>
        </w:tc>
        <w:tc>
          <w:tcPr>
            <w:tcW w:w="462"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E8309B" w:rsidRDefault="009D0949">
            <w:pPr>
              <w:spacing w:after="0" w:line="259" w:lineRule="auto"/>
              <w:ind w:left="2" w:right="0" w:firstLine="0"/>
              <w:jc w:val="left"/>
            </w:pPr>
            <w:r>
              <w:rPr>
                <w:sz w:val="20"/>
              </w:rPr>
              <w:t xml:space="preserve">  </w:t>
            </w:r>
          </w:p>
        </w:tc>
        <w:tc>
          <w:tcPr>
            <w:tcW w:w="464"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E8309B" w:rsidRDefault="009D0949">
            <w:pPr>
              <w:spacing w:after="0" w:line="259" w:lineRule="auto"/>
              <w:ind w:left="1" w:right="0" w:firstLine="0"/>
              <w:jc w:val="left"/>
            </w:pPr>
            <w:r>
              <w:rPr>
                <w:sz w:val="20"/>
              </w:rPr>
              <w:t xml:space="preserve">  </w:t>
            </w:r>
          </w:p>
        </w:tc>
        <w:tc>
          <w:tcPr>
            <w:tcW w:w="461"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E8309B" w:rsidRDefault="009D0949">
            <w:pPr>
              <w:spacing w:after="0" w:line="259" w:lineRule="auto"/>
              <w:ind w:left="1" w:right="0" w:firstLine="0"/>
              <w:jc w:val="left"/>
            </w:pPr>
            <w:r>
              <w:rPr>
                <w:sz w:val="20"/>
              </w:rPr>
              <w:t xml:space="preserve">  </w:t>
            </w:r>
          </w:p>
        </w:tc>
        <w:tc>
          <w:tcPr>
            <w:tcW w:w="464"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E8309B" w:rsidRDefault="009D0949">
            <w:pPr>
              <w:spacing w:after="0" w:line="259" w:lineRule="auto"/>
              <w:ind w:left="1" w:right="0" w:firstLine="0"/>
              <w:jc w:val="left"/>
            </w:pPr>
            <w:r>
              <w:rPr>
                <w:sz w:val="20"/>
              </w:rPr>
              <w:t xml:space="preserve">  </w:t>
            </w:r>
          </w:p>
        </w:tc>
        <w:tc>
          <w:tcPr>
            <w:tcW w:w="462"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0" w:right="2" w:firstLine="0"/>
              <w:jc w:val="center"/>
            </w:pPr>
            <w:r>
              <w:rPr>
                <w:sz w:val="20"/>
              </w:rPr>
              <w:t xml:space="preserve">  </w:t>
            </w:r>
          </w:p>
        </w:tc>
        <w:tc>
          <w:tcPr>
            <w:tcW w:w="462"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0" w:right="0" w:firstLine="0"/>
              <w:jc w:val="center"/>
            </w:pPr>
            <w:r>
              <w:rPr>
                <w:sz w:val="20"/>
              </w:rPr>
              <w:t xml:space="preserve">  </w:t>
            </w:r>
          </w:p>
        </w:tc>
        <w:tc>
          <w:tcPr>
            <w:tcW w:w="463"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0" w:right="3" w:firstLine="0"/>
              <w:jc w:val="center"/>
            </w:pPr>
            <w:r>
              <w:rPr>
                <w:sz w:val="20"/>
              </w:rPr>
              <w:t xml:space="preserve">  </w:t>
            </w:r>
          </w:p>
        </w:tc>
        <w:tc>
          <w:tcPr>
            <w:tcW w:w="466"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0" w:right="4" w:firstLine="0"/>
              <w:jc w:val="center"/>
            </w:pPr>
            <w:r>
              <w:rPr>
                <w:sz w:val="20"/>
              </w:rPr>
              <w:t xml:space="preserve">  </w:t>
            </w:r>
          </w:p>
        </w:tc>
        <w:tc>
          <w:tcPr>
            <w:tcW w:w="463"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0" w:right="1" w:firstLine="0"/>
              <w:jc w:val="center"/>
            </w:pPr>
            <w:r>
              <w:rPr>
                <w:sz w:val="20"/>
              </w:rPr>
              <w:t xml:space="preserve">  </w:t>
            </w:r>
          </w:p>
        </w:tc>
        <w:tc>
          <w:tcPr>
            <w:tcW w:w="461"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1" w:right="0" w:firstLine="0"/>
              <w:jc w:val="center"/>
            </w:pPr>
            <w:r>
              <w:rPr>
                <w:sz w:val="20"/>
              </w:rPr>
              <w:t xml:space="preserve">  </w:t>
            </w:r>
          </w:p>
        </w:tc>
        <w:tc>
          <w:tcPr>
            <w:tcW w:w="463"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0" w:right="1" w:firstLine="0"/>
              <w:jc w:val="center"/>
            </w:pPr>
            <w:r>
              <w:rPr>
                <w:sz w:val="20"/>
              </w:rPr>
              <w:t xml:space="preserve">  </w:t>
            </w:r>
          </w:p>
        </w:tc>
        <w:tc>
          <w:tcPr>
            <w:tcW w:w="540"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0" w:right="2" w:firstLine="0"/>
              <w:jc w:val="center"/>
            </w:pPr>
            <w:r>
              <w:rPr>
                <w:sz w:val="20"/>
              </w:rPr>
              <w:t xml:space="preserve">  </w:t>
            </w:r>
          </w:p>
        </w:tc>
      </w:tr>
      <w:tr w:rsidR="00E8309B">
        <w:trPr>
          <w:trHeight w:val="469"/>
        </w:trPr>
        <w:tc>
          <w:tcPr>
            <w:tcW w:w="526"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49" w:firstLine="0"/>
              <w:jc w:val="right"/>
            </w:pPr>
            <w:r>
              <w:rPr>
                <w:sz w:val="20"/>
              </w:rPr>
              <w:t xml:space="preserve">1.2 </w:t>
            </w:r>
          </w:p>
        </w:tc>
        <w:tc>
          <w:tcPr>
            <w:tcW w:w="3556"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1" w:right="0" w:firstLine="0"/>
              <w:jc w:val="left"/>
            </w:pPr>
            <w:r>
              <w:rPr>
                <w:sz w:val="20"/>
              </w:rPr>
              <w:t xml:space="preserve">Имплементација програма подршке привредним субјектима </w:t>
            </w:r>
          </w:p>
        </w:tc>
        <w:tc>
          <w:tcPr>
            <w:tcW w:w="462"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2" w:right="0" w:firstLine="0"/>
              <w:jc w:val="left"/>
            </w:pPr>
            <w:r>
              <w:rPr>
                <w:sz w:val="20"/>
              </w:rPr>
              <w:t xml:space="preserve"> </w:t>
            </w:r>
          </w:p>
        </w:tc>
        <w:tc>
          <w:tcPr>
            <w:tcW w:w="464"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1" w:right="0" w:firstLine="0"/>
              <w:jc w:val="left"/>
            </w:pPr>
            <w:r>
              <w:rPr>
                <w:sz w:val="20"/>
              </w:rPr>
              <w:t xml:space="preserve"> </w:t>
            </w:r>
          </w:p>
        </w:tc>
        <w:tc>
          <w:tcPr>
            <w:tcW w:w="461"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1" w:right="0" w:firstLine="0"/>
              <w:jc w:val="left"/>
            </w:pPr>
            <w:r>
              <w:rPr>
                <w:sz w:val="20"/>
              </w:rPr>
              <w:t xml:space="preserve"> </w:t>
            </w:r>
          </w:p>
        </w:tc>
        <w:tc>
          <w:tcPr>
            <w:tcW w:w="464"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1" w:right="0" w:firstLine="0"/>
              <w:jc w:val="left"/>
            </w:pPr>
            <w:r>
              <w:rPr>
                <w:sz w:val="20"/>
              </w:rPr>
              <w:t xml:space="preserve"> </w:t>
            </w:r>
          </w:p>
        </w:tc>
        <w:tc>
          <w:tcPr>
            <w:tcW w:w="462"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E8309B" w:rsidRDefault="009D0949">
            <w:pPr>
              <w:spacing w:after="0" w:line="259" w:lineRule="auto"/>
              <w:ind w:left="0" w:right="5" w:firstLine="0"/>
              <w:jc w:val="center"/>
            </w:pPr>
            <w:r>
              <w:rPr>
                <w:sz w:val="20"/>
              </w:rPr>
              <w:t xml:space="preserve"> </w:t>
            </w:r>
          </w:p>
        </w:tc>
        <w:tc>
          <w:tcPr>
            <w:tcW w:w="462"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E8309B" w:rsidRDefault="009D0949">
            <w:pPr>
              <w:spacing w:after="0" w:line="259" w:lineRule="auto"/>
              <w:ind w:left="0" w:right="2" w:firstLine="0"/>
              <w:jc w:val="center"/>
            </w:pPr>
            <w:r>
              <w:rPr>
                <w:sz w:val="20"/>
              </w:rPr>
              <w:t xml:space="preserve"> </w:t>
            </w:r>
          </w:p>
        </w:tc>
        <w:tc>
          <w:tcPr>
            <w:tcW w:w="463"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E8309B" w:rsidRDefault="009D0949">
            <w:pPr>
              <w:spacing w:after="0" w:line="259" w:lineRule="auto"/>
              <w:ind w:left="0" w:right="5" w:firstLine="0"/>
              <w:jc w:val="center"/>
            </w:pPr>
            <w:r>
              <w:rPr>
                <w:sz w:val="20"/>
              </w:rPr>
              <w:t xml:space="preserve"> </w:t>
            </w:r>
          </w:p>
        </w:tc>
        <w:tc>
          <w:tcPr>
            <w:tcW w:w="466"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E8309B" w:rsidRDefault="009D0949">
            <w:pPr>
              <w:spacing w:after="0" w:line="259" w:lineRule="auto"/>
              <w:ind w:left="0" w:right="1" w:firstLine="0"/>
              <w:jc w:val="center"/>
            </w:pPr>
            <w:r>
              <w:rPr>
                <w:sz w:val="20"/>
              </w:rPr>
              <w:t xml:space="preserve"> </w:t>
            </w:r>
          </w:p>
        </w:tc>
        <w:tc>
          <w:tcPr>
            <w:tcW w:w="463"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E8309B" w:rsidRDefault="009D0949">
            <w:pPr>
              <w:spacing w:after="0" w:line="259" w:lineRule="auto"/>
              <w:ind w:left="0" w:right="4" w:firstLine="0"/>
              <w:jc w:val="center"/>
            </w:pPr>
            <w:r>
              <w:rPr>
                <w:sz w:val="20"/>
              </w:rPr>
              <w:t xml:space="preserve"> </w:t>
            </w:r>
          </w:p>
        </w:tc>
        <w:tc>
          <w:tcPr>
            <w:tcW w:w="461"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E8309B" w:rsidRDefault="009D0949">
            <w:pPr>
              <w:spacing w:after="0" w:line="259" w:lineRule="auto"/>
              <w:ind w:left="0" w:right="1" w:firstLine="0"/>
              <w:jc w:val="center"/>
            </w:pPr>
            <w:r>
              <w:rPr>
                <w:sz w:val="20"/>
              </w:rPr>
              <w:t xml:space="preserve"> </w:t>
            </w:r>
          </w:p>
        </w:tc>
        <w:tc>
          <w:tcPr>
            <w:tcW w:w="463"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E8309B" w:rsidRDefault="009D0949">
            <w:pPr>
              <w:spacing w:after="0" w:line="259" w:lineRule="auto"/>
              <w:ind w:left="0" w:right="4" w:firstLine="0"/>
              <w:jc w:val="center"/>
            </w:pPr>
            <w:r>
              <w:rPr>
                <w:sz w:val="20"/>
              </w:rPr>
              <w:t xml:space="preserve"> </w:t>
            </w:r>
          </w:p>
        </w:tc>
        <w:tc>
          <w:tcPr>
            <w:tcW w:w="540"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E8309B" w:rsidRDefault="009D0949">
            <w:pPr>
              <w:spacing w:after="0" w:line="259" w:lineRule="auto"/>
              <w:ind w:left="1" w:right="0" w:firstLine="0"/>
              <w:jc w:val="center"/>
            </w:pPr>
            <w:r>
              <w:rPr>
                <w:sz w:val="20"/>
              </w:rPr>
              <w:t xml:space="preserve"> </w:t>
            </w:r>
          </w:p>
        </w:tc>
      </w:tr>
      <w:tr w:rsidR="00E8309B">
        <w:trPr>
          <w:trHeight w:val="702"/>
        </w:trPr>
        <w:tc>
          <w:tcPr>
            <w:tcW w:w="526"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50" w:firstLine="0"/>
              <w:jc w:val="right"/>
            </w:pPr>
            <w:r>
              <w:rPr>
                <w:sz w:val="20"/>
              </w:rPr>
              <w:t xml:space="preserve">2. </w:t>
            </w:r>
          </w:p>
        </w:tc>
        <w:tc>
          <w:tcPr>
            <w:tcW w:w="3556"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1" w:right="0" w:firstLine="0"/>
              <w:jc w:val="left"/>
            </w:pPr>
            <w:r>
              <w:rPr>
                <w:i/>
                <w:sz w:val="20"/>
              </w:rPr>
              <w:t xml:space="preserve">„Производ инфо“ – Успостављање јединственог дигиталног сервиса у вези са техничким прописима </w:t>
            </w:r>
          </w:p>
        </w:tc>
        <w:tc>
          <w:tcPr>
            <w:tcW w:w="462"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2" w:right="0" w:firstLine="0"/>
              <w:jc w:val="left"/>
            </w:pPr>
            <w:r>
              <w:rPr>
                <w:sz w:val="20"/>
              </w:rPr>
              <w:t xml:space="preserve"> </w:t>
            </w:r>
          </w:p>
        </w:tc>
        <w:tc>
          <w:tcPr>
            <w:tcW w:w="464"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1" w:right="0" w:firstLine="0"/>
              <w:jc w:val="left"/>
            </w:pPr>
            <w:r>
              <w:rPr>
                <w:sz w:val="20"/>
              </w:rPr>
              <w:t xml:space="preserve"> </w:t>
            </w:r>
          </w:p>
        </w:tc>
        <w:tc>
          <w:tcPr>
            <w:tcW w:w="461"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1" w:right="0" w:firstLine="0"/>
              <w:jc w:val="left"/>
            </w:pPr>
            <w:r>
              <w:rPr>
                <w:sz w:val="20"/>
              </w:rPr>
              <w:t xml:space="preserve"> </w:t>
            </w:r>
          </w:p>
        </w:tc>
        <w:tc>
          <w:tcPr>
            <w:tcW w:w="464"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1" w:right="0" w:firstLine="0"/>
              <w:jc w:val="left"/>
            </w:pPr>
            <w:r>
              <w:rPr>
                <w:sz w:val="20"/>
              </w:rPr>
              <w:t xml:space="preserve"> </w:t>
            </w:r>
          </w:p>
        </w:tc>
        <w:tc>
          <w:tcPr>
            <w:tcW w:w="462"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0" w:right="5" w:firstLine="0"/>
              <w:jc w:val="center"/>
            </w:pPr>
            <w:r>
              <w:rPr>
                <w:sz w:val="20"/>
              </w:rPr>
              <w:t xml:space="preserve"> </w:t>
            </w:r>
          </w:p>
        </w:tc>
        <w:tc>
          <w:tcPr>
            <w:tcW w:w="462"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0" w:right="2" w:firstLine="0"/>
              <w:jc w:val="center"/>
            </w:pPr>
            <w:r>
              <w:rPr>
                <w:sz w:val="20"/>
              </w:rPr>
              <w:t xml:space="preserve"> </w:t>
            </w:r>
          </w:p>
        </w:tc>
        <w:tc>
          <w:tcPr>
            <w:tcW w:w="463"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0" w:right="5" w:firstLine="0"/>
              <w:jc w:val="center"/>
            </w:pPr>
            <w:r>
              <w:rPr>
                <w:sz w:val="20"/>
              </w:rPr>
              <w:t xml:space="preserve"> </w:t>
            </w:r>
          </w:p>
        </w:tc>
        <w:tc>
          <w:tcPr>
            <w:tcW w:w="466"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0" w:right="1" w:firstLine="0"/>
              <w:jc w:val="center"/>
            </w:pPr>
            <w:r>
              <w:rPr>
                <w:sz w:val="20"/>
              </w:rPr>
              <w:t xml:space="preserve"> </w:t>
            </w:r>
          </w:p>
        </w:tc>
        <w:tc>
          <w:tcPr>
            <w:tcW w:w="463"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0" w:right="4" w:firstLine="0"/>
              <w:jc w:val="center"/>
            </w:pPr>
            <w:r>
              <w:rPr>
                <w:sz w:val="20"/>
              </w:rPr>
              <w:t xml:space="preserve"> </w:t>
            </w:r>
          </w:p>
        </w:tc>
        <w:tc>
          <w:tcPr>
            <w:tcW w:w="461"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0" w:right="1" w:firstLine="0"/>
              <w:jc w:val="center"/>
            </w:pPr>
            <w:r>
              <w:rPr>
                <w:sz w:val="20"/>
              </w:rPr>
              <w:t xml:space="preserve"> </w:t>
            </w:r>
          </w:p>
        </w:tc>
        <w:tc>
          <w:tcPr>
            <w:tcW w:w="463"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0" w:right="4" w:firstLine="0"/>
              <w:jc w:val="center"/>
            </w:pPr>
            <w:r>
              <w:rPr>
                <w:sz w:val="20"/>
              </w:rPr>
              <w:t xml:space="preserve"> </w:t>
            </w:r>
          </w:p>
        </w:tc>
        <w:tc>
          <w:tcPr>
            <w:tcW w:w="540"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1" w:right="0" w:firstLine="0"/>
              <w:jc w:val="center"/>
            </w:pPr>
            <w:r>
              <w:rPr>
                <w:sz w:val="20"/>
              </w:rPr>
              <w:t xml:space="preserve"> </w:t>
            </w:r>
          </w:p>
        </w:tc>
      </w:tr>
      <w:tr w:rsidR="00E8309B">
        <w:trPr>
          <w:trHeight w:val="1160"/>
        </w:trPr>
        <w:tc>
          <w:tcPr>
            <w:tcW w:w="526"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49" w:firstLine="0"/>
              <w:jc w:val="right"/>
            </w:pPr>
            <w:r>
              <w:rPr>
                <w:sz w:val="20"/>
              </w:rPr>
              <w:t xml:space="preserve">2.1 </w:t>
            </w:r>
          </w:p>
        </w:tc>
        <w:tc>
          <w:tcPr>
            <w:tcW w:w="3556"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40" w:lineRule="auto"/>
              <w:ind w:left="1" w:right="285" w:firstLine="0"/>
            </w:pPr>
            <w:r>
              <w:rPr>
                <w:sz w:val="20"/>
              </w:rPr>
              <w:t xml:space="preserve">Анализа стања постојећих ИТ капацитета и софтверских решења и потреба за њиховим унапређењем у </w:t>
            </w:r>
          </w:p>
          <w:p w:rsidR="00E8309B" w:rsidRDefault="009D0949">
            <w:pPr>
              <w:spacing w:after="18" w:line="259" w:lineRule="auto"/>
              <w:ind w:left="1" w:right="0" w:firstLine="0"/>
              <w:jc w:val="left"/>
            </w:pPr>
            <w:r>
              <w:rPr>
                <w:sz w:val="20"/>
              </w:rPr>
              <w:t xml:space="preserve">институцијама ИК (МП, ИСС, АТС и </w:t>
            </w:r>
          </w:p>
          <w:p w:rsidR="00E8309B" w:rsidRDefault="009D0949">
            <w:pPr>
              <w:spacing w:after="0" w:line="259" w:lineRule="auto"/>
              <w:ind w:left="1" w:right="0" w:firstLine="0"/>
              <w:jc w:val="left"/>
            </w:pPr>
            <w:r>
              <w:rPr>
                <w:sz w:val="20"/>
              </w:rPr>
              <w:t xml:space="preserve">ДМДМ) </w:t>
            </w:r>
          </w:p>
        </w:tc>
        <w:tc>
          <w:tcPr>
            <w:tcW w:w="462"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E8309B" w:rsidRDefault="009D0949">
            <w:pPr>
              <w:spacing w:after="0" w:line="259" w:lineRule="auto"/>
              <w:ind w:left="2" w:right="0" w:firstLine="0"/>
              <w:jc w:val="left"/>
            </w:pPr>
            <w:r>
              <w:rPr>
                <w:sz w:val="20"/>
              </w:rPr>
              <w:t xml:space="preserve"> </w:t>
            </w:r>
          </w:p>
        </w:tc>
        <w:tc>
          <w:tcPr>
            <w:tcW w:w="464"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E8309B" w:rsidRDefault="009D0949">
            <w:pPr>
              <w:spacing w:after="0" w:line="259" w:lineRule="auto"/>
              <w:ind w:left="1" w:right="0" w:firstLine="0"/>
              <w:jc w:val="left"/>
            </w:pPr>
            <w:r>
              <w:rPr>
                <w:sz w:val="20"/>
              </w:rPr>
              <w:t xml:space="preserve"> </w:t>
            </w:r>
          </w:p>
        </w:tc>
        <w:tc>
          <w:tcPr>
            <w:tcW w:w="461"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E8309B" w:rsidRDefault="009D0949">
            <w:pPr>
              <w:spacing w:after="0" w:line="259" w:lineRule="auto"/>
              <w:ind w:left="1" w:right="0" w:firstLine="0"/>
              <w:jc w:val="left"/>
            </w:pPr>
            <w:r>
              <w:rPr>
                <w:sz w:val="20"/>
              </w:rPr>
              <w:t xml:space="preserve"> </w:t>
            </w:r>
          </w:p>
        </w:tc>
        <w:tc>
          <w:tcPr>
            <w:tcW w:w="464"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E8309B" w:rsidRDefault="009D0949">
            <w:pPr>
              <w:spacing w:after="0" w:line="259" w:lineRule="auto"/>
              <w:ind w:left="1" w:right="0" w:firstLine="0"/>
              <w:jc w:val="left"/>
            </w:pPr>
            <w:r>
              <w:rPr>
                <w:sz w:val="20"/>
              </w:rPr>
              <w:t xml:space="preserve"> </w:t>
            </w:r>
          </w:p>
        </w:tc>
        <w:tc>
          <w:tcPr>
            <w:tcW w:w="462"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0" w:right="5" w:firstLine="0"/>
              <w:jc w:val="center"/>
            </w:pPr>
            <w:r>
              <w:rPr>
                <w:sz w:val="20"/>
              </w:rPr>
              <w:t xml:space="preserve"> </w:t>
            </w:r>
          </w:p>
        </w:tc>
        <w:tc>
          <w:tcPr>
            <w:tcW w:w="462"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0" w:right="2" w:firstLine="0"/>
              <w:jc w:val="center"/>
            </w:pPr>
            <w:r>
              <w:rPr>
                <w:sz w:val="20"/>
              </w:rPr>
              <w:t xml:space="preserve"> </w:t>
            </w:r>
          </w:p>
        </w:tc>
        <w:tc>
          <w:tcPr>
            <w:tcW w:w="463"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0" w:right="5" w:firstLine="0"/>
              <w:jc w:val="center"/>
            </w:pPr>
            <w:r>
              <w:rPr>
                <w:sz w:val="20"/>
              </w:rPr>
              <w:t xml:space="preserve"> </w:t>
            </w:r>
          </w:p>
        </w:tc>
        <w:tc>
          <w:tcPr>
            <w:tcW w:w="466"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0" w:right="1" w:firstLine="0"/>
              <w:jc w:val="center"/>
            </w:pPr>
            <w:r>
              <w:rPr>
                <w:sz w:val="20"/>
              </w:rPr>
              <w:t xml:space="preserve"> </w:t>
            </w:r>
          </w:p>
        </w:tc>
        <w:tc>
          <w:tcPr>
            <w:tcW w:w="463"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0" w:right="4" w:firstLine="0"/>
              <w:jc w:val="center"/>
            </w:pPr>
            <w:r>
              <w:rPr>
                <w:sz w:val="20"/>
              </w:rPr>
              <w:t xml:space="preserve"> </w:t>
            </w:r>
          </w:p>
        </w:tc>
        <w:tc>
          <w:tcPr>
            <w:tcW w:w="461"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0" w:right="1" w:firstLine="0"/>
              <w:jc w:val="center"/>
            </w:pPr>
            <w:r>
              <w:rPr>
                <w:sz w:val="20"/>
              </w:rPr>
              <w:t xml:space="preserve"> </w:t>
            </w:r>
          </w:p>
        </w:tc>
        <w:tc>
          <w:tcPr>
            <w:tcW w:w="463"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0" w:right="4" w:firstLine="0"/>
              <w:jc w:val="center"/>
            </w:pPr>
            <w:r>
              <w:rPr>
                <w:sz w:val="20"/>
              </w:rPr>
              <w:t xml:space="preserve"> </w:t>
            </w:r>
          </w:p>
        </w:tc>
        <w:tc>
          <w:tcPr>
            <w:tcW w:w="540"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1" w:right="0" w:firstLine="0"/>
              <w:jc w:val="center"/>
            </w:pPr>
            <w:r>
              <w:rPr>
                <w:sz w:val="20"/>
              </w:rPr>
              <w:t xml:space="preserve"> </w:t>
            </w:r>
          </w:p>
        </w:tc>
      </w:tr>
      <w:tr w:rsidR="00E8309B">
        <w:trPr>
          <w:trHeight w:val="1620"/>
        </w:trPr>
        <w:tc>
          <w:tcPr>
            <w:tcW w:w="526"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49" w:firstLine="0"/>
              <w:jc w:val="right"/>
            </w:pPr>
            <w:r>
              <w:rPr>
                <w:sz w:val="20"/>
              </w:rPr>
              <w:t xml:space="preserve">2.2 </w:t>
            </w:r>
          </w:p>
        </w:tc>
        <w:tc>
          <w:tcPr>
            <w:tcW w:w="3556"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1" w:right="0" w:firstLine="0"/>
              <w:jc w:val="left"/>
            </w:pPr>
            <w:r>
              <w:rPr>
                <w:sz w:val="20"/>
              </w:rPr>
              <w:t xml:space="preserve">Унапређење база података и дигиталног сервиса у Министарству привреде (Сектор за квалитет и безбедност производа) у вези са техничким захтевима за производе и портала </w:t>
            </w:r>
            <w:r>
              <w:rPr>
                <w:i/>
                <w:sz w:val="20"/>
              </w:rPr>
              <w:t>„TBT- Enquire point“</w:t>
            </w:r>
            <w:r>
              <w:rPr>
                <w:sz w:val="20"/>
              </w:rPr>
              <w:t xml:space="preserve"> (Контактна тачка за производе) </w:t>
            </w:r>
          </w:p>
        </w:tc>
        <w:tc>
          <w:tcPr>
            <w:tcW w:w="462"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2" w:right="0" w:firstLine="0"/>
              <w:jc w:val="left"/>
            </w:pPr>
            <w:r>
              <w:rPr>
                <w:sz w:val="20"/>
              </w:rPr>
              <w:t xml:space="preserve"> </w:t>
            </w:r>
          </w:p>
        </w:tc>
        <w:tc>
          <w:tcPr>
            <w:tcW w:w="464"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1" w:right="0" w:firstLine="0"/>
              <w:jc w:val="left"/>
            </w:pPr>
            <w:r>
              <w:rPr>
                <w:sz w:val="20"/>
              </w:rPr>
              <w:t xml:space="preserve"> </w:t>
            </w:r>
          </w:p>
        </w:tc>
        <w:tc>
          <w:tcPr>
            <w:tcW w:w="461"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E8309B" w:rsidRDefault="009D0949">
            <w:pPr>
              <w:spacing w:after="0" w:line="259" w:lineRule="auto"/>
              <w:ind w:left="1" w:right="0" w:firstLine="0"/>
              <w:jc w:val="left"/>
            </w:pPr>
            <w:r>
              <w:rPr>
                <w:sz w:val="20"/>
              </w:rPr>
              <w:t xml:space="preserve"> </w:t>
            </w:r>
          </w:p>
        </w:tc>
        <w:tc>
          <w:tcPr>
            <w:tcW w:w="464"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E8309B" w:rsidRDefault="009D0949">
            <w:pPr>
              <w:spacing w:after="0" w:line="259" w:lineRule="auto"/>
              <w:ind w:left="1" w:right="0" w:firstLine="0"/>
              <w:jc w:val="left"/>
            </w:pPr>
            <w:r>
              <w:rPr>
                <w:sz w:val="20"/>
              </w:rPr>
              <w:t xml:space="preserve"> </w:t>
            </w:r>
          </w:p>
        </w:tc>
        <w:tc>
          <w:tcPr>
            <w:tcW w:w="462"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E8309B" w:rsidRDefault="009D0949">
            <w:pPr>
              <w:spacing w:after="0" w:line="259" w:lineRule="auto"/>
              <w:ind w:left="0" w:right="5" w:firstLine="0"/>
              <w:jc w:val="center"/>
            </w:pPr>
            <w:r>
              <w:rPr>
                <w:sz w:val="20"/>
              </w:rPr>
              <w:t xml:space="preserve"> </w:t>
            </w:r>
          </w:p>
        </w:tc>
        <w:tc>
          <w:tcPr>
            <w:tcW w:w="462"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E8309B" w:rsidRDefault="009D0949">
            <w:pPr>
              <w:spacing w:after="0" w:line="259" w:lineRule="auto"/>
              <w:ind w:left="0" w:right="2" w:firstLine="0"/>
              <w:jc w:val="center"/>
            </w:pPr>
            <w:r>
              <w:rPr>
                <w:sz w:val="20"/>
              </w:rPr>
              <w:t xml:space="preserve"> </w:t>
            </w:r>
          </w:p>
        </w:tc>
        <w:tc>
          <w:tcPr>
            <w:tcW w:w="463"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E8309B" w:rsidRDefault="009D0949">
            <w:pPr>
              <w:spacing w:after="0" w:line="259" w:lineRule="auto"/>
              <w:ind w:left="0" w:right="5" w:firstLine="0"/>
              <w:jc w:val="center"/>
            </w:pPr>
            <w:r>
              <w:rPr>
                <w:sz w:val="20"/>
              </w:rPr>
              <w:t xml:space="preserve"> </w:t>
            </w:r>
          </w:p>
        </w:tc>
        <w:tc>
          <w:tcPr>
            <w:tcW w:w="466"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E8309B" w:rsidRDefault="009D0949">
            <w:pPr>
              <w:spacing w:after="0" w:line="259" w:lineRule="auto"/>
              <w:ind w:left="0" w:right="1" w:firstLine="0"/>
              <w:jc w:val="center"/>
            </w:pPr>
            <w:r>
              <w:rPr>
                <w:sz w:val="20"/>
              </w:rPr>
              <w:t xml:space="preserve"> </w:t>
            </w:r>
          </w:p>
        </w:tc>
        <w:tc>
          <w:tcPr>
            <w:tcW w:w="463"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0" w:right="4" w:firstLine="0"/>
              <w:jc w:val="center"/>
            </w:pPr>
            <w:r>
              <w:rPr>
                <w:sz w:val="20"/>
              </w:rPr>
              <w:t xml:space="preserve"> </w:t>
            </w:r>
          </w:p>
        </w:tc>
        <w:tc>
          <w:tcPr>
            <w:tcW w:w="461"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0" w:right="1" w:firstLine="0"/>
              <w:jc w:val="center"/>
            </w:pPr>
            <w:r>
              <w:rPr>
                <w:sz w:val="20"/>
              </w:rPr>
              <w:t xml:space="preserve"> </w:t>
            </w:r>
          </w:p>
        </w:tc>
        <w:tc>
          <w:tcPr>
            <w:tcW w:w="463"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0" w:right="4" w:firstLine="0"/>
              <w:jc w:val="center"/>
            </w:pPr>
            <w:r>
              <w:rPr>
                <w:sz w:val="20"/>
              </w:rPr>
              <w:t xml:space="preserve"> </w:t>
            </w:r>
          </w:p>
        </w:tc>
        <w:tc>
          <w:tcPr>
            <w:tcW w:w="540"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1" w:right="0" w:firstLine="0"/>
              <w:jc w:val="center"/>
            </w:pPr>
            <w:r>
              <w:rPr>
                <w:sz w:val="20"/>
              </w:rPr>
              <w:t xml:space="preserve"> </w:t>
            </w:r>
          </w:p>
        </w:tc>
      </w:tr>
      <w:tr w:rsidR="00E8309B">
        <w:trPr>
          <w:trHeight w:val="698"/>
        </w:trPr>
        <w:tc>
          <w:tcPr>
            <w:tcW w:w="526"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49" w:firstLine="0"/>
              <w:jc w:val="right"/>
            </w:pPr>
            <w:r>
              <w:rPr>
                <w:sz w:val="20"/>
              </w:rPr>
              <w:t xml:space="preserve">2.3 </w:t>
            </w:r>
          </w:p>
        </w:tc>
        <w:tc>
          <w:tcPr>
            <w:tcW w:w="3556"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1" w:right="0" w:firstLine="0"/>
              <w:jc w:val="left"/>
            </w:pPr>
            <w:r>
              <w:rPr>
                <w:sz w:val="20"/>
              </w:rPr>
              <w:t xml:space="preserve">Унапређење база података и </w:t>
            </w:r>
          </w:p>
          <w:p w:rsidR="00E8309B" w:rsidRDefault="009D0949">
            <w:pPr>
              <w:spacing w:after="0" w:line="259" w:lineRule="auto"/>
              <w:ind w:left="1" w:right="0" w:firstLine="0"/>
              <w:jc w:val="left"/>
            </w:pPr>
            <w:r>
              <w:rPr>
                <w:sz w:val="20"/>
              </w:rPr>
              <w:t xml:space="preserve">дигиталног сервиса у институцијама ИК (ИСС, АТС и ДМДМ)- </w:t>
            </w:r>
          </w:p>
        </w:tc>
        <w:tc>
          <w:tcPr>
            <w:tcW w:w="462"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2" w:right="0" w:firstLine="0"/>
              <w:jc w:val="left"/>
            </w:pPr>
            <w:r>
              <w:rPr>
                <w:sz w:val="20"/>
              </w:rPr>
              <w:t xml:space="preserve"> </w:t>
            </w:r>
          </w:p>
        </w:tc>
        <w:tc>
          <w:tcPr>
            <w:tcW w:w="464"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1" w:right="0" w:firstLine="0"/>
              <w:jc w:val="left"/>
            </w:pPr>
            <w:r>
              <w:rPr>
                <w:sz w:val="20"/>
              </w:rPr>
              <w:t xml:space="preserve"> </w:t>
            </w:r>
          </w:p>
        </w:tc>
        <w:tc>
          <w:tcPr>
            <w:tcW w:w="461"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1" w:right="0" w:firstLine="0"/>
              <w:jc w:val="left"/>
            </w:pPr>
            <w:r>
              <w:rPr>
                <w:sz w:val="20"/>
              </w:rPr>
              <w:t xml:space="preserve"> </w:t>
            </w:r>
          </w:p>
        </w:tc>
        <w:tc>
          <w:tcPr>
            <w:tcW w:w="464"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1" w:right="0" w:firstLine="0"/>
              <w:jc w:val="left"/>
            </w:pPr>
            <w:r>
              <w:rPr>
                <w:sz w:val="20"/>
              </w:rPr>
              <w:t xml:space="preserve"> </w:t>
            </w:r>
          </w:p>
        </w:tc>
        <w:tc>
          <w:tcPr>
            <w:tcW w:w="462"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E8309B" w:rsidRDefault="009D0949">
            <w:pPr>
              <w:spacing w:after="0" w:line="259" w:lineRule="auto"/>
              <w:ind w:left="0" w:right="5" w:firstLine="0"/>
              <w:jc w:val="center"/>
            </w:pPr>
            <w:r>
              <w:rPr>
                <w:sz w:val="20"/>
              </w:rPr>
              <w:t xml:space="preserve"> </w:t>
            </w:r>
          </w:p>
        </w:tc>
        <w:tc>
          <w:tcPr>
            <w:tcW w:w="462"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E8309B" w:rsidRDefault="009D0949">
            <w:pPr>
              <w:spacing w:after="0" w:line="259" w:lineRule="auto"/>
              <w:ind w:left="0" w:right="2" w:firstLine="0"/>
              <w:jc w:val="center"/>
            </w:pPr>
            <w:r>
              <w:rPr>
                <w:sz w:val="20"/>
              </w:rPr>
              <w:t xml:space="preserve"> </w:t>
            </w:r>
          </w:p>
        </w:tc>
        <w:tc>
          <w:tcPr>
            <w:tcW w:w="463"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E8309B" w:rsidRDefault="009D0949">
            <w:pPr>
              <w:spacing w:after="0" w:line="259" w:lineRule="auto"/>
              <w:ind w:left="0" w:right="5" w:firstLine="0"/>
              <w:jc w:val="center"/>
            </w:pPr>
            <w:r>
              <w:rPr>
                <w:sz w:val="20"/>
              </w:rPr>
              <w:t xml:space="preserve"> </w:t>
            </w:r>
          </w:p>
        </w:tc>
        <w:tc>
          <w:tcPr>
            <w:tcW w:w="466"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E8309B" w:rsidRDefault="009D0949">
            <w:pPr>
              <w:spacing w:after="0" w:line="259" w:lineRule="auto"/>
              <w:ind w:left="0" w:right="1" w:firstLine="0"/>
              <w:jc w:val="center"/>
            </w:pPr>
            <w:r>
              <w:rPr>
                <w:sz w:val="20"/>
              </w:rPr>
              <w:t xml:space="preserve"> </w:t>
            </w:r>
          </w:p>
        </w:tc>
        <w:tc>
          <w:tcPr>
            <w:tcW w:w="463"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E8309B" w:rsidRDefault="009D0949">
            <w:pPr>
              <w:spacing w:after="0" w:line="259" w:lineRule="auto"/>
              <w:ind w:left="0" w:right="4" w:firstLine="0"/>
              <w:jc w:val="center"/>
            </w:pPr>
            <w:r>
              <w:rPr>
                <w:sz w:val="20"/>
              </w:rPr>
              <w:t xml:space="preserve"> </w:t>
            </w:r>
          </w:p>
        </w:tc>
        <w:tc>
          <w:tcPr>
            <w:tcW w:w="461"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E8309B" w:rsidRDefault="009D0949">
            <w:pPr>
              <w:spacing w:after="0" w:line="259" w:lineRule="auto"/>
              <w:ind w:left="0" w:right="1" w:firstLine="0"/>
              <w:jc w:val="center"/>
            </w:pPr>
            <w:r>
              <w:rPr>
                <w:sz w:val="20"/>
              </w:rPr>
              <w:t xml:space="preserve"> </w:t>
            </w:r>
          </w:p>
        </w:tc>
        <w:tc>
          <w:tcPr>
            <w:tcW w:w="463"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E8309B" w:rsidRDefault="009D0949">
            <w:pPr>
              <w:spacing w:after="0" w:line="259" w:lineRule="auto"/>
              <w:ind w:left="0" w:right="4" w:firstLine="0"/>
              <w:jc w:val="center"/>
            </w:pPr>
            <w:r>
              <w:rPr>
                <w:sz w:val="20"/>
              </w:rPr>
              <w:t xml:space="preserve"> </w:t>
            </w:r>
          </w:p>
        </w:tc>
        <w:tc>
          <w:tcPr>
            <w:tcW w:w="540"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E8309B" w:rsidRDefault="009D0949">
            <w:pPr>
              <w:spacing w:after="0" w:line="259" w:lineRule="auto"/>
              <w:ind w:left="1" w:right="0" w:firstLine="0"/>
              <w:jc w:val="center"/>
            </w:pPr>
            <w:r>
              <w:rPr>
                <w:sz w:val="20"/>
              </w:rPr>
              <w:t xml:space="preserve"> </w:t>
            </w:r>
          </w:p>
        </w:tc>
      </w:tr>
      <w:tr w:rsidR="00E8309B">
        <w:trPr>
          <w:trHeight w:val="700"/>
        </w:trPr>
        <w:tc>
          <w:tcPr>
            <w:tcW w:w="526"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49" w:firstLine="0"/>
              <w:jc w:val="right"/>
            </w:pPr>
            <w:r>
              <w:rPr>
                <w:sz w:val="20"/>
              </w:rPr>
              <w:t xml:space="preserve">2.4 </w:t>
            </w:r>
          </w:p>
        </w:tc>
        <w:tc>
          <w:tcPr>
            <w:tcW w:w="3556"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1" w:right="13" w:firstLine="0"/>
              <w:jc w:val="left"/>
            </w:pPr>
            <w:r>
              <w:rPr>
                <w:sz w:val="20"/>
              </w:rPr>
              <w:t xml:space="preserve">Умрежавање дигиталних сервиса и промоција заинтересованим странама и широј јавности </w:t>
            </w:r>
          </w:p>
        </w:tc>
        <w:tc>
          <w:tcPr>
            <w:tcW w:w="462"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2" w:right="0" w:firstLine="0"/>
              <w:jc w:val="left"/>
            </w:pPr>
            <w:r>
              <w:rPr>
                <w:sz w:val="20"/>
              </w:rPr>
              <w:t xml:space="preserve"> </w:t>
            </w:r>
          </w:p>
        </w:tc>
        <w:tc>
          <w:tcPr>
            <w:tcW w:w="464"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1" w:right="0" w:firstLine="0"/>
              <w:jc w:val="left"/>
            </w:pPr>
            <w:r>
              <w:rPr>
                <w:sz w:val="20"/>
              </w:rPr>
              <w:t xml:space="preserve"> </w:t>
            </w:r>
          </w:p>
        </w:tc>
        <w:tc>
          <w:tcPr>
            <w:tcW w:w="461"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1" w:right="0" w:firstLine="0"/>
              <w:jc w:val="left"/>
            </w:pPr>
            <w:r>
              <w:rPr>
                <w:sz w:val="20"/>
              </w:rPr>
              <w:t xml:space="preserve"> </w:t>
            </w:r>
          </w:p>
        </w:tc>
        <w:tc>
          <w:tcPr>
            <w:tcW w:w="464"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1" w:right="0" w:firstLine="0"/>
              <w:jc w:val="left"/>
            </w:pPr>
            <w:r>
              <w:rPr>
                <w:sz w:val="20"/>
              </w:rPr>
              <w:t xml:space="preserve"> </w:t>
            </w:r>
          </w:p>
        </w:tc>
        <w:tc>
          <w:tcPr>
            <w:tcW w:w="462"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0" w:right="5" w:firstLine="0"/>
              <w:jc w:val="center"/>
            </w:pPr>
            <w:r>
              <w:rPr>
                <w:sz w:val="20"/>
              </w:rPr>
              <w:t xml:space="preserve"> </w:t>
            </w:r>
          </w:p>
        </w:tc>
        <w:tc>
          <w:tcPr>
            <w:tcW w:w="462"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0" w:right="2" w:firstLine="0"/>
              <w:jc w:val="center"/>
            </w:pPr>
            <w:r>
              <w:rPr>
                <w:sz w:val="20"/>
              </w:rPr>
              <w:t xml:space="preserve"> </w:t>
            </w:r>
          </w:p>
        </w:tc>
        <w:tc>
          <w:tcPr>
            <w:tcW w:w="463"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0" w:right="5" w:firstLine="0"/>
              <w:jc w:val="center"/>
            </w:pPr>
            <w:r>
              <w:rPr>
                <w:sz w:val="20"/>
              </w:rPr>
              <w:t xml:space="preserve"> </w:t>
            </w:r>
          </w:p>
        </w:tc>
        <w:tc>
          <w:tcPr>
            <w:tcW w:w="466"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0" w:right="1" w:firstLine="0"/>
              <w:jc w:val="center"/>
            </w:pPr>
            <w:r>
              <w:rPr>
                <w:sz w:val="20"/>
              </w:rPr>
              <w:t xml:space="preserve"> </w:t>
            </w:r>
          </w:p>
        </w:tc>
        <w:tc>
          <w:tcPr>
            <w:tcW w:w="463"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E8309B" w:rsidRDefault="009D0949">
            <w:pPr>
              <w:spacing w:after="0" w:line="259" w:lineRule="auto"/>
              <w:ind w:left="0" w:right="4" w:firstLine="0"/>
              <w:jc w:val="center"/>
            </w:pPr>
            <w:r>
              <w:rPr>
                <w:sz w:val="20"/>
              </w:rPr>
              <w:t xml:space="preserve"> </w:t>
            </w:r>
          </w:p>
        </w:tc>
        <w:tc>
          <w:tcPr>
            <w:tcW w:w="461"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E8309B" w:rsidRDefault="009D0949">
            <w:pPr>
              <w:spacing w:after="0" w:line="259" w:lineRule="auto"/>
              <w:ind w:left="0" w:right="1" w:firstLine="0"/>
              <w:jc w:val="center"/>
            </w:pPr>
            <w:r>
              <w:rPr>
                <w:sz w:val="20"/>
              </w:rPr>
              <w:t xml:space="preserve"> </w:t>
            </w:r>
          </w:p>
        </w:tc>
        <w:tc>
          <w:tcPr>
            <w:tcW w:w="463"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E8309B" w:rsidRDefault="009D0949">
            <w:pPr>
              <w:spacing w:after="0" w:line="259" w:lineRule="auto"/>
              <w:ind w:left="0" w:right="4" w:firstLine="0"/>
              <w:jc w:val="center"/>
            </w:pPr>
            <w:r>
              <w:rPr>
                <w:sz w:val="20"/>
              </w:rPr>
              <w:t xml:space="preserve"> </w:t>
            </w:r>
          </w:p>
        </w:tc>
        <w:tc>
          <w:tcPr>
            <w:tcW w:w="540"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E8309B" w:rsidRDefault="009D0949">
            <w:pPr>
              <w:spacing w:after="0" w:line="259" w:lineRule="auto"/>
              <w:ind w:left="1" w:right="0" w:firstLine="0"/>
              <w:jc w:val="center"/>
            </w:pPr>
            <w:r>
              <w:rPr>
                <w:sz w:val="20"/>
              </w:rPr>
              <w:t xml:space="preserve"> </w:t>
            </w:r>
          </w:p>
        </w:tc>
      </w:tr>
    </w:tbl>
    <w:p w:rsidR="00E8309B" w:rsidRDefault="009D0949">
      <w:pPr>
        <w:numPr>
          <w:ilvl w:val="0"/>
          <w:numId w:val="42"/>
        </w:numPr>
        <w:spacing w:after="0" w:line="271" w:lineRule="auto"/>
        <w:ind w:right="9" w:hanging="360"/>
      </w:pPr>
      <w:r>
        <w:rPr>
          <w:b/>
        </w:rPr>
        <w:t xml:space="preserve">Индикатори рeзултата </w:t>
      </w:r>
    </w:p>
    <w:tbl>
      <w:tblPr>
        <w:tblStyle w:val="TableGrid"/>
        <w:tblW w:w="9640" w:type="dxa"/>
        <w:tblInd w:w="0" w:type="dxa"/>
        <w:tblCellMar>
          <w:top w:w="10" w:type="dxa"/>
          <w:left w:w="108" w:type="dxa"/>
          <w:bottom w:w="0" w:type="dxa"/>
          <w:right w:w="56" w:type="dxa"/>
        </w:tblCellMar>
        <w:tblLook w:val="04A0" w:firstRow="1" w:lastRow="0" w:firstColumn="1" w:lastColumn="0" w:noHBand="0" w:noVBand="1"/>
      </w:tblPr>
      <w:tblGrid>
        <w:gridCol w:w="4702"/>
        <w:gridCol w:w="1647"/>
        <w:gridCol w:w="1645"/>
        <w:gridCol w:w="1647"/>
      </w:tblGrid>
      <w:tr w:rsidR="00E8309B">
        <w:trPr>
          <w:trHeight w:val="701"/>
        </w:trPr>
        <w:tc>
          <w:tcPr>
            <w:tcW w:w="4702"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55" w:firstLine="0"/>
              <w:jc w:val="center"/>
            </w:pPr>
            <w:r>
              <w:rPr>
                <w:b/>
                <w:sz w:val="20"/>
              </w:rPr>
              <w:t xml:space="preserve">Показатељ </w:t>
            </w:r>
          </w:p>
        </w:tc>
        <w:tc>
          <w:tcPr>
            <w:tcW w:w="1647"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617" w:right="0" w:firstLine="41"/>
              <w:jc w:val="left"/>
            </w:pPr>
            <w:r>
              <w:rPr>
                <w:b/>
                <w:sz w:val="20"/>
              </w:rPr>
              <w:t xml:space="preserve">Почетна вредност (година) </w:t>
            </w:r>
          </w:p>
        </w:tc>
        <w:tc>
          <w:tcPr>
            <w:tcW w:w="1645"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50" w:firstLine="0"/>
              <w:jc w:val="right"/>
            </w:pPr>
            <w:r>
              <w:rPr>
                <w:b/>
                <w:sz w:val="20"/>
              </w:rPr>
              <w:t xml:space="preserve">Међурезултат (година) </w:t>
            </w:r>
          </w:p>
        </w:tc>
        <w:tc>
          <w:tcPr>
            <w:tcW w:w="1647"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49" w:firstLine="8"/>
              <w:jc w:val="right"/>
            </w:pPr>
            <w:r>
              <w:rPr>
                <w:b/>
                <w:sz w:val="20"/>
              </w:rPr>
              <w:t xml:space="preserve">Циљна вредност (година) </w:t>
            </w:r>
          </w:p>
        </w:tc>
      </w:tr>
      <w:tr w:rsidR="00E8309B">
        <w:trPr>
          <w:trHeight w:val="470"/>
        </w:trPr>
        <w:tc>
          <w:tcPr>
            <w:tcW w:w="4702"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0" w:firstLine="0"/>
              <w:jc w:val="left"/>
            </w:pPr>
            <w:r>
              <w:rPr>
                <w:sz w:val="20"/>
              </w:rPr>
              <w:t xml:space="preserve">Број корисника (привредних субјеката) програма подршке </w:t>
            </w:r>
          </w:p>
        </w:tc>
        <w:tc>
          <w:tcPr>
            <w:tcW w:w="1647"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53" w:firstLine="0"/>
              <w:jc w:val="right"/>
            </w:pPr>
            <w:r>
              <w:rPr>
                <w:sz w:val="20"/>
              </w:rPr>
              <w:t xml:space="preserve">0 </w:t>
            </w:r>
          </w:p>
          <w:p w:rsidR="00E8309B" w:rsidRDefault="009D0949">
            <w:pPr>
              <w:spacing w:after="0" w:line="259" w:lineRule="auto"/>
              <w:ind w:left="0" w:right="52" w:firstLine="0"/>
              <w:jc w:val="right"/>
            </w:pPr>
            <w:r>
              <w:rPr>
                <w:sz w:val="20"/>
              </w:rPr>
              <w:t xml:space="preserve">(2021) </w:t>
            </w:r>
          </w:p>
        </w:tc>
        <w:tc>
          <w:tcPr>
            <w:tcW w:w="1645"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49" w:firstLine="0"/>
              <w:jc w:val="right"/>
            </w:pPr>
            <w:r>
              <w:rPr>
                <w:sz w:val="20"/>
              </w:rPr>
              <w:t xml:space="preserve">30 </w:t>
            </w:r>
          </w:p>
          <w:p w:rsidR="00E8309B" w:rsidRDefault="009D0949">
            <w:pPr>
              <w:spacing w:after="0" w:line="259" w:lineRule="auto"/>
              <w:ind w:left="0" w:right="49" w:firstLine="0"/>
              <w:jc w:val="right"/>
            </w:pPr>
            <w:r>
              <w:rPr>
                <w:sz w:val="20"/>
              </w:rPr>
              <w:t xml:space="preserve">(2022) </w:t>
            </w:r>
          </w:p>
        </w:tc>
        <w:tc>
          <w:tcPr>
            <w:tcW w:w="1647"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49" w:firstLine="0"/>
              <w:jc w:val="right"/>
            </w:pPr>
            <w:r>
              <w:rPr>
                <w:sz w:val="20"/>
              </w:rPr>
              <w:t xml:space="preserve">150 </w:t>
            </w:r>
          </w:p>
          <w:p w:rsidR="00E8309B" w:rsidRDefault="009D0949">
            <w:pPr>
              <w:spacing w:after="0" w:line="259" w:lineRule="auto"/>
              <w:ind w:left="0" w:right="49" w:firstLine="0"/>
              <w:jc w:val="right"/>
            </w:pPr>
            <w:r>
              <w:rPr>
                <w:sz w:val="20"/>
              </w:rPr>
              <w:t xml:space="preserve">(2023) </w:t>
            </w:r>
          </w:p>
        </w:tc>
      </w:tr>
      <w:tr w:rsidR="00E8309B">
        <w:trPr>
          <w:trHeight w:val="470"/>
        </w:trPr>
        <w:tc>
          <w:tcPr>
            <w:tcW w:w="4702"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0" w:firstLine="0"/>
            </w:pPr>
            <w:r>
              <w:rPr>
                <w:sz w:val="20"/>
              </w:rPr>
              <w:t xml:space="preserve">Успостављен јединствени дигитални сервис  „Производ инфо“ </w:t>
            </w:r>
          </w:p>
        </w:tc>
        <w:tc>
          <w:tcPr>
            <w:tcW w:w="1647"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53" w:firstLine="0"/>
              <w:jc w:val="right"/>
            </w:pPr>
            <w:r>
              <w:rPr>
                <w:sz w:val="20"/>
              </w:rPr>
              <w:t xml:space="preserve">0 </w:t>
            </w:r>
          </w:p>
          <w:p w:rsidR="00E8309B" w:rsidRDefault="009D0949">
            <w:pPr>
              <w:spacing w:after="0" w:line="259" w:lineRule="auto"/>
              <w:ind w:left="0" w:right="52" w:firstLine="0"/>
              <w:jc w:val="right"/>
            </w:pPr>
            <w:r>
              <w:rPr>
                <w:sz w:val="20"/>
              </w:rPr>
              <w:t xml:space="preserve">(2020) </w:t>
            </w:r>
          </w:p>
        </w:tc>
        <w:tc>
          <w:tcPr>
            <w:tcW w:w="1645" w:type="dxa"/>
            <w:tcBorders>
              <w:top w:val="single" w:sz="4" w:space="0" w:color="000000"/>
              <w:left w:val="single" w:sz="4" w:space="0" w:color="000000"/>
              <w:bottom w:val="single" w:sz="4" w:space="0" w:color="000000"/>
              <w:right w:val="single" w:sz="4" w:space="0" w:color="000000"/>
            </w:tcBorders>
          </w:tcPr>
          <w:p w:rsidR="00E8309B" w:rsidRDefault="009D0949">
            <w:pPr>
              <w:spacing w:after="19" w:line="259" w:lineRule="auto"/>
              <w:ind w:left="0" w:right="51" w:firstLine="0"/>
              <w:jc w:val="right"/>
            </w:pPr>
            <w:r>
              <w:rPr>
                <w:sz w:val="20"/>
              </w:rPr>
              <w:t xml:space="preserve">1 </w:t>
            </w:r>
          </w:p>
          <w:p w:rsidR="00E8309B" w:rsidRDefault="009D0949">
            <w:pPr>
              <w:spacing w:after="0" w:line="259" w:lineRule="auto"/>
              <w:ind w:left="0" w:right="51" w:firstLine="0"/>
              <w:jc w:val="right"/>
            </w:pPr>
            <w:r>
              <w:rPr>
                <w:sz w:val="20"/>
              </w:rPr>
              <w:t xml:space="preserve">(2021 и 2022) </w:t>
            </w:r>
          </w:p>
        </w:tc>
        <w:tc>
          <w:tcPr>
            <w:tcW w:w="1647"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51" w:firstLine="0"/>
              <w:jc w:val="right"/>
            </w:pPr>
            <w:r>
              <w:rPr>
                <w:sz w:val="20"/>
              </w:rPr>
              <w:t xml:space="preserve">1 </w:t>
            </w:r>
          </w:p>
          <w:p w:rsidR="00E8309B" w:rsidRDefault="009D0949">
            <w:pPr>
              <w:spacing w:after="0" w:line="259" w:lineRule="auto"/>
              <w:ind w:left="0" w:right="49" w:firstLine="0"/>
              <w:jc w:val="right"/>
            </w:pPr>
            <w:r>
              <w:rPr>
                <w:sz w:val="20"/>
              </w:rPr>
              <w:t xml:space="preserve">(2023) </w:t>
            </w:r>
          </w:p>
        </w:tc>
      </w:tr>
      <w:tr w:rsidR="00E8309B">
        <w:trPr>
          <w:trHeight w:val="470"/>
        </w:trPr>
        <w:tc>
          <w:tcPr>
            <w:tcW w:w="4702"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0" w:firstLine="0"/>
              <w:jc w:val="left"/>
            </w:pPr>
            <w:r>
              <w:rPr>
                <w:sz w:val="20"/>
              </w:rPr>
              <w:t xml:space="preserve">Број корисника дигиталног сервиса „Производ инфо“ </w:t>
            </w:r>
          </w:p>
        </w:tc>
        <w:tc>
          <w:tcPr>
            <w:tcW w:w="1647"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53" w:firstLine="0"/>
              <w:jc w:val="right"/>
            </w:pPr>
            <w:r>
              <w:rPr>
                <w:sz w:val="20"/>
              </w:rPr>
              <w:t xml:space="preserve">0 </w:t>
            </w:r>
          </w:p>
          <w:p w:rsidR="00E8309B" w:rsidRDefault="009D0949">
            <w:pPr>
              <w:spacing w:after="0" w:line="259" w:lineRule="auto"/>
              <w:ind w:left="0" w:right="52" w:firstLine="0"/>
              <w:jc w:val="right"/>
            </w:pPr>
            <w:r>
              <w:rPr>
                <w:sz w:val="20"/>
              </w:rPr>
              <w:t xml:space="preserve">(2020) </w:t>
            </w:r>
          </w:p>
        </w:tc>
        <w:tc>
          <w:tcPr>
            <w:tcW w:w="1645"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49" w:firstLine="0"/>
              <w:jc w:val="right"/>
            </w:pPr>
            <w:r>
              <w:rPr>
                <w:sz w:val="20"/>
              </w:rPr>
              <w:t xml:space="preserve">500 </w:t>
            </w:r>
          </w:p>
          <w:p w:rsidR="00E8309B" w:rsidRDefault="009D0949">
            <w:pPr>
              <w:spacing w:after="0" w:line="259" w:lineRule="auto"/>
              <w:ind w:left="0" w:right="48" w:firstLine="0"/>
              <w:jc w:val="right"/>
            </w:pPr>
            <w:r>
              <w:rPr>
                <w:sz w:val="20"/>
              </w:rPr>
              <w:t xml:space="preserve">(2021-2022) </w:t>
            </w:r>
          </w:p>
        </w:tc>
        <w:tc>
          <w:tcPr>
            <w:tcW w:w="1647"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50" w:firstLine="0"/>
              <w:jc w:val="right"/>
            </w:pPr>
            <w:r>
              <w:rPr>
                <w:sz w:val="20"/>
              </w:rPr>
              <w:t xml:space="preserve">1.500 </w:t>
            </w:r>
          </w:p>
          <w:p w:rsidR="00E8309B" w:rsidRDefault="009D0949">
            <w:pPr>
              <w:spacing w:after="0" w:line="259" w:lineRule="auto"/>
              <w:ind w:left="0" w:right="49" w:firstLine="0"/>
              <w:jc w:val="right"/>
            </w:pPr>
            <w:r>
              <w:rPr>
                <w:sz w:val="20"/>
              </w:rPr>
              <w:t xml:space="preserve">(2023) </w:t>
            </w:r>
          </w:p>
        </w:tc>
      </w:tr>
    </w:tbl>
    <w:p w:rsidR="00E8309B" w:rsidRDefault="009D0949">
      <w:pPr>
        <w:numPr>
          <w:ilvl w:val="0"/>
          <w:numId w:val="42"/>
        </w:numPr>
        <w:spacing w:after="19" w:line="271" w:lineRule="auto"/>
        <w:ind w:right="9" w:hanging="360"/>
      </w:pPr>
      <w:r>
        <w:rPr>
          <w:b/>
        </w:rPr>
        <w:t xml:space="preserve">Очекивани утицај на конкурентност </w:t>
      </w:r>
    </w:p>
    <w:p w:rsidR="00E8309B" w:rsidRDefault="009D0949">
      <w:pPr>
        <w:spacing w:after="159"/>
        <w:ind w:left="-5" w:right="17"/>
      </w:pPr>
      <w:r>
        <w:t xml:space="preserve">Реформа ће услед повећања нивоа квалитета и безбедности производа допринети повећању нивоа конкурентности производа на иностраним тржиштима и тиме ће позитивно утицати на пораст апсолутног износа извоза, и удела извоза индустријских производа (у оквиру ПП </w:t>
      </w:r>
      <w:r>
        <w:t xml:space="preserve">1) у укупном извозу Републике Србије. Подстицаји за повећање коришћења стандарда и унапређење квалитета производа као и обезбеђење свеобухватног функционалног дигиталног сервиса „Производ инфо“, директно ће утицати на смањење техничких препрека у трговини </w:t>
      </w:r>
      <w:r>
        <w:t xml:space="preserve">и повећање извоза индустријских производа обухваћених ПП 1. </w:t>
      </w:r>
    </w:p>
    <w:p w:rsidR="00E8309B" w:rsidRDefault="009D0949">
      <w:pPr>
        <w:numPr>
          <w:ilvl w:val="0"/>
          <w:numId w:val="42"/>
        </w:numPr>
        <w:spacing w:after="123" w:line="271" w:lineRule="auto"/>
        <w:ind w:right="9" w:hanging="360"/>
      </w:pPr>
      <w:r>
        <w:rPr>
          <w:b/>
        </w:rPr>
        <w:t xml:space="preserve">Процењени трошкови спровођења структурне реформе и предвиђени извори њиховог финансирања </w:t>
      </w:r>
    </w:p>
    <w:p w:rsidR="00E8309B" w:rsidRDefault="009D0949">
      <w:pPr>
        <w:spacing w:after="110"/>
        <w:ind w:left="-5" w:right="17"/>
      </w:pPr>
      <w:r>
        <w:t xml:space="preserve">Структурна реформа се састоји од две компоненте. Прва компонента је нова и базна година је 2020. година, </w:t>
      </w:r>
      <w:r>
        <w:t>док је друга компонента наставак активности из претходног програмског периода. Укупна вредност структурне реформе за период 2021-2023. године износи 1.500.000 евра. Вредност прве компоненте износи 1.000.000 евра, а друге 500.000 евра (од тога око 320.000 е</w:t>
      </w:r>
      <w:r>
        <w:t>вра долазе из буџета централног нивоа и сопствених средстава институција партнера</w:t>
      </w:r>
      <w:r>
        <w:rPr>
          <w:vertAlign w:val="superscript"/>
        </w:rPr>
        <w:footnoteReference w:id="57"/>
      </w:r>
      <w:r>
        <w:t xml:space="preserve"> и око 180.000 евра из других бесповратних средстава). </w:t>
      </w:r>
    </w:p>
    <w:p w:rsidR="00E8309B" w:rsidRDefault="009D0949">
      <w:pPr>
        <w:spacing w:after="159"/>
        <w:ind w:left="-5" w:right="17"/>
      </w:pPr>
      <w:r>
        <w:t xml:space="preserve">Трошкови у вези са спровођењем ове реформе укључују (а) </w:t>
      </w:r>
      <w:r>
        <w:rPr>
          <w:i/>
        </w:rPr>
        <w:t>субвенције привредним субјектима</w:t>
      </w:r>
      <w:r>
        <w:t xml:space="preserve"> (б) </w:t>
      </w:r>
      <w:r>
        <w:rPr>
          <w:i/>
        </w:rPr>
        <w:t xml:space="preserve">спровођење анализе стања </w:t>
      </w:r>
      <w:r>
        <w:rPr>
          <w:i/>
        </w:rPr>
        <w:t>постојећих ИТ и расположивих софтверских решења</w:t>
      </w:r>
      <w:r>
        <w:t xml:space="preserve"> у институцијама обухваћених реформом (финансирање 100% из буџета РС, 2021.); (в) </w:t>
      </w:r>
      <w:r>
        <w:rPr>
          <w:i/>
        </w:rPr>
        <w:t xml:space="preserve">набавку недостајуће ИТ опреме и софтвера </w:t>
      </w:r>
      <w:r>
        <w:t xml:space="preserve">(финансирање око 50% из буџета РС, остала средства из ЕУ или других донатора) и (г) </w:t>
      </w:r>
      <w:r>
        <w:rPr>
          <w:i/>
        </w:rPr>
        <w:t>ус</w:t>
      </w:r>
      <w:r>
        <w:rPr>
          <w:i/>
        </w:rPr>
        <w:t>авршавања кадрова</w:t>
      </w:r>
      <w:r>
        <w:t xml:space="preserve"> за потребе умрежавања и континуираног ажурирања садржаја портала као и </w:t>
      </w:r>
      <w:r>
        <w:rPr>
          <w:i/>
        </w:rPr>
        <w:t>трошкови промотивних активности</w:t>
      </w:r>
      <w:r>
        <w:t xml:space="preserve"> (финансирање 50% из буџета РС и 50% из ИПА и других донатора). </w:t>
      </w:r>
    </w:p>
    <w:p w:rsidR="00E8309B" w:rsidRDefault="009D0949">
      <w:pPr>
        <w:numPr>
          <w:ilvl w:val="0"/>
          <w:numId w:val="42"/>
        </w:numPr>
        <w:spacing w:after="79" w:line="271" w:lineRule="auto"/>
        <w:ind w:right="9" w:hanging="360"/>
      </w:pPr>
      <w:r>
        <w:rPr>
          <w:b/>
        </w:rPr>
        <w:t>Очекивани утицај на социјалне циљеве, као што су запосленост, смањење с</w:t>
      </w:r>
      <w:r>
        <w:rPr>
          <w:b/>
        </w:rPr>
        <w:t xml:space="preserve">иромаштва, једнакост и род </w:t>
      </w:r>
    </w:p>
    <w:p w:rsidR="00E8309B" w:rsidRDefault="009D0949">
      <w:pPr>
        <w:spacing w:after="154"/>
        <w:ind w:left="-5" w:right="17"/>
      </w:pPr>
      <w:r>
        <w:t xml:space="preserve">Реформа нема негативан утицај на запосленост, смањење сиромаштва, једнакост и неутрална је са родног аспекта. </w:t>
      </w:r>
    </w:p>
    <w:p w:rsidR="00E8309B" w:rsidRDefault="009D0949">
      <w:pPr>
        <w:numPr>
          <w:ilvl w:val="0"/>
          <w:numId w:val="42"/>
        </w:numPr>
        <w:spacing w:after="79" w:line="271" w:lineRule="auto"/>
        <w:ind w:right="9" w:hanging="360"/>
      </w:pPr>
      <w:r>
        <w:rPr>
          <w:b/>
        </w:rPr>
        <w:t xml:space="preserve">Очекивани утицај на животну средину </w:t>
      </w:r>
    </w:p>
    <w:p w:rsidR="00E8309B" w:rsidRDefault="009D0949">
      <w:pPr>
        <w:ind w:left="-5" w:right="17"/>
      </w:pPr>
      <w:r>
        <w:t>Структурна реформа има позитиван утицај на животну средину, јер њени резултати д</w:t>
      </w:r>
      <w:r>
        <w:t xml:space="preserve">оприносе унапређењу техничких прописа и примене стандарда који укључују захтеве заштите животне средине. Структурном реформом се доприноси остварењу циљева из Европског зеленог договора. </w:t>
      </w:r>
    </w:p>
    <w:p w:rsidR="00E8309B" w:rsidRDefault="009D0949">
      <w:pPr>
        <w:spacing w:after="36" w:line="259" w:lineRule="auto"/>
        <w:ind w:left="0" w:right="0" w:firstLine="0"/>
        <w:jc w:val="left"/>
      </w:pPr>
      <w:r>
        <w:t xml:space="preserve"> </w:t>
      </w:r>
    </w:p>
    <w:p w:rsidR="00E8309B" w:rsidRDefault="009D0949">
      <w:pPr>
        <w:spacing w:after="36" w:line="259" w:lineRule="auto"/>
        <w:ind w:left="0" w:right="0" w:firstLine="0"/>
        <w:jc w:val="left"/>
      </w:pPr>
      <w:r>
        <w:t xml:space="preserve"> </w:t>
      </w:r>
    </w:p>
    <w:p w:rsidR="00E8309B" w:rsidRDefault="009D0949">
      <w:pPr>
        <w:spacing w:after="0" w:line="259" w:lineRule="auto"/>
        <w:ind w:left="0" w:right="0" w:firstLine="0"/>
        <w:jc w:val="left"/>
      </w:pPr>
      <w:r>
        <w:t xml:space="preserve"> </w:t>
      </w:r>
    </w:p>
    <w:p w:rsidR="00E8309B" w:rsidRDefault="009D0949">
      <w:pPr>
        <w:numPr>
          <w:ilvl w:val="0"/>
          <w:numId w:val="42"/>
        </w:numPr>
        <w:spacing w:after="0" w:line="271" w:lineRule="auto"/>
        <w:ind w:right="9" w:hanging="360"/>
      </w:pPr>
      <w:r>
        <w:rPr>
          <w:b/>
        </w:rPr>
        <w:t xml:space="preserve">Потенцијални ризици </w:t>
      </w:r>
    </w:p>
    <w:tbl>
      <w:tblPr>
        <w:tblStyle w:val="TableGrid"/>
        <w:tblW w:w="9784" w:type="dxa"/>
        <w:tblInd w:w="5" w:type="dxa"/>
        <w:tblCellMar>
          <w:top w:w="45" w:type="dxa"/>
          <w:left w:w="108" w:type="dxa"/>
          <w:bottom w:w="0" w:type="dxa"/>
          <w:right w:w="115" w:type="dxa"/>
        </w:tblCellMar>
        <w:tblLook w:val="04A0" w:firstRow="1" w:lastRow="0" w:firstColumn="1" w:lastColumn="0" w:noHBand="0" w:noVBand="1"/>
      </w:tblPr>
      <w:tblGrid>
        <w:gridCol w:w="10"/>
        <w:gridCol w:w="3507"/>
        <w:gridCol w:w="1240"/>
        <w:gridCol w:w="1009"/>
        <w:gridCol w:w="3917"/>
        <w:gridCol w:w="111"/>
      </w:tblGrid>
      <w:tr w:rsidR="00E8309B">
        <w:trPr>
          <w:gridBefore w:val="1"/>
          <w:wBefore w:w="10" w:type="dxa"/>
          <w:trHeight w:val="471"/>
        </w:trPr>
        <w:tc>
          <w:tcPr>
            <w:tcW w:w="3507"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2" w:right="0" w:firstLine="0"/>
              <w:jc w:val="left"/>
            </w:pPr>
            <w:r>
              <w:rPr>
                <w:b/>
                <w:sz w:val="20"/>
              </w:rPr>
              <w:t xml:space="preserve">Ризик  </w:t>
            </w:r>
          </w:p>
        </w:tc>
        <w:tc>
          <w:tcPr>
            <w:tcW w:w="2249" w:type="dxa"/>
            <w:gridSpan w:val="2"/>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0" w:firstLine="0"/>
              <w:jc w:val="left"/>
            </w:pPr>
            <w:r>
              <w:rPr>
                <w:b/>
                <w:sz w:val="20"/>
              </w:rPr>
              <w:t xml:space="preserve">Вероватноћа за </w:t>
            </w:r>
            <w:r>
              <w:rPr>
                <w:b/>
                <w:sz w:val="20"/>
              </w:rPr>
              <w:t xml:space="preserve">остваривање ризика  </w:t>
            </w:r>
          </w:p>
        </w:tc>
        <w:tc>
          <w:tcPr>
            <w:tcW w:w="4028" w:type="dxa"/>
            <w:gridSpan w:val="2"/>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0" w:firstLine="0"/>
              <w:jc w:val="left"/>
            </w:pPr>
            <w:r>
              <w:rPr>
                <w:b/>
                <w:sz w:val="20"/>
              </w:rPr>
              <w:t xml:space="preserve">Активност за ублажавање негативних ефеката ризика </w:t>
            </w:r>
          </w:p>
        </w:tc>
      </w:tr>
      <w:tr w:rsidR="00E8309B">
        <w:trPr>
          <w:gridBefore w:val="1"/>
          <w:wBefore w:w="10" w:type="dxa"/>
          <w:trHeight w:val="1162"/>
        </w:trPr>
        <w:tc>
          <w:tcPr>
            <w:tcW w:w="3507"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2" w:right="0" w:firstLine="0"/>
              <w:jc w:val="left"/>
            </w:pPr>
            <w:r>
              <w:rPr>
                <w:sz w:val="20"/>
              </w:rPr>
              <w:t xml:space="preserve">Велики број привредних субјеката заинтересован за Програм финансијске подршке  </w:t>
            </w:r>
          </w:p>
        </w:tc>
        <w:tc>
          <w:tcPr>
            <w:tcW w:w="2249" w:type="dxa"/>
            <w:gridSpan w:val="2"/>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0" w:firstLine="0"/>
              <w:jc w:val="left"/>
            </w:pPr>
            <w:r>
              <w:rPr>
                <w:sz w:val="20"/>
              </w:rPr>
              <w:t xml:space="preserve">Средња </w:t>
            </w:r>
          </w:p>
        </w:tc>
        <w:tc>
          <w:tcPr>
            <w:tcW w:w="4028" w:type="dxa"/>
            <w:gridSpan w:val="2"/>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0" w:firstLine="0"/>
              <w:jc w:val="left"/>
            </w:pPr>
            <w:r>
              <w:rPr>
                <w:sz w:val="20"/>
              </w:rPr>
              <w:t xml:space="preserve">Обезбеђење финансијских средстава из донаторских извора; Пооштравање услова за доделу подршке; </w:t>
            </w:r>
            <w:r>
              <w:rPr>
                <w:sz w:val="20"/>
              </w:rPr>
              <w:t xml:space="preserve">Планирање програма подршке као континуиране активности у наредним годинама </w:t>
            </w:r>
          </w:p>
        </w:tc>
      </w:tr>
      <w:tr w:rsidR="00E8309B">
        <w:trPr>
          <w:gridBefore w:val="1"/>
          <w:wBefore w:w="10" w:type="dxa"/>
          <w:trHeight w:val="1159"/>
        </w:trPr>
        <w:tc>
          <w:tcPr>
            <w:tcW w:w="3507"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7" w:lineRule="auto"/>
              <w:ind w:left="2" w:right="0" w:firstLine="0"/>
              <w:jc w:val="left"/>
            </w:pPr>
            <w:r>
              <w:rPr>
                <w:sz w:val="20"/>
              </w:rPr>
              <w:t xml:space="preserve">Недостатак финансијских средстава за потребе израде портала Производ инфо </w:t>
            </w:r>
          </w:p>
          <w:p w:rsidR="00E8309B" w:rsidRDefault="009D0949">
            <w:pPr>
              <w:spacing w:after="0" w:line="259" w:lineRule="auto"/>
              <w:ind w:left="2" w:right="0" w:firstLine="0"/>
              <w:jc w:val="left"/>
            </w:pPr>
            <w:r>
              <w:rPr>
                <w:sz w:val="20"/>
              </w:rPr>
              <w:t xml:space="preserve"> </w:t>
            </w:r>
          </w:p>
        </w:tc>
        <w:tc>
          <w:tcPr>
            <w:tcW w:w="2249" w:type="dxa"/>
            <w:gridSpan w:val="2"/>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0" w:firstLine="0"/>
              <w:jc w:val="left"/>
            </w:pPr>
            <w:r>
              <w:rPr>
                <w:sz w:val="20"/>
              </w:rPr>
              <w:t xml:space="preserve">Средња </w:t>
            </w:r>
          </w:p>
        </w:tc>
        <w:tc>
          <w:tcPr>
            <w:tcW w:w="4028" w:type="dxa"/>
            <w:gridSpan w:val="2"/>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0" w:firstLine="0"/>
              <w:jc w:val="left"/>
            </w:pPr>
            <w:r>
              <w:rPr>
                <w:sz w:val="20"/>
              </w:rPr>
              <w:t xml:space="preserve">Интензивна комуникација са донаторима са циљем обезбеђења подршке; Повећање издвајања из буџета партнерских институција укључених у спровођење реформе </w:t>
            </w:r>
          </w:p>
        </w:tc>
      </w:tr>
      <w:tr w:rsidR="00E8309B">
        <w:trPr>
          <w:gridBefore w:val="1"/>
          <w:wBefore w:w="10" w:type="dxa"/>
          <w:trHeight w:val="1621"/>
        </w:trPr>
        <w:tc>
          <w:tcPr>
            <w:tcW w:w="3507"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2" w:right="0" w:firstLine="0"/>
              <w:jc w:val="left"/>
            </w:pPr>
            <w:r>
              <w:rPr>
                <w:sz w:val="20"/>
              </w:rPr>
              <w:t xml:space="preserve">Изостанак сарадње институција ИК и других заинтересованих страна </w:t>
            </w:r>
          </w:p>
        </w:tc>
        <w:tc>
          <w:tcPr>
            <w:tcW w:w="2249" w:type="dxa"/>
            <w:gridSpan w:val="2"/>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0" w:firstLine="0"/>
              <w:jc w:val="left"/>
            </w:pPr>
            <w:r>
              <w:rPr>
                <w:sz w:val="20"/>
              </w:rPr>
              <w:t xml:space="preserve">Мала </w:t>
            </w:r>
          </w:p>
        </w:tc>
        <w:tc>
          <w:tcPr>
            <w:tcW w:w="4028" w:type="dxa"/>
            <w:gridSpan w:val="2"/>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0" w:firstLine="0"/>
              <w:jc w:val="left"/>
            </w:pPr>
            <w:r>
              <w:rPr>
                <w:sz w:val="20"/>
              </w:rPr>
              <w:t xml:space="preserve">Интензивне међуинституционалне и међуресорне консултације и сарадња; Формирање привременог радног тела за потребе спровођења реформе; Утврђивање конкретних надлежности и одговорности партнерских институција укључених у спровођење реформе </w:t>
            </w:r>
          </w:p>
        </w:tc>
      </w:tr>
      <w:tr w:rsidR="00E8309B">
        <w:tblPrEx>
          <w:tblCellMar>
            <w:top w:w="13" w:type="dxa"/>
            <w:left w:w="0" w:type="dxa"/>
            <w:right w:w="0" w:type="dxa"/>
          </w:tblCellMar>
        </w:tblPrEx>
        <w:trPr>
          <w:gridAfter w:val="1"/>
          <w:wAfter w:w="111" w:type="dxa"/>
          <w:trHeight w:val="280"/>
        </w:trPr>
        <w:tc>
          <w:tcPr>
            <w:tcW w:w="4757" w:type="dxa"/>
            <w:gridSpan w:val="3"/>
            <w:tcBorders>
              <w:top w:val="nil"/>
              <w:left w:val="nil"/>
              <w:bottom w:val="nil"/>
              <w:right w:val="nil"/>
            </w:tcBorders>
            <w:shd w:val="clear" w:color="auto" w:fill="D9D9D9"/>
          </w:tcPr>
          <w:p w:rsidR="00E8309B" w:rsidRDefault="009D0949">
            <w:pPr>
              <w:spacing w:after="0" w:line="259" w:lineRule="auto"/>
              <w:ind w:left="15" w:right="0" w:firstLine="0"/>
            </w:pPr>
            <w:r>
              <w:rPr>
                <w:b/>
              </w:rPr>
              <w:t>5.3</w:t>
            </w:r>
            <w:r>
              <w:rPr>
                <w:b/>
              </w:rPr>
              <w:t>.6. Област ОБРАЗОВАЊЕ И ВЕШТИНЕ</w:t>
            </w:r>
          </w:p>
        </w:tc>
        <w:tc>
          <w:tcPr>
            <w:tcW w:w="4926" w:type="dxa"/>
            <w:gridSpan w:val="2"/>
            <w:tcBorders>
              <w:top w:val="nil"/>
              <w:left w:val="nil"/>
              <w:bottom w:val="nil"/>
              <w:right w:val="nil"/>
            </w:tcBorders>
            <w:shd w:val="clear" w:color="auto" w:fill="D9D9D9"/>
          </w:tcPr>
          <w:p w:rsidR="00E8309B" w:rsidRDefault="009D0949">
            <w:pPr>
              <w:spacing w:after="0" w:line="259" w:lineRule="auto"/>
              <w:ind w:left="0" w:right="0" w:firstLine="0"/>
              <w:jc w:val="left"/>
            </w:pPr>
            <w:r>
              <w:rPr>
                <w:b/>
              </w:rPr>
              <w:t xml:space="preserve"> </w:t>
            </w:r>
          </w:p>
        </w:tc>
      </w:tr>
    </w:tbl>
    <w:p w:rsidR="00E8309B" w:rsidRDefault="009D0949">
      <w:pPr>
        <w:spacing w:after="79" w:line="271" w:lineRule="auto"/>
        <w:ind w:left="-5" w:right="9"/>
      </w:pPr>
      <w:r>
        <w:rPr>
          <w:b/>
        </w:rPr>
        <w:t xml:space="preserve">а) Анализа главних препрека </w:t>
      </w:r>
    </w:p>
    <w:p w:rsidR="00E8309B" w:rsidRDefault="009D0949">
      <w:pPr>
        <w:spacing w:after="95"/>
        <w:ind w:left="-5" w:right="17"/>
      </w:pPr>
      <w:r>
        <w:rPr>
          <w:b/>
        </w:rPr>
        <w:t>Бележи се континуирано повећање обухвата деце у програмима предшколског васпитања и образовања</w:t>
      </w:r>
      <w:r>
        <w:t xml:space="preserve"> у Србији. Број деце узраста од 6 месеци до 6,5 година на овом нивоу образовања износио је 224.563</w:t>
      </w:r>
      <w:r>
        <w:t xml:space="preserve"> (57,38%) у школској 2019/2020. години, што је повећање од око 25.000 или 7,76% у односу на 199.790 деце која су учествовала у систему образовања у раном детињству 2015/2016. године (49,62%). Међутим, </w:t>
      </w:r>
      <w:r>
        <w:rPr>
          <w:b/>
        </w:rPr>
        <w:t>обухват деце</w:t>
      </w:r>
      <w:r>
        <w:t xml:space="preserve"> предшколским васпитањем и образовањем и да</w:t>
      </w:r>
      <w:r>
        <w:t xml:space="preserve">ље је </w:t>
      </w:r>
      <w:r>
        <w:rPr>
          <w:b/>
        </w:rPr>
        <w:t>низак</w:t>
      </w:r>
      <w:r>
        <w:t xml:space="preserve"> (само половина деце је обухваћена), а разлози су </w:t>
      </w:r>
      <w:r>
        <w:rPr>
          <w:b/>
        </w:rPr>
        <w:t>недовољни просторни капацитети и неједнака географска распоређеност</w:t>
      </w:r>
      <w:r>
        <w:t>. Обухват деце програмима предшколског васпитања и образовања је различит у зависности од узраста. Највећи обухват деце је у год</w:t>
      </w:r>
      <w:r>
        <w:t xml:space="preserve">ини пред полазак у школу. </w:t>
      </w:r>
      <w:r>
        <w:rPr>
          <w:b/>
        </w:rPr>
        <w:t>Обавезни припремни предшколски програм</w:t>
      </w:r>
      <w:r>
        <w:t xml:space="preserve">, за децу узраста од навршених 5,5 година до поласка у школу, похађало је нешто мање од 64 хиљаде деце, што представља </w:t>
      </w:r>
      <w:r>
        <w:rPr>
          <w:b/>
        </w:rPr>
        <w:t>обухват од 97,4%</w:t>
      </w:r>
      <w:r>
        <w:t xml:space="preserve">. </w:t>
      </w:r>
    </w:p>
    <w:p w:rsidR="00E8309B" w:rsidRDefault="009D0949">
      <w:pPr>
        <w:spacing w:after="110"/>
        <w:ind w:left="-5" w:right="17"/>
      </w:pPr>
      <w:r>
        <w:rPr>
          <w:b/>
        </w:rPr>
        <w:t xml:space="preserve">Популација ученика у основном образовању континуирано </w:t>
      </w:r>
      <w:r>
        <w:rPr>
          <w:b/>
        </w:rPr>
        <w:t xml:space="preserve">се смањује услед негативног демографског тренда становништва Србије. </w:t>
      </w:r>
      <w:r>
        <w:t xml:space="preserve">У основном образовању налазило се 517.826 ученика у школској 2019/2020. години, што представља смањење ученичке популације за око 27.000 или 5% у односу на 2016. годину. И поред чињенице </w:t>
      </w:r>
      <w:r>
        <w:t xml:space="preserve">да је основно образовање обавезно, </w:t>
      </w:r>
      <w:r>
        <w:rPr>
          <w:b/>
        </w:rPr>
        <w:t>обухват деце и даље није потпун</w:t>
      </w:r>
      <w:r>
        <w:rPr>
          <w:b/>
          <w:vertAlign w:val="superscript"/>
        </w:rPr>
        <w:footnoteReference w:id="58"/>
      </w:r>
      <w:r>
        <w:rPr>
          <w:b/>
        </w:rPr>
        <w:t xml:space="preserve">. </w:t>
      </w:r>
    </w:p>
    <w:p w:rsidR="00E8309B" w:rsidRDefault="009D0949">
      <w:pPr>
        <w:spacing w:after="90"/>
        <w:ind w:left="-5" w:right="17"/>
      </w:pPr>
      <w:r>
        <w:rPr>
          <w:b/>
        </w:rPr>
        <w:t>Резултати PISA</w:t>
      </w:r>
      <w:r>
        <w:rPr>
          <w:b/>
          <w:vertAlign w:val="superscript"/>
        </w:rPr>
        <w:footnoteReference w:id="59"/>
      </w:r>
      <w:r>
        <w:rPr>
          <w:b/>
        </w:rPr>
        <w:t xml:space="preserve"> тестирања ученика у Србији су испод ОЕЦД просека, али најбољи у региону Западног Балкана.</w:t>
      </w:r>
      <w:r>
        <w:t xml:space="preserve"> У тестирању 2018. године учествовало је 8.300 ученика из Србије, а остварени рез</w:t>
      </w:r>
      <w:r>
        <w:t>ултати на тесту из читања износе 439 поена (ОЕЦД просек 493), математике 448 поена (489) и науке 440 (487). У условима похађања наставе „на даљину” током четири месеца епидемије корона вируса, очекује се пад укупне оцене на PISA тесту у Србији за 9 поена (</w:t>
      </w:r>
      <w:r>
        <w:t>са 439 на 430), док би у случају потпуног изостанка таквог вида наставе пад износио 16 поена</w:t>
      </w:r>
      <w:r>
        <w:rPr>
          <w:vertAlign w:val="superscript"/>
        </w:rPr>
        <w:t>66</w:t>
      </w:r>
      <w:r>
        <w:t>. Препоруке за ублажавање ефеката кризе обухватају наставак наставе „на даљину”, јачање подршке наставницима и родитељима у циљу мотивације ученика, усклађивање с</w:t>
      </w:r>
      <w:r>
        <w:t xml:space="preserve">истема за оцењивање знања како би се поједноставили прелази између разреда и образовних циклуса, као и редовно разматрање и унапређење постојећих мера. </w:t>
      </w:r>
    </w:p>
    <w:p w:rsidR="00E8309B" w:rsidRDefault="009D0949">
      <w:pPr>
        <w:spacing w:after="85"/>
        <w:ind w:left="-5" w:right="17"/>
      </w:pPr>
      <w:r>
        <w:rPr>
          <w:b/>
        </w:rPr>
        <w:t>Број ученика који похађају средње школе је стабилан.</w:t>
      </w:r>
      <w:r>
        <w:t xml:space="preserve"> Број уписаних средњошколаца </w:t>
      </w:r>
      <w:r>
        <w:t xml:space="preserve">износио је 249.855 ученика у школској 2019/2020, скоро исти број као 2016. године. </w:t>
      </w:r>
      <w:r>
        <w:rPr>
          <w:b/>
        </w:rPr>
        <w:t>Средње стручно образовање похађало је 73,3% ученика</w:t>
      </w:r>
      <w:r>
        <w:t>, а највећи обухват ученика јеиз подручја рада економија, право и администрација (12,3%), електротехника (11,6%), здравств</w:t>
      </w:r>
      <w:r>
        <w:t>о и социјална заштита (9,5%), машинство и обрада метала (9%) и трговина, угоститељство и туризам (7,9%). Опште средње образовање (гимназију) похађало је 26,7% ученика. У гимназијама и електротехничким школама се број ученика благо повећава, а смањује у шко</w:t>
      </w:r>
      <w:r>
        <w:t xml:space="preserve">лама из области економије, права и администрације. </w:t>
      </w:r>
    </w:p>
    <w:p w:rsidR="00E8309B" w:rsidRDefault="009D0949">
      <w:pPr>
        <w:spacing w:after="90"/>
        <w:ind w:left="-5" w:right="17"/>
      </w:pPr>
      <w:r>
        <w:rPr>
          <w:b/>
        </w:rPr>
        <w:t>Неусклађеност образовних профила и понуде са потребама тржишта рада</w:t>
      </w:r>
      <w:r>
        <w:rPr>
          <w:b/>
          <w:vertAlign w:val="superscript"/>
        </w:rPr>
        <w:footnoteReference w:id="60"/>
      </w:r>
      <w:r>
        <w:rPr>
          <w:b/>
        </w:rPr>
        <w:t xml:space="preserve"> представља дугорочни и системски проблем у Србији. </w:t>
      </w:r>
      <w:r>
        <w:t>Наставља се са процесом развоја средњег стручног образовања у целини. Из плана уписа</w:t>
      </w:r>
      <w:r>
        <w:t xml:space="preserve"> ученика у средње школе искључују се профили који нису засновани на стандарду квалификација и замењују онима који имају стандарде квалификација и модернизоване планове и програме наставе и учења. До сада је израђено 100 образовних профила са стандардом ква</w:t>
      </w:r>
      <w:r>
        <w:t>лификација, а у њих се уписује око 70% свих ученика уписаних у средње стручне школе. Овај проценат је у порасту сваке године у складу са повећањем броја образовних профила заснованих на стандарду квалификација. Значајан системски корак у развоју средњег об</w:t>
      </w:r>
      <w:r>
        <w:t xml:space="preserve">разовања је увођење </w:t>
      </w:r>
      <w:r>
        <w:rPr>
          <w:b/>
        </w:rPr>
        <w:t>државне матуре</w:t>
      </w:r>
      <w:r>
        <w:t xml:space="preserve">. Она обухвата </w:t>
      </w:r>
      <w:r>
        <w:rPr>
          <w:b/>
        </w:rPr>
        <w:t>општу, стручну и уметничку матуру</w:t>
      </w:r>
      <w:r>
        <w:t xml:space="preserve"> </w:t>
      </w:r>
      <w:r>
        <w:rPr>
          <w:b/>
        </w:rPr>
        <w:t>и завршни испит</w:t>
      </w:r>
      <w:r>
        <w:t>. Спроводи се уз подршку Европске уније. У финансијском плану Сектора за средње образовање и васпитање и образовање одраслих уведена је нова програмска активн</w:t>
      </w:r>
      <w:r>
        <w:t>ост која се односи на подршку у спровођењу државне матуре. Финансијска средства су предвиђена за набавку софтвера за пријављивање и распоређивање матураната и подршку самој организацији матуре. Стицање, усавршавање и развој компетенција у складу са потреба</w:t>
      </w:r>
      <w:r>
        <w:t xml:space="preserve">ма тржишта рада обезбеђени су и </w:t>
      </w:r>
      <w:r>
        <w:rPr>
          <w:b/>
        </w:rPr>
        <w:t>дуалним образовањем</w:t>
      </w:r>
      <w:r>
        <w:t>, моделом средњег стручног образовања у оквиру кога се теоријска настава и вежбе реализују у школи, а учење кроз рад у компанијама. Пуна примена Закона о дуалном образовању почела је школске 2019/2020. год</w:t>
      </w:r>
      <w:r>
        <w:t>ине у 72 школе и око 400 компанија са 2.533 ученика уписаних у тој години, док око 7.000 ученика учествује у овом програму од увођења дуалног образовања, школујући се за један од 38 образовних профила до школске 2019/20. године. У школској 2020/2021. годин</w:t>
      </w:r>
      <w:r>
        <w:t xml:space="preserve">и 2.447 ученика определило се за овај модел образовања, а понуда је проширена на 47 дуалних образовних профила. Од укупног броја  активних образовних профила у средњем стручном образовању школске 2020/21. године, њих око 22% чине дуални образовни профили. </w:t>
      </w:r>
      <w:r>
        <w:t>Сви образовни профили у дуалном моделу образовања имају развијен стандард квалификације и модернизоване курикулуме. Посматрано на нивоу средњих стручних школа, њих 33 % реализује најмање један дуални образовни профил. Од укупног броја ученика првог разреда</w:t>
      </w:r>
      <w:r>
        <w:t xml:space="preserve"> средње стручне школе у школској 2020/21. години, 5,3% је у систему дуалног образовања.  </w:t>
      </w:r>
    </w:p>
    <w:p w:rsidR="00E8309B" w:rsidRDefault="009D0949">
      <w:pPr>
        <w:ind w:left="-5" w:right="17"/>
      </w:pPr>
      <w:r>
        <w:t xml:space="preserve">Како систем средњег стручног образовања треба да буде довољно флексибилан и да прати интензивне промене које се дешавају на тржишту рада, потребно је </w:t>
      </w:r>
      <w:r>
        <w:rPr>
          <w:b/>
        </w:rPr>
        <w:t>успостављање сис</w:t>
      </w:r>
      <w:r>
        <w:rPr>
          <w:b/>
        </w:rPr>
        <w:t>тема за праћење континуираних промена на тржишту рада</w:t>
      </w:r>
      <w:r>
        <w:t xml:space="preserve">. </w:t>
      </w:r>
    </w:p>
    <w:p w:rsidR="00E8309B" w:rsidRDefault="009D0949">
      <w:pPr>
        <w:ind w:left="-5" w:right="17"/>
      </w:pPr>
      <w:r>
        <w:t xml:space="preserve">С обзиром на постојећу неусклађеност вештина на тржишту рада, постоји </w:t>
      </w:r>
      <w:r>
        <w:rPr>
          <w:b/>
        </w:rPr>
        <w:t>потреба за значајним улагањима у образовање одраслих</w:t>
      </w:r>
      <w:r>
        <w:t xml:space="preserve">. </w:t>
      </w:r>
      <w:r>
        <w:rPr>
          <w:b/>
        </w:rPr>
        <w:t>Стопа учешћа у образовању и обуци</w:t>
      </w:r>
      <w:r>
        <w:t xml:space="preserve"> становништва 25-64 године у Србији износил</w:t>
      </w:r>
      <w:r>
        <w:t xml:space="preserve">а је </w:t>
      </w:r>
      <w:r>
        <w:rPr>
          <w:b/>
        </w:rPr>
        <w:t>4,3% у 2019</w:t>
      </w:r>
      <w:r>
        <w:t>. години</w:t>
      </w:r>
      <w:r>
        <w:rPr>
          <w:vertAlign w:val="superscript"/>
        </w:rPr>
        <w:footnoteReference w:id="61"/>
      </w:r>
      <w:r>
        <w:t xml:space="preserve"> што је значајно ниже (око 2,6 пута) од просечне стопе у ЕУ (ЕУ-28 11,3%). Послови осигурања квалитета у неформалном образовању и давање одобрења за стицање статуса јавно признатог организатора образовања одраслих у надлежности су </w:t>
      </w:r>
      <w:r>
        <w:t xml:space="preserve">Агенције за квалификације и министарства. Укупно је статус </w:t>
      </w:r>
      <w:r>
        <w:rPr>
          <w:b/>
        </w:rPr>
        <w:t>јавно признатог организатора активности (ЈПОА) образовања одраслих</w:t>
      </w:r>
      <w:r>
        <w:rPr>
          <w:b/>
          <w:vertAlign w:val="superscript"/>
        </w:rPr>
        <w:footnoteReference w:id="62"/>
      </w:r>
      <w:r>
        <w:t xml:space="preserve"> до краја 2019. године добило </w:t>
      </w:r>
      <w:r>
        <w:rPr>
          <w:b/>
        </w:rPr>
        <w:t>59 институција</w:t>
      </w:r>
      <w:r>
        <w:t xml:space="preserve"> за </w:t>
      </w:r>
      <w:r>
        <w:rPr>
          <w:b/>
        </w:rPr>
        <w:t>212 програма обука намењених одраслима</w:t>
      </w:r>
      <w:r>
        <w:t xml:space="preserve"> за стицање компетенција и квалификација пот</w:t>
      </w:r>
      <w:r>
        <w:t>ребних тржишту рада. Од укупног броја институција које су стекле статус ЈПОА, статус је добило 15 школа за 44 програма, 8 установа образовања одраслих (народни, раднички, отворени универзитети) за 70 програма и 36 других организација (центри, предузећа, по</w:t>
      </w:r>
      <w:r>
        <w:t xml:space="preserve">словна удружења, институти…) за 98 програма. </w:t>
      </w:r>
    </w:p>
    <w:p w:rsidR="00E8309B" w:rsidRDefault="009D0949">
      <w:pPr>
        <w:spacing w:after="115"/>
        <w:ind w:left="-5" w:right="17"/>
      </w:pPr>
      <w:r>
        <w:t xml:space="preserve">Развој стандарда квалификација заснованих на потребама тржишта рада и друштва у целини обезбеђен је радом Агенције за квалификације и 12 секторских већа (тела заснована на социјалном партнерству). Усвајањем </w:t>
      </w:r>
      <w:r>
        <w:rPr>
          <w:b/>
        </w:rPr>
        <w:t>Изв</w:t>
      </w:r>
      <w:r>
        <w:rPr>
          <w:b/>
        </w:rPr>
        <w:t xml:space="preserve">ештаја о повезивању Националног оквира квалификација у Србији (НОКС) са Европским оквиром квалификација </w:t>
      </w:r>
      <w:r>
        <w:t xml:space="preserve">у фебруару 2020. године, постигнут је даљи напредак у овој области. Усвојен је и додатни извештај о </w:t>
      </w:r>
      <w:r>
        <w:rPr>
          <w:b/>
        </w:rPr>
        <w:t>самопроцени НОКС-а у области високог образовања</w:t>
      </w:r>
      <w:r>
        <w:t xml:space="preserve"> у од</w:t>
      </w:r>
      <w:r>
        <w:t>носу на Оквир квалификација у Европском простору високог образовања, што је у складу са препоруком ЕК</w:t>
      </w:r>
      <w:r>
        <w:rPr>
          <w:vertAlign w:val="superscript"/>
        </w:rPr>
        <w:footnoteReference w:id="63"/>
      </w:r>
      <w:r>
        <w:t xml:space="preserve">. </w:t>
      </w:r>
    </w:p>
    <w:p w:rsidR="00E8309B" w:rsidRDefault="009D0949">
      <w:pPr>
        <w:spacing w:after="91"/>
        <w:ind w:left="-5" w:right="17"/>
      </w:pPr>
      <w:r>
        <w:rPr>
          <w:b/>
        </w:rPr>
        <w:t xml:space="preserve">На нивоу високог образовања уочава се негативан тренд кретања броја студената у последњих пар година, </w:t>
      </w:r>
      <w:r>
        <w:t xml:space="preserve">при чему се на академским студијама повећава број студената, док се на струковним студијама смањује. Број младих укључених у систем високог образовања износио је 241.968 у школској 2019/2020. години, што представља смањење од око 20.000 студената или 7,7% </w:t>
      </w:r>
      <w:r>
        <w:t xml:space="preserve">у односу на 2016. годину. </w:t>
      </w:r>
    </w:p>
    <w:p w:rsidR="00E8309B" w:rsidRDefault="009D0949">
      <w:pPr>
        <w:spacing w:after="91"/>
        <w:ind w:left="-5" w:right="17"/>
      </w:pPr>
      <w:r>
        <w:rPr>
          <w:b/>
        </w:rPr>
        <w:t>О квалитету високошколских институција</w:t>
      </w:r>
      <w:r>
        <w:t xml:space="preserve"> у Србији говори податак о томе да је Универзитет у Београду, на престижној </w:t>
      </w:r>
      <w:r>
        <w:rPr>
          <w:b/>
        </w:rPr>
        <w:t>Шангајској листи</w:t>
      </w:r>
      <w:r>
        <w:t>, задржао позицију између 401. и 500. места од рангираних 1.000 универзитета у свету у 2020. години</w:t>
      </w:r>
      <w:r>
        <w:t>. У 12 области остварен је пласман у првих 500 места, при чему је највиши пласман остварен у областима: наука и технологија хране (76-100. место), стоматолошке науке (101-200.), физика, инструментална наука и технологија, ветеринарске науке и јавно здравље</w:t>
      </w:r>
      <w:r>
        <w:t xml:space="preserve"> (200-300.). </w:t>
      </w:r>
    </w:p>
    <w:p w:rsidR="00E8309B" w:rsidRDefault="009D0949">
      <w:pPr>
        <w:ind w:left="-5" w:right="17"/>
      </w:pPr>
      <w:r>
        <w:t xml:space="preserve">У циљу </w:t>
      </w:r>
      <w:r>
        <w:rPr>
          <w:b/>
        </w:rPr>
        <w:t>осавремењавања наставе</w:t>
      </w:r>
      <w:r>
        <w:t xml:space="preserve"> на свим нивоима образовања претходних година уведени су предмети који </w:t>
      </w:r>
      <w:r>
        <w:rPr>
          <w:b/>
        </w:rPr>
        <w:t>унапређују дигиталну писменост</w:t>
      </w:r>
      <w:r>
        <w:t xml:space="preserve">, као и предмети који </w:t>
      </w:r>
      <w:r>
        <w:rPr>
          <w:b/>
        </w:rPr>
        <w:t xml:space="preserve">развијају предузетништво и предузимљивост </w:t>
      </w:r>
      <w:r>
        <w:t xml:space="preserve">као једну од кључних компетенција. </w:t>
      </w:r>
    </w:p>
    <w:p w:rsidR="00E8309B" w:rsidRDefault="009D0949">
      <w:pPr>
        <w:spacing w:after="90"/>
        <w:ind w:left="-5" w:right="17"/>
      </w:pPr>
      <w:r>
        <w:t>Опремање шко</w:t>
      </w:r>
      <w:r>
        <w:t xml:space="preserve">ла ИКТ опремом и обезбеђивање интернета школама широм Србије су неопходни предуслови за дигитализацију просвете. Предности које дигиталне технологије пружају искоришћене су за унапређење наставног процеса кроз увођење дигиталних наставних садржаја односно </w:t>
      </w:r>
      <w:r>
        <w:t xml:space="preserve">различитих сервиса и већом применом ИКТ-а у школама. </w:t>
      </w:r>
      <w:r>
        <w:rPr>
          <w:b/>
        </w:rPr>
        <w:t>Електронски дневник</w:t>
      </w:r>
      <w:r>
        <w:t xml:space="preserve"> (есДневник), један од </w:t>
      </w:r>
      <w:r>
        <w:rPr>
          <w:b/>
        </w:rPr>
        <w:t>дигиталних сервиса</w:t>
      </w:r>
      <w:r>
        <w:t xml:space="preserve">, доступан је у </w:t>
      </w:r>
      <w:r>
        <w:rPr>
          <w:b/>
        </w:rPr>
        <w:t>1.326 школа</w:t>
      </w:r>
      <w:r>
        <w:t>. Наставља се са активностима на обезбеђивању</w:t>
      </w:r>
      <w:r>
        <w:rPr>
          <w:b/>
        </w:rPr>
        <w:t xml:space="preserve"> дигиталних образовних садржаја – дигиталних уџбеника који се обезбеђуј</w:t>
      </w:r>
      <w:r>
        <w:rPr>
          <w:b/>
        </w:rPr>
        <w:t xml:space="preserve">у </w:t>
      </w:r>
      <w:r>
        <w:t>за све ученике који образовање стичу по реформисаним плановима и програмима (у школској 2020/21. години су то први, други, трећи, пети, шести и седми разред), као и</w:t>
      </w:r>
      <w:r>
        <w:rPr>
          <w:b/>
        </w:rPr>
        <w:t xml:space="preserve"> на развоју јединственог информационог система просвете</w:t>
      </w:r>
      <w:r>
        <w:t>, а у циљу обезбеђивања квалитетног</w:t>
      </w:r>
      <w:r>
        <w:t xml:space="preserve"> и ефикасног система образовања и васпитања уз рационализацију финансирања и смањење административног оптерећења запослених. </w:t>
      </w:r>
    </w:p>
    <w:p w:rsidR="00E8309B" w:rsidRDefault="009D0949">
      <w:pPr>
        <w:spacing w:after="79"/>
        <w:ind w:left="-5" w:right="17"/>
      </w:pPr>
      <w:r>
        <w:rPr>
          <w:b/>
        </w:rPr>
        <w:t>Јавни расходи за образовање износе 3,54% БДП</w:t>
      </w:r>
      <w:r>
        <w:t>-а у буџету за 2020. што чини ниво ових расхода стабилним у последњој деценији, али су</w:t>
      </w:r>
      <w:r>
        <w:t xml:space="preserve"> испод просека јавних издвајања на нивоу ЕУ (који се крећу око 4,6% БДП). У укупним буџетским расходима, расходи за образовање учествују са 15,5%</w:t>
      </w:r>
      <w:r>
        <w:rPr>
          <w:vertAlign w:val="superscript"/>
        </w:rPr>
        <w:footnoteReference w:id="64"/>
      </w:r>
      <w:r>
        <w:t xml:space="preserve">. </w:t>
      </w:r>
    </w:p>
    <w:p w:rsidR="00E8309B" w:rsidRDefault="009D0949">
      <w:pPr>
        <w:ind w:left="-5" w:right="17"/>
      </w:pPr>
      <w:r>
        <w:rPr>
          <w:b/>
        </w:rPr>
        <w:t>Пандемија изазвана корона вирусом се првенствено одразила на затварање школа и прелазак на учење на даљину</w:t>
      </w:r>
      <w:r>
        <w:t>.</w:t>
      </w:r>
      <w:r>
        <w:t xml:space="preserve"> Министарство просвете, науке и технолошког развоја је одговорило изазовима епидемиолошке ситуације и ванредног стања тако што је </w:t>
      </w:r>
      <w:r>
        <w:rPr>
          <w:b/>
        </w:rPr>
        <w:t>ученицима свих школских узраста обезбеђена онлајн настава</w:t>
      </w:r>
      <w:r>
        <w:t xml:space="preserve"> на каналима РТС2 и РТС3, као и путем апликације „Моја школа“. Овим ј</w:t>
      </w:r>
      <w:r>
        <w:t>е омогућено да школска 2019/2020. година буде завршена без губитка наставе. У периоду 14. марта – 29. маја 2020. године, када је завршено емитовање путем медијског јавног сервиса, припремљено је и приказано близу 1.400 часова за реализацију наставе на даљи</w:t>
      </w:r>
      <w:r>
        <w:t xml:space="preserve">ну за основно образовање и васпитање. За гимназије и средње стручне школе снимљено је укупно 850 часова. </w:t>
      </w:r>
      <w:r>
        <w:rPr>
          <w:b/>
        </w:rPr>
        <w:t>Онлајн настава је организована и на 8 језика националних мањина</w:t>
      </w:r>
      <w:r>
        <w:t>. Осим онлајн наставе, организован је и онлајн тест самопроцене знања за ученике 8. разр</w:t>
      </w:r>
      <w:r>
        <w:t xml:space="preserve">еда „Самопроцена знања 2020“, који је био припрема за полагање мале матуре. </w:t>
      </w:r>
    </w:p>
    <w:p w:rsidR="00E8309B" w:rsidRDefault="009D0949">
      <w:pPr>
        <w:ind w:left="-5" w:right="17"/>
      </w:pPr>
      <w:r>
        <w:t>У новој школској години, од септембра 2020. настава у основним школама се одвија тако што ученици првог циклуса (од 1-4. разреда) свакодневно похађају наставу у одељењима подељени</w:t>
      </w:r>
      <w:r>
        <w:t>м у групе, уколико одељење броји преко 15, изузетно 18 ученика. У другом циклусу (од 5-8. разреда) образовања настава по комбинованом моделу се остварује уколико одељење броји преко 15, изузетно 18 ученика, тако што наизменично, сваког другог дана, једна г</w:t>
      </w:r>
      <w:r>
        <w:t xml:space="preserve">рупа похађа непосредну наставу у школи, а друга онлајн наставу.   </w:t>
      </w:r>
    </w:p>
    <w:p w:rsidR="00E8309B" w:rsidRDefault="009D0949">
      <w:pPr>
        <w:spacing w:after="91"/>
        <w:ind w:left="-5" w:right="17"/>
      </w:pPr>
      <w:r>
        <w:t>Високошколске установе у Србији су у новој академској 2020/2021. години ускладиле наставни процес са епидемиолошком ситуацијом у земљи и већина је прешла на „комбиновани“ модел наставе. Јед</w:t>
      </w:r>
      <w:r>
        <w:t>ан део наставе се изводи у просторијама високошколске установе док се други део наставе одржава онлајн. Теоријско градиво се може релативно ефикасно пренети и путем онлајн наставе док је потребно да се практична настава (као нпр. лабораторијске вежбе) изво</w:t>
      </w:r>
      <w:r>
        <w:t xml:space="preserve">ди у просторијама високошколских установа. </w:t>
      </w:r>
    </w:p>
    <w:p w:rsidR="00E8309B" w:rsidRDefault="009D0949">
      <w:pPr>
        <w:ind w:left="-5" w:right="17"/>
      </w:pPr>
      <w:r>
        <w:t xml:space="preserve">Целокупан образовни систем ће морати да нађе </w:t>
      </w:r>
      <w:r>
        <w:rPr>
          <w:b/>
        </w:rPr>
        <w:t>баланс</w:t>
      </w:r>
      <w:r>
        <w:t xml:space="preserve"> између два приоритета: </w:t>
      </w:r>
      <w:r>
        <w:rPr>
          <w:b/>
        </w:rPr>
        <w:t>наставка образовног процеса</w:t>
      </w:r>
      <w:r>
        <w:t xml:space="preserve"> и очувања знања код ученика са једне стране, и </w:t>
      </w:r>
      <w:r>
        <w:rPr>
          <w:b/>
        </w:rPr>
        <w:t>заштите целокупне ученичке популације од пандемије Ковид-19</w:t>
      </w:r>
      <w:r>
        <w:t xml:space="preserve"> са</w:t>
      </w:r>
      <w:r>
        <w:t xml:space="preserve"> друге стране. Настава доступна путем канала јавног сервиса је равноправнија (са аспекта доступности телевизора), али је њена ефективност смањена јер сама настава није интерактивна. Са друге стране, настава путем интернета је интерактивна, али има нижи сте</w:t>
      </w:r>
      <w:r>
        <w:t xml:space="preserve">пен равноправности јер мањи број деце, поготву из маргинализованих група, има приступ интернету. Поред доступности компјутера и интернета, потребна је и солидна брзина интернет везе за видео преносе. </w:t>
      </w:r>
    </w:p>
    <w:p w:rsidR="00E8309B" w:rsidRDefault="009D0949">
      <w:pPr>
        <w:spacing w:after="321"/>
        <w:ind w:left="-5" w:right="17"/>
      </w:pPr>
      <w:r>
        <w:rPr>
          <w:b/>
        </w:rPr>
        <w:t>Проблем обучености професора у ИКТ технологијама је при</w:t>
      </w:r>
      <w:r>
        <w:rPr>
          <w:b/>
        </w:rPr>
        <w:t>сутан</w:t>
      </w:r>
      <w:r>
        <w:t xml:space="preserve">. Србија се налази у добром положају што се тиче дигиталних компетенција професора јер постоји посебан наставни план и програм за развој дигиталних вештина професора, а такође се проверава њихова дигитална компетенција. И поред тога, 56% наставника у </w:t>
      </w:r>
      <w:r>
        <w:t>средњим стручним школама наводи да им је потребан висок или средњи ниво додатног стручног усавршавања из области ИКТ</w:t>
      </w:r>
      <w:r>
        <w:rPr>
          <w:vertAlign w:val="superscript"/>
        </w:rPr>
        <w:footnoteReference w:id="65"/>
      </w:r>
      <w:r>
        <w:t xml:space="preserve">. </w:t>
      </w:r>
    </w:p>
    <w:p w:rsidR="00E8309B" w:rsidRDefault="009D0949">
      <w:pPr>
        <w:spacing w:after="246" w:line="271" w:lineRule="auto"/>
        <w:ind w:left="-5" w:right="9"/>
      </w:pPr>
      <w:r>
        <w:rPr>
          <w:b/>
        </w:rPr>
        <w:t xml:space="preserve">б) Реформе </w:t>
      </w:r>
    </w:p>
    <w:p w:rsidR="00E8309B" w:rsidRDefault="009D0949">
      <w:pPr>
        <w:tabs>
          <w:tab w:val="center" w:pos="2610"/>
          <w:tab w:val="center" w:pos="3710"/>
          <w:tab w:val="center" w:pos="5244"/>
          <w:tab w:val="center" w:pos="7551"/>
          <w:tab w:val="right" w:pos="9665"/>
        </w:tabs>
        <w:ind w:left="-15" w:right="0" w:firstLine="0"/>
        <w:jc w:val="left"/>
      </w:pPr>
      <w:r>
        <w:rPr>
          <w:b/>
          <w:u w:val="single" w:color="000000"/>
        </w:rPr>
        <w:t xml:space="preserve">СТРУКТУРНА </w:t>
      </w:r>
      <w:r>
        <w:rPr>
          <w:b/>
          <w:u w:val="single" w:color="000000"/>
        </w:rPr>
        <w:tab/>
        <w:t xml:space="preserve">РЕФОРМА </w:t>
      </w:r>
      <w:r>
        <w:rPr>
          <w:b/>
          <w:u w:val="single" w:color="000000"/>
        </w:rPr>
        <w:tab/>
        <w:t>20:</w:t>
      </w:r>
      <w:r>
        <w:rPr>
          <w:b/>
        </w:rPr>
        <w:t xml:space="preserve"> </w:t>
      </w:r>
      <w:r>
        <w:rPr>
          <w:b/>
        </w:rPr>
        <w:tab/>
      </w:r>
      <w:r>
        <w:t xml:space="preserve">КВАЛИФИКАЦИЈЕ </w:t>
      </w:r>
      <w:r>
        <w:tab/>
        <w:t xml:space="preserve">ОРИЈЕНТИСАНЕ </w:t>
      </w:r>
      <w:r>
        <w:tab/>
        <w:t xml:space="preserve">ПРЕМА </w:t>
      </w:r>
    </w:p>
    <w:p w:rsidR="00E8309B" w:rsidRDefault="009D0949">
      <w:pPr>
        <w:spacing w:after="156"/>
        <w:ind w:left="-5" w:right="17"/>
      </w:pPr>
      <w:r>
        <w:t xml:space="preserve">ПОТРЕБАМА ТРЖИШТА РАДА </w:t>
      </w:r>
    </w:p>
    <w:p w:rsidR="00E8309B" w:rsidRDefault="009D0949">
      <w:pPr>
        <w:spacing w:after="79" w:line="271" w:lineRule="auto"/>
        <w:ind w:left="-5" w:right="9"/>
      </w:pPr>
      <w:r>
        <w:rPr>
          <w:b/>
        </w:rPr>
        <w:t>1.</w:t>
      </w:r>
      <w:r>
        <w:rPr>
          <w:rFonts w:ascii="Arial" w:eastAsia="Arial" w:hAnsi="Arial" w:cs="Arial"/>
          <w:b/>
        </w:rPr>
        <w:t xml:space="preserve"> </w:t>
      </w:r>
      <w:r>
        <w:rPr>
          <w:b/>
        </w:rPr>
        <w:t xml:space="preserve">Опис структурне реформе </w:t>
      </w:r>
    </w:p>
    <w:p w:rsidR="00E8309B" w:rsidRDefault="009D0949">
      <w:pPr>
        <w:ind w:left="-5" w:right="17"/>
      </w:pPr>
      <w:r>
        <w:t>Развојем дуалног образовања и васпитања и имплементацијом система Националног оквира квалификација у Србији (НОКС) ствара се систем у ком квалификација представља израз стварно стечених компетенција, а који одговара на потребе привреде и тржишта рада, савр</w:t>
      </w:r>
      <w:r>
        <w:t xml:space="preserve">емених техничко-технолошких промена, што за циљ има повећање запошљивости младих.  </w:t>
      </w:r>
    </w:p>
    <w:p w:rsidR="00E8309B" w:rsidRDefault="009D0949">
      <w:pPr>
        <w:ind w:left="-5" w:right="17"/>
      </w:pPr>
      <w:r>
        <w:t>У наредном периоду наставиће се са пилотирањем поступка признавања претходног учења (ППУ) и имплементацијом ППУ, успостављањем стандарда и процедура за самовредновање и спо</w:t>
      </w:r>
      <w:r>
        <w:t>љашњу проверу квалитета јавно признатих организатора активности (ЈПОА), са промотивним активностима Националног модела дуалног образовања и васпитања у складу са усвојеном Стратегијом комуникације која пружа референтни оквир и правце за унапређивање комуни</w:t>
      </w:r>
      <w:r>
        <w:t>кације у процесу даљег развоја дуалног образовања у Србији, као и развој нових стандарда квалификација у средњем стручном образовању и модернизација постојећих образовних профила који тренутно нису засновани на стандардима квалификација. Такође, биће реали</w:t>
      </w:r>
      <w:r>
        <w:t>зоване и активности на успостављању регионалних тренинг центарa у оквиру средњих стручних школа као вид подршке како формалном дуалном тако и неформалном образовању, кроз обуке, стручно оспособљавање, доквалификације и преквалификације кадрова за које се у</w:t>
      </w:r>
      <w:r>
        <w:t>каже потреба на тржишту рада, будући да исте у претходном периоду нису реализоване због ситуације изазване Ковид-19. Одређени регионални тренинг центри ће бити успостављени у оквиру постојећих капацитета средњих стручних школа уз осавремењивање опреме, док</w:t>
      </w:r>
      <w:r>
        <w:t xml:space="preserve"> ће за друге бити изграђена и потребна инфраструктура. Ради осигурања квалитета рада са одраслима, регионални тренинг центри ће бити укључени у систем ЈПОА. </w:t>
      </w:r>
    </w:p>
    <w:p w:rsidR="00E8309B" w:rsidRDefault="009D0949">
      <w:pPr>
        <w:spacing w:after="6"/>
        <w:ind w:left="-5" w:right="17"/>
      </w:pPr>
      <w:r>
        <w:t xml:space="preserve">Поред раније започетих активности, у наредном периоду биће реализоване и нове активности. </w:t>
      </w:r>
    </w:p>
    <w:p w:rsidR="00E8309B" w:rsidRDefault="009D0949">
      <w:pPr>
        <w:spacing w:after="89"/>
        <w:ind w:left="-5" w:right="17"/>
      </w:pPr>
      <w:r>
        <w:t>Једна о</w:t>
      </w:r>
      <w:r>
        <w:t xml:space="preserve">д њих се односи на успостављање и примену оквира за праћење и вредновање Националног модела дуалног образовања и дуалних образовних профила којим ће се омогућити доношење одлука заснованих на подацима и осигурати квалитет дуалног образовања. Посебна пажња </w:t>
      </w:r>
      <w:r>
        <w:t>биће посвећена развијању тржишно релевантних дуалних програма у циљу подстицања ревитализације домаћих компанија као и привлачењу страних инвестиција (компанија) као и  израда студија  за потребе развоја дуалних образовних профила. Ради осигурања транспаре</w:t>
      </w:r>
      <w:r>
        <w:t xml:space="preserve">нтности система квалификација у наредном периоду биће предузимане активности на успостављању Регистра НОКС за све нивое НОКС. </w:t>
      </w:r>
    </w:p>
    <w:p w:rsidR="00E8309B" w:rsidRDefault="009D0949">
      <w:pPr>
        <w:spacing w:after="150"/>
        <w:ind w:left="-5" w:right="17"/>
      </w:pPr>
      <w:r>
        <w:t xml:space="preserve">Реформа доприноси остваривању </w:t>
      </w:r>
      <w:r>
        <w:rPr>
          <w:b/>
        </w:rPr>
        <w:t>ЦОР 4.</w:t>
      </w:r>
      <w:r>
        <w:t xml:space="preserve"> Обезбедити инклузивно и праведно квалитетно образовање и промовисати могућност целоживотног </w:t>
      </w:r>
      <w:r>
        <w:t xml:space="preserve">учења за све. Развој дуалног образовања ће имати утицај на циљ </w:t>
      </w:r>
      <w:r>
        <w:rPr>
          <w:b/>
        </w:rPr>
        <w:t>ЦОР 4.3.</w:t>
      </w:r>
      <w:r>
        <w:t xml:space="preserve"> До 2030. обезбедити једнаку доступност приступачног и квалитетног стручног образовања на свим нивоима, укључујући и универзитетско, за све жене и мушкарце и на </w:t>
      </w:r>
      <w:r>
        <w:rPr>
          <w:b/>
        </w:rPr>
        <w:t>ЦОР 4.4.</w:t>
      </w:r>
      <w:r>
        <w:t xml:space="preserve"> </w:t>
      </w:r>
      <w:r>
        <w:t xml:space="preserve">До 2030. значајно повећати број младих и одраслих који имају одговарајуће вештине, укључујући техничке и стручне, за запошљавање, достојне послове и предузетништво. </w:t>
      </w:r>
    </w:p>
    <w:p w:rsidR="00E8309B" w:rsidRDefault="009D0949">
      <w:pPr>
        <w:numPr>
          <w:ilvl w:val="0"/>
          <w:numId w:val="43"/>
        </w:numPr>
        <w:spacing w:after="125" w:line="271" w:lineRule="auto"/>
        <w:ind w:right="9" w:hanging="427"/>
      </w:pPr>
      <w:r>
        <w:rPr>
          <w:b/>
        </w:rPr>
        <w:t xml:space="preserve">Ковид-19 – ефекти, мере и изазови </w:t>
      </w:r>
    </w:p>
    <w:p w:rsidR="00E8309B" w:rsidRDefault="009D0949">
      <w:pPr>
        <w:spacing w:after="159"/>
        <w:ind w:left="-5" w:right="17"/>
      </w:pPr>
      <w:r>
        <w:t>Област образовања је једна од области на коју је значај</w:t>
      </w:r>
      <w:r>
        <w:t>но утицала пандемија вируса Ковид-19 због које су се активности предвиђене структурним реформама у овој области морале мењати и прилагођавати. Као један од одговора на нову епидемиолошку ситуацију, креираће се онлајн база која ће садржати наставне јединице</w:t>
      </w:r>
      <w:r>
        <w:t xml:space="preserve"> које се реализују у образовним инситуцијама и теме за учење кроз рад у компанијама.</w:t>
      </w:r>
      <w:r>
        <w:rPr>
          <w:b/>
        </w:rPr>
        <w:t xml:space="preserve"> </w:t>
      </w:r>
    </w:p>
    <w:p w:rsidR="00E8309B" w:rsidRDefault="009D0949">
      <w:pPr>
        <w:numPr>
          <w:ilvl w:val="0"/>
          <w:numId w:val="43"/>
        </w:numPr>
        <w:spacing w:after="0" w:line="271" w:lineRule="auto"/>
        <w:ind w:right="9" w:hanging="427"/>
      </w:pPr>
      <w:r>
        <w:rPr>
          <w:b/>
        </w:rPr>
        <w:t xml:space="preserve">Планиране активности по годинама </w:t>
      </w:r>
    </w:p>
    <w:tbl>
      <w:tblPr>
        <w:tblStyle w:val="TableGrid"/>
        <w:tblW w:w="9610" w:type="dxa"/>
        <w:tblInd w:w="10" w:type="dxa"/>
        <w:tblCellMar>
          <w:top w:w="7" w:type="dxa"/>
          <w:left w:w="58" w:type="dxa"/>
          <w:bottom w:w="0" w:type="dxa"/>
          <w:right w:w="8" w:type="dxa"/>
        </w:tblCellMar>
        <w:tblLook w:val="04A0" w:firstRow="1" w:lastRow="0" w:firstColumn="1" w:lastColumn="0" w:noHBand="0" w:noVBand="1"/>
      </w:tblPr>
      <w:tblGrid>
        <w:gridCol w:w="418"/>
        <w:gridCol w:w="4132"/>
        <w:gridCol w:w="419"/>
        <w:gridCol w:w="421"/>
        <w:gridCol w:w="422"/>
        <w:gridCol w:w="421"/>
        <w:gridCol w:w="424"/>
        <w:gridCol w:w="421"/>
        <w:gridCol w:w="423"/>
        <w:gridCol w:w="420"/>
        <w:gridCol w:w="424"/>
        <w:gridCol w:w="422"/>
        <w:gridCol w:w="422"/>
        <w:gridCol w:w="420"/>
      </w:tblGrid>
      <w:tr w:rsidR="00E8309B">
        <w:trPr>
          <w:trHeight w:val="331"/>
        </w:trPr>
        <w:tc>
          <w:tcPr>
            <w:tcW w:w="418" w:type="dxa"/>
            <w:vMerge w:val="restart"/>
            <w:tcBorders>
              <w:top w:val="single" w:sz="8" w:space="0" w:color="000000"/>
              <w:left w:val="single" w:sz="8" w:space="0" w:color="000000"/>
              <w:bottom w:val="single" w:sz="8" w:space="0" w:color="000000"/>
              <w:right w:val="single" w:sz="8" w:space="0" w:color="000000"/>
            </w:tcBorders>
            <w:vAlign w:val="center"/>
          </w:tcPr>
          <w:p w:rsidR="00E8309B" w:rsidRDefault="009D0949">
            <w:pPr>
              <w:spacing w:after="0" w:line="259" w:lineRule="auto"/>
              <w:ind w:left="24" w:right="0" w:firstLine="0"/>
            </w:pPr>
            <w:r>
              <w:rPr>
                <w:b/>
                <w:sz w:val="20"/>
              </w:rPr>
              <w:t xml:space="preserve">РБ </w:t>
            </w:r>
          </w:p>
        </w:tc>
        <w:tc>
          <w:tcPr>
            <w:tcW w:w="4132" w:type="dxa"/>
            <w:vMerge w:val="restart"/>
            <w:tcBorders>
              <w:top w:val="single" w:sz="8" w:space="0" w:color="000000"/>
              <w:left w:val="single" w:sz="8" w:space="0" w:color="000000"/>
              <w:bottom w:val="single" w:sz="8" w:space="0" w:color="000000"/>
              <w:right w:val="single" w:sz="8" w:space="0" w:color="000000"/>
            </w:tcBorders>
            <w:vAlign w:val="center"/>
          </w:tcPr>
          <w:p w:rsidR="00E8309B" w:rsidRDefault="009D0949">
            <w:pPr>
              <w:spacing w:after="0" w:line="259" w:lineRule="auto"/>
              <w:ind w:left="0" w:right="0" w:firstLine="0"/>
              <w:jc w:val="left"/>
            </w:pPr>
            <w:r>
              <w:rPr>
                <w:b/>
                <w:sz w:val="20"/>
              </w:rPr>
              <w:t xml:space="preserve">Планиране активности </w:t>
            </w:r>
          </w:p>
        </w:tc>
        <w:tc>
          <w:tcPr>
            <w:tcW w:w="1263" w:type="dxa"/>
            <w:gridSpan w:val="3"/>
            <w:tcBorders>
              <w:top w:val="single" w:sz="8" w:space="0" w:color="000000"/>
              <w:left w:val="single" w:sz="8" w:space="0" w:color="000000"/>
              <w:bottom w:val="single" w:sz="4" w:space="0" w:color="000000"/>
              <w:right w:val="nil"/>
            </w:tcBorders>
          </w:tcPr>
          <w:p w:rsidR="00E8309B" w:rsidRDefault="009D0949">
            <w:pPr>
              <w:spacing w:after="0" w:line="259" w:lineRule="auto"/>
              <w:ind w:left="585" w:right="0" w:firstLine="0"/>
              <w:jc w:val="left"/>
            </w:pPr>
            <w:r>
              <w:rPr>
                <w:b/>
                <w:sz w:val="20"/>
              </w:rPr>
              <w:t xml:space="preserve">2021 </w:t>
            </w:r>
          </w:p>
        </w:tc>
        <w:tc>
          <w:tcPr>
            <w:tcW w:w="421" w:type="dxa"/>
            <w:tcBorders>
              <w:top w:val="single" w:sz="8" w:space="0" w:color="000000"/>
              <w:left w:val="nil"/>
              <w:bottom w:val="single" w:sz="4" w:space="0" w:color="000000"/>
              <w:right w:val="single" w:sz="8" w:space="0" w:color="000000"/>
            </w:tcBorders>
          </w:tcPr>
          <w:p w:rsidR="00E8309B" w:rsidRDefault="00E8309B">
            <w:pPr>
              <w:spacing w:after="160" w:line="259" w:lineRule="auto"/>
              <w:ind w:left="0" w:right="0" w:firstLine="0"/>
              <w:jc w:val="left"/>
            </w:pPr>
          </w:p>
        </w:tc>
        <w:tc>
          <w:tcPr>
            <w:tcW w:w="424" w:type="dxa"/>
            <w:tcBorders>
              <w:top w:val="single" w:sz="8" w:space="0" w:color="000000"/>
              <w:left w:val="single" w:sz="8" w:space="0" w:color="000000"/>
              <w:bottom w:val="single" w:sz="4" w:space="0" w:color="000000"/>
              <w:right w:val="nil"/>
            </w:tcBorders>
          </w:tcPr>
          <w:p w:rsidR="00E8309B" w:rsidRDefault="00E8309B">
            <w:pPr>
              <w:spacing w:after="160" w:line="259" w:lineRule="auto"/>
              <w:ind w:left="0" w:right="0" w:firstLine="0"/>
              <w:jc w:val="left"/>
            </w:pPr>
          </w:p>
        </w:tc>
        <w:tc>
          <w:tcPr>
            <w:tcW w:w="1264" w:type="dxa"/>
            <w:gridSpan w:val="3"/>
            <w:tcBorders>
              <w:top w:val="single" w:sz="8" w:space="0" w:color="000000"/>
              <w:left w:val="nil"/>
              <w:bottom w:val="single" w:sz="4" w:space="0" w:color="000000"/>
              <w:right w:val="single" w:sz="8" w:space="0" w:color="000000"/>
            </w:tcBorders>
          </w:tcPr>
          <w:p w:rsidR="00E8309B" w:rsidRDefault="009D0949">
            <w:pPr>
              <w:spacing w:after="0" w:line="259" w:lineRule="auto"/>
              <w:ind w:left="164" w:right="0" w:firstLine="0"/>
              <w:jc w:val="left"/>
            </w:pPr>
            <w:r>
              <w:rPr>
                <w:b/>
                <w:sz w:val="20"/>
              </w:rPr>
              <w:t xml:space="preserve">2022 </w:t>
            </w:r>
          </w:p>
        </w:tc>
        <w:tc>
          <w:tcPr>
            <w:tcW w:w="424" w:type="dxa"/>
            <w:tcBorders>
              <w:top w:val="single" w:sz="8" w:space="0" w:color="000000"/>
              <w:left w:val="single" w:sz="8" w:space="0" w:color="000000"/>
              <w:bottom w:val="single" w:sz="4" w:space="0" w:color="000000"/>
              <w:right w:val="nil"/>
            </w:tcBorders>
          </w:tcPr>
          <w:p w:rsidR="00E8309B" w:rsidRDefault="00E8309B">
            <w:pPr>
              <w:spacing w:after="160" w:line="259" w:lineRule="auto"/>
              <w:ind w:left="0" w:right="0" w:firstLine="0"/>
              <w:jc w:val="left"/>
            </w:pPr>
          </w:p>
        </w:tc>
        <w:tc>
          <w:tcPr>
            <w:tcW w:w="845" w:type="dxa"/>
            <w:gridSpan w:val="2"/>
            <w:tcBorders>
              <w:top w:val="single" w:sz="8" w:space="0" w:color="000000"/>
              <w:left w:val="nil"/>
              <w:bottom w:val="single" w:sz="4" w:space="0" w:color="000000"/>
              <w:right w:val="nil"/>
            </w:tcBorders>
          </w:tcPr>
          <w:p w:rsidR="00E8309B" w:rsidRDefault="009D0949">
            <w:pPr>
              <w:spacing w:after="0" w:line="259" w:lineRule="auto"/>
              <w:ind w:left="0" w:right="49" w:firstLine="0"/>
              <w:jc w:val="center"/>
            </w:pPr>
            <w:r>
              <w:rPr>
                <w:b/>
                <w:sz w:val="20"/>
              </w:rPr>
              <w:t xml:space="preserve">2023 </w:t>
            </w:r>
          </w:p>
        </w:tc>
        <w:tc>
          <w:tcPr>
            <w:tcW w:w="420" w:type="dxa"/>
            <w:tcBorders>
              <w:top w:val="single" w:sz="8" w:space="0" w:color="000000"/>
              <w:left w:val="nil"/>
              <w:bottom w:val="single" w:sz="4" w:space="0" w:color="000000"/>
              <w:right w:val="single" w:sz="8" w:space="0" w:color="000000"/>
            </w:tcBorders>
          </w:tcPr>
          <w:p w:rsidR="00E8309B" w:rsidRDefault="00E8309B">
            <w:pPr>
              <w:spacing w:after="160" w:line="259" w:lineRule="auto"/>
              <w:ind w:left="0" w:right="0" w:firstLine="0"/>
              <w:jc w:val="left"/>
            </w:pPr>
          </w:p>
        </w:tc>
      </w:tr>
      <w:tr w:rsidR="00E8309B">
        <w:trPr>
          <w:trHeight w:val="326"/>
        </w:trPr>
        <w:tc>
          <w:tcPr>
            <w:tcW w:w="0" w:type="auto"/>
            <w:vMerge/>
            <w:tcBorders>
              <w:top w:val="nil"/>
              <w:left w:val="single" w:sz="8" w:space="0" w:color="000000"/>
              <w:bottom w:val="single" w:sz="8" w:space="0" w:color="000000"/>
              <w:right w:val="single" w:sz="8" w:space="0" w:color="000000"/>
            </w:tcBorders>
          </w:tcPr>
          <w:p w:rsidR="00E8309B" w:rsidRDefault="00E8309B">
            <w:pPr>
              <w:spacing w:after="160" w:line="259" w:lineRule="auto"/>
              <w:ind w:left="0" w:right="0" w:firstLine="0"/>
              <w:jc w:val="left"/>
            </w:pPr>
          </w:p>
        </w:tc>
        <w:tc>
          <w:tcPr>
            <w:tcW w:w="0" w:type="auto"/>
            <w:vMerge/>
            <w:tcBorders>
              <w:top w:val="nil"/>
              <w:left w:val="single" w:sz="8" w:space="0" w:color="000000"/>
              <w:bottom w:val="single" w:sz="8" w:space="0" w:color="000000"/>
              <w:right w:val="single" w:sz="8" w:space="0" w:color="000000"/>
            </w:tcBorders>
          </w:tcPr>
          <w:p w:rsidR="00E8309B" w:rsidRDefault="00E8309B">
            <w:pPr>
              <w:spacing w:after="160" w:line="259" w:lineRule="auto"/>
              <w:ind w:left="0" w:right="0" w:firstLine="0"/>
              <w:jc w:val="left"/>
            </w:pPr>
          </w:p>
        </w:tc>
        <w:tc>
          <w:tcPr>
            <w:tcW w:w="419" w:type="dxa"/>
            <w:tcBorders>
              <w:top w:val="single" w:sz="4" w:space="0" w:color="000000"/>
              <w:left w:val="single" w:sz="8" w:space="0" w:color="000000"/>
              <w:bottom w:val="single" w:sz="8" w:space="0" w:color="000000"/>
              <w:right w:val="single" w:sz="4" w:space="0" w:color="000000"/>
            </w:tcBorders>
          </w:tcPr>
          <w:p w:rsidR="00E8309B" w:rsidRDefault="009D0949">
            <w:pPr>
              <w:spacing w:after="0" w:line="259" w:lineRule="auto"/>
              <w:ind w:left="42" w:right="0" w:firstLine="0"/>
              <w:jc w:val="left"/>
            </w:pPr>
            <w:r>
              <w:rPr>
                <w:i/>
                <w:sz w:val="18"/>
              </w:rPr>
              <w:t xml:space="preserve">Q1 </w:t>
            </w:r>
          </w:p>
        </w:tc>
        <w:tc>
          <w:tcPr>
            <w:tcW w:w="421" w:type="dxa"/>
            <w:tcBorders>
              <w:top w:val="single" w:sz="4" w:space="0" w:color="000000"/>
              <w:left w:val="single" w:sz="4" w:space="0" w:color="000000"/>
              <w:bottom w:val="single" w:sz="8" w:space="0" w:color="000000"/>
              <w:right w:val="single" w:sz="4" w:space="0" w:color="000000"/>
            </w:tcBorders>
          </w:tcPr>
          <w:p w:rsidR="00E8309B" w:rsidRDefault="009D0949">
            <w:pPr>
              <w:spacing w:after="0" w:line="259" w:lineRule="auto"/>
              <w:ind w:left="43" w:right="0" w:firstLine="0"/>
              <w:jc w:val="left"/>
            </w:pPr>
            <w:r>
              <w:rPr>
                <w:i/>
                <w:sz w:val="18"/>
              </w:rPr>
              <w:t xml:space="preserve">Q2 </w:t>
            </w:r>
          </w:p>
        </w:tc>
        <w:tc>
          <w:tcPr>
            <w:tcW w:w="422" w:type="dxa"/>
            <w:tcBorders>
              <w:top w:val="single" w:sz="4" w:space="0" w:color="000000"/>
              <w:left w:val="single" w:sz="4" w:space="0" w:color="000000"/>
              <w:bottom w:val="single" w:sz="8" w:space="0" w:color="000000"/>
              <w:right w:val="single" w:sz="4" w:space="0" w:color="000000"/>
            </w:tcBorders>
          </w:tcPr>
          <w:p w:rsidR="00E8309B" w:rsidRDefault="009D0949">
            <w:pPr>
              <w:spacing w:after="0" w:line="259" w:lineRule="auto"/>
              <w:ind w:left="44" w:right="0" w:firstLine="0"/>
              <w:jc w:val="left"/>
            </w:pPr>
            <w:r>
              <w:rPr>
                <w:i/>
                <w:sz w:val="18"/>
              </w:rPr>
              <w:t xml:space="preserve">Q3 </w:t>
            </w:r>
          </w:p>
        </w:tc>
        <w:tc>
          <w:tcPr>
            <w:tcW w:w="421" w:type="dxa"/>
            <w:tcBorders>
              <w:top w:val="single" w:sz="4" w:space="0" w:color="000000"/>
              <w:left w:val="single" w:sz="4" w:space="0" w:color="000000"/>
              <w:bottom w:val="single" w:sz="8" w:space="0" w:color="000000"/>
              <w:right w:val="single" w:sz="8" w:space="0" w:color="000000"/>
            </w:tcBorders>
          </w:tcPr>
          <w:p w:rsidR="00E8309B" w:rsidRDefault="009D0949">
            <w:pPr>
              <w:spacing w:after="0" w:line="259" w:lineRule="auto"/>
              <w:ind w:left="44" w:right="0" w:firstLine="0"/>
              <w:jc w:val="left"/>
            </w:pPr>
            <w:r>
              <w:rPr>
                <w:i/>
                <w:sz w:val="18"/>
              </w:rPr>
              <w:t xml:space="preserve">Q4 </w:t>
            </w:r>
          </w:p>
        </w:tc>
        <w:tc>
          <w:tcPr>
            <w:tcW w:w="424" w:type="dxa"/>
            <w:tcBorders>
              <w:top w:val="single" w:sz="4" w:space="0" w:color="000000"/>
              <w:left w:val="single" w:sz="8" w:space="0" w:color="000000"/>
              <w:bottom w:val="single" w:sz="8" w:space="0" w:color="000000"/>
              <w:right w:val="single" w:sz="4" w:space="0" w:color="000000"/>
            </w:tcBorders>
          </w:tcPr>
          <w:p w:rsidR="00E8309B" w:rsidRDefault="009D0949">
            <w:pPr>
              <w:spacing w:after="0" w:line="259" w:lineRule="auto"/>
              <w:ind w:left="46" w:right="0" w:firstLine="0"/>
              <w:jc w:val="left"/>
            </w:pPr>
            <w:r>
              <w:rPr>
                <w:i/>
                <w:sz w:val="18"/>
              </w:rPr>
              <w:t xml:space="preserve">Q1 </w:t>
            </w:r>
          </w:p>
        </w:tc>
        <w:tc>
          <w:tcPr>
            <w:tcW w:w="421" w:type="dxa"/>
            <w:tcBorders>
              <w:top w:val="single" w:sz="4" w:space="0" w:color="000000"/>
              <w:left w:val="single" w:sz="4" w:space="0" w:color="000000"/>
              <w:bottom w:val="single" w:sz="8" w:space="0" w:color="000000"/>
              <w:right w:val="single" w:sz="4" w:space="0" w:color="000000"/>
            </w:tcBorders>
          </w:tcPr>
          <w:p w:rsidR="00E8309B" w:rsidRDefault="009D0949">
            <w:pPr>
              <w:spacing w:after="0" w:line="259" w:lineRule="auto"/>
              <w:ind w:left="44" w:right="0" w:firstLine="0"/>
              <w:jc w:val="left"/>
            </w:pPr>
            <w:r>
              <w:rPr>
                <w:i/>
                <w:sz w:val="18"/>
              </w:rPr>
              <w:t xml:space="preserve">Q2 </w:t>
            </w:r>
          </w:p>
        </w:tc>
        <w:tc>
          <w:tcPr>
            <w:tcW w:w="423" w:type="dxa"/>
            <w:tcBorders>
              <w:top w:val="single" w:sz="4" w:space="0" w:color="000000"/>
              <w:left w:val="single" w:sz="4" w:space="0" w:color="000000"/>
              <w:bottom w:val="single" w:sz="8" w:space="0" w:color="000000"/>
              <w:right w:val="single" w:sz="4" w:space="0" w:color="000000"/>
            </w:tcBorders>
          </w:tcPr>
          <w:p w:rsidR="00E8309B" w:rsidRDefault="009D0949">
            <w:pPr>
              <w:spacing w:after="0" w:line="259" w:lineRule="auto"/>
              <w:ind w:left="46" w:right="0" w:firstLine="0"/>
              <w:jc w:val="left"/>
            </w:pPr>
            <w:r>
              <w:rPr>
                <w:i/>
                <w:sz w:val="18"/>
              </w:rPr>
              <w:t xml:space="preserve">Q3 </w:t>
            </w:r>
          </w:p>
        </w:tc>
        <w:tc>
          <w:tcPr>
            <w:tcW w:w="420" w:type="dxa"/>
            <w:tcBorders>
              <w:top w:val="single" w:sz="4" w:space="0" w:color="000000"/>
              <w:left w:val="single" w:sz="4" w:space="0" w:color="000000"/>
              <w:bottom w:val="single" w:sz="8" w:space="0" w:color="000000"/>
              <w:right w:val="single" w:sz="8" w:space="0" w:color="000000"/>
            </w:tcBorders>
          </w:tcPr>
          <w:p w:rsidR="00E8309B" w:rsidRDefault="009D0949">
            <w:pPr>
              <w:spacing w:after="0" w:line="259" w:lineRule="auto"/>
              <w:ind w:left="43" w:right="0" w:firstLine="0"/>
              <w:jc w:val="left"/>
            </w:pPr>
            <w:r>
              <w:rPr>
                <w:i/>
                <w:sz w:val="18"/>
              </w:rPr>
              <w:t xml:space="preserve">Q4 </w:t>
            </w:r>
          </w:p>
        </w:tc>
        <w:tc>
          <w:tcPr>
            <w:tcW w:w="424" w:type="dxa"/>
            <w:tcBorders>
              <w:top w:val="single" w:sz="4" w:space="0" w:color="000000"/>
              <w:left w:val="single" w:sz="8" w:space="0" w:color="000000"/>
              <w:bottom w:val="single" w:sz="8" w:space="0" w:color="000000"/>
              <w:right w:val="single" w:sz="4" w:space="0" w:color="000000"/>
            </w:tcBorders>
          </w:tcPr>
          <w:p w:rsidR="00E8309B" w:rsidRDefault="009D0949">
            <w:pPr>
              <w:spacing w:after="0" w:line="259" w:lineRule="auto"/>
              <w:ind w:left="46" w:right="0" w:firstLine="0"/>
              <w:jc w:val="left"/>
            </w:pPr>
            <w:r>
              <w:rPr>
                <w:i/>
                <w:sz w:val="18"/>
              </w:rPr>
              <w:t xml:space="preserve">Q1 </w:t>
            </w:r>
          </w:p>
        </w:tc>
        <w:tc>
          <w:tcPr>
            <w:tcW w:w="422" w:type="dxa"/>
            <w:tcBorders>
              <w:top w:val="single" w:sz="4" w:space="0" w:color="000000"/>
              <w:left w:val="single" w:sz="4" w:space="0" w:color="000000"/>
              <w:bottom w:val="single" w:sz="8" w:space="0" w:color="000000"/>
              <w:right w:val="single" w:sz="4" w:space="0" w:color="000000"/>
            </w:tcBorders>
          </w:tcPr>
          <w:p w:rsidR="00E8309B" w:rsidRDefault="009D0949">
            <w:pPr>
              <w:spacing w:after="0" w:line="259" w:lineRule="auto"/>
              <w:ind w:left="44" w:right="0" w:firstLine="0"/>
              <w:jc w:val="left"/>
            </w:pPr>
            <w:r>
              <w:rPr>
                <w:i/>
                <w:sz w:val="18"/>
              </w:rPr>
              <w:t xml:space="preserve">Q2 </w:t>
            </w:r>
          </w:p>
        </w:tc>
        <w:tc>
          <w:tcPr>
            <w:tcW w:w="422" w:type="dxa"/>
            <w:tcBorders>
              <w:top w:val="single" w:sz="4" w:space="0" w:color="000000"/>
              <w:left w:val="single" w:sz="4" w:space="0" w:color="000000"/>
              <w:bottom w:val="single" w:sz="8" w:space="0" w:color="000000"/>
              <w:right w:val="single" w:sz="4" w:space="0" w:color="000000"/>
            </w:tcBorders>
          </w:tcPr>
          <w:p w:rsidR="00E8309B" w:rsidRDefault="009D0949">
            <w:pPr>
              <w:spacing w:after="0" w:line="259" w:lineRule="auto"/>
              <w:ind w:left="44" w:right="0" w:firstLine="0"/>
              <w:jc w:val="left"/>
            </w:pPr>
            <w:r>
              <w:rPr>
                <w:i/>
                <w:sz w:val="18"/>
              </w:rPr>
              <w:t xml:space="preserve">Q3 </w:t>
            </w:r>
          </w:p>
        </w:tc>
        <w:tc>
          <w:tcPr>
            <w:tcW w:w="420" w:type="dxa"/>
            <w:tcBorders>
              <w:top w:val="single" w:sz="4" w:space="0" w:color="000000"/>
              <w:left w:val="single" w:sz="4" w:space="0" w:color="000000"/>
              <w:bottom w:val="single" w:sz="8" w:space="0" w:color="000000"/>
              <w:right w:val="single" w:sz="8" w:space="0" w:color="000000"/>
            </w:tcBorders>
          </w:tcPr>
          <w:p w:rsidR="00E8309B" w:rsidRDefault="009D0949">
            <w:pPr>
              <w:spacing w:after="0" w:line="259" w:lineRule="auto"/>
              <w:ind w:left="44" w:right="0" w:firstLine="0"/>
              <w:jc w:val="left"/>
            </w:pPr>
            <w:r>
              <w:rPr>
                <w:i/>
                <w:sz w:val="18"/>
              </w:rPr>
              <w:t xml:space="preserve">Q4 </w:t>
            </w:r>
          </w:p>
        </w:tc>
      </w:tr>
      <w:tr w:rsidR="00E8309B">
        <w:trPr>
          <w:trHeight w:val="473"/>
        </w:trPr>
        <w:tc>
          <w:tcPr>
            <w:tcW w:w="418" w:type="dxa"/>
            <w:tcBorders>
              <w:top w:val="single" w:sz="8" w:space="0" w:color="000000"/>
              <w:left w:val="single" w:sz="8" w:space="0" w:color="000000"/>
              <w:bottom w:val="single" w:sz="4" w:space="0" w:color="000000"/>
              <w:right w:val="single" w:sz="8" w:space="0" w:color="000000"/>
            </w:tcBorders>
          </w:tcPr>
          <w:p w:rsidR="00E8309B" w:rsidRDefault="009D0949">
            <w:pPr>
              <w:spacing w:after="0" w:line="259" w:lineRule="auto"/>
              <w:ind w:left="0" w:right="51" w:firstLine="0"/>
              <w:jc w:val="right"/>
            </w:pPr>
            <w:r>
              <w:rPr>
                <w:sz w:val="20"/>
              </w:rPr>
              <w:t xml:space="preserve">1 </w:t>
            </w:r>
          </w:p>
        </w:tc>
        <w:tc>
          <w:tcPr>
            <w:tcW w:w="4132" w:type="dxa"/>
            <w:tcBorders>
              <w:top w:val="single" w:sz="8" w:space="0" w:color="000000"/>
              <w:left w:val="single" w:sz="8" w:space="0" w:color="000000"/>
              <w:bottom w:val="single" w:sz="4" w:space="0" w:color="000000"/>
              <w:right w:val="single" w:sz="8" w:space="0" w:color="000000"/>
            </w:tcBorders>
          </w:tcPr>
          <w:p w:rsidR="00E8309B" w:rsidRDefault="009D0949">
            <w:pPr>
              <w:spacing w:after="0" w:line="259" w:lineRule="auto"/>
              <w:ind w:left="0" w:right="0" w:firstLine="0"/>
              <w:jc w:val="left"/>
            </w:pPr>
            <w:r>
              <w:rPr>
                <w:sz w:val="20"/>
              </w:rPr>
              <w:t xml:space="preserve">Kреирање и ажурирање онлајн базе дуалних образовних програма  </w:t>
            </w:r>
          </w:p>
        </w:tc>
        <w:tc>
          <w:tcPr>
            <w:tcW w:w="419" w:type="dxa"/>
            <w:tcBorders>
              <w:top w:val="single" w:sz="8" w:space="0" w:color="000000"/>
              <w:left w:val="single" w:sz="8"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1" w:right="0" w:firstLine="0"/>
              <w:jc w:val="center"/>
            </w:pPr>
            <w:r>
              <w:rPr>
                <w:sz w:val="20"/>
              </w:rPr>
              <w:t xml:space="preserve"> </w:t>
            </w:r>
          </w:p>
        </w:tc>
        <w:tc>
          <w:tcPr>
            <w:tcW w:w="421" w:type="dxa"/>
            <w:tcBorders>
              <w:top w:val="single" w:sz="8" w:space="0" w:color="000000"/>
              <w:left w:val="single" w:sz="4"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1" w:right="0" w:firstLine="0"/>
              <w:jc w:val="center"/>
            </w:pPr>
            <w:r>
              <w:rPr>
                <w:sz w:val="20"/>
              </w:rPr>
              <w:t xml:space="preserve"> </w:t>
            </w:r>
          </w:p>
        </w:tc>
        <w:tc>
          <w:tcPr>
            <w:tcW w:w="422" w:type="dxa"/>
            <w:tcBorders>
              <w:top w:val="single" w:sz="8" w:space="0" w:color="000000"/>
              <w:left w:val="single" w:sz="4"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2" w:right="0" w:firstLine="0"/>
              <w:jc w:val="center"/>
            </w:pPr>
            <w:r>
              <w:rPr>
                <w:sz w:val="20"/>
              </w:rPr>
              <w:t xml:space="preserve"> </w:t>
            </w:r>
          </w:p>
        </w:tc>
        <w:tc>
          <w:tcPr>
            <w:tcW w:w="421" w:type="dxa"/>
            <w:tcBorders>
              <w:top w:val="single" w:sz="8" w:space="0" w:color="000000"/>
              <w:left w:val="single" w:sz="4" w:space="0" w:color="000000"/>
              <w:bottom w:val="single" w:sz="4" w:space="0" w:color="000000"/>
              <w:right w:val="single" w:sz="8" w:space="0" w:color="000000"/>
            </w:tcBorders>
            <w:shd w:val="clear" w:color="auto" w:fill="BFBFBF"/>
            <w:vAlign w:val="center"/>
          </w:tcPr>
          <w:p w:rsidR="00E8309B" w:rsidRDefault="009D0949">
            <w:pPr>
              <w:spacing w:after="0" w:line="259" w:lineRule="auto"/>
              <w:ind w:left="4" w:right="0" w:firstLine="0"/>
              <w:jc w:val="center"/>
            </w:pPr>
            <w:r>
              <w:rPr>
                <w:sz w:val="20"/>
              </w:rPr>
              <w:t xml:space="preserve"> </w:t>
            </w:r>
          </w:p>
        </w:tc>
        <w:tc>
          <w:tcPr>
            <w:tcW w:w="424" w:type="dxa"/>
            <w:tcBorders>
              <w:top w:val="single" w:sz="8" w:space="0" w:color="000000"/>
              <w:left w:val="single" w:sz="8" w:space="0" w:color="000000"/>
              <w:bottom w:val="single" w:sz="4" w:space="0" w:color="000000"/>
              <w:right w:val="single" w:sz="4" w:space="0" w:color="000000"/>
            </w:tcBorders>
            <w:vAlign w:val="center"/>
          </w:tcPr>
          <w:p w:rsidR="00E8309B" w:rsidRDefault="009D0949">
            <w:pPr>
              <w:spacing w:after="0" w:line="259" w:lineRule="auto"/>
              <w:ind w:left="4" w:right="0" w:firstLine="0"/>
              <w:jc w:val="center"/>
            </w:pPr>
            <w:r>
              <w:rPr>
                <w:sz w:val="20"/>
              </w:rPr>
              <w:t xml:space="preserve"> </w:t>
            </w:r>
          </w:p>
        </w:tc>
        <w:tc>
          <w:tcPr>
            <w:tcW w:w="421" w:type="dxa"/>
            <w:tcBorders>
              <w:top w:val="single" w:sz="8"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4" w:right="0" w:firstLine="0"/>
              <w:jc w:val="center"/>
            </w:pPr>
            <w:r>
              <w:rPr>
                <w:sz w:val="20"/>
              </w:rPr>
              <w:t xml:space="preserve"> </w:t>
            </w:r>
          </w:p>
        </w:tc>
        <w:tc>
          <w:tcPr>
            <w:tcW w:w="423" w:type="dxa"/>
            <w:tcBorders>
              <w:top w:val="single" w:sz="8"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5" w:right="0" w:firstLine="0"/>
              <w:jc w:val="center"/>
            </w:pPr>
            <w:r>
              <w:rPr>
                <w:sz w:val="20"/>
              </w:rPr>
              <w:t xml:space="preserve"> </w:t>
            </w:r>
          </w:p>
        </w:tc>
        <w:tc>
          <w:tcPr>
            <w:tcW w:w="420" w:type="dxa"/>
            <w:tcBorders>
              <w:top w:val="single" w:sz="8" w:space="0" w:color="000000"/>
              <w:left w:val="single" w:sz="4" w:space="0" w:color="000000"/>
              <w:bottom w:val="single" w:sz="4" w:space="0" w:color="000000"/>
              <w:right w:val="single" w:sz="8" w:space="0" w:color="000000"/>
            </w:tcBorders>
            <w:vAlign w:val="center"/>
          </w:tcPr>
          <w:p w:rsidR="00E8309B" w:rsidRDefault="009D0949">
            <w:pPr>
              <w:spacing w:after="0" w:line="259" w:lineRule="auto"/>
              <w:ind w:left="2" w:right="0" w:firstLine="0"/>
              <w:jc w:val="center"/>
            </w:pPr>
            <w:r>
              <w:rPr>
                <w:sz w:val="20"/>
              </w:rPr>
              <w:t xml:space="preserve"> </w:t>
            </w:r>
          </w:p>
        </w:tc>
        <w:tc>
          <w:tcPr>
            <w:tcW w:w="424" w:type="dxa"/>
            <w:tcBorders>
              <w:top w:val="single" w:sz="8" w:space="0" w:color="000000"/>
              <w:left w:val="single" w:sz="8" w:space="0" w:color="000000"/>
              <w:bottom w:val="single" w:sz="4" w:space="0" w:color="000000"/>
              <w:right w:val="single" w:sz="4" w:space="0" w:color="000000"/>
            </w:tcBorders>
            <w:vAlign w:val="center"/>
          </w:tcPr>
          <w:p w:rsidR="00E8309B" w:rsidRDefault="009D0949">
            <w:pPr>
              <w:spacing w:after="0" w:line="259" w:lineRule="auto"/>
              <w:ind w:left="4" w:right="0" w:firstLine="0"/>
              <w:jc w:val="center"/>
            </w:pPr>
            <w:r>
              <w:rPr>
                <w:sz w:val="20"/>
              </w:rPr>
              <w:t xml:space="preserve"> </w:t>
            </w:r>
          </w:p>
        </w:tc>
        <w:tc>
          <w:tcPr>
            <w:tcW w:w="422" w:type="dxa"/>
            <w:tcBorders>
              <w:top w:val="single" w:sz="8"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2" w:right="0" w:firstLine="0"/>
              <w:jc w:val="center"/>
            </w:pPr>
            <w:r>
              <w:rPr>
                <w:sz w:val="20"/>
              </w:rPr>
              <w:t xml:space="preserve"> </w:t>
            </w:r>
          </w:p>
        </w:tc>
        <w:tc>
          <w:tcPr>
            <w:tcW w:w="422" w:type="dxa"/>
            <w:tcBorders>
              <w:top w:val="single" w:sz="8"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2" w:right="0" w:firstLine="0"/>
              <w:jc w:val="center"/>
            </w:pPr>
            <w:r>
              <w:rPr>
                <w:sz w:val="20"/>
              </w:rPr>
              <w:t xml:space="preserve"> </w:t>
            </w:r>
          </w:p>
        </w:tc>
        <w:tc>
          <w:tcPr>
            <w:tcW w:w="420" w:type="dxa"/>
            <w:tcBorders>
              <w:top w:val="single" w:sz="8" w:space="0" w:color="000000"/>
              <w:left w:val="single" w:sz="4" w:space="0" w:color="000000"/>
              <w:bottom w:val="single" w:sz="4" w:space="0" w:color="000000"/>
              <w:right w:val="single" w:sz="8" w:space="0" w:color="000000"/>
            </w:tcBorders>
            <w:vAlign w:val="center"/>
          </w:tcPr>
          <w:p w:rsidR="00E8309B" w:rsidRDefault="009D0949">
            <w:pPr>
              <w:spacing w:after="0" w:line="259" w:lineRule="auto"/>
              <w:ind w:left="5" w:right="0" w:firstLine="0"/>
              <w:jc w:val="center"/>
            </w:pPr>
            <w:r>
              <w:rPr>
                <w:sz w:val="20"/>
              </w:rPr>
              <w:t xml:space="preserve"> </w:t>
            </w:r>
          </w:p>
        </w:tc>
      </w:tr>
      <w:tr w:rsidR="00E8309B">
        <w:trPr>
          <w:trHeight w:val="929"/>
        </w:trPr>
        <w:tc>
          <w:tcPr>
            <w:tcW w:w="418" w:type="dxa"/>
            <w:tcBorders>
              <w:top w:val="single" w:sz="4" w:space="0" w:color="000000"/>
              <w:left w:val="single" w:sz="8" w:space="0" w:color="000000"/>
              <w:bottom w:val="single" w:sz="4" w:space="0" w:color="000000"/>
              <w:right w:val="single" w:sz="8" w:space="0" w:color="000000"/>
            </w:tcBorders>
          </w:tcPr>
          <w:p w:rsidR="00E8309B" w:rsidRDefault="009D0949">
            <w:pPr>
              <w:spacing w:after="0" w:line="259" w:lineRule="auto"/>
              <w:ind w:left="0" w:right="51" w:firstLine="0"/>
              <w:jc w:val="right"/>
            </w:pPr>
            <w:r>
              <w:rPr>
                <w:sz w:val="20"/>
              </w:rPr>
              <w:t xml:space="preserve">2 </w:t>
            </w:r>
          </w:p>
        </w:tc>
        <w:tc>
          <w:tcPr>
            <w:tcW w:w="4132" w:type="dxa"/>
            <w:tcBorders>
              <w:top w:val="single" w:sz="4" w:space="0" w:color="000000"/>
              <w:left w:val="single" w:sz="8" w:space="0" w:color="000000"/>
              <w:bottom w:val="single" w:sz="4" w:space="0" w:color="000000"/>
              <w:right w:val="single" w:sz="8" w:space="0" w:color="000000"/>
            </w:tcBorders>
          </w:tcPr>
          <w:p w:rsidR="00E8309B" w:rsidRDefault="009D0949">
            <w:pPr>
              <w:spacing w:after="0" w:line="259" w:lineRule="auto"/>
              <w:ind w:left="0" w:right="33" w:firstLine="0"/>
              <w:jc w:val="left"/>
            </w:pPr>
            <w:r>
              <w:rPr>
                <w:sz w:val="20"/>
              </w:rPr>
              <w:t xml:space="preserve">Креирање и ревидирање тржишно релевантних дуалних програма за ревитализацију домаћих компанија и за привлачење страних инвестиција </w:t>
            </w:r>
          </w:p>
        </w:tc>
        <w:tc>
          <w:tcPr>
            <w:tcW w:w="419" w:type="dxa"/>
            <w:tcBorders>
              <w:top w:val="single" w:sz="4" w:space="0" w:color="000000"/>
              <w:left w:val="single" w:sz="8"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1" w:right="0" w:firstLine="0"/>
              <w:jc w:val="center"/>
            </w:pPr>
            <w:r>
              <w:rPr>
                <w:sz w:val="20"/>
              </w:rPr>
              <w:t xml:space="preserve"> </w:t>
            </w:r>
          </w:p>
        </w:tc>
        <w:tc>
          <w:tcPr>
            <w:tcW w:w="421"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1" w:right="0" w:firstLine="0"/>
              <w:jc w:val="center"/>
            </w:pPr>
            <w:r>
              <w:rPr>
                <w:sz w:val="20"/>
              </w:rPr>
              <w:t xml:space="preserve"> </w:t>
            </w:r>
          </w:p>
        </w:tc>
        <w:tc>
          <w:tcPr>
            <w:tcW w:w="422"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2" w:right="0" w:firstLine="0"/>
              <w:jc w:val="center"/>
            </w:pPr>
            <w:r>
              <w:rPr>
                <w:sz w:val="20"/>
              </w:rPr>
              <w:t xml:space="preserve"> </w:t>
            </w:r>
          </w:p>
        </w:tc>
        <w:tc>
          <w:tcPr>
            <w:tcW w:w="421" w:type="dxa"/>
            <w:tcBorders>
              <w:top w:val="single" w:sz="4" w:space="0" w:color="000000"/>
              <w:left w:val="single" w:sz="4" w:space="0" w:color="000000"/>
              <w:bottom w:val="single" w:sz="4" w:space="0" w:color="000000"/>
              <w:right w:val="single" w:sz="8" w:space="0" w:color="000000"/>
            </w:tcBorders>
            <w:shd w:val="clear" w:color="auto" w:fill="BFBFBF"/>
            <w:vAlign w:val="center"/>
          </w:tcPr>
          <w:p w:rsidR="00E8309B" w:rsidRDefault="009D0949">
            <w:pPr>
              <w:spacing w:after="0" w:line="259" w:lineRule="auto"/>
              <w:ind w:left="4" w:right="0" w:firstLine="0"/>
              <w:jc w:val="center"/>
            </w:pPr>
            <w:r>
              <w:rPr>
                <w:sz w:val="20"/>
              </w:rPr>
              <w:t xml:space="preserve"> </w:t>
            </w:r>
          </w:p>
        </w:tc>
        <w:tc>
          <w:tcPr>
            <w:tcW w:w="424" w:type="dxa"/>
            <w:tcBorders>
              <w:top w:val="single" w:sz="4" w:space="0" w:color="000000"/>
              <w:left w:val="single" w:sz="8"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4" w:right="0" w:firstLine="0"/>
              <w:jc w:val="center"/>
            </w:pPr>
            <w:r>
              <w:rPr>
                <w:sz w:val="20"/>
              </w:rPr>
              <w:t xml:space="preserve"> </w:t>
            </w:r>
          </w:p>
        </w:tc>
        <w:tc>
          <w:tcPr>
            <w:tcW w:w="421"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4" w:right="0" w:firstLine="0"/>
              <w:jc w:val="center"/>
            </w:pPr>
            <w:r>
              <w:rPr>
                <w:sz w:val="20"/>
              </w:rPr>
              <w:t xml:space="preserve"> </w:t>
            </w:r>
          </w:p>
        </w:tc>
        <w:tc>
          <w:tcPr>
            <w:tcW w:w="423"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5" w:right="0" w:firstLine="0"/>
              <w:jc w:val="center"/>
            </w:pPr>
            <w:r>
              <w:rPr>
                <w:sz w:val="20"/>
              </w:rPr>
              <w:t xml:space="preserve"> </w:t>
            </w:r>
          </w:p>
        </w:tc>
        <w:tc>
          <w:tcPr>
            <w:tcW w:w="420" w:type="dxa"/>
            <w:tcBorders>
              <w:top w:val="single" w:sz="4" w:space="0" w:color="000000"/>
              <w:left w:val="single" w:sz="4" w:space="0" w:color="000000"/>
              <w:bottom w:val="single" w:sz="4" w:space="0" w:color="000000"/>
              <w:right w:val="single" w:sz="8" w:space="0" w:color="000000"/>
            </w:tcBorders>
            <w:shd w:val="clear" w:color="auto" w:fill="BFBFBF"/>
            <w:vAlign w:val="center"/>
          </w:tcPr>
          <w:p w:rsidR="00E8309B" w:rsidRDefault="009D0949">
            <w:pPr>
              <w:spacing w:after="0" w:line="259" w:lineRule="auto"/>
              <w:ind w:left="2" w:right="0" w:firstLine="0"/>
              <w:jc w:val="center"/>
            </w:pPr>
            <w:r>
              <w:rPr>
                <w:sz w:val="20"/>
              </w:rPr>
              <w:t xml:space="preserve"> </w:t>
            </w:r>
          </w:p>
        </w:tc>
        <w:tc>
          <w:tcPr>
            <w:tcW w:w="424" w:type="dxa"/>
            <w:tcBorders>
              <w:top w:val="single" w:sz="4" w:space="0" w:color="000000"/>
              <w:left w:val="single" w:sz="8"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4" w:right="0" w:firstLine="0"/>
              <w:jc w:val="center"/>
            </w:pPr>
            <w:r>
              <w:rPr>
                <w:sz w:val="20"/>
              </w:rPr>
              <w:t xml:space="preserve"> </w:t>
            </w:r>
          </w:p>
        </w:tc>
        <w:tc>
          <w:tcPr>
            <w:tcW w:w="422"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2" w:right="0" w:firstLine="0"/>
              <w:jc w:val="center"/>
            </w:pPr>
            <w:r>
              <w:rPr>
                <w:sz w:val="20"/>
              </w:rPr>
              <w:t xml:space="preserve"> </w:t>
            </w:r>
          </w:p>
        </w:tc>
        <w:tc>
          <w:tcPr>
            <w:tcW w:w="422"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2" w:right="0" w:firstLine="0"/>
              <w:jc w:val="center"/>
            </w:pPr>
            <w:r>
              <w:rPr>
                <w:sz w:val="20"/>
              </w:rPr>
              <w:t xml:space="preserve"> </w:t>
            </w:r>
          </w:p>
        </w:tc>
        <w:tc>
          <w:tcPr>
            <w:tcW w:w="420" w:type="dxa"/>
            <w:tcBorders>
              <w:top w:val="single" w:sz="4" w:space="0" w:color="000000"/>
              <w:left w:val="single" w:sz="4" w:space="0" w:color="000000"/>
              <w:bottom w:val="single" w:sz="4" w:space="0" w:color="000000"/>
              <w:right w:val="single" w:sz="8" w:space="0" w:color="000000"/>
            </w:tcBorders>
            <w:shd w:val="clear" w:color="auto" w:fill="BFBFBF"/>
            <w:vAlign w:val="center"/>
          </w:tcPr>
          <w:p w:rsidR="00E8309B" w:rsidRDefault="009D0949">
            <w:pPr>
              <w:spacing w:after="0" w:line="259" w:lineRule="auto"/>
              <w:ind w:left="5" w:right="0" w:firstLine="0"/>
              <w:jc w:val="center"/>
            </w:pPr>
            <w:r>
              <w:rPr>
                <w:sz w:val="20"/>
              </w:rPr>
              <w:t xml:space="preserve"> </w:t>
            </w:r>
          </w:p>
        </w:tc>
      </w:tr>
      <w:tr w:rsidR="00E8309B">
        <w:trPr>
          <w:trHeight w:val="470"/>
        </w:trPr>
        <w:tc>
          <w:tcPr>
            <w:tcW w:w="418" w:type="dxa"/>
            <w:tcBorders>
              <w:top w:val="single" w:sz="4" w:space="0" w:color="000000"/>
              <w:left w:val="single" w:sz="8" w:space="0" w:color="000000"/>
              <w:bottom w:val="single" w:sz="4" w:space="0" w:color="000000"/>
              <w:right w:val="single" w:sz="8" w:space="0" w:color="000000"/>
            </w:tcBorders>
          </w:tcPr>
          <w:p w:rsidR="00E8309B" w:rsidRDefault="009D0949">
            <w:pPr>
              <w:spacing w:after="0" w:line="259" w:lineRule="auto"/>
              <w:ind w:left="0" w:right="51" w:firstLine="0"/>
              <w:jc w:val="right"/>
            </w:pPr>
            <w:r>
              <w:rPr>
                <w:sz w:val="20"/>
              </w:rPr>
              <w:t xml:space="preserve">3 </w:t>
            </w:r>
          </w:p>
        </w:tc>
        <w:tc>
          <w:tcPr>
            <w:tcW w:w="4132" w:type="dxa"/>
            <w:tcBorders>
              <w:top w:val="single" w:sz="4" w:space="0" w:color="000000"/>
              <w:left w:val="single" w:sz="8" w:space="0" w:color="000000"/>
              <w:bottom w:val="single" w:sz="4" w:space="0" w:color="000000"/>
              <w:right w:val="single" w:sz="8" w:space="0" w:color="000000"/>
            </w:tcBorders>
          </w:tcPr>
          <w:p w:rsidR="00E8309B" w:rsidRDefault="009D0949">
            <w:pPr>
              <w:spacing w:after="0" w:line="259" w:lineRule="auto"/>
              <w:ind w:left="0" w:right="0" w:firstLine="0"/>
              <w:jc w:val="left"/>
            </w:pPr>
            <w:r>
              <w:rPr>
                <w:sz w:val="20"/>
              </w:rPr>
              <w:t xml:space="preserve">Израда студија  за потребе развоја дуалних образовних профила  </w:t>
            </w:r>
          </w:p>
        </w:tc>
        <w:tc>
          <w:tcPr>
            <w:tcW w:w="419" w:type="dxa"/>
            <w:tcBorders>
              <w:top w:val="single" w:sz="4" w:space="0" w:color="000000"/>
              <w:left w:val="single" w:sz="8"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1" w:right="0" w:firstLine="0"/>
              <w:jc w:val="center"/>
            </w:pPr>
            <w:r>
              <w:rPr>
                <w:sz w:val="20"/>
              </w:rPr>
              <w:t xml:space="preserve"> </w:t>
            </w:r>
          </w:p>
        </w:tc>
        <w:tc>
          <w:tcPr>
            <w:tcW w:w="421"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1" w:right="0" w:firstLine="0"/>
              <w:jc w:val="center"/>
            </w:pPr>
            <w:r>
              <w:rPr>
                <w:sz w:val="20"/>
              </w:rPr>
              <w:t xml:space="preserve"> </w:t>
            </w:r>
          </w:p>
        </w:tc>
        <w:tc>
          <w:tcPr>
            <w:tcW w:w="422"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2" w:right="0" w:firstLine="0"/>
              <w:jc w:val="center"/>
            </w:pPr>
            <w:r>
              <w:rPr>
                <w:sz w:val="20"/>
              </w:rPr>
              <w:t xml:space="preserve"> </w:t>
            </w:r>
          </w:p>
        </w:tc>
        <w:tc>
          <w:tcPr>
            <w:tcW w:w="421" w:type="dxa"/>
            <w:tcBorders>
              <w:top w:val="single" w:sz="4" w:space="0" w:color="000000"/>
              <w:left w:val="single" w:sz="4" w:space="0" w:color="000000"/>
              <w:bottom w:val="single" w:sz="4" w:space="0" w:color="000000"/>
              <w:right w:val="single" w:sz="8" w:space="0" w:color="000000"/>
            </w:tcBorders>
            <w:shd w:val="clear" w:color="auto" w:fill="BFBFBF"/>
            <w:vAlign w:val="center"/>
          </w:tcPr>
          <w:p w:rsidR="00E8309B" w:rsidRDefault="009D0949">
            <w:pPr>
              <w:spacing w:after="0" w:line="259" w:lineRule="auto"/>
              <w:ind w:left="4" w:right="0" w:firstLine="0"/>
              <w:jc w:val="center"/>
            </w:pPr>
            <w:r>
              <w:rPr>
                <w:sz w:val="20"/>
              </w:rPr>
              <w:t xml:space="preserve"> </w:t>
            </w:r>
          </w:p>
        </w:tc>
        <w:tc>
          <w:tcPr>
            <w:tcW w:w="424" w:type="dxa"/>
            <w:tcBorders>
              <w:top w:val="single" w:sz="4" w:space="0" w:color="000000"/>
              <w:left w:val="single" w:sz="8" w:space="0" w:color="000000"/>
              <w:bottom w:val="single" w:sz="4" w:space="0" w:color="000000"/>
              <w:right w:val="single" w:sz="4" w:space="0" w:color="000000"/>
            </w:tcBorders>
            <w:vAlign w:val="center"/>
          </w:tcPr>
          <w:p w:rsidR="00E8309B" w:rsidRDefault="009D0949">
            <w:pPr>
              <w:spacing w:after="0" w:line="259" w:lineRule="auto"/>
              <w:ind w:left="4" w:right="0" w:firstLine="0"/>
              <w:jc w:val="center"/>
            </w:pPr>
            <w:r>
              <w:rPr>
                <w:sz w:val="20"/>
              </w:rPr>
              <w:t xml:space="preserve"> </w:t>
            </w:r>
          </w:p>
        </w:tc>
        <w:tc>
          <w:tcPr>
            <w:tcW w:w="421"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4" w:right="0" w:firstLine="0"/>
              <w:jc w:val="center"/>
            </w:pPr>
            <w:r>
              <w:rPr>
                <w:sz w:val="20"/>
              </w:rPr>
              <w:t xml:space="preserve"> </w:t>
            </w:r>
          </w:p>
        </w:tc>
        <w:tc>
          <w:tcPr>
            <w:tcW w:w="423"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5" w:right="0" w:firstLine="0"/>
              <w:jc w:val="center"/>
            </w:pPr>
            <w:r>
              <w:rPr>
                <w:sz w:val="20"/>
              </w:rPr>
              <w:t xml:space="preserve"> </w:t>
            </w:r>
          </w:p>
        </w:tc>
        <w:tc>
          <w:tcPr>
            <w:tcW w:w="420" w:type="dxa"/>
            <w:tcBorders>
              <w:top w:val="single" w:sz="4" w:space="0" w:color="000000"/>
              <w:left w:val="single" w:sz="4" w:space="0" w:color="000000"/>
              <w:bottom w:val="single" w:sz="4" w:space="0" w:color="000000"/>
              <w:right w:val="single" w:sz="8" w:space="0" w:color="000000"/>
            </w:tcBorders>
            <w:vAlign w:val="center"/>
          </w:tcPr>
          <w:p w:rsidR="00E8309B" w:rsidRDefault="009D0949">
            <w:pPr>
              <w:spacing w:after="0" w:line="259" w:lineRule="auto"/>
              <w:ind w:left="2" w:right="0" w:firstLine="0"/>
              <w:jc w:val="center"/>
            </w:pPr>
            <w:r>
              <w:rPr>
                <w:sz w:val="20"/>
              </w:rPr>
              <w:t xml:space="preserve"> </w:t>
            </w:r>
          </w:p>
        </w:tc>
        <w:tc>
          <w:tcPr>
            <w:tcW w:w="424" w:type="dxa"/>
            <w:tcBorders>
              <w:top w:val="single" w:sz="4" w:space="0" w:color="000000"/>
              <w:left w:val="single" w:sz="8" w:space="0" w:color="000000"/>
              <w:bottom w:val="single" w:sz="4" w:space="0" w:color="000000"/>
              <w:right w:val="single" w:sz="4" w:space="0" w:color="000000"/>
            </w:tcBorders>
            <w:vAlign w:val="center"/>
          </w:tcPr>
          <w:p w:rsidR="00E8309B" w:rsidRDefault="009D0949">
            <w:pPr>
              <w:spacing w:after="0" w:line="259" w:lineRule="auto"/>
              <w:ind w:left="4" w:right="0" w:firstLine="0"/>
              <w:jc w:val="center"/>
            </w:pPr>
            <w:r>
              <w:rPr>
                <w:sz w:val="20"/>
              </w:rPr>
              <w:t xml:space="preserve"> </w:t>
            </w:r>
          </w:p>
        </w:tc>
        <w:tc>
          <w:tcPr>
            <w:tcW w:w="422"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2" w:right="0" w:firstLine="0"/>
              <w:jc w:val="center"/>
            </w:pPr>
            <w:r>
              <w:rPr>
                <w:sz w:val="20"/>
              </w:rPr>
              <w:t xml:space="preserve"> </w:t>
            </w:r>
          </w:p>
        </w:tc>
        <w:tc>
          <w:tcPr>
            <w:tcW w:w="422"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2" w:right="0" w:firstLine="0"/>
              <w:jc w:val="center"/>
            </w:pPr>
            <w:r>
              <w:rPr>
                <w:sz w:val="20"/>
              </w:rPr>
              <w:t xml:space="preserve"> </w:t>
            </w:r>
          </w:p>
        </w:tc>
        <w:tc>
          <w:tcPr>
            <w:tcW w:w="420" w:type="dxa"/>
            <w:tcBorders>
              <w:top w:val="single" w:sz="4" w:space="0" w:color="000000"/>
              <w:left w:val="single" w:sz="4" w:space="0" w:color="000000"/>
              <w:bottom w:val="single" w:sz="4" w:space="0" w:color="000000"/>
              <w:right w:val="single" w:sz="8" w:space="0" w:color="000000"/>
            </w:tcBorders>
            <w:vAlign w:val="center"/>
          </w:tcPr>
          <w:p w:rsidR="00E8309B" w:rsidRDefault="009D0949">
            <w:pPr>
              <w:spacing w:after="0" w:line="259" w:lineRule="auto"/>
              <w:ind w:left="5" w:right="0" w:firstLine="0"/>
              <w:jc w:val="center"/>
            </w:pPr>
            <w:r>
              <w:rPr>
                <w:sz w:val="20"/>
              </w:rPr>
              <w:t xml:space="preserve"> </w:t>
            </w:r>
          </w:p>
        </w:tc>
      </w:tr>
      <w:tr w:rsidR="00E8309B">
        <w:trPr>
          <w:trHeight w:val="470"/>
        </w:trPr>
        <w:tc>
          <w:tcPr>
            <w:tcW w:w="418" w:type="dxa"/>
            <w:tcBorders>
              <w:top w:val="single" w:sz="4" w:space="0" w:color="000000"/>
              <w:left w:val="single" w:sz="8" w:space="0" w:color="000000"/>
              <w:bottom w:val="single" w:sz="4" w:space="0" w:color="000000"/>
              <w:right w:val="single" w:sz="8" w:space="0" w:color="000000"/>
            </w:tcBorders>
          </w:tcPr>
          <w:p w:rsidR="00E8309B" w:rsidRDefault="009D0949">
            <w:pPr>
              <w:spacing w:after="0" w:line="259" w:lineRule="auto"/>
              <w:ind w:left="0" w:right="51" w:firstLine="0"/>
              <w:jc w:val="right"/>
            </w:pPr>
            <w:r>
              <w:rPr>
                <w:sz w:val="20"/>
              </w:rPr>
              <w:t xml:space="preserve">4 </w:t>
            </w:r>
          </w:p>
        </w:tc>
        <w:tc>
          <w:tcPr>
            <w:tcW w:w="4132" w:type="dxa"/>
            <w:tcBorders>
              <w:top w:val="single" w:sz="4" w:space="0" w:color="000000"/>
              <w:left w:val="single" w:sz="8" w:space="0" w:color="000000"/>
              <w:bottom w:val="single" w:sz="4" w:space="0" w:color="000000"/>
              <w:right w:val="single" w:sz="8" w:space="0" w:color="000000"/>
            </w:tcBorders>
          </w:tcPr>
          <w:p w:rsidR="00E8309B" w:rsidRDefault="009D0949">
            <w:pPr>
              <w:spacing w:after="20" w:line="259" w:lineRule="auto"/>
              <w:ind w:left="0" w:right="0" w:firstLine="0"/>
              <w:jc w:val="left"/>
            </w:pPr>
            <w:r>
              <w:rPr>
                <w:sz w:val="20"/>
              </w:rPr>
              <w:t xml:space="preserve">Промоција дуалног модела образовања </w:t>
            </w:r>
          </w:p>
          <w:p w:rsidR="00E8309B" w:rsidRDefault="009D0949">
            <w:pPr>
              <w:spacing w:after="0" w:line="259" w:lineRule="auto"/>
              <w:ind w:left="0" w:right="0" w:firstLine="0"/>
              <w:jc w:val="left"/>
            </w:pPr>
            <w:r>
              <w:rPr>
                <w:sz w:val="20"/>
              </w:rPr>
              <w:t xml:space="preserve">(округли столови, конференције и сл.) </w:t>
            </w:r>
          </w:p>
        </w:tc>
        <w:tc>
          <w:tcPr>
            <w:tcW w:w="419" w:type="dxa"/>
            <w:tcBorders>
              <w:top w:val="single" w:sz="4" w:space="0" w:color="000000"/>
              <w:left w:val="single" w:sz="8"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1" w:right="0" w:firstLine="0"/>
              <w:jc w:val="center"/>
            </w:pPr>
            <w:r>
              <w:rPr>
                <w:sz w:val="20"/>
              </w:rPr>
              <w:t xml:space="preserve"> </w:t>
            </w:r>
          </w:p>
        </w:tc>
        <w:tc>
          <w:tcPr>
            <w:tcW w:w="421"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1" w:right="0" w:firstLine="0"/>
              <w:jc w:val="center"/>
            </w:pPr>
            <w:r>
              <w:rPr>
                <w:sz w:val="20"/>
              </w:rPr>
              <w:t xml:space="preserve"> </w:t>
            </w:r>
          </w:p>
        </w:tc>
        <w:tc>
          <w:tcPr>
            <w:tcW w:w="422"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2" w:right="0" w:firstLine="0"/>
              <w:jc w:val="center"/>
            </w:pPr>
            <w:r>
              <w:rPr>
                <w:sz w:val="20"/>
              </w:rPr>
              <w:t xml:space="preserve"> </w:t>
            </w:r>
          </w:p>
        </w:tc>
        <w:tc>
          <w:tcPr>
            <w:tcW w:w="421" w:type="dxa"/>
            <w:tcBorders>
              <w:top w:val="single" w:sz="4" w:space="0" w:color="000000"/>
              <w:left w:val="single" w:sz="4" w:space="0" w:color="000000"/>
              <w:bottom w:val="single" w:sz="4" w:space="0" w:color="000000"/>
              <w:right w:val="single" w:sz="8" w:space="0" w:color="000000"/>
            </w:tcBorders>
            <w:shd w:val="clear" w:color="auto" w:fill="BFBFBF"/>
            <w:vAlign w:val="center"/>
          </w:tcPr>
          <w:p w:rsidR="00E8309B" w:rsidRDefault="009D0949">
            <w:pPr>
              <w:spacing w:after="0" w:line="259" w:lineRule="auto"/>
              <w:ind w:left="4" w:right="0" w:firstLine="0"/>
              <w:jc w:val="center"/>
            </w:pPr>
            <w:r>
              <w:rPr>
                <w:sz w:val="20"/>
              </w:rPr>
              <w:t xml:space="preserve"> </w:t>
            </w:r>
          </w:p>
        </w:tc>
        <w:tc>
          <w:tcPr>
            <w:tcW w:w="424" w:type="dxa"/>
            <w:tcBorders>
              <w:top w:val="single" w:sz="4" w:space="0" w:color="000000"/>
              <w:left w:val="single" w:sz="8" w:space="0" w:color="000000"/>
              <w:bottom w:val="single" w:sz="4" w:space="0" w:color="000000"/>
              <w:right w:val="single" w:sz="4" w:space="0" w:color="000000"/>
            </w:tcBorders>
            <w:vAlign w:val="center"/>
          </w:tcPr>
          <w:p w:rsidR="00E8309B" w:rsidRDefault="009D0949">
            <w:pPr>
              <w:spacing w:after="0" w:line="259" w:lineRule="auto"/>
              <w:ind w:left="4" w:right="0" w:firstLine="0"/>
              <w:jc w:val="center"/>
            </w:pPr>
            <w:r>
              <w:rPr>
                <w:sz w:val="20"/>
              </w:rPr>
              <w:t xml:space="preserve"> </w:t>
            </w:r>
          </w:p>
        </w:tc>
        <w:tc>
          <w:tcPr>
            <w:tcW w:w="421"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4" w:right="0" w:firstLine="0"/>
              <w:jc w:val="center"/>
            </w:pPr>
            <w:r>
              <w:rPr>
                <w:sz w:val="20"/>
              </w:rPr>
              <w:t xml:space="preserve"> </w:t>
            </w:r>
          </w:p>
        </w:tc>
        <w:tc>
          <w:tcPr>
            <w:tcW w:w="423"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5" w:right="0" w:firstLine="0"/>
              <w:jc w:val="center"/>
            </w:pPr>
            <w:r>
              <w:rPr>
                <w:sz w:val="20"/>
              </w:rPr>
              <w:t xml:space="preserve"> </w:t>
            </w:r>
          </w:p>
        </w:tc>
        <w:tc>
          <w:tcPr>
            <w:tcW w:w="420" w:type="dxa"/>
            <w:tcBorders>
              <w:top w:val="single" w:sz="4" w:space="0" w:color="000000"/>
              <w:left w:val="single" w:sz="4" w:space="0" w:color="000000"/>
              <w:bottom w:val="single" w:sz="4" w:space="0" w:color="000000"/>
              <w:right w:val="single" w:sz="8" w:space="0" w:color="000000"/>
            </w:tcBorders>
            <w:vAlign w:val="center"/>
          </w:tcPr>
          <w:p w:rsidR="00E8309B" w:rsidRDefault="009D0949">
            <w:pPr>
              <w:spacing w:after="0" w:line="259" w:lineRule="auto"/>
              <w:ind w:left="2" w:right="0" w:firstLine="0"/>
              <w:jc w:val="center"/>
            </w:pPr>
            <w:r>
              <w:rPr>
                <w:sz w:val="20"/>
              </w:rPr>
              <w:t xml:space="preserve"> </w:t>
            </w:r>
          </w:p>
        </w:tc>
        <w:tc>
          <w:tcPr>
            <w:tcW w:w="424" w:type="dxa"/>
            <w:tcBorders>
              <w:top w:val="single" w:sz="4" w:space="0" w:color="000000"/>
              <w:left w:val="single" w:sz="8" w:space="0" w:color="000000"/>
              <w:bottom w:val="single" w:sz="4" w:space="0" w:color="000000"/>
              <w:right w:val="single" w:sz="4" w:space="0" w:color="000000"/>
            </w:tcBorders>
            <w:vAlign w:val="center"/>
          </w:tcPr>
          <w:p w:rsidR="00E8309B" w:rsidRDefault="009D0949">
            <w:pPr>
              <w:spacing w:after="0" w:line="259" w:lineRule="auto"/>
              <w:ind w:left="4" w:right="0" w:firstLine="0"/>
              <w:jc w:val="center"/>
            </w:pPr>
            <w:r>
              <w:rPr>
                <w:sz w:val="20"/>
              </w:rPr>
              <w:t xml:space="preserve"> </w:t>
            </w:r>
          </w:p>
        </w:tc>
        <w:tc>
          <w:tcPr>
            <w:tcW w:w="422"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2" w:right="0" w:firstLine="0"/>
              <w:jc w:val="center"/>
            </w:pPr>
            <w:r>
              <w:rPr>
                <w:sz w:val="20"/>
              </w:rPr>
              <w:t xml:space="preserve"> </w:t>
            </w:r>
          </w:p>
        </w:tc>
        <w:tc>
          <w:tcPr>
            <w:tcW w:w="422"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2" w:right="0" w:firstLine="0"/>
              <w:jc w:val="center"/>
            </w:pPr>
            <w:r>
              <w:rPr>
                <w:sz w:val="20"/>
              </w:rPr>
              <w:t xml:space="preserve"> </w:t>
            </w:r>
          </w:p>
        </w:tc>
        <w:tc>
          <w:tcPr>
            <w:tcW w:w="420" w:type="dxa"/>
            <w:tcBorders>
              <w:top w:val="single" w:sz="4" w:space="0" w:color="000000"/>
              <w:left w:val="single" w:sz="4" w:space="0" w:color="000000"/>
              <w:bottom w:val="single" w:sz="4" w:space="0" w:color="000000"/>
              <w:right w:val="single" w:sz="8" w:space="0" w:color="000000"/>
            </w:tcBorders>
            <w:vAlign w:val="center"/>
          </w:tcPr>
          <w:p w:rsidR="00E8309B" w:rsidRDefault="009D0949">
            <w:pPr>
              <w:spacing w:after="0" w:line="259" w:lineRule="auto"/>
              <w:ind w:left="5" w:right="0" w:firstLine="0"/>
              <w:jc w:val="center"/>
            </w:pPr>
            <w:r>
              <w:rPr>
                <w:sz w:val="20"/>
              </w:rPr>
              <w:t xml:space="preserve"> </w:t>
            </w:r>
          </w:p>
        </w:tc>
      </w:tr>
      <w:tr w:rsidR="00E8309B">
        <w:trPr>
          <w:trHeight w:val="470"/>
        </w:trPr>
        <w:tc>
          <w:tcPr>
            <w:tcW w:w="418" w:type="dxa"/>
            <w:tcBorders>
              <w:top w:val="single" w:sz="4" w:space="0" w:color="000000"/>
              <w:left w:val="single" w:sz="8" w:space="0" w:color="000000"/>
              <w:bottom w:val="single" w:sz="4" w:space="0" w:color="000000"/>
              <w:right w:val="single" w:sz="8" w:space="0" w:color="000000"/>
            </w:tcBorders>
          </w:tcPr>
          <w:p w:rsidR="00E8309B" w:rsidRDefault="009D0949">
            <w:pPr>
              <w:spacing w:after="0" w:line="259" w:lineRule="auto"/>
              <w:ind w:left="0" w:right="51" w:firstLine="0"/>
              <w:jc w:val="right"/>
            </w:pPr>
            <w:r>
              <w:rPr>
                <w:sz w:val="20"/>
              </w:rPr>
              <w:t xml:space="preserve">5 </w:t>
            </w:r>
          </w:p>
        </w:tc>
        <w:tc>
          <w:tcPr>
            <w:tcW w:w="4132" w:type="dxa"/>
            <w:tcBorders>
              <w:top w:val="single" w:sz="4" w:space="0" w:color="000000"/>
              <w:left w:val="single" w:sz="8" w:space="0" w:color="000000"/>
              <w:bottom w:val="single" w:sz="4" w:space="0" w:color="000000"/>
              <w:right w:val="single" w:sz="8" w:space="0" w:color="000000"/>
            </w:tcBorders>
          </w:tcPr>
          <w:p w:rsidR="00E8309B" w:rsidRDefault="009D0949">
            <w:pPr>
              <w:spacing w:after="0" w:line="259" w:lineRule="auto"/>
              <w:ind w:left="0" w:right="0" w:firstLine="0"/>
              <w:jc w:val="left"/>
            </w:pPr>
            <w:r>
              <w:rPr>
                <w:sz w:val="20"/>
              </w:rPr>
              <w:t xml:space="preserve">Оснивање, инфраструктурно уређење и опремање регионалних тренинг центара </w:t>
            </w:r>
          </w:p>
        </w:tc>
        <w:tc>
          <w:tcPr>
            <w:tcW w:w="419" w:type="dxa"/>
            <w:tcBorders>
              <w:top w:val="single" w:sz="4" w:space="0" w:color="000000"/>
              <w:left w:val="single" w:sz="8"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1" w:right="0" w:firstLine="0"/>
              <w:jc w:val="center"/>
            </w:pPr>
            <w:r>
              <w:rPr>
                <w:sz w:val="20"/>
              </w:rPr>
              <w:t xml:space="preserve"> </w:t>
            </w:r>
          </w:p>
        </w:tc>
        <w:tc>
          <w:tcPr>
            <w:tcW w:w="421"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1" w:right="0" w:firstLine="0"/>
              <w:jc w:val="center"/>
            </w:pPr>
            <w:r>
              <w:rPr>
                <w:sz w:val="20"/>
              </w:rPr>
              <w:t xml:space="preserve"> </w:t>
            </w:r>
          </w:p>
        </w:tc>
        <w:tc>
          <w:tcPr>
            <w:tcW w:w="422"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2" w:right="0" w:firstLine="0"/>
              <w:jc w:val="center"/>
            </w:pPr>
            <w:r>
              <w:rPr>
                <w:sz w:val="20"/>
              </w:rPr>
              <w:t xml:space="preserve"> </w:t>
            </w:r>
          </w:p>
        </w:tc>
        <w:tc>
          <w:tcPr>
            <w:tcW w:w="421" w:type="dxa"/>
            <w:tcBorders>
              <w:top w:val="single" w:sz="4" w:space="0" w:color="000000"/>
              <w:left w:val="single" w:sz="4" w:space="0" w:color="000000"/>
              <w:bottom w:val="single" w:sz="4" w:space="0" w:color="000000"/>
              <w:right w:val="single" w:sz="8" w:space="0" w:color="000000"/>
            </w:tcBorders>
            <w:shd w:val="clear" w:color="auto" w:fill="BFBFBF"/>
            <w:vAlign w:val="center"/>
          </w:tcPr>
          <w:p w:rsidR="00E8309B" w:rsidRDefault="009D0949">
            <w:pPr>
              <w:spacing w:after="0" w:line="259" w:lineRule="auto"/>
              <w:ind w:left="4" w:right="0" w:firstLine="0"/>
              <w:jc w:val="center"/>
            </w:pPr>
            <w:r>
              <w:rPr>
                <w:sz w:val="20"/>
              </w:rPr>
              <w:t xml:space="preserve"> </w:t>
            </w:r>
          </w:p>
        </w:tc>
        <w:tc>
          <w:tcPr>
            <w:tcW w:w="424" w:type="dxa"/>
            <w:tcBorders>
              <w:top w:val="single" w:sz="4" w:space="0" w:color="000000"/>
              <w:left w:val="single" w:sz="8"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4" w:right="0" w:firstLine="0"/>
              <w:jc w:val="center"/>
            </w:pPr>
            <w:r>
              <w:rPr>
                <w:sz w:val="20"/>
              </w:rPr>
              <w:t xml:space="preserve"> </w:t>
            </w:r>
          </w:p>
        </w:tc>
        <w:tc>
          <w:tcPr>
            <w:tcW w:w="421"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4" w:right="0" w:firstLine="0"/>
              <w:jc w:val="center"/>
            </w:pPr>
            <w:r>
              <w:rPr>
                <w:sz w:val="20"/>
              </w:rPr>
              <w:t xml:space="preserve"> </w:t>
            </w:r>
          </w:p>
        </w:tc>
        <w:tc>
          <w:tcPr>
            <w:tcW w:w="423"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5" w:right="0" w:firstLine="0"/>
              <w:jc w:val="center"/>
            </w:pPr>
            <w:r>
              <w:rPr>
                <w:sz w:val="20"/>
              </w:rPr>
              <w:t xml:space="preserve"> </w:t>
            </w:r>
          </w:p>
        </w:tc>
        <w:tc>
          <w:tcPr>
            <w:tcW w:w="420" w:type="dxa"/>
            <w:tcBorders>
              <w:top w:val="single" w:sz="4" w:space="0" w:color="000000"/>
              <w:left w:val="single" w:sz="4" w:space="0" w:color="000000"/>
              <w:bottom w:val="single" w:sz="4" w:space="0" w:color="000000"/>
              <w:right w:val="single" w:sz="8" w:space="0" w:color="000000"/>
            </w:tcBorders>
            <w:shd w:val="clear" w:color="auto" w:fill="BFBFBF"/>
            <w:vAlign w:val="center"/>
          </w:tcPr>
          <w:p w:rsidR="00E8309B" w:rsidRDefault="009D0949">
            <w:pPr>
              <w:spacing w:after="0" w:line="259" w:lineRule="auto"/>
              <w:ind w:left="2" w:right="0" w:firstLine="0"/>
              <w:jc w:val="center"/>
            </w:pPr>
            <w:r>
              <w:rPr>
                <w:sz w:val="20"/>
              </w:rPr>
              <w:t xml:space="preserve"> </w:t>
            </w:r>
          </w:p>
        </w:tc>
        <w:tc>
          <w:tcPr>
            <w:tcW w:w="424" w:type="dxa"/>
            <w:tcBorders>
              <w:top w:val="single" w:sz="4" w:space="0" w:color="000000"/>
              <w:left w:val="single" w:sz="8"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4" w:right="0" w:firstLine="0"/>
              <w:jc w:val="center"/>
            </w:pPr>
            <w:r>
              <w:rPr>
                <w:sz w:val="20"/>
              </w:rPr>
              <w:t xml:space="preserve"> </w:t>
            </w:r>
          </w:p>
        </w:tc>
        <w:tc>
          <w:tcPr>
            <w:tcW w:w="422"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2" w:right="0" w:firstLine="0"/>
              <w:jc w:val="center"/>
            </w:pPr>
            <w:r>
              <w:rPr>
                <w:sz w:val="20"/>
              </w:rPr>
              <w:t xml:space="preserve"> </w:t>
            </w:r>
          </w:p>
        </w:tc>
        <w:tc>
          <w:tcPr>
            <w:tcW w:w="422"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2" w:right="0" w:firstLine="0"/>
              <w:jc w:val="center"/>
            </w:pPr>
            <w:r>
              <w:rPr>
                <w:sz w:val="20"/>
              </w:rPr>
              <w:t xml:space="preserve"> </w:t>
            </w:r>
          </w:p>
        </w:tc>
        <w:tc>
          <w:tcPr>
            <w:tcW w:w="420" w:type="dxa"/>
            <w:tcBorders>
              <w:top w:val="single" w:sz="4" w:space="0" w:color="000000"/>
              <w:left w:val="single" w:sz="4" w:space="0" w:color="000000"/>
              <w:bottom w:val="single" w:sz="4" w:space="0" w:color="000000"/>
              <w:right w:val="single" w:sz="8" w:space="0" w:color="000000"/>
            </w:tcBorders>
            <w:shd w:val="clear" w:color="auto" w:fill="BFBFBF"/>
            <w:vAlign w:val="center"/>
          </w:tcPr>
          <w:p w:rsidR="00E8309B" w:rsidRDefault="009D0949">
            <w:pPr>
              <w:spacing w:after="0" w:line="259" w:lineRule="auto"/>
              <w:ind w:left="5" w:right="0" w:firstLine="0"/>
              <w:jc w:val="center"/>
            </w:pPr>
            <w:r>
              <w:rPr>
                <w:sz w:val="20"/>
              </w:rPr>
              <w:t xml:space="preserve"> </w:t>
            </w:r>
          </w:p>
        </w:tc>
      </w:tr>
      <w:tr w:rsidR="00E8309B">
        <w:trPr>
          <w:trHeight w:val="469"/>
        </w:trPr>
        <w:tc>
          <w:tcPr>
            <w:tcW w:w="418" w:type="dxa"/>
            <w:tcBorders>
              <w:top w:val="single" w:sz="4" w:space="0" w:color="000000"/>
              <w:left w:val="single" w:sz="8" w:space="0" w:color="000000"/>
              <w:bottom w:val="single" w:sz="4" w:space="0" w:color="000000"/>
              <w:right w:val="single" w:sz="8" w:space="0" w:color="000000"/>
            </w:tcBorders>
          </w:tcPr>
          <w:p w:rsidR="00E8309B" w:rsidRDefault="009D0949">
            <w:pPr>
              <w:spacing w:after="0" w:line="259" w:lineRule="auto"/>
              <w:ind w:left="0" w:right="51" w:firstLine="0"/>
              <w:jc w:val="right"/>
            </w:pPr>
            <w:r>
              <w:rPr>
                <w:sz w:val="20"/>
              </w:rPr>
              <w:t xml:space="preserve">6 </w:t>
            </w:r>
          </w:p>
        </w:tc>
        <w:tc>
          <w:tcPr>
            <w:tcW w:w="4132" w:type="dxa"/>
            <w:tcBorders>
              <w:top w:val="single" w:sz="4" w:space="0" w:color="000000"/>
              <w:left w:val="single" w:sz="8" w:space="0" w:color="000000"/>
              <w:bottom w:val="single" w:sz="4" w:space="0" w:color="000000"/>
              <w:right w:val="single" w:sz="8" w:space="0" w:color="000000"/>
            </w:tcBorders>
          </w:tcPr>
          <w:p w:rsidR="00E8309B" w:rsidRDefault="009D0949">
            <w:pPr>
              <w:spacing w:after="0" w:line="259" w:lineRule="auto"/>
              <w:ind w:left="0" w:right="0" w:firstLine="0"/>
              <w:jc w:val="left"/>
            </w:pPr>
            <w:r>
              <w:rPr>
                <w:sz w:val="20"/>
              </w:rPr>
              <w:t xml:space="preserve">Обучавање, стручно оспособљавање, преквалификација и доквалификација </w:t>
            </w:r>
          </w:p>
        </w:tc>
        <w:tc>
          <w:tcPr>
            <w:tcW w:w="419" w:type="dxa"/>
            <w:tcBorders>
              <w:top w:val="single" w:sz="4" w:space="0" w:color="000000"/>
              <w:left w:val="single" w:sz="8" w:space="0" w:color="000000"/>
              <w:bottom w:val="single" w:sz="4" w:space="0" w:color="000000"/>
              <w:right w:val="single" w:sz="4" w:space="0" w:color="000000"/>
            </w:tcBorders>
            <w:vAlign w:val="center"/>
          </w:tcPr>
          <w:p w:rsidR="00E8309B" w:rsidRDefault="009D0949">
            <w:pPr>
              <w:spacing w:after="0" w:line="259" w:lineRule="auto"/>
              <w:ind w:left="1" w:right="0" w:firstLine="0"/>
              <w:jc w:val="center"/>
            </w:pPr>
            <w:r>
              <w:rPr>
                <w:sz w:val="20"/>
              </w:rPr>
              <w:t xml:space="preserve"> </w:t>
            </w:r>
          </w:p>
        </w:tc>
        <w:tc>
          <w:tcPr>
            <w:tcW w:w="421"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1" w:right="0" w:firstLine="0"/>
              <w:jc w:val="center"/>
            </w:pPr>
            <w:r>
              <w:rPr>
                <w:sz w:val="20"/>
              </w:rPr>
              <w:t xml:space="preserve"> </w:t>
            </w:r>
          </w:p>
        </w:tc>
        <w:tc>
          <w:tcPr>
            <w:tcW w:w="422"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2" w:right="0" w:firstLine="0"/>
              <w:jc w:val="center"/>
            </w:pPr>
            <w:r>
              <w:rPr>
                <w:sz w:val="20"/>
              </w:rPr>
              <w:t xml:space="preserve"> </w:t>
            </w:r>
          </w:p>
        </w:tc>
        <w:tc>
          <w:tcPr>
            <w:tcW w:w="421" w:type="dxa"/>
            <w:tcBorders>
              <w:top w:val="single" w:sz="4" w:space="0" w:color="000000"/>
              <w:left w:val="single" w:sz="4" w:space="0" w:color="000000"/>
              <w:bottom w:val="single" w:sz="4" w:space="0" w:color="000000"/>
              <w:right w:val="single" w:sz="8" w:space="0" w:color="000000"/>
            </w:tcBorders>
            <w:vAlign w:val="center"/>
          </w:tcPr>
          <w:p w:rsidR="00E8309B" w:rsidRDefault="009D0949">
            <w:pPr>
              <w:spacing w:after="0" w:line="259" w:lineRule="auto"/>
              <w:ind w:left="4" w:right="0" w:firstLine="0"/>
              <w:jc w:val="center"/>
            </w:pPr>
            <w:r>
              <w:rPr>
                <w:sz w:val="20"/>
              </w:rPr>
              <w:t xml:space="preserve"> </w:t>
            </w:r>
          </w:p>
        </w:tc>
        <w:tc>
          <w:tcPr>
            <w:tcW w:w="424" w:type="dxa"/>
            <w:tcBorders>
              <w:top w:val="single" w:sz="4" w:space="0" w:color="000000"/>
              <w:left w:val="single" w:sz="8" w:space="0" w:color="000000"/>
              <w:bottom w:val="single" w:sz="4" w:space="0" w:color="000000"/>
              <w:right w:val="single" w:sz="4" w:space="0" w:color="000000"/>
            </w:tcBorders>
            <w:vAlign w:val="center"/>
          </w:tcPr>
          <w:p w:rsidR="00E8309B" w:rsidRDefault="009D0949">
            <w:pPr>
              <w:spacing w:after="0" w:line="259" w:lineRule="auto"/>
              <w:ind w:left="4" w:right="0" w:firstLine="0"/>
              <w:jc w:val="center"/>
            </w:pPr>
            <w:r>
              <w:rPr>
                <w:sz w:val="20"/>
              </w:rPr>
              <w:t xml:space="preserve"> </w:t>
            </w:r>
          </w:p>
        </w:tc>
        <w:tc>
          <w:tcPr>
            <w:tcW w:w="421"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4" w:right="0" w:firstLine="0"/>
              <w:jc w:val="center"/>
            </w:pPr>
            <w:r>
              <w:rPr>
                <w:sz w:val="20"/>
              </w:rPr>
              <w:t xml:space="preserve"> </w:t>
            </w:r>
          </w:p>
        </w:tc>
        <w:tc>
          <w:tcPr>
            <w:tcW w:w="423"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5" w:right="0" w:firstLine="0"/>
              <w:jc w:val="center"/>
            </w:pPr>
            <w:r>
              <w:rPr>
                <w:sz w:val="20"/>
              </w:rPr>
              <w:t xml:space="preserve"> </w:t>
            </w:r>
          </w:p>
        </w:tc>
        <w:tc>
          <w:tcPr>
            <w:tcW w:w="420" w:type="dxa"/>
            <w:tcBorders>
              <w:top w:val="single" w:sz="4" w:space="0" w:color="000000"/>
              <w:left w:val="single" w:sz="4" w:space="0" w:color="000000"/>
              <w:bottom w:val="single" w:sz="4" w:space="0" w:color="000000"/>
              <w:right w:val="single" w:sz="8" w:space="0" w:color="000000"/>
            </w:tcBorders>
            <w:vAlign w:val="center"/>
          </w:tcPr>
          <w:p w:rsidR="00E8309B" w:rsidRDefault="009D0949">
            <w:pPr>
              <w:spacing w:after="0" w:line="259" w:lineRule="auto"/>
              <w:ind w:left="2" w:right="0" w:firstLine="0"/>
              <w:jc w:val="center"/>
            </w:pPr>
            <w:r>
              <w:rPr>
                <w:sz w:val="20"/>
              </w:rPr>
              <w:t xml:space="preserve"> </w:t>
            </w:r>
          </w:p>
        </w:tc>
        <w:tc>
          <w:tcPr>
            <w:tcW w:w="424" w:type="dxa"/>
            <w:tcBorders>
              <w:top w:val="single" w:sz="4" w:space="0" w:color="000000"/>
              <w:left w:val="single" w:sz="8"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4" w:right="0" w:firstLine="0"/>
              <w:jc w:val="center"/>
            </w:pPr>
            <w:r>
              <w:rPr>
                <w:sz w:val="20"/>
              </w:rPr>
              <w:t xml:space="preserve"> </w:t>
            </w:r>
          </w:p>
        </w:tc>
        <w:tc>
          <w:tcPr>
            <w:tcW w:w="422"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2" w:right="0" w:firstLine="0"/>
              <w:jc w:val="center"/>
            </w:pPr>
            <w:r>
              <w:rPr>
                <w:sz w:val="20"/>
              </w:rPr>
              <w:t xml:space="preserve"> </w:t>
            </w:r>
          </w:p>
        </w:tc>
        <w:tc>
          <w:tcPr>
            <w:tcW w:w="422"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2" w:right="0" w:firstLine="0"/>
              <w:jc w:val="center"/>
            </w:pPr>
            <w:r>
              <w:rPr>
                <w:sz w:val="20"/>
              </w:rPr>
              <w:t xml:space="preserve"> </w:t>
            </w:r>
          </w:p>
        </w:tc>
        <w:tc>
          <w:tcPr>
            <w:tcW w:w="420" w:type="dxa"/>
            <w:tcBorders>
              <w:top w:val="single" w:sz="4" w:space="0" w:color="000000"/>
              <w:left w:val="single" w:sz="4" w:space="0" w:color="000000"/>
              <w:bottom w:val="single" w:sz="4" w:space="0" w:color="000000"/>
              <w:right w:val="single" w:sz="8" w:space="0" w:color="000000"/>
            </w:tcBorders>
            <w:shd w:val="clear" w:color="auto" w:fill="BFBFBF"/>
            <w:vAlign w:val="center"/>
          </w:tcPr>
          <w:p w:rsidR="00E8309B" w:rsidRDefault="009D0949">
            <w:pPr>
              <w:spacing w:after="0" w:line="259" w:lineRule="auto"/>
              <w:ind w:left="5" w:right="0" w:firstLine="0"/>
              <w:jc w:val="center"/>
            </w:pPr>
            <w:r>
              <w:rPr>
                <w:sz w:val="20"/>
              </w:rPr>
              <w:t xml:space="preserve"> </w:t>
            </w:r>
          </w:p>
        </w:tc>
      </w:tr>
      <w:tr w:rsidR="00E8309B">
        <w:trPr>
          <w:trHeight w:val="469"/>
        </w:trPr>
        <w:tc>
          <w:tcPr>
            <w:tcW w:w="418" w:type="dxa"/>
            <w:tcBorders>
              <w:top w:val="single" w:sz="4" w:space="0" w:color="000000"/>
              <w:left w:val="single" w:sz="8" w:space="0" w:color="000000"/>
              <w:bottom w:val="single" w:sz="4" w:space="0" w:color="000000"/>
              <w:right w:val="single" w:sz="8" w:space="0" w:color="000000"/>
            </w:tcBorders>
          </w:tcPr>
          <w:p w:rsidR="00E8309B" w:rsidRDefault="009D0949">
            <w:pPr>
              <w:spacing w:after="0" w:line="259" w:lineRule="auto"/>
              <w:ind w:left="0" w:right="51" w:firstLine="0"/>
              <w:jc w:val="right"/>
            </w:pPr>
            <w:r>
              <w:rPr>
                <w:sz w:val="20"/>
              </w:rPr>
              <w:t xml:space="preserve">7 </w:t>
            </w:r>
          </w:p>
        </w:tc>
        <w:tc>
          <w:tcPr>
            <w:tcW w:w="4132" w:type="dxa"/>
            <w:tcBorders>
              <w:top w:val="single" w:sz="4" w:space="0" w:color="000000"/>
              <w:left w:val="single" w:sz="8" w:space="0" w:color="000000"/>
              <w:bottom w:val="single" w:sz="4" w:space="0" w:color="000000"/>
              <w:right w:val="single" w:sz="8" w:space="0" w:color="000000"/>
            </w:tcBorders>
          </w:tcPr>
          <w:p w:rsidR="00E8309B" w:rsidRDefault="009D0949">
            <w:pPr>
              <w:spacing w:after="0" w:line="259" w:lineRule="auto"/>
              <w:ind w:left="0" w:right="0" w:firstLine="0"/>
              <w:jc w:val="left"/>
            </w:pPr>
            <w:r>
              <w:rPr>
                <w:sz w:val="20"/>
              </w:rPr>
              <w:t xml:space="preserve">Развој нових стандарда квалификација у средњем стручном образовању </w:t>
            </w:r>
          </w:p>
        </w:tc>
        <w:tc>
          <w:tcPr>
            <w:tcW w:w="419" w:type="dxa"/>
            <w:tcBorders>
              <w:top w:val="single" w:sz="4" w:space="0" w:color="000000"/>
              <w:left w:val="single" w:sz="8" w:space="0" w:color="000000"/>
              <w:bottom w:val="single" w:sz="4" w:space="0" w:color="000000"/>
              <w:right w:val="single" w:sz="4" w:space="0" w:color="000000"/>
            </w:tcBorders>
            <w:shd w:val="clear" w:color="auto" w:fill="AEAAAA"/>
            <w:vAlign w:val="center"/>
          </w:tcPr>
          <w:p w:rsidR="00E8309B" w:rsidRDefault="009D0949">
            <w:pPr>
              <w:spacing w:after="0" w:line="259" w:lineRule="auto"/>
              <w:ind w:left="1" w:right="0" w:firstLine="0"/>
              <w:jc w:val="center"/>
            </w:pPr>
            <w:r>
              <w:rPr>
                <w:sz w:val="20"/>
              </w:rPr>
              <w:t xml:space="preserve"> </w:t>
            </w:r>
          </w:p>
        </w:tc>
        <w:tc>
          <w:tcPr>
            <w:tcW w:w="421" w:type="dxa"/>
            <w:tcBorders>
              <w:top w:val="single" w:sz="4" w:space="0" w:color="000000"/>
              <w:left w:val="single" w:sz="4" w:space="0" w:color="000000"/>
              <w:bottom w:val="single" w:sz="4" w:space="0" w:color="000000"/>
              <w:right w:val="single" w:sz="4" w:space="0" w:color="000000"/>
            </w:tcBorders>
            <w:shd w:val="clear" w:color="auto" w:fill="AEAAAA"/>
            <w:vAlign w:val="center"/>
          </w:tcPr>
          <w:p w:rsidR="00E8309B" w:rsidRDefault="009D0949">
            <w:pPr>
              <w:spacing w:after="0" w:line="259" w:lineRule="auto"/>
              <w:ind w:left="1" w:right="0" w:firstLine="0"/>
              <w:jc w:val="center"/>
            </w:pPr>
            <w:r>
              <w:rPr>
                <w:sz w:val="20"/>
              </w:rPr>
              <w:t xml:space="preserve"> </w:t>
            </w:r>
          </w:p>
        </w:tc>
        <w:tc>
          <w:tcPr>
            <w:tcW w:w="422" w:type="dxa"/>
            <w:tcBorders>
              <w:top w:val="single" w:sz="4" w:space="0" w:color="000000"/>
              <w:left w:val="single" w:sz="4" w:space="0" w:color="000000"/>
              <w:bottom w:val="single" w:sz="4" w:space="0" w:color="000000"/>
              <w:right w:val="single" w:sz="4" w:space="0" w:color="000000"/>
            </w:tcBorders>
            <w:shd w:val="clear" w:color="auto" w:fill="AEAAAA"/>
            <w:vAlign w:val="center"/>
          </w:tcPr>
          <w:p w:rsidR="00E8309B" w:rsidRDefault="009D0949">
            <w:pPr>
              <w:spacing w:after="0" w:line="259" w:lineRule="auto"/>
              <w:ind w:left="2" w:right="0" w:firstLine="0"/>
              <w:jc w:val="center"/>
            </w:pPr>
            <w:r>
              <w:rPr>
                <w:sz w:val="20"/>
              </w:rPr>
              <w:t xml:space="preserve"> </w:t>
            </w:r>
          </w:p>
        </w:tc>
        <w:tc>
          <w:tcPr>
            <w:tcW w:w="421" w:type="dxa"/>
            <w:tcBorders>
              <w:top w:val="single" w:sz="4" w:space="0" w:color="000000"/>
              <w:left w:val="single" w:sz="4" w:space="0" w:color="000000"/>
              <w:bottom w:val="single" w:sz="4" w:space="0" w:color="000000"/>
              <w:right w:val="single" w:sz="8" w:space="0" w:color="000000"/>
            </w:tcBorders>
            <w:shd w:val="clear" w:color="auto" w:fill="AEAAAA"/>
            <w:vAlign w:val="center"/>
          </w:tcPr>
          <w:p w:rsidR="00E8309B" w:rsidRDefault="009D0949">
            <w:pPr>
              <w:spacing w:after="0" w:line="259" w:lineRule="auto"/>
              <w:ind w:left="4" w:right="0" w:firstLine="0"/>
              <w:jc w:val="center"/>
            </w:pPr>
            <w:r>
              <w:rPr>
                <w:sz w:val="20"/>
              </w:rPr>
              <w:t xml:space="preserve"> </w:t>
            </w:r>
          </w:p>
        </w:tc>
        <w:tc>
          <w:tcPr>
            <w:tcW w:w="424" w:type="dxa"/>
            <w:tcBorders>
              <w:top w:val="single" w:sz="4" w:space="0" w:color="000000"/>
              <w:left w:val="single" w:sz="8" w:space="0" w:color="000000"/>
              <w:bottom w:val="single" w:sz="4" w:space="0" w:color="000000"/>
              <w:right w:val="single" w:sz="4" w:space="0" w:color="000000"/>
            </w:tcBorders>
            <w:shd w:val="clear" w:color="auto" w:fill="AEAAAA"/>
            <w:vAlign w:val="center"/>
          </w:tcPr>
          <w:p w:rsidR="00E8309B" w:rsidRDefault="009D0949">
            <w:pPr>
              <w:spacing w:after="0" w:line="259" w:lineRule="auto"/>
              <w:ind w:left="4" w:right="0" w:firstLine="0"/>
              <w:jc w:val="center"/>
            </w:pPr>
            <w:r>
              <w:rPr>
                <w:sz w:val="20"/>
              </w:rPr>
              <w:t xml:space="preserve"> </w:t>
            </w:r>
          </w:p>
        </w:tc>
        <w:tc>
          <w:tcPr>
            <w:tcW w:w="421" w:type="dxa"/>
            <w:tcBorders>
              <w:top w:val="single" w:sz="4" w:space="0" w:color="000000"/>
              <w:left w:val="single" w:sz="4" w:space="0" w:color="000000"/>
              <w:bottom w:val="single" w:sz="4" w:space="0" w:color="000000"/>
              <w:right w:val="single" w:sz="4" w:space="0" w:color="000000"/>
            </w:tcBorders>
            <w:shd w:val="clear" w:color="auto" w:fill="AEAAAA"/>
            <w:vAlign w:val="center"/>
          </w:tcPr>
          <w:p w:rsidR="00E8309B" w:rsidRDefault="009D0949">
            <w:pPr>
              <w:spacing w:after="0" w:line="259" w:lineRule="auto"/>
              <w:ind w:left="4" w:right="0" w:firstLine="0"/>
              <w:jc w:val="center"/>
            </w:pPr>
            <w:r>
              <w:rPr>
                <w:sz w:val="20"/>
              </w:rPr>
              <w:t xml:space="preserve"> </w:t>
            </w:r>
          </w:p>
        </w:tc>
        <w:tc>
          <w:tcPr>
            <w:tcW w:w="423" w:type="dxa"/>
            <w:tcBorders>
              <w:top w:val="single" w:sz="4" w:space="0" w:color="000000"/>
              <w:left w:val="single" w:sz="4" w:space="0" w:color="000000"/>
              <w:bottom w:val="single" w:sz="4" w:space="0" w:color="000000"/>
              <w:right w:val="single" w:sz="4" w:space="0" w:color="000000"/>
            </w:tcBorders>
            <w:shd w:val="clear" w:color="auto" w:fill="AEAAAA"/>
            <w:vAlign w:val="center"/>
          </w:tcPr>
          <w:p w:rsidR="00E8309B" w:rsidRDefault="009D0949">
            <w:pPr>
              <w:spacing w:after="0" w:line="259" w:lineRule="auto"/>
              <w:ind w:left="5" w:right="0" w:firstLine="0"/>
              <w:jc w:val="center"/>
            </w:pPr>
            <w:r>
              <w:rPr>
                <w:sz w:val="20"/>
              </w:rPr>
              <w:t xml:space="preserve"> </w:t>
            </w:r>
          </w:p>
        </w:tc>
        <w:tc>
          <w:tcPr>
            <w:tcW w:w="420" w:type="dxa"/>
            <w:tcBorders>
              <w:top w:val="single" w:sz="4" w:space="0" w:color="000000"/>
              <w:left w:val="single" w:sz="4" w:space="0" w:color="000000"/>
              <w:bottom w:val="single" w:sz="4" w:space="0" w:color="000000"/>
              <w:right w:val="single" w:sz="8" w:space="0" w:color="000000"/>
            </w:tcBorders>
            <w:shd w:val="clear" w:color="auto" w:fill="AEAAAA"/>
            <w:vAlign w:val="center"/>
          </w:tcPr>
          <w:p w:rsidR="00E8309B" w:rsidRDefault="009D0949">
            <w:pPr>
              <w:spacing w:after="0" w:line="259" w:lineRule="auto"/>
              <w:ind w:left="2" w:right="0" w:firstLine="0"/>
              <w:jc w:val="center"/>
            </w:pPr>
            <w:r>
              <w:rPr>
                <w:sz w:val="20"/>
              </w:rPr>
              <w:t xml:space="preserve"> </w:t>
            </w:r>
          </w:p>
        </w:tc>
        <w:tc>
          <w:tcPr>
            <w:tcW w:w="424" w:type="dxa"/>
            <w:tcBorders>
              <w:top w:val="single" w:sz="4" w:space="0" w:color="000000"/>
              <w:left w:val="single" w:sz="8" w:space="0" w:color="000000"/>
              <w:bottom w:val="single" w:sz="4" w:space="0" w:color="000000"/>
              <w:right w:val="single" w:sz="4" w:space="0" w:color="000000"/>
            </w:tcBorders>
            <w:shd w:val="clear" w:color="auto" w:fill="AEAAAA"/>
            <w:vAlign w:val="center"/>
          </w:tcPr>
          <w:p w:rsidR="00E8309B" w:rsidRDefault="009D0949">
            <w:pPr>
              <w:spacing w:after="0" w:line="259" w:lineRule="auto"/>
              <w:ind w:left="4" w:right="0" w:firstLine="0"/>
              <w:jc w:val="center"/>
            </w:pPr>
            <w:r>
              <w:rPr>
                <w:sz w:val="20"/>
              </w:rPr>
              <w:t xml:space="preserve"> </w:t>
            </w:r>
          </w:p>
        </w:tc>
        <w:tc>
          <w:tcPr>
            <w:tcW w:w="422" w:type="dxa"/>
            <w:tcBorders>
              <w:top w:val="single" w:sz="4" w:space="0" w:color="000000"/>
              <w:left w:val="single" w:sz="4" w:space="0" w:color="000000"/>
              <w:bottom w:val="single" w:sz="4" w:space="0" w:color="000000"/>
              <w:right w:val="single" w:sz="4" w:space="0" w:color="000000"/>
            </w:tcBorders>
            <w:shd w:val="clear" w:color="auto" w:fill="AEAAAA"/>
            <w:vAlign w:val="center"/>
          </w:tcPr>
          <w:p w:rsidR="00E8309B" w:rsidRDefault="009D0949">
            <w:pPr>
              <w:spacing w:after="0" w:line="259" w:lineRule="auto"/>
              <w:ind w:left="2" w:right="0" w:firstLine="0"/>
              <w:jc w:val="center"/>
            </w:pPr>
            <w:r>
              <w:rPr>
                <w:sz w:val="20"/>
              </w:rPr>
              <w:t xml:space="preserve"> </w:t>
            </w:r>
          </w:p>
        </w:tc>
        <w:tc>
          <w:tcPr>
            <w:tcW w:w="422" w:type="dxa"/>
            <w:tcBorders>
              <w:top w:val="single" w:sz="4" w:space="0" w:color="000000"/>
              <w:left w:val="single" w:sz="4" w:space="0" w:color="000000"/>
              <w:bottom w:val="single" w:sz="4" w:space="0" w:color="000000"/>
              <w:right w:val="single" w:sz="4" w:space="0" w:color="000000"/>
            </w:tcBorders>
            <w:shd w:val="clear" w:color="auto" w:fill="AEAAAA"/>
            <w:vAlign w:val="center"/>
          </w:tcPr>
          <w:p w:rsidR="00E8309B" w:rsidRDefault="009D0949">
            <w:pPr>
              <w:spacing w:after="0" w:line="259" w:lineRule="auto"/>
              <w:ind w:left="2" w:right="0" w:firstLine="0"/>
              <w:jc w:val="center"/>
            </w:pPr>
            <w:r>
              <w:rPr>
                <w:sz w:val="20"/>
              </w:rPr>
              <w:t xml:space="preserve"> </w:t>
            </w:r>
          </w:p>
        </w:tc>
        <w:tc>
          <w:tcPr>
            <w:tcW w:w="420" w:type="dxa"/>
            <w:tcBorders>
              <w:top w:val="single" w:sz="4" w:space="0" w:color="000000"/>
              <w:left w:val="single" w:sz="4" w:space="0" w:color="000000"/>
              <w:bottom w:val="single" w:sz="4" w:space="0" w:color="000000"/>
              <w:right w:val="single" w:sz="8" w:space="0" w:color="000000"/>
            </w:tcBorders>
            <w:shd w:val="clear" w:color="auto" w:fill="AEAAAA"/>
            <w:vAlign w:val="center"/>
          </w:tcPr>
          <w:p w:rsidR="00E8309B" w:rsidRDefault="009D0949">
            <w:pPr>
              <w:spacing w:after="0" w:line="259" w:lineRule="auto"/>
              <w:ind w:left="5" w:right="0" w:firstLine="0"/>
              <w:jc w:val="center"/>
            </w:pPr>
            <w:r>
              <w:rPr>
                <w:sz w:val="20"/>
              </w:rPr>
              <w:t xml:space="preserve"> </w:t>
            </w:r>
          </w:p>
        </w:tc>
      </w:tr>
      <w:tr w:rsidR="00E8309B">
        <w:trPr>
          <w:trHeight w:val="701"/>
        </w:trPr>
        <w:tc>
          <w:tcPr>
            <w:tcW w:w="418" w:type="dxa"/>
            <w:tcBorders>
              <w:top w:val="single" w:sz="4" w:space="0" w:color="000000"/>
              <w:left w:val="single" w:sz="8" w:space="0" w:color="000000"/>
              <w:bottom w:val="single" w:sz="4" w:space="0" w:color="000000"/>
              <w:right w:val="single" w:sz="8" w:space="0" w:color="000000"/>
            </w:tcBorders>
          </w:tcPr>
          <w:p w:rsidR="00E8309B" w:rsidRDefault="009D0949">
            <w:pPr>
              <w:spacing w:after="0" w:line="259" w:lineRule="auto"/>
              <w:ind w:left="0" w:right="51" w:firstLine="0"/>
              <w:jc w:val="right"/>
            </w:pPr>
            <w:r>
              <w:rPr>
                <w:sz w:val="20"/>
              </w:rPr>
              <w:t xml:space="preserve">8 </w:t>
            </w:r>
          </w:p>
        </w:tc>
        <w:tc>
          <w:tcPr>
            <w:tcW w:w="4132" w:type="dxa"/>
            <w:tcBorders>
              <w:top w:val="single" w:sz="4" w:space="0" w:color="000000"/>
              <w:left w:val="single" w:sz="8" w:space="0" w:color="000000"/>
              <w:bottom w:val="single" w:sz="4" w:space="0" w:color="000000"/>
              <w:right w:val="single" w:sz="8" w:space="0" w:color="000000"/>
            </w:tcBorders>
          </w:tcPr>
          <w:p w:rsidR="00E8309B" w:rsidRDefault="009D0949">
            <w:pPr>
              <w:spacing w:after="0" w:line="259" w:lineRule="auto"/>
              <w:ind w:left="0" w:right="0" w:firstLine="0"/>
              <w:jc w:val="left"/>
            </w:pPr>
            <w:r>
              <w:rPr>
                <w:sz w:val="20"/>
              </w:rPr>
              <w:t xml:space="preserve">Успостављање оквира за праћење и вредновање Националног модела дуалног образовања и дуалних образовних профила </w:t>
            </w:r>
          </w:p>
        </w:tc>
        <w:tc>
          <w:tcPr>
            <w:tcW w:w="419" w:type="dxa"/>
            <w:tcBorders>
              <w:top w:val="single" w:sz="4" w:space="0" w:color="000000"/>
              <w:left w:val="single" w:sz="8"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1" w:right="0" w:firstLine="0"/>
              <w:jc w:val="center"/>
            </w:pPr>
            <w:r>
              <w:rPr>
                <w:sz w:val="20"/>
              </w:rPr>
              <w:t xml:space="preserve"> </w:t>
            </w:r>
          </w:p>
        </w:tc>
        <w:tc>
          <w:tcPr>
            <w:tcW w:w="421"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1" w:right="0" w:firstLine="0"/>
              <w:jc w:val="center"/>
            </w:pPr>
            <w:r>
              <w:rPr>
                <w:sz w:val="20"/>
              </w:rPr>
              <w:t xml:space="preserve"> </w:t>
            </w:r>
          </w:p>
        </w:tc>
        <w:tc>
          <w:tcPr>
            <w:tcW w:w="422"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2" w:right="0" w:firstLine="0"/>
              <w:jc w:val="center"/>
            </w:pPr>
            <w:r>
              <w:rPr>
                <w:sz w:val="20"/>
              </w:rPr>
              <w:t xml:space="preserve"> </w:t>
            </w:r>
          </w:p>
        </w:tc>
        <w:tc>
          <w:tcPr>
            <w:tcW w:w="421" w:type="dxa"/>
            <w:tcBorders>
              <w:top w:val="single" w:sz="4" w:space="0" w:color="000000"/>
              <w:left w:val="single" w:sz="4" w:space="0" w:color="000000"/>
              <w:bottom w:val="single" w:sz="4" w:space="0" w:color="000000"/>
              <w:right w:val="single" w:sz="8" w:space="0" w:color="000000"/>
            </w:tcBorders>
            <w:shd w:val="clear" w:color="auto" w:fill="BFBFBF"/>
            <w:vAlign w:val="center"/>
          </w:tcPr>
          <w:p w:rsidR="00E8309B" w:rsidRDefault="009D0949">
            <w:pPr>
              <w:spacing w:after="0" w:line="259" w:lineRule="auto"/>
              <w:ind w:left="4" w:right="0" w:firstLine="0"/>
              <w:jc w:val="center"/>
            </w:pPr>
            <w:r>
              <w:rPr>
                <w:sz w:val="20"/>
              </w:rPr>
              <w:t xml:space="preserve"> </w:t>
            </w:r>
          </w:p>
        </w:tc>
        <w:tc>
          <w:tcPr>
            <w:tcW w:w="424" w:type="dxa"/>
            <w:tcBorders>
              <w:top w:val="single" w:sz="4" w:space="0" w:color="000000"/>
              <w:left w:val="single" w:sz="8" w:space="0" w:color="000000"/>
              <w:bottom w:val="single" w:sz="4" w:space="0" w:color="000000"/>
              <w:right w:val="single" w:sz="4" w:space="0" w:color="000000"/>
            </w:tcBorders>
            <w:vAlign w:val="center"/>
          </w:tcPr>
          <w:p w:rsidR="00E8309B" w:rsidRDefault="009D0949">
            <w:pPr>
              <w:spacing w:after="0" w:line="259" w:lineRule="auto"/>
              <w:ind w:left="4" w:right="0" w:firstLine="0"/>
              <w:jc w:val="center"/>
            </w:pPr>
            <w:r>
              <w:rPr>
                <w:sz w:val="20"/>
              </w:rPr>
              <w:t xml:space="preserve"> </w:t>
            </w:r>
          </w:p>
        </w:tc>
        <w:tc>
          <w:tcPr>
            <w:tcW w:w="421"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4" w:right="0" w:firstLine="0"/>
              <w:jc w:val="center"/>
            </w:pPr>
            <w:r>
              <w:rPr>
                <w:sz w:val="20"/>
              </w:rPr>
              <w:t xml:space="preserve"> </w:t>
            </w:r>
          </w:p>
        </w:tc>
        <w:tc>
          <w:tcPr>
            <w:tcW w:w="423"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5" w:right="0" w:firstLine="0"/>
              <w:jc w:val="center"/>
            </w:pPr>
            <w:r>
              <w:rPr>
                <w:sz w:val="20"/>
              </w:rPr>
              <w:t xml:space="preserve"> </w:t>
            </w:r>
          </w:p>
        </w:tc>
        <w:tc>
          <w:tcPr>
            <w:tcW w:w="420" w:type="dxa"/>
            <w:tcBorders>
              <w:top w:val="single" w:sz="4" w:space="0" w:color="000000"/>
              <w:left w:val="single" w:sz="4" w:space="0" w:color="000000"/>
              <w:bottom w:val="single" w:sz="4" w:space="0" w:color="000000"/>
              <w:right w:val="single" w:sz="8" w:space="0" w:color="000000"/>
            </w:tcBorders>
            <w:vAlign w:val="center"/>
          </w:tcPr>
          <w:p w:rsidR="00E8309B" w:rsidRDefault="009D0949">
            <w:pPr>
              <w:spacing w:after="0" w:line="259" w:lineRule="auto"/>
              <w:ind w:left="2" w:right="0" w:firstLine="0"/>
              <w:jc w:val="center"/>
            </w:pPr>
            <w:r>
              <w:rPr>
                <w:sz w:val="20"/>
              </w:rPr>
              <w:t xml:space="preserve"> </w:t>
            </w:r>
          </w:p>
        </w:tc>
        <w:tc>
          <w:tcPr>
            <w:tcW w:w="424" w:type="dxa"/>
            <w:tcBorders>
              <w:top w:val="single" w:sz="4" w:space="0" w:color="000000"/>
              <w:left w:val="single" w:sz="8" w:space="0" w:color="000000"/>
              <w:bottom w:val="single" w:sz="4" w:space="0" w:color="000000"/>
              <w:right w:val="single" w:sz="4" w:space="0" w:color="000000"/>
            </w:tcBorders>
            <w:vAlign w:val="center"/>
          </w:tcPr>
          <w:p w:rsidR="00E8309B" w:rsidRDefault="009D0949">
            <w:pPr>
              <w:spacing w:after="0" w:line="259" w:lineRule="auto"/>
              <w:ind w:left="4" w:right="0" w:firstLine="0"/>
              <w:jc w:val="center"/>
            </w:pPr>
            <w:r>
              <w:rPr>
                <w:sz w:val="20"/>
              </w:rPr>
              <w:t xml:space="preserve"> </w:t>
            </w:r>
          </w:p>
        </w:tc>
        <w:tc>
          <w:tcPr>
            <w:tcW w:w="422"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2" w:right="0" w:firstLine="0"/>
              <w:jc w:val="center"/>
            </w:pPr>
            <w:r>
              <w:rPr>
                <w:sz w:val="20"/>
              </w:rPr>
              <w:t xml:space="preserve"> </w:t>
            </w:r>
          </w:p>
        </w:tc>
        <w:tc>
          <w:tcPr>
            <w:tcW w:w="422"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2" w:right="0" w:firstLine="0"/>
              <w:jc w:val="center"/>
            </w:pPr>
            <w:r>
              <w:rPr>
                <w:sz w:val="20"/>
              </w:rPr>
              <w:t xml:space="preserve"> </w:t>
            </w:r>
          </w:p>
        </w:tc>
        <w:tc>
          <w:tcPr>
            <w:tcW w:w="420" w:type="dxa"/>
            <w:tcBorders>
              <w:top w:val="single" w:sz="4" w:space="0" w:color="000000"/>
              <w:left w:val="single" w:sz="4" w:space="0" w:color="000000"/>
              <w:bottom w:val="single" w:sz="4" w:space="0" w:color="000000"/>
              <w:right w:val="single" w:sz="8" w:space="0" w:color="000000"/>
            </w:tcBorders>
            <w:vAlign w:val="center"/>
          </w:tcPr>
          <w:p w:rsidR="00E8309B" w:rsidRDefault="009D0949">
            <w:pPr>
              <w:spacing w:after="0" w:line="259" w:lineRule="auto"/>
              <w:ind w:left="5" w:right="0" w:firstLine="0"/>
              <w:jc w:val="center"/>
            </w:pPr>
            <w:r>
              <w:rPr>
                <w:sz w:val="20"/>
              </w:rPr>
              <w:t xml:space="preserve"> </w:t>
            </w:r>
          </w:p>
        </w:tc>
      </w:tr>
      <w:tr w:rsidR="00E8309B">
        <w:trPr>
          <w:trHeight w:val="470"/>
        </w:trPr>
        <w:tc>
          <w:tcPr>
            <w:tcW w:w="418" w:type="dxa"/>
            <w:tcBorders>
              <w:top w:val="single" w:sz="4" w:space="0" w:color="000000"/>
              <w:left w:val="single" w:sz="8" w:space="0" w:color="000000"/>
              <w:bottom w:val="single" w:sz="4" w:space="0" w:color="000000"/>
              <w:right w:val="single" w:sz="8" w:space="0" w:color="000000"/>
            </w:tcBorders>
          </w:tcPr>
          <w:p w:rsidR="00E8309B" w:rsidRDefault="009D0949">
            <w:pPr>
              <w:spacing w:after="0" w:line="259" w:lineRule="auto"/>
              <w:ind w:left="0" w:right="51" w:firstLine="0"/>
              <w:jc w:val="right"/>
            </w:pPr>
            <w:r>
              <w:rPr>
                <w:sz w:val="20"/>
              </w:rPr>
              <w:t xml:space="preserve">9 </w:t>
            </w:r>
          </w:p>
        </w:tc>
        <w:tc>
          <w:tcPr>
            <w:tcW w:w="4132" w:type="dxa"/>
            <w:tcBorders>
              <w:top w:val="single" w:sz="4" w:space="0" w:color="000000"/>
              <w:left w:val="single" w:sz="8" w:space="0" w:color="000000"/>
              <w:bottom w:val="single" w:sz="4" w:space="0" w:color="000000"/>
              <w:right w:val="single" w:sz="8" w:space="0" w:color="000000"/>
            </w:tcBorders>
          </w:tcPr>
          <w:p w:rsidR="00E8309B" w:rsidRDefault="009D0949">
            <w:pPr>
              <w:spacing w:after="0" w:line="259" w:lineRule="auto"/>
              <w:ind w:left="0" w:right="0" w:firstLine="0"/>
              <w:jc w:val="left"/>
            </w:pPr>
            <w:r>
              <w:rPr>
                <w:sz w:val="20"/>
              </w:rPr>
              <w:t xml:space="preserve">Прикупљање података који служе за унапређивање квалитета дуалног образовања </w:t>
            </w:r>
          </w:p>
        </w:tc>
        <w:tc>
          <w:tcPr>
            <w:tcW w:w="419" w:type="dxa"/>
            <w:tcBorders>
              <w:top w:val="single" w:sz="4" w:space="0" w:color="000000"/>
              <w:left w:val="single" w:sz="8" w:space="0" w:color="000000"/>
              <w:bottom w:val="single" w:sz="4" w:space="0" w:color="000000"/>
              <w:right w:val="single" w:sz="4" w:space="0" w:color="000000"/>
            </w:tcBorders>
            <w:vAlign w:val="center"/>
          </w:tcPr>
          <w:p w:rsidR="00E8309B" w:rsidRDefault="009D0949">
            <w:pPr>
              <w:spacing w:after="0" w:line="259" w:lineRule="auto"/>
              <w:ind w:left="1" w:right="0" w:firstLine="0"/>
              <w:jc w:val="center"/>
            </w:pPr>
            <w:r>
              <w:rPr>
                <w:sz w:val="20"/>
              </w:rPr>
              <w:t xml:space="preserve"> </w:t>
            </w:r>
          </w:p>
        </w:tc>
        <w:tc>
          <w:tcPr>
            <w:tcW w:w="421"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1" w:right="0" w:firstLine="0"/>
              <w:jc w:val="center"/>
            </w:pPr>
            <w:r>
              <w:rPr>
                <w:sz w:val="20"/>
              </w:rPr>
              <w:t xml:space="preserve"> </w:t>
            </w:r>
          </w:p>
        </w:tc>
        <w:tc>
          <w:tcPr>
            <w:tcW w:w="422"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2" w:right="0" w:firstLine="0"/>
              <w:jc w:val="center"/>
            </w:pPr>
            <w:r>
              <w:rPr>
                <w:sz w:val="20"/>
              </w:rPr>
              <w:t xml:space="preserve"> </w:t>
            </w:r>
          </w:p>
        </w:tc>
        <w:tc>
          <w:tcPr>
            <w:tcW w:w="421" w:type="dxa"/>
            <w:tcBorders>
              <w:top w:val="single" w:sz="4" w:space="0" w:color="000000"/>
              <w:left w:val="single" w:sz="4" w:space="0" w:color="000000"/>
              <w:bottom w:val="single" w:sz="4" w:space="0" w:color="000000"/>
              <w:right w:val="single" w:sz="8" w:space="0" w:color="000000"/>
            </w:tcBorders>
            <w:vAlign w:val="center"/>
          </w:tcPr>
          <w:p w:rsidR="00E8309B" w:rsidRDefault="009D0949">
            <w:pPr>
              <w:spacing w:after="0" w:line="259" w:lineRule="auto"/>
              <w:ind w:left="4" w:right="0" w:firstLine="0"/>
              <w:jc w:val="center"/>
            </w:pPr>
            <w:r>
              <w:rPr>
                <w:sz w:val="20"/>
              </w:rPr>
              <w:t xml:space="preserve"> </w:t>
            </w:r>
          </w:p>
        </w:tc>
        <w:tc>
          <w:tcPr>
            <w:tcW w:w="424" w:type="dxa"/>
            <w:tcBorders>
              <w:top w:val="single" w:sz="4" w:space="0" w:color="000000"/>
              <w:left w:val="single" w:sz="8" w:space="0" w:color="000000"/>
              <w:bottom w:val="single" w:sz="4" w:space="0" w:color="000000"/>
              <w:right w:val="single" w:sz="4" w:space="0" w:color="000000"/>
            </w:tcBorders>
            <w:vAlign w:val="center"/>
          </w:tcPr>
          <w:p w:rsidR="00E8309B" w:rsidRDefault="009D0949">
            <w:pPr>
              <w:spacing w:after="0" w:line="259" w:lineRule="auto"/>
              <w:ind w:left="4" w:right="0" w:firstLine="0"/>
              <w:jc w:val="center"/>
            </w:pPr>
            <w:r>
              <w:rPr>
                <w:sz w:val="20"/>
              </w:rPr>
              <w:t xml:space="preserve"> </w:t>
            </w:r>
          </w:p>
        </w:tc>
        <w:tc>
          <w:tcPr>
            <w:tcW w:w="421"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4" w:right="0" w:firstLine="0"/>
              <w:jc w:val="center"/>
            </w:pPr>
            <w:r>
              <w:rPr>
                <w:sz w:val="20"/>
              </w:rPr>
              <w:t xml:space="preserve"> </w:t>
            </w:r>
          </w:p>
        </w:tc>
        <w:tc>
          <w:tcPr>
            <w:tcW w:w="423"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5" w:right="0" w:firstLine="0"/>
              <w:jc w:val="center"/>
            </w:pPr>
            <w:r>
              <w:rPr>
                <w:sz w:val="20"/>
              </w:rPr>
              <w:t xml:space="preserve"> </w:t>
            </w:r>
          </w:p>
        </w:tc>
        <w:tc>
          <w:tcPr>
            <w:tcW w:w="420" w:type="dxa"/>
            <w:tcBorders>
              <w:top w:val="single" w:sz="4" w:space="0" w:color="000000"/>
              <w:left w:val="single" w:sz="4" w:space="0" w:color="000000"/>
              <w:bottom w:val="single" w:sz="4" w:space="0" w:color="000000"/>
              <w:right w:val="single" w:sz="8" w:space="0" w:color="000000"/>
            </w:tcBorders>
            <w:shd w:val="clear" w:color="auto" w:fill="BFBFBF"/>
            <w:vAlign w:val="center"/>
          </w:tcPr>
          <w:p w:rsidR="00E8309B" w:rsidRDefault="009D0949">
            <w:pPr>
              <w:spacing w:after="0" w:line="259" w:lineRule="auto"/>
              <w:ind w:left="2" w:right="0" w:firstLine="0"/>
              <w:jc w:val="center"/>
            </w:pPr>
            <w:r>
              <w:rPr>
                <w:sz w:val="20"/>
              </w:rPr>
              <w:t xml:space="preserve"> </w:t>
            </w:r>
          </w:p>
        </w:tc>
        <w:tc>
          <w:tcPr>
            <w:tcW w:w="424" w:type="dxa"/>
            <w:tcBorders>
              <w:top w:val="single" w:sz="4" w:space="0" w:color="000000"/>
              <w:left w:val="single" w:sz="8"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4" w:right="0" w:firstLine="0"/>
              <w:jc w:val="center"/>
            </w:pPr>
            <w:r>
              <w:rPr>
                <w:sz w:val="20"/>
              </w:rPr>
              <w:t xml:space="preserve"> </w:t>
            </w:r>
          </w:p>
        </w:tc>
        <w:tc>
          <w:tcPr>
            <w:tcW w:w="422"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2" w:right="0" w:firstLine="0"/>
              <w:jc w:val="center"/>
            </w:pPr>
            <w:r>
              <w:rPr>
                <w:sz w:val="20"/>
              </w:rPr>
              <w:t xml:space="preserve"> </w:t>
            </w:r>
          </w:p>
        </w:tc>
        <w:tc>
          <w:tcPr>
            <w:tcW w:w="422"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2" w:right="0" w:firstLine="0"/>
              <w:jc w:val="center"/>
            </w:pPr>
            <w:r>
              <w:rPr>
                <w:sz w:val="20"/>
              </w:rPr>
              <w:t xml:space="preserve"> </w:t>
            </w:r>
          </w:p>
        </w:tc>
        <w:tc>
          <w:tcPr>
            <w:tcW w:w="420" w:type="dxa"/>
            <w:tcBorders>
              <w:top w:val="single" w:sz="4" w:space="0" w:color="000000"/>
              <w:left w:val="single" w:sz="4" w:space="0" w:color="000000"/>
              <w:bottom w:val="single" w:sz="4" w:space="0" w:color="000000"/>
              <w:right w:val="single" w:sz="8" w:space="0" w:color="000000"/>
            </w:tcBorders>
            <w:shd w:val="clear" w:color="auto" w:fill="BFBFBF"/>
            <w:vAlign w:val="center"/>
          </w:tcPr>
          <w:p w:rsidR="00E8309B" w:rsidRDefault="009D0949">
            <w:pPr>
              <w:spacing w:after="0" w:line="259" w:lineRule="auto"/>
              <w:ind w:left="5" w:right="0" w:firstLine="0"/>
              <w:jc w:val="center"/>
            </w:pPr>
            <w:r>
              <w:rPr>
                <w:sz w:val="20"/>
              </w:rPr>
              <w:t xml:space="preserve"> </w:t>
            </w:r>
          </w:p>
        </w:tc>
      </w:tr>
      <w:tr w:rsidR="00E8309B">
        <w:trPr>
          <w:trHeight w:val="308"/>
        </w:trPr>
        <w:tc>
          <w:tcPr>
            <w:tcW w:w="418" w:type="dxa"/>
            <w:tcBorders>
              <w:top w:val="single" w:sz="4" w:space="0" w:color="000000"/>
              <w:left w:val="single" w:sz="8" w:space="0" w:color="000000"/>
              <w:bottom w:val="single" w:sz="4" w:space="0" w:color="000000"/>
              <w:right w:val="single" w:sz="8" w:space="0" w:color="000000"/>
            </w:tcBorders>
          </w:tcPr>
          <w:p w:rsidR="00E8309B" w:rsidRDefault="009D0949">
            <w:pPr>
              <w:spacing w:after="0" w:line="259" w:lineRule="auto"/>
              <w:ind w:left="103" w:right="0" w:firstLine="0"/>
              <w:jc w:val="left"/>
            </w:pPr>
            <w:r>
              <w:rPr>
                <w:sz w:val="20"/>
              </w:rPr>
              <w:t xml:space="preserve">10 </w:t>
            </w:r>
          </w:p>
        </w:tc>
        <w:tc>
          <w:tcPr>
            <w:tcW w:w="4132" w:type="dxa"/>
            <w:tcBorders>
              <w:top w:val="single" w:sz="4" w:space="0" w:color="000000"/>
              <w:left w:val="single" w:sz="8" w:space="0" w:color="000000"/>
              <w:bottom w:val="single" w:sz="4" w:space="0" w:color="000000"/>
              <w:right w:val="single" w:sz="8" w:space="0" w:color="000000"/>
            </w:tcBorders>
          </w:tcPr>
          <w:p w:rsidR="00E8309B" w:rsidRDefault="009D0949">
            <w:pPr>
              <w:spacing w:after="0" w:line="259" w:lineRule="auto"/>
              <w:ind w:left="0" w:right="0" w:firstLine="0"/>
            </w:pPr>
            <w:r>
              <w:rPr>
                <w:sz w:val="20"/>
              </w:rPr>
              <w:t xml:space="preserve">Пилотирање и имплементација поступка ППУ </w:t>
            </w:r>
          </w:p>
        </w:tc>
        <w:tc>
          <w:tcPr>
            <w:tcW w:w="419" w:type="dxa"/>
            <w:tcBorders>
              <w:top w:val="single" w:sz="4" w:space="0" w:color="000000"/>
              <w:left w:val="single" w:sz="8" w:space="0" w:color="000000"/>
              <w:bottom w:val="single" w:sz="4" w:space="0" w:color="000000"/>
              <w:right w:val="single" w:sz="4" w:space="0" w:color="000000"/>
            </w:tcBorders>
            <w:shd w:val="clear" w:color="auto" w:fill="BFBFBF"/>
          </w:tcPr>
          <w:p w:rsidR="00E8309B" w:rsidRDefault="009D0949">
            <w:pPr>
              <w:spacing w:after="0" w:line="259" w:lineRule="auto"/>
              <w:ind w:left="1" w:right="0" w:firstLine="0"/>
              <w:jc w:val="center"/>
            </w:pPr>
            <w:r>
              <w:rPr>
                <w:sz w:val="20"/>
              </w:rPr>
              <w:t xml:space="preserve"> </w:t>
            </w:r>
          </w:p>
        </w:tc>
        <w:tc>
          <w:tcPr>
            <w:tcW w:w="421" w:type="dxa"/>
            <w:tcBorders>
              <w:top w:val="single" w:sz="4" w:space="0" w:color="000000"/>
              <w:left w:val="single" w:sz="4" w:space="0" w:color="000000"/>
              <w:bottom w:val="single" w:sz="4" w:space="0" w:color="000000"/>
              <w:right w:val="single" w:sz="4" w:space="0" w:color="000000"/>
            </w:tcBorders>
            <w:shd w:val="clear" w:color="auto" w:fill="BFBFBF"/>
          </w:tcPr>
          <w:p w:rsidR="00E8309B" w:rsidRDefault="009D0949">
            <w:pPr>
              <w:spacing w:after="0" w:line="259" w:lineRule="auto"/>
              <w:ind w:left="1" w:right="0" w:firstLine="0"/>
              <w:jc w:val="center"/>
            </w:pPr>
            <w:r>
              <w:rPr>
                <w:sz w:val="20"/>
              </w:rPr>
              <w:t xml:space="preserve"> </w:t>
            </w:r>
          </w:p>
        </w:tc>
        <w:tc>
          <w:tcPr>
            <w:tcW w:w="422" w:type="dxa"/>
            <w:tcBorders>
              <w:top w:val="single" w:sz="4" w:space="0" w:color="000000"/>
              <w:left w:val="single" w:sz="4" w:space="0" w:color="000000"/>
              <w:bottom w:val="single" w:sz="4" w:space="0" w:color="000000"/>
              <w:right w:val="single" w:sz="4" w:space="0" w:color="000000"/>
            </w:tcBorders>
            <w:shd w:val="clear" w:color="auto" w:fill="BFBFBF"/>
          </w:tcPr>
          <w:p w:rsidR="00E8309B" w:rsidRDefault="009D0949">
            <w:pPr>
              <w:spacing w:after="0" w:line="259" w:lineRule="auto"/>
              <w:ind w:left="2" w:right="0" w:firstLine="0"/>
              <w:jc w:val="center"/>
            </w:pPr>
            <w:r>
              <w:rPr>
                <w:sz w:val="20"/>
              </w:rPr>
              <w:t xml:space="preserve"> </w:t>
            </w:r>
          </w:p>
        </w:tc>
        <w:tc>
          <w:tcPr>
            <w:tcW w:w="421" w:type="dxa"/>
            <w:tcBorders>
              <w:top w:val="single" w:sz="4" w:space="0" w:color="000000"/>
              <w:left w:val="single" w:sz="4" w:space="0" w:color="000000"/>
              <w:bottom w:val="single" w:sz="4" w:space="0" w:color="000000"/>
              <w:right w:val="single" w:sz="8" w:space="0" w:color="000000"/>
            </w:tcBorders>
            <w:shd w:val="clear" w:color="auto" w:fill="BFBFBF"/>
          </w:tcPr>
          <w:p w:rsidR="00E8309B" w:rsidRDefault="009D0949">
            <w:pPr>
              <w:spacing w:after="0" w:line="259" w:lineRule="auto"/>
              <w:ind w:left="4" w:right="0" w:firstLine="0"/>
              <w:jc w:val="center"/>
            </w:pPr>
            <w:r>
              <w:rPr>
                <w:sz w:val="20"/>
              </w:rPr>
              <w:t xml:space="preserve"> </w:t>
            </w:r>
          </w:p>
        </w:tc>
        <w:tc>
          <w:tcPr>
            <w:tcW w:w="424" w:type="dxa"/>
            <w:tcBorders>
              <w:top w:val="single" w:sz="4" w:space="0" w:color="000000"/>
              <w:left w:val="single" w:sz="8" w:space="0" w:color="000000"/>
              <w:bottom w:val="single" w:sz="4" w:space="0" w:color="000000"/>
              <w:right w:val="single" w:sz="4" w:space="0" w:color="000000"/>
            </w:tcBorders>
            <w:shd w:val="clear" w:color="auto" w:fill="AEAAAA"/>
          </w:tcPr>
          <w:p w:rsidR="00E8309B" w:rsidRDefault="009D0949">
            <w:pPr>
              <w:spacing w:after="0" w:line="259" w:lineRule="auto"/>
              <w:ind w:left="4" w:right="0" w:firstLine="0"/>
              <w:jc w:val="center"/>
            </w:pPr>
            <w:r>
              <w:rPr>
                <w:sz w:val="20"/>
              </w:rPr>
              <w:t xml:space="preserve"> </w:t>
            </w:r>
          </w:p>
        </w:tc>
        <w:tc>
          <w:tcPr>
            <w:tcW w:w="421" w:type="dxa"/>
            <w:tcBorders>
              <w:top w:val="single" w:sz="4" w:space="0" w:color="000000"/>
              <w:left w:val="single" w:sz="4" w:space="0" w:color="000000"/>
              <w:bottom w:val="single" w:sz="4" w:space="0" w:color="000000"/>
              <w:right w:val="single" w:sz="4" w:space="0" w:color="000000"/>
            </w:tcBorders>
            <w:shd w:val="clear" w:color="auto" w:fill="AEAAAA"/>
          </w:tcPr>
          <w:p w:rsidR="00E8309B" w:rsidRDefault="009D0949">
            <w:pPr>
              <w:spacing w:after="0" w:line="259" w:lineRule="auto"/>
              <w:ind w:left="4" w:right="0" w:firstLine="0"/>
              <w:jc w:val="center"/>
            </w:pPr>
            <w:r>
              <w:rPr>
                <w:sz w:val="20"/>
              </w:rPr>
              <w:t xml:space="preserve"> </w:t>
            </w:r>
          </w:p>
        </w:tc>
        <w:tc>
          <w:tcPr>
            <w:tcW w:w="423" w:type="dxa"/>
            <w:tcBorders>
              <w:top w:val="single" w:sz="4" w:space="0" w:color="000000"/>
              <w:left w:val="single" w:sz="4" w:space="0" w:color="000000"/>
              <w:bottom w:val="single" w:sz="4" w:space="0" w:color="000000"/>
              <w:right w:val="single" w:sz="4" w:space="0" w:color="000000"/>
            </w:tcBorders>
            <w:shd w:val="clear" w:color="auto" w:fill="AEAAAA"/>
          </w:tcPr>
          <w:p w:rsidR="00E8309B" w:rsidRDefault="009D0949">
            <w:pPr>
              <w:spacing w:after="0" w:line="259" w:lineRule="auto"/>
              <w:ind w:left="5" w:right="0" w:firstLine="0"/>
              <w:jc w:val="center"/>
            </w:pPr>
            <w:r>
              <w:rPr>
                <w:sz w:val="20"/>
              </w:rPr>
              <w:t xml:space="preserve"> </w:t>
            </w:r>
          </w:p>
        </w:tc>
        <w:tc>
          <w:tcPr>
            <w:tcW w:w="420" w:type="dxa"/>
            <w:tcBorders>
              <w:top w:val="single" w:sz="4" w:space="0" w:color="000000"/>
              <w:left w:val="single" w:sz="4" w:space="0" w:color="000000"/>
              <w:bottom w:val="single" w:sz="4" w:space="0" w:color="000000"/>
              <w:right w:val="single" w:sz="8" w:space="0" w:color="000000"/>
            </w:tcBorders>
            <w:shd w:val="clear" w:color="auto" w:fill="AEAAAA"/>
          </w:tcPr>
          <w:p w:rsidR="00E8309B" w:rsidRDefault="009D0949">
            <w:pPr>
              <w:spacing w:after="0" w:line="259" w:lineRule="auto"/>
              <w:ind w:left="2" w:right="0" w:firstLine="0"/>
              <w:jc w:val="center"/>
            </w:pPr>
            <w:r>
              <w:rPr>
                <w:sz w:val="20"/>
              </w:rPr>
              <w:t xml:space="preserve"> </w:t>
            </w:r>
          </w:p>
        </w:tc>
        <w:tc>
          <w:tcPr>
            <w:tcW w:w="424" w:type="dxa"/>
            <w:tcBorders>
              <w:top w:val="single" w:sz="4" w:space="0" w:color="000000"/>
              <w:left w:val="single" w:sz="8" w:space="0" w:color="000000"/>
              <w:bottom w:val="single" w:sz="4" w:space="0" w:color="000000"/>
              <w:right w:val="single" w:sz="4" w:space="0" w:color="000000"/>
            </w:tcBorders>
            <w:shd w:val="clear" w:color="auto" w:fill="AEAAAA"/>
          </w:tcPr>
          <w:p w:rsidR="00E8309B" w:rsidRDefault="009D0949">
            <w:pPr>
              <w:spacing w:after="0" w:line="259" w:lineRule="auto"/>
              <w:ind w:left="4" w:right="0" w:firstLine="0"/>
              <w:jc w:val="center"/>
            </w:pPr>
            <w:r>
              <w:rPr>
                <w:sz w:val="20"/>
              </w:rPr>
              <w:t xml:space="preserve"> </w:t>
            </w:r>
          </w:p>
        </w:tc>
        <w:tc>
          <w:tcPr>
            <w:tcW w:w="422" w:type="dxa"/>
            <w:tcBorders>
              <w:top w:val="single" w:sz="4" w:space="0" w:color="000000"/>
              <w:left w:val="single" w:sz="4" w:space="0" w:color="000000"/>
              <w:bottom w:val="single" w:sz="4" w:space="0" w:color="000000"/>
              <w:right w:val="single" w:sz="4" w:space="0" w:color="000000"/>
            </w:tcBorders>
            <w:shd w:val="clear" w:color="auto" w:fill="AEAAAA"/>
          </w:tcPr>
          <w:p w:rsidR="00E8309B" w:rsidRDefault="009D0949">
            <w:pPr>
              <w:spacing w:after="0" w:line="259" w:lineRule="auto"/>
              <w:ind w:left="2" w:right="0" w:firstLine="0"/>
              <w:jc w:val="center"/>
            </w:pPr>
            <w:r>
              <w:rPr>
                <w:sz w:val="20"/>
              </w:rPr>
              <w:t xml:space="preserve"> </w:t>
            </w:r>
          </w:p>
        </w:tc>
        <w:tc>
          <w:tcPr>
            <w:tcW w:w="422" w:type="dxa"/>
            <w:tcBorders>
              <w:top w:val="single" w:sz="4" w:space="0" w:color="000000"/>
              <w:left w:val="single" w:sz="4" w:space="0" w:color="000000"/>
              <w:bottom w:val="single" w:sz="4" w:space="0" w:color="000000"/>
              <w:right w:val="single" w:sz="4" w:space="0" w:color="000000"/>
            </w:tcBorders>
            <w:shd w:val="clear" w:color="auto" w:fill="AEAAAA"/>
          </w:tcPr>
          <w:p w:rsidR="00E8309B" w:rsidRDefault="009D0949">
            <w:pPr>
              <w:spacing w:after="0" w:line="259" w:lineRule="auto"/>
              <w:ind w:left="2" w:right="0" w:firstLine="0"/>
              <w:jc w:val="center"/>
            </w:pPr>
            <w:r>
              <w:rPr>
                <w:sz w:val="20"/>
              </w:rPr>
              <w:t xml:space="preserve"> </w:t>
            </w:r>
          </w:p>
        </w:tc>
        <w:tc>
          <w:tcPr>
            <w:tcW w:w="420" w:type="dxa"/>
            <w:tcBorders>
              <w:top w:val="single" w:sz="4" w:space="0" w:color="000000"/>
              <w:left w:val="single" w:sz="4" w:space="0" w:color="000000"/>
              <w:bottom w:val="single" w:sz="4" w:space="0" w:color="000000"/>
              <w:right w:val="single" w:sz="8" w:space="0" w:color="000000"/>
            </w:tcBorders>
            <w:shd w:val="clear" w:color="auto" w:fill="AEAAAA"/>
          </w:tcPr>
          <w:p w:rsidR="00E8309B" w:rsidRDefault="009D0949">
            <w:pPr>
              <w:spacing w:after="0" w:line="259" w:lineRule="auto"/>
              <w:ind w:left="5" w:right="0" w:firstLine="0"/>
              <w:jc w:val="center"/>
            </w:pPr>
            <w:r>
              <w:rPr>
                <w:sz w:val="20"/>
              </w:rPr>
              <w:t xml:space="preserve"> </w:t>
            </w:r>
          </w:p>
        </w:tc>
      </w:tr>
      <w:tr w:rsidR="00E8309B">
        <w:trPr>
          <w:trHeight w:val="468"/>
        </w:trPr>
        <w:tc>
          <w:tcPr>
            <w:tcW w:w="418" w:type="dxa"/>
            <w:tcBorders>
              <w:top w:val="single" w:sz="4" w:space="0" w:color="000000"/>
              <w:left w:val="single" w:sz="8" w:space="0" w:color="000000"/>
              <w:bottom w:val="single" w:sz="4" w:space="0" w:color="000000"/>
              <w:right w:val="single" w:sz="8" w:space="0" w:color="000000"/>
            </w:tcBorders>
          </w:tcPr>
          <w:p w:rsidR="00E8309B" w:rsidRDefault="009D0949">
            <w:pPr>
              <w:spacing w:after="0" w:line="259" w:lineRule="auto"/>
              <w:ind w:left="103" w:right="0" w:firstLine="0"/>
              <w:jc w:val="left"/>
            </w:pPr>
            <w:r>
              <w:rPr>
                <w:sz w:val="20"/>
              </w:rPr>
              <w:t xml:space="preserve">11 </w:t>
            </w:r>
          </w:p>
        </w:tc>
        <w:tc>
          <w:tcPr>
            <w:tcW w:w="4132" w:type="dxa"/>
            <w:tcBorders>
              <w:top w:val="single" w:sz="4" w:space="0" w:color="000000"/>
              <w:left w:val="single" w:sz="8" w:space="0" w:color="000000"/>
              <w:bottom w:val="single" w:sz="4" w:space="0" w:color="000000"/>
              <w:right w:val="single" w:sz="8" w:space="0" w:color="000000"/>
            </w:tcBorders>
          </w:tcPr>
          <w:p w:rsidR="00E8309B" w:rsidRDefault="009D0949">
            <w:pPr>
              <w:spacing w:after="0" w:line="259" w:lineRule="auto"/>
              <w:ind w:left="0" w:right="0" w:firstLine="0"/>
              <w:jc w:val="left"/>
            </w:pPr>
            <w:r>
              <w:rPr>
                <w:sz w:val="20"/>
              </w:rPr>
              <w:t xml:space="preserve">Спровођење процедуре самовредновања и спољашње провере квалитета ЈПОА </w:t>
            </w:r>
          </w:p>
        </w:tc>
        <w:tc>
          <w:tcPr>
            <w:tcW w:w="419" w:type="dxa"/>
            <w:tcBorders>
              <w:top w:val="single" w:sz="4" w:space="0" w:color="000000"/>
              <w:left w:val="single" w:sz="8" w:space="0" w:color="000000"/>
              <w:bottom w:val="single" w:sz="4" w:space="0" w:color="000000"/>
              <w:right w:val="single" w:sz="4" w:space="0" w:color="000000"/>
            </w:tcBorders>
            <w:vAlign w:val="center"/>
          </w:tcPr>
          <w:p w:rsidR="00E8309B" w:rsidRDefault="009D0949">
            <w:pPr>
              <w:spacing w:after="0" w:line="259" w:lineRule="auto"/>
              <w:ind w:left="4" w:right="0" w:firstLine="0"/>
              <w:jc w:val="center"/>
            </w:pPr>
            <w:r>
              <w:rPr>
                <w:sz w:val="20"/>
              </w:rPr>
              <w:t xml:space="preserve"> </w:t>
            </w:r>
          </w:p>
        </w:tc>
        <w:tc>
          <w:tcPr>
            <w:tcW w:w="421"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1" w:right="0" w:firstLine="0"/>
              <w:jc w:val="center"/>
            </w:pPr>
            <w:r>
              <w:rPr>
                <w:sz w:val="20"/>
              </w:rPr>
              <w:t xml:space="preserve"> </w:t>
            </w:r>
          </w:p>
        </w:tc>
        <w:tc>
          <w:tcPr>
            <w:tcW w:w="422"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2" w:right="0" w:firstLine="0"/>
              <w:jc w:val="center"/>
            </w:pPr>
            <w:r>
              <w:rPr>
                <w:sz w:val="20"/>
              </w:rPr>
              <w:t xml:space="preserve"> </w:t>
            </w:r>
          </w:p>
        </w:tc>
        <w:tc>
          <w:tcPr>
            <w:tcW w:w="421" w:type="dxa"/>
            <w:tcBorders>
              <w:top w:val="single" w:sz="4" w:space="0" w:color="000000"/>
              <w:left w:val="single" w:sz="4" w:space="0" w:color="000000"/>
              <w:bottom w:val="single" w:sz="4" w:space="0" w:color="000000"/>
              <w:right w:val="single" w:sz="8" w:space="0" w:color="000000"/>
            </w:tcBorders>
            <w:vAlign w:val="center"/>
          </w:tcPr>
          <w:p w:rsidR="00E8309B" w:rsidRDefault="009D0949">
            <w:pPr>
              <w:spacing w:after="0" w:line="259" w:lineRule="auto"/>
              <w:ind w:left="1" w:right="0" w:firstLine="0"/>
              <w:jc w:val="center"/>
            </w:pPr>
            <w:r>
              <w:rPr>
                <w:sz w:val="20"/>
              </w:rPr>
              <w:t xml:space="preserve"> </w:t>
            </w:r>
          </w:p>
        </w:tc>
        <w:tc>
          <w:tcPr>
            <w:tcW w:w="424" w:type="dxa"/>
            <w:tcBorders>
              <w:top w:val="single" w:sz="4" w:space="0" w:color="000000"/>
              <w:left w:val="single" w:sz="8"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1" w:right="0" w:firstLine="0"/>
              <w:jc w:val="center"/>
            </w:pPr>
            <w:r>
              <w:rPr>
                <w:sz w:val="20"/>
              </w:rPr>
              <w:t xml:space="preserve"> </w:t>
            </w:r>
          </w:p>
        </w:tc>
        <w:tc>
          <w:tcPr>
            <w:tcW w:w="421"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4" w:right="0" w:firstLine="0"/>
              <w:jc w:val="center"/>
            </w:pPr>
            <w:r>
              <w:rPr>
                <w:sz w:val="20"/>
              </w:rPr>
              <w:t xml:space="preserve"> </w:t>
            </w:r>
          </w:p>
        </w:tc>
        <w:tc>
          <w:tcPr>
            <w:tcW w:w="423"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5" w:right="0" w:firstLine="0"/>
              <w:jc w:val="center"/>
            </w:pPr>
            <w:r>
              <w:rPr>
                <w:sz w:val="20"/>
              </w:rPr>
              <w:t xml:space="preserve"> </w:t>
            </w:r>
          </w:p>
        </w:tc>
        <w:tc>
          <w:tcPr>
            <w:tcW w:w="420" w:type="dxa"/>
            <w:tcBorders>
              <w:top w:val="single" w:sz="4" w:space="0" w:color="000000"/>
              <w:left w:val="single" w:sz="4" w:space="0" w:color="000000"/>
              <w:bottom w:val="single" w:sz="4" w:space="0" w:color="000000"/>
              <w:right w:val="single" w:sz="8" w:space="0" w:color="000000"/>
            </w:tcBorders>
            <w:shd w:val="clear" w:color="auto" w:fill="BFBFBF"/>
            <w:vAlign w:val="center"/>
          </w:tcPr>
          <w:p w:rsidR="00E8309B" w:rsidRDefault="009D0949">
            <w:pPr>
              <w:spacing w:after="0" w:line="259" w:lineRule="auto"/>
              <w:ind w:left="2" w:right="0" w:firstLine="0"/>
              <w:jc w:val="center"/>
            </w:pPr>
            <w:r>
              <w:rPr>
                <w:sz w:val="20"/>
              </w:rPr>
              <w:t xml:space="preserve"> </w:t>
            </w:r>
          </w:p>
        </w:tc>
        <w:tc>
          <w:tcPr>
            <w:tcW w:w="424" w:type="dxa"/>
            <w:tcBorders>
              <w:top w:val="single" w:sz="4" w:space="0" w:color="000000"/>
              <w:left w:val="single" w:sz="8"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4" w:right="0" w:firstLine="0"/>
              <w:jc w:val="center"/>
            </w:pPr>
            <w:r>
              <w:rPr>
                <w:sz w:val="20"/>
              </w:rPr>
              <w:t xml:space="preserve"> </w:t>
            </w:r>
          </w:p>
        </w:tc>
        <w:tc>
          <w:tcPr>
            <w:tcW w:w="422"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2" w:right="0" w:firstLine="0"/>
              <w:jc w:val="center"/>
            </w:pPr>
            <w:r>
              <w:rPr>
                <w:sz w:val="20"/>
              </w:rPr>
              <w:t xml:space="preserve"> </w:t>
            </w:r>
          </w:p>
        </w:tc>
        <w:tc>
          <w:tcPr>
            <w:tcW w:w="422"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2" w:right="0" w:firstLine="0"/>
              <w:jc w:val="center"/>
            </w:pPr>
            <w:r>
              <w:rPr>
                <w:sz w:val="20"/>
              </w:rPr>
              <w:t xml:space="preserve"> </w:t>
            </w:r>
          </w:p>
        </w:tc>
        <w:tc>
          <w:tcPr>
            <w:tcW w:w="420" w:type="dxa"/>
            <w:tcBorders>
              <w:top w:val="single" w:sz="4" w:space="0" w:color="000000"/>
              <w:left w:val="single" w:sz="4" w:space="0" w:color="000000"/>
              <w:bottom w:val="single" w:sz="4" w:space="0" w:color="000000"/>
              <w:right w:val="single" w:sz="8" w:space="0" w:color="000000"/>
            </w:tcBorders>
            <w:shd w:val="clear" w:color="auto" w:fill="BFBFBF"/>
            <w:vAlign w:val="center"/>
          </w:tcPr>
          <w:p w:rsidR="00E8309B" w:rsidRDefault="009D0949">
            <w:pPr>
              <w:spacing w:after="0" w:line="259" w:lineRule="auto"/>
              <w:ind w:left="5" w:right="0" w:firstLine="0"/>
              <w:jc w:val="center"/>
            </w:pPr>
            <w:r>
              <w:rPr>
                <w:sz w:val="20"/>
              </w:rPr>
              <w:t xml:space="preserve"> </w:t>
            </w:r>
          </w:p>
        </w:tc>
      </w:tr>
      <w:tr w:rsidR="00E8309B">
        <w:trPr>
          <w:trHeight w:val="700"/>
        </w:trPr>
        <w:tc>
          <w:tcPr>
            <w:tcW w:w="418"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103" w:right="0" w:firstLine="0"/>
              <w:jc w:val="left"/>
            </w:pPr>
            <w:r>
              <w:rPr>
                <w:sz w:val="20"/>
              </w:rPr>
              <w:t xml:space="preserve">12 </w:t>
            </w:r>
          </w:p>
        </w:tc>
        <w:tc>
          <w:tcPr>
            <w:tcW w:w="4132"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0" w:firstLine="0"/>
              <w:jc w:val="left"/>
            </w:pPr>
            <w:r>
              <w:rPr>
                <w:sz w:val="20"/>
              </w:rPr>
              <w:t xml:space="preserve">Унос података у Регистар НОКС </w:t>
            </w:r>
          </w:p>
          <w:p w:rsidR="00E8309B" w:rsidRDefault="009D0949">
            <w:pPr>
              <w:spacing w:after="0" w:line="259" w:lineRule="auto"/>
              <w:ind w:left="0" w:right="0" w:firstLine="0"/>
              <w:jc w:val="left"/>
            </w:pPr>
            <w:r>
              <w:rPr>
                <w:sz w:val="20"/>
              </w:rPr>
              <w:t xml:space="preserve">(квалификације, стандарди квалификација и ЈПОА) </w:t>
            </w:r>
          </w:p>
        </w:tc>
        <w:tc>
          <w:tcPr>
            <w:tcW w:w="419"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4" w:right="0" w:firstLine="0"/>
              <w:jc w:val="center"/>
            </w:pPr>
            <w:r>
              <w:rPr>
                <w:b/>
                <w:sz w:val="20"/>
              </w:rPr>
              <w:t xml:space="preserve"> </w:t>
            </w:r>
          </w:p>
        </w:tc>
        <w:tc>
          <w:tcPr>
            <w:tcW w:w="421"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1" w:right="0" w:firstLine="0"/>
              <w:jc w:val="center"/>
            </w:pPr>
            <w:r>
              <w:rPr>
                <w:b/>
                <w:sz w:val="20"/>
              </w:rPr>
              <w:t xml:space="preserve"> </w:t>
            </w:r>
          </w:p>
        </w:tc>
        <w:tc>
          <w:tcPr>
            <w:tcW w:w="422"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2" w:right="0" w:firstLine="0"/>
              <w:jc w:val="center"/>
            </w:pPr>
            <w:r>
              <w:rPr>
                <w:b/>
                <w:sz w:val="20"/>
              </w:rPr>
              <w:t xml:space="preserve"> </w:t>
            </w:r>
          </w:p>
        </w:tc>
        <w:tc>
          <w:tcPr>
            <w:tcW w:w="421"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1" w:right="0" w:firstLine="0"/>
              <w:jc w:val="center"/>
            </w:pPr>
            <w:r>
              <w:rPr>
                <w:b/>
                <w:sz w:val="20"/>
              </w:rPr>
              <w:t xml:space="preserve"> </w:t>
            </w:r>
          </w:p>
        </w:tc>
        <w:tc>
          <w:tcPr>
            <w:tcW w:w="424"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1" w:right="0" w:firstLine="0"/>
              <w:jc w:val="center"/>
            </w:pPr>
            <w:r>
              <w:rPr>
                <w:b/>
                <w:sz w:val="20"/>
              </w:rPr>
              <w:t xml:space="preserve"> </w:t>
            </w:r>
          </w:p>
        </w:tc>
        <w:tc>
          <w:tcPr>
            <w:tcW w:w="421"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4" w:right="0" w:firstLine="0"/>
              <w:jc w:val="center"/>
            </w:pPr>
            <w:r>
              <w:rPr>
                <w:b/>
                <w:sz w:val="20"/>
              </w:rPr>
              <w:t xml:space="preserve"> </w:t>
            </w:r>
          </w:p>
        </w:tc>
        <w:tc>
          <w:tcPr>
            <w:tcW w:w="423"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5" w:right="0" w:firstLine="0"/>
              <w:jc w:val="center"/>
            </w:pPr>
            <w:r>
              <w:rPr>
                <w:b/>
                <w:sz w:val="20"/>
              </w:rPr>
              <w:t xml:space="preserve"> </w:t>
            </w:r>
          </w:p>
        </w:tc>
        <w:tc>
          <w:tcPr>
            <w:tcW w:w="420"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2" w:right="0" w:firstLine="0"/>
              <w:jc w:val="center"/>
            </w:pPr>
            <w:r>
              <w:rPr>
                <w:b/>
                <w:sz w:val="20"/>
              </w:rPr>
              <w:t xml:space="preserve"> </w:t>
            </w:r>
          </w:p>
        </w:tc>
        <w:tc>
          <w:tcPr>
            <w:tcW w:w="424"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4" w:right="0" w:firstLine="0"/>
              <w:jc w:val="center"/>
            </w:pPr>
            <w:r>
              <w:rPr>
                <w:b/>
                <w:sz w:val="20"/>
              </w:rPr>
              <w:t xml:space="preserve"> </w:t>
            </w:r>
          </w:p>
        </w:tc>
        <w:tc>
          <w:tcPr>
            <w:tcW w:w="422"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2" w:right="0" w:firstLine="0"/>
              <w:jc w:val="center"/>
            </w:pPr>
            <w:r>
              <w:rPr>
                <w:b/>
                <w:sz w:val="20"/>
              </w:rPr>
              <w:t xml:space="preserve"> </w:t>
            </w:r>
          </w:p>
        </w:tc>
        <w:tc>
          <w:tcPr>
            <w:tcW w:w="422"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2" w:right="0" w:firstLine="0"/>
              <w:jc w:val="center"/>
            </w:pPr>
            <w:r>
              <w:rPr>
                <w:b/>
                <w:sz w:val="20"/>
              </w:rPr>
              <w:t xml:space="preserve"> </w:t>
            </w:r>
          </w:p>
        </w:tc>
        <w:tc>
          <w:tcPr>
            <w:tcW w:w="420"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5" w:right="0" w:firstLine="0"/>
              <w:jc w:val="center"/>
            </w:pPr>
            <w:r>
              <w:rPr>
                <w:b/>
                <w:sz w:val="20"/>
              </w:rPr>
              <w:t xml:space="preserve"> </w:t>
            </w:r>
          </w:p>
        </w:tc>
      </w:tr>
    </w:tbl>
    <w:p w:rsidR="00E8309B" w:rsidRDefault="009D0949">
      <w:pPr>
        <w:numPr>
          <w:ilvl w:val="0"/>
          <w:numId w:val="43"/>
        </w:numPr>
        <w:spacing w:after="0" w:line="271" w:lineRule="auto"/>
        <w:ind w:right="9" w:hanging="427"/>
      </w:pPr>
      <w:r>
        <w:rPr>
          <w:b/>
        </w:rPr>
        <w:t xml:space="preserve">Индикатори рeзултата </w:t>
      </w:r>
    </w:p>
    <w:tbl>
      <w:tblPr>
        <w:tblStyle w:val="TableGrid"/>
        <w:tblW w:w="9635" w:type="dxa"/>
        <w:tblInd w:w="5" w:type="dxa"/>
        <w:tblCellMar>
          <w:top w:w="10" w:type="dxa"/>
          <w:left w:w="110" w:type="dxa"/>
          <w:bottom w:w="0" w:type="dxa"/>
          <w:right w:w="8" w:type="dxa"/>
        </w:tblCellMar>
        <w:tblLook w:val="04A0" w:firstRow="1" w:lastRow="0" w:firstColumn="1" w:lastColumn="0" w:noHBand="0" w:noVBand="1"/>
      </w:tblPr>
      <w:tblGrid>
        <w:gridCol w:w="4107"/>
        <w:gridCol w:w="1841"/>
        <w:gridCol w:w="1844"/>
        <w:gridCol w:w="1843"/>
      </w:tblGrid>
      <w:tr w:rsidR="00E8309B">
        <w:trPr>
          <w:trHeight w:val="701"/>
        </w:trPr>
        <w:tc>
          <w:tcPr>
            <w:tcW w:w="4107"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0" w:right="0" w:firstLine="0"/>
              <w:jc w:val="left"/>
            </w:pPr>
            <w:r>
              <w:rPr>
                <w:b/>
                <w:sz w:val="20"/>
              </w:rPr>
              <w:t xml:space="preserve">Показатељ </w:t>
            </w:r>
          </w:p>
        </w:tc>
        <w:tc>
          <w:tcPr>
            <w:tcW w:w="1841" w:type="dxa"/>
            <w:tcBorders>
              <w:top w:val="single" w:sz="4" w:space="0" w:color="000000"/>
              <w:left w:val="single" w:sz="4" w:space="0" w:color="000000"/>
              <w:bottom w:val="single" w:sz="4" w:space="0" w:color="000000"/>
              <w:right w:val="single" w:sz="4" w:space="0" w:color="000000"/>
            </w:tcBorders>
          </w:tcPr>
          <w:p w:rsidR="00E8309B" w:rsidRDefault="009D0949">
            <w:pPr>
              <w:spacing w:after="1" w:line="281" w:lineRule="auto"/>
              <w:ind w:left="812" w:right="0" w:firstLine="41"/>
              <w:jc w:val="left"/>
            </w:pPr>
            <w:r>
              <w:rPr>
                <w:b/>
                <w:sz w:val="20"/>
              </w:rPr>
              <w:t xml:space="preserve">Почетна вредност  </w:t>
            </w:r>
          </w:p>
          <w:p w:rsidR="00E8309B" w:rsidRDefault="009D0949">
            <w:pPr>
              <w:spacing w:after="0" w:line="259" w:lineRule="auto"/>
              <w:ind w:left="0" w:right="98" w:firstLine="0"/>
              <w:jc w:val="right"/>
            </w:pPr>
            <w:r>
              <w:rPr>
                <w:b/>
                <w:sz w:val="20"/>
              </w:rPr>
              <w:t xml:space="preserve">(2019. година) </w:t>
            </w:r>
          </w:p>
        </w:tc>
        <w:tc>
          <w:tcPr>
            <w:tcW w:w="1844"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372" w:right="0" w:hanging="22"/>
              <w:jc w:val="left"/>
            </w:pPr>
            <w:r>
              <w:rPr>
                <w:b/>
                <w:sz w:val="20"/>
              </w:rPr>
              <w:t xml:space="preserve">Међурезултат (2021. година) </w:t>
            </w:r>
          </w:p>
        </w:tc>
        <w:tc>
          <w:tcPr>
            <w:tcW w:w="1843"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0" w:right="98" w:firstLine="0"/>
              <w:jc w:val="right"/>
            </w:pPr>
            <w:r>
              <w:rPr>
                <w:b/>
                <w:sz w:val="20"/>
              </w:rPr>
              <w:t xml:space="preserve">Циљна вредност (2023. година) </w:t>
            </w:r>
          </w:p>
        </w:tc>
      </w:tr>
      <w:tr w:rsidR="00E8309B">
        <w:trPr>
          <w:trHeight w:val="929"/>
        </w:trPr>
        <w:tc>
          <w:tcPr>
            <w:tcW w:w="4107"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100" w:firstLine="0"/>
            </w:pPr>
            <w:r>
              <w:rPr>
                <w:sz w:val="20"/>
              </w:rPr>
              <w:t xml:space="preserve">Учешће ђака уписаних у прву годину у систему дуалног образовања у односу на укупан број ђака уписаних у прву годину у средњем стручном образовању (%) </w:t>
            </w:r>
          </w:p>
        </w:tc>
        <w:tc>
          <w:tcPr>
            <w:tcW w:w="1841"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98" w:firstLine="0"/>
              <w:jc w:val="right"/>
            </w:pPr>
            <w:r>
              <w:rPr>
                <w:sz w:val="20"/>
              </w:rPr>
              <w:t xml:space="preserve">5,3% </w:t>
            </w:r>
          </w:p>
        </w:tc>
        <w:tc>
          <w:tcPr>
            <w:tcW w:w="1844"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98" w:firstLine="0"/>
              <w:jc w:val="right"/>
            </w:pPr>
            <w:r>
              <w:rPr>
                <w:sz w:val="20"/>
              </w:rPr>
              <w:t xml:space="preserve">7,2% </w:t>
            </w:r>
          </w:p>
        </w:tc>
        <w:tc>
          <w:tcPr>
            <w:tcW w:w="1843"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98" w:firstLine="0"/>
              <w:jc w:val="right"/>
            </w:pPr>
            <w:r>
              <w:rPr>
                <w:sz w:val="20"/>
              </w:rPr>
              <w:t xml:space="preserve">8,8% </w:t>
            </w:r>
          </w:p>
        </w:tc>
      </w:tr>
      <w:tr w:rsidR="00E8309B">
        <w:trPr>
          <w:trHeight w:val="471"/>
        </w:trPr>
        <w:tc>
          <w:tcPr>
            <w:tcW w:w="4107"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0" w:firstLine="0"/>
              <w:jc w:val="left"/>
            </w:pPr>
            <w:r>
              <w:rPr>
                <w:sz w:val="20"/>
              </w:rPr>
              <w:t>Број успостављених регионалних тренинг центара</w:t>
            </w:r>
            <w:r>
              <w:rPr>
                <w:b/>
                <w:sz w:val="20"/>
              </w:rPr>
              <w:t xml:space="preserve"> </w:t>
            </w:r>
          </w:p>
        </w:tc>
        <w:tc>
          <w:tcPr>
            <w:tcW w:w="1841"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99" w:firstLine="0"/>
              <w:jc w:val="right"/>
            </w:pPr>
            <w:r>
              <w:rPr>
                <w:sz w:val="20"/>
              </w:rPr>
              <w:t xml:space="preserve">0 </w:t>
            </w:r>
          </w:p>
        </w:tc>
        <w:tc>
          <w:tcPr>
            <w:tcW w:w="1844"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99" w:firstLine="0"/>
              <w:jc w:val="right"/>
            </w:pPr>
            <w:r>
              <w:rPr>
                <w:sz w:val="20"/>
              </w:rPr>
              <w:t xml:space="preserve">3 </w:t>
            </w:r>
          </w:p>
        </w:tc>
        <w:tc>
          <w:tcPr>
            <w:tcW w:w="1843"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97" w:firstLine="0"/>
              <w:jc w:val="right"/>
            </w:pPr>
            <w:r>
              <w:rPr>
                <w:sz w:val="20"/>
              </w:rPr>
              <w:t xml:space="preserve">12 </w:t>
            </w:r>
          </w:p>
        </w:tc>
      </w:tr>
      <w:tr w:rsidR="00E8309B">
        <w:trPr>
          <w:trHeight w:val="295"/>
        </w:trPr>
        <w:tc>
          <w:tcPr>
            <w:tcW w:w="4107"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0" w:firstLine="0"/>
              <w:jc w:val="left"/>
            </w:pPr>
            <w:r>
              <w:rPr>
                <w:sz w:val="20"/>
              </w:rPr>
              <w:t>Број кандидата укључених у поступак ППУ</w:t>
            </w:r>
            <w:r>
              <w:rPr>
                <w:b/>
                <w:sz w:val="20"/>
              </w:rPr>
              <w:t xml:space="preserve"> </w:t>
            </w:r>
          </w:p>
        </w:tc>
        <w:tc>
          <w:tcPr>
            <w:tcW w:w="1841"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99" w:firstLine="0"/>
              <w:jc w:val="right"/>
            </w:pPr>
            <w:r>
              <w:rPr>
                <w:sz w:val="20"/>
              </w:rPr>
              <w:t xml:space="preserve">0 </w:t>
            </w:r>
          </w:p>
        </w:tc>
        <w:tc>
          <w:tcPr>
            <w:tcW w:w="1844"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97" w:firstLine="0"/>
              <w:jc w:val="right"/>
            </w:pPr>
            <w:r>
              <w:rPr>
                <w:sz w:val="20"/>
              </w:rPr>
              <w:t xml:space="preserve">10 </w:t>
            </w:r>
          </w:p>
        </w:tc>
        <w:tc>
          <w:tcPr>
            <w:tcW w:w="1843"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97" w:firstLine="0"/>
              <w:jc w:val="right"/>
            </w:pPr>
            <w:r>
              <w:rPr>
                <w:sz w:val="20"/>
              </w:rPr>
              <w:t xml:space="preserve">50 </w:t>
            </w:r>
          </w:p>
        </w:tc>
      </w:tr>
      <w:tr w:rsidR="00E8309B">
        <w:trPr>
          <w:trHeight w:val="698"/>
        </w:trPr>
        <w:tc>
          <w:tcPr>
            <w:tcW w:w="4107"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102" w:firstLine="0"/>
            </w:pPr>
            <w:r>
              <w:rPr>
                <w:sz w:val="20"/>
              </w:rPr>
              <w:t xml:space="preserve">Број обучених, стручно оспособљених и преквалификованих и доквалификованих лица у регионалним тренинг центрима </w:t>
            </w:r>
          </w:p>
        </w:tc>
        <w:tc>
          <w:tcPr>
            <w:tcW w:w="1841"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99" w:firstLine="0"/>
              <w:jc w:val="right"/>
            </w:pPr>
            <w:r>
              <w:rPr>
                <w:sz w:val="20"/>
              </w:rPr>
              <w:t xml:space="preserve">0 </w:t>
            </w:r>
          </w:p>
        </w:tc>
        <w:tc>
          <w:tcPr>
            <w:tcW w:w="1844"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97" w:firstLine="0"/>
              <w:jc w:val="right"/>
            </w:pPr>
            <w:r>
              <w:rPr>
                <w:sz w:val="20"/>
              </w:rPr>
              <w:t xml:space="preserve">500 </w:t>
            </w:r>
          </w:p>
        </w:tc>
        <w:tc>
          <w:tcPr>
            <w:tcW w:w="1843"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98" w:firstLine="0"/>
              <w:jc w:val="right"/>
            </w:pPr>
            <w:r>
              <w:rPr>
                <w:sz w:val="20"/>
              </w:rPr>
              <w:t xml:space="preserve">&gt;1000 </w:t>
            </w:r>
          </w:p>
        </w:tc>
      </w:tr>
    </w:tbl>
    <w:p w:rsidR="00E8309B" w:rsidRDefault="009D0949">
      <w:pPr>
        <w:numPr>
          <w:ilvl w:val="0"/>
          <w:numId w:val="43"/>
        </w:numPr>
        <w:spacing w:after="79" w:line="271" w:lineRule="auto"/>
        <w:ind w:right="9" w:hanging="427"/>
      </w:pPr>
      <w:r>
        <w:rPr>
          <w:b/>
        </w:rPr>
        <w:t xml:space="preserve">Очекивани утицај на конкурентност </w:t>
      </w:r>
    </w:p>
    <w:p w:rsidR="00E8309B" w:rsidRDefault="009D0949">
      <w:pPr>
        <w:ind w:left="-5" w:right="17"/>
      </w:pPr>
      <w:r>
        <w:t>Развој дуалног образовања на нивоу средњег и високог образовања допринеће унапређивању људског капитала, што ће даље осигурати лакшу и бржу интеграцију средњошколаца и студената у свет рада, као и унапређивање конкурентно</w:t>
      </w:r>
      <w:r>
        <w:t xml:space="preserve">сти привредних субјеката. Већој релевантности система образовања допринеће и успостављање регионалних тренинг центара. Праћење и на основу добијених података унапређивање квалитета дуалног образовања ће утицати на квалитет стручних компетенција које млади </w:t>
      </w:r>
      <w:r>
        <w:t xml:space="preserve">стичу у формалном систему образовања као и њихову конкурентност на тржишту рада. </w:t>
      </w:r>
    </w:p>
    <w:p w:rsidR="00E8309B" w:rsidRDefault="009D0949">
      <w:pPr>
        <w:spacing w:after="160"/>
        <w:ind w:left="-5" w:right="17"/>
      </w:pPr>
      <w:r>
        <w:t xml:space="preserve">Успостављање система НОКС допринеће развоју модерног, релевантног и флексибилног система образовања прилагођеног захтевима друштвено-економског развоја, обезбеђивање подршке </w:t>
      </w:r>
      <w:r>
        <w:t>примени концепта целоживотног учења и омогућавање лакше покретљивости радне снаге. Повезивањем са Европским оквиром квалификација, квалификације стечене у Србији постају видљиве и упоредиве са квалификацијама стеченим у другим земљама, првенствено у држава</w:t>
      </w:r>
      <w:r>
        <w:t xml:space="preserve">ма ЕУ. </w:t>
      </w:r>
    </w:p>
    <w:p w:rsidR="00E8309B" w:rsidRDefault="009D0949">
      <w:pPr>
        <w:numPr>
          <w:ilvl w:val="0"/>
          <w:numId w:val="43"/>
        </w:numPr>
        <w:spacing w:after="79" w:line="271" w:lineRule="auto"/>
        <w:ind w:right="9" w:hanging="427"/>
      </w:pPr>
      <w:r>
        <w:rPr>
          <w:b/>
        </w:rPr>
        <w:t xml:space="preserve">Процењени трошкови спровођења структурне реформе и предвиђени извори њиховог финансирања </w:t>
      </w:r>
    </w:p>
    <w:p w:rsidR="00E8309B" w:rsidRDefault="009D0949">
      <w:pPr>
        <w:ind w:left="-5" w:right="17"/>
      </w:pPr>
      <w:r>
        <w:t xml:space="preserve">За креирање онлајн базе дуалних образовних програма и реализацију промотивних активности дуалног модела образовања  нису потребна додатна средства.  </w:t>
      </w:r>
    </w:p>
    <w:p w:rsidR="00E8309B" w:rsidRDefault="009D0949">
      <w:pPr>
        <w:ind w:left="-5" w:right="17"/>
      </w:pPr>
      <w:r>
        <w:t>Према пр</w:t>
      </w:r>
      <w:r>
        <w:t>ојекту потребна средства за изградњу и реконструкцију регионалног тренинг центра „Ваздухопловна академија“ у Београду за 2021. годину износе 1.305.621 евра, а у у Буџету РС је обезбеђено 1.175.000 евра. Средства за изградњу и реконструкцију других регионал</w:t>
      </w:r>
      <w:r>
        <w:t>них тренинг центара у 2021. години биће обезбеђена преко кредита Европске инвестиционе банке   у износу од 2.200.000 евра. У 2022. години средства ће бити обезбеђена преко кредита Европске инвестиционе банке у износу од 12.175.000 евра, а за 2023. годину 2</w:t>
      </w:r>
      <w:r>
        <w:t xml:space="preserve">.500.000 евра, такође преко кредита Европске инвестиционе банке.  </w:t>
      </w:r>
    </w:p>
    <w:p w:rsidR="00E8309B" w:rsidRDefault="009D0949">
      <w:pPr>
        <w:ind w:left="-5" w:right="17"/>
      </w:pPr>
      <w:r>
        <w:t>Према пројекту средства потребна за опремање регионалног тренинг центра „Ваздухопловна академија“ у Београду износе 2.575.761 евра. За период 2022-2023. година, део средстава потребних за о</w:t>
      </w:r>
      <w:r>
        <w:t xml:space="preserve">премање осталих регионалних тренинг центара биће обезбеђен преко кредита Европске инвестиционе банке и то у износу од 1.950.000 евра за 2022. годину и 360.000 евра за 2023. годину. Део опреме биће обезбеђен из донација.  </w:t>
      </w:r>
    </w:p>
    <w:p w:rsidR="00E8309B" w:rsidRDefault="009D0949">
      <w:pPr>
        <w:ind w:left="-5" w:right="17"/>
      </w:pPr>
      <w:r>
        <w:t>За израду студија за потребе разво</w:t>
      </w:r>
      <w:r>
        <w:t xml:space="preserve">ја дуалних образовних профила пројектована су средства из буџета Републике Србије у висини од 123.600 евра за 2021. годину.  </w:t>
      </w:r>
    </w:p>
    <w:p w:rsidR="00E8309B" w:rsidRDefault="009D0949">
      <w:pPr>
        <w:ind w:left="-5" w:right="17"/>
      </w:pPr>
      <w:r>
        <w:t>Средства за пилотирање поступка ППУ су обезбеђена из ИПА 2014 чија је реализација започела у фебруару 2019. године, где је Министа</w:t>
      </w:r>
      <w:r>
        <w:t xml:space="preserve">рство просвете, науке и технолошког развоја корисник експертских услуга. Укупна вредност ИПА 2014 „Развој интегрисаног система Националних квалификација у РС“ износи 500.000 евра за 2021. годину. </w:t>
      </w:r>
    </w:p>
    <w:p w:rsidR="00E8309B" w:rsidRDefault="009D0949">
      <w:pPr>
        <w:spacing w:after="162"/>
        <w:ind w:left="-5" w:right="17"/>
      </w:pPr>
      <w:r>
        <w:t>Спровођење процедуре самовредновања и спољашње провере квал</w:t>
      </w:r>
      <w:r>
        <w:t xml:space="preserve">итета ЈПОА и унапређивање Регистра НОКС биће финансирано из средстава Агенције за квалификације. За функционисање Агенције за квалификације у периоду од 2021–2023. године пројектована су средства у висини од 1.190.525 евра по години из буџета РС. У оквиру </w:t>
      </w:r>
      <w:r>
        <w:t xml:space="preserve">средстава Агенције за квалификације интегрисана су и средства за рад секторскох већа која ће учествовати у реализацији већине активности описаних у документу. </w:t>
      </w:r>
    </w:p>
    <w:p w:rsidR="00E8309B" w:rsidRDefault="009D0949">
      <w:pPr>
        <w:numPr>
          <w:ilvl w:val="0"/>
          <w:numId w:val="44"/>
        </w:numPr>
        <w:spacing w:after="79" w:line="271" w:lineRule="auto"/>
        <w:ind w:right="9" w:hanging="427"/>
      </w:pPr>
      <w:r>
        <w:rPr>
          <w:b/>
        </w:rPr>
        <w:t>Очекивани утицај на социјалне циљеве, као што су запосленост, смањење сиромаштва, једнакост и ро</w:t>
      </w:r>
      <w:r>
        <w:rPr>
          <w:b/>
        </w:rPr>
        <w:t xml:space="preserve">д </w:t>
      </w:r>
    </w:p>
    <w:p w:rsidR="00E8309B" w:rsidRDefault="009D0949">
      <w:pPr>
        <w:spacing w:after="91"/>
        <w:ind w:left="-5" w:right="17"/>
      </w:pPr>
      <w:r>
        <w:t>Креирање тржишно релевантних дуалних програма као и програми за ревитализацију домаћих компанија и привлачење страних инвестиција и похађање истих, унапредиће ниво компетентности и запошљивости ученика и студената и њихову бржу интеграцију у свет рада, одн</w:t>
      </w:r>
      <w:r>
        <w:t>осно допринеће смањењу стопе незапослености, бржем запошљавању младих, повећању активног учешћа младих на тржишту рада и активности незапослених старијих од 15 година. Током процеса прикупљања података применом оквира за праћење и вредновање Националног мо</w:t>
      </w:r>
      <w:r>
        <w:t>дела дуалног образовања посебно ће бити сегрегисани подаци за дечаке и девојчице како би се сагледао утицај тренутних образовних политика дуалног образовања на родни аспект и дале препоруке за унапређивање овог аспекта уколико је потребно. Такође ће се окв</w:t>
      </w:r>
      <w:r>
        <w:t xml:space="preserve">иром процењивати праведност и утицај социо-економског статуса (СЕС) ученика на њихово искуство и успех, а у складу са налазима предлагати промене у образовним политикама и праксама. </w:t>
      </w:r>
    </w:p>
    <w:p w:rsidR="00E8309B" w:rsidRDefault="009D0949">
      <w:pPr>
        <w:spacing w:after="157"/>
        <w:ind w:left="-5" w:right="17"/>
      </w:pPr>
      <w:r>
        <w:t>Спровођење реформи у систему квалификација обезбедиће учешће социјалних п</w:t>
      </w:r>
      <w:r>
        <w:t>артнера у развоју квалификација које су у складу са потребама тржишта, а самим тим и поверење у (тржишну) релевантност и флексибилност система образовања у целини.</w:t>
      </w:r>
      <w:r>
        <w:rPr>
          <w:b/>
        </w:rPr>
        <w:t xml:space="preserve"> </w:t>
      </w:r>
    </w:p>
    <w:p w:rsidR="00E8309B" w:rsidRDefault="009D0949">
      <w:pPr>
        <w:numPr>
          <w:ilvl w:val="0"/>
          <w:numId w:val="44"/>
        </w:numPr>
        <w:spacing w:after="126" w:line="271" w:lineRule="auto"/>
        <w:ind w:right="9" w:hanging="427"/>
      </w:pPr>
      <w:r>
        <w:rPr>
          <w:b/>
        </w:rPr>
        <w:t xml:space="preserve">Очекивани утицај на животну средину </w:t>
      </w:r>
    </w:p>
    <w:p w:rsidR="00E8309B" w:rsidRDefault="009D0949">
      <w:pPr>
        <w:spacing w:after="155"/>
        <w:ind w:left="-5" w:right="17"/>
      </w:pPr>
      <w:r>
        <w:t>Структурна реформа је неутрална у смислу утицаја на жи</w:t>
      </w:r>
      <w:r>
        <w:t>вотну средину.</w:t>
      </w:r>
      <w:r>
        <w:rPr>
          <w:b/>
        </w:rPr>
        <w:t xml:space="preserve"> </w:t>
      </w:r>
    </w:p>
    <w:p w:rsidR="00E8309B" w:rsidRDefault="009D0949">
      <w:pPr>
        <w:numPr>
          <w:ilvl w:val="0"/>
          <w:numId w:val="44"/>
        </w:numPr>
        <w:spacing w:after="0" w:line="271" w:lineRule="auto"/>
        <w:ind w:right="9" w:hanging="427"/>
      </w:pPr>
      <w:r>
        <w:rPr>
          <w:b/>
        </w:rPr>
        <w:t xml:space="preserve">Потенцијални ризици </w:t>
      </w:r>
    </w:p>
    <w:tbl>
      <w:tblPr>
        <w:tblStyle w:val="TableGrid"/>
        <w:tblW w:w="9696" w:type="dxa"/>
        <w:tblInd w:w="0" w:type="dxa"/>
        <w:tblCellMar>
          <w:top w:w="46" w:type="dxa"/>
          <w:left w:w="108" w:type="dxa"/>
          <w:bottom w:w="0" w:type="dxa"/>
          <w:right w:w="85" w:type="dxa"/>
        </w:tblCellMar>
        <w:tblLook w:val="04A0" w:firstRow="1" w:lastRow="0" w:firstColumn="1" w:lastColumn="0" w:noHBand="0" w:noVBand="1"/>
      </w:tblPr>
      <w:tblGrid>
        <w:gridCol w:w="3330"/>
        <w:gridCol w:w="2201"/>
        <w:gridCol w:w="4165"/>
      </w:tblGrid>
      <w:tr w:rsidR="00E8309B">
        <w:trPr>
          <w:trHeight w:val="470"/>
        </w:trPr>
        <w:tc>
          <w:tcPr>
            <w:tcW w:w="3330"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0" w:right="0" w:firstLine="0"/>
              <w:jc w:val="left"/>
            </w:pPr>
            <w:r>
              <w:rPr>
                <w:b/>
                <w:sz w:val="20"/>
              </w:rPr>
              <w:t xml:space="preserve">Ризик </w:t>
            </w:r>
          </w:p>
        </w:tc>
        <w:tc>
          <w:tcPr>
            <w:tcW w:w="2201"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2" w:right="0" w:firstLine="0"/>
              <w:jc w:val="left"/>
            </w:pPr>
            <w:r>
              <w:rPr>
                <w:b/>
                <w:sz w:val="20"/>
              </w:rPr>
              <w:t xml:space="preserve">Вероватноћа за остваривање ризика </w:t>
            </w:r>
          </w:p>
        </w:tc>
        <w:tc>
          <w:tcPr>
            <w:tcW w:w="4165"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0" w:firstLine="0"/>
              <w:jc w:val="left"/>
            </w:pPr>
            <w:r>
              <w:rPr>
                <w:b/>
                <w:sz w:val="20"/>
              </w:rPr>
              <w:t xml:space="preserve">Активности за ублажавање негативних ефеката ризика </w:t>
            </w:r>
          </w:p>
        </w:tc>
      </w:tr>
      <w:tr w:rsidR="00E8309B">
        <w:trPr>
          <w:trHeight w:val="929"/>
        </w:trPr>
        <w:tc>
          <w:tcPr>
            <w:tcW w:w="3330"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0" w:firstLine="0"/>
              <w:jc w:val="left"/>
            </w:pPr>
            <w:r>
              <w:rPr>
                <w:sz w:val="20"/>
              </w:rPr>
              <w:t xml:space="preserve">Отежана реализација учења кроз рад код послодаваца услед актуелне епидемиолошке ситуације изазване Ковид-19 </w:t>
            </w:r>
          </w:p>
        </w:tc>
        <w:tc>
          <w:tcPr>
            <w:tcW w:w="2201"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2" w:right="0" w:firstLine="0"/>
              <w:jc w:val="left"/>
            </w:pPr>
            <w:r>
              <w:rPr>
                <w:sz w:val="20"/>
              </w:rPr>
              <w:t xml:space="preserve">Средња </w:t>
            </w:r>
          </w:p>
        </w:tc>
        <w:tc>
          <w:tcPr>
            <w:tcW w:w="4165"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0" w:firstLine="0"/>
              <w:jc w:val="left"/>
            </w:pPr>
            <w:r>
              <w:rPr>
                <w:sz w:val="20"/>
              </w:rPr>
              <w:t xml:space="preserve">Креирање документа који ће садржати олакшице за привредне субјекте који примају ученике на реализацију учења кроз рад. </w:t>
            </w:r>
          </w:p>
        </w:tc>
      </w:tr>
      <w:tr w:rsidR="00E8309B">
        <w:trPr>
          <w:trHeight w:val="701"/>
        </w:trPr>
        <w:tc>
          <w:tcPr>
            <w:tcW w:w="3330"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0" w:firstLine="0"/>
              <w:jc w:val="left"/>
            </w:pPr>
            <w:r>
              <w:rPr>
                <w:sz w:val="20"/>
              </w:rPr>
              <w:t>Неинформисаност потенцијалних кандидата и социјалних партнера о поступку ППУ</w:t>
            </w:r>
            <w:r>
              <w:rPr>
                <w:b/>
                <w:sz w:val="20"/>
              </w:rPr>
              <w:t xml:space="preserve"> </w:t>
            </w:r>
          </w:p>
        </w:tc>
        <w:tc>
          <w:tcPr>
            <w:tcW w:w="2201"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2" w:right="0" w:firstLine="0"/>
              <w:jc w:val="left"/>
            </w:pPr>
            <w:r>
              <w:rPr>
                <w:sz w:val="20"/>
              </w:rPr>
              <w:t>Средња</w:t>
            </w:r>
            <w:r>
              <w:rPr>
                <w:b/>
                <w:sz w:val="20"/>
              </w:rPr>
              <w:t xml:space="preserve"> </w:t>
            </w:r>
          </w:p>
        </w:tc>
        <w:tc>
          <w:tcPr>
            <w:tcW w:w="4165"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0" w:firstLine="0"/>
              <w:jc w:val="left"/>
            </w:pPr>
            <w:r>
              <w:rPr>
                <w:sz w:val="20"/>
              </w:rPr>
              <w:t>Организовање скупова и инфо сесија ради информисања потенцијалних кандидата и социјалних партнера у поступку ППУ.</w:t>
            </w:r>
            <w:r>
              <w:rPr>
                <w:b/>
                <w:sz w:val="20"/>
              </w:rPr>
              <w:t xml:space="preserve"> </w:t>
            </w:r>
          </w:p>
        </w:tc>
      </w:tr>
    </w:tbl>
    <w:p w:rsidR="00E8309B" w:rsidRDefault="009D0949">
      <w:pPr>
        <w:ind w:left="-5" w:right="17"/>
      </w:pPr>
      <w:r>
        <w:rPr>
          <w:b/>
          <w:u w:val="single" w:color="000000"/>
        </w:rPr>
        <w:t>СТРУКТУРНА РЕФОРМА 21:</w:t>
      </w:r>
      <w:r>
        <w:rPr>
          <w:b/>
        </w:rPr>
        <w:t xml:space="preserve"> </w:t>
      </w:r>
      <w:r>
        <w:t xml:space="preserve">ДИГИТАЛИЗАЦИЈА СИСТЕМА ОБРАЗОВАЊА И </w:t>
      </w:r>
    </w:p>
    <w:p w:rsidR="00E8309B" w:rsidRDefault="009D0949">
      <w:pPr>
        <w:spacing w:after="156"/>
        <w:ind w:left="-5" w:right="17"/>
      </w:pPr>
      <w:r>
        <w:t xml:space="preserve">УВОЂЕЊЕ ЈЕДИНСТВЕНОГ ИНФОРМАЦИОНОГ СИСТЕМА ОБРАЗОВАЊА </w:t>
      </w:r>
    </w:p>
    <w:p w:rsidR="00E8309B" w:rsidRDefault="009D0949">
      <w:pPr>
        <w:numPr>
          <w:ilvl w:val="0"/>
          <w:numId w:val="45"/>
        </w:numPr>
        <w:spacing w:after="126" w:line="271" w:lineRule="auto"/>
        <w:ind w:right="9" w:hanging="360"/>
      </w:pPr>
      <w:r>
        <w:rPr>
          <w:b/>
        </w:rPr>
        <w:t xml:space="preserve">Опис структурне реформе </w:t>
      </w:r>
    </w:p>
    <w:p w:rsidR="00E8309B" w:rsidRDefault="009D0949">
      <w:pPr>
        <w:ind w:left="-5" w:right="17"/>
      </w:pPr>
      <w:r>
        <w:t>Основни циљ ове реформе је осавремењивање система образовања и васпитања кроз увођење савремених дигиталних технологија, које треба да обезбеде већи ниво остварености исхода учења и подизање квалитета дигиталних компетенција младих омогућавајући им конкуре</w:t>
      </w:r>
      <w:r>
        <w:t>нтност на тржишту рада кроз дигиталну трансформацију. Предности које дигиталне технологије могу да пруже биће искоришћене за унапређење наставног процеса кроз увођење дигиталних наставних садржаја, као и успостављање јединственог информационог система у пр</w:t>
      </w:r>
      <w:r>
        <w:t>освети (ЈИСП) који представља основу за модернизацију управљања, доношење одлука на основу информација у циљу обезбеђивања квалитетног и ефикасног система образовања и васпитања уз рационализацију финансирања и смањење административног оптерећења свих запо</w:t>
      </w:r>
      <w:r>
        <w:t>слених у систему образовања и васпитања. Јединствени информациони систем обухвата интеграцију са Централним регистром обавезног социјалног осигурања, што омогућава праћење свршених ученика и студената на тржишту рада. Анализе настале на основу података доб</w:t>
      </w:r>
      <w:r>
        <w:t xml:space="preserve">ијених из овог система допринеће креирању обавезних политика на основу потреба тржишта рада. </w:t>
      </w:r>
    </w:p>
    <w:p w:rsidR="00E8309B" w:rsidRDefault="009D0949">
      <w:pPr>
        <w:spacing w:after="90"/>
        <w:ind w:left="-5" w:right="17"/>
      </w:pPr>
      <w:r>
        <w:t>Реформа је пренета из претходне године. Све активности планиране у претходној години су реализоване по плану. У оквиру ове реформе дефинисана је нова мера којом ј</w:t>
      </w:r>
      <w:r>
        <w:t>е предвиђено да се развије репозиторијума отворених образовних ресурса, као база дигиталних извора за школе. Наставници ће бити у могућности да претражују и прибаве дидактичке материјале у складу са наставним планом и програмом за основно и средње образова</w:t>
      </w:r>
      <w:r>
        <w:t>ње, који се лако могу користити у учионици или модификовати и прилагодити различитим контекстима и потребама (укључујући учење на даљину). Поред тога, ова активност ће подржати стварање инвентара постојећег садржаја који ће се распоредити на националну пла</w:t>
      </w:r>
      <w:r>
        <w:t xml:space="preserve">тформу за учење на даљину. Развој таквих материјала подржаће комбиновани приступ учењу, јер ће ти материјали бити извори за учење како у учионици, тако и код куће. </w:t>
      </w:r>
    </w:p>
    <w:p w:rsidR="00E8309B" w:rsidRDefault="009D0949">
      <w:pPr>
        <w:spacing w:after="148"/>
        <w:ind w:left="-5" w:right="17"/>
      </w:pPr>
      <w:r>
        <w:t xml:space="preserve">Реформа доприноси остваривању </w:t>
      </w:r>
      <w:r>
        <w:rPr>
          <w:b/>
        </w:rPr>
        <w:t>ЦОР 4.</w:t>
      </w:r>
      <w:r>
        <w:t xml:space="preserve"> Обезбедити инклузивно и праведно квалитетно образовање</w:t>
      </w:r>
      <w:r>
        <w:t xml:space="preserve"> и промовисати могућност целоживотног учења за све. </w:t>
      </w:r>
    </w:p>
    <w:p w:rsidR="00E8309B" w:rsidRDefault="009D0949">
      <w:pPr>
        <w:numPr>
          <w:ilvl w:val="0"/>
          <w:numId w:val="45"/>
        </w:numPr>
        <w:spacing w:after="126" w:line="271" w:lineRule="auto"/>
        <w:ind w:right="9" w:hanging="360"/>
      </w:pPr>
      <w:r>
        <w:rPr>
          <w:b/>
        </w:rPr>
        <w:t xml:space="preserve">Ковид-19 – ефекти, мере и изазови </w:t>
      </w:r>
    </w:p>
    <w:p w:rsidR="00E8309B" w:rsidRDefault="009D0949">
      <w:pPr>
        <w:spacing w:after="6"/>
        <w:ind w:left="-5" w:right="17"/>
      </w:pPr>
      <w:r>
        <w:t>Пандемија Ковид-19 је имала велики утицај на образовни систем Републике Србије услед увођења великог броја мера и затварања школа у одређеном временском интервалу. Ново</w:t>
      </w:r>
      <w:r>
        <w:t>настала ситуација променила је начин реализације образовно-васпитног рада и повећала имплементацију информационо-комуникационих технологија у наставни процес. Пандемија је допринела успостављању како школских тако и националне платформе за управљање електр</w:t>
      </w:r>
      <w:r>
        <w:t>онским учењем (LMS). У том смислу, основни циљ ове структурне реформе остаје непромењен и добија још више на значају, јер је неопходно обезбедити рачунарску инфраструктуру за учење на даљину. Како би се ограничио негативни ефекат пандемије, али и свих друг</w:t>
      </w:r>
      <w:r>
        <w:t>их поремећаја на реализацију наставног процеса, један од фокуса ове реформе је развој репозиторијума отворених образовних ресурса, као база дигиталних извора за школе.</w:t>
      </w:r>
      <w:r>
        <w:rPr>
          <w:b/>
        </w:rPr>
        <w:t xml:space="preserve"> 3.</w:t>
      </w:r>
      <w:r>
        <w:rPr>
          <w:rFonts w:ascii="Arial" w:eastAsia="Arial" w:hAnsi="Arial" w:cs="Arial"/>
          <w:b/>
        </w:rPr>
        <w:t xml:space="preserve"> </w:t>
      </w:r>
      <w:r>
        <w:rPr>
          <w:b/>
        </w:rPr>
        <w:t xml:space="preserve">Планирање активности по годинама </w:t>
      </w:r>
    </w:p>
    <w:tbl>
      <w:tblPr>
        <w:tblStyle w:val="TableGrid"/>
        <w:tblW w:w="9610" w:type="dxa"/>
        <w:tblInd w:w="10" w:type="dxa"/>
        <w:tblCellMar>
          <w:top w:w="10" w:type="dxa"/>
          <w:left w:w="58" w:type="dxa"/>
          <w:bottom w:w="0" w:type="dxa"/>
          <w:right w:w="8" w:type="dxa"/>
        </w:tblCellMar>
        <w:tblLook w:val="04A0" w:firstRow="1" w:lastRow="0" w:firstColumn="1" w:lastColumn="0" w:noHBand="0" w:noVBand="1"/>
      </w:tblPr>
      <w:tblGrid>
        <w:gridCol w:w="427"/>
        <w:gridCol w:w="4123"/>
        <w:gridCol w:w="419"/>
        <w:gridCol w:w="421"/>
        <w:gridCol w:w="422"/>
        <w:gridCol w:w="421"/>
        <w:gridCol w:w="424"/>
        <w:gridCol w:w="421"/>
        <w:gridCol w:w="423"/>
        <w:gridCol w:w="420"/>
        <w:gridCol w:w="424"/>
        <w:gridCol w:w="422"/>
        <w:gridCol w:w="422"/>
        <w:gridCol w:w="420"/>
      </w:tblGrid>
      <w:tr w:rsidR="00E8309B">
        <w:trPr>
          <w:trHeight w:val="331"/>
        </w:trPr>
        <w:tc>
          <w:tcPr>
            <w:tcW w:w="427" w:type="dxa"/>
            <w:vMerge w:val="restart"/>
            <w:tcBorders>
              <w:top w:val="single" w:sz="8" w:space="0" w:color="000000"/>
              <w:left w:val="single" w:sz="8" w:space="0" w:color="000000"/>
              <w:bottom w:val="single" w:sz="8" w:space="0" w:color="000000"/>
              <w:right w:val="single" w:sz="8" w:space="0" w:color="000000"/>
            </w:tcBorders>
            <w:vAlign w:val="center"/>
          </w:tcPr>
          <w:p w:rsidR="00E8309B" w:rsidRDefault="009D0949">
            <w:pPr>
              <w:spacing w:after="0" w:line="259" w:lineRule="auto"/>
              <w:ind w:left="29" w:right="0" w:firstLine="0"/>
            </w:pPr>
            <w:r>
              <w:rPr>
                <w:b/>
                <w:sz w:val="20"/>
              </w:rPr>
              <w:t xml:space="preserve">РБ </w:t>
            </w:r>
          </w:p>
        </w:tc>
        <w:tc>
          <w:tcPr>
            <w:tcW w:w="4123" w:type="dxa"/>
            <w:vMerge w:val="restart"/>
            <w:tcBorders>
              <w:top w:val="single" w:sz="8" w:space="0" w:color="000000"/>
              <w:left w:val="single" w:sz="8" w:space="0" w:color="000000"/>
              <w:bottom w:val="single" w:sz="8" w:space="0" w:color="000000"/>
              <w:right w:val="single" w:sz="8" w:space="0" w:color="000000"/>
            </w:tcBorders>
            <w:vAlign w:val="center"/>
          </w:tcPr>
          <w:p w:rsidR="00E8309B" w:rsidRDefault="009D0949">
            <w:pPr>
              <w:spacing w:after="0" w:line="259" w:lineRule="auto"/>
              <w:ind w:left="0" w:right="0" w:firstLine="0"/>
              <w:jc w:val="left"/>
            </w:pPr>
            <w:r>
              <w:rPr>
                <w:b/>
                <w:sz w:val="20"/>
              </w:rPr>
              <w:t xml:space="preserve">Планиране активности </w:t>
            </w:r>
          </w:p>
        </w:tc>
        <w:tc>
          <w:tcPr>
            <w:tcW w:w="1684" w:type="dxa"/>
            <w:gridSpan w:val="4"/>
            <w:tcBorders>
              <w:top w:val="single" w:sz="8" w:space="0" w:color="000000"/>
              <w:left w:val="single" w:sz="8" w:space="0" w:color="000000"/>
              <w:bottom w:val="single" w:sz="4" w:space="0" w:color="000000"/>
              <w:right w:val="single" w:sz="8" w:space="0" w:color="000000"/>
            </w:tcBorders>
          </w:tcPr>
          <w:p w:rsidR="00E8309B" w:rsidRDefault="009D0949">
            <w:pPr>
              <w:spacing w:after="0" w:line="259" w:lineRule="auto"/>
              <w:ind w:left="0" w:right="47" w:firstLine="0"/>
              <w:jc w:val="center"/>
            </w:pPr>
            <w:r>
              <w:rPr>
                <w:b/>
                <w:sz w:val="20"/>
              </w:rPr>
              <w:t xml:space="preserve">2021 </w:t>
            </w:r>
          </w:p>
        </w:tc>
        <w:tc>
          <w:tcPr>
            <w:tcW w:w="1688" w:type="dxa"/>
            <w:gridSpan w:val="4"/>
            <w:tcBorders>
              <w:top w:val="single" w:sz="8" w:space="0" w:color="000000"/>
              <w:left w:val="single" w:sz="8" w:space="0" w:color="000000"/>
              <w:bottom w:val="single" w:sz="4" w:space="0" w:color="000000"/>
              <w:right w:val="single" w:sz="8" w:space="0" w:color="000000"/>
            </w:tcBorders>
          </w:tcPr>
          <w:p w:rsidR="00E8309B" w:rsidRDefault="009D0949">
            <w:pPr>
              <w:spacing w:after="0" w:line="259" w:lineRule="auto"/>
              <w:ind w:left="0" w:right="44" w:firstLine="0"/>
              <w:jc w:val="center"/>
            </w:pPr>
            <w:r>
              <w:rPr>
                <w:b/>
                <w:sz w:val="20"/>
              </w:rPr>
              <w:t xml:space="preserve">2022 </w:t>
            </w:r>
          </w:p>
        </w:tc>
        <w:tc>
          <w:tcPr>
            <w:tcW w:w="1688" w:type="dxa"/>
            <w:gridSpan w:val="4"/>
            <w:tcBorders>
              <w:top w:val="single" w:sz="8" w:space="0" w:color="000000"/>
              <w:left w:val="single" w:sz="8" w:space="0" w:color="000000"/>
              <w:bottom w:val="single" w:sz="4" w:space="0" w:color="000000"/>
              <w:right w:val="single" w:sz="8" w:space="0" w:color="000000"/>
            </w:tcBorders>
          </w:tcPr>
          <w:p w:rsidR="00E8309B" w:rsidRDefault="009D0949">
            <w:pPr>
              <w:spacing w:after="0" w:line="259" w:lineRule="auto"/>
              <w:ind w:left="0" w:right="45" w:firstLine="0"/>
              <w:jc w:val="center"/>
            </w:pPr>
            <w:r>
              <w:rPr>
                <w:b/>
                <w:sz w:val="20"/>
              </w:rPr>
              <w:t xml:space="preserve">2023 </w:t>
            </w:r>
          </w:p>
        </w:tc>
      </w:tr>
      <w:tr w:rsidR="00E8309B">
        <w:trPr>
          <w:trHeight w:val="326"/>
        </w:trPr>
        <w:tc>
          <w:tcPr>
            <w:tcW w:w="0" w:type="auto"/>
            <w:vMerge/>
            <w:tcBorders>
              <w:top w:val="nil"/>
              <w:left w:val="single" w:sz="8" w:space="0" w:color="000000"/>
              <w:bottom w:val="single" w:sz="8" w:space="0" w:color="000000"/>
              <w:right w:val="single" w:sz="8" w:space="0" w:color="000000"/>
            </w:tcBorders>
          </w:tcPr>
          <w:p w:rsidR="00E8309B" w:rsidRDefault="00E8309B">
            <w:pPr>
              <w:spacing w:after="160" w:line="259" w:lineRule="auto"/>
              <w:ind w:left="0" w:right="0" w:firstLine="0"/>
              <w:jc w:val="left"/>
            </w:pPr>
          </w:p>
        </w:tc>
        <w:tc>
          <w:tcPr>
            <w:tcW w:w="0" w:type="auto"/>
            <w:vMerge/>
            <w:tcBorders>
              <w:top w:val="nil"/>
              <w:left w:val="single" w:sz="8" w:space="0" w:color="000000"/>
              <w:bottom w:val="single" w:sz="8" w:space="0" w:color="000000"/>
              <w:right w:val="single" w:sz="8" w:space="0" w:color="000000"/>
            </w:tcBorders>
          </w:tcPr>
          <w:p w:rsidR="00E8309B" w:rsidRDefault="00E8309B">
            <w:pPr>
              <w:spacing w:after="160" w:line="259" w:lineRule="auto"/>
              <w:ind w:left="0" w:right="0" w:firstLine="0"/>
              <w:jc w:val="left"/>
            </w:pPr>
          </w:p>
        </w:tc>
        <w:tc>
          <w:tcPr>
            <w:tcW w:w="419" w:type="dxa"/>
            <w:tcBorders>
              <w:top w:val="single" w:sz="4" w:space="0" w:color="000000"/>
              <w:left w:val="single" w:sz="8" w:space="0" w:color="000000"/>
              <w:bottom w:val="single" w:sz="8" w:space="0" w:color="000000"/>
              <w:right w:val="single" w:sz="4" w:space="0" w:color="000000"/>
            </w:tcBorders>
          </w:tcPr>
          <w:p w:rsidR="00E8309B" w:rsidRDefault="009D0949">
            <w:pPr>
              <w:spacing w:after="0" w:line="259" w:lineRule="auto"/>
              <w:ind w:left="42" w:right="0" w:firstLine="0"/>
              <w:jc w:val="left"/>
            </w:pPr>
            <w:r>
              <w:rPr>
                <w:i/>
                <w:sz w:val="18"/>
              </w:rPr>
              <w:t xml:space="preserve">Q1 </w:t>
            </w:r>
          </w:p>
        </w:tc>
        <w:tc>
          <w:tcPr>
            <w:tcW w:w="421" w:type="dxa"/>
            <w:tcBorders>
              <w:top w:val="single" w:sz="4" w:space="0" w:color="000000"/>
              <w:left w:val="single" w:sz="4" w:space="0" w:color="000000"/>
              <w:bottom w:val="single" w:sz="8" w:space="0" w:color="000000"/>
              <w:right w:val="single" w:sz="4" w:space="0" w:color="000000"/>
            </w:tcBorders>
          </w:tcPr>
          <w:p w:rsidR="00E8309B" w:rsidRDefault="009D0949">
            <w:pPr>
              <w:spacing w:after="0" w:line="259" w:lineRule="auto"/>
              <w:ind w:left="43" w:right="0" w:firstLine="0"/>
              <w:jc w:val="left"/>
            </w:pPr>
            <w:r>
              <w:rPr>
                <w:i/>
                <w:sz w:val="18"/>
              </w:rPr>
              <w:t xml:space="preserve">Q2 </w:t>
            </w:r>
          </w:p>
        </w:tc>
        <w:tc>
          <w:tcPr>
            <w:tcW w:w="422" w:type="dxa"/>
            <w:tcBorders>
              <w:top w:val="single" w:sz="4" w:space="0" w:color="000000"/>
              <w:left w:val="single" w:sz="4" w:space="0" w:color="000000"/>
              <w:bottom w:val="single" w:sz="8" w:space="0" w:color="000000"/>
              <w:right w:val="single" w:sz="4" w:space="0" w:color="000000"/>
            </w:tcBorders>
          </w:tcPr>
          <w:p w:rsidR="00E8309B" w:rsidRDefault="009D0949">
            <w:pPr>
              <w:spacing w:after="0" w:line="259" w:lineRule="auto"/>
              <w:ind w:left="44" w:right="0" w:firstLine="0"/>
              <w:jc w:val="left"/>
            </w:pPr>
            <w:r>
              <w:rPr>
                <w:i/>
                <w:sz w:val="18"/>
              </w:rPr>
              <w:t xml:space="preserve">Q3 </w:t>
            </w:r>
          </w:p>
        </w:tc>
        <w:tc>
          <w:tcPr>
            <w:tcW w:w="421" w:type="dxa"/>
            <w:tcBorders>
              <w:top w:val="single" w:sz="4" w:space="0" w:color="000000"/>
              <w:left w:val="single" w:sz="4" w:space="0" w:color="000000"/>
              <w:bottom w:val="single" w:sz="8" w:space="0" w:color="000000"/>
              <w:right w:val="single" w:sz="8" w:space="0" w:color="000000"/>
            </w:tcBorders>
          </w:tcPr>
          <w:p w:rsidR="00E8309B" w:rsidRDefault="009D0949">
            <w:pPr>
              <w:spacing w:after="0" w:line="259" w:lineRule="auto"/>
              <w:ind w:left="44" w:right="0" w:firstLine="0"/>
              <w:jc w:val="left"/>
            </w:pPr>
            <w:r>
              <w:rPr>
                <w:i/>
                <w:sz w:val="18"/>
              </w:rPr>
              <w:t xml:space="preserve">Q4 </w:t>
            </w:r>
          </w:p>
        </w:tc>
        <w:tc>
          <w:tcPr>
            <w:tcW w:w="424" w:type="dxa"/>
            <w:tcBorders>
              <w:top w:val="single" w:sz="4" w:space="0" w:color="000000"/>
              <w:left w:val="single" w:sz="8" w:space="0" w:color="000000"/>
              <w:bottom w:val="single" w:sz="8" w:space="0" w:color="000000"/>
              <w:right w:val="single" w:sz="4" w:space="0" w:color="000000"/>
            </w:tcBorders>
          </w:tcPr>
          <w:p w:rsidR="00E8309B" w:rsidRDefault="009D0949">
            <w:pPr>
              <w:spacing w:after="0" w:line="259" w:lineRule="auto"/>
              <w:ind w:left="46" w:right="0" w:firstLine="0"/>
              <w:jc w:val="left"/>
            </w:pPr>
            <w:r>
              <w:rPr>
                <w:i/>
                <w:sz w:val="18"/>
              </w:rPr>
              <w:t xml:space="preserve">Q1 </w:t>
            </w:r>
          </w:p>
        </w:tc>
        <w:tc>
          <w:tcPr>
            <w:tcW w:w="421" w:type="dxa"/>
            <w:tcBorders>
              <w:top w:val="single" w:sz="4" w:space="0" w:color="000000"/>
              <w:left w:val="single" w:sz="4" w:space="0" w:color="000000"/>
              <w:bottom w:val="single" w:sz="8" w:space="0" w:color="000000"/>
              <w:right w:val="single" w:sz="4" w:space="0" w:color="000000"/>
            </w:tcBorders>
          </w:tcPr>
          <w:p w:rsidR="00E8309B" w:rsidRDefault="009D0949">
            <w:pPr>
              <w:spacing w:after="0" w:line="259" w:lineRule="auto"/>
              <w:ind w:left="44" w:right="0" w:firstLine="0"/>
              <w:jc w:val="left"/>
            </w:pPr>
            <w:r>
              <w:rPr>
                <w:i/>
                <w:sz w:val="18"/>
              </w:rPr>
              <w:t xml:space="preserve">Q2 </w:t>
            </w:r>
          </w:p>
        </w:tc>
        <w:tc>
          <w:tcPr>
            <w:tcW w:w="423" w:type="dxa"/>
            <w:tcBorders>
              <w:top w:val="single" w:sz="4" w:space="0" w:color="000000"/>
              <w:left w:val="single" w:sz="4" w:space="0" w:color="000000"/>
              <w:bottom w:val="single" w:sz="8" w:space="0" w:color="000000"/>
              <w:right w:val="single" w:sz="4" w:space="0" w:color="000000"/>
            </w:tcBorders>
          </w:tcPr>
          <w:p w:rsidR="00E8309B" w:rsidRDefault="009D0949">
            <w:pPr>
              <w:spacing w:after="0" w:line="259" w:lineRule="auto"/>
              <w:ind w:left="46" w:right="0" w:firstLine="0"/>
              <w:jc w:val="left"/>
            </w:pPr>
            <w:r>
              <w:rPr>
                <w:i/>
                <w:sz w:val="18"/>
              </w:rPr>
              <w:t xml:space="preserve">Q3 </w:t>
            </w:r>
          </w:p>
        </w:tc>
        <w:tc>
          <w:tcPr>
            <w:tcW w:w="420" w:type="dxa"/>
            <w:tcBorders>
              <w:top w:val="single" w:sz="4" w:space="0" w:color="000000"/>
              <w:left w:val="single" w:sz="4" w:space="0" w:color="000000"/>
              <w:bottom w:val="single" w:sz="8" w:space="0" w:color="000000"/>
              <w:right w:val="single" w:sz="8" w:space="0" w:color="000000"/>
            </w:tcBorders>
          </w:tcPr>
          <w:p w:rsidR="00E8309B" w:rsidRDefault="009D0949">
            <w:pPr>
              <w:spacing w:after="0" w:line="259" w:lineRule="auto"/>
              <w:ind w:left="43" w:right="0" w:firstLine="0"/>
              <w:jc w:val="left"/>
            </w:pPr>
            <w:r>
              <w:rPr>
                <w:i/>
                <w:sz w:val="18"/>
              </w:rPr>
              <w:t xml:space="preserve">Q4 </w:t>
            </w:r>
          </w:p>
        </w:tc>
        <w:tc>
          <w:tcPr>
            <w:tcW w:w="424" w:type="dxa"/>
            <w:tcBorders>
              <w:top w:val="single" w:sz="4" w:space="0" w:color="000000"/>
              <w:left w:val="single" w:sz="8" w:space="0" w:color="000000"/>
              <w:bottom w:val="single" w:sz="8" w:space="0" w:color="000000"/>
              <w:right w:val="single" w:sz="4" w:space="0" w:color="000000"/>
            </w:tcBorders>
          </w:tcPr>
          <w:p w:rsidR="00E8309B" w:rsidRDefault="009D0949">
            <w:pPr>
              <w:spacing w:after="0" w:line="259" w:lineRule="auto"/>
              <w:ind w:left="46" w:right="0" w:firstLine="0"/>
              <w:jc w:val="left"/>
            </w:pPr>
            <w:r>
              <w:rPr>
                <w:i/>
                <w:sz w:val="18"/>
              </w:rPr>
              <w:t xml:space="preserve">Q1 </w:t>
            </w:r>
          </w:p>
        </w:tc>
        <w:tc>
          <w:tcPr>
            <w:tcW w:w="422" w:type="dxa"/>
            <w:tcBorders>
              <w:top w:val="single" w:sz="4" w:space="0" w:color="000000"/>
              <w:left w:val="single" w:sz="4" w:space="0" w:color="000000"/>
              <w:bottom w:val="single" w:sz="8" w:space="0" w:color="000000"/>
              <w:right w:val="single" w:sz="4" w:space="0" w:color="000000"/>
            </w:tcBorders>
          </w:tcPr>
          <w:p w:rsidR="00E8309B" w:rsidRDefault="009D0949">
            <w:pPr>
              <w:spacing w:after="0" w:line="259" w:lineRule="auto"/>
              <w:ind w:left="44" w:right="0" w:firstLine="0"/>
              <w:jc w:val="left"/>
            </w:pPr>
            <w:r>
              <w:rPr>
                <w:i/>
                <w:sz w:val="18"/>
              </w:rPr>
              <w:t xml:space="preserve">Q2 </w:t>
            </w:r>
          </w:p>
        </w:tc>
        <w:tc>
          <w:tcPr>
            <w:tcW w:w="422" w:type="dxa"/>
            <w:tcBorders>
              <w:top w:val="single" w:sz="4" w:space="0" w:color="000000"/>
              <w:left w:val="single" w:sz="4" w:space="0" w:color="000000"/>
              <w:bottom w:val="single" w:sz="8" w:space="0" w:color="000000"/>
              <w:right w:val="single" w:sz="4" w:space="0" w:color="000000"/>
            </w:tcBorders>
          </w:tcPr>
          <w:p w:rsidR="00E8309B" w:rsidRDefault="009D0949">
            <w:pPr>
              <w:spacing w:after="0" w:line="259" w:lineRule="auto"/>
              <w:ind w:left="44" w:right="0" w:firstLine="0"/>
              <w:jc w:val="left"/>
            </w:pPr>
            <w:r>
              <w:rPr>
                <w:i/>
                <w:sz w:val="18"/>
              </w:rPr>
              <w:t xml:space="preserve">Q3 </w:t>
            </w:r>
          </w:p>
        </w:tc>
        <w:tc>
          <w:tcPr>
            <w:tcW w:w="420" w:type="dxa"/>
            <w:tcBorders>
              <w:top w:val="single" w:sz="4" w:space="0" w:color="000000"/>
              <w:left w:val="single" w:sz="4" w:space="0" w:color="000000"/>
              <w:bottom w:val="single" w:sz="8" w:space="0" w:color="000000"/>
              <w:right w:val="single" w:sz="8" w:space="0" w:color="000000"/>
            </w:tcBorders>
          </w:tcPr>
          <w:p w:rsidR="00E8309B" w:rsidRDefault="009D0949">
            <w:pPr>
              <w:spacing w:after="0" w:line="259" w:lineRule="auto"/>
              <w:ind w:left="44" w:right="0" w:firstLine="0"/>
              <w:jc w:val="left"/>
            </w:pPr>
            <w:r>
              <w:rPr>
                <w:i/>
                <w:sz w:val="18"/>
              </w:rPr>
              <w:t xml:space="preserve">Q4 </w:t>
            </w:r>
          </w:p>
        </w:tc>
      </w:tr>
      <w:tr w:rsidR="00E8309B">
        <w:trPr>
          <w:trHeight w:val="473"/>
        </w:trPr>
        <w:tc>
          <w:tcPr>
            <w:tcW w:w="427" w:type="dxa"/>
            <w:tcBorders>
              <w:top w:val="single" w:sz="8" w:space="0" w:color="000000"/>
              <w:left w:val="single" w:sz="8" w:space="0" w:color="000000"/>
              <w:bottom w:val="single" w:sz="4" w:space="0" w:color="000000"/>
              <w:right w:val="single" w:sz="8" w:space="0" w:color="000000"/>
            </w:tcBorders>
          </w:tcPr>
          <w:p w:rsidR="00E8309B" w:rsidRDefault="009D0949">
            <w:pPr>
              <w:spacing w:after="0" w:line="259" w:lineRule="auto"/>
              <w:ind w:left="0" w:right="51" w:firstLine="0"/>
              <w:jc w:val="right"/>
            </w:pPr>
            <w:r>
              <w:rPr>
                <w:sz w:val="20"/>
              </w:rPr>
              <w:t xml:space="preserve">1 </w:t>
            </w:r>
          </w:p>
        </w:tc>
        <w:tc>
          <w:tcPr>
            <w:tcW w:w="4123" w:type="dxa"/>
            <w:tcBorders>
              <w:top w:val="single" w:sz="8" w:space="0" w:color="000000"/>
              <w:left w:val="single" w:sz="8" w:space="0" w:color="000000"/>
              <w:bottom w:val="single" w:sz="4" w:space="0" w:color="000000"/>
              <w:right w:val="single" w:sz="8" w:space="0" w:color="000000"/>
            </w:tcBorders>
          </w:tcPr>
          <w:p w:rsidR="00E8309B" w:rsidRDefault="009D0949">
            <w:pPr>
              <w:spacing w:after="0" w:line="259" w:lineRule="auto"/>
              <w:ind w:left="0" w:right="0" w:firstLine="0"/>
              <w:jc w:val="left"/>
            </w:pPr>
            <w:r>
              <w:rPr>
                <w:sz w:val="20"/>
              </w:rPr>
              <w:t xml:space="preserve">Развој Јединственог информационог система просвете и израда првих извештаја </w:t>
            </w:r>
          </w:p>
        </w:tc>
        <w:tc>
          <w:tcPr>
            <w:tcW w:w="419" w:type="dxa"/>
            <w:tcBorders>
              <w:top w:val="single" w:sz="8" w:space="0" w:color="000000"/>
              <w:left w:val="single" w:sz="8"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1" w:right="0" w:firstLine="0"/>
              <w:jc w:val="center"/>
            </w:pPr>
            <w:r>
              <w:rPr>
                <w:sz w:val="20"/>
              </w:rPr>
              <w:t xml:space="preserve"> </w:t>
            </w:r>
          </w:p>
        </w:tc>
        <w:tc>
          <w:tcPr>
            <w:tcW w:w="421" w:type="dxa"/>
            <w:tcBorders>
              <w:top w:val="single" w:sz="8" w:space="0" w:color="000000"/>
              <w:left w:val="single" w:sz="4"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1" w:right="0" w:firstLine="0"/>
              <w:jc w:val="center"/>
            </w:pPr>
            <w:r>
              <w:rPr>
                <w:sz w:val="20"/>
              </w:rPr>
              <w:t xml:space="preserve"> </w:t>
            </w:r>
          </w:p>
        </w:tc>
        <w:tc>
          <w:tcPr>
            <w:tcW w:w="422" w:type="dxa"/>
            <w:tcBorders>
              <w:top w:val="single" w:sz="8" w:space="0" w:color="000000"/>
              <w:left w:val="single" w:sz="4"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2" w:right="0" w:firstLine="0"/>
              <w:jc w:val="center"/>
            </w:pPr>
            <w:r>
              <w:rPr>
                <w:sz w:val="20"/>
              </w:rPr>
              <w:t xml:space="preserve"> </w:t>
            </w:r>
          </w:p>
        </w:tc>
        <w:tc>
          <w:tcPr>
            <w:tcW w:w="421" w:type="dxa"/>
            <w:tcBorders>
              <w:top w:val="single" w:sz="8" w:space="0" w:color="000000"/>
              <w:left w:val="single" w:sz="4" w:space="0" w:color="000000"/>
              <w:bottom w:val="single" w:sz="4" w:space="0" w:color="000000"/>
              <w:right w:val="single" w:sz="8" w:space="0" w:color="000000"/>
            </w:tcBorders>
            <w:shd w:val="clear" w:color="auto" w:fill="BFBFBF"/>
            <w:vAlign w:val="center"/>
          </w:tcPr>
          <w:p w:rsidR="00E8309B" w:rsidRDefault="009D0949">
            <w:pPr>
              <w:spacing w:after="0" w:line="259" w:lineRule="auto"/>
              <w:ind w:left="4" w:right="0" w:firstLine="0"/>
              <w:jc w:val="center"/>
            </w:pPr>
            <w:r>
              <w:rPr>
                <w:sz w:val="20"/>
              </w:rPr>
              <w:t xml:space="preserve"> </w:t>
            </w:r>
          </w:p>
        </w:tc>
        <w:tc>
          <w:tcPr>
            <w:tcW w:w="424" w:type="dxa"/>
            <w:tcBorders>
              <w:top w:val="single" w:sz="8" w:space="0" w:color="000000"/>
              <w:left w:val="single" w:sz="8" w:space="0" w:color="000000"/>
              <w:bottom w:val="single" w:sz="4" w:space="0" w:color="000000"/>
              <w:right w:val="single" w:sz="4" w:space="0" w:color="000000"/>
            </w:tcBorders>
            <w:vAlign w:val="center"/>
          </w:tcPr>
          <w:p w:rsidR="00E8309B" w:rsidRDefault="009D0949">
            <w:pPr>
              <w:spacing w:after="0" w:line="259" w:lineRule="auto"/>
              <w:ind w:left="4" w:right="0" w:firstLine="0"/>
              <w:jc w:val="center"/>
            </w:pPr>
            <w:r>
              <w:rPr>
                <w:sz w:val="20"/>
              </w:rPr>
              <w:t xml:space="preserve"> </w:t>
            </w:r>
          </w:p>
        </w:tc>
        <w:tc>
          <w:tcPr>
            <w:tcW w:w="421" w:type="dxa"/>
            <w:tcBorders>
              <w:top w:val="single" w:sz="8"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4" w:right="0" w:firstLine="0"/>
              <w:jc w:val="center"/>
            </w:pPr>
            <w:r>
              <w:rPr>
                <w:sz w:val="20"/>
              </w:rPr>
              <w:t xml:space="preserve"> </w:t>
            </w:r>
          </w:p>
        </w:tc>
        <w:tc>
          <w:tcPr>
            <w:tcW w:w="423" w:type="dxa"/>
            <w:tcBorders>
              <w:top w:val="single" w:sz="8"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5" w:right="0" w:firstLine="0"/>
              <w:jc w:val="center"/>
            </w:pPr>
            <w:r>
              <w:rPr>
                <w:sz w:val="20"/>
              </w:rPr>
              <w:t xml:space="preserve"> </w:t>
            </w:r>
          </w:p>
        </w:tc>
        <w:tc>
          <w:tcPr>
            <w:tcW w:w="420" w:type="dxa"/>
            <w:tcBorders>
              <w:top w:val="single" w:sz="8" w:space="0" w:color="000000"/>
              <w:left w:val="single" w:sz="4" w:space="0" w:color="000000"/>
              <w:bottom w:val="single" w:sz="4" w:space="0" w:color="000000"/>
              <w:right w:val="single" w:sz="8" w:space="0" w:color="000000"/>
            </w:tcBorders>
            <w:vAlign w:val="center"/>
          </w:tcPr>
          <w:p w:rsidR="00E8309B" w:rsidRDefault="009D0949">
            <w:pPr>
              <w:spacing w:after="0" w:line="259" w:lineRule="auto"/>
              <w:ind w:left="2" w:right="0" w:firstLine="0"/>
              <w:jc w:val="center"/>
            </w:pPr>
            <w:r>
              <w:rPr>
                <w:sz w:val="20"/>
              </w:rPr>
              <w:t xml:space="preserve"> </w:t>
            </w:r>
          </w:p>
        </w:tc>
        <w:tc>
          <w:tcPr>
            <w:tcW w:w="424" w:type="dxa"/>
            <w:tcBorders>
              <w:top w:val="single" w:sz="8" w:space="0" w:color="000000"/>
              <w:left w:val="single" w:sz="8" w:space="0" w:color="000000"/>
              <w:bottom w:val="single" w:sz="4" w:space="0" w:color="000000"/>
              <w:right w:val="single" w:sz="4" w:space="0" w:color="000000"/>
            </w:tcBorders>
            <w:vAlign w:val="center"/>
          </w:tcPr>
          <w:p w:rsidR="00E8309B" w:rsidRDefault="009D0949">
            <w:pPr>
              <w:spacing w:after="0" w:line="259" w:lineRule="auto"/>
              <w:ind w:left="4" w:right="0" w:firstLine="0"/>
              <w:jc w:val="center"/>
            </w:pPr>
            <w:r>
              <w:rPr>
                <w:sz w:val="20"/>
              </w:rPr>
              <w:t xml:space="preserve"> </w:t>
            </w:r>
          </w:p>
        </w:tc>
        <w:tc>
          <w:tcPr>
            <w:tcW w:w="422" w:type="dxa"/>
            <w:tcBorders>
              <w:top w:val="single" w:sz="8"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2" w:right="0" w:firstLine="0"/>
              <w:jc w:val="center"/>
            </w:pPr>
            <w:r>
              <w:rPr>
                <w:sz w:val="20"/>
              </w:rPr>
              <w:t xml:space="preserve"> </w:t>
            </w:r>
          </w:p>
        </w:tc>
        <w:tc>
          <w:tcPr>
            <w:tcW w:w="422" w:type="dxa"/>
            <w:tcBorders>
              <w:top w:val="single" w:sz="8"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2" w:right="0" w:firstLine="0"/>
              <w:jc w:val="center"/>
            </w:pPr>
            <w:r>
              <w:rPr>
                <w:sz w:val="20"/>
              </w:rPr>
              <w:t xml:space="preserve"> </w:t>
            </w:r>
          </w:p>
        </w:tc>
        <w:tc>
          <w:tcPr>
            <w:tcW w:w="420" w:type="dxa"/>
            <w:tcBorders>
              <w:top w:val="single" w:sz="8" w:space="0" w:color="000000"/>
              <w:left w:val="single" w:sz="4" w:space="0" w:color="000000"/>
              <w:bottom w:val="single" w:sz="4" w:space="0" w:color="000000"/>
              <w:right w:val="single" w:sz="8" w:space="0" w:color="000000"/>
            </w:tcBorders>
            <w:vAlign w:val="center"/>
          </w:tcPr>
          <w:p w:rsidR="00E8309B" w:rsidRDefault="009D0949">
            <w:pPr>
              <w:spacing w:after="0" w:line="259" w:lineRule="auto"/>
              <w:ind w:left="5" w:right="0" w:firstLine="0"/>
              <w:jc w:val="center"/>
            </w:pPr>
            <w:r>
              <w:rPr>
                <w:sz w:val="20"/>
              </w:rPr>
              <w:t xml:space="preserve"> </w:t>
            </w:r>
          </w:p>
        </w:tc>
      </w:tr>
      <w:tr w:rsidR="00E8309B">
        <w:trPr>
          <w:trHeight w:val="929"/>
        </w:trPr>
        <w:tc>
          <w:tcPr>
            <w:tcW w:w="427" w:type="dxa"/>
            <w:tcBorders>
              <w:top w:val="single" w:sz="4" w:space="0" w:color="000000"/>
              <w:left w:val="single" w:sz="8" w:space="0" w:color="000000"/>
              <w:bottom w:val="single" w:sz="4" w:space="0" w:color="000000"/>
              <w:right w:val="single" w:sz="8" w:space="0" w:color="000000"/>
            </w:tcBorders>
          </w:tcPr>
          <w:p w:rsidR="00E8309B" w:rsidRDefault="009D0949">
            <w:pPr>
              <w:spacing w:after="0" w:line="259" w:lineRule="auto"/>
              <w:ind w:left="0" w:right="51" w:firstLine="0"/>
              <w:jc w:val="right"/>
            </w:pPr>
            <w:r>
              <w:rPr>
                <w:sz w:val="20"/>
              </w:rPr>
              <w:t xml:space="preserve">2 </w:t>
            </w:r>
          </w:p>
        </w:tc>
        <w:tc>
          <w:tcPr>
            <w:tcW w:w="4123" w:type="dxa"/>
            <w:tcBorders>
              <w:top w:val="single" w:sz="4" w:space="0" w:color="000000"/>
              <w:left w:val="single" w:sz="8" w:space="0" w:color="000000"/>
              <w:bottom w:val="single" w:sz="4" w:space="0" w:color="000000"/>
              <w:right w:val="single" w:sz="8" w:space="0" w:color="000000"/>
            </w:tcBorders>
          </w:tcPr>
          <w:p w:rsidR="00E8309B" w:rsidRDefault="009D0949">
            <w:pPr>
              <w:spacing w:after="0" w:line="259" w:lineRule="auto"/>
              <w:ind w:left="0" w:right="0" w:firstLine="0"/>
              <w:jc w:val="left"/>
            </w:pPr>
            <w:r>
              <w:rPr>
                <w:sz w:val="20"/>
              </w:rPr>
              <w:t xml:space="preserve">Повећање обима студијских програма и профила из рачунарства и програмирања у области високог и средњег образовања у складу са потребама тржишта </w:t>
            </w:r>
          </w:p>
        </w:tc>
        <w:tc>
          <w:tcPr>
            <w:tcW w:w="419" w:type="dxa"/>
            <w:tcBorders>
              <w:top w:val="single" w:sz="4" w:space="0" w:color="000000"/>
              <w:left w:val="single" w:sz="8"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1" w:right="0" w:firstLine="0"/>
              <w:jc w:val="center"/>
            </w:pPr>
            <w:r>
              <w:rPr>
                <w:sz w:val="20"/>
              </w:rPr>
              <w:t xml:space="preserve"> </w:t>
            </w:r>
          </w:p>
        </w:tc>
        <w:tc>
          <w:tcPr>
            <w:tcW w:w="421"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1" w:right="0" w:firstLine="0"/>
              <w:jc w:val="center"/>
            </w:pPr>
            <w:r>
              <w:rPr>
                <w:sz w:val="20"/>
              </w:rPr>
              <w:t xml:space="preserve"> </w:t>
            </w:r>
          </w:p>
        </w:tc>
        <w:tc>
          <w:tcPr>
            <w:tcW w:w="422"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2" w:right="0" w:firstLine="0"/>
              <w:jc w:val="center"/>
            </w:pPr>
            <w:r>
              <w:rPr>
                <w:sz w:val="20"/>
              </w:rPr>
              <w:t xml:space="preserve"> </w:t>
            </w:r>
          </w:p>
        </w:tc>
        <w:tc>
          <w:tcPr>
            <w:tcW w:w="421" w:type="dxa"/>
            <w:tcBorders>
              <w:top w:val="single" w:sz="4" w:space="0" w:color="000000"/>
              <w:left w:val="single" w:sz="4" w:space="0" w:color="000000"/>
              <w:bottom w:val="single" w:sz="4" w:space="0" w:color="000000"/>
              <w:right w:val="single" w:sz="8" w:space="0" w:color="000000"/>
            </w:tcBorders>
            <w:shd w:val="clear" w:color="auto" w:fill="BFBFBF"/>
            <w:vAlign w:val="center"/>
          </w:tcPr>
          <w:p w:rsidR="00E8309B" w:rsidRDefault="009D0949">
            <w:pPr>
              <w:spacing w:after="0" w:line="259" w:lineRule="auto"/>
              <w:ind w:left="4" w:right="0" w:firstLine="0"/>
              <w:jc w:val="center"/>
            </w:pPr>
            <w:r>
              <w:rPr>
                <w:sz w:val="20"/>
              </w:rPr>
              <w:t xml:space="preserve"> </w:t>
            </w:r>
          </w:p>
        </w:tc>
        <w:tc>
          <w:tcPr>
            <w:tcW w:w="424" w:type="dxa"/>
            <w:tcBorders>
              <w:top w:val="single" w:sz="4" w:space="0" w:color="000000"/>
              <w:left w:val="single" w:sz="8" w:space="0" w:color="000000"/>
              <w:bottom w:val="single" w:sz="4" w:space="0" w:color="000000"/>
              <w:right w:val="single" w:sz="4" w:space="0" w:color="000000"/>
            </w:tcBorders>
            <w:vAlign w:val="center"/>
          </w:tcPr>
          <w:p w:rsidR="00E8309B" w:rsidRDefault="009D0949">
            <w:pPr>
              <w:spacing w:after="0" w:line="259" w:lineRule="auto"/>
              <w:ind w:left="4" w:right="0" w:firstLine="0"/>
              <w:jc w:val="center"/>
            </w:pPr>
            <w:r>
              <w:rPr>
                <w:sz w:val="20"/>
              </w:rPr>
              <w:t xml:space="preserve"> </w:t>
            </w:r>
          </w:p>
        </w:tc>
        <w:tc>
          <w:tcPr>
            <w:tcW w:w="421"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4" w:right="0" w:firstLine="0"/>
              <w:jc w:val="center"/>
            </w:pPr>
            <w:r>
              <w:rPr>
                <w:sz w:val="20"/>
              </w:rPr>
              <w:t xml:space="preserve"> </w:t>
            </w:r>
          </w:p>
        </w:tc>
        <w:tc>
          <w:tcPr>
            <w:tcW w:w="423"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5" w:right="0" w:firstLine="0"/>
              <w:jc w:val="center"/>
            </w:pPr>
            <w:r>
              <w:rPr>
                <w:sz w:val="20"/>
              </w:rPr>
              <w:t xml:space="preserve"> </w:t>
            </w:r>
          </w:p>
        </w:tc>
        <w:tc>
          <w:tcPr>
            <w:tcW w:w="420" w:type="dxa"/>
            <w:tcBorders>
              <w:top w:val="single" w:sz="4" w:space="0" w:color="000000"/>
              <w:left w:val="single" w:sz="4" w:space="0" w:color="000000"/>
              <w:bottom w:val="single" w:sz="4" w:space="0" w:color="000000"/>
              <w:right w:val="single" w:sz="8" w:space="0" w:color="000000"/>
            </w:tcBorders>
            <w:vAlign w:val="center"/>
          </w:tcPr>
          <w:p w:rsidR="00E8309B" w:rsidRDefault="009D0949">
            <w:pPr>
              <w:spacing w:after="0" w:line="259" w:lineRule="auto"/>
              <w:ind w:left="2" w:right="0" w:firstLine="0"/>
              <w:jc w:val="center"/>
            </w:pPr>
            <w:r>
              <w:rPr>
                <w:sz w:val="20"/>
              </w:rPr>
              <w:t xml:space="preserve"> </w:t>
            </w:r>
          </w:p>
        </w:tc>
        <w:tc>
          <w:tcPr>
            <w:tcW w:w="424" w:type="dxa"/>
            <w:tcBorders>
              <w:top w:val="single" w:sz="4" w:space="0" w:color="000000"/>
              <w:left w:val="single" w:sz="8" w:space="0" w:color="000000"/>
              <w:bottom w:val="single" w:sz="4" w:space="0" w:color="000000"/>
              <w:right w:val="single" w:sz="4" w:space="0" w:color="000000"/>
            </w:tcBorders>
            <w:vAlign w:val="center"/>
          </w:tcPr>
          <w:p w:rsidR="00E8309B" w:rsidRDefault="009D0949">
            <w:pPr>
              <w:spacing w:after="0" w:line="259" w:lineRule="auto"/>
              <w:ind w:left="4" w:right="0" w:firstLine="0"/>
              <w:jc w:val="center"/>
            </w:pPr>
            <w:r>
              <w:rPr>
                <w:sz w:val="20"/>
              </w:rPr>
              <w:t xml:space="preserve"> </w:t>
            </w:r>
          </w:p>
        </w:tc>
        <w:tc>
          <w:tcPr>
            <w:tcW w:w="422"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2" w:right="0" w:firstLine="0"/>
              <w:jc w:val="center"/>
            </w:pPr>
            <w:r>
              <w:rPr>
                <w:sz w:val="20"/>
              </w:rPr>
              <w:t xml:space="preserve"> </w:t>
            </w:r>
          </w:p>
        </w:tc>
        <w:tc>
          <w:tcPr>
            <w:tcW w:w="422"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2" w:right="0" w:firstLine="0"/>
              <w:jc w:val="center"/>
            </w:pPr>
            <w:r>
              <w:rPr>
                <w:sz w:val="20"/>
              </w:rPr>
              <w:t xml:space="preserve"> </w:t>
            </w:r>
          </w:p>
        </w:tc>
        <w:tc>
          <w:tcPr>
            <w:tcW w:w="420" w:type="dxa"/>
            <w:tcBorders>
              <w:top w:val="single" w:sz="4" w:space="0" w:color="000000"/>
              <w:left w:val="single" w:sz="4" w:space="0" w:color="000000"/>
              <w:bottom w:val="single" w:sz="4" w:space="0" w:color="000000"/>
              <w:right w:val="single" w:sz="8" w:space="0" w:color="000000"/>
            </w:tcBorders>
            <w:vAlign w:val="center"/>
          </w:tcPr>
          <w:p w:rsidR="00E8309B" w:rsidRDefault="009D0949">
            <w:pPr>
              <w:spacing w:after="0" w:line="259" w:lineRule="auto"/>
              <w:ind w:left="5" w:right="0" w:firstLine="0"/>
              <w:jc w:val="center"/>
            </w:pPr>
            <w:r>
              <w:rPr>
                <w:sz w:val="20"/>
              </w:rPr>
              <w:t xml:space="preserve"> </w:t>
            </w:r>
          </w:p>
        </w:tc>
      </w:tr>
      <w:tr w:rsidR="00E8309B">
        <w:trPr>
          <w:trHeight w:val="470"/>
        </w:trPr>
        <w:tc>
          <w:tcPr>
            <w:tcW w:w="427" w:type="dxa"/>
            <w:tcBorders>
              <w:top w:val="single" w:sz="4" w:space="0" w:color="000000"/>
              <w:left w:val="single" w:sz="8" w:space="0" w:color="000000"/>
              <w:bottom w:val="single" w:sz="4" w:space="0" w:color="000000"/>
              <w:right w:val="single" w:sz="8" w:space="0" w:color="000000"/>
            </w:tcBorders>
          </w:tcPr>
          <w:p w:rsidR="00E8309B" w:rsidRDefault="009D0949">
            <w:pPr>
              <w:spacing w:after="0" w:line="259" w:lineRule="auto"/>
              <w:ind w:left="0" w:right="51" w:firstLine="0"/>
              <w:jc w:val="right"/>
            </w:pPr>
            <w:r>
              <w:rPr>
                <w:sz w:val="20"/>
              </w:rPr>
              <w:t xml:space="preserve">3 </w:t>
            </w:r>
          </w:p>
        </w:tc>
        <w:tc>
          <w:tcPr>
            <w:tcW w:w="4123" w:type="dxa"/>
            <w:tcBorders>
              <w:top w:val="single" w:sz="4" w:space="0" w:color="000000"/>
              <w:left w:val="single" w:sz="8" w:space="0" w:color="000000"/>
              <w:bottom w:val="single" w:sz="4" w:space="0" w:color="000000"/>
              <w:right w:val="single" w:sz="8" w:space="0" w:color="000000"/>
            </w:tcBorders>
          </w:tcPr>
          <w:p w:rsidR="00E8309B" w:rsidRDefault="009D0949">
            <w:pPr>
              <w:spacing w:after="0" w:line="259" w:lineRule="auto"/>
              <w:ind w:left="0" w:right="0" w:firstLine="0"/>
              <w:jc w:val="left"/>
            </w:pPr>
            <w:r>
              <w:rPr>
                <w:sz w:val="20"/>
              </w:rPr>
              <w:t xml:space="preserve">Опремање учионица и кабинета рачунарском опремом </w:t>
            </w:r>
          </w:p>
        </w:tc>
        <w:tc>
          <w:tcPr>
            <w:tcW w:w="419" w:type="dxa"/>
            <w:tcBorders>
              <w:top w:val="single" w:sz="4" w:space="0" w:color="000000"/>
              <w:left w:val="single" w:sz="8"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1" w:right="0" w:firstLine="0"/>
              <w:jc w:val="center"/>
            </w:pPr>
            <w:r>
              <w:rPr>
                <w:sz w:val="20"/>
              </w:rPr>
              <w:t xml:space="preserve"> </w:t>
            </w:r>
          </w:p>
        </w:tc>
        <w:tc>
          <w:tcPr>
            <w:tcW w:w="421"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1" w:right="0" w:firstLine="0"/>
              <w:jc w:val="center"/>
            </w:pPr>
            <w:r>
              <w:rPr>
                <w:sz w:val="20"/>
              </w:rPr>
              <w:t xml:space="preserve"> </w:t>
            </w:r>
          </w:p>
        </w:tc>
        <w:tc>
          <w:tcPr>
            <w:tcW w:w="422"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2" w:right="0" w:firstLine="0"/>
              <w:jc w:val="center"/>
            </w:pPr>
            <w:r>
              <w:rPr>
                <w:sz w:val="20"/>
              </w:rPr>
              <w:t xml:space="preserve"> </w:t>
            </w:r>
          </w:p>
        </w:tc>
        <w:tc>
          <w:tcPr>
            <w:tcW w:w="421" w:type="dxa"/>
            <w:tcBorders>
              <w:top w:val="single" w:sz="4" w:space="0" w:color="000000"/>
              <w:left w:val="single" w:sz="4" w:space="0" w:color="000000"/>
              <w:bottom w:val="single" w:sz="4" w:space="0" w:color="000000"/>
              <w:right w:val="single" w:sz="8" w:space="0" w:color="000000"/>
            </w:tcBorders>
            <w:shd w:val="clear" w:color="auto" w:fill="BFBFBF"/>
            <w:vAlign w:val="center"/>
          </w:tcPr>
          <w:p w:rsidR="00E8309B" w:rsidRDefault="009D0949">
            <w:pPr>
              <w:spacing w:after="0" w:line="259" w:lineRule="auto"/>
              <w:ind w:left="4" w:right="0" w:firstLine="0"/>
              <w:jc w:val="center"/>
            </w:pPr>
            <w:r>
              <w:rPr>
                <w:sz w:val="20"/>
              </w:rPr>
              <w:t xml:space="preserve"> </w:t>
            </w:r>
          </w:p>
        </w:tc>
        <w:tc>
          <w:tcPr>
            <w:tcW w:w="424" w:type="dxa"/>
            <w:tcBorders>
              <w:top w:val="single" w:sz="4" w:space="0" w:color="000000"/>
              <w:left w:val="single" w:sz="8"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4" w:right="0" w:firstLine="0"/>
              <w:jc w:val="center"/>
            </w:pPr>
            <w:r>
              <w:rPr>
                <w:sz w:val="20"/>
              </w:rPr>
              <w:t xml:space="preserve"> </w:t>
            </w:r>
          </w:p>
        </w:tc>
        <w:tc>
          <w:tcPr>
            <w:tcW w:w="421"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4" w:right="0" w:firstLine="0"/>
              <w:jc w:val="center"/>
            </w:pPr>
            <w:r>
              <w:rPr>
                <w:sz w:val="20"/>
              </w:rPr>
              <w:t xml:space="preserve"> </w:t>
            </w:r>
          </w:p>
        </w:tc>
        <w:tc>
          <w:tcPr>
            <w:tcW w:w="423"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5" w:right="0" w:firstLine="0"/>
              <w:jc w:val="center"/>
            </w:pPr>
            <w:r>
              <w:rPr>
                <w:sz w:val="20"/>
              </w:rPr>
              <w:t xml:space="preserve"> </w:t>
            </w:r>
          </w:p>
        </w:tc>
        <w:tc>
          <w:tcPr>
            <w:tcW w:w="420" w:type="dxa"/>
            <w:tcBorders>
              <w:top w:val="single" w:sz="4" w:space="0" w:color="000000"/>
              <w:left w:val="single" w:sz="4" w:space="0" w:color="000000"/>
              <w:bottom w:val="single" w:sz="4" w:space="0" w:color="000000"/>
              <w:right w:val="single" w:sz="8" w:space="0" w:color="000000"/>
            </w:tcBorders>
            <w:shd w:val="clear" w:color="auto" w:fill="BFBFBF"/>
            <w:vAlign w:val="center"/>
          </w:tcPr>
          <w:p w:rsidR="00E8309B" w:rsidRDefault="009D0949">
            <w:pPr>
              <w:spacing w:after="0" w:line="259" w:lineRule="auto"/>
              <w:ind w:left="2" w:right="0" w:firstLine="0"/>
              <w:jc w:val="center"/>
            </w:pPr>
            <w:r>
              <w:rPr>
                <w:sz w:val="20"/>
              </w:rPr>
              <w:t xml:space="preserve"> </w:t>
            </w:r>
          </w:p>
        </w:tc>
        <w:tc>
          <w:tcPr>
            <w:tcW w:w="424" w:type="dxa"/>
            <w:tcBorders>
              <w:top w:val="single" w:sz="4" w:space="0" w:color="000000"/>
              <w:left w:val="single" w:sz="8"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4" w:right="0" w:firstLine="0"/>
              <w:jc w:val="center"/>
            </w:pPr>
            <w:r>
              <w:rPr>
                <w:sz w:val="20"/>
              </w:rPr>
              <w:t xml:space="preserve"> </w:t>
            </w:r>
          </w:p>
        </w:tc>
        <w:tc>
          <w:tcPr>
            <w:tcW w:w="422"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2" w:right="0" w:firstLine="0"/>
              <w:jc w:val="center"/>
            </w:pPr>
            <w:r>
              <w:rPr>
                <w:sz w:val="20"/>
              </w:rPr>
              <w:t xml:space="preserve"> </w:t>
            </w:r>
          </w:p>
        </w:tc>
        <w:tc>
          <w:tcPr>
            <w:tcW w:w="422"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2" w:right="0" w:firstLine="0"/>
              <w:jc w:val="center"/>
            </w:pPr>
            <w:r>
              <w:rPr>
                <w:sz w:val="20"/>
              </w:rPr>
              <w:t xml:space="preserve"> </w:t>
            </w:r>
          </w:p>
        </w:tc>
        <w:tc>
          <w:tcPr>
            <w:tcW w:w="420" w:type="dxa"/>
            <w:tcBorders>
              <w:top w:val="single" w:sz="4" w:space="0" w:color="000000"/>
              <w:left w:val="single" w:sz="4" w:space="0" w:color="000000"/>
              <w:bottom w:val="single" w:sz="4" w:space="0" w:color="000000"/>
              <w:right w:val="single" w:sz="8" w:space="0" w:color="000000"/>
            </w:tcBorders>
            <w:shd w:val="clear" w:color="auto" w:fill="BFBFBF"/>
            <w:vAlign w:val="center"/>
          </w:tcPr>
          <w:p w:rsidR="00E8309B" w:rsidRDefault="009D0949">
            <w:pPr>
              <w:spacing w:after="0" w:line="259" w:lineRule="auto"/>
              <w:ind w:left="5" w:right="0" w:firstLine="0"/>
              <w:jc w:val="center"/>
            </w:pPr>
            <w:r>
              <w:rPr>
                <w:sz w:val="20"/>
              </w:rPr>
              <w:t xml:space="preserve"> </w:t>
            </w:r>
          </w:p>
        </w:tc>
      </w:tr>
      <w:tr w:rsidR="00E8309B">
        <w:trPr>
          <w:trHeight w:val="470"/>
        </w:trPr>
        <w:tc>
          <w:tcPr>
            <w:tcW w:w="427" w:type="dxa"/>
            <w:tcBorders>
              <w:top w:val="single" w:sz="4" w:space="0" w:color="000000"/>
              <w:left w:val="single" w:sz="8" w:space="0" w:color="000000"/>
              <w:bottom w:val="single" w:sz="4" w:space="0" w:color="000000"/>
              <w:right w:val="single" w:sz="8" w:space="0" w:color="000000"/>
            </w:tcBorders>
          </w:tcPr>
          <w:p w:rsidR="00E8309B" w:rsidRDefault="009D0949">
            <w:pPr>
              <w:spacing w:after="0" w:line="259" w:lineRule="auto"/>
              <w:ind w:left="0" w:right="51" w:firstLine="0"/>
              <w:jc w:val="right"/>
            </w:pPr>
            <w:r>
              <w:rPr>
                <w:sz w:val="20"/>
              </w:rPr>
              <w:t xml:space="preserve">4 </w:t>
            </w:r>
          </w:p>
        </w:tc>
        <w:tc>
          <w:tcPr>
            <w:tcW w:w="4123" w:type="dxa"/>
            <w:tcBorders>
              <w:top w:val="single" w:sz="4" w:space="0" w:color="000000"/>
              <w:left w:val="single" w:sz="8" w:space="0" w:color="000000"/>
              <w:bottom w:val="single" w:sz="4" w:space="0" w:color="000000"/>
              <w:right w:val="single" w:sz="8" w:space="0" w:color="000000"/>
            </w:tcBorders>
          </w:tcPr>
          <w:p w:rsidR="00E8309B" w:rsidRDefault="009D0949">
            <w:pPr>
              <w:spacing w:after="0" w:line="259" w:lineRule="auto"/>
              <w:ind w:left="0" w:right="0" w:firstLine="0"/>
            </w:pPr>
            <w:r>
              <w:rPr>
                <w:sz w:val="20"/>
              </w:rPr>
              <w:t xml:space="preserve">Анализа ефеката употребе Јединственог информационог система просвете </w:t>
            </w:r>
          </w:p>
        </w:tc>
        <w:tc>
          <w:tcPr>
            <w:tcW w:w="419" w:type="dxa"/>
            <w:tcBorders>
              <w:top w:val="single" w:sz="4" w:space="0" w:color="000000"/>
              <w:left w:val="single" w:sz="8" w:space="0" w:color="000000"/>
              <w:bottom w:val="single" w:sz="4" w:space="0" w:color="000000"/>
              <w:right w:val="single" w:sz="4" w:space="0" w:color="000000"/>
            </w:tcBorders>
            <w:vAlign w:val="center"/>
          </w:tcPr>
          <w:p w:rsidR="00E8309B" w:rsidRDefault="009D0949">
            <w:pPr>
              <w:spacing w:after="0" w:line="259" w:lineRule="auto"/>
              <w:ind w:left="1" w:right="0" w:firstLine="0"/>
              <w:jc w:val="center"/>
            </w:pPr>
            <w:r>
              <w:rPr>
                <w:sz w:val="20"/>
              </w:rPr>
              <w:t xml:space="preserve"> </w:t>
            </w:r>
          </w:p>
        </w:tc>
        <w:tc>
          <w:tcPr>
            <w:tcW w:w="421"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1" w:right="0" w:firstLine="0"/>
              <w:jc w:val="center"/>
            </w:pPr>
            <w:r>
              <w:rPr>
                <w:sz w:val="20"/>
              </w:rPr>
              <w:t xml:space="preserve"> </w:t>
            </w:r>
          </w:p>
        </w:tc>
        <w:tc>
          <w:tcPr>
            <w:tcW w:w="422"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2" w:right="0" w:firstLine="0"/>
              <w:jc w:val="center"/>
            </w:pPr>
            <w:r>
              <w:rPr>
                <w:sz w:val="20"/>
              </w:rPr>
              <w:t xml:space="preserve"> </w:t>
            </w:r>
          </w:p>
        </w:tc>
        <w:tc>
          <w:tcPr>
            <w:tcW w:w="421" w:type="dxa"/>
            <w:tcBorders>
              <w:top w:val="single" w:sz="4" w:space="0" w:color="000000"/>
              <w:left w:val="single" w:sz="4" w:space="0" w:color="000000"/>
              <w:bottom w:val="single" w:sz="4" w:space="0" w:color="000000"/>
              <w:right w:val="single" w:sz="8" w:space="0" w:color="000000"/>
            </w:tcBorders>
            <w:vAlign w:val="center"/>
          </w:tcPr>
          <w:p w:rsidR="00E8309B" w:rsidRDefault="009D0949">
            <w:pPr>
              <w:spacing w:after="0" w:line="259" w:lineRule="auto"/>
              <w:ind w:left="4" w:right="0" w:firstLine="0"/>
              <w:jc w:val="center"/>
            </w:pPr>
            <w:r>
              <w:rPr>
                <w:sz w:val="20"/>
              </w:rPr>
              <w:t xml:space="preserve"> </w:t>
            </w:r>
          </w:p>
        </w:tc>
        <w:tc>
          <w:tcPr>
            <w:tcW w:w="424" w:type="dxa"/>
            <w:tcBorders>
              <w:top w:val="single" w:sz="4" w:space="0" w:color="000000"/>
              <w:left w:val="single" w:sz="8"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4" w:right="0" w:firstLine="0"/>
              <w:jc w:val="center"/>
            </w:pPr>
            <w:r>
              <w:rPr>
                <w:sz w:val="20"/>
              </w:rPr>
              <w:t xml:space="preserve"> </w:t>
            </w:r>
          </w:p>
        </w:tc>
        <w:tc>
          <w:tcPr>
            <w:tcW w:w="421"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4" w:right="0" w:firstLine="0"/>
              <w:jc w:val="center"/>
            </w:pPr>
            <w:r>
              <w:rPr>
                <w:sz w:val="20"/>
              </w:rPr>
              <w:t xml:space="preserve"> </w:t>
            </w:r>
          </w:p>
        </w:tc>
        <w:tc>
          <w:tcPr>
            <w:tcW w:w="423"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5" w:right="0" w:firstLine="0"/>
              <w:jc w:val="center"/>
            </w:pPr>
            <w:r>
              <w:rPr>
                <w:sz w:val="20"/>
              </w:rPr>
              <w:t xml:space="preserve"> </w:t>
            </w:r>
          </w:p>
        </w:tc>
        <w:tc>
          <w:tcPr>
            <w:tcW w:w="420" w:type="dxa"/>
            <w:tcBorders>
              <w:top w:val="single" w:sz="4" w:space="0" w:color="000000"/>
              <w:left w:val="single" w:sz="4" w:space="0" w:color="000000"/>
              <w:bottom w:val="single" w:sz="4" w:space="0" w:color="000000"/>
              <w:right w:val="single" w:sz="8" w:space="0" w:color="000000"/>
            </w:tcBorders>
            <w:shd w:val="clear" w:color="auto" w:fill="BFBFBF"/>
            <w:vAlign w:val="center"/>
          </w:tcPr>
          <w:p w:rsidR="00E8309B" w:rsidRDefault="009D0949">
            <w:pPr>
              <w:spacing w:after="0" w:line="259" w:lineRule="auto"/>
              <w:ind w:left="2" w:right="0" w:firstLine="0"/>
              <w:jc w:val="center"/>
            </w:pPr>
            <w:r>
              <w:rPr>
                <w:sz w:val="20"/>
              </w:rPr>
              <w:t xml:space="preserve"> </w:t>
            </w:r>
          </w:p>
        </w:tc>
        <w:tc>
          <w:tcPr>
            <w:tcW w:w="424" w:type="dxa"/>
            <w:tcBorders>
              <w:top w:val="single" w:sz="4" w:space="0" w:color="000000"/>
              <w:left w:val="single" w:sz="8" w:space="0" w:color="000000"/>
              <w:bottom w:val="single" w:sz="4" w:space="0" w:color="000000"/>
              <w:right w:val="single" w:sz="4" w:space="0" w:color="000000"/>
            </w:tcBorders>
            <w:vAlign w:val="center"/>
          </w:tcPr>
          <w:p w:rsidR="00E8309B" w:rsidRDefault="009D0949">
            <w:pPr>
              <w:spacing w:after="0" w:line="259" w:lineRule="auto"/>
              <w:ind w:left="4" w:right="0" w:firstLine="0"/>
              <w:jc w:val="center"/>
            </w:pPr>
            <w:r>
              <w:rPr>
                <w:sz w:val="20"/>
              </w:rPr>
              <w:t xml:space="preserve"> </w:t>
            </w:r>
          </w:p>
        </w:tc>
        <w:tc>
          <w:tcPr>
            <w:tcW w:w="422"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2" w:right="0" w:firstLine="0"/>
              <w:jc w:val="center"/>
            </w:pPr>
            <w:r>
              <w:rPr>
                <w:sz w:val="20"/>
              </w:rPr>
              <w:t xml:space="preserve"> </w:t>
            </w:r>
          </w:p>
        </w:tc>
        <w:tc>
          <w:tcPr>
            <w:tcW w:w="422"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2" w:right="0" w:firstLine="0"/>
              <w:jc w:val="center"/>
            </w:pPr>
            <w:r>
              <w:rPr>
                <w:sz w:val="20"/>
              </w:rPr>
              <w:t xml:space="preserve"> </w:t>
            </w:r>
          </w:p>
        </w:tc>
        <w:tc>
          <w:tcPr>
            <w:tcW w:w="420" w:type="dxa"/>
            <w:tcBorders>
              <w:top w:val="single" w:sz="4" w:space="0" w:color="000000"/>
              <w:left w:val="single" w:sz="4" w:space="0" w:color="000000"/>
              <w:bottom w:val="single" w:sz="4" w:space="0" w:color="000000"/>
              <w:right w:val="single" w:sz="8" w:space="0" w:color="000000"/>
            </w:tcBorders>
            <w:vAlign w:val="center"/>
          </w:tcPr>
          <w:p w:rsidR="00E8309B" w:rsidRDefault="009D0949">
            <w:pPr>
              <w:spacing w:after="0" w:line="259" w:lineRule="auto"/>
              <w:ind w:left="5" w:right="0" w:firstLine="0"/>
              <w:jc w:val="center"/>
            </w:pPr>
            <w:r>
              <w:rPr>
                <w:sz w:val="20"/>
              </w:rPr>
              <w:t xml:space="preserve"> </w:t>
            </w:r>
          </w:p>
        </w:tc>
      </w:tr>
      <w:tr w:rsidR="00E8309B">
        <w:trPr>
          <w:trHeight w:val="470"/>
        </w:trPr>
        <w:tc>
          <w:tcPr>
            <w:tcW w:w="427" w:type="dxa"/>
            <w:tcBorders>
              <w:top w:val="single" w:sz="4" w:space="0" w:color="000000"/>
              <w:left w:val="single" w:sz="8" w:space="0" w:color="000000"/>
              <w:bottom w:val="single" w:sz="4" w:space="0" w:color="000000"/>
              <w:right w:val="single" w:sz="8" w:space="0" w:color="000000"/>
            </w:tcBorders>
          </w:tcPr>
          <w:p w:rsidR="00E8309B" w:rsidRDefault="009D0949">
            <w:pPr>
              <w:spacing w:after="0" w:line="259" w:lineRule="auto"/>
              <w:ind w:left="0" w:right="51" w:firstLine="0"/>
              <w:jc w:val="right"/>
            </w:pPr>
            <w:r>
              <w:rPr>
                <w:sz w:val="20"/>
              </w:rPr>
              <w:t xml:space="preserve">5 </w:t>
            </w:r>
          </w:p>
        </w:tc>
        <w:tc>
          <w:tcPr>
            <w:tcW w:w="4123" w:type="dxa"/>
            <w:tcBorders>
              <w:top w:val="single" w:sz="4" w:space="0" w:color="000000"/>
              <w:left w:val="single" w:sz="8" w:space="0" w:color="000000"/>
              <w:bottom w:val="single" w:sz="4" w:space="0" w:color="000000"/>
              <w:right w:val="single" w:sz="8" w:space="0" w:color="000000"/>
            </w:tcBorders>
          </w:tcPr>
          <w:p w:rsidR="00E8309B" w:rsidRDefault="009D0949">
            <w:pPr>
              <w:spacing w:after="0" w:line="259" w:lineRule="auto"/>
              <w:ind w:left="0" w:right="0" w:firstLine="0"/>
              <w:jc w:val="left"/>
            </w:pPr>
            <w:r>
              <w:rPr>
                <w:sz w:val="20"/>
              </w:rPr>
              <w:t xml:space="preserve">Унапређивање система осигурања квалитета примене дигиталних уџбеника </w:t>
            </w:r>
          </w:p>
        </w:tc>
        <w:tc>
          <w:tcPr>
            <w:tcW w:w="419" w:type="dxa"/>
            <w:tcBorders>
              <w:top w:val="single" w:sz="4" w:space="0" w:color="000000"/>
              <w:left w:val="single" w:sz="8" w:space="0" w:color="000000"/>
              <w:bottom w:val="single" w:sz="4" w:space="0" w:color="000000"/>
              <w:right w:val="single" w:sz="4" w:space="0" w:color="000000"/>
            </w:tcBorders>
            <w:vAlign w:val="center"/>
          </w:tcPr>
          <w:p w:rsidR="00E8309B" w:rsidRDefault="009D0949">
            <w:pPr>
              <w:spacing w:after="0" w:line="259" w:lineRule="auto"/>
              <w:ind w:left="1" w:right="0" w:firstLine="0"/>
              <w:jc w:val="center"/>
            </w:pPr>
            <w:r>
              <w:rPr>
                <w:sz w:val="20"/>
              </w:rPr>
              <w:t xml:space="preserve"> </w:t>
            </w:r>
          </w:p>
        </w:tc>
        <w:tc>
          <w:tcPr>
            <w:tcW w:w="421"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1" w:right="0" w:firstLine="0"/>
              <w:jc w:val="center"/>
            </w:pPr>
            <w:r>
              <w:rPr>
                <w:sz w:val="20"/>
              </w:rPr>
              <w:t xml:space="preserve"> </w:t>
            </w:r>
          </w:p>
        </w:tc>
        <w:tc>
          <w:tcPr>
            <w:tcW w:w="422"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2" w:right="0" w:firstLine="0"/>
              <w:jc w:val="center"/>
            </w:pPr>
            <w:r>
              <w:rPr>
                <w:sz w:val="20"/>
              </w:rPr>
              <w:t xml:space="preserve"> </w:t>
            </w:r>
          </w:p>
        </w:tc>
        <w:tc>
          <w:tcPr>
            <w:tcW w:w="421" w:type="dxa"/>
            <w:tcBorders>
              <w:top w:val="single" w:sz="4" w:space="0" w:color="000000"/>
              <w:left w:val="single" w:sz="4" w:space="0" w:color="000000"/>
              <w:bottom w:val="single" w:sz="4" w:space="0" w:color="000000"/>
              <w:right w:val="single" w:sz="8" w:space="0" w:color="000000"/>
            </w:tcBorders>
            <w:vAlign w:val="center"/>
          </w:tcPr>
          <w:p w:rsidR="00E8309B" w:rsidRDefault="009D0949">
            <w:pPr>
              <w:spacing w:after="0" w:line="259" w:lineRule="auto"/>
              <w:ind w:left="4" w:right="0" w:firstLine="0"/>
              <w:jc w:val="center"/>
            </w:pPr>
            <w:r>
              <w:rPr>
                <w:sz w:val="20"/>
              </w:rPr>
              <w:t xml:space="preserve"> </w:t>
            </w:r>
          </w:p>
        </w:tc>
        <w:tc>
          <w:tcPr>
            <w:tcW w:w="424" w:type="dxa"/>
            <w:tcBorders>
              <w:top w:val="single" w:sz="4" w:space="0" w:color="000000"/>
              <w:left w:val="single" w:sz="8"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4" w:right="0" w:firstLine="0"/>
              <w:jc w:val="center"/>
            </w:pPr>
            <w:r>
              <w:rPr>
                <w:sz w:val="20"/>
              </w:rPr>
              <w:t xml:space="preserve"> </w:t>
            </w:r>
          </w:p>
        </w:tc>
        <w:tc>
          <w:tcPr>
            <w:tcW w:w="421"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4" w:right="0" w:firstLine="0"/>
              <w:jc w:val="center"/>
            </w:pPr>
            <w:r>
              <w:rPr>
                <w:sz w:val="20"/>
              </w:rPr>
              <w:t xml:space="preserve"> </w:t>
            </w:r>
          </w:p>
        </w:tc>
        <w:tc>
          <w:tcPr>
            <w:tcW w:w="423"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5" w:right="0" w:firstLine="0"/>
              <w:jc w:val="center"/>
            </w:pPr>
            <w:r>
              <w:rPr>
                <w:sz w:val="20"/>
              </w:rPr>
              <w:t xml:space="preserve"> </w:t>
            </w:r>
          </w:p>
        </w:tc>
        <w:tc>
          <w:tcPr>
            <w:tcW w:w="420" w:type="dxa"/>
            <w:tcBorders>
              <w:top w:val="single" w:sz="4" w:space="0" w:color="000000"/>
              <w:left w:val="single" w:sz="4" w:space="0" w:color="000000"/>
              <w:bottom w:val="single" w:sz="4" w:space="0" w:color="000000"/>
              <w:right w:val="single" w:sz="8" w:space="0" w:color="000000"/>
            </w:tcBorders>
            <w:shd w:val="clear" w:color="auto" w:fill="BFBFBF"/>
            <w:vAlign w:val="center"/>
          </w:tcPr>
          <w:p w:rsidR="00E8309B" w:rsidRDefault="009D0949">
            <w:pPr>
              <w:spacing w:after="0" w:line="259" w:lineRule="auto"/>
              <w:ind w:left="2" w:right="0" w:firstLine="0"/>
              <w:jc w:val="center"/>
            </w:pPr>
            <w:r>
              <w:rPr>
                <w:sz w:val="20"/>
              </w:rPr>
              <w:t xml:space="preserve"> </w:t>
            </w:r>
          </w:p>
        </w:tc>
        <w:tc>
          <w:tcPr>
            <w:tcW w:w="424" w:type="dxa"/>
            <w:tcBorders>
              <w:top w:val="single" w:sz="4" w:space="0" w:color="000000"/>
              <w:left w:val="single" w:sz="8" w:space="0" w:color="000000"/>
              <w:bottom w:val="single" w:sz="4" w:space="0" w:color="000000"/>
              <w:right w:val="single" w:sz="4" w:space="0" w:color="000000"/>
            </w:tcBorders>
            <w:vAlign w:val="center"/>
          </w:tcPr>
          <w:p w:rsidR="00E8309B" w:rsidRDefault="009D0949">
            <w:pPr>
              <w:spacing w:after="0" w:line="259" w:lineRule="auto"/>
              <w:ind w:left="4" w:right="0" w:firstLine="0"/>
              <w:jc w:val="center"/>
            </w:pPr>
            <w:r>
              <w:rPr>
                <w:sz w:val="20"/>
              </w:rPr>
              <w:t xml:space="preserve"> </w:t>
            </w:r>
          </w:p>
        </w:tc>
        <w:tc>
          <w:tcPr>
            <w:tcW w:w="422"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2" w:right="0" w:firstLine="0"/>
              <w:jc w:val="center"/>
            </w:pPr>
            <w:r>
              <w:rPr>
                <w:sz w:val="20"/>
              </w:rPr>
              <w:t xml:space="preserve"> </w:t>
            </w:r>
          </w:p>
        </w:tc>
        <w:tc>
          <w:tcPr>
            <w:tcW w:w="422"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2" w:right="0" w:firstLine="0"/>
              <w:jc w:val="center"/>
            </w:pPr>
            <w:r>
              <w:rPr>
                <w:sz w:val="20"/>
              </w:rPr>
              <w:t xml:space="preserve"> </w:t>
            </w:r>
          </w:p>
        </w:tc>
        <w:tc>
          <w:tcPr>
            <w:tcW w:w="420" w:type="dxa"/>
            <w:tcBorders>
              <w:top w:val="single" w:sz="4" w:space="0" w:color="000000"/>
              <w:left w:val="single" w:sz="4" w:space="0" w:color="000000"/>
              <w:bottom w:val="single" w:sz="4" w:space="0" w:color="000000"/>
              <w:right w:val="single" w:sz="8" w:space="0" w:color="000000"/>
            </w:tcBorders>
            <w:vAlign w:val="center"/>
          </w:tcPr>
          <w:p w:rsidR="00E8309B" w:rsidRDefault="009D0949">
            <w:pPr>
              <w:spacing w:after="0" w:line="259" w:lineRule="auto"/>
              <w:ind w:left="5" w:right="0" w:firstLine="0"/>
              <w:jc w:val="center"/>
            </w:pPr>
            <w:r>
              <w:rPr>
                <w:sz w:val="20"/>
              </w:rPr>
              <w:t xml:space="preserve"> </w:t>
            </w:r>
          </w:p>
        </w:tc>
      </w:tr>
      <w:tr w:rsidR="00E8309B">
        <w:trPr>
          <w:trHeight w:val="468"/>
        </w:trPr>
        <w:tc>
          <w:tcPr>
            <w:tcW w:w="427"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51" w:firstLine="0"/>
              <w:jc w:val="right"/>
            </w:pPr>
            <w:r>
              <w:rPr>
                <w:sz w:val="20"/>
              </w:rPr>
              <w:t xml:space="preserve">6 </w:t>
            </w:r>
          </w:p>
        </w:tc>
        <w:tc>
          <w:tcPr>
            <w:tcW w:w="4123"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0" w:firstLine="0"/>
              <w:jc w:val="left"/>
            </w:pPr>
            <w:r>
              <w:rPr>
                <w:sz w:val="20"/>
              </w:rPr>
              <w:t xml:space="preserve">Развој агрегатора репозиторијума отворених образовних ресурса </w:t>
            </w:r>
          </w:p>
        </w:tc>
        <w:tc>
          <w:tcPr>
            <w:tcW w:w="419"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1" w:right="0" w:firstLine="0"/>
              <w:jc w:val="center"/>
            </w:pPr>
            <w:r>
              <w:rPr>
                <w:b/>
                <w:sz w:val="20"/>
              </w:rPr>
              <w:t xml:space="preserve"> </w:t>
            </w:r>
          </w:p>
        </w:tc>
        <w:tc>
          <w:tcPr>
            <w:tcW w:w="421"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1" w:right="0" w:firstLine="0"/>
              <w:jc w:val="center"/>
            </w:pPr>
            <w:r>
              <w:rPr>
                <w:b/>
                <w:sz w:val="20"/>
              </w:rPr>
              <w:t xml:space="preserve"> </w:t>
            </w:r>
          </w:p>
        </w:tc>
        <w:tc>
          <w:tcPr>
            <w:tcW w:w="422"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2" w:right="0" w:firstLine="0"/>
              <w:jc w:val="center"/>
            </w:pPr>
            <w:r>
              <w:rPr>
                <w:b/>
                <w:sz w:val="20"/>
              </w:rPr>
              <w:t xml:space="preserve"> </w:t>
            </w:r>
          </w:p>
        </w:tc>
        <w:tc>
          <w:tcPr>
            <w:tcW w:w="421"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4" w:right="0" w:firstLine="0"/>
              <w:jc w:val="center"/>
            </w:pPr>
            <w:r>
              <w:rPr>
                <w:b/>
                <w:sz w:val="20"/>
              </w:rPr>
              <w:t xml:space="preserve"> </w:t>
            </w:r>
          </w:p>
        </w:tc>
        <w:tc>
          <w:tcPr>
            <w:tcW w:w="424"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4" w:right="0" w:firstLine="0"/>
              <w:jc w:val="center"/>
            </w:pPr>
            <w:r>
              <w:rPr>
                <w:b/>
                <w:sz w:val="20"/>
              </w:rPr>
              <w:t xml:space="preserve"> </w:t>
            </w:r>
          </w:p>
        </w:tc>
        <w:tc>
          <w:tcPr>
            <w:tcW w:w="421"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4" w:right="0" w:firstLine="0"/>
              <w:jc w:val="center"/>
            </w:pPr>
            <w:r>
              <w:rPr>
                <w:b/>
                <w:sz w:val="20"/>
              </w:rPr>
              <w:t xml:space="preserve"> </w:t>
            </w:r>
          </w:p>
        </w:tc>
        <w:tc>
          <w:tcPr>
            <w:tcW w:w="423"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5" w:right="0" w:firstLine="0"/>
              <w:jc w:val="center"/>
            </w:pPr>
            <w:r>
              <w:rPr>
                <w:b/>
                <w:sz w:val="20"/>
              </w:rPr>
              <w:t xml:space="preserve"> </w:t>
            </w:r>
          </w:p>
        </w:tc>
        <w:tc>
          <w:tcPr>
            <w:tcW w:w="420"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2" w:right="0" w:firstLine="0"/>
              <w:jc w:val="center"/>
            </w:pPr>
            <w:r>
              <w:rPr>
                <w:b/>
                <w:sz w:val="20"/>
              </w:rPr>
              <w:t xml:space="preserve"> </w:t>
            </w:r>
          </w:p>
        </w:tc>
        <w:tc>
          <w:tcPr>
            <w:tcW w:w="424"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4" w:right="0" w:firstLine="0"/>
              <w:jc w:val="center"/>
            </w:pPr>
            <w:r>
              <w:rPr>
                <w:b/>
                <w:sz w:val="20"/>
              </w:rPr>
              <w:t xml:space="preserve"> </w:t>
            </w:r>
          </w:p>
        </w:tc>
        <w:tc>
          <w:tcPr>
            <w:tcW w:w="422"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2" w:right="0" w:firstLine="0"/>
              <w:jc w:val="center"/>
            </w:pPr>
            <w:r>
              <w:rPr>
                <w:b/>
                <w:sz w:val="20"/>
              </w:rPr>
              <w:t xml:space="preserve"> </w:t>
            </w:r>
          </w:p>
        </w:tc>
        <w:tc>
          <w:tcPr>
            <w:tcW w:w="422"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2" w:right="0" w:firstLine="0"/>
              <w:jc w:val="center"/>
            </w:pPr>
            <w:r>
              <w:rPr>
                <w:b/>
                <w:sz w:val="20"/>
              </w:rPr>
              <w:t xml:space="preserve"> </w:t>
            </w:r>
          </w:p>
        </w:tc>
        <w:tc>
          <w:tcPr>
            <w:tcW w:w="420"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E8309B" w:rsidRDefault="009D0949">
            <w:pPr>
              <w:spacing w:after="0" w:line="259" w:lineRule="auto"/>
              <w:ind w:left="5" w:right="0" w:firstLine="0"/>
              <w:jc w:val="center"/>
            </w:pPr>
            <w:r>
              <w:rPr>
                <w:b/>
                <w:sz w:val="20"/>
              </w:rPr>
              <w:t xml:space="preserve"> </w:t>
            </w:r>
          </w:p>
        </w:tc>
      </w:tr>
    </w:tbl>
    <w:p w:rsidR="00E8309B" w:rsidRDefault="009D0949">
      <w:pPr>
        <w:spacing w:after="216" w:line="259" w:lineRule="auto"/>
        <w:ind w:left="0" w:right="0" w:firstLine="0"/>
        <w:jc w:val="left"/>
      </w:pPr>
      <w:r>
        <w:rPr>
          <w:b/>
        </w:rPr>
        <w:t xml:space="preserve"> </w:t>
      </w:r>
    </w:p>
    <w:p w:rsidR="00E8309B" w:rsidRDefault="009D0949">
      <w:pPr>
        <w:spacing w:after="0" w:line="259" w:lineRule="auto"/>
        <w:ind w:left="0" w:right="0" w:firstLine="0"/>
        <w:jc w:val="left"/>
      </w:pPr>
      <w:r>
        <w:rPr>
          <w:b/>
        </w:rPr>
        <w:t xml:space="preserve"> </w:t>
      </w:r>
    </w:p>
    <w:p w:rsidR="00E8309B" w:rsidRDefault="009D0949">
      <w:pPr>
        <w:numPr>
          <w:ilvl w:val="0"/>
          <w:numId w:val="46"/>
        </w:numPr>
        <w:spacing w:after="0" w:line="271" w:lineRule="auto"/>
        <w:ind w:right="9" w:hanging="427"/>
      </w:pPr>
      <w:r>
        <w:rPr>
          <w:b/>
        </w:rPr>
        <w:t xml:space="preserve">Индикатори рeзултата </w:t>
      </w:r>
    </w:p>
    <w:tbl>
      <w:tblPr>
        <w:tblStyle w:val="TableGrid"/>
        <w:tblW w:w="9635" w:type="dxa"/>
        <w:tblInd w:w="5" w:type="dxa"/>
        <w:tblCellMar>
          <w:top w:w="48" w:type="dxa"/>
          <w:left w:w="29" w:type="dxa"/>
          <w:bottom w:w="0" w:type="dxa"/>
          <w:right w:w="56" w:type="dxa"/>
        </w:tblCellMar>
        <w:tblLook w:val="04A0" w:firstRow="1" w:lastRow="0" w:firstColumn="1" w:lastColumn="0" w:noHBand="0" w:noVBand="1"/>
      </w:tblPr>
      <w:tblGrid>
        <w:gridCol w:w="82"/>
        <w:gridCol w:w="3948"/>
        <w:gridCol w:w="77"/>
        <w:gridCol w:w="1841"/>
        <w:gridCol w:w="1844"/>
        <w:gridCol w:w="1843"/>
      </w:tblGrid>
      <w:tr w:rsidR="00E8309B">
        <w:trPr>
          <w:trHeight w:val="701"/>
        </w:trPr>
        <w:tc>
          <w:tcPr>
            <w:tcW w:w="4030" w:type="dxa"/>
            <w:gridSpan w:val="2"/>
            <w:tcBorders>
              <w:top w:val="single" w:sz="4" w:space="0" w:color="000000"/>
              <w:left w:val="single" w:sz="4" w:space="0" w:color="000000"/>
              <w:bottom w:val="single" w:sz="4" w:space="0" w:color="000000"/>
              <w:right w:val="nil"/>
            </w:tcBorders>
            <w:vAlign w:val="center"/>
          </w:tcPr>
          <w:p w:rsidR="00E8309B" w:rsidRDefault="009D0949">
            <w:pPr>
              <w:spacing w:after="0" w:line="259" w:lineRule="auto"/>
              <w:ind w:left="82" w:right="0" w:firstLine="0"/>
              <w:jc w:val="left"/>
            </w:pPr>
            <w:r>
              <w:rPr>
                <w:b/>
                <w:sz w:val="20"/>
              </w:rPr>
              <w:t xml:space="preserve">Показатељ </w:t>
            </w:r>
          </w:p>
        </w:tc>
        <w:tc>
          <w:tcPr>
            <w:tcW w:w="77" w:type="dxa"/>
            <w:tcBorders>
              <w:top w:val="single" w:sz="4" w:space="0" w:color="000000"/>
              <w:left w:val="nil"/>
              <w:bottom w:val="single" w:sz="4" w:space="0" w:color="000000"/>
              <w:right w:val="single" w:sz="4" w:space="0" w:color="000000"/>
            </w:tcBorders>
          </w:tcPr>
          <w:p w:rsidR="00E8309B" w:rsidRDefault="00E8309B">
            <w:pPr>
              <w:spacing w:after="160" w:line="259" w:lineRule="auto"/>
              <w:ind w:left="0" w:right="0" w:firstLine="0"/>
              <w:jc w:val="left"/>
            </w:pPr>
          </w:p>
        </w:tc>
        <w:tc>
          <w:tcPr>
            <w:tcW w:w="1841"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81" w:lineRule="auto"/>
              <w:ind w:left="102" w:right="25" w:firstLine="0"/>
              <w:jc w:val="center"/>
            </w:pPr>
            <w:r>
              <w:rPr>
                <w:b/>
                <w:sz w:val="20"/>
              </w:rPr>
              <w:t xml:space="preserve">Почетна вредност </w:t>
            </w:r>
          </w:p>
          <w:p w:rsidR="00E8309B" w:rsidRDefault="009D0949">
            <w:pPr>
              <w:spacing w:after="0" w:line="259" w:lineRule="auto"/>
              <w:ind w:left="30" w:right="0" w:firstLine="0"/>
              <w:jc w:val="center"/>
            </w:pPr>
            <w:r>
              <w:rPr>
                <w:b/>
                <w:sz w:val="20"/>
              </w:rPr>
              <w:t xml:space="preserve">(2019 година) </w:t>
            </w:r>
          </w:p>
        </w:tc>
        <w:tc>
          <w:tcPr>
            <w:tcW w:w="1844"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24" w:right="0" w:firstLine="0"/>
              <w:jc w:val="center"/>
            </w:pPr>
            <w:r>
              <w:rPr>
                <w:b/>
                <w:sz w:val="20"/>
              </w:rPr>
              <w:t xml:space="preserve">Међурезултат (2021 година) </w:t>
            </w:r>
          </w:p>
        </w:tc>
        <w:tc>
          <w:tcPr>
            <w:tcW w:w="1843"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0" w:right="0" w:firstLine="0"/>
              <w:jc w:val="center"/>
            </w:pPr>
            <w:r>
              <w:rPr>
                <w:b/>
                <w:sz w:val="20"/>
              </w:rPr>
              <w:t xml:space="preserve">Циљна вредност (2023 година) </w:t>
            </w:r>
          </w:p>
        </w:tc>
      </w:tr>
      <w:tr w:rsidR="00E8309B">
        <w:trPr>
          <w:trHeight w:val="701"/>
        </w:trPr>
        <w:tc>
          <w:tcPr>
            <w:tcW w:w="4030" w:type="dxa"/>
            <w:gridSpan w:val="2"/>
            <w:tcBorders>
              <w:top w:val="single" w:sz="4" w:space="0" w:color="000000"/>
              <w:left w:val="single" w:sz="4" w:space="0" w:color="000000"/>
              <w:bottom w:val="single" w:sz="4" w:space="0" w:color="000000"/>
              <w:right w:val="nil"/>
            </w:tcBorders>
          </w:tcPr>
          <w:p w:rsidR="00E8309B" w:rsidRDefault="009D0949">
            <w:pPr>
              <w:spacing w:after="0" w:line="259" w:lineRule="auto"/>
              <w:ind w:left="82" w:right="0" w:firstLine="0"/>
              <w:jc w:val="left"/>
            </w:pPr>
            <w:r>
              <w:rPr>
                <w:sz w:val="20"/>
              </w:rPr>
              <w:t xml:space="preserve">Број акредитованих студијских програма и програма наставе и учења из области ИКТ-а и програмирања  </w:t>
            </w:r>
          </w:p>
        </w:tc>
        <w:tc>
          <w:tcPr>
            <w:tcW w:w="77" w:type="dxa"/>
            <w:tcBorders>
              <w:top w:val="single" w:sz="4" w:space="0" w:color="000000"/>
              <w:left w:val="nil"/>
              <w:bottom w:val="single" w:sz="4" w:space="0" w:color="000000"/>
              <w:right w:val="single" w:sz="4" w:space="0" w:color="000000"/>
            </w:tcBorders>
          </w:tcPr>
          <w:p w:rsidR="00E8309B" w:rsidRDefault="00E8309B">
            <w:pPr>
              <w:spacing w:after="160" w:line="259" w:lineRule="auto"/>
              <w:ind w:left="0" w:right="0" w:firstLine="0"/>
              <w:jc w:val="left"/>
            </w:pPr>
          </w:p>
        </w:tc>
        <w:tc>
          <w:tcPr>
            <w:tcW w:w="1841"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49" w:firstLine="0"/>
              <w:jc w:val="right"/>
            </w:pPr>
            <w:r>
              <w:rPr>
                <w:sz w:val="20"/>
              </w:rPr>
              <w:t xml:space="preserve">692 </w:t>
            </w:r>
          </w:p>
        </w:tc>
        <w:tc>
          <w:tcPr>
            <w:tcW w:w="1844"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49" w:firstLine="0"/>
              <w:jc w:val="right"/>
            </w:pPr>
            <w:r>
              <w:rPr>
                <w:sz w:val="20"/>
              </w:rPr>
              <w:t xml:space="preserve">735 </w:t>
            </w:r>
          </w:p>
        </w:tc>
        <w:tc>
          <w:tcPr>
            <w:tcW w:w="1843"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49" w:firstLine="0"/>
              <w:jc w:val="right"/>
            </w:pPr>
            <w:r>
              <w:rPr>
                <w:sz w:val="20"/>
              </w:rPr>
              <w:t xml:space="preserve">737 </w:t>
            </w:r>
          </w:p>
        </w:tc>
      </w:tr>
      <w:tr w:rsidR="00E8309B">
        <w:trPr>
          <w:trHeight w:val="698"/>
        </w:trPr>
        <w:tc>
          <w:tcPr>
            <w:tcW w:w="4030" w:type="dxa"/>
            <w:gridSpan w:val="2"/>
            <w:tcBorders>
              <w:top w:val="single" w:sz="4" w:space="0" w:color="000000"/>
              <w:left w:val="single" w:sz="4" w:space="0" w:color="000000"/>
              <w:bottom w:val="single" w:sz="4" w:space="0" w:color="000000"/>
              <w:right w:val="nil"/>
            </w:tcBorders>
          </w:tcPr>
          <w:p w:rsidR="00E8309B" w:rsidRDefault="009D0949">
            <w:pPr>
              <w:spacing w:after="0" w:line="277" w:lineRule="auto"/>
              <w:ind w:left="82" w:right="0" w:firstLine="0"/>
              <w:jc w:val="left"/>
            </w:pPr>
            <w:r>
              <w:rPr>
                <w:sz w:val="20"/>
              </w:rPr>
              <w:t xml:space="preserve">Број генерисаних извештаја из система ЈИСП  </w:t>
            </w:r>
          </w:p>
          <w:p w:rsidR="00E8309B" w:rsidRDefault="009D0949">
            <w:pPr>
              <w:spacing w:after="0" w:line="259" w:lineRule="auto"/>
              <w:ind w:left="82" w:right="0" w:firstLine="0"/>
              <w:jc w:val="left"/>
            </w:pPr>
            <w:r>
              <w:rPr>
                <w:sz w:val="20"/>
              </w:rPr>
              <w:t>Извор верификације: Регистри (ЈИСП)</w:t>
            </w:r>
            <w:r>
              <w:rPr>
                <w:b/>
                <w:sz w:val="20"/>
              </w:rPr>
              <w:t xml:space="preserve"> </w:t>
            </w:r>
          </w:p>
        </w:tc>
        <w:tc>
          <w:tcPr>
            <w:tcW w:w="77" w:type="dxa"/>
            <w:tcBorders>
              <w:top w:val="single" w:sz="4" w:space="0" w:color="000000"/>
              <w:left w:val="nil"/>
              <w:bottom w:val="single" w:sz="4" w:space="0" w:color="000000"/>
              <w:right w:val="single" w:sz="4" w:space="0" w:color="000000"/>
            </w:tcBorders>
          </w:tcPr>
          <w:p w:rsidR="00E8309B" w:rsidRDefault="00E8309B">
            <w:pPr>
              <w:spacing w:after="160" w:line="259" w:lineRule="auto"/>
              <w:ind w:left="0" w:right="0" w:firstLine="0"/>
              <w:jc w:val="left"/>
            </w:pPr>
          </w:p>
        </w:tc>
        <w:tc>
          <w:tcPr>
            <w:tcW w:w="1841"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51" w:firstLine="0"/>
              <w:jc w:val="right"/>
            </w:pPr>
            <w:r>
              <w:rPr>
                <w:sz w:val="20"/>
              </w:rPr>
              <w:t>6</w:t>
            </w:r>
            <w:r>
              <w:rPr>
                <w:b/>
                <w:sz w:val="20"/>
              </w:rPr>
              <w:t xml:space="preserve"> </w:t>
            </w:r>
          </w:p>
        </w:tc>
        <w:tc>
          <w:tcPr>
            <w:tcW w:w="1844"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49" w:firstLine="0"/>
              <w:jc w:val="right"/>
            </w:pPr>
            <w:r>
              <w:rPr>
                <w:sz w:val="20"/>
              </w:rPr>
              <w:t>10</w:t>
            </w:r>
            <w:r>
              <w:rPr>
                <w:b/>
                <w:sz w:val="20"/>
              </w:rPr>
              <w:t xml:space="preserve"> </w:t>
            </w:r>
          </w:p>
        </w:tc>
        <w:tc>
          <w:tcPr>
            <w:tcW w:w="1843"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49" w:firstLine="0"/>
              <w:jc w:val="right"/>
            </w:pPr>
            <w:r>
              <w:rPr>
                <w:sz w:val="20"/>
              </w:rPr>
              <w:t>20</w:t>
            </w:r>
            <w:r>
              <w:rPr>
                <w:b/>
                <w:sz w:val="20"/>
              </w:rPr>
              <w:t xml:space="preserve"> </w:t>
            </w:r>
          </w:p>
        </w:tc>
      </w:tr>
      <w:tr w:rsidR="00E8309B">
        <w:trPr>
          <w:trHeight w:val="1162"/>
        </w:trPr>
        <w:tc>
          <w:tcPr>
            <w:tcW w:w="4030" w:type="dxa"/>
            <w:gridSpan w:val="2"/>
            <w:tcBorders>
              <w:top w:val="single" w:sz="4" w:space="0" w:color="000000"/>
              <w:left w:val="single" w:sz="4" w:space="0" w:color="000000"/>
              <w:bottom w:val="single" w:sz="4" w:space="0" w:color="000000"/>
              <w:right w:val="nil"/>
            </w:tcBorders>
          </w:tcPr>
          <w:p w:rsidR="00E8309B" w:rsidRDefault="009D0949">
            <w:pPr>
              <w:spacing w:after="0" w:line="259" w:lineRule="auto"/>
              <w:ind w:left="82" w:right="0" w:firstLine="0"/>
              <w:jc w:val="left"/>
            </w:pPr>
            <w:r>
              <w:rPr>
                <w:sz w:val="20"/>
              </w:rPr>
              <w:t xml:space="preserve">Развијен национални оквир свеобухватних политика за делотворно коришћење дигиталних технологија у образовним установама са јасно дефинисаним стандардима  </w:t>
            </w:r>
          </w:p>
        </w:tc>
        <w:tc>
          <w:tcPr>
            <w:tcW w:w="77" w:type="dxa"/>
            <w:tcBorders>
              <w:top w:val="single" w:sz="4" w:space="0" w:color="000000"/>
              <w:left w:val="nil"/>
              <w:bottom w:val="single" w:sz="4" w:space="0" w:color="000000"/>
              <w:right w:val="single" w:sz="4" w:space="0" w:color="000000"/>
            </w:tcBorders>
          </w:tcPr>
          <w:p w:rsidR="00E8309B" w:rsidRDefault="00E8309B">
            <w:pPr>
              <w:spacing w:after="160" w:line="259" w:lineRule="auto"/>
              <w:ind w:left="0" w:right="0" w:firstLine="0"/>
              <w:jc w:val="left"/>
            </w:pPr>
          </w:p>
        </w:tc>
        <w:tc>
          <w:tcPr>
            <w:tcW w:w="1841"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51" w:firstLine="0"/>
              <w:jc w:val="right"/>
            </w:pPr>
            <w:r>
              <w:rPr>
                <w:sz w:val="20"/>
              </w:rPr>
              <w:t xml:space="preserve">1 </w:t>
            </w:r>
          </w:p>
        </w:tc>
        <w:tc>
          <w:tcPr>
            <w:tcW w:w="1844"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51" w:firstLine="0"/>
              <w:jc w:val="right"/>
            </w:pPr>
            <w:r>
              <w:rPr>
                <w:sz w:val="20"/>
              </w:rPr>
              <w:t xml:space="preserve">3 </w:t>
            </w:r>
          </w:p>
        </w:tc>
        <w:tc>
          <w:tcPr>
            <w:tcW w:w="1843"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51" w:firstLine="0"/>
              <w:jc w:val="right"/>
            </w:pPr>
            <w:r>
              <w:rPr>
                <w:sz w:val="20"/>
              </w:rPr>
              <w:t xml:space="preserve">3 </w:t>
            </w:r>
          </w:p>
        </w:tc>
      </w:tr>
      <w:tr w:rsidR="00E8309B">
        <w:trPr>
          <w:trHeight w:val="472"/>
        </w:trPr>
        <w:tc>
          <w:tcPr>
            <w:tcW w:w="4030" w:type="dxa"/>
            <w:gridSpan w:val="2"/>
            <w:tcBorders>
              <w:top w:val="single" w:sz="4" w:space="0" w:color="000000"/>
              <w:left w:val="single" w:sz="4" w:space="0" w:color="000000"/>
              <w:bottom w:val="single" w:sz="4" w:space="0" w:color="000000"/>
              <w:right w:val="nil"/>
            </w:tcBorders>
          </w:tcPr>
          <w:p w:rsidR="00E8309B" w:rsidRDefault="009D0949">
            <w:pPr>
              <w:spacing w:after="20" w:line="259" w:lineRule="auto"/>
              <w:ind w:left="82" w:right="0" w:firstLine="0"/>
              <w:jc w:val="left"/>
            </w:pPr>
            <w:r>
              <w:rPr>
                <w:sz w:val="20"/>
              </w:rPr>
              <w:t xml:space="preserve">Број дигиталних учионица </w:t>
            </w:r>
          </w:p>
          <w:p w:rsidR="00E8309B" w:rsidRDefault="009D0949">
            <w:pPr>
              <w:spacing w:after="0" w:line="259" w:lineRule="auto"/>
              <w:ind w:left="82" w:right="0" w:firstLine="0"/>
              <w:jc w:val="left"/>
            </w:pPr>
            <w:r>
              <w:rPr>
                <w:sz w:val="20"/>
              </w:rPr>
              <w:t xml:space="preserve">Извор верификације: Извештај МПНТР </w:t>
            </w:r>
          </w:p>
        </w:tc>
        <w:tc>
          <w:tcPr>
            <w:tcW w:w="77" w:type="dxa"/>
            <w:tcBorders>
              <w:top w:val="single" w:sz="4" w:space="0" w:color="000000"/>
              <w:left w:val="nil"/>
              <w:bottom w:val="single" w:sz="4" w:space="0" w:color="000000"/>
              <w:right w:val="single" w:sz="4" w:space="0" w:color="000000"/>
            </w:tcBorders>
          </w:tcPr>
          <w:p w:rsidR="00E8309B" w:rsidRDefault="00E8309B">
            <w:pPr>
              <w:spacing w:after="160" w:line="259" w:lineRule="auto"/>
              <w:ind w:left="0" w:right="0" w:firstLine="0"/>
              <w:jc w:val="left"/>
            </w:pPr>
          </w:p>
        </w:tc>
        <w:tc>
          <w:tcPr>
            <w:tcW w:w="1841"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49" w:firstLine="0"/>
              <w:jc w:val="right"/>
            </w:pPr>
            <w:r>
              <w:rPr>
                <w:sz w:val="20"/>
              </w:rPr>
              <w:t>10.000</w:t>
            </w:r>
            <w:r>
              <w:rPr>
                <w:b/>
                <w:sz w:val="20"/>
              </w:rPr>
              <w:t xml:space="preserve"> </w:t>
            </w:r>
          </w:p>
        </w:tc>
        <w:tc>
          <w:tcPr>
            <w:tcW w:w="1844"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50" w:firstLine="0"/>
              <w:jc w:val="right"/>
            </w:pPr>
            <w:r>
              <w:rPr>
                <w:sz w:val="20"/>
              </w:rPr>
              <w:t>31.500</w:t>
            </w:r>
            <w:r>
              <w:rPr>
                <w:b/>
                <w:sz w:val="20"/>
              </w:rPr>
              <w:t xml:space="preserve"> </w:t>
            </w:r>
          </w:p>
        </w:tc>
        <w:tc>
          <w:tcPr>
            <w:tcW w:w="1843"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50" w:firstLine="0"/>
              <w:jc w:val="right"/>
            </w:pPr>
            <w:r>
              <w:rPr>
                <w:sz w:val="20"/>
              </w:rPr>
              <w:t>31.500</w:t>
            </w:r>
            <w:r>
              <w:rPr>
                <w:b/>
                <w:sz w:val="20"/>
              </w:rPr>
              <w:t xml:space="preserve"> </w:t>
            </w:r>
          </w:p>
        </w:tc>
      </w:tr>
      <w:tr w:rsidR="00E8309B">
        <w:trPr>
          <w:trHeight w:val="696"/>
        </w:trPr>
        <w:tc>
          <w:tcPr>
            <w:tcW w:w="82" w:type="dxa"/>
            <w:tcBorders>
              <w:top w:val="single" w:sz="4" w:space="0" w:color="000000"/>
              <w:left w:val="single" w:sz="4" w:space="0" w:color="000000"/>
              <w:bottom w:val="single" w:sz="4" w:space="0" w:color="000000"/>
              <w:right w:val="nil"/>
            </w:tcBorders>
          </w:tcPr>
          <w:p w:rsidR="00E8309B" w:rsidRDefault="00E8309B">
            <w:pPr>
              <w:spacing w:after="160" w:line="259" w:lineRule="auto"/>
              <w:ind w:left="0" w:right="0" w:firstLine="0"/>
              <w:jc w:val="left"/>
            </w:pPr>
          </w:p>
        </w:tc>
        <w:tc>
          <w:tcPr>
            <w:tcW w:w="3948" w:type="dxa"/>
            <w:tcBorders>
              <w:top w:val="single" w:sz="4" w:space="0" w:color="000000"/>
              <w:left w:val="nil"/>
              <w:bottom w:val="single" w:sz="4" w:space="0" w:color="000000"/>
              <w:right w:val="nil"/>
            </w:tcBorders>
            <w:shd w:val="clear" w:color="auto" w:fill="FDFDFD"/>
          </w:tcPr>
          <w:p w:rsidR="00E8309B" w:rsidRDefault="009D0949">
            <w:pPr>
              <w:spacing w:after="4" w:line="279" w:lineRule="auto"/>
              <w:ind w:left="0" w:right="0" w:firstLine="0"/>
              <w:jc w:val="left"/>
            </w:pPr>
            <w:r>
              <w:rPr>
                <w:sz w:val="20"/>
              </w:rPr>
              <w:t>Број нових рачунара у рачунарским кабинетима</w:t>
            </w:r>
            <w:r>
              <w:rPr>
                <w:rFonts w:ascii="Arial" w:eastAsia="Arial" w:hAnsi="Arial" w:cs="Arial"/>
                <w:sz w:val="20"/>
              </w:rPr>
              <w:t xml:space="preserve"> </w:t>
            </w:r>
          </w:p>
          <w:p w:rsidR="00E8309B" w:rsidRDefault="009D0949">
            <w:pPr>
              <w:spacing w:after="0" w:line="259" w:lineRule="auto"/>
              <w:ind w:left="0" w:right="0" w:firstLine="0"/>
              <w:jc w:val="left"/>
            </w:pPr>
            <w:r>
              <w:rPr>
                <w:sz w:val="20"/>
              </w:rPr>
              <w:t>Извор верификације: Извештај МПНТР</w:t>
            </w:r>
            <w:r>
              <w:rPr>
                <w:rFonts w:ascii="Arial" w:eastAsia="Arial" w:hAnsi="Arial" w:cs="Arial"/>
                <w:sz w:val="20"/>
              </w:rPr>
              <w:t xml:space="preserve"> </w:t>
            </w:r>
          </w:p>
        </w:tc>
        <w:tc>
          <w:tcPr>
            <w:tcW w:w="77" w:type="dxa"/>
            <w:tcBorders>
              <w:top w:val="single" w:sz="4" w:space="0" w:color="000000"/>
              <w:left w:val="nil"/>
              <w:bottom w:val="single" w:sz="4" w:space="0" w:color="000000"/>
              <w:right w:val="single" w:sz="4" w:space="0" w:color="000000"/>
            </w:tcBorders>
          </w:tcPr>
          <w:p w:rsidR="00E8309B" w:rsidRDefault="00E8309B">
            <w:pPr>
              <w:spacing w:after="160" w:line="259" w:lineRule="auto"/>
              <w:ind w:left="0" w:right="0" w:firstLine="0"/>
              <w:jc w:val="left"/>
            </w:pPr>
          </w:p>
        </w:tc>
        <w:tc>
          <w:tcPr>
            <w:tcW w:w="1841"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51" w:firstLine="0"/>
              <w:jc w:val="right"/>
            </w:pPr>
            <w:r>
              <w:rPr>
                <w:sz w:val="20"/>
              </w:rPr>
              <w:t xml:space="preserve">0 </w:t>
            </w:r>
          </w:p>
        </w:tc>
        <w:tc>
          <w:tcPr>
            <w:tcW w:w="1844"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50" w:firstLine="0"/>
              <w:jc w:val="right"/>
            </w:pPr>
            <w:r>
              <w:rPr>
                <w:sz w:val="20"/>
              </w:rPr>
              <w:t xml:space="preserve">27.000 </w:t>
            </w:r>
          </w:p>
        </w:tc>
        <w:tc>
          <w:tcPr>
            <w:tcW w:w="1843"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50" w:firstLine="0"/>
              <w:jc w:val="right"/>
            </w:pPr>
            <w:r>
              <w:rPr>
                <w:sz w:val="20"/>
              </w:rPr>
              <w:t xml:space="preserve">40.000 </w:t>
            </w:r>
          </w:p>
        </w:tc>
      </w:tr>
      <w:tr w:rsidR="00E8309B">
        <w:trPr>
          <w:trHeight w:val="1163"/>
        </w:trPr>
        <w:tc>
          <w:tcPr>
            <w:tcW w:w="4030" w:type="dxa"/>
            <w:gridSpan w:val="2"/>
            <w:tcBorders>
              <w:top w:val="single" w:sz="4" w:space="0" w:color="000000"/>
              <w:left w:val="single" w:sz="4" w:space="0" w:color="000000"/>
              <w:bottom w:val="single" w:sz="4" w:space="0" w:color="000000"/>
              <w:right w:val="nil"/>
            </w:tcBorders>
          </w:tcPr>
          <w:p w:rsidR="00E8309B" w:rsidRDefault="009D0949">
            <w:pPr>
              <w:spacing w:after="0" w:line="259" w:lineRule="auto"/>
              <w:ind w:left="82" w:right="0" w:firstLine="0"/>
              <w:jc w:val="left"/>
            </w:pPr>
            <w:r>
              <w:rPr>
                <w:sz w:val="20"/>
              </w:rPr>
              <w:t xml:space="preserve">Отворени образовни ресурси доступни у оквиру репозиторијума отворених образовних ресурса. </w:t>
            </w:r>
          </w:p>
          <w:p w:rsidR="00E8309B" w:rsidRDefault="009D0949">
            <w:pPr>
              <w:spacing w:after="0" w:line="259" w:lineRule="auto"/>
              <w:ind w:left="82" w:right="0" w:firstLine="0"/>
            </w:pPr>
            <w:r>
              <w:rPr>
                <w:sz w:val="20"/>
              </w:rPr>
              <w:t xml:space="preserve">Извор верификације: Репозиторијум отворених образовних ресурса. </w:t>
            </w:r>
          </w:p>
        </w:tc>
        <w:tc>
          <w:tcPr>
            <w:tcW w:w="77" w:type="dxa"/>
            <w:tcBorders>
              <w:top w:val="single" w:sz="4" w:space="0" w:color="000000"/>
              <w:left w:val="nil"/>
              <w:bottom w:val="single" w:sz="4" w:space="0" w:color="000000"/>
              <w:right w:val="single" w:sz="4" w:space="0" w:color="000000"/>
            </w:tcBorders>
          </w:tcPr>
          <w:p w:rsidR="00E8309B" w:rsidRDefault="00E8309B">
            <w:pPr>
              <w:spacing w:after="160" w:line="259" w:lineRule="auto"/>
              <w:ind w:left="0" w:right="0" w:firstLine="0"/>
              <w:jc w:val="left"/>
            </w:pPr>
          </w:p>
        </w:tc>
        <w:tc>
          <w:tcPr>
            <w:tcW w:w="1841"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51" w:firstLine="0"/>
              <w:jc w:val="right"/>
            </w:pPr>
            <w:r>
              <w:rPr>
                <w:sz w:val="20"/>
              </w:rPr>
              <w:t xml:space="preserve">0 </w:t>
            </w:r>
          </w:p>
        </w:tc>
        <w:tc>
          <w:tcPr>
            <w:tcW w:w="1844"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51" w:firstLine="0"/>
              <w:jc w:val="right"/>
            </w:pPr>
            <w:r>
              <w:rPr>
                <w:sz w:val="20"/>
              </w:rPr>
              <w:t xml:space="preserve">3 </w:t>
            </w:r>
          </w:p>
        </w:tc>
        <w:tc>
          <w:tcPr>
            <w:tcW w:w="1843"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51" w:firstLine="0"/>
              <w:jc w:val="right"/>
            </w:pPr>
            <w:r>
              <w:rPr>
                <w:sz w:val="20"/>
              </w:rPr>
              <w:t xml:space="preserve">5 </w:t>
            </w:r>
          </w:p>
        </w:tc>
      </w:tr>
    </w:tbl>
    <w:p w:rsidR="00E8309B" w:rsidRDefault="009D0949">
      <w:pPr>
        <w:numPr>
          <w:ilvl w:val="0"/>
          <w:numId w:val="46"/>
        </w:numPr>
        <w:spacing w:after="79" w:line="271" w:lineRule="auto"/>
        <w:ind w:right="9" w:hanging="427"/>
      </w:pPr>
      <w:r>
        <w:rPr>
          <w:b/>
        </w:rPr>
        <w:t xml:space="preserve">Очекивани утицај на конкурентност </w:t>
      </w:r>
    </w:p>
    <w:p w:rsidR="00E8309B" w:rsidRDefault="009D0949">
      <w:pPr>
        <w:spacing w:after="160"/>
        <w:ind w:left="-5" w:right="17"/>
      </w:pPr>
      <w:r>
        <w:t>Имплементација дигитализације образовања на нивоу средњег и високог образовања допринеће унапређивању дигиталних компетенција свих учесника процеса, што ће осигурати лакшу и бржу интеграцију средњошколаца, студената и наставног кадра у свет рада, као и уна</w:t>
      </w:r>
      <w:r>
        <w:t>пређивање конкурентности привредних субјеката који послују у Србији. Већој релевантности система образовања допринеће и успостављање Јединственог информационог система просвете, који ће коришћењем савремених информационих технологија, омогућити подизање кв</w:t>
      </w:r>
      <w:r>
        <w:t xml:space="preserve">алитета, ефикасности, ефективности и економичности образовања, као и прецизно праћење прогреса рада, већу транспарентност у раду, могућност рационалног планирања ресурса и будућих инвестиција. </w:t>
      </w:r>
    </w:p>
    <w:p w:rsidR="00E8309B" w:rsidRDefault="009D0949">
      <w:pPr>
        <w:numPr>
          <w:ilvl w:val="0"/>
          <w:numId w:val="46"/>
        </w:numPr>
        <w:spacing w:after="122" w:line="271" w:lineRule="auto"/>
        <w:ind w:right="9" w:hanging="427"/>
      </w:pPr>
      <w:r>
        <w:rPr>
          <w:b/>
        </w:rPr>
        <w:t xml:space="preserve">Процењени трошкови спровођења структурне реформе и предвиђени </w:t>
      </w:r>
      <w:r>
        <w:rPr>
          <w:b/>
        </w:rPr>
        <w:t xml:space="preserve">извори њиховог финансирања </w:t>
      </w:r>
    </w:p>
    <w:p w:rsidR="00E8309B" w:rsidRDefault="009D0949">
      <w:pPr>
        <w:spacing w:after="159"/>
        <w:ind w:left="-5" w:right="17"/>
      </w:pPr>
      <w:r>
        <w:t xml:space="preserve"> Финансијска средства за развој и имплементацију ЈИСП-а обезбеђена су у оквиру буџета Канцеларије за информационе технологије и електронску управу. За развој агрегатора репозиторијума отворених образовних ресурса у 2021. години </w:t>
      </w:r>
      <w:r>
        <w:t>планирана су средства у Буџету Републике Србије у износу од 10.000 евра. За набавку рачунарске опреме за дигиталне учионице, лаптоп рачунаре за наставнике и рачунара за рачунарске кабинете у основним и средњим школама обезбеђена су средства из кредитних ар</w:t>
      </w:r>
      <w:r>
        <w:t xml:space="preserve">анжмана у износу од 35.000.000 евра, као и из буџета Републике Србије за 2021, 2022. и 2023. годину у износу од 15.000.000 евра (5.000.000 евра по години). </w:t>
      </w:r>
    </w:p>
    <w:p w:rsidR="00E8309B" w:rsidRDefault="009D0949">
      <w:pPr>
        <w:numPr>
          <w:ilvl w:val="0"/>
          <w:numId w:val="46"/>
        </w:numPr>
        <w:spacing w:after="79" w:line="271" w:lineRule="auto"/>
        <w:ind w:right="9" w:hanging="427"/>
      </w:pPr>
      <w:r>
        <w:rPr>
          <w:b/>
        </w:rPr>
        <w:t xml:space="preserve">Очекивани утицај на социјалне циљеве, као што су запосленост, смањење сиромаштва, једнакост и род </w:t>
      </w:r>
    </w:p>
    <w:p w:rsidR="00E8309B" w:rsidRDefault="009D0949">
      <w:pPr>
        <w:ind w:left="-5" w:right="17"/>
      </w:pPr>
      <w:r>
        <w:t>Стицање савремених знања на квалитетан и ефикасан начин који ће убрзати усвајање знања и подићи ниво разумевања усвојених знања, овладавање неопходним ИКТ знањима и вештинама, уз стално праћење и одржавање квалитета образовања и васпитања кроз употребу ЈИС</w:t>
      </w:r>
      <w:r>
        <w:t xml:space="preserve">П-а учиниће да свршени средњошколци и студенти буду припремљенији за тржиште рада, брже нађу пут до запослења на бољим и плаћенијим радним местима. </w:t>
      </w:r>
    </w:p>
    <w:p w:rsidR="00E8309B" w:rsidRDefault="009D0949">
      <w:pPr>
        <w:numPr>
          <w:ilvl w:val="0"/>
          <w:numId w:val="46"/>
        </w:numPr>
        <w:spacing w:after="127" w:line="271" w:lineRule="auto"/>
        <w:ind w:right="9" w:hanging="427"/>
      </w:pPr>
      <w:r>
        <w:rPr>
          <w:b/>
        </w:rPr>
        <w:t xml:space="preserve">Очекивани утицај на животну средину </w:t>
      </w:r>
    </w:p>
    <w:p w:rsidR="00E8309B" w:rsidRDefault="009D0949">
      <w:pPr>
        <w:spacing w:after="155"/>
        <w:ind w:left="-5" w:right="17"/>
      </w:pPr>
      <w:r>
        <w:t xml:space="preserve">Структурна реформа је неутрална у смислу утицаја на животну средину. </w:t>
      </w:r>
    </w:p>
    <w:p w:rsidR="00E8309B" w:rsidRDefault="009D0949">
      <w:pPr>
        <w:numPr>
          <w:ilvl w:val="0"/>
          <w:numId w:val="46"/>
        </w:numPr>
        <w:spacing w:after="0" w:line="271" w:lineRule="auto"/>
        <w:ind w:right="9" w:hanging="427"/>
      </w:pPr>
      <w:r>
        <w:rPr>
          <w:b/>
        </w:rPr>
        <w:t xml:space="preserve">Потенцијални ризици </w:t>
      </w:r>
    </w:p>
    <w:tbl>
      <w:tblPr>
        <w:tblStyle w:val="TableGrid"/>
        <w:tblW w:w="9696" w:type="dxa"/>
        <w:tblInd w:w="0" w:type="dxa"/>
        <w:tblCellMar>
          <w:top w:w="46" w:type="dxa"/>
          <w:left w:w="108" w:type="dxa"/>
          <w:bottom w:w="0" w:type="dxa"/>
          <w:right w:w="95" w:type="dxa"/>
        </w:tblCellMar>
        <w:tblLook w:val="04A0" w:firstRow="1" w:lastRow="0" w:firstColumn="1" w:lastColumn="0" w:noHBand="0" w:noVBand="1"/>
      </w:tblPr>
      <w:tblGrid>
        <w:gridCol w:w="5"/>
        <w:gridCol w:w="3330"/>
        <w:gridCol w:w="2201"/>
        <w:gridCol w:w="350"/>
        <w:gridCol w:w="3798"/>
        <w:gridCol w:w="17"/>
      </w:tblGrid>
      <w:tr w:rsidR="00E8309B">
        <w:trPr>
          <w:gridBefore w:val="1"/>
          <w:trHeight w:val="470"/>
        </w:trPr>
        <w:tc>
          <w:tcPr>
            <w:tcW w:w="3330"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0" w:right="0" w:firstLine="0"/>
              <w:jc w:val="left"/>
            </w:pPr>
            <w:r>
              <w:rPr>
                <w:b/>
                <w:sz w:val="20"/>
              </w:rPr>
              <w:t xml:space="preserve">Ризик </w:t>
            </w:r>
          </w:p>
        </w:tc>
        <w:tc>
          <w:tcPr>
            <w:tcW w:w="2201"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2" w:right="0" w:firstLine="0"/>
              <w:jc w:val="left"/>
            </w:pPr>
            <w:r>
              <w:rPr>
                <w:b/>
                <w:sz w:val="20"/>
              </w:rPr>
              <w:t xml:space="preserve">Вероватноћа за остваривање ризика </w:t>
            </w:r>
          </w:p>
        </w:tc>
        <w:tc>
          <w:tcPr>
            <w:tcW w:w="4165" w:type="dxa"/>
            <w:gridSpan w:val="3"/>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0" w:firstLine="0"/>
              <w:jc w:val="left"/>
            </w:pPr>
            <w:r>
              <w:rPr>
                <w:b/>
                <w:sz w:val="20"/>
              </w:rPr>
              <w:t xml:space="preserve">Активност за ублажавање негативних ефеката ризика </w:t>
            </w:r>
          </w:p>
        </w:tc>
      </w:tr>
      <w:tr w:rsidR="00E8309B">
        <w:trPr>
          <w:gridBefore w:val="1"/>
          <w:trHeight w:val="931"/>
        </w:trPr>
        <w:tc>
          <w:tcPr>
            <w:tcW w:w="3330"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0" w:firstLine="0"/>
              <w:jc w:val="left"/>
            </w:pPr>
            <w:r>
              <w:rPr>
                <w:sz w:val="20"/>
              </w:rPr>
              <w:t xml:space="preserve">Нејасно дефинисане улоге и одговорности укључених учесника у реализацији процеса. </w:t>
            </w:r>
          </w:p>
        </w:tc>
        <w:tc>
          <w:tcPr>
            <w:tcW w:w="2201"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2" w:right="0" w:firstLine="0"/>
              <w:jc w:val="left"/>
            </w:pPr>
            <w:r>
              <w:rPr>
                <w:sz w:val="20"/>
              </w:rPr>
              <w:t xml:space="preserve">Средња </w:t>
            </w:r>
          </w:p>
        </w:tc>
        <w:tc>
          <w:tcPr>
            <w:tcW w:w="4165" w:type="dxa"/>
            <w:gridSpan w:val="3"/>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0" w:firstLine="0"/>
              <w:jc w:val="left"/>
            </w:pPr>
            <w:r>
              <w:rPr>
                <w:sz w:val="20"/>
              </w:rPr>
              <w:t xml:space="preserve">Потпуна укљученост у процес од стране свих учесника. Дефинисана и праћена међукомуникација у процесу, стални прегледи ризика, ескалације </w:t>
            </w:r>
          </w:p>
        </w:tc>
      </w:tr>
      <w:tr w:rsidR="00E8309B">
        <w:trPr>
          <w:gridBefore w:val="1"/>
          <w:trHeight w:val="929"/>
        </w:trPr>
        <w:tc>
          <w:tcPr>
            <w:tcW w:w="3330"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0" w:firstLine="0"/>
              <w:jc w:val="left"/>
            </w:pPr>
            <w:r>
              <w:rPr>
                <w:sz w:val="20"/>
              </w:rPr>
              <w:t>Неадекватна координација са другим странкама које пружају сервисе, а непосредно афектирају или су неопходни за процес.</w:t>
            </w:r>
            <w:r>
              <w:rPr>
                <w:b/>
                <w:sz w:val="20"/>
              </w:rPr>
              <w:t xml:space="preserve"> </w:t>
            </w:r>
          </w:p>
        </w:tc>
        <w:tc>
          <w:tcPr>
            <w:tcW w:w="2201"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2" w:right="0" w:firstLine="0"/>
              <w:jc w:val="left"/>
            </w:pPr>
            <w:r>
              <w:rPr>
                <w:sz w:val="20"/>
              </w:rPr>
              <w:t>Средња</w:t>
            </w:r>
            <w:r>
              <w:rPr>
                <w:b/>
                <w:sz w:val="20"/>
              </w:rPr>
              <w:t xml:space="preserve"> </w:t>
            </w:r>
          </w:p>
        </w:tc>
        <w:tc>
          <w:tcPr>
            <w:tcW w:w="4165" w:type="dxa"/>
            <w:gridSpan w:val="3"/>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72" w:firstLine="0"/>
            </w:pPr>
            <w:r>
              <w:rPr>
                <w:sz w:val="20"/>
              </w:rPr>
              <w:t>Потпуна укљученост у процес од стране свих учесника. Дефинисана и праћена међукомуникација у процесу, стални прегледи  ризика, е</w:t>
            </w:r>
            <w:r>
              <w:rPr>
                <w:sz w:val="20"/>
              </w:rPr>
              <w:t>скалације</w:t>
            </w:r>
            <w:r>
              <w:rPr>
                <w:b/>
                <w:sz w:val="20"/>
              </w:rPr>
              <w:t xml:space="preserve"> </w:t>
            </w:r>
          </w:p>
        </w:tc>
      </w:tr>
      <w:tr w:rsidR="00E8309B">
        <w:trPr>
          <w:gridBefore w:val="1"/>
          <w:trHeight w:val="701"/>
        </w:trPr>
        <w:tc>
          <w:tcPr>
            <w:tcW w:w="3330"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0" w:firstLine="0"/>
            </w:pPr>
            <w:r>
              <w:rPr>
                <w:sz w:val="20"/>
              </w:rPr>
              <w:t>Немотивисаност учесника процеса за остварења наведених циљева.</w:t>
            </w:r>
            <w:r>
              <w:rPr>
                <w:b/>
                <w:sz w:val="20"/>
              </w:rPr>
              <w:t xml:space="preserve"> </w:t>
            </w:r>
          </w:p>
        </w:tc>
        <w:tc>
          <w:tcPr>
            <w:tcW w:w="2201"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2" w:right="0" w:firstLine="0"/>
              <w:jc w:val="left"/>
            </w:pPr>
            <w:r>
              <w:rPr>
                <w:sz w:val="20"/>
              </w:rPr>
              <w:t>Средња</w:t>
            </w:r>
            <w:r>
              <w:rPr>
                <w:b/>
                <w:sz w:val="20"/>
              </w:rPr>
              <w:t xml:space="preserve"> </w:t>
            </w:r>
          </w:p>
        </w:tc>
        <w:tc>
          <w:tcPr>
            <w:tcW w:w="4165" w:type="dxa"/>
            <w:gridSpan w:val="3"/>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50" w:firstLine="0"/>
            </w:pPr>
            <w:r>
              <w:rPr>
                <w:sz w:val="20"/>
              </w:rPr>
              <w:t>Креирање различитих модела финансијских олакшица. Креирање ефикасних процедура за реализацију процеса</w:t>
            </w:r>
            <w:r>
              <w:rPr>
                <w:b/>
                <w:sz w:val="20"/>
              </w:rPr>
              <w:t xml:space="preserve"> </w:t>
            </w:r>
          </w:p>
        </w:tc>
      </w:tr>
      <w:tr w:rsidR="00E8309B">
        <w:tblPrEx>
          <w:tblCellMar>
            <w:top w:w="13" w:type="dxa"/>
            <w:left w:w="0" w:type="dxa"/>
            <w:right w:w="5" w:type="dxa"/>
          </w:tblCellMar>
        </w:tblPrEx>
        <w:trPr>
          <w:gridAfter w:val="1"/>
          <w:wAfter w:w="17" w:type="dxa"/>
          <w:trHeight w:val="280"/>
        </w:trPr>
        <w:tc>
          <w:tcPr>
            <w:tcW w:w="5886" w:type="dxa"/>
            <w:gridSpan w:val="4"/>
            <w:tcBorders>
              <w:top w:val="nil"/>
              <w:left w:val="nil"/>
              <w:bottom w:val="nil"/>
              <w:right w:val="nil"/>
            </w:tcBorders>
            <w:shd w:val="clear" w:color="auto" w:fill="D9D9D9"/>
          </w:tcPr>
          <w:p w:rsidR="00E8309B" w:rsidRDefault="009D0949">
            <w:pPr>
              <w:spacing w:after="0" w:line="259" w:lineRule="auto"/>
              <w:ind w:left="15" w:right="0" w:firstLine="0"/>
            </w:pPr>
            <w:r>
              <w:rPr>
                <w:b/>
              </w:rPr>
              <w:t>5.3.7. Област ЗАПОШЉАВАЊЕ И ТРЖИШТЕ РАДА</w:t>
            </w:r>
          </w:p>
        </w:tc>
        <w:tc>
          <w:tcPr>
            <w:tcW w:w="3798" w:type="dxa"/>
            <w:tcBorders>
              <w:top w:val="nil"/>
              <w:left w:val="nil"/>
              <w:bottom w:val="nil"/>
              <w:right w:val="nil"/>
            </w:tcBorders>
            <w:shd w:val="clear" w:color="auto" w:fill="D9D9D9"/>
          </w:tcPr>
          <w:p w:rsidR="00E8309B" w:rsidRDefault="009D0949">
            <w:pPr>
              <w:spacing w:after="0" w:line="259" w:lineRule="auto"/>
              <w:ind w:left="0" w:right="0" w:firstLine="0"/>
              <w:jc w:val="left"/>
            </w:pPr>
            <w:r>
              <w:rPr>
                <w:b/>
              </w:rPr>
              <w:t xml:space="preserve"> </w:t>
            </w:r>
          </w:p>
        </w:tc>
      </w:tr>
    </w:tbl>
    <w:p w:rsidR="00E8309B" w:rsidRDefault="009D0949">
      <w:pPr>
        <w:spacing w:after="135" w:line="271" w:lineRule="auto"/>
        <w:ind w:left="-5" w:right="9"/>
      </w:pPr>
      <w:r>
        <w:rPr>
          <w:b/>
        </w:rPr>
        <w:t>а) Анализа главних препрека</w:t>
      </w:r>
      <w:r>
        <w:rPr>
          <w:i/>
        </w:rPr>
        <w:t xml:space="preserve"> </w:t>
      </w:r>
    </w:p>
    <w:p w:rsidR="00E8309B" w:rsidRDefault="009D0949">
      <w:pPr>
        <w:ind w:left="-5" w:right="17"/>
      </w:pPr>
      <w:r>
        <w:rPr>
          <w:b/>
        </w:rPr>
        <w:t xml:space="preserve">Утицај пандемије Ковид-19 на тржиште рада Србије још није почео да се испољава узимајући у обзир расположиве податке из АРС у трећем кварталу 2020. године. Стопа запослености </w:t>
      </w:r>
      <w:r>
        <w:t xml:space="preserve">(15+) која износи </w:t>
      </w:r>
      <w:r>
        <w:rPr>
          <w:b/>
        </w:rPr>
        <w:t xml:space="preserve">49,9% </w:t>
      </w:r>
      <w:r>
        <w:t>у Q3 2020.</w:t>
      </w:r>
      <w:r>
        <w:rPr>
          <w:vertAlign w:val="superscript"/>
        </w:rPr>
        <w:footnoteReference w:id="66"/>
      </w:r>
      <w:r>
        <w:t xml:space="preserve"> (ЕУ-27: 52,9%, Q</w:t>
      </w:r>
      <w:r>
        <w:t xml:space="preserve">3 2020, Eurostat) бележи </w:t>
      </w:r>
      <w:r>
        <w:rPr>
          <w:b/>
        </w:rPr>
        <w:t>повећање</w:t>
      </w:r>
      <w:r>
        <w:t xml:space="preserve"> у односу на исти квартал претходне године (0,2 п.п.), док </w:t>
      </w:r>
      <w:r>
        <w:rPr>
          <w:b/>
        </w:rPr>
        <w:t>број запослених</w:t>
      </w:r>
      <w:r>
        <w:t xml:space="preserve"> износи </w:t>
      </w:r>
      <w:r>
        <w:rPr>
          <w:b/>
        </w:rPr>
        <w:t xml:space="preserve">2,94 милиона </w:t>
      </w:r>
      <w:r>
        <w:t>(смањење од 2,1 хиљаде запослених у односу на исти квартал претходне године, али повећање од 92 хиљаде у односу на претходни ква</w:t>
      </w:r>
      <w:r>
        <w:t xml:space="preserve">ртал). Дошло до пада неформалне запослености од 43 хиљаде или 7,8% мг, али </w:t>
      </w:r>
      <w:r>
        <w:rPr>
          <w:b/>
        </w:rPr>
        <w:t>иако се укупна неформална запосленост смањује, она је и даље на високом нивоу, посебно у пољопривреди</w:t>
      </w:r>
      <w:r>
        <w:t>, јер неформално запослени у овој области привреде чине 67% укупног броја неформ</w:t>
      </w:r>
      <w:r>
        <w:t xml:space="preserve">ално запослених. Стопа неформалне запослености је смањена за 1,4 п.п. мг и износи 17,3%. </w:t>
      </w:r>
    </w:p>
    <w:p w:rsidR="00E8309B" w:rsidRDefault="009D0949">
      <w:pPr>
        <w:spacing w:after="87"/>
        <w:ind w:left="-5" w:right="17"/>
      </w:pPr>
      <w:r>
        <w:t xml:space="preserve">На сезонским пословима </w:t>
      </w:r>
      <w:r>
        <w:rPr>
          <w:b/>
        </w:rPr>
        <w:t xml:space="preserve">у пољопривреди, 444 послодаваца је ангажовало укупно 42.490 сезонских радника </w:t>
      </w:r>
      <w:r>
        <w:t>од 7. јануара 2019.</w:t>
      </w:r>
      <w:r>
        <w:rPr>
          <w:vertAlign w:val="superscript"/>
        </w:rPr>
        <w:footnoteReference w:id="67"/>
      </w:r>
      <w:r>
        <w:t xml:space="preserve"> до 30. септембра 2020. године. У оквиру рефо</w:t>
      </w:r>
      <w:r>
        <w:t xml:space="preserve">рме радног законодавства, почела је примена </w:t>
      </w:r>
      <w:r>
        <w:rPr>
          <w:b/>
        </w:rPr>
        <w:t>Закона о агенцијском запошљавању</w:t>
      </w:r>
      <w:r>
        <w:t xml:space="preserve"> 1. марта 2020. године, од када је издато </w:t>
      </w:r>
      <w:r>
        <w:rPr>
          <w:b/>
        </w:rPr>
        <w:t>66 дозвола за рад агенција за привремено запошљавање</w:t>
      </w:r>
      <w:r>
        <w:t>. Према подацима ЦРОСО, 38 агенција за привремено запошљавање ангажовало је укупно 9.7</w:t>
      </w:r>
      <w:r>
        <w:t xml:space="preserve">37 агенцијска радника закључно са 30. септембром 2020. године. </w:t>
      </w:r>
    </w:p>
    <w:p w:rsidR="00E8309B" w:rsidRDefault="009D0949">
      <w:pPr>
        <w:spacing w:after="90"/>
        <w:ind w:left="-5" w:right="17"/>
      </w:pPr>
      <w:r>
        <w:t>Креиране су подстицајне мере са циљем повећања броја запослених а које су у примени од 2020. године, а односе се на: новооснована привредна друштва која обављају иновациону делатност, новозапо</w:t>
      </w:r>
      <w:r>
        <w:t xml:space="preserve">слена квалификована лица и новонастањена лица/повратници из иностранства. Меру </w:t>
      </w:r>
      <w:r>
        <w:rPr>
          <w:b/>
        </w:rPr>
        <w:t>ослобођења почетника у пословању</w:t>
      </w:r>
      <w:r>
        <w:t xml:space="preserve"> од плаћања пореза и доприноса по основу зараде оснивача који су запослени у привредном друштву, односно по основу личне зараде предузетника и пр</w:t>
      </w:r>
      <w:r>
        <w:t xml:space="preserve">едузетника пољопривредника, од јануара 2019. до краја новембра 2020. године користило је </w:t>
      </w:r>
      <w:r>
        <w:rPr>
          <w:b/>
        </w:rPr>
        <w:t>1.296 привредних субјеката</w:t>
      </w:r>
      <w:r>
        <w:t xml:space="preserve"> (112 привредних друштава и 1.184 предузетника). </w:t>
      </w:r>
    </w:p>
    <w:p w:rsidR="00E8309B" w:rsidRDefault="009D0949">
      <w:pPr>
        <w:ind w:left="-5" w:right="17"/>
      </w:pPr>
      <w:r>
        <w:rPr>
          <w:b/>
        </w:rPr>
        <w:t>Стопа незапослености (15+) наставља да се смањује</w:t>
      </w:r>
      <w:r>
        <w:t xml:space="preserve">, тако да у трећем кварталу 2020. износи </w:t>
      </w:r>
      <w:r>
        <w:rPr>
          <w:b/>
        </w:rPr>
        <w:t>9</w:t>
      </w:r>
      <w:r>
        <w:rPr>
          <w:b/>
        </w:rPr>
        <w:t>%</w:t>
      </w:r>
      <w:r>
        <w:t xml:space="preserve"> (ЕУ-27: 7,5% за становништво 15-74, Q3 2020, Eurostat) што је смањење од </w:t>
      </w:r>
      <w:r>
        <w:rPr>
          <w:b/>
        </w:rPr>
        <w:t xml:space="preserve">0,5 п.п. </w:t>
      </w:r>
      <w:r>
        <w:t xml:space="preserve">у односу на исти квартал претходне године. Број незапослених лица је 292 хиљаде, што је смањење за око 16 хиљада или 5,3% мг. </w:t>
      </w:r>
      <w:r>
        <w:rPr>
          <w:b/>
        </w:rPr>
        <w:t xml:space="preserve">Изазови структуралне незапослености и даље су </w:t>
      </w:r>
      <w:r>
        <w:rPr>
          <w:b/>
        </w:rPr>
        <w:t>присутни</w:t>
      </w:r>
      <w:r>
        <w:t xml:space="preserve">, иако је </w:t>
      </w:r>
      <w:r>
        <w:rPr>
          <w:b/>
        </w:rPr>
        <w:t>стопа дугорочне незапослености</w:t>
      </w:r>
      <w:r>
        <w:t xml:space="preserve">, која је износила </w:t>
      </w:r>
      <w:r>
        <w:rPr>
          <w:b/>
        </w:rPr>
        <w:t>4,8%</w:t>
      </w:r>
      <w:r>
        <w:t xml:space="preserve"> у трећем кварталу </w:t>
      </w:r>
    </w:p>
    <w:p w:rsidR="00E8309B" w:rsidRDefault="009D0949">
      <w:pPr>
        <w:spacing w:after="79" w:line="271" w:lineRule="auto"/>
        <w:ind w:left="-5" w:right="9"/>
      </w:pPr>
      <w:r>
        <w:t xml:space="preserve">2020. године, опала за 0,4 п.п. мг. </w:t>
      </w:r>
      <w:r>
        <w:rPr>
          <w:b/>
        </w:rPr>
        <w:t>Тражење посла дуже од годину дана последица је неусклађености понуде и тражње на тржишту рада</w:t>
      </w:r>
      <w:r>
        <w:t xml:space="preserve">, и може довести и до трајног искључења са тржишта рада. </w:t>
      </w:r>
    </w:p>
    <w:p w:rsidR="00E8309B" w:rsidRDefault="009D0949">
      <w:pPr>
        <w:ind w:left="-5" w:right="17"/>
      </w:pPr>
      <w:r>
        <w:rPr>
          <w:b/>
        </w:rPr>
        <w:t>Млади се и даље суочавају са потешкоћама при уласку на тржиште рада.</w:t>
      </w:r>
      <w:r>
        <w:t xml:space="preserve"> Поред тога што нису запослени, значајан број младих људи истовремено је и ван процеса образовања и обуке - у Србији NEET</w:t>
      </w:r>
      <w:r>
        <w:rPr>
          <w:rFonts w:ascii="Calibri" w:eastAsia="Calibri" w:hAnsi="Calibri" w:cs="Calibri"/>
          <w:sz w:val="21"/>
          <w:vertAlign w:val="superscript"/>
        </w:rPr>
        <w:footnoteReference w:id="68"/>
      </w:r>
      <w:r>
        <w:t xml:space="preserve"> стопа м</w:t>
      </w:r>
      <w:r>
        <w:t xml:space="preserve">ладих (15-24) износи 15,7% у трећем кварталу 2020. што је смањење од 0,8 п.п. у односу на исти квартал претходне године. </w:t>
      </w:r>
      <w:r>
        <w:rPr>
          <w:b/>
        </w:rPr>
        <w:t>Стопа незапослености младих</w:t>
      </w:r>
      <w:r>
        <w:t xml:space="preserve"> (15– 24) која износи </w:t>
      </w:r>
      <w:r>
        <w:rPr>
          <w:b/>
        </w:rPr>
        <w:t xml:space="preserve">26,5% </w:t>
      </w:r>
      <w:r>
        <w:t xml:space="preserve">у трећем кварталу 2020. незнатно је повећана, за </w:t>
      </w:r>
      <w:r>
        <w:rPr>
          <w:b/>
        </w:rPr>
        <w:t>0,5 п.п. мг</w:t>
      </w:r>
      <w:r>
        <w:t>. Током пандемије мл</w:t>
      </w:r>
      <w:r>
        <w:t xml:space="preserve">ади су постали неактивни тако да се бележи повећање стопе неактивности од 1 </w:t>
      </w:r>
    </w:p>
    <w:p w:rsidR="00E8309B" w:rsidRDefault="009D0949">
      <w:pPr>
        <w:ind w:left="-5" w:right="17"/>
      </w:pPr>
      <w:r>
        <w:t xml:space="preserve">п.п. мг. Присутан је све мањи обим популације узраста 15-24 године услед </w:t>
      </w:r>
      <w:r>
        <w:rPr>
          <w:b/>
        </w:rPr>
        <w:t>негативног демографског тренда</w:t>
      </w:r>
      <w:r>
        <w:t xml:space="preserve">, као и </w:t>
      </w:r>
      <w:r>
        <w:rPr>
          <w:b/>
        </w:rPr>
        <w:t>емиграције</w:t>
      </w:r>
      <w:r>
        <w:t xml:space="preserve"> јер се највећи број потенцијалних миграната налази међу м</w:t>
      </w:r>
      <w:r>
        <w:t xml:space="preserve">лађом популацијом старости до 40 година. </w:t>
      </w:r>
    </w:p>
    <w:p w:rsidR="00E8309B" w:rsidRDefault="009D0949">
      <w:pPr>
        <w:ind w:left="-5" w:right="17"/>
      </w:pPr>
      <w:r>
        <w:t xml:space="preserve">Услед емиграције, економија и целокупно друштво суочавају се са негативним ефектима тог одласка, што указује на </w:t>
      </w:r>
      <w:r>
        <w:rPr>
          <w:b/>
        </w:rPr>
        <w:t>потребу привлачења високо квалификоване српске дијаспоре</w:t>
      </w:r>
      <w:r>
        <w:t xml:space="preserve"> стварањем подстицајног окружења за запослење </w:t>
      </w:r>
      <w:r>
        <w:t xml:space="preserve">и пословање, али и </w:t>
      </w:r>
      <w:r>
        <w:rPr>
          <w:b/>
        </w:rPr>
        <w:t>привлачења страних стручњака за дефицитарна занимања</w:t>
      </w:r>
      <w:r>
        <w:t xml:space="preserve">, као и развој нове технологије. Влада Србије у жељи да уреди област економских миграција донела је </w:t>
      </w:r>
      <w:r>
        <w:rPr>
          <w:b/>
        </w:rPr>
        <w:t>Стратегију о економским миграцијама Републике Србије за период 2021-2027</w:t>
      </w:r>
      <w:r>
        <w:t xml:space="preserve"> („Сл. гласни</w:t>
      </w:r>
      <w:r>
        <w:t xml:space="preserve">к РС“, бр. 21/20). Стратегија покрива низ тема у вези са феноменом економских миграција, њиховим управљањем, корелацијом миграција и развоја, као и улогом дијаспоре као покретача (локалног) развоја. </w:t>
      </w:r>
    </w:p>
    <w:p w:rsidR="00E8309B" w:rsidRDefault="009D0949">
      <w:pPr>
        <w:ind w:left="-5" w:right="17"/>
      </w:pPr>
      <w:r>
        <w:rPr>
          <w:b/>
        </w:rPr>
        <w:t xml:space="preserve">Родне неједнакости на тржишту рада су изражене, посебно </w:t>
      </w:r>
      <w:r>
        <w:rPr>
          <w:b/>
        </w:rPr>
        <w:t xml:space="preserve">када је реч о економској активности. </w:t>
      </w:r>
      <w:r>
        <w:t>Разлика у стопама запослености мушкараца и жена је висока и износи 14,8 п.п. у корист мушкараца у другом кварталу 2020. (57,5% и 42,7% респективно). Разлика у стопама незапослености је незнатна и износи 0,6 п.п. у корис</w:t>
      </w:r>
      <w:r>
        <w:t xml:space="preserve">т мушкараца (8,8% и 9,4% респективно), док младе жене на тржишту рада имају вишу стопу незапослености у односу на младе мушкарце, а та разлика износи 3,7 п.п. (25,1% и 28,8% респективно). </w:t>
      </w:r>
    </w:p>
    <w:p w:rsidR="00E8309B" w:rsidRDefault="009D0949">
      <w:pPr>
        <w:ind w:left="-5" w:right="17"/>
      </w:pPr>
      <w:r>
        <w:t>Позитиван тренд смањења анкетне незапослености прати и тренд смањењ</w:t>
      </w:r>
      <w:r>
        <w:t xml:space="preserve">а регистроване незапослености. </w:t>
      </w:r>
      <w:r>
        <w:rPr>
          <w:b/>
        </w:rPr>
        <w:t>Број незапослених лица на евиденцији НСЗ</w:t>
      </w:r>
      <w:r>
        <w:t xml:space="preserve"> у новембру 2020. (око 493 хиљаде) </w:t>
      </w:r>
      <w:r>
        <w:rPr>
          <w:b/>
        </w:rPr>
        <w:t>смањен</w:t>
      </w:r>
      <w:r>
        <w:t xml:space="preserve"> је за око 8.000 лица или 1,6% мг. Учешће незапослених жена износи 55,5% (око 274 хиљада). Један од главних </w:t>
      </w:r>
      <w:r>
        <w:rPr>
          <w:b/>
        </w:rPr>
        <w:t>проблема</w:t>
      </w:r>
      <w:r>
        <w:t xml:space="preserve"> јесте </w:t>
      </w:r>
      <w:r>
        <w:rPr>
          <w:b/>
        </w:rPr>
        <w:t>висока дугорочна неза</w:t>
      </w:r>
      <w:r>
        <w:rPr>
          <w:b/>
        </w:rPr>
        <w:t>посленост</w:t>
      </w:r>
      <w:r>
        <w:t xml:space="preserve">, с обзиром да чак </w:t>
      </w:r>
      <w:r>
        <w:rPr>
          <w:b/>
        </w:rPr>
        <w:t>66% незапослених лица</w:t>
      </w:r>
      <w:r>
        <w:t xml:space="preserve"> на евиденцији НСЗ </w:t>
      </w:r>
      <w:r>
        <w:rPr>
          <w:b/>
        </w:rPr>
        <w:t>посао тражи дуже од годину дана</w:t>
      </w:r>
      <w:r>
        <w:t xml:space="preserve"> (око 325 хиљадa). Други проблем је велики број незапослених на евиденцији НСЗ који имају </w:t>
      </w:r>
      <w:r>
        <w:rPr>
          <w:b/>
        </w:rPr>
        <w:t>статус теже запошљивих лица</w:t>
      </w:r>
      <w:r>
        <w:t xml:space="preserve"> и имају тешкоће у проналажењу запослења</w:t>
      </w:r>
      <w:r>
        <w:t xml:space="preserve">. Посебно су угрожена она лица која се истовремено суочавају са више фактора рањивости/отежане запошљивости. </w:t>
      </w:r>
    </w:p>
    <w:p w:rsidR="00E8309B" w:rsidRDefault="009D0949">
      <w:pPr>
        <w:ind w:left="-5" w:right="17"/>
      </w:pPr>
      <w:r>
        <w:rPr>
          <w:b/>
        </w:rPr>
        <w:t>Издвајања за активну политику запошљавања су недовољна</w:t>
      </w:r>
      <w:r>
        <w:t xml:space="preserve">, имајући у виду да мере активне политике представљају подршку теже запошљивим незапосленим </w:t>
      </w:r>
      <w:r>
        <w:t xml:space="preserve">лицима у процесу тражења посла. За реализацију планираних програма и мера активне политике запошљавања у 2021. обезбеђено је 5,2 милијарде РСД, што је </w:t>
      </w:r>
      <w:r>
        <w:rPr>
          <w:b/>
        </w:rPr>
        <w:t>повећање од 40%</w:t>
      </w:r>
      <w:r>
        <w:t xml:space="preserve"> у односу на 2020. годину (од чега 2 милијарде динара за Програм подстицања запошљавања мл</w:t>
      </w:r>
      <w:r>
        <w:t xml:space="preserve">адих „Моја прва плата“). Само одређени број незапослених са евиденције укључи се у мере (27,6% у 2019). </w:t>
      </w:r>
    </w:p>
    <w:p w:rsidR="00E8309B" w:rsidRDefault="009D0949">
      <w:pPr>
        <w:ind w:left="-5" w:right="17"/>
      </w:pPr>
      <w:r>
        <w:t xml:space="preserve">Поред запослености и незапослености, као показатељ конкурентности тржишта рада, су и зараде. </w:t>
      </w:r>
      <w:r>
        <w:rPr>
          <w:b/>
        </w:rPr>
        <w:t>Просечне номиналне нето зараде</w:t>
      </w:r>
      <w:r>
        <w:t xml:space="preserve"> у октобру 2020. године изно</w:t>
      </w:r>
      <w:r>
        <w:t>силе су око 60 хиљада РСД (511 евра)</w:t>
      </w:r>
      <w:r>
        <w:rPr>
          <w:vertAlign w:val="superscript"/>
        </w:rPr>
        <w:footnoteReference w:id="69"/>
      </w:r>
      <w:r>
        <w:t>, што представља реални раст од 7,3% мг. Снажан раст зарада је, између осталих разлога, последица раста зарада у деловима јавног сектора од 1. новембра 2019. године у просеку за 9,7%. З</w:t>
      </w:r>
      <w:r>
        <w:rPr>
          <w:b/>
        </w:rPr>
        <w:t>араде у јавном сектору су остале н</w:t>
      </w:r>
      <w:r>
        <w:rPr>
          <w:b/>
        </w:rPr>
        <w:t>епромењене</w:t>
      </w:r>
      <w:r>
        <w:t xml:space="preserve"> до краја 2020. године, док знатан део запослених у приватном сектору од почетка пандемије Ковид-19 прима само минималну зараду. Минимална цена рада у 2020. години повећана је за 11,1%, тако да минимална зарада износи око 30 хиљада РСД (око 250 е</w:t>
      </w:r>
      <w:r>
        <w:t xml:space="preserve">вра). </w:t>
      </w:r>
    </w:p>
    <w:p w:rsidR="00E8309B" w:rsidRDefault="009D0949">
      <w:pPr>
        <w:ind w:left="-5" w:right="17"/>
      </w:pPr>
      <w:r>
        <w:t xml:space="preserve">Пандемија Ковид-19 и проглашење ванредног стања у Србији 15. марта 2020. године утицали су на смањење привредне активности, што према очекивањима води до промене у броју запослених. </w:t>
      </w:r>
      <w:r>
        <w:rPr>
          <w:b/>
        </w:rPr>
        <w:t>Ефекат пандемије на тржиште рада почео је да се испољава постепено,</w:t>
      </w:r>
      <w:r>
        <w:rPr>
          <w:b/>
        </w:rPr>
        <w:t xml:space="preserve"> и то најпре на неформалном тржишту</w:t>
      </w:r>
      <w:r>
        <w:t xml:space="preserve"> (које карактерише висока флексибилност), на коме је велики део људи престао да ради након увођења ванредног стања. </w:t>
      </w:r>
      <w:r>
        <w:rPr>
          <w:b/>
        </w:rPr>
        <w:t>Запосленост на формалном тржишту рада (регистрована запосленост</w:t>
      </w:r>
      <w:r>
        <w:rPr>
          <w:b/>
          <w:vertAlign w:val="superscript"/>
        </w:rPr>
        <w:footnoteReference w:id="70"/>
      </w:r>
      <w:r>
        <w:rPr>
          <w:b/>
        </w:rPr>
        <w:t>)</w:t>
      </w:r>
      <w:r>
        <w:t xml:space="preserve"> у трећем кварталу 2020. године бележи р</w:t>
      </w:r>
      <w:r>
        <w:t>аст од 44 хиљаде, што је повећање од 2% мг. Није дошло до пада запослености на формалном тржишту у Србији - директна давања за запослене у приватном сектору из републичког буџета, утицала су на послодавце да одложе отпуштања односно спречила су гашење радн</w:t>
      </w:r>
      <w:r>
        <w:t xml:space="preserve">их места. На најјачем удару смањења привредне активности и евентуалног губитка посла су запослени у приватним предузећима у секторима угоститељства, туризма, трговине, грађевинарства, самозапослени, као и они који раде са уговорима на одређено време. </w:t>
      </w:r>
    </w:p>
    <w:p w:rsidR="00E8309B" w:rsidRDefault="009D0949">
      <w:pPr>
        <w:spacing w:after="79" w:line="271" w:lineRule="auto"/>
        <w:ind w:left="-5" w:right="9"/>
      </w:pPr>
      <w:r>
        <w:t>Влад</w:t>
      </w:r>
      <w:r>
        <w:t xml:space="preserve">а Србије донела је </w:t>
      </w:r>
      <w:r>
        <w:rPr>
          <w:b/>
        </w:rPr>
        <w:t>сет мера како би очувала ликвидност привредних субјеката и одржала привредну активност и запосленост</w:t>
      </w:r>
      <w:r>
        <w:rPr>
          <w:b/>
          <w:vertAlign w:val="superscript"/>
        </w:rPr>
        <w:footnoteReference w:id="71"/>
      </w:r>
      <w:r>
        <w:t xml:space="preserve">. </w:t>
      </w:r>
    </w:p>
    <w:p w:rsidR="00E8309B" w:rsidRDefault="009D0949">
      <w:pPr>
        <w:spacing w:after="88"/>
        <w:ind w:left="-5" w:right="17"/>
      </w:pPr>
      <w:r>
        <w:rPr>
          <w:b/>
        </w:rPr>
        <w:t>Први сет мера</w:t>
      </w:r>
      <w:r>
        <w:t xml:space="preserve"> омогућава </w:t>
      </w:r>
      <w:r>
        <w:rPr>
          <w:b/>
        </w:rPr>
        <w:t>одлагање плаћања доспелих пореских обавеза</w:t>
      </w:r>
      <w:r>
        <w:t>, за који је издвојено 189 милијарди РСД (1,6 милијарди евра) или 3</w:t>
      </w:r>
      <w:r>
        <w:t xml:space="preserve">,4% БДП. </w:t>
      </w:r>
    </w:p>
    <w:p w:rsidR="00E8309B" w:rsidRDefault="009D0949">
      <w:pPr>
        <w:spacing w:after="87"/>
        <w:ind w:left="-5" w:right="17"/>
      </w:pPr>
      <w:r>
        <w:rPr>
          <w:b/>
        </w:rPr>
        <w:t>Други сет мера</w:t>
      </w:r>
      <w:r>
        <w:t xml:space="preserve"> се односи на </w:t>
      </w:r>
      <w:r>
        <w:rPr>
          <w:b/>
        </w:rPr>
        <w:t>директна давања</w:t>
      </w:r>
      <w:r>
        <w:t xml:space="preserve"> приватном сектору, исплату помоћи у висини </w:t>
      </w:r>
      <w:r>
        <w:rPr>
          <w:b/>
        </w:rPr>
        <w:t>минималне нето зараде (мај-јул)</w:t>
      </w:r>
      <w:r>
        <w:t xml:space="preserve"> за предузетнике, микро, мала и средња предузећа, односно </w:t>
      </w:r>
      <w:r>
        <w:rPr>
          <w:b/>
        </w:rPr>
        <w:t>субвенције 50% минималне нето зараде</w:t>
      </w:r>
      <w:r>
        <w:t xml:space="preserve"> </w:t>
      </w:r>
      <w:r>
        <w:t xml:space="preserve">великим предузећима, чији запослени су послати на принудни одмор, због смањеног обима пословања или потпуне обуставе рада. Овим сетом мера обухваћено је око </w:t>
      </w:r>
      <w:r>
        <w:rPr>
          <w:b/>
        </w:rPr>
        <w:t>235 хиљада привредних субјеката са око 1,05 милиона запослених</w:t>
      </w:r>
      <w:r>
        <w:t xml:space="preserve">. </w:t>
      </w:r>
      <w:r>
        <w:rPr>
          <w:b/>
        </w:rPr>
        <w:t>Додатна директна подршка</w:t>
      </w:r>
      <w:r>
        <w:t xml:space="preserve"> за привред</w:t>
      </w:r>
      <w:r>
        <w:t>у подразумева исплату још два месеца (августсептембар) по 60% директних давања из буџета Републике Србије која су им исплаћена у јулу 2020. године(око 18 хиљада РСД или 155 евра), а за један месец ће бити одложени и порези и доприноси на зараде. Такође, се</w:t>
      </w:r>
      <w:r>
        <w:t xml:space="preserve">т обухвата и подршку хотелијерском сектору (350 евра по кревету, 150 евра по соби). Укупна вредност овог сета мера износи 135,3 милијарди РСД (1,1 милијарда евра) или 2,4% БДП. </w:t>
      </w:r>
    </w:p>
    <w:p w:rsidR="00E8309B" w:rsidRDefault="009D0949">
      <w:pPr>
        <w:spacing w:after="263"/>
        <w:ind w:left="-5" w:right="17"/>
      </w:pPr>
      <w:r>
        <w:t xml:space="preserve">Отпочело је и спровођење Програма подстицања запошљавања младих </w:t>
      </w:r>
      <w:r>
        <w:rPr>
          <w:b/>
        </w:rPr>
        <w:t>„Моја прва пла</w:t>
      </w:r>
      <w:r>
        <w:rPr>
          <w:b/>
        </w:rPr>
        <w:t xml:space="preserve">та“. </w:t>
      </w:r>
      <w:r>
        <w:t xml:space="preserve">Циљ Програма је пружање помоћи младима да се после завршетка средње школе и факултета радно оспособе за самосталан рад и тиме што брже интегришу на тржиште рада и нађу посао. Предвиђено је да се </w:t>
      </w:r>
      <w:r>
        <w:rPr>
          <w:b/>
        </w:rPr>
        <w:t>10.000 младих, до навршених 30 година живота, без радног</w:t>
      </w:r>
      <w:r>
        <w:rPr>
          <w:b/>
        </w:rPr>
        <w:t xml:space="preserve"> искуства, оспособи за самосталан рад на конкретним пословима.</w:t>
      </w:r>
      <w:r>
        <w:t xml:space="preserve"> За оне који су завршили средњу школу, обезбеђена је месечна новчана накнада од 20.000 РСД, а за оне који су завршили факултет од 24.000 РСД, за период од девет месеци. Средства за Програм, у из</w:t>
      </w:r>
      <w:r>
        <w:t xml:space="preserve">носу од 2 милијарде РСД, биће издвојена из буџета. </w:t>
      </w:r>
      <w:r>
        <w:rPr>
          <w:b/>
        </w:rPr>
        <w:t>б) Реформе</w:t>
      </w:r>
      <w:r>
        <w:t xml:space="preserve"> </w:t>
      </w:r>
    </w:p>
    <w:p w:rsidR="00E8309B" w:rsidRDefault="009D0949">
      <w:pPr>
        <w:ind w:left="-5" w:right="17"/>
      </w:pPr>
      <w:r>
        <w:rPr>
          <w:b/>
          <w:u w:val="single" w:color="000000"/>
        </w:rPr>
        <w:t>СТРУКТУРНА РЕФОРМА 22:</w:t>
      </w:r>
      <w:r>
        <w:rPr>
          <w:b/>
        </w:rPr>
        <w:t xml:space="preserve"> </w:t>
      </w:r>
      <w:r>
        <w:t xml:space="preserve">УНАПРЕЂЕЊЕ АМБИЈЕНТА ЗА ПОДСТИЦАЊЕ, </w:t>
      </w:r>
    </w:p>
    <w:p w:rsidR="00E8309B" w:rsidRDefault="009D0949">
      <w:pPr>
        <w:spacing w:after="156"/>
        <w:ind w:left="-5" w:right="17"/>
      </w:pPr>
      <w:r>
        <w:t xml:space="preserve">ПОДРШКУ И ПРАЋЕЊЕ ЦИРКУЛАРНИХ И ЕКОНОМСКИХ МИГРАЦИЈА </w:t>
      </w:r>
    </w:p>
    <w:p w:rsidR="00E8309B" w:rsidRDefault="009D0949">
      <w:pPr>
        <w:numPr>
          <w:ilvl w:val="0"/>
          <w:numId w:val="47"/>
        </w:numPr>
        <w:spacing w:after="79" w:line="271" w:lineRule="auto"/>
        <w:ind w:right="9" w:hanging="427"/>
      </w:pPr>
      <w:r>
        <w:rPr>
          <w:b/>
        </w:rPr>
        <w:t xml:space="preserve">Опис структурне реформе </w:t>
      </w:r>
    </w:p>
    <w:p w:rsidR="00E8309B" w:rsidRDefault="009D0949">
      <w:pPr>
        <w:spacing w:after="161"/>
        <w:ind w:left="-5" w:right="17"/>
      </w:pPr>
      <w:r>
        <w:t>Стварање привредног и друштвеног амбијента за успоравање одласка радно способног становништва, јачање веза са дијаспором, подстицање повратних и циркуларних миграција, као и привлачење странаца различитих образовних профила је општи циљ који је постављен у</w:t>
      </w:r>
      <w:r>
        <w:t xml:space="preserve"> усвојеној Стратегији о економским миграцијама Републике Србије за период 2021-2027. године (почетком 2020). Постоји потреба за развојем јединственог система за прикупљање података о економским миграцијама, јачањем механизма за праћење српске дијаспоре и с</w:t>
      </w:r>
      <w:r>
        <w:t>веопштих економских миграција, као и унапређење и примена процедура за повратак дијаспоре. У циљу подстицања повратка биће додатно промовисани порески и други подстицаји који се односе на ново запошљавање, комуникацијом како са привредом тако и са повратни</w:t>
      </w:r>
      <w:r>
        <w:t xml:space="preserve">цима. Један од корака у изградњи поверења са дијаспором биће успостављање дијалога и разумевања кроз низ активности и истраживања. Реформа је у складу са </w:t>
      </w:r>
      <w:r>
        <w:rPr>
          <w:i/>
        </w:rPr>
        <w:t>Програмом Владе Републике Србије</w:t>
      </w:r>
      <w:r>
        <w:t xml:space="preserve"> (Експозе), као и другим недавно усвојеним стратегијама: </w:t>
      </w:r>
      <w:r>
        <w:rPr>
          <w:i/>
        </w:rPr>
        <w:t>Стратегија ра</w:t>
      </w:r>
      <w:r>
        <w:rPr>
          <w:i/>
        </w:rPr>
        <w:t>звоја индустријске политике 2021–2030</w:t>
      </w:r>
      <w:r>
        <w:t xml:space="preserve">, </w:t>
      </w:r>
      <w:r>
        <w:rPr>
          <w:i/>
        </w:rPr>
        <w:t>Стратегија паметне специјализације 2020–2027</w:t>
      </w:r>
      <w:r>
        <w:t xml:space="preserve">, </w:t>
      </w:r>
      <w:r>
        <w:rPr>
          <w:i/>
        </w:rPr>
        <w:t>Стратегија развоја вештачке интелигенције 2020–2025.</w:t>
      </w:r>
      <w:r>
        <w:t xml:space="preserve"> Реформа доприноси остваривању </w:t>
      </w:r>
      <w:r>
        <w:rPr>
          <w:b/>
        </w:rPr>
        <w:t>ЦОР 10.7.</w:t>
      </w:r>
      <w:r>
        <w:t xml:space="preserve"> Олакшати уређену, безбедну, регуларну и одговорну миграцију и мобилност људи, </w:t>
      </w:r>
      <w:r>
        <w:t xml:space="preserve">укључујући примену планираних и добро вођених миграционих политика. </w:t>
      </w:r>
    </w:p>
    <w:p w:rsidR="00E8309B" w:rsidRDefault="009D0949">
      <w:pPr>
        <w:numPr>
          <w:ilvl w:val="0"/>
          <w:numId w:val="47"/>
        </w:numPr>
        <w:spacing w:after="79" w:line="271" w:lineRule="auto"/>
        <w:ind w:right="9" w:hanging="427"/>
      </w:pPr>
      <w:r>
        <w:rPr>
          <w:b/>
        </w:rPr>
        <w:t xml:space="preserve">Ковид-19 – ефекти, мере и изазови </w:t>
      </w:r>
    </w:p>
    <w:p w:rsidR="00E8309B" w:rsidRDefault="009D0949">
      <w:pPr>
        <w:spacing w:after="6"/>
        <w:ind w:left="-5" w:right="17"/>
      </w:pPr>
      <w:r>
        <w:t>Промене на светском тржишту рада и у традиционалном радном окружењу услед пандемије Ковид-19 довеле су до повратка великог броја грађана Србије у земљу.</w:t>
      </w:r>
      <w:r>
        <w:t xml:space="preserve"> Тиме се још више истиче потреба за праћењем циркуларних и економских миграција. </w:t>
      </w:r>
      <w:r>
        <w:rPr>
          <w:b/>
        </w:rPr>
        <w:t>3.</w:t>
      </w:r>
      <w:r>
        <w:rPr>
          <w:rFonts w:ascii="Arial" w:eastAsia="Arial" w:hAnsi="Arial" w:cs="Arial"/>
          <w:b/>
        </w:rPr>
        <w:t xml:space="preserve"> </w:t>
      </w:r>
      <w:r>
        <w:rPr>
          <w:b/>
        </w:rPr>
        <w:t xml:space="preserve">Планирање активности по годинама </w:t>
      </w:r>
    </w:p>
    <w:tbl>
      <w:tblPr>
        <w:tblStyle w:val="TableGrid"/>
        <w:tblW w:w="9610" w:type="dxa"/>
        <w:tblInd w:w="10" w:type="dxa"/>
        <w:tblCellMar>
          <w:top w:w="9" w:type="dxa"/>
          <w:left w:w="58" w:type="dxa"/>
          <w:bottom w:w="0" w:type="dxa"/>
          <w:right w:w="8" w:type="dxa"/>
        </w:tblCellMar>
        <w:tblLook w:val="04A0" w:firstRow="1" w:lastRow="0" w:firstColumn="1" w:lastColumn="0" w:noHBand="0" w:noVBand="1"/>
      </w:tblPr>
      <w:tblGrid>
        <w:gridCol w:w="427"/>
        <w:gridCol w:w="4123"/>
        <w:gridCol w:w="419"/>
        <w:gridCol w:w="421"/>
        <w:gridCol w:w="422"/>
        <w:gridCol w:w="421"/>
        <w:gridCol w:w="424"/>
        <w:gridCol w:w="421"/>
        <w:gridCol w:w="423"/>
        <w:gridCol w:w="420"/>
        <w:gridCol w:w="424"/>
        <w:gridCol w:w="422"/>
        <w:gridCol w:w="422"/>
        <w:gridCol w:w="420"/>
      </w:tblGrid>
      <w:tr w:rsidR="00E8309B">
        <w:trPr>
          <w:trHeight w:val="331"/>
        </w:trPr>
        <w:tc>
          <w:tcPr>
            <w:tcW w:w="427" w:type="dxa"/>
            <w:vMerge w:val="restart"/>
            <w:tcBorders>
              <w:top w:val="single" w:sz="8" w:space="0" w:color="000000"/>
              <w:left w:val="single" w:sz="8" w:space="0" w:color="000000"/>
              <w:bottom w:val="single" w:sz="8" w:space="0" w:color="000000"/>
              <w:right w:val="single" w:sz="8" w:space="0" w:color="000000"/>
            </w:tcBorders>
            <w:vAlign w:val="center"/>
          </w:tcPr>
          <w:p w:rsidR="00E8309B" w:rsidRDefault="009D0949">
            <w:pPr>
              <w:spacing w:after="0" w:line="259" w:lineRule="auto"/>
              <w:ind w:left="29" w:right="0" w:firstLine="0"/>
            </w:pPr>
            <w:r>
              <w:rPr>
                <w:b/>
                <w:sz w:val="20"/>
              </w:rPr>
              <w:t xml:space="preserve">РБ </w:t>
            </w:r>
          </w:p>
        </w:tc>
        <w:tc>
          <w:tcPr>
            <w:tcW w:w="4123" w:type="dxa"/>
            <w:vMerge w:val="restart"/>
            <w:tcBorders>
              <w:top w:val="single" w:sz="8" w:space="0" w:color="000000"/>
              <w:left w:val="single" w:sz="8" w:space="0" w:color="000000"/>
              <w:bottom w:val="single" w:sz="8" w:space="0" w:color="000000"/>
              <w:right w:val="single" w:sz="8" w:space="0" w:color="000000"/>
            </w:tcBorders>
            <w:vAlign w:val="center"/>
          </w:tcPr>
          <w:p w:rsidR="00E8309B" w:rsidRDefault="009D0949">
            <w:pPr>
              <w:spacing w:after="0" w:line="259" w:lineRule="auto"/>
              <w:ind w:left="0" w:right="0" w:firstLine="0"/>
              <w:jc w:val="left"/>
            </w:pPr>
            <w:r>
              <w:rPr>
                <w:b/>
                <w:sz w:val="20"/>
              </w:rPr>
              <w:t xml:space="preserve">Планиране активности </w:t>
            </w:r>
          </w:p>
        </w:tc>
        <w:tc>
          <w:tcPr>
            <w:tcW w:w="419" w:type="dxa"/>
            <w:tcBorders>
              <w:top w:val="single" w:sz="8" w:space="0" w:color="000000"/>
              <w:left w:val="single" w:sz="8" w:space="0" w:color="000000"/>
              <w:bottom w:val="single" w:sz="4" w:space="0" w:color="000000"/>
              <w:right w:val="nil"/>
            </w:tcBorders>
          </w:tcPr>
          <w:p w:rsidR="00E8309B" w:rsidRDefault="00E8309B">
            <w:pPr>
              <w:spacing w:after="160" w:line="259" w:lineRule="auto"/>
              <w:ind w:left="0" w:right="0" w:firstLine="0"/>
              <w:jc w:val="left"/>
            </w:pPr>
          </w:p>
        </w:tc>
        <w:tc>
          <w:tcPr>
            <w:tcW w:w="844" w:type="dxa"/>
            <w:gridSpan w:val="2"/>
            <w:tcBorders>
              <w:top w:val="single" w:sz="8" w:space="0" w:color="000000"/>
              <w:left w:val="nil"/>
              <w:bottom w:val="single" w:sz="4" w:space="0" w:color="000000"/>
              <w:right w:val="nil"/>
            </w:tcBorders>
          </w:tcPr>
          <w:p w:rsidR="00E8309B" w:rsidRDefault="009D0949">
            <w:pPr>
              <w:spacing w:after="0" w:line="259" w:lineRule="auto"/>
              <w:ind w:left="0" w:right="45" w:firstLine="0"/>
              <w:jc w:val="center"/>
            </w:pPr>
            <w:r>
              <w:rPr>
                <w:b/>
                <w:sz w:val="20"/>
              </w:rPr>
              <w:t xml:space="preserve">2021 </w:t>
            </w:r>
          </w:p>
        </w:tc>
        <w:tc>
          <w:tcPr>
            <w:tcW w:w="421" w:type="dxa"/>
            <w:tcBorders>
              <w:top w:val="single" w:sz="8" w:space="0" w:color="000000"/>
              <w:left w:val="nil"/>
              <w:bottom w:val="single" w:sz="4" w:space="0" w:color="000000"/>
              <w:right w:val="single" w:sz="8" w:space="0" w:color="000000"/>
            </w:tcBorders>
          </w:tcPr>
          <w:p w:rsidR="00E8309B" w:rsidRDefault="00E8309B">
            <w:pPr>
              <w:spacing w:after="160" w:line="259" w:lineRule="auto"/>
              <w:ind w:left="0" w:right="0" w:firstLine="0"/>
              <w:jc w:val="left"/>
            </w:pPr>
          </w:p>
        </w:tc>
        <w:tc>
          <w:tcPr>
            <w:tcW w:w="424" w:type="dxa"/>
            <w:tcBorders>
              <w:top w:val="single" w:sz="8" w:space="0" w:color="000000"/>
              <w:left w:val="single" w:sz="8" w:space="0" w:color="000000"/>
              <w:bottom w:val="single" w:sz="4" w:space="0" w:color="000000"/>
              <w:right w:val="nil"/>
            </w:tcBorders>
          </w:tcPr>
          <w:p w:rsidR="00E8309B" w:rsidRDefault="00E8309B">
            <w:pPr>
              <w:spacing w:after="160" w:line="259" w:lineRule="auto"/>
              <w:ind w:left="0" w:right="0" w:firstLine="0"/>
              <w:jc w:val="left"/>
            </w:pPr>
          </w:p>
        </w:tc>
        <w:tc>
          <w:tcPr>
            <w:tcW w:w="844" w:type="dxa"/>
            <w:gridSpan w:val="2"/>
            <w:tcBorders>
              <w:top w:val="single" w:sz="8" w:space="0" w:color="000000"/>
              <w:left w:val="nil"/>
              <w:bottom w:val="single" w:sz="4" w:space="0" w:color="000000"/>
              <w:right w:val="nil"/>
            </w:tcBorders>
          </w:tcPr>
          <w:p w:rsidR="00E8309B" w:rsidRDefault="009D0949">
            <w:pPr>
              <w:spacing w:after="0" w:line="259" w:lineRule="auto"/>
              <w:ind w:left="0" w:right="48" w:firstLine="0"/>
              <w:jc w:val="center"/>
            </w:pPr>
            <w:r>
              <w:rPr>
                <w:b/>
                <w:sz w:val="20"/>
              </w:rPr>
              <w:t xml:space="preserve">2022 </w:t>
            </w:r>
          </w:p>
        </w:tc>
        <w:tc>
          <w:tcPr>
            <w:tcW w:w="420" w:type="dxa"/>
            <w:tcBorders>
              <w:top w:val="single" w:sz="8" w:space="0" w:color="000000"/>
              <w:left w:val="nil"/>
              <w:bottom w:val="single" w:sz="4" w:space="0" w:color="000000"/>
              <w:right w:val="single" w:sz="8" w:space="0" w:color="000000"/>
            </w:tcBorders>
          </w:tcPr>
          <w:p w:rsidR="00E8309B" w:rsidRDefault="00E8309B">
            <w:pPr>
              <w:spacing w:after="160" w:line="259" w:lineRule="auto"/>
              <w:ind w:left="0" w:right="0" w:firstLine="0"/>
              <w:jc w:val="left"/>
            </w:pPr>
          </w:p>
        </w:tc>
        <w:tc>
          <w:tcPr>
            <w:tcW w:w="424" w:type="dxa"/>
            <w:tcBorders>
              <w:top w:val="single" w:sz="8" w:space="0" w:color="000000"/>
              <w:left w:val="single" w:sz="8" w:space="0" w:color="000000"/>
              <w:bottom w:val="single" w:sz="4" w:space="0" w:color="000000"/>
              <w:right w:val="nil"/>
            </w:tcBorders>
          </w:tcPr>
          <w:p w:rsidR="00E8309B" w:rsidRDefault="00E8309B">
            <w:pPr>
              <w:spacing w:after="160" w:line="259" w:lineRule="auto"/>
              <w:ind w:left="0" w:right="0" w:firstLine="0"/>
              <w:jc w:val="left"/>
            </w:pPr>
          </w:p>
        </w:tc>
        <w:tc>
          <w:tcPr>
            <w:tcW w:w="845" w:type="dxa"/>
            <w:gridSpan w:val="2"/>
            <w:tcBorders>
              <w:top w:val="single" w:sz="8" w:space="0" w:color="000000"/>
              <w:left w:val="nil"/>
              <w:bottom w:val="single" w:sz="4" w:space="0" w:color="000000"/>
              <w:right w:val="nil"/>
            </w:tcBorders>
          </w:tcPr>
          <w:p w:rsidR="00E8309B" w:rsidRDefault="009D0949">
            <w:pPr>
              <w:spacing w:after="0" w:line="259" w:lineRule="auto"/>
              <w:ind w:left="0" w:right="49" w:firstLine="0"/>
              <w:jc w:val="center"/>
            </w:pPr>
            <w:r>
              <w:rPr>
                <w:b/>
                <w:sz w:val="20"/>
              </w:rPr>
              <w:t xml:space="preserve">2023 </w:t>
            </w:r>
          </w:p>
        </w:tc>
        <w:tc>
          <w:tcPr>
            <w:tcW w:w="420" w:type="dxa"/>
            <w:tcBorders>
              <w:top w:val="single" w:sz="8" w:space="0" w:color="000000"/>
              <w:left w:val="nil"/>
              <w:bottom w:val="single" w:sz="4" w:space="0" w:color="000000"/>
              <w:right w:val="single" w:sz="8" w:space="0" w:color="000000"/>
            </w:tcBorders>
          </w:tcPr>
          <w:p w:rsidR="00E8309B" w:rsidRDefault="00E8309B">
            <w:pPr>
              <w:spacing w:after="160" w:line="259" w:lineRule="auto"/>
              <w:ind w:left="0" w:right="0" w:firstLine="0"/>
              <w:jc w:val="left"/>
            </w:pPr>
          </w:p>
        </w:tc>
      </w:tr>
      <w:tr w:rsidR="00E8309B">
        <w:trPr>
          <w:trHeight w:val="326"/>
        </w:trPr>
        <w:tc>
          <w:tcPr>
            <w:tcW w:w="0" w:type="auto"/>
            <w:vMerge/>
            <w:tcBorders>
              <w:top w:val="nil"/>
              <w:left w:val="single" w:sz="8" w:space="0" w:color="000000"/>
              <w:bottom w:val="single" w:sz="8" w:space="0" w:color="000000"/>
              <w:right w:val="single" w:sz="8" w:space="0" w:color="000000"/>
            </w:tcBorders>
          </w:tcPr>
          <w:p w:rsidR="00E8309B" w:rsidRDefault="00E8309B">
            <w:pPr>
              <w:spacing w:after="160" w:line="259" w:lineRule="auto"/>
              <w:ind w:left="0" w:right="0" w:firstLine="0"/>
              <w:jc w:val="left"/>
            </w:pPr>
          </w:p>
        </w:tc>
        <w:tc>
          <w:tcPr>
            <w:tcW w:w="0" w:type="auto"/>
            <w:vMerge/>
            <w:tcBorders>
              <w:top w:val="nil"/>
              <w:left w:val="single" w:sz="8" w:space="0" w:color="000000"/>
              <w:bottom w:val="single" w:sz="8" w:space="0" w:color="000000"/>
              <w:right w:val="single" w:sz="8" w:space="0" w:color="000000"/>
            </w:tcBorders>
          </w:tcPr>
          <w:p w:rsidR="00E8309B" w:rsidRDefault="00E8309B">
            <w:pPr>
              <w:spacing w:after="160" w:line="259" w:lineRule="auto"/>
              <w:ind w:left="0" w:right="0" w:firstLine="0"/>
              <w:jc w:val="left"/>
            </w:pPr>
          </w:p>
        </w:tc>
        <w:tc>
          <w:tcPr>
            <w:tcW w:w="419" w:type="dxa"/>
            <w:tcBorders>
              <w:top w:val="single" w:sz="4" w:space="0" w:color="000000"/>
              <w:left w:val="single" w:sz="8" w:space="0" w:color="000000"/>
              <w:bottom w:val="single" w:sz="8" w:space="0" w:color="000000"/>
              <w:right w:val="single" w:sz="4" w:space="0" w:color="000000"/>
            </w:tcBorders>
          </w:tcPr>
          <w:p w:rsidR="00E8309B" w:rsidRDefault="009D0949">
            <w:pPr>
              <w:spacing w:after="0" w:line="259" w:lineRule="auto"/>
              <w:ind w:left="42" w:right="0" w:firstLine="0"/>
              <w:jc w:val="left"/>
            </w:pPr>
            <w:r>
              <w:rPr>
                <w:i/>
                <w:sz w:val="18"/>
              </w:rPr>
              <w:t xml:space="preserve">Q1 </w:t>
            </w:r>
          </w:p>
        </w:tc>
        <w:tc>
          <w:tcPr>
            <w:tcW w:w="421" w:type="dxa"/>
            <w:tcBorders>
              <w:top w:val="single" w:sz="4" w:space="0" w:color="000000"/>
              <w:left w:val="single" w:sz="4" w:space="0" w:color="000000"/>
              <w:bottom w:val="single" w:sz="8" w:space="0" w:color="000000"/>
              <w:right w:val="single" w:sz="4" w:space="0" w:color="000000"/>
            </w:tcBorders>
          </w:tcPr>
          <w:p w:rsidR="00E8309B" w:rsidRDefault="009D0949">
            <w:pPr>
              <w:spacing w:after="0" w:line="259" w:lineRule="auto"/>
              <w:ind w:left="43" w:right="0" w:firstLine="0"/>
              <w:jc w:val="left"/>
            </w:pPr>
            <w:r>
              <w:rPr>
                <w:i/>
                <w:sz w:val="18"/>
              </w:rPr>
              <w:t xml:space="preserve">Q2 </w:t>
            </w:r>
          </w:p>
        </w:tc>
        <w:tc>
          <w:tcPr>
            <w:tcW w:w="422" w:type="dxa"/>
            <w:tcBorders>
              <w:top w:val="single" w:sz="4" w:space="0" w:color="000000"/>
              <w:left w:val="single" w:sz="4" w:space="0" w:color="000000"/>
              <w:bottom w:val="single" w:sz="8" w:space="0" w:color="000000"/>
              <w:right w:val="single" w:sz="4" w:space="0" w:color="000000"/>
            </w:tcBorders>
          </w:tcPr>
          <w:p w:rsidR="00E8309B" w:rsidRDefault="009D0949">
            <w:pPr>
              <w:spacing w:after="0" w:line="259" w:lineRule="auto"/>
              <w:ind w:left="44" w:right="0" w:firstLine="0"/>
              <w:jc w:val="left"/>
            </w:pPr>
            <w:r>
              <w:rPr>
                <w:i/>
                <w:sz w:val="18"/>
              </w:rPr>
              <w:t xml:space="preserve">Q3 </w:t>
            </w:r>
          </w:p>
        </w:tc>
        <w:tc>
          <w:tcPr>
            <w:tcW w:w="421" w:type="dxa"/>
            <w:tcBorders>
              <w:top w:val="single" w:sz="4" w:space="0" w:color="000000"/>
              <w:left w:val="single" w:sz="4" w:space="0" w:color="000000"/>
              <w:bottom w:val="single" w:sz="8" w:space="0" w:color="000000"/>
              <w:right w:val="single" w:sz="8" w:space="0" w:color="000000"/>
            </w:tcBorders>
          </w:tcPr>
          <w:p w:rsidR="00E8309B" w:rsidRDefault="009D0949">
            <w:pPr>
              <w:spacing w:after="0" w:line="259" w:lineRule="auto"/>
              <w:ind w:left="44" w:right="0" w:firstLine="0"/>
              <w:jc w:val="left"/>
            </w:pPr>
            <w:r>
              <w:rPr>
                <w:i/>
                <w:sz w:val="18"/>
              </w:rPr>
              <w:t xml:space="preserve">Q4 </w:t>
            </w:r>
          </w:p>
        </w:tc>
        <w:tc>
          <w:tcPr>
            <w:tcW w:w="424" w:type="dxa"/>
            <w:tcBorders>
              <w:top w:val="single" w:sz="4" w:space="0" w:color="000000"/>
              <w:left w:val="single" w:sz="8" w:space="0" w:color="000000"/>
              <w:bottom w:val="single" w:sz="8" w:space="0" w:color="000000"/>
              <w:right w:val="single" w:sz="4" w:space="0" w:color="000000"/>
            </w:tcBorders>
          </w:tcPr>
          <w:p w:rsidR="00E8309B" w:rsidRDefault="009D0949">
            <w:pPr>
              <w:spacing w:after="0" w:line="259" w:lineRule="auto"/>
              <w:ind w:left="46" w:right="0" w:firstLine="0"/>
              <w:jc w:val="left"/>
            </w:pPr>
            <w:r>
              <w:rPr>
                <w:i/>
                <w:sz w:val="18"/>
              </w:rPr>
              <w:t xml:space="preserve">Q1 </w:t>
            </w:r>
          </w:p>
        </w:tc>
        <w:tc>
          <w:tcPr>
            <w:tcW w:w="421" w:type="dxa"/>
            <w:tcBorders>
              <w:top w:val="single" w:sz="4" w:space="0" w:color="000000"/>
              <w:left w:val="single" w:sz="4" w:space="0" w:color="000000"/>
              <w:bottom w:val="single" w:sz="8" w:space="0" w:color="000000"/>
              <w:right w:val="single" w:sz="4" w:space="0" w:color="000000"/>
            </w:tcBorders>
          </w:tcPr>
          <w:p w:rsidR="00E8309B" w:rsidRDefault="009D0949">
            <w:pPr>
              <w:spacing w:after="0" w:line="259" w:lineRule="auto"/>
              <w:ind w:left="44" w:right="0" w:firstLine="0"/>
              <w:jc w:val="left"/>
            </w:pPr>
            <w:r>
              <w:rPr>
                <w:i/>
                <w:sz w:val="18"/>
              </w:rPr>
              <w:t xml:space="preserve">Q2 </w:t>
            </w:r>
          </w:p>
        </w:tc>
        <w:tc>
          <w:tcPr>
            <w:tcW w:w="423" w:type="dxa"/>
            <w:tcBorders>
              <w:top w:val="single" w:sz="4" w:space="0" w:color="000000"/>
              <w:left w:val="single" w:sz="4" w:space="0" w:color="000000"/>
              <w:bottom w:val="single" w:sz="8" w:space="0" w:color="000000"/>
              <w:right w:val="single" w:sz="4" w:space="0" w:color="000000"/>
            </w:tcBorders>
          </w:tcPr>
          <w:p w:rsidR="00E8309B" w:rsidRDefault="009D0949">
            <w:pPr>
              <w:spacing w:after="0" w:line="259" w:lineRule="auto"/>
              <w:ind w:left="46" w:right="0" w:firstLine="0"/>
              <w:jc w:val="left"/>
            </w:pPr>
            <w:r>
              <w:rPr>
                <w:i/>
                <w:sz w:val="18"/>
              </w:rPr>
              <w:t xml:space="preserve">Q3 </w:t>
            </w:r>
          </w:p>
        </w:tc>
        <w:tc>
          <w:tcPr>
            <w:tcW w:w="420" w:type="dxa"/>
            <w:tcBorders>
              <w:top w:val="single" w:sz="4" w:space="0" w:color="000000"/>
              <w:left w:val="single" w:sz="4" w:space="0" w:color="000000"/>
              <w:bottom w:val="single" w:sz="8" w:space="0" w:color="000000"/>
              <w:right w:val="single" w:sz="8" w:space="0" w:color="000000"/>
            </w:tcBorders>
          </w:tcPr>
          <w:p w:rsidR="00E8309B" w:rsidRDefault="009D0949">
            <w:pPr>
              <w:spacing w:after="0" w:line="259" w:lineRule="auto"/>
              <w:ind w:left="43" w:right="0" w:firstLine="0"/>
              <w:jc w:val="left"/>
            </w:pPr>
            <w:r>
              <w:rPr>
                <w:i/>
                <w:sz w:val="18"/>
              </w:rPr>
              <w:t xml:space="preserve">Q4 </w:t>
            </w:r>
          </w:p>
        </w:tc>
        <w:tc>
          <w:tcPr>
            <w:tcW w:w="424" w:type="dxa"/>
            <w:tcBorders>
              <w:top w:val="single" w:sz="4" w:space="0" w:color="000000"/>
              <w:left w:val="single" w:sz="8" w:space="0" w:color="000000"/>
              <w:bottom w:val="single" w:sz="8" w:space="0" w:color="000000"/>
              <w:right w:val="single" w:sz="4" w:space="0" w:color="000000"/>
            </w:tcBorders>
          </w:tcPr>
          <w:p w:rsidR="00E8309B" w:rsidRDefault="009D0949">
            <w:pPr>
              <w:spacing w:after="0" w:line="259" w:lineRule="auto"/>
              <w:ind w:left="46" w:right="0" w:firstLine="0"/>
              <w:jc w:val="left"/>
            </w:pPr>
            <w:r>
              <w:rPr>
                <w:i/>
                <w:sz w:val="18"/>
              </w:rPr>
              <w:t xml:space="preserve">Q1 </w:t>
            </w:r>
          </w:p>
        </w:tc>
        <w:tc>
          <w:tcPr>
            <w:tcW w:w="422" w:type="dxa"/>
            <w:tcBorders>
              <w:top w:val="single" w:sz="4" w:space="0" w:color="000000"/>
              <w:left w:val="single" w:sz="4" w:space="0" w:color="000000"/>
              <w:bottom w:val="single" w:sz="8" w:space="0" w:color="000000"/>
              <w:right w:val="single" w:sz="4" w:space="0" w:color="000000"/>
            </w:tcBorders>
          </w:tcPr>
          <w:p w:rsidR="00E8309B" w:rsidRDefault="009D0949">
            <w:pPr>
              <w:spacing w:after="0" w:line="259" w:lineRule="auto"/>
              <w:ind w:left="44" w:right="0" w:firstLine="0"/>
              <w:jc w:val="left"/>
            </w:pPr>
            <w:r>
              <w:rPr>
                <w:i/>
                <w:sz w:val="18"/>
              </w:rPr>
              <w:t xml:space="preserve">Q2 </w:t>
            </w:r>
          </w:p>
        </w:tc>
        <w:tc>
          <w:tcPr>
            <w:tcW w:w="422" w:type="dxa"/>
            <w:tcBorders>
              <w:top w:val="single" w:sz="4" w:space="0" w:color="000000"/>
              <w:left w:val="single" w:sz="4" w:space="0" w:color="000000"/>
              <w:bottom w:val="single" w:sz="8" w:space="0" w:color="000000"/>
              <w:right w:val="single" w:sz="4" w:space="0" w:color="000000"/>
            </w:tcBorders>
          </w:tcPr>
          <w:p w:rsidR="00E8309B" w:rsidRDefault="009D0949">
            <w:pPr>
              <w:spacing w:after="0" w:line="259" w:lineRule="auto"/>
              <w:ind w:left="44" w:right="0" w:firstLine="0"/>
              <w:jc w:val="left"/>
            </w:pPr>
            <w:r>
              <w:rPr>
                <w:i/>
                <w:sz w:val="18"/>
              </w:rPr>
              <w:t xml:space="preserve">Q3 </w:t>
            </w:r>
          </w:p>
        </w:tc>
        <w:tc>
          <w:tcPr>
            <w:tcW w:w="420" w:type="dxa"/>
            <w:tcBorders>
              <w:top w:val="single" w:sz="4" w:space="0" w:color="000000"/>
              <w:left w:val="single" w:sz="4" w:space="0" w:color="000000"/>
              <w:bottom w:val="single" w:sz="8" w:space="0" w:color="000000"/>
              <w:right w:val="single" w:sz="8" w:space="0" w:color="000000"/>
            </w:tcBorders>
          </w:tcPr>
          <w:p w:rsidR="00E8309B" w:rsidRDefault="009D0949">
            <w:pPr>
              <w:spacing w:after="0" w:line="259" w:lineRule="auto"/>
              <w:ind w:left="44" w:right="0" w:firstLine="0"/>
              <w:jc w:val="left"/>
            </w:pPr>
            <w:r>
              <w:rPr>
                <w:i/>
                <w:sz w:val="18"/>
              </w:rPr>
              <w:t xml:space="preserve">Q4 </w:t>
            </w:r>
          </w:p>
        </w:tc>
      </w:tr>
      <w:tr w:rsidR="00E8309B">
        <w:trPr>
          <w:trHeight w:val="932"/>
        </w:trPr>
        <w:tc>
          <w:tcPr>
            <w:tcW w:w="427" w:type="dxa"/>
            <w:tcBorders>
              <w:top w:val="single" w:sz="8" w:space="0" w:color="000000"/>
              <w:left w:val="single" w:sz="8" w:space="0" w:color="000000"/>
              <w:bottom w:val="single" w:sz="4" w:space="0" w:color="000000"/>
              <w:right w:val="single" w:sz="8" w:space="0" w:color="000000"/>
            </w:tcBorders>
          </w:tcPr>
          <w:p w:rsidR="00E8309B" w:rsidRDefault="009D0949">
            <w:pPr>
              <w:spacing w:after="0" w:line="259" w:lineRule="auto"/>
              <w:ind w:left="0" w:right="51" w:firstLine="0"/>
              <w:jc w:val="right"/>
            </w:pPr>
            <w:r>
              <w:rPr>
                <w:sz w:val="20"/>
              </w:rPr>
              <w:t xml:space="preserve">1 </w:t>
            </w:r>
          </w:p>
        </w:tc>
        <w:tc>
          <w:tcPr>
            <w:tcW w:w="4123" w:type="dxa"/>
            <w:tcBorders>
              <w:top w:val="single" w:sz="8" w:space="0" w:color="000000"/>
              <w:left w:val="single" w:sz="8" w:space="0" w:color="000000"/>
              <w:bottom w:val="single" w:sz="4" w:space="0" w:color="000000"/>
              <w:right w:val="single" w:sz="8" w:space="0" w:color="000000"/>
            </w:tcBorders>
          </w:tcPr>
          <w:p w:rsidR="00E8309B" w:rsidRDefault="009D0949">
            <w:pPr>
              <w:spacing w:after="0" w:line="259" w:lineRule="auto"/>
              <w:ind w:left="0" w:right="15" w:firstLine="0"/>
              <w:jc w:val="left"/>
            </w:pPr>
            <w:r>
              <w:rPr>
                <w:sz w:val="20"/>
              </w:rPr>
              <w:t xml:space="preserve">Примена Акционог плана за период 20212023. године за спровођење Стратегије о економским миграцијама Републике Србије за период 2021-2027. године </w:t>
            </w:r>
          </w:p>
        </w:tc>
        <w:tc>
          <w:tcPr>
            <w:tcW w:w="419" w:type="dxa"/>
            <w:tcBorders>
              <w:top w:val="single" w:sz="8" w:space="0" w:color="000000"/>
              <w:left w:val="single" w:sz="8" w:space="0" w:color="000000"/>
              <w:bottom w:val="single" w:sz="4" w:space="0" w:color="000000"/>
              <w:right w:val="single" w:sz="4" w:space="0" w:color="000000"/>
            </w:tcBorders>
            <w:shd w:val="clear" w:color="auto" w:fill="D9D9D9"/>
            <w:vAlign w:val="center"/>
          </w:tcPr>
          <w:p w:rsidR="00E8309B" w:rsidRDefault="009D0949">
            <w:pPr>
              <w:spacing w:after="0" w:line="259" w:lineRule="auto"/>
              <w:ind w:left="1" w:right="0" w:firstLine="0"/>
              <w:jc w:val="center"/>
            </w:pPr>
            <w:r>
              <w:rPr>
                <w:sz w:val="20"/>
              </w:rPr>
              <w:t xml:space="preserve"> </w:t>
            </w:r>
          </w:p>
        </w:tc>
        <w:tc>
          <w:tcPr>
            <w:tcW w:w="421" w:type="dxa"/>
            <w:tcBorders>
              <w:top w:val="single" w:sz="8" w:space="0" w:color="000000"/>
              <w:left w:val="single" w:sz="4" w:space="0" w:color="000000"/>
              <w:bottom w:val="single" w:sz="4" w:space="0" w:color="000000"/>
              <w:right w:val="single" w:sz="4" w:space="0" w:color="000000"/>
            </w:tcBorders>
            <w:shd w:val="clear" w:color="auto" w:fill="D9D9D9"/>
            <w:vAlign w:val="center"/>
          </w:tcPr>
          <w:p w:rsidR="00E8309B" w:rsidRDefault="009D0949">
            <w:pPr>
              <w:spacing w:after="0" w:line="259" w:lineRule="auto"/>
              <w:ind w:left="1" w:right="0" w:firstLine="0"/>
              <w:jc w:val="center"/>
            </w:pPr>
            <w:r>
              <w:rPr>
                <w:sz w:val="20"/>
              </w:rPr>
              <w:t xml:space="preserve"> </w:t>
            </w:r>
          </w:p>
        </w:tc>
        <w:tc>
          <w:tcPr>
            <w:tcW w:w="422" w:type="dxa"/>
            <w:tcBorders>
              <w:top w:val="single" w:sz="8" w:space="0" w:color="000000"/>
              <w:left w:val="single" w:sz="4" w:space="0" w:color="000000"/>
              <w:bottom w:val="single" w:sz="4" w:space="0" w:color="000000"/>
              <w:right w:val="single" w:sz="4" w:space="0" w:color="000000"/>
            </w:tcBorders>
            <w:shd w:val="clear" w:color="auto" w:fill="D0CECE"/>
            <w:vAlign w:val="center"/>
          </w:tcPr>
          <w:p w:rsidR="00E8309B" w:rsidRDefault="009D0949">
            <w:pPr>
              <w:spacing w:after="0" w:line="259" w:lineRule="auto"/>
              <w:ind w:left="2" w:right="0" w:firstLine="0"/>
              <w:jc w:val="center"/>
            </w:pPr>
            <w:r>
              <w:rPr>
                <w:sz w:val="20"/>
              </w:rPr>
              <w:t xml:space="preserve"> </w:t>
            </w:r>
          </w:p>
        </w:tc>
        <w:tc>
          <w:tcPr>
            <w:tcW w:w="421" w:type="dxa"/>
            <w:tcBorders>
              <w:top w:val="single" w:sz="8" w:space="0" w:color="000000"/>
              <w:left w:val="single" w:sz="4" w:space="0" w:color="000000"/>
              <w:bottom w:val="single" w:sz="4" w:space="0" w:color="000000"/>
              <w:right w:val="single" w:sz="8" w:space="0" w:color="000000"/>
            </w:tcBorders>
            <w:shd w:val="clear" w:color="auto" w:fill="D0CECE"/>
            <w:vAlign w:val="center"/>
          </w:tcPr>
          <w:p w:rsidR="00E8309B" w:rsidRDefault="009D0949">
            <w:pPr>
              <w:spacing w:after="0" w:line="259" w:lineRule="auto"/>
              <w:ind w:left="4" w:right="0" w:firstLine="0"/>
              <w:jc w:val="center"/>
            </w:pPr>
            <w:r>
              <w:rPr>
                <w:sz w:val="20"/>
              </w:rPr>
              <w:t xml:space="preserve"> </w:t>
            </w:r>
          </w:p>
        </w:tc>
        <w:tc>
          <w:tcPr>
            <w:tcW w:w="424" w:type="dxa"/>
            <w:tcBorders>
              <w:top w:val="single" w:sz="8" w:space="0" w:color="000000"/>
              <w:left w:val="single" w:sz="8" w:space="0" w:color="000000"/>
              <w:bottom w:val="single" w:sz="4" w:space="0" w:color="000000"/>
              <w:right w:val="single" w:sz="4" w:space="0" w:color="000000"/>
            </w:tcBorders>
            <w:shd w:val="clear" w:color="auto" w:fill="D0CECE"/>
            <w:vAlign w:val="center"/>
          </w:tcPr>
          <w:p w:rsidR="00E8309B" w:rsidRDefault="009D0949">
            <w:pPr>
              <w:spacing w:after="0" w:line="259" w:lineRule="auto"/>
              <w:ind w:left="4" w:right="0" w:firstLine="0"/>
              <w:jc w:val="center"/>
            </w:pPr>
            <w:r>
              <w:rPr>
                <w:sz w:val="20"/>
              </w:rPr>
              <w:t xml:space="preserve"> </w:t>
            </w:r>
          </w:p>
        </w:tc>
        <w:tc>
          <w:tcPr>
            <w:tcW w:w="421" w:type="dxa"/>
            <w:tcBorders>
              <w:top w:val="single" w:sz="8" w:space="0" w:color="000000"/>
              <w:left w:val="single" w:sz="4" w:space="0" w:color="000000"/>
              <w:bottom w:val="single" w:sz="4" w:space="0" w:color="000000"/>
              <w:right w:val="single" w:sz="4" w:space="0" w:color="000000"/>
            </w:tcBorders>
            <w:shd w:val="clear" w:color="auto" w:fill="D0CECE"/>
            <w:vAlign w:val="center"/>
          </w:tcPr>
          <w:p w:rsidR="00E8309B" w:rsidRDefault="009D0949">
            <w:pPr>
              <w:spacing w:after="0" w:line="259" w:lineRule="auto"/>
              <w:ind w:left="4" w:right="0" w:firstLine="0"/>
              <w:jc w:val="center"/>
            </w:pPr>
            <w:r>
              <w:rPr>
                <w:sz w:val="20"/>
              </w:rPr>
              <w:t xml:space="preserve"> </w:t>
            </w:r>
          </w:p>
        </w:tc>
        <w:tc>
          <w:tcPr>
            <w:tcW w:w="423" w:type="dxa"/>
            <w:tcBorders>
              <w:top w:val="single" w:sz="8" w:space="0" w:color="000000"/>
              <w:left w:val="single" w:sz="4" w:space="0" w:color="000000"/>
              <w:bottom w:val="single" w:sz="4" w:space="0" w:color="000000"/>
              <w:right w:val="single" w:sz="4" w:space="0" w:color="000000"/>
            </w:tcBorders>
            <w:shd w:val="clear" w:color="auto" w:fill="D0CECE"/>
            <w:vAlign w:val="center"/>
          </w:tcPr>
          <w:p w:rsidR="00E8309B" w:rsidRDefault="009D0949">
            <w:pPr>
              <w:spacing w:after="0" w:line="259" w:lineRule="auto"/>
              <w:ind w:left="5" w:right="0" w:firstLine="0"/>
              <w:jc w:val="center"/>
            </w:pPr>
            <w:r>
              <w:rPr>
                <w:sz w:val="20"/>
              </w:rPr>
              <w:t xml:space="preserve"> </w:t>
            </w:r>
          </w:p>
        </w:tc>
        <w:tc>
          <w:tcPr>
            <w:tcW w:w="420" w:type="dxa"/>
            <w:tcBorders>
              <w:top w:val="single" w:sz="8" w:space="0" w:color="000000"/>
              <w:left w:val="single" w:sz="4" w:space="0" w:color="000000"/>
              <w:bottom w:val="single" w:sz="4" w:space="0" w:color="000000"/>
              <w:right w:val="single" w:sz="8" w:space="0" w:color="000000"/>
            </w:tcBorders>
            <w:shd w:val="clear" w:color="auto" w:fill="D0CECE"/>
            <w:vAlign w:val="center"/>
          </w:tcPr>
          <w:p w:rsidR="00E8309B" w:rsidRDefault="009D0949">
            <w:pPr>
              <w:spacing w:after="0" w:line="259" w:lineRule="auto"/>
              <w:ind w:left="2" w:right="0" w:firstLine="0"/>
              <w:jc w:val="center"/>
            </w:pPr>
            <w:r>
              <w:rPr>
                <w:sz w:val="20"/>
              </w:rPr>
              <w:t xml:space="preserve"> </w:t>
            </w:r>
          </w:p>
        </w:tc>
        <w:tc>
          <w:tcPr>
            <w:tcW w:w="424" w:type="dxa"/>
            <w:tcBorders>
              <w:top w:val="single" w:sz="8" w:space="0" w:color="000000"/>
              <w:left w:val="single" w:sz="8" w:space="0" w:color="000000"/>
              <w:bottom w:val="single" w:sz="4" w:space="0" w:color="000000"/>
              <w:right w:val="single" w:sz="4" w:space="0" w:color="000000"/>
            </w:tcBorders>
            <w:shd w:val="clear" w:color="auto" w:fill="D0CECE"/>
            <w:vAlign w:val="center"/>
          </w:tcPr>
          <w:p w:rsidR="00E8309B" w:rsidRDefault="009D0949">
            <w:pPr>
              <w:spacing w:after="0" w:line="259" w:lineRule="auto"/>
              <w:ind w:left="4" w:right="0" w:firstLine="0"/>
              <w:jc w:val="center"/>
            </w:pPr>
            <w:r>
              <w:rPr>
                <w:sz w:val="20"/>
              </w:rPr>
              <w:t xml:space="preserve"> </w:t>
            </w:r>
          </w:p>
        </w:tc>
        <w:tc>
          <w:tcPr>
            <w:tcW w:w="422" w:type="dxa"/>
            <w:tcBorders>
              <w:top w:val="single" w:sz="8" w:space="0" w:color="000000"/>
              <w:left w:val="single" w:sz="4" w:space="0" w:color="000000"/>
              <w:bottom w:val="single" w:sz="4" w:space="0" w:color="000000"/>
              <w:right w:val="single" w:sz="4" w:space="0" w:color="000000"/>
            </w:tcBorders>
            <w:shd w:val="clear" w:color="auto" w:fill="D0CECE"/>
            <w:vAlign w:val="center"/>
          </w:tcPr>
          <w:p w:rsidR="00E8309B" w:rsidRDefault="009D0949">
            <w:pPr>
              <w:spacing w:after="0" w:line="259" w:lineRule="auto"/>
              <w:ind w:left="2" w:right="0" w:firstLine="0"/>
              <w:jc w:val="center"/>
            </w:pPr>
            <w:r>
              <w:rPr>
                <w:sz w:val="20"/>
              </w:rPr>
              <w:t xml:space="preserve"> </w:t>
            </w:r>
          </w:p>
        </w:tc>
        <w:tc>
          <w:tcPr>
            <w:tcW w:w="422" w:type="dxa"/>
            <w:tcBorders>
              <w:top w:val="single" w:sz="8" w:space="0" w:color="000000"/>
              <w:left w:val="single" w:sz="4" w:space="0" w:color="000000"/>
              <w:bottom w:val="single" w:sz="4" w:space="0" w:color="000000"/>
              <w:right w:val="single" w:sz="4" w:space="0" w:color="000000"/>
            </w:tcBorders>
            <w:shd w:val="clear" w:color="auto" w:fill="D0CECE"/>
            <w:vAlign w:val="center"/>
          </w:tcPr>
          <w:p w:rsidR="00E8309B" w:rsidRDefault="009D0949">
            <w:pPr>
              <w:spacing w:after="0" w:line="259" w:lineRule="auto"/>
              <w:ind w:left="2" w:right="0" w:firstLine="0"/>
              <w:jc w:val="center"/>
            </w:pPr>
            <w:r>
              <w:rPr>
                <w:sz w:val="20"/>
              </w:rPr>
              <w:t xml:space="preserve"> </w:t>
            </w:r>
          </w:p>
        </w:tc>
        <w:tc>
          <w:tcPr>
            <w:tcW w:w="420" w:type="dxa"/>
            <w:tcBorders>
              <w:top w:val="single" w:sz="8" w:space="0" w:color="000000"/>
              <w:left w:val="single" w:sz="4" w:space="0" w:color="000000"/>
              <w:bottom w:val="single" w:sz="4" w:space="0" w:color="000000"/>
              <w:right w:val="single" w:sz="8" w:space="0" w:color="000000"/>
            </w:tcBorders>
            <w:shd w:val="clear" w:color="auto" w:fill="D0CECE"/>
            <w:vAlign w:val="center"/>
          </w:tcPr>
          <w:p w:rsidR="00E8309B" w:rsidRDefault="009D0949">
            <w:pPr>
              <w:spacing w:after="0" w:line="259" w:lineRule="auto"/>
              <w:ind w:left="5" w:right="0" w:firstLine="0"/>
              <w:jc w:val="center"/>
            </w:pPr>
            <w:r>
              <w:rPr>
                <w:sz w:val="20"/>
              </w:rPr>
              <w:t xml:space="preserve"> </w:t>
            </w:r>
          </w:p>
        </w:tc>
      </w:tr>
      <w:tr w:rsidR="00E8309B">
        <w:trPr>
          <w:trHeight w:val="700"/>
        </w:trPr>
        <w:tc>
          <w:tcPr>
            <w:tcW w:w="427" w:type="dxa"/>
            <w:tcBorders>
              <w:top w:val="single" w:sz="4" w:space="0" w:color="000000"/>
              <w:left w:val="single" w:sz="8" w:space="0" w:color="000000"/>
              <w:bottom w:val="single" w:sz="4" w:space="0" w:color="000000"/>
              <w:right w:val="single" w:sz="8" w:space="0" w:color="000000"/>
            </w:tcBorders>
          </w:tcPr>
          <w:p w:rsidR="00E8309B" w:rsidRDefault="009D0949">
            <w:pPr>
              <w:spacing w:after="0" w:line="259" w:lineRule="auto"/>
              <w:ind w:left="0" w:right="51" w:firstLine="0"/>
              <w:jc w:val="right"/>
            </w:pPr>
            <w:r>
              <w:rPr>
                <w:sz w:val="20"/>
              </w:rPr>
              <w:t xml:space="preserve">2 </w:t>
            </w:r>
          </w:p>
        </w:tc>
        <w:tc>
          <w:tcPr>
            <w:tcW w:w="4123" w:type="dxa"/>
            <w:tcBorders>
              <w:top w:val="single" w:sz="4" w:space="0" w:color="000000"/>
              <w:left w:val="single" w:sz="8" w:space="0" w:color="000000"/>
              <w:bottom w:val="single" w:sz="4" w:space="0" w:color="000000"/>
              <w:right w:val="single" w:sz="8" w:space="0" w:color="000000"/>
            </w:tcBorders>
          </w:tcPr>
          <w:p w:rsidR="00E8309B" w:rsidRDefault="009D0949">
            <w:pPr>
              <w:spacing w:after="0" w:line="259" w:lineRule="auto"/>
              <w:ind w:left="0" w:right="0" w:firstLine="0"/>
              <w:jc w:val="left"/>
            </w:pPr>
            <w:r>
              <w:rPr>
                <w:sz w:val="20"/>
              </w:rPr>
              <w:t xml:space="preserve">Јачање капацитета институција надлежних за праћење миграционих кретања и креирање нових група, тела и слично </w:t>
            </w:r>
          </w:p>
        </w:tc>
        <w:tc>
          <w:tcPr>
            <w:tcW w:w="419" w:type="dxa"/>
            <w:tcBorders>
              <w:top w:val="single" w:sz="4" w:space="0" w:color="000000"/>
              <w:left w:val="single" w:sz="8" w:space="0" w:color="000000"/>
              <w:bottom w:val="single" w:sz="4" w:space="0" w:color="000000"/>
              <w:right w:val="single" w:sz="4" w:space="0" w:color="000000"/>
            </w:tcBorders>
            <w:vAlign w:val="center"/>
          </w:tcPr>
          <w:p w:rsidR="00E8309B" w:rsidRDefault="009D0949">
            <w:pPr>
              <w:spacing w:after="0" w:line="259" w:lineRule="auto"/>
              <w:ind w:left="1" w:right="0" w:firstLine="0"/>
              <w:jc w:val="center"/>
            </w:pPr>
            <w:r>
              <w:rPr>
                <w:sz w:val="20"/>
              </w:rPr>
              <w:t xml:space="preserve"> </w:t>
            </w:r>
          </w:p>
        </w:tc>
        <w:tc>
          <w:tcPr>
            <w:tcW w:w="421"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1" w:right="0" w:firstLine="0"/>
              <w:jc w:val="center"/>
            </w:pPr>
            <w:r>
              <w:rPr>
                <w:sz w:val="20"/>
              </w:rPr>
              <w:t xml:space="preserve"> </w:t>
            </w:r>
          </w:p>
        </w:tc>
        <w:tc>
          <w:tcPr>
            <w:tcW w:w="422"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E8309B" w:rsidRDefault="009D0949">
            <w:pPr>
              <w:spacing w:after="0" w:line="259" w:lineRule="auto"/>
              <w:ind w:left="2" w:right="0" w:firstLine="0"/>
              <w:jc w:val="center"/>
            </w:pPr>
            <w:r>
              <w:rPr>
                <w:sz w:val="20"/>
              </w:rPr>
              <w:t xml:space="preserve"> </w:t>
            </w:r>
          </w:p>
        </w:tc>
        <w:tc>
          <w:tcPr>
            <w:tcW w:w="421" w:type="dxa"/>
            <w:tcBorders>
              <w:top w:val="single" w:sz="4" w:space="0" w:color="000000"/>
              <w:left w:val="single" w:sz="4" w:space="0" w:color="000000"/>
              <w:bottom w:val="single" w:sz="4" w:space="0" w:color="000000"/>
              <w:right w:val="single" w:sz="8" w:space="0" w:color="000000"/>
            </w:tcBorders>
            <w:shd w:val="clear" w:color="auto" w:fill="D9D9D9"/>
            <w:vAlign w:val="center"/>
          </w:tcPr>
          <w:p w:rsidR="00E8309B" w:rsidRDefault="009D0949">
            <w:pPr>
              <w:spacing w:after="0" w:line="259" w:lineRule="auto"/>
              <w:ind w:left="4" w:right="0" w:firstLine="0"/>
              <w:jc w:val="center"/>
            </w:pPr>
            <w:r>
              <w:rPr>
                <w:sz w:val="20"/>
              </w:rPr>
              <w:t xml:space="preserve"> </w:t>
            </w:r>
          </w:p>
        </w:tc>
        <w:tc>
          <w:tcPr>
            <w:tcW w:w="424" w:type="dxa"/>
            <w:tcBorders>
              <w:top w:val="single" w:sz="4" w:space="0" w:color="000000"/>
              <w:left w:val="single" w:sz="8" w:space="0" w:color="000000"/>
              <w:bottom w:val="single" w:sz="4" w:space="0" w:color="000000"/>
              <w:right w:val="single" w:sz="4" w:space="0" w:color="000000"/>
            </w:tcBorders>
            <w:shd w:val="clear" w:color="auto" w:fill="D9D9D9"/>
            <w:vAlign w:val="center"/>
          </w:tcPr>
          <w:p w:rsidR="00E8309B" w:rsidRDefault="009D0949">
            <w:pPr>
              <w:spacing w:after="0" w:line="259" w:lineRule="auto"/>
              <w:ind w:left="4" w:right="0" w:firstLine="0"/>
              <w:jc w:val="center"/>
            </w:pPr>
            <w:r>
              <w:rPr>
                <w:sz w:val="20"/>
              </w:rPr>
              <w:t xml:space="preserve"> </w:t>
            </w:r>
          </w:p>
        </w:tc>
        <w:tc>
          <w:tcPr>
            <w:tcW w:w="421"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E8309B" w:rsidRDefault="009D0949">
            <w:pPr>
              <w:spacing w:after="0" w:line="259" w:lineRule="auto"/>
              <w:ind w:left="4" w:right="0" w:firstLine="0"/>
              <w:jc w:val="center"/>
            </w:pPr>
            <w:r>
              <w:rPr>
                <w:sz w:val="20"/>
              </w:rPr>
              <w:t xml:space="preserve"> </w:t>
            </w:r>
          </w:p>
        </w:tc>
        <w:tc>
          <w:tcPr>
            <w:tcW w:w="423"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E8309B" w:rsidRDefault="009D0949">
            <w:pPr>
              <w:spacing w:after="0" w:line="259" w:lineRule="auto"/>
              <w:ind w:left="5" w:right="0" w:firstLine="0"/>
              <w:jc w:val="center"/>
            </w:pPr>
            <w:r>
              <w:rPr>
                <w:sz w:val="20"/>
              </w:rPr>
              <w:t xml:space="preserve"> </w:t>
            </w:r>
          </w:p>
        </w:tc>
        <w:tc>
          <w:tcPr>
            <w:tcW w:w="420" w:type="dxa"/>
            <w:tcBorders>
              <w:top w:val="single" w:sz="4" w:space="0" w:color="000000"/>
              <w:left w:val="single" w:sz="4" w:space="0" w:color="000000"/>
              <w:bottom w:val="single" w:sz="4" w:space="0" w:color="000000"/>
              <w:right w:val="single" w:sz="8" w:space="0" w:color="000000"/>
            </w:tcBorders>
            <w:shd w:val="clear" w:color="auto" w:fill="D9D9D9"/>
            <w:vAlign w:val="center"/>
          </w:tcPr>
          <w:p w:rsidR="00E8309B" w:rsidRDefault="009D0949">
            <w:pPr>
              <w:spacing w:after="0" w:line="259" w:lineRule="auto"/>
              <w:ind w:left="2" w:right="0" w:firstLine="0"/>
              <w:jc w:val="center"/>
            </w:pPr>
            <w:r>
              <w:rPr>
                <w:sz w:val="20"/>
              </w:rPr>
              <w:t xml:space="preserve"> </w:t>
            </w:r>
          </w:p>
        </w:tc>
        <w:tc>
          <w:tcPr>
            <w:tcW w:w="424" w:type="dxa"/>
            <w:tcBorders>
              <w:top w:val="single" w:sz="4" w:space="0" w:color="000000"/>
              <w:left w:val="single" w:sz="8" w:space="0" w:color="000000"/>
              <w:bottom w:val="single" w:sz="4" w:space="0" w:color="000000"/>
              <w:right w:val="single" w:sz="4" w:space="0" w:color="000000"/>
            </w:tcBorders>
            <w:shd w:val="clear" w:color="auto" w:fill="D9D9D9"/>
            <w:vAlign w:val="center"/>
          </w:tcPr>
          <w:p w:rsidR="00E8309B" w:rsidRDefault="009D0949">
            <w:pPr>
              <w:spacing w:after="0" w:line="259" w:lineRule="auto"/>
              <w:ind w:left="4" w:right="0" w:firstLine="0"/>
              <w:jc w:val="center"/>
            </w:pPr>
            <w:r>
              <w:rPr>
                <w:sz w:val="20"/>
              </w:rPr>
              <w:t xml:space="preserve"> </w:t>
            </w:r>
          </w:p>
        </w:tc>
        <w:tc>
          <w:tcPr>
            <w:tcW w:w="422"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E8309B" w:rsidRDefault="009D0949">
            <w:pPr>
              <w:spacing w:after="0" w:line="259" w:lineRule="auto"/>
              <w:ind w:left="2" w:right="0" w:firstLine="0"/>
              <w:jc w:val="center"/>
            </w:pPr>
            <w:r>
              <w:rPr>
                <w:sz w:val="20"/>
              </w:rPr>
              <w:t xml:space="preserve"> </w:t>
            </w:r>
          </w:p>
        </w:tc>
        <w:tc>
          <w:tcPr>
            <w:tcW w:w="422"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E8309B" w:rsidRDefault="009D0949">
            <w:pPr>
              <w:spacing w:after="0" w:line="259" w:lineRule="auto"/>
              <w:ind w:left="2" w:right="0" w:firstLine="0"/>
              <w:jc w:val="center"/>
            </w:pPr>
            <w:r>
              <w:rPr>
                <w:sz w:val="20"/>
              </w:rPr>
              <w:t xml:space="preserve"> </w:t>
            </w:r>
          </w:p>
        </w:tc>
        <w:tc>
          <w:tcPr>
            <w:tcW w:w="420" w:type="dxa"/>
            <w:tcBorders>
              <w:top w:val="single" w:sz="4" w:space="0" w:color="000000"/>
              <w:left w:val="single" w:sz="4" w:space="0" w:color="000000"/>
              <w:bottom w:val="single" w:sz="4" w:space="0" w:color="000000"/>
              <w:right w:val="single" w:sz="8" w:space="0" w:color="000000"/>
            </w:tcBorders>
            <w:shd w:val="clear" w:color="auto" w:fill="D9D9D9"/>
            <w:vAlign w:val="center"/>
          </w:tcPr>
          <w:p w:rsidR="00E8309B" w:rsidRDefault="009D0949">
            <w:pPr>
              <w:spacing w:after="0" w:line="259" w:lineRule="auto"/>
              <w:ind w:left="5" w:right="0" w:firstLine="0"/>
              <w:jc w:val="center"/>
            </w:pPr>
            <w:r>
              <w:rPr>
                <w:sz w:val="20"/>
              </w:rPr>
              <w:t xml:space="preserve"> </w:t>
            </w:r>
          </w:p>
        </w:tc>
      </w:tr>
      <w:tr w:rsidR="00E8309B">
        <w:trPr>
          <w:trHeight w:val="932"/>
        </w:trPr>
        <w:tc>
          <w:tcPr>
            <w:tcW w:w="427" w:type="dxa"/>
            <w:tcBorders>
              <w:top w:val="single" w:sz="4" w:space="0" w:color="000000"/>
              <w:left w:val="single" w:sz="8" w:space="0" w:color="000000"/>
              <w:bottom w:val="single" w:sz="4" w:space="0" w:color="000000"/>
              <w:right w:val="single" w:sz="8" w:space="0" w:color="000000"/>
            </w:tcBorders>
          </w:tcPr>
          <w:p w:rsidR="00E8309B" w:rsidRDefault="009D0949">
            <w:pPr>
              <w:spacing w:after="0" w:line="259" w:lineRule="auto"/>
              <w:ind w:left="0" w:right="51" w:firstLine="0"/>
              <w:jc w:val="right"/>
            </w:pPr>
            <w:r>
              <w:rPr>
                <w:sz w:val="20"/>
              </w:rPr>
              <w:t xml:space="preserve">3 </w:t>
            </w:r>
          </w:p>
        </w:tc>
        <w:tc>
          <w:tcPr>
            <w:tcW w:w="4123" w:type="dxa"/>
            <w:tcBorders>
              <w:top w:val="single" w:sz="4" w:space="0" w:color="000000"/>
              <w:left w:val="single" w:sz="8" w:space="0" w:color="000000"/>
              <w:bottom w:val="single" w:sz="4" w:space="0" w:color="000000"/>
              <w:right w:val="single" w:sz="8" w:space="0" w:color="000000"/>
            </w:tcBorders>
          </w:tcPr>
          <w:p w:rsidR="00E8309B" w:rsidRDefault="009D0949">
            <w:pPr>
              <w:spacing w:after="0" w:line="259" w:lineRule="auto"/>
              <w:ind w:left="0" w:right="0" w:firstLine="0"/>
              <w:jc w:val="left"/>
            </w:pPr>
            <w:r>
              <w:rPr>
                <w:sz w:val="20"/>
              </w:rPr>
              <w:t xml:space="preserve">Јачање капацитета организације за успостављање сарадње са дијаспором на основу примера добре праксе из земаља са сличним иницијативама </w:t>
            </w:r>
          </w:p>
        </w:tc>
        <w:tc>
          <w:tcPr>
            <w:tcW w:w="419" w:type="dxa"/>
            <w:tcBorders>
              <w:top w:val="single" w:sz="4" w:space="0" w:color="000000"/>
              <w:left w:val="single" w:sz="8" w:space="0" w:color="000000"/>
              <w:bottom w:val="single" w:sz="4" w:space="0" w:color="000000"/>
              <w:right w:val="single" w:sz="4" w:space="0" w:color="000000"/>
            </w:tcBorders>
            <w:shd w:val="clear" w:color="auto" w:fill="D9D9D9"/>
            <w:vAlign w:val="center"/>
          </w:tcPr>
          <w:p w:rsidR="00E8309B" w:rsidRDefault="009D0949">
            <w:pPr>
              <w:spacing w:after="0" w:line="259" w:lineRule="auto"/>
              <w:ind w:left="1" w:right="0" w:firstLine="0"/>
              <w:jc w:val="center"/>
            </w:pPr>
            <w:r>
              <w:rPr>
                <w:sz w:val="20"/>
              </w:rPr>
              <w:t xml:space="preserve"> </w:t>
            </w:r>
          </w:p>
        </w:tc>
        <w:tc>
          <w:tcPr>
            <w:tcW w:w="421"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E8309B" w:rsidRDefault="009D0949">
            <w:pPr>
              <w:spacing w:after="0" w:line="259" w:lineRule="auto"/>
              <w:ind w:left="1" w:right="0" w:firstLine="0"/>
              <w:jc w:val="center"/>
            </w:pPr>
            <w:r>
              <w:rPr>
                <w:sz w:val="20"/>
              </w:rPr>
              <w:t xml:space="preserve"> </w:t>
            </w:r>
          </w:p>
        </w:tc>
        <w:tc>
          <w:tcPr>
            <w:tcW w:w="422"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E8309B" w:rsidRDefault="009D0949">
            <w:pPr>
              <w:spacing w:after="0" w:line="259" w:lineRule="auto"/>
              <w:ind w:left="2" w:right="0" w:firstLine="0"/>
              <w:jc w:val="center"/>
            </w:pPr>
            <w:r>
              <w:rPr>
                <w:sz w:val="20"/>
              </w:rPr>
              <w:t xml:space="preserve"> </w:t>
            </w:r>
          </w:p>
        </w:tc>
        <w:tc>
          <w:tcPr>
            <w:tcW w:w="421" w:type="dxa"/>
            <w:tcBorders>
              <w:top w:val="single" w:sz="4" w:space="0" w:color="000000"/>
              <w:left w:val="single" w:sz="4" w:space="0" w:color="000000"/>
              <w:bottom w:val="single" w:sz="4" w:space="0" w:color="000000"/>
              <w:right w:val="single" w:sz="8" w:space="0" w:color="000000"/>
            </w:tcBorders>
            <w:shd w:val="clear" w:color="auto" w:fill="D9D9D9"/>
            <w:vAlign w:val="center"/>
          </w:tcPr>
          <w:p w:rsidR="00E8309B" w:rsidRDefault="009D0949">
            <w:pPr>
              <w:spacing w:after="0" w:line="259" w:lineRule="auto"/>
              <w:ind w:left="4" w:right="0" w:firstLine="0"/>
              <w:jc w:val="center"/>
            </w:pPr>
            <w:r>
              <w:rPr>
                <w:sz w:val="20"/>
              </w:rPr>
              <w:t xml:space="preserve"> </w:t>
            </w:r>
          </w:p>
        </w:tc>
        <w:tc>
          <w:tcPr>
            <w:tcW w:w="424" w:type="dxa"/>
            <w:tcBorders>
              <w:top w:val="single" w:sz="4" w:space="0" w:color="000000"/>
              <w:left w:val="single" w:sz="8" w:space="0" w:color="000000"/>
              <w:bottom w:val="single" w:sz="4" w:space="0" w:color="000000"/>
              <w:right w:val="single" w:sz="4" w:space="0" w:color="000000"/>
            </w:tcBorders>
            <w:shd w:val="clear" w:color="auto" w:fill="D9D9D9"/>
            <w:vAlign w:val="center"/>
          </w:tcPr>
          <w:p w:rsidR="00E8309B" w:rsidRDefault="009D0949">
            <w:pPr>
              <w:spacing w:after="0" w:line="259" w:lineRule="auto"/>
              <w:ind w:left="4" w:right="0" w:firstLine="0"/>
              <w:jc w:val="center"/>
            </w:pPr>
            <w:r>
              <w:rPr>
                <w:sz w:val="20"/>
              </w:rPr>
              <w:t xml:space="preserve"> </w:t>
            </w:r>
          </w:p>
        </w:tc>
        <w:tc>
          <w:tcPr>
            <w:tcW w:w="421"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E8309B" w:rsidRDefault="009D0949">
            <w:pPr>
              <w:spacing w:after="0" w:line="259" w:lineRule="auto"/>
              <w:ind w:left="4" w:right="0" w:firstLine="0"/>
              <w:jc w:val="center"/>
            </w:pPr>
            <w:r>
              <w:rPr>
                <w:sz w:val="20"/>
              </w:rPr>
              <w:t xml:space="preserve"> </w:t>
            </w:r>
          </w:p>
        </w:tc>
        <w:tc>
          <w:tcPr>
            <w:tcW w:w="423"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E8309B" w:rsidRDefault="009D0949">
            <w:pPr>
              <w:spacing w:after="0" w:line="259" w:lineRule="auto"/>
              <w:ind w:left="5" w:right="0" w:firstLine="0"/>
              <w:jc w:val="center"/>
            </w:pPr>
            <w:r>
              <w:rPr>
                <w:sz w:val="20"/>
              </w:rPr>
              <w:t xml:space="preserve"> </w:t>
            </w:r>
          </w:p>
        </w:tc>
        <w:tc>
          <w:tcPr>
            <w:tcW w:w="420" w:type="dxa"/>
            <w:tcBorders>
              <w:top w:val="single" w:sz="4" w:space="0" w:color="000000"/>
              <w:left w:val="single" w:sz="4" w:space="0" w:color="000000"/>
              <w:bottom w:val="single" w:sz="4" w:space="0" w:color="000000"/>
              <w:right w:val="single" w:sz="8" w:space="0" w:color="000000"/>
            </w:tcBorders>
            <w:shd w:val="clear" w:color="auto" w:fill="D9D9D9"/>
            <w:vAlign w:val="center"/>
          </w:tcPr>
          <w:p w:rsidR="00E8309B" w:rsidRDefault="009D0949">
            <w:pPr>
              <w:spacing w:after="0" w:line="259" w:lineRule="auto"/>
              <w:ind w:left="2" w:right="0" w:firstLine="0"/>
              <w:jc w:val="center"/>
            </w:pPr>
            <w:r>
              <w:rPr>
                <w:sz w:val="20"/>
              </w:rPr>
              <w:t xml:space="preserve"> </w:t>
            </w:r>
          </w:p>
        </w:tc>
        <w:tc>
          <w:tcPr>
            <w:tcW w:w="424" w:type="dxa"/>
            <w:tcBorders>
              <w:top w:val="single" w:sz="4" w:space="0" w:color="000000"/>
              <w:left w:val="single" w:sz="8" w:space="0" w:color="000000"/>
              <w:bottom w:val="single" w:sz="4" w:space="0" w:color="000000"/>
              <w:right w:val="single" w:sz="4" w:space="0" w:color="000000"/>
            </w:tcBorders>
            <w:shd w:val="clear" w:color="auto" w:fill="D9D9D9"/>
            <w:vAlign w:val="center"/>
          </w:tcPr>
          <w:p w:rsidR="00E8309B" w:rsidRDefault="009D0949">
            <w:pPr>
              <w:spacing w:after="0" w:line="259" w:lineRule="auto"/>
              <w:ind w:left="4" w:right="0" w:firstLine="0"/>
              <w:jc w:val="center"/>
            </w:pPr>
            <w:r>
              <w:rPr>
                <w:sz w:val="20"/>
              </w:rPr>
              <w:t xml:space="preserve"> </w:t>
            </w:r>
          </w:p>
        </w:tc>
        <w:tc>
          <w:tcPr>
            <w:tcW w:w="422"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E8309B" w:rsidRDefault="009D0949">
            <w:pPr>
              <w:spacing w:after="0" w:line="259" w:lineRule="auto"/>
              <w:ind w:left="2" w:right="0" w:firstLine="0"/>
              <w:jc w:val="center"/>
            </w:pPr>
            <w:r>
              <w:rPr>
                <w:sz w:val="20"/>
              </w:rPr>
              <w:t xml:space="preserve"> </w:t>
            </w:r>
          </w:p>
        </w:tc>
        <w:tc>
          <w:tcPr>
            <w:tcW w:w="422"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E8309B" w:rsidRDefault="009D0949">
            <w:pPr>
              <w:spacing w:after="0" w:line="259" w:lineRule="auto"/>
              <w:ind w:left="2" w:right="0" w:firstLine="0"/>
              <w:jc w:val="center"/>
            </w:pPr>
            <w:r>
              <w:rPr>
                <w:sz w:val="20"/>
              </w:rPr>
              <w:t xml:space="preserve"> </w:t>
            </w:r>
          </w:p>
        </w:tc>
        <w:tc>
          <w:tcPr>
            <w:tcW w:w="420" w:type="dxa"/>
            <w:tcBorders>
              <w:top w:val="single" w:sz="4" w:space="0" w:color="000000"/>
              <w:left w:val="single" w:sz="4" w:space="0" w:color="000000"/>
              <w:bottom w:val="single" w:sz="4" w:space="0" w:color="000000"/>
              <w:right w:val="single" w:sz="8" w:space="0" w:color="000000"/>
            </w:tcBorders>
            <w:shd w:val="clear" w:color="auto" w:fill="D9D9D9"/>
            <w:vAlign w:val="center"/>
          </w:tcPr>
          <w:p w:rsidR="00E8309B" w:rsidRDefault="009D0949">
            <w:pPr>
              <w:spacing w:after="0" w:line="259" w:lineRule="auto"/>
              <w:ind w:left="5" w:right="0" w:firstLine="0"/>
              <w:jc w:val="center"/>
            </w:pPr>
            <w:r>
              <w:rPr>
                <w:sz w:val="20"/>
              </w:rPr>
              <w:t xml:space="preserve"> </w:t>
            </w:r>
          </w:p>
        </w:tc>
      </w:tr>
      <w:tr w:rsidR="00E8309B">
        <w:trPr>
          <w:trHeight w:val="929"/>
        </w:trPr>
        <w:tc>
          <w:tcPr>
            <w:tcW w:w="427" w:type="dxa"/>
            <w:tcBorders>
              <w:top w:val="single" w:sz="4" w:space="0" w:color="000000"/>
              <w:left w:val="single" w:sz="8" w:space="0" w:color="000000"/>
              <w:bottom w:val="single" w:sz="4" w:space="0" w:color="000000"/>
              <w:right w:val="single" w:sz="8" w:space="0" w:color="000000"/>
            </w:tcBorders>
          </w:tcPr>
          <w:p w:rsidR="00E8309B" w:rsidRDefault="009D0949">
            <w:pPr>
              <w:spacing w:after="0" w:line="259" w:lineRule="auto"/>
              <w:ind w:left="0" w:right="51" w:firstLine="0"/>
              <w:jc w:val="right"/>
            </w:pPr>
            <w:r>
              <w:rPr>
                <w:sz w:val="20"/>
              </w:rPr>
              <w:t xml:space="preserve">4 </w:t>
            </w:r>
          </w:p>
        </w:tc>
        <w:tc>
          <w:tcPr>
            <w:tcW w:w="4123" w:type="dxa"/>
            <w:tcBorders>
              <w:top w:val="single" w:sz="4" w:space="0" w:color="000000"/>
              <w:left w:val="single" w:sz="8" w:space="0" w:color="000000"/>
              <w:bottom w:val="single" w:sz="4" w:space="0" w:color="000000"/>
              <w:right w:val="single" w:sz="8" w:space="0" w:color="000000"/>
            </w:tcBorders>
          </w:tcPr>
          <w:p w:rsidR="00E8309B" w:rsidRDefault="009D0949">
            <w:pPr>
              <w:spacing w:after="0" w:line="259" w:lineRule="auto"/>
              <w:ind w:left="0" w:right="47" w:firstLine="0"/>
              <w:jc w:val="left"/>
            </w:pPr>
            <w:r>
              <w:rPr>
                <w:sz w:val="20"/>
              </w:rPr>
              <w:t xml:space="preserve">Унапређење административног оквира и промоција пореских подстицаја и унапређених процедура за запослење и повратак у земљу </w:t>
            </w:r>
          </w:p>
        </w:tc>
        <w:tc>
          <w:tcPr>
            <w:tcW w:w="419" w:type="dxa"/>
            <w:tcBorders>
              <w:top w:val="single" w:sz="4" w:space="0" w:color="000000"/>
              <w:left w:val="single" w:sz="8" w:space="0" w:color="000000"/>
              <w:bottom w:val="single" w:sz="4" w:space="0" w:color="000000"/>
              <w:right w:val="single" w:sz="4" w:space="0" w:color="000000"/>
            </w:tcBorders>
            <w:shd w:val="clear" w:color="auto" w:fill="D9D9D9"/>
            <w:vAlign w:val="center"/>
          </w:tcPr>
          <w:p w:rsidR="00E8309B" w:rsidRDefault="009D0949">
            <w:pPr>
              <w:spacing w:after="0" w:line="259" w:lineRule="auto"/>
              <w:ind w:left="1" w:right="0" w:firstLine="0"/>
              <w:jc w:val="center"/>
            </w:pPr>
            <w:r>
              <w:rPr>
                <w:sz w:val="20"/>
              </w:rPr>
              <w:t xml:space="preserve"> </w:t>
            </w:r>
          </w:p>
        </w:tc>
        <w:tc>
          <w:tcPr>
            <w:tcW w:w="421"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E8309B" w:rsidRDefault="009D0949">
            <w:pPr>
              <w:spacing w:after="0" w:line="259" w:lineRule="auto"/>
              <w:ind w:left="1" w:right="0" w:firstLine="0"/>
              <w:jc w:val="center"/>
            </w:pPr>
            <w:r>
              <w:rPr>
                <w:sz w:val="20"/>
              </w:rPr>
              <w:t xml:space="preserve"> </w:t>
            </w:r>
          </w:p>
        </w:tc>
        <w:tc>
          <w:tcPr>
            <w:tcW w:w="422"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E8309B" w:rsidRDefault="009D0949">
            <w:pPr>
              <w:spacing w:after="0" w:line="259" w:lineRule="auto"/>
              <w:ind w:left="2" w:right="0" w:firstLine="0"/>
              <w:jc w:val="center"/>
            </w:pPr>
            <w:r>
              <w:rPr>
                <w:sz w:val="20"/>
              </w:rPr>
              <w:t xml:space="preserve"> </w:t>
            </w:r>
          </w:p>
        </w:tc>
        <w:tc>
          <w:tcPr>
            <w:tcW w:w="421" w:type="dxa"/>
            <w:tcBorders>
              <w:top w:val="single" w:sz="4" w:space="0" w:color="000000"/>
              <w:left w:val="single" w:sz="4" w:space="0" w:color="000000"/>
              <w:bottom w:val="single" w:sz="4" w:space="0" w:color="000000"/>
              <w:right w:val="single" w:sz="8" w:space="0" w:color="000000"/>
            </w:tcBorders>
            <w:shd w:val="clear" w:color="auto" w:fill="D9D9D9"/>
            <w:vAlign w:val="center"/>
          </w:tcPr>
          <w:p w:rsidR="00E8309B" w:rsidRDefault="009D0949">
            <w:pPr>
              <w:spacing w:after="0" w:line="259" w:lineRule="auto"/>
              <w:ind w:left="4" w:right="0" w:firstLine="0"/>
              <w:jc w:val="center"/>
            </w:pPr>
            <w:r>
              <w:rPr>
                <w:sz w:val="20"/>
              </w:rPr>
              <w:t xml:space="preserve"> </w:t>
            </w:r>
          </w:p>
        </w:tc>
        <w:tc>
          <w:tcPr>
            <w:tcW w:w="424" w:type="dxa"/>
            <w:tcBorders>
              <w:top w:val="single" w:sz="4" w:space="0" w:color="000000"/>
              <w:left w:val="single" w:sz="8" w:space="0" w:color="000000"/>
              <w:bottom w:val="single" w:sz="4" w:space="0" w:color="000000"/>
              <w:right w:val="single" w:sz="4" w:space="0" w:color="000000"/>
            </w:tcBorders>
            <w:shd w:val="clear" w:color="auto" w:fill="D9D9D9"/>
            <w:vAlign w:val="center"/>
          </w:tcPr>
          <w:p w:rsidR="00E8309B" w:rsidRDefault="009D0949">
            <w:pPr>
              <w:spacing w:after="0" w:line="259" w:lineRule="auto"/>
              <w:ind w:left="4" w:right="0" w:firstLine="0"/>
              <w:jc w:val="center"/>
            </w:pPr>
            <w:r>
              <w:rPr>
                <w:sz w:val="20"/>
              </w:rPr>
              <w:t xml:space="preserve"> </w:t>
            </w:r>
          </w:p>
        </w:tc>
        <w:tc>
          <w:tcPr>
            <w:tcW w:w="421"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E8309B" w:rsidRDefault="009D0949">
            <w:pPr>
              <w:spacing w:after="0" w:line="259" w:lineRule="auto"/>
              <w:ind w:left="4" w:right="0" w:firstLine="0"/>
              <w:jc w:val="center"/>
            </w:pPr>
            <w:r>
              <w:rPr>
                <w:sz w:val="20"/>
              </w:rPr>
              <w:t xml:space="preserve"> </w:t>
            </w:r>
          </w:p>
        </w:tc>
        <w:tc>
          <w:tcPr>
            <w:tcW w:w="423"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E8309B" w:rsidRDefault="009D0949">
            <w:pPr>
              <w:spacing w:after="0" w:line="259" w:lineRule="auto"/>
              <w:ind w:left="5" w:right="0" w:firstLine="0"/>
              <w:jc w:val="center"/>
            </w:pPr>
            <w:r>
              <w:rPr>
                <w:sz w:val="20"/>
              </w:rPr>
              <w:t xml:space="preserve"> </w:t>
            </w:r>
          </w:p>
        </w:tc>
        <w:tc>
          <w:tcPr>
            <w:tcW w:w="420" w:type="dxa"/>
            <w:tcBorders>
              <w:top w:val="single" w:sz="4" w:space="0" w:color="000000"/>
              <w:left w:val="single" w:sz="4" w:space="0" w:color="000000"/>
              <w:bottom w:val="single" w:sz="4" w:space="0" w:color="000000"/>
              <w:right w:val="single" w:sz="8" w:space="0" w:color="000000"/>
            </w:tcBorders>
            <w:shd w:val="clear" w:color="auto" w:fill="D9D9D9"/>
            <w:vAlign w:val="center"/>
          </w:tcPr>
          <w:p w:rsidR="00E8309B" w:rsidRDefault="009D0949">
            <w:pPr>
              <w:spacing w:after="0" w:line="259" w:lineRule="auto"/>
              <w:ind w:left="2" w:right="0" w:firstLine="0"/>
              <w:jc w:val="center"/>
            </w:pPr>
            <w:r>
              <w:rPr>
                <w:sz w:val="20"/>
              </w:rPr>
              <w:t xml:space="preserve"> </w:t>
            </w:r>
          </w:p>
        </w:tc>
        <w:tc>
          <w:tcPr>
            <w:tcW w:w="424" w:type="dxa"/>
            <w:tcBorders>
              <w:top w:val="single" w:sz="4" w:space="0" w:color="000000"/>
              <w:left w:val="single" w:sz="8" w:space="0" w:color="000000"/>
              <w:bottom w:val="single" w:sz="4" w:space="0" w:color="000000"/>
              <w:right w:val="single" w:sz="4" w:space="0" w:color="000000"/>
            </w:tcBorders>
            <w:shd w:val="clear" w:color="auto" w:fill="D9D9D9"/>
            <w:vAlign w:val="center"/>
          </w:tcPr>
          <w:p w:rsidR="00E8309B" w:rsidRDefault="009D0949">
            <w:pPr>
              <w:spacing w:after="0" w:line="259" w:lineRule="auto"/>
              <w:ind w:left="4" w:right="0" w:firstLine="0"/>
              <w:jc w:val="center"/>
            </w:pPr>
            <w:r>
              <w:rPr>
                <w:sz w:val="20"/>
              </w:rPr>
              <w:t xml:space="preserve"> </w:t>
            </w:r>
          </w:p>
        </w:tc>
        <w:tc>
          <w:tcPr>
            <w:tcW w:w="422"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E8309B" w:rsidRDefault="009D0949">
            <w:pPr>
              <w:spacing w:after="0" w:line="259" w:lineRule="auto"/>
              <w:ind w:left="2" w:right="0" w:firstLine="0"/>
              <w:jc w:val="center"/>
            </w:pPr>
            <w:r>
              <w:rPr>
                <w:sz w:val="20"/>
              </w:rPr>
              <w:t xml:space="preserve"> </w:t>
            </w:r>
          </w:p>
        </w:tc>
        <w:tc>
          <w:tcPr>
            <w:tcW w:w="422"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E8309B" w:rsidRDefault="009D0949">
            <w:pPr>
              <w:spacing w:after="0" w:line="259" w:lineRule="auto"/>
              <w:ind w:left="2" w:right="0" w:firstLine="0"/>
              <w:jc w:val="center"/>
            </w:pPr>
            <w:r>
              <w:rPr>
                <w:sz w:val="20"/>
              </w:rPr>
              <w:t xml:space="preserve"> </w:t>
            </w:r>
          </w:p>
        </w:tc>
        <w:tc>
          <w:tcPr>
            <w:tcW w:w="420" w:type="dxa"/>
            <w:tcBorders>
              <w:top w:val="single" w:sz="4" w:space="0" w:color="000000"/>
              <w:left w:val="single" w:sz="4" w:space="0" w:color="000000"/>
              <w:bottom w:val="single" w:sz="4" w:space="0" w:color="000000"/>
              <w:right w:val="single" w:sz="8" w:space="0" w:color="000000"/>
            </w:tcBorders>
            <w:shd w:val="clear" w:color="auto" w:fill="D9D9D9"/>
            <w:vAlign w:val="center"/>
          </w:tcPr>
          <w:p w:rsidR="00E8309B" w:rsidRDefault="009D0949">
            <w:pPr>
              <w:spacing w:after="0" w:line="259" w:lineRule="auto"/>
              <w:ind w:left="5" w:right="0" w:firstLine="0"/>
              <w:jc w:val="center"/>
            </w:pPr>
            <w:r>
              <w:rPr>
                <w:sz w:val="20"/>
              </w:rPr>
              <w:t xml:space="preserve"> </w:t>
            </w:r>
          </w:p>
        </w:tc>
      </w:tr>
      <w:tr w:rsidR="00E8309B">
        <w:trPr>
          <w:trHeight w:val="931"/>
        </w:trPr>
        <w:tc>
          <w:tcPr>
            <w:tcW w:w="427"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51" w:firstLine="0"/>
              <w:jc w:val="right"/>
            </w:pPr>
            <w:r>
              <w:rPr>
                <w:sz w:val="20"/>
              </w:rPr>
              <w:t xml:space="preserve">5 </w:t>
            </w:r>
          </w:p>
        </w:tc>
        <w:tc>
          <w:tcPr>
            <w:tcW w:w="4123"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0" w:firstLine="0"/>
              <w:jc w:val="left"/>
            </w:pPr>
            <w:r>
              <w:rPr>
                <w:sz w:val="20"/>
              </w:rPr>
              <w:t xml:space="preserve">Успостављање сарадње и дијалога са дијаспором кроз организацију годишњих конференција Таленти на окупу и промоција успешних прича повратника </w:t>
            </w:r>
          </w:p>
        </w:tc>
        <w:tc>
          <w:tcPr>
            <w:tcW w:w="419"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1" w:right="0" w:firstLine="0"/>
              <w:jc w:val="center"/>
            </w:pPr>
            <w:r>
              <w:rPr>
                <w:b/>
                <w:sz w:val="20"/>
              </w:rPr>
              <w:t xml:space="preserve"> </w:t>
            </w:r>
          </w:p>
        </w:tc>
        <w:tc>
          <w:tcPr>
            <w:tcW w:w="421"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1" w:right="0" w:firstLine="0"/>
              <w:jc w:val="center"/>
            </w:pPr>
            <w:r>
              <w:rPr>
                <w:b/>
                <w:sz w:val="20"/>
              </w:rPr>
              <w:t xml:space="preserve"> </w:t>
            </w:r>
          </w:p>
        </w:tc>
        <w:tc>
          <w:tcPr>
            <w:tcW w:w="422"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E8309B" w:rsidRDefault="009D0949">
            <w:pPr>
              <w:spacing w:after="0" w:line="259" w:lineRule="auto"/>
              <w:ind w:left="2" w:right="0" w:firstLine="0"/>
              <w:jc w:val="center"/>
            </w:pPr>
            <w:r>
              <w:rPr>
                <w:b/>
                <w:sz w:val="20"/>
              </w:rPr>
              <w:t xml:space="preserve"> </w:t>
            </w:r>
          </w:p>
        </w:tc>
        <w:tc>
          <w:tcPr>
            <w:tcW w:w="421"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E8309B" w:rsidRDefault="009D0949">
            <w:pPr>
              <w:spacing w:after="0" w:line="259" w:lineRule="auto"/>
              <w:ind w:left="4" w:right="0" w:firstLine="0"/>
              <w:jc w:val="center"/>
            </w:pPr>
            <w:r>
              <w:rPr>
                <w:b/>
                <w:sz w:val="20"/>
              </w:rPr>
              <w:t xml:space="preserve"> </w:t>
            </w:r>
          </w:p>
        </w:tc>
        <w:tc>
          <w:tcPr>
            <w:tcW w:w="424"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4" w:right="0" w:firstLine="0"/>
              <w:jc w:val="center"/>
            </w:pPr>
            <w:r>
              <w:rPr>
                <w:b/>
                <w:sz w:val="20"/>
              </w:rPr>
              <w:t xml:space="preserve"> </w:t>
            </w:r>
          </w:p>
        </w:tc>
        <w:tc>
          <w:tcPr>
            <w:tcW w:w="421"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4" w:right="0" w:firstLine="0"/>
              <w:jc w:val="center"/>
            </w:pPr>
            <w:r>
              <w:rPr>
                <w:b/>
                <w:sz w:val="20"/>
              </w:rPr>
              <w:t xml:space="preserve"> </w:t>
            </w:r>
          </w:p>
        </w:tc>
        <w:tc>
          <w:tcPr>
            <w:tcW w:w="423"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E8309B" w:rsidRDefault="009D0949">
            <w:pPr>
              <w:spacing w:after="0" w:line="259" w:lineRule="auto"/>
              <w:ind w:left="5" w:right="0" w:firstLine="0"/>
              <w:jc w:val="center"/>
            </w:pPr>
            <w:r>
              <w:rPr>
                <w:b/>
                <w:sz w:val="20"/>
              </w:rPr>
              <w:t xml:space="preserve"> </w:t>
            </w:r>
          </w:p>
        </w:tc>
        <w:tc>
          <w:tcPr>
            <w:tcW w:w="420"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E8309B" w:rsidRDefault="009D0949">
            <w:pPr>
              <w:spacing w:after="0" w:line="259" w:lineRule="auto"/>
              <w:ind w:left="2" w:right="0" w:firstLine="0"/>
              <w:jc w:val="center"/>
            </w:pPr>
            <w:r>
              <w:rPr>
                <w:b/>
                <w:sz w:val="20"/>
              </w:rPr>
              <w:t xml:space="preserve"> </w:t>
            </w:r>
          </w:p>
        </w:tc>
        <w:tc>
          <w:tcPr>
            <w:tcW w:w="424"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4" w:right="0" w:firstLine="0"/>
              <w:jc w:val="center"/>
            </w:pPr>
            <w:r>
              <w:rPr>
                <w:b/>
                <w:sz w:val="20"/>
              </w:rPr>
              <w:t xml:space="preserve"> </w:t>
            </w:r>
          </w:p>
        </w:tc>
        <w:tc>
          <w:tcPr>
            <w:tcW w:w="422"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2" w:right="0" w:firstLine="0"/>
              <w:jc w:val="center"/>
            </w:pPr>
            <w:r>
              <w:rPr>
                <w:b/>
                <w:sz w:val="20"/>
              </w:rPr>
              <w:t xml:space="preserve"> </w:t>
            </w:r>
          </w:p>
        </w:tc>
        <w:tc>
          <w:tcPr>
            <w:tcW w:w="422"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E8309B" w:rsidRDefault="009D0949">
            <w:pPr>
              <w:spacing w:after="0" w:line="259" w:lineRule="auto"/>
              <w:ind w:left="2" w:right="0" w:firstLine="0"/>
              <w:jc w:val="center"/>
            </w:pPr>
            <w:r>
              <w:rPr>
                <w:b/>
                <w:sz w:val="20"/>
              </w:rPr>
              <w:t xml:space="preserve"> </w:t>
            </w:r>
          </w:p>
        </w:tc>
        <w:tc>
          <w:tcPr>
            <w:tcW w:w="420"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E8309B" w:rsidRDefault="009D0949">
            <w:pPr>
              <w:spacing w:after="0" w:line="259" w:lineRule="auto"/>
              <w:ind w:left="5" w:right="0" w:firstLine="0"/>
              <w:jc w:val="center"/>
            </w:pPr>
            <w:r>
              <w:rPr>
                <w:b/>
                <w:sz w:val="20"/>
              </w:rPr>
              <w:t xml:space="preserve"> </w:t>
            </w:r>
          </w:p>
        </w:tc>
      </w:tr>
      <w:tr w:rsidR="00E8309B">
        <w:trPr>
          <w:trHeight w:val="698"/>
        </w:trPr>
        <w:tc>
          <w:tcPr>
            <w:tcW w:w="427"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51" w:firstLine="0"/>
              <w:jc w:val="right"/>
            </w:pPr>
            <w:r>
              <w:rPr>
                <w:sz w:val="20"/>
              </w:rPr>
              <w:t xml:space="preserve">6 </w:t>
            </w:r>
          </w:p>
        </w:tc>
        <w:tc>
          <w:tcPr>
            <w:tcW w:w="4123"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0" w:firstLine="0"/>
              <w:jc w:val="left"/>
            </w:pPr>
            <w:r>
              <w:rPr>
                <w:sz w:val="20"/>
              </w:rPr>
              <w:t xml:space="preserve">Спровођење програма и припрема садржаја за повратнике, стране држављане, сениоре и професионалце на крају пословне каријере </w:t>
            </w:r>
          </w:p>
        </w:tc>
        <w:tc>
          <w:tcPr>
            <w:tcW w:w="419"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1" w:right="0" w:firstLine="0"/>
              <w:jc w:val="center"/>
            </w:pPr>
            <w:r>
              <w:rPr>
                <w:b/>
                <w:sz w:val="20"/>
              </w:rPr>
              <w:t xml:space="preserve"> </w:t>
            </w:r>
          </w:p>
        </w:tc>
        <w:tc>
          <w:tcPr>
            <w:tcW w:w="421"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1" w:right="0" w:firstLine="0"/>
              <w:jc w:val="center"/>
            </w:pPr>
            <w:r>
              <w:rPr>
                <w:b/>
                <w:sz w:val="20"/>
              </w:rPr>
              <w:t xml:space="preserve"> </w:t>
            </w:r>
          </w:p>
        </w:tc>
        <w:tc>
          <w:tcPr>
            <w:tcW w:w="422"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E8309B" w:rsidRDefault="009D0949">
            <w:pPr>
              <w:spacing w:after="0" w:line="259" w:lineRule="auto"/>
              <w:ind w:left="2" w:right="0" w:firstLine="0"/>
              <w:jc w:val="center"/>
            </w:pPr>
            <w:r>
              <w:rPr>
                <w:b/>
                <w:sz w:val="20"/>
              </w:rPr>
              <w:t xml:space="preserve"> </w:t>
            </w:r>
          </w:p>
        </w:tc>
        <w:tc>
          <w:tcPr>
            <w:tcW w:w="421"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E8309B" w:rsidRDefault="009D0949">
            <w:pPr>
              <w:spacing w:after="0" w:line="259" w:lineRule="auto"/>
              <w:ind w:left="4" w:right="0" w:firstLine="0"/>
              <w:jc w:val="center"/>
            </w:pPr>
            <w:r>
              <w:rPr>
                <w:b/>
                <w:sz w:val="20"/>
              </w:rPr>
              <w:t xml:space="preserve"> </w:t>
            </w:r>
          </w:p>
        </w:tc>
        <w:tc>
          <w:tcPr>
            <w:tcW w:w="424"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E8309B" w:rsidRDefault="009D0949">
            <w:pPr>
              <w:spacing w:after="0" w:line="259" w:lineRule="auto"/>
              <w:ind w:left="4" w:right="0" w:firstLine="0"/>
              <w:jc w:val="center"/>
            </w:pPr>
            <w:r>
              <w:rPr>
                <w:b/>
                <w:sz w:val="20"/>
              </w:rPr>
              <w:t xml:space="preserve"> </w:t>
            </w:r>
          </w:p>
        </w:tc>
        <w:tc>
          <w:tcPr>
            <w:tcW w:w="421"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E8309B" w:rsidRDefault="009D0949">
            <w:pPr>
              <w:spacing w:after="0" w:line="259" w:lineRule="auto"/>
              <w:ind w:left="4" w:right="0" w:firstLine="0"/>
              <w:jc w:val="center"/>
            </w:pPr>
            <w:r>
              <w:rPr>
                <w:b/>
                <w:sz w:val="20"/>
              </w:rPr>
              <w:t xml:space="preserve"> </w:t>
            </w:r>
          </w:p>
        </w:tc>
        <w:tc>
          <w:tcPr>
            <w:tcW w:w="423"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E8309B" w:rsidRDefault="009D0949">
            <w:pPr>
              <w:spacing w:after="0" w:line="259" w:lineRule="auto"/>
              <w:ind w:left="5" w:right="0" w:firstLine="0"/>
              <w:jc w:val="center"/>
            </w:pPr>
            <w:r>
              <w:rPr>
                <w:b/>
                <w:sz w:val="20"/>
              </w:rPr>
              <w:t xml:space="preserve"> </w:t>
            </w:r>
          </w:p>
        </w:tc>
        <w:tc>
          <w:tcPr>
            <w:tcW w:w="420"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E8309B" w:rsidRDefault="009D0949">
            <w:pPr>
              <w:spacing w:after="0" w:line="259" w:lineRule="auto"/>
              <w:ind w:left="2" w:right="0" w:firstLine="0"/>
              <w:jc w:val="center"/>
            </w:pPr>
            <w:r>
              <w:rPr>
                <w:b/>
                <w:sz w:val="20"/>
              </w:rPr>
              <w:t xml:space="preserve"> </w:t>
            </w:r>
          </w:p>
        </w:tc>
        <w:tc>
          <w:tcPr>
            <w:tcW w:w="424"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E8309B" w:rsidRDefault="009D0949">
            <w:pPr>
              <w:spacing w:after="0" w:line="259" w:lineRule="auto"/>
              <w:ind w:left="4" w:right="0" w:firstLine="0"/>
              <w:jc w:val="center"/>
            </w:pPr>
            <w:r>
              <w:rPr>
                <w:b/>
                <w:sz w:val="20"/>
              </w:rPr>
              <w:t xml:space="preserve"> </w:t>
            </w:r>
          </w:p>
        </w:tc>
        <w:tc>
          <w:tcPr>
            <w:tcW w:w="422"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E8309B" w:rsidRDefault="009D0949">
            <w:pPr>
              <w:spacing w:after="0" w:line="259" w:lineRule="auto"/>
              <w:ind w:left="2" w:right="0" w:firstLine="0"/>
              <w:jc w:val="center"/>
            </w:pPr>
            <w:r>
              <w:rPr>
                <w:b/>
                <w:sz w:val="20"/>
              </w:rPr>
              <w:t xml:space="preserve"> </w:t>
            </w:r>
          </w:p>
        </w:tc>
        <w:tc>
          <w:tcPr>
            <w:tcW w:w="422"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E8309B" w:rsidRDefault="009D0949">
            <w:pPr>
              <w:spacing w:after="0" w:line="259" w:lineRule="auto"/>
              <w:ind w:left="2" w:right="0" w:firstLine="0"/>
              <w:jc w:val="center"/>
            </w:pPr>
            <w:r>
              <w:rPr>
                <w:b/>
                <w:sz w:val="20"/>
              </w:rPr>
              <w:t xml:space="preserve"> </w:t>
            </w:r>
          </w:p>
        </w:tc>
        <w:tc>
          <w:tcPr>
            <w:tcW w:w="420"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E8309B" w:rsidRDefault="009D0949">
            <w:pPr>
              <w:spacing w:after="0" w:line="259" w:lineRule="auto"/>
              <w:ind w:left="5" w:right="0" w:firstLine="0"/>
              <w:jc w:val="center"/>
            </w:pPr>
            <w:r>
              <w:rPr>
                <w:b/>
                <w:sz w:val="20"/>
              </w:rPr>
              <w:t xml:space="preserve"> </w:t>
            </w:r>
          </w:p>
        </w:tc>
      </w:tr>
    </w:tbl>
    <w:p w:rsidR="00E8309B" w:rsidRDefault="009D0949">
      <w:pPr>
        <w:numPr>
          <w:ilvl w:val="0"/>
          <w:numId w:val="48"/>
        </w:numPr>
        <w:spacing w:after="0" w:line="271" w:lineRule="auto"/>
        <w:ind w:right="9" w:hanging="427"/>
      </w:pPr>
      <w:r>
        <w:rPr>
          <w:b/>
        </w:rPr>
        <w:t xml:space="preserve">Индикатори рeзултата </w:t>
      </w:r>
    </w:p>
    <w:tbl>
      <w:tblPr>
        <w:tblStyle w:val="TableGrid"/>
        <w:tblW w:w="9635" w:type="dxa"/>
        <w:tblInd w:w="5" w:type="dxa"/>
        <w:tblCellMar>
          <w:top w:w="10" w:type="dxa"/>
          <w:left w:w="110" w:type="dxa"/>
          <w:bottom w:w="0" w:type="dxa"/>
          <w:right w:w="56" w:type="dxa"/>
        </w:tblCellMar>
        <w:tblLook w:val="04A0" w:firstRow="1" w:lastRow="0" w:firstColumn="1" w:lastColumn="0" w:noHBand="0" w:noVBand="1"/>
      </w:tblPr>
      <w:tblGrid>
        <w:gridCol w:w="4107"/>
        <w:gridCol w:w="1841"/>
        <w:gridCol w:w="1844"/>
        <w:gridCol w:w="1843"/>
      </w:tblGrid>
      <w:tr w:rsidR="00E8309B">
        <w:trPr>
          <w:trHeight w:val="470"/>
        </w:trPr>
        <w:tc>
          <w:tcPr>
            <w:tcW w:w="4107"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0" w:right="0" w:firstLine="0"/>
              <w:jc w:val="left"/>
            </w:pPr>
            <w:r>
              <w:rPr>
                <w:b/>
                <w:sz w:val="20"/>
              </w:rPr>
              <w:t xml:space="preserve">Показатељ </w:t>
            </w:r>
          </w:p>
        </w:tc>
        <w:tc>
          <w:tcPr>
            <w:tcW w:w="1841"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44" w:right="50" w:firstLine="0"/>
              <w:jc w:val="right"/>
            </w:pPr>
            <w:r>
              <w:rPr>
                <w:b/>
                <w:sz w:val="20"/>
              </w:rPr>
              <w:t xml:space="preserve">Почетна вредност (2019) </w:t>
            </w:r>
          </w:p>
        </w:tc>
        <w:tc>
          <w:tcPr>
            <w:tcW w:w="1844"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50" w:firstLine="0"/>
              <w:jc w:val="right"/>
            </w:pPr>
            <w:r>
              <w:rPr>
                <w:b/>
                <w:sz w:val="20"/>
              </w:rPr>
              <w:t xml:space="preserve">Међурезултат (2022) </w:t>
            </w:r>
          </w:p>
        </w:tc>
        <w:tc>
          <w:tcPr>
            <w:tcW w:w="1843"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49" w:firstLine="0"/>
              <w:jc w:val="right"/>
            </w:pPr>
            <w:r>
              <w:rPr>
                <w:b/>
                <w:sz w:val="20"/>
              </w:rPr>
              <w:t xml:space="preserve">Циљна вредност (2023) </w:t>
            </w:r>
          </w:p>
        </w:tc>
      </w:tr>
      <w:tr w:rsidR="00E8309B">
        <w:trPr>
          <w:trHeight w:val="470"/>
        </w:trPr>
        <w:tc>
          <w:tcPr>
            <w:tcW w:w="4107"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0" w:firstLine="0"/>
              <w:jc w:val="left"/>
            </w:pPr>
            <w:r>
              <w:rPr>
                <w:sz w:val="20"/>
              </w:rPr>
              <w:t xml:space="preserve">Број повратника (корисника програма организације) </w:t>
            </w:r>
          </w:p>
        </w:tc>
        <w:tc>
          <w:tcPr>
            <w:tcW w:w="1841"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0" w:right="51" w:firstLine="0"/>
              <w:jc w:val="right"/>
            </w:pPr>
            <w:r>
              <w:rPr>
                <w:sz w:val="20"/>
              </w:rPr>
              <w:t xml:space="preserve">0 </w:t>
            </w:r>
          </w:p>
        </w:tc>
        <w:tc>
          <w:tcPr>
            <w:tcW w:w="1844"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0" w:right="49" w:firstLine="0"/>
              <w:jc w:val="right"/>
            </w:pPr>
            <w:r>
              <w:rPr>
                <w:sz w:val="20"/>
              </w:rPr>
              <w:t xml:space="preserve">300 </w:t>
            </w:r>
          </w:p>
        </w:tc>
        <w:tc>
          <w:tcPr>
            <w:tcW w:w="1843"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0" w:right="49" w:firstLine="0"/>
              <w:jc w:val="right"/>
            </w:pPr>
            <w:r>
              <w:rPr>
                <w:sz w:val="20"/>
              </w:rPr>
              <w:t xml:space="preserve">500 </w:t>
            </w:r>
          </w:p>
        </w:tc>
      </w:tr>
      <w:tr w:rsidR="00E8309B">
        <w:trPr>
          <w:trHeight w:val="293"/>
        </w:trPr>
        <w:tc>
          <w:tcPr>
            <w:tcW w:w="4107"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0" w:firstLine="0"/>
              <w:jc w:val="left"/>
            </w:pPr>
            <w:r>
              <w:rPr>
                <w:sz w:val="20"/>
              </w:rPr>
              <w:t>Број корисника пореских олакшица</w:t>
            </w:r>
            <w:r>
              <w:rPr>
                <w:b/>
                <w:sz w:val="20"/>
              </w:rPr>
              <w:t xml:space="preserve"> </w:t>
            </w:r>
          </w:p>
        </w:tc>
        <w:tc>
          <w:tcPr>
            <w:tcW w:w="1841"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51" w:firstLine="0"/>
              <w:jc w:val="right"/>
            </w:pPr>
            <w:r>
              <w:rPr>
                <w:sz w:val="20"/>
              </w:rPr>
              <w:t xml:space="preserve">0 </w:t>
            </w:r>
          </w:p>
        </w:tc>
        <w:tc>
          <w:tcPr>
            <w:tcW w:w="1844"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49" w:firstLine="0"/>
              <w:jc w:val="right"/>
            </w:pPr>
            <w:r>
              <w:rPr>
                <w:sz w:val="20"/>
              </w:rPr>
              <w:t xml:space="preserve">600 </w:t>
            </w:r>
          </w:p>
        </w:tc>
        <w:tc>
          <w:tcPr>
            <w:tcW w:w="1843"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50" w:firstLine="0"/>
              <w:jc w:val="right"/>
            </w:pPr>
            <w:r>
              <w:rPr>
                <w:sz w:val="20"/>
              </w:rPr>
              <w:t xml:space="preserve">1.000 </w:t>
            </w:r>
          </w:p>
        </w:tc>
      </w:tr>
      <w:tr w:rsidR="00E8309B">
        <w:trPr>
          <w:trHeight w:val="295"/>
        </w:trPr>
        <w:tc>
          <w:tcPr>
            <w:tcW w:w="4107"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0" w:firstLine="0"/>
              <w:jc w:val="left"/>
            </w:pPr>
            <w:r>
              <w:rPr>
                <w:sz w:val="20"/>
              </w:rPr>
              <w:t>Број упита у водиче за повратнике</w:t>
            </w:r>
            <w:r>
              <w:rPr>
                <w:b/>
                <w:sz w:val="20"/>
              </w:rPr>
              <w:t xml:space="preserve"> </w:t>
            </w:r>
          </w:p>
        </w:tc>
        <w:tc>
          <w:tcPr>
            <w:tcW w:w="1841"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51" w:firstLine="0"/>
              <w:jc w:val="right"/>
            </w:pPr>
            <w:r>
              <w:rPr>
                <w:sz w:val="20"/>
              </w:rPr>
              <w:t>0</w:t>
            </w:r>
            <w:r>
              <w:rPr>
                <w:b/>
                <w:sz w:val="20"/>
              </w:rPr>
              <w:t xml:space="preserve"> </w:t>
            </w:r>
          </w:p>
        </w:tc>
        <w:tc>
          <w:tcPr>
            <w:tcW w:w="1844"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49" w:firstLine="0"/>
              <w:jc w:val="right"/>
            </w:pPr>
            <w:r>
              <w:rPr>
                <w:sz w:val="20"/>
              </w:rPr>
              <w:t>3.000</w:t>
            </w:r>
            <w:r>
              <w:rPr>
                <w:b/>
                <w:sz w:val="20"/>
              </w:rPr>
              <w:t xml:space="preserve"> </w:t>
            </w:r>
          </w:p>
        </w:tc>
        <w:tc>
          <w:tcPr>
            <w:tcW w:w="1843"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50" w:firstLine="0"/>
              <w:jc w:val="right"/>
            </w:pPr>
            <w:r>
              <w:rPr>
                <w:sz w:val="20"/>
              </w:rPr>
              <w:t>6.000</w:t>
            </w:r>
            <w:r>
              <w:rPr>
                <w:b/>
                <w:sz w:val="20"/>
              </w:rPr>
              <w:t xml:space="preserve"> </w:t>
            </w:r>
          </w:p>
        </w:tc>
      </w:tr>
    </w:tbl>
    <w:p w:rsidR="00E8309B" w:rsidRDefault="009D0949">
      <w:pPr>
        <w:numPr>
          <w:ilvl w:val="0"/>
          <w:numId w:val="48"/>
        </w:numPr>
        <w:spacing w:after="79" w:line="271" w:lineRule="auto"/>
        <w:ind w:right="9" w:hanging="427"/>
      </w:pPr>
      <w:r>
        <w:rPr>
          <w:b/>
        </w:rPr>
        <w:t xml:space="preserve">Очекивани утицај на конкурентност </w:t>
      </w:r>
    </w:p>
    <w:p w:rsidR="00E8309B" w:rsidRDefault="009D0949">
      <w:pPr>
        <w:spacing w:after="136"/>
        <w:ind w:left="-5" w:right="17"/>
      </w:pPr>
      <w:r>
        <w:t>Република Србија је и даље у дефициту са кадровима, стога ће се спровођењем реформе радити на привлачењу појединаца који, осим знања и искуства, својим контактима могу приближити и отворити многа тржишта. Фокус је на дефицитарним занимањима у Србији, попут</w:t>
      </w:r>
      <w:r>
        <w:t xml:space="preserve"> високих технологија, високоспецијализованих индустрија и других дефицитарних занимања. Тиме ће и привреда бити конкурентнија кроз доступност нових технологија, као и најмодернијих начина управљања комплексним пословањем. Oчекује се да ће структурна реформ</w:t>
      </w:r>
      <w:r>
        <w:t xml:space="preserve">а утицати највише на ИКТ сектор (чије је тренутно учешће око 5% БДП), а допринос може бити пораст учешћа у БДП од 0,1–0,5%. </w:t>
      </w:r>
    </w:p>
    <w:p w:rsidR="00E8309B" w:rsidRDefault="009D0949">
      <w:pPr>
        <w:numPr>
          <w:ilvl w:val="0"/>
          <w:numId w:val="48"/>
        </w:numPr>
        <w:spacing w:after="123" w:line="271" w:lineRule="auto"/>
        <w:ind w:right="9" w:hanging="427"/>
      </w:pPr>
      <w:r>
        <w:rPr>
          <w:b/>
        </w:rPr>
        <w:t xml:space="preserve">Процењени трошкови спровођења структурне реформе и предвиђени извори њиховог финансирања </w:t>
      </w:r>
    </w:p>
    <w:p w:rsidR="00E8309B" w:rsidRDefault="009D0949">
      <w:pPr>
        <w:spacing w:after="96"/>
        <w:ind w:left="-5" w:right="17"/>
      </w:pPr>
      <w:r>
        <w:t>У циљу реализације Стратегије о економски</w:t>
      </w:r>
      <w:r>
        <w:t>м миграцијама Републике Србије за период 20212027. године у плану за 2021. годину је</w:t>
      </w:r>
      <w:r>
        <w:rPr>
          <w:rFonts w:ascii="Calibri" w:eastAsia="Calibri" w:hAnsi="Calibri" w:cs="Calibri"/>
          <w:sz w:val="22"/>
        </w:rPr>
        <w:t xml:space="preserve"> </w:t>
      </w:r>
      <w:r>
        <w:t>усвајање Акционог плана период 2021</w:t>
      </w:r>
      <w:r>
        <w:rPr>
          <w:b/>
        </w:rPr>
        <w:t>–</w:t>
      </w:r>
      <w:r>
        <w:t>2023. године.</w:t>
      </w:r>
      <w:r>
        <w:rPr>
          <w:rFonts w:ascii="Calibri" w:eastAsia="Calibri" w:hAnsi="Calibri" w:cs="Calibri"/>
          <w:sz w:val="22"/>
        </w:rPr>
        <w:t xml:space="preserve"> </w:t>
      </w:r>
      <w:r>
        <w:t xml:space="preserve"> Законом о буџету РС за 2021. годину нису планирана средства за реализацију Акционог плана с обзиром да исти није усвојен</w:t>
      </w:r>
      <w:r>
        <w:t xml:space="preserve"> од стране Владе Републике Србије. Усвајање Акционог плана планирано је за фебруар 2021. године.</w:t>
      </w:r>
      <w:r>
        <w:rPr>
          <w:rFonts w:ascii="Calibri" w:eastAsia="Calibri" w:hAnsi="Calibri" w:cs="Calibri"/>
          <w:sz w:val="22"/>
        </w:rPr>
        <w:t xml:space="preserve"> </w:t>
      </w:r>
      <w:r>
        <w:t>Јачање институционалних капацитета институција ће се реализовати уз подршку Немачке организације за међународну сарадњу (ГИЗ) чија подршка за цео период ће бит</w:t>
      </w:r>
      <w:r>
        <w:t xml:space="preserve">и прецизирана након усвајања АП. Организација која се бави циркуларним миграцијама и повратком високообразоване дијаспоре је формирана у виду јавно-приватног партнерства. </w:t>
      </w:r>
      <w:r>
        <w:rPr>
          <w:rFonts w:ascii="Calibri" w:eastAsia="Calibri" w:hAnsi="Calibri" w:cs="Calibri"/>
          <w:sz w:val="22"/>
        </w:rPr>
        <w:t xml:space="preserve"> </w:t>
      </w:r>
    </w:p>
    <w:p w:rsidR="00E8309B" w:rsidRDefault="009D0949">
      <w:pPr>
        <w:spacing w:after="160"/>
        <w:ind w:left="-5" w:right="17"/>
      </w:pPr>
      <w:r>
        <w:t>Активности 3-6 ће бити реализоване у сарадњи надлежних институција за просвету и на</w:t>
      </w:r>
      <w:r>
        <w:t>уку, међународних организација и других приватних донатора. Предлогом буџета за 2021. годину предвиђено је повећање буџетских средстава за програм Тачка повратка на 19.500.000 динара, односно 162.500 евра док ће друга средства бити накнадно дефинисана. Уна</w:t>
      </w:r>
      <w:r>
        <w:t xml:space="preserve">пређење административног оквира и елиминисање препрека повратку ће захтевати додатне људске капацитете, док ће друге активности захтевати повећање средстава за добра и услуге. </w:t>
      </w:r>
    </w:p>
    <w:p w:rsidR="00E8309B" w:rsidRDefault="009D0949">
      <w:pPr>
        <w:numPr>
          <w:ilvl w:val="0"/>
          <w:numId w:val="48"/>
        </w:numPr>
        <w:spacing w:after="79" w:line="271" w:lineRule="auto"/>
        <w:ind w:right="9" w:hanging="427"/>
      </w:pPr>
      <w:r>
        <w:rPr>
          <w:b/>
        </w:rPr>
        <w:t>Очекивани утицај на социјалне циљеве, као што су запосленост, смањење сиромаштв</w:t>
      </w:r>
      <w:r>
        <w:rPr>
          <w:b/>
        </w:rPr>
        <w:t xml:space="preserve">а, једнакост и род </w:t>
      </w:r>
    </w:p>
    <w:p w:rsidR="00E8309B" w:rsidRDefault="009D0949">
      <w:pPr>
        <w:spacing w:after="157"/>
        <w:ind w:left="-5" w:right="17"/>
      </w:pPr>
      <w:r>
        <w:t>Структурна реформа се односи на повећање запослености у Србији и последично смањење сиромаштва. Обезбеђивањем потребног кадра стичу се могућности за привлачење страних компанија, поготову оних инвеститора који лоцирају своје развојно-ис</w:t>
      </w:r>
      <w:r>
        <w:t xml:space="preserve">траживачке капацитете у Србији, што ће резултирати и већом запосленошћу локалног становништва и конкурентности привреде. Процењује се да реформа неће имати утицај на једнакост и род. </w:t>
      </w:r>
    </w:p>
    <w:p w:rsidR="00E8309B" w:rsidRDefault="009D0949">
      <w:pPr>
        <w:numPr>
          <w:ilvl w:val="0"/>
          <w:numId w:val="48"/>
        </w:numPr>
        <w:spacing w:after="126" w:line="271" w:lineRule="auto"/>
        <w:ind w:right="9" w:hanging="427"/>
      </w:pPr>
      <w:r>
        <w:rPr>
          <w:b/>
        </w:rPr>
        <w:t xml:space="preserve">Очекивани утицај на животну средину </w:t>
      </w:r>
    </w:p>
    <w:p w:rsidR="00E8309B" w:rsidRDefault="009D0949">
      <w:pPr>
        <w:spacing w:after="155"/>
        <w:ind w:left="-5" w:right="17"/>
      </w:pPr>
      <w:r>
        <w:t xml:space="preserve">Не очекује се да ће структурна реформа имати утицај на животну средину. </w:t>
      </w:r>
    </w:p>
    <w:p w:rsidR="00E8309B" w:rsidRDefault="009D0949">
      <w:pPr>
        <w:numPr>
          <w:ilvl w:val="0"/>
          <w:numId w:val="48"/>
        </w:numPr>
        <w:spacing w:after="0" w:line="271" w:lineRule="auto"/>
        <w:ind w:right="9" w:hanging="427"/>
      </w:pPr>
      <w:r>
        <w:rPr>
          <w:b/>
        </w:rPr>
        <w:t xml:space="preserve">Потенцијални ризици </w:t>
      </w:r>
    </w:p>
    <w:tbl>
      <w:tblPr>
        <w:tblStyle w:val="TableGrid"/>
        <w:tblW w:w="9696" w:type="dxa"/>
        <w:tblInd w:w="0" w:type="dxa"/>
        <w:tblCellMar>
          <w:top w:w="46" w:type="dxa"/>
          <w:left w:w="108" w:type="dxa"/>
          <w:bottom w:w="0" w:type="dxa"/>
          <w:right w:w="90" w:type="dxa"/>
        </w:tblCellMar>
        <w:tblLook w:val="04A0" w:firstRow="1" w:lastRow="0" w:firstColumn="1" w:lastColumn="0" w:noHBand="0" w:noVBand="1"/>
      </w:tblPr>
      <w:tblGrid>
        <w:gridCol w:w="5"/>
        <w:gridCol w:w="3330"/>
        <w:gridCol w:w="549"/>
        <w:gridCol w:w="1567"/>
        <w:gridCol w:w="85"/>
        <w:gridCol w:w="428"/>
        <w:gridCol w:w="1893"/>
        <w:gridCol w:w="1812"/>
        <w:gridCol w:w="32"/>
      </w:tblGrid>
      <w:tr w:rsidR="00E8309B">
        <w:trPr>
          <w:gridBefore w:val="1"/>
          <w:trHeight w:val="470"/>
        </w:trPr>
        <w:tc>
          <w:tcPr>
            <w:tcW w:w="3330"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0" w:right="0" w:firstLine="0"/>
              <w:jc w:val="left"/>
            </w:pPr>
            <w:r>
              <w:rPr>
                <w:b/>
                <w:sz w:val="20"/>
              </w:rPr>
              <w:t xml:space="preserve">Ризик </w:t>
            </w:r>
          </w:p>
        </w:tc>
        <w:tc>
          <w:tcPr>
            <w:tcW w:w="2201" w:type="dxa"/>
            <w:gridSpan w:val="3"/>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2" w:right="0" w:firstLine="0"/>
              <w:jc w:val="left"/>
            </w:pPr>
            <w:r>
              <w:rPr>
                <w:b/>
                <w:sz w:val="20"/>
              </w:rPr>
              <w:t xml:space="preserve">Вероватноћа за остваривање ризика </w:t>
            </w:r>
          </w:p>
        </w:tc>
        <w:tc>
          <w:tcPr>
            <w:tcW w:w="4165" w:type="dxa"/>
            <w:gridSpan w:val="4"/>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0" w:firstLine="0"/>
              <w:jc w:val="left"/>
            </w:pPr>
            <w:r>
              <w:rPr>
                <w:b/>
                <w:sz w:val="20"/>
              </w:rPr>
              <w:t xml:space="preserve">Активност за ублажавање негативних ефеката ризика </w:t>
            </w:r>
          </w:p>
        </w:tc>
      </w:tr>
      <w:tr w:rsidR="00E8309B">
        <w:trPr>
          <w:gridBefore w:val="1"/>
          <w:trHeight w:val="701"/>
        </w:trPr>
        <w:tc>
          <w:tcPr>
            <w:tcW w:w="3330"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0" w:firstLine="0"/>
              <w:jc w:val="left"/>
            </w:pPr>
            <w:r>
              <w:rPr>
                <w:sz w:val="20"/>
              </w:rPr>
              <w:t xml:space="preserve">Непотпуно мапирање дијаспоре  </w:t>
            </w:r>
          </w:p>
        </w:tc>
        <w:tc>
          <w:tcPr>
            <w:tcW w:w="2201" w:type="dxa"/>
            <w:gridSpan w:val="3"/>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2" w:right="0" w:firstLine="0"/>
              <w:jc w:val="left"/>
            </w:pPr>
            <w:r>
              <w:rPr>
                <w:sz w:val="20"/>
              </w:rPr>
              <w:t xml:space="preserve">Ниска  </w:t>
            </w:r>
          </w:p>
        </w:tc>
        <w:tc>
          <w:tcPr>
            <w:tcW w:w="4165" w:type="dxa"/>
            <w:gridSpan w:val="4"/>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151" w:firstLine="0"/>
            </w:pPr>
            <w:r>
              <w:rPr>
                <w:sz w:val="20"/>
              </w:rPr>
              <w:t xml:space="preserve">Пружање континуиране подршке дијаспорским клубовима и организацијама у изградњи интерних капацитета  </w:t>
            </w:r>
          </w:p>
        </w:tc>
      </w:tr>
      <w:tr w:rsidR="00E8309B">
        <w:trPr>
          <w:gridBefore w:val="1"/>
          <w:trHeight w:val="929"/>
        </w:trPr>
        <w:tc>
          <w:tcPr>
            <w:tcW w:w="3330"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0" w:firstLine="0"/>
              <w:jc w:val="left"/>
            </w:pPr>
            <w:r>
              <w:rPr>
                <w:sz w:val="20"/>
              </w:rPr>
              <w:t>Неадекватна процена потреба привреде</w:t>
            </w:r>
            <w:r>
              <w:rPr>
                <w:b/>
                <w:sz w:val="20"/>
              </w:rPr>
              <w:t xml:space="preserve"> </w:t>
            </w:r>
          </w:p>
        </w:tc>
        <w:tc>
          <w:tcPr>
            <w:tcW w:w="2201" w:type="dxa"/>
            <w:gridSpan w:val="3"/>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2" w:right="0" w:firstLine="0"/>
              <w:jc w:val="left"/>
            </w:pPr>
            <w:r>
              <w:rPr>
                <w:sz w:val="20"/>
              </w:rPr>
              <w:t xml:space="preserve">Ниска </w:t>
            </w:r>
            <w:r>
              <w:rPr>
                <w:b/>
                <w:sz w:val="20"/>
              </w:rPr>
              <w:t xml:space="preserve"> </w:t>
            </w:r>
          </w:p>
        </w:tc>
        <w:tc>
          <w:tcPr>
            <w:tcW w:w="4165" w:type="dxa"/>
            <w:gridSpan w:val="4"/>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0" w:firstLine="0"/>
              <w:jc w:val="left"/>
            </w:pPr>
            <w:r>
              <w:rPr>
                <w:sz w:val="20"/>
              </w:rPr>
              <w:t>Блиска сарадња са Привредном комором Србије, Националном службом за запошљавање и континуиране консултације</w:t>
            </w:r>
            <w:r>
              <w:rPr>
                <w:sz w:val="20"/>
              </w:rPr>
              <w:t xml:space="preserve"> са представницима привреде </w:t>
            </w:r>
            <w:r>
              <w:rPr>
                <w:b/>
                <w:sz w:val="20"/>
              </w:rPr>
              <w:t xml:space="preserve"> </w:t>
            </w:r>
          </w:p>
        </w:tc>
      </w:tr>
      <w:tr w:rsidR="00E8309B">
        <w:trPr>
          <w:gridBefore w:val="1"/>
          <w:trHeight w:val="2081"/>
        </w:trPr>
        <w:tc>
          <w:tcPr>
            <w:tcW w:w="3330" w:type="dxa"/>
            <w:tcBorders>
              <w:top w:val="single" w:sz="4" w:space="0" w:color="000000"/>
              <w:left w:val="single" w:sz="4" w:space="0" w:color="000000"/>
              <w:bottom w:val="single" w:sz="4" w:space="0" w:color="000000"/>
              <w:right w:val="single" w:sz="4" w:space="0" w:color="000000"/>
            </w:tcBorders>
          </w:tcPr>
          <w:p w:rsidR="00E8309B" w:rsidRDefault="009D0949">
            <w:pPr>
              <w:spacing w:after="20" w:line="259" w:lineRule="auto"/>
              <w:ind w:left="0" w:right="0" w:firstLine="0"/>
              <w:jc w:val="left"/>
            </w:pPr>
            <w:r>
              <w:rPr>
                <w:sz w:val="20"/>
              </w:rPr>
              <w:t xml:space="preserve">Неусвајање у планираним роковима </w:t>
            </w:r>
          </w:p>
          <w:p w:rsidR="00E8309B" w:rsidRDefault="009D0949">
            <w:pPr>
              <w:spacing w:after="0" w:line="259" w:lineRule="auto"/>
              <w:ind w:left="0" w:right="0" w:firstLine="0"/>
              <w:jc w:val="left"/>
            </w:pPr>
            <w:r>
              <w:rPr>
                <w:sz w:val="20"/>
              </w:rPr>
              <w:t xml:space="preserve">Акционог плана за период 20212023. године за спровођење Стратегије о економским миграцијама Републике Србије за период 2021-2027. године </w:t>
            </w:r>
          </w:p>
        </w:tc>
        <w:tc>
          <w:tcPr>
            <w:tcW w:w="2201" w:type="dxa"/>
            <w:gridSpan w:val="3"/>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2" w:right="0" w:firstLine="0"/>
              <w:jc w:val="left"/>
            </w:pPr>
            <w:r>
              <w:rPr>
                <w:sz w:val="20"/>
              </w:rPr>
              <w:t xml:space="preserve">Ниска </w:t>
            </w:r>
          </w:p>
        </w:tc>
        <w:tc>
          <w:tcPr>
            <w:tcW w:w="4165" w:type="dxa"/>
            <w:gridSpan w:val="4"/>
            <w:tcBorders>
              <w:top w:val="single" w:sz="4" w:space="0" w:color="000000"/>
              <w:left w:val="single" w:sz="4" w:space="0" w:color="000000"/>
              <w:bottom w:val="single" w:sz="4" w:space="0" w:color="000000"/>
              <w:right w:val="single" w:sz="4" w:space="0" w:color="000000"/>
            </w:tcBorders>
          </w:tcPr>
          <w:p w:rsidR="00E8309B" w:rsidRDefault="009D0949">
            <w:pPr>
              <w:spacing w:after="36" w:line="240" w:lineRule="auto"/>
              <w:ind w:left="0" w:right="0" w:firstLine="0"/>
              <w:jc w:val="left"/>
            </w:pPr>
            <w:r>
              <w:rPr>
                <w:sz w:val="20"/>
              </w:rPr>
              <w:t xml:space="preserve">Јачање институционалних капацитета независно од Акционог плана, а на основу Имплементационог споразума у вези са програмима „Миграције за развој II” и </w:t>
            </w:r>
          </w:p>
          <w:p w:rsidR="00E8309B" w:rsidRDefault="009D0949">
            <w:pPr>
              <w:spacing w:after="0" w:line="259" w:lineRule="auto"/>
              <w:ind w:left="0" w:right="0" w:firstLine="0"/>
              <w:jc w:val="left"/>
            </w:pPr>
            <w:r>
              <w:rPr>
                <w:sz w:val="20"/>
              </w:rPr>
              <w:t xml:space="preserve">„Миграције &amp; дијаспора” </w:t>
            </w:r>
          </w:p>
          <w:p w:rsidR="00E8309B" w:rsidRDefault="009D0949">
            <w:pPr>
              <w:spacing w:after="0" w:line="259" w:lineRule="auto"/>
              <w:ind w:left="0" w:right="0" w:firstLine="0"/>
              <w:jc w:val="left"/>
            </w:pPr>
            <w:r>
              <w:rPr>
                <w:sz w:val="20"/>
              </w:rPr>
              <w:t xml:space="preserve">Блиска сарадња са Привредном комором Србије, Националном службом за запошљавање и континуиране консултације са представницима привреде </w:t>
            </w:r>
          </w:p>
        </w:tc>
      </w:tr>
      <w:tr w:rsidR="00E8309B">
        <w:tblPrEx>
          <w:tblCellMar>
            <w:top w:w="60" w:type="dxa"/>
            <w:left w:w="0" w:type="dxa"/>
            <w:right w:w="0" w:type="dxa"/>
          </w:tblCellMar>
        </w:tblPrEx>
        <w:trPr>
          <w:gridAfter w:val="1"/>
          <w:wAfter w:w="32" w:type="dxa"/>
          <w:trHeight w:val="280"/>
        </w:trPr>
        <w:tc>
          <w:tcPr>
            <w:tcW w:w="3884" w:type="dxa"/>
            <w:gridSpan w:val="3"/>
            <w:tcBorders>
              <w:top w:val="nil"/>
              <w:left w:val="nil"/>
              <w:bottom w:val="nil"/>
              <w:right w:val="nil"/>
            </w:tcBorders>
            <w:shd w:val="clear" w:color="auto" w:fill="D9D9D9"/>
          </w:tcPr>
          <w:p w:rsidR="00E8309B" w:rsidRDefault="009D0949">
            <w:pPr>
              <w:tabs>
                <w:tab w:val="center" w:pos="1273"/>
                <w:tab w:val="center" w:pos="2776"/>
              </w:tabs>
              <w:spacing w:after="0" w:line="259" w:lineRule="auto"/>
              <w:ind w:left="0" w:right="0" w:firstLine="0"/>
              <w:jc w:val="left"/>
            </w:pPr>
            <w:r>
              <w:rPr>
                <w:b/>
              </w:rPr>
              <w:t xml:space="preserve">5.3.8. </w:t>
            </w:r>
            <w:r>
              <w:rPr>
                <w:b/>
              </w:rPr>
              <w:tab/>
              <w:t xml:space="preserve">Област </w:t>
            </w:r>
            <w:r>
              <w:rPr>
                <w:b/>
              </w:rPr>
              <w:tab/>
              <w:t xml:space="preserve">СОЦИЈАЛНА </w:t>
            </w:r>
          </w:p>
        </w:tc>
        <w:tc>
          <w:tcPr>
            <w:tcW w:w="1567" w:type="dxa"/>
            <w:tcBorders>
              <w:top w:val="nil"/>
              <w:left w:val="nil"/>
              <w:bottom w:val="nil"/>
              <w:right w:val="nil"/>
            </w:tcBorders>
            <w:shd w:val="clear" w:color="auto" w:fill="D9D9D9"/>
          </w:tcPr>
          <w:p w:rsidR="00E8309B" w:rsidRDefault="009D0949">
            <w:pPr>
              <w:spacing w:after="0" w:line="259" w:lineRule="auto"/>
              <w:ind w:left="0" w:right="0" w:firstLine="0"/>
              <w:jc w:val="left"/>
            </w:pPr>
            <w:r>
              <w:rPr>
                <w:b/>
              </w:rPr>
              <w:t xml:space="preserve">ЗАШТИТА </w:t>
            </w:r>
          </w:p>
        </w:tc>
        <w:tc>
          <w:tcPr>
            <w:tcW w:w="513" w:type="dxa"/>
            <w:gridSpan w:val="2"/>
            <w:tcBorders>
              <w:top w:val="nil"/>
              <w:left w:val="nil"/>
              <w:bottom w:val="nil"/>
              <w:right w:val="nil"/>
            </w:tcBorders>
            <w:shd w:val="clear" w:color="auto" w:fill="D9D9D9"/>
          </w:tcPr>
          <w:p w:rsidR="00E8309B" w:rsidRDefault="009D0949">
            <w:pPr>
              <w:spacing w:after="0" w:line="259" w:lineRule="auto"/>
              <w:ind w:left="0" w:right="0" w:firstLine="0"/>
              <w:jc w:val="left"/>
            </w:pPr>
            <w:r>
              <w:rPr>
                <w:b/>
              </w:rPr>
              <w:t xml:space="preserve">И </w:t>
            </w:r>
          </w:p>
        </w:tc>
        <w:tc>
          <w:tcPr>
            <w:tcW w:w="1893" w:type="dxa"/>
            <w:tcBorders>
              <w:top w:val="nil"/>
              <w:left w:val="nil"/>
              <w:bottom w:val="nil"/>
              <w:right w:val="nil"/>
            </w:tcBorders>
            <w:shd w:val="clear" w:color="auto" w:fill="D9D9D9"/>
          </w:tcPr>
          <w:p w:rsidR="00E8309B" w:rsidRDefault="009D0949">
            <w:pPr>
              <w:spacing w:after="0" w:line="259" w:lineRule="auto"/>
              <w:ind w:left="0" w:right="0" w:firstLine="0"/>
              <w:jc w:val="left"/>
            </w:pPr>
            <w:r>
              <w:rPr>
                <w:b/>
              </w:rPr>
              <w:t xml:space="preserve">ИНКЛУЗИЈА, </w:t>
            </w:r>
          </w:p>
        </w:tc>
        <w:tc>
          <w:tcPr>
            <w:tcW w:w="1812" w:type="dxa"/>
            <w:tcBorders>
              <w:top w:val="nil"/>
              <w:left w:val="nil"/>
              <w:bottom w:val="nil"/>
              <w:right w:val="nil"/>
            </w:tcBorders>
            <w:shd w:val="clear" w:color="auto" w:fill="D9D9D9"/>
          </w:tcPr>
          <w:p w:rsidR="00E8309B" w:rsidRDefault="009D0949">
            <w:pPr>
              <w:spacing w:after="0" w:line="259" w:lineRule="auto"/>
              <w:ind w:left="0" w:right="0" w:firstLine="0"/>
            </w:pPr>
            <w:r>
              <w:rPr>
                <w:b/>
              </w:rPr>
              <w:t xml:space="preserve">УКЉУЧУЈУЋИ </w:t>
            </w:r>
          </w:p>
        </w:tc>
      </w:tr>
      <w:tr w:rsidR="00E8309B">
        <w:tblPrEx>
          <w:tblCellMar>
            <w:top w:w="60" w:type="dxa"/>
            <w:left w:w="0" w:type="dxa"/>
            <w:right w:w="0" w:type="dxa"/>
          </w:tblCellMar>
        </w:tblPrEx>
        <w:trPr>
          <w:gridAfter w:val="1"/>
          <w:wAfter w:w="32" w:type="dxa"/>
          <w:trHeight w:val="276"/>
        </w:trPr>
        <w:tc>
          <w:tcPr>
            <w:tcW w:w="3884" w:type="dxa"/>
            <w:gridSpan w:val="3"/>
            <w:tcBorders>
              <w:top w:val="nil"/>
              <w:left w:val="nil"/>
              <w:bottom w:val="nil"/>
              <w:right w:val="nil"/>
            </w:tcBorders>
            <w:shd w:val="clear" w:color="auto" w:fill="D9D9D9"/>
          </w:tcPr>
          <w:p w:rsidR="00E8309B" w:rsidRDefault="009D0949">
            <w:pPr>
              <w:spacing w:after="0" w:line="259" w:lineRule="auto"/>
              <w:ind w:left="15" w:right="0" w:firstLine="0"/>
              <w:jc w:val="left"/>
            </w:pPr>
            <w:r>
              <w:rPr>
                <w:b/>
              </w:rPr>
              <w:t xml:space="preserve">ЗДРАВСТВЕНУ ЗАШТИТУ </w:t>
            </w:r>
          </w:p>
        </w:tc>
        <w:tc>
          <w:tcPr>
            <w:tcW w:w="1567" w:type="dxa"/>
            <w:tcBorders>
              <w:top w:val="nil"/>
              <w:left w:val="nil"/>
              <w:bottom w:val="nil"/>
              <w:right w:val="nil"/>
            </w:tcBorders>
            <w:shd w:val="clear" w:color="auto" w:fill="D9D9D9"/>
          </w:tcPr>
          <w:p w:rsidR="00E8309B" w:rsidRDefault="00E8309B">
            <w:pPr>
              <w:spacing w:after="160" w:line="259" w:lineRule="auto"/>
              <w:ind w:left="0" w:right="0" w:firstLine="0"/>
              <w:jc w:val="left"/>
            </w:pPr>
          </w:p>
        </w:tc>
        <w:tc>
          <w:tcPr>
            <w:tcW w:w="513" w:type="dxa"/>
            <w:gridSpan w:val="2"/>
            <w:tcBorders>
              <w:top w:val="nil"/>
              <w:left w:val="nil"/>
              <w:bottom w:val="nil"/>
              <w:right w:val="nil"/>
            </w:tcBorders>
            <w:shd w:val="clear" w:color="auto" w:fill="D9D9D9"/>
          </w:tcPr>
          <w:p w:rsidR="00E8309B" w:rsidRDefault="00E8309B">
            <w:pPr>
              <w:spacing w:after="160" w:line="259" w:lineRule="auto"/>
              <w:ind w:left="0" w:right="0" w:firstLine="0"/>
              <w:jc w:val="left"/>
            </w:pPr>
          </w:p>
        </w:tc>
        <w:tc>
          <w:tcPr>
            <w:tcW w:w="1893" w:type="dxa"/>
            <w:tcBorders>
              <w:top w:val="nil"/>
              <w:left w:val="nil"/>
              <w:bottom w:val="nil"/>
              <w:right w:val="nil"/>
            </w:tcBorders>
            <w:shd w:val="clear" w:color="auto" w:fill="D9D9D9"/>
          </w:tcPr>
          <w:p w:rsidR="00E8309B" w:rsidRDefault="00E8309B">
            <w:pPr>
              <w:spacing w:after="160" w:line="259" w:lineRule="auto"/>
              <w:ind w:left="0" w:right="0" w:firstLine="0"/>
              <w:jc w:val="left"/>
            </w:pPr>
          </w:p>
        </w:tc>
        <w:tc>
          <w:tcPr>
            <w:tcW w:w="1812" w:type="dxa"/>
            <w:tcBorders>
              <w:top w:val="nil"/>
              <w:left w:val="nil"/>
              <w:bottom w:val="nil"/>
              <w:right w:val="nil"/>
            </w:tcBorders>
            <w:shd w:val="clear" w:color="auto" w:fill="D9D9D9"/>
          </w:tcPr>
          <w:p w:rsidR="00E8309B" w:rsidRDefault="00E8309B">
            <w:pPr>
              <w:spacing w:after="160" w:line="259" w:lineRule="auto"/>
              <w:ind w:left="0" w:right="0" w:firstLine="0"/>
              <w:jc w:val="left"/>
            </w:pPr>
          </w:p>
        </w:tc>
      </w:tr>
    </w:tbl>
    <w:p w:rsidR="00E8309B" w:rsidRDefault="009D0949">
      <w:pPr>
        <w:spacing w:after="126" w:line="271" w:lineRule="auto"/>
        <w:ind w:left="-5" w:right="9"/>
      </w:pPr>
      <w:r>
        <w:rPr>
          <w:b/>
        </w:rPr>
        <w:t xml:space="preserve">а) Анализа главних препрека </w:t>
      </w:r>
    </w:p>
    <w:p w:rsidR="00E8309B" w:rsidRDefault="009D0949">
      <w:pPr>
        <w:spacing w:after="88"/>
        <w:ind w:left="-5" w:right="17"/>
      </w:pPr>
      <w:r>
        <w:rPr>
          <w:b/>
        </w:rPr>
        <w:t xml:space="preserve">Србија се налази у релативно добром свеопштем социјалном положају </w:t>
      </w:r>
      <w:r>
        <w:t xml:space="preserve">према </w:t>
      </w:r>
      <w:r>
        <w:rPr>
          <w:i/>
        </w:rPr>
        <w:t xml:space="preserve">Human Development Index </w:t>
      </w:r>
      <w:r>
        <w:t>(HDI</w:t>
      </w:r>
      <w:r>
        <w:rPr>
          <w:vertAlign w:val="superscript"/>
        </w:rPr>
        <w:footnoteReference w:id="72"/>
      </w:r>
      <w:r>
        <w:t>). Остварена вредност HDI је 0,799, а HDI ранг 65</w:t>
      </w:r>
      <w:r>
        <w:rPr>
          <w:vertAlign w:val="superscript"/>
        </w:rPr>
        <w:footnoteReference w:id="73"/>
      </w:r>
      <w:r>
        <w:t xml:space="preserve">. По појединачним компонентама индекса резултати су следећи: </w:t>
      </w:r>
      <w:r>
        <w:rPr>
          <w:i/>
        </w:rPr>
        <w:t>Очекиван животни век</w:t>
      </w:r>
      <w:r>
        <w:t xml:space="preserve"> - 75,8 година, </w:t>
      </w:r>
      <w:r>
        <w:rPr>
          <w:i/>
        </w:rPr>
        <w:t>Очекиван</w:t>
      </w:r>
      <w:r>
        <w:rPr>
          <w:i/>
        </w:rPr>
        <w:t>е године школовања</w:t>
      </w:r>
      <w:r>
        <w:t xml:space="preserve"> - 14,8 и </w:t>
      </w:r>
      <w:r>
        <w:rPr>
          <w:i/>
        </w:rPr>
        <w:t>Медијалне године школовања</w:t>
      </w:r>
      <w:r>
        <w:t xml:space="preserve"> - 11,2, док је БНД per capita 15.218 PPP $2011 (по паритету куповне моћи, реална вредност долара из 2011. године). </w:t>
      </w:r>
    </w:p>
    <w:p w:rsidR="00E8309B" w:rsidRDefault="009D0949">
      <w:pPr>
        <w:ind w:left="-5" w:right="17"/>
      </w:pPr>
      <w:r>
        <w:t>И поред тога,</w:t>
      </w:r>
      <w:r>
        <w:rPr>
          <w:b/>
        </w:rPr>
        <w:t xml:space="preserve"> сиромаштво у Србији је распрострањено, </w:t>
      </w:r>
      <w:r>
        <w:t xml:space="preserve">о чему говори </w:t>
      </w:r>
      <w:r>
        <w:rPr>
          <w:b/>
        </w:rPr>
        <w:t>стопа ризика од си</w:t>
      </w:r>
      <w:r>
        <w:rPr>
          <w:b/>
        </w:rPr>
        <w:t>ромаштва</w:t>
      </w:r>
      <w:r>
        <w:rPr>
          <w:b/>
          <w:vertAlign w:val="superscript"/>
        </w:rPr>
        <w:t>81</w:t>
      </w:r>
      <w:r>
        <w:rPr>
          <w:b/>
        </w:rPr>
        <w:t xml:space="preserve"> </w:t>
      </w:r>
      <w:r>
        <w:t xml:space="preserve">која је износила </w:t>
      </w:r>
      <w:r>
        <w:rPr>
          <w:b/>
        </w:rPr>
        <w:t>23,2% у 2019</w:t>
      </w:r>
      <w:r>
        <w:t>.</w:t>
      </w:r>
      <w:r>
        <w:rPr>
          <w:vertAlign w:val="superscript"/>
        </w:rPr>
        <w:footnoteReference w:id="74"/>
      </w:r>
      <w:r>
        <w:t xml:space="preserve"> (ова лица нису нужно сиромашна, већ само имају већи ризик да то буду), што је изнад нивоа Eвропске уније (ЕУ-28: 17,1%, SILC, 2018). </w:t>
      </w:r>
      <w:r>
        <w:rPr>
          <w:b/>
        </w:rPr>
        <w:t>Праг ризика од сиромаштва</w:t>
      </w:r>
      <w:r>
        <w:t xml:space="preserve"> је износио 19.381 РСД (164 евра) просечно месечно за ј</w:t>
      </w:r>
      <w:r>
        <w:t xml:space="preserve">едночлано домаћинство, док је за четворочлано домаћинство с двоје одраслих и двоје деце старости до 14 година овај праг износио 40.700 РСД (345 евра). </w:t>
      </w:r>
      <w:r>
        <w:rPr>
          <w:b/>
        </w:rPr>
        <w:t>Неједнакост расподеле дохотка је висока</w:t>
      </w:r>
      <w:r>
        <w:t xml:space="preserve">, јер је показатељ квинтилног односа (C80/C20) износио </w:t>
      </w:r>
      <w:r>
        <w:rPr>
          <w:b/>
        </w:rPr>
        <w:t>6,5</w:t>
      </w:r>
      <w:r>
        <w:t xml:space="preserve"> у 2019.</w:t>
      </w:r>
      <w:r>
        <w:t xml:space="preserve"> години. То значи да је најбогатијих 20% становништва имало 6,5 пута већи доходак у односу на 20% најсиромашнијих</w:t>
      </w:r>
      <w:r>
        <w:rPr>
          <w:vertAlign w:val="superscript"/>
        </w:rPr>
        <w:t>83</w:t>
      </w:r>
      <w:r>
        <w:t xml:space="preserve">. </w:t>
      </w:r>
      <w:r>
        <w:rPr>
          <w:b/>
        </w:rPr>
        <w:t xml:space="preserve">Ђини коефицијент </w:t>
      </w:r>
      <w:r>
        <w:t xml:space="preserve">у Србији је износио </w:t>
      </w:r>
      <w:r>
        <w:rPr>
          <w:b/>
        </w:rPr>
        <w:t>33,3</w:t>
      </w:r>
      <w:r>
        <w:t xml:space="preserve"> (2019), што је изнад овог коефицијента у ЕУ-28 (30,8)</w:t>
      </w:r>
      <w:r>
        <w:rPr>
          <w:vertAlign w:val="superscript"/>
        </w:rPr>
        <w:t>84</w:t>
      </w:r>
      <w:r>
        <w:t xml:space="preserve">. </w:t>
      </w:r>
    </w:p>
    <w:p w:rsidR="00E8309B" w:rsidRDefault="009D0949">
      <w:pPr>
        <w:ind w:left="-5" w:right="17"/>
      </w:pPr>
      <w:r>
        <w:rPr>
          <w:b/>
        </w:rPr>
        <w:t>Ризик од сиромаштва варира у зависности</w:t>
      </w:r>
      <w:r>
        <w:rPr>
          <w:b/>
        </w:rPr>
        <w:t xml:space="preserve"> од старосних група и радног статуса. </w:t>
      </w:r>
      <w:r>
        <w:t>Ризику од сиромаштва најизложенија су лица млађа од 18 година (28,9%) као и лица од 18 до 24 године (25,6%). У зависности од радног статуса, код лица старих 18 и више година, најизложенија ризику су незапослена лица (4</w:t>
      </w:r>
      <w:r>
        <w:t xml:space="preserve">7,5%). </w:t>
      </w:r>
      <w:r>
        <w:rPr>
          <w:b/>
        </w:rPr>
        <w:t>Ризик од сиромаштва деце највише зависи од радног статуса родитеља.</w:t>
      </w:r>
      <w:r>
        <w:t xml:space="preserve"> </w:t>
      </w:r>
    </w:p>
    <w:p w:rsidR="00E8309B" w:rsidRDefault="009D0949">
      <w:pPr>
        <w:spacing w:after="87"/>
        <w:ind w:left="-5" w:right="17"/>
      </w:pPr>
      <w:r>
        <w:t>Расходи намењени социјалној заштити и сигурности у Србији, мерени као проценат БДП, показују да су издвајања испод просека ЕУ</w:t>
      </w:r>
      <w:r>
        <w:rPr>
          <w:vertAlign w:val="superscript"/>
        </w:rPr>
        <w:footnoteReference w:id="75"/>
      </w:r>
      <w:r>
        <w:t xml:space="preserve"> (ЕУ-28: 27,8%, 2017), али ипак Србија издваја више ср</w:t>
      </w:r>
      <w:r>
        <w:t>едстава од неких чланица ЕУ из окружења</w:t>
      </w:r>
      <w:r>
        <w:rPr>
          <w:vertAlign w:val="superscript"/>
        </w:rPr>
        <w:footnoteReference w:id="76"/>
      </w:r>
      <w:r>
        <w:t xml:space="preserve">. </w:t>
      </w:r>
      <w:r>
        <w:rPr>
          <w:b/>
        </w:rPr>
        <w:t>Расходи за социјалну заштиту и сигурност</w:t>
      </w:r>
      <w:r>
        <w:t xml:space="preserve"> у Србији износили су </w:t>
      </w:r>
      <w:r>
        <w:rPr>
          <w:b/>
        </w:rPr>
        <w:t>19,4% БДП-а у 2018</w:t>
      </w:r>
      <w:r>
        <w:t>. години</w:t>
      </w:r>
      <w:r>
        <w:rPr>
          <w:vertAlign w:val="superscript"/>
        </w:rPr>
        <w:footnoteReference w:id="77"/>
      </w:r>
      <w:r>
        <w:t xml:space="preserve">. Међутим, расходи исказани преко стандарда куповне моћи су свега </w:t>
      </w:r>
      <w:r>
        <w:rPr>
          <w:b/>
        </w:rPr>
        <w:t>2.488 PPS по становнику</w:t>
      </w:r>
      <w:r>
        <w:t xml:space="preserve"> (Purchasing Power Standards / Станд</w:t>
      </w:r>
      <w:r>
        <w:t xml:space="preserve">ард куповне моћи), што је 3,4 пута мање него у ЕУ-28 (8.382, 2017). </w:t>
      </w:r>
    </w:p>
    <w:p w:rsidR="00E8309B" w:rsidRDefault="009D0949">
      <w:pPr>
        <w:ind w:left="-5" w:right="17"/>
      </w:pPr>
      <w:r>
        <w:rPr>
          <w:b/>
        </w:rPr>
        <w:t>Учешће јавних расхода за социјалну помоћ и трансфере из буџета у БДП-у</w:t>
      </w:r>
      <w:r>
        <w:t xml:space="preserve"> Србије последњих година се </w:t>
      </w:r>
      <w:r>
        <w:rPr>
          <w:b/>
        </w:rPr>
        <w:t>постепено смањује</w:t>
      </w:r>
      <w:r>
        <w:t xml:space="preserve">, тако да износи </w:t>
      </w:r>
      <w:r>
        <w:rPr>
          <w:b/>
        </w:rPr>
        <w:t>14,5% БДП-а у 2019</w:t>
      </w:r>
      <w:r>
        <w:t>.</w:t>
      </w:r>
      <w:r>
        <w:rPr>
          <w:vertAlign w:val="superscript"/>
        </w:rPr>
        <w:footnoteReference w:id="78"/>
      </w:r>
      <w:r>
        <w:t xml:space="preserve"> </w:t>
      </w:r>
      <w:r>
        <w:t xml:space="preserve">години (смањење од 2 п.п. у односу на 2015), а последица је реалног смањења пензија и накнада незапосленим лицима. У структури расхода </w:t>
      </w:r>
      <w:r>
        <w:rPr>
          <w:b/>
        </w:rPr>
        <w:t xml:space="preserve">доминирају расходи за пензије </w:t>
      </w:r>
      <w:r>
        <w:t xml:space="preserve">чије учешће износи </w:t>
      </w:r>
      <w:r>
        <w:rPr>
          <w:b/>
        </w:rPr>
        <w:t>10,3% БДП-а</w:t>
      </w:r>
      <w:r>
        <w:t>. У области пензијског система, поново је усвојена швајцарска</w:t>
      </w:r>
      <w:r>
        <w:t xml:space="preserve"> формула за индексацију пензија крајем 2019. (пензије се индексирају са комбинацијом инфлације и раста зарада како би се заштитила њихова реална куповна моћи како би се омогућило да стандард пензионера прати привредни раст и стандард запослених). </w:t>
      </w:r>
      <w:r>
        <w:rPr>
          <w:b/>
        </w:rPr>
        <w:t>Расходи з</w:t>
      </w:r>
      <w:r>
        <w:rPr>
          <w:b/>
        </w:rPr>
        <w:t>а социјалну помоћ</w:t>
      </w:r>
      <w:r>
        <w:t xml:space="preserve"> износе </w:t>
      </w:r>
      <w:r>
        <w:rPr>
          <w:b/>
        </w:rPr>
        <w:t>3,1% БДП-а</w:t>
      </w:r>
      <w:r>
        <w:t xml:space="preserve">, што је у складу са тренутним нивоом развоја, али недовољно да би се систематичније усмерили на оне кориснике којима је помоћ најпотребнија. Због тога је </w:t>
      </w:r>
      <w:r>
        <w:rPr>
          <w:b/>
        </w:rPr>
        <w:t>обезбеђивање адекватних финансијских и институционалних ресурса за</w:t>
      </w:r>
      <w:r>
        <w:rPr>
          <w:b/>
        </w:rPr>
        <w:t xml:space="preserve"> социјалну политику</w:t>
      </w:r>
      <w:r>
        <w:t xml:space="preserve"> приоритет за наредни период. </w:t>
      </w:r>
    </w:p>
    <w:p w:rsidR="00E8309B" w:rsidRDefault="009D0949">
      <w:pPr>
        <w:spacing w:after="89"/>
        <w:ind w:left="-5" w:right="17"/>
      </w:pPr>
      <w:r>
        <w:rPr>
          <w:b/>
        </w:rPr>
        <w:t>Побољшање адекватности социјалних давања за становништво испод прага сиромаштва и прерасподела средства између постојећих програма је изазов.</w:t>
      </w:r>
      <w:r>
        <w:t xml:space="preserve"> Са циљем решавања ових проблема, у току је </w:t>
      </w:r>
      <w:r>
        <w:rPr>
          <w:b/>
        </w:rPr>
        <w:t xml:space="preserve">увођење интегрисаног </w:t>
      </w:r>
      <w:r>
        <w:rPr>
          <w:b/>
        </w:rPr>
        <w:t xml:space="preserve">система израде социјалних карата </w:t>
      </w:r>
      <w:r>
        <w:t>као документованог начина мерења социо-економске моћи корисника социјалне заштите</w:t>
      </w:r>
      <w:r>
        <w:rPr>
          <w:b/>
        </w:rPr>
        <w:t xml:space="preserve">. </w:t>
      </w:r>
      <w:r>
        <w:t>Повезује се велики број различитих институција (Пореска управа, МУП, Катастар непокретности, НЗС, итд.), а умрежавањем њихових база података</w:t>
      </w:r>
      <w:r>
        <w:t xml:space="preserve"> знатно ће бити </w:t>
      </w:r>
      <w:r>
        <w:rPr>
          <w:b/>
        </w:rPr>
        <w:t>поједностављене процедуре за кориснике и побољшана доступност услуга</w:t>
      </w:r>
      <w:r>
        <w:t xml:space="preserve">. Остварен је напредак у изради социјалне карте за оптималну расподелу социјалне помоћи: </w:t>
      </w:r>
      <w:r>
        <w:rPr>
          <w:b/>
        </w:rPr>
        <w:t>израда софтверског решења је у току</w:t>
      </w:r>
      <w:r>
        <w:t xml:space="preserve"> (припремљена је техничка спецификација за II фа</w:t>
      </w:r>
      <w:r>
        <w:t xml:space="preserve">зу развоја апликације), а припремљен је и </w:t>
      </w:r>
      <w:r>
        <w:rPr>
          <w:b/>
        </w:rPr>
        <w:t>Предлог закона о социјалној карти</w:t>
      </w:r>
      <w:r>
        <w:t xml:space="preserve">. </w:t>
      </w:r>
    </w:p>
    <w:p w:rsidR="00E8309B" w:rsidRDefault="009D0949">
      <w:pPr>
        <w:spacing w:after="89"/>
        <w:ind w:left="-5" w:right="17"/>
      </w:pPr>
      <w:r>
        <w:t xml:space="preserve">Одговор на пандемију Ковид-19 у Србији био је </w:t>
      </w:r>
      <w:r>
        <w:rPr>
          <w:b/>
        </w:rPr>
        <w:t>увођење рестриктивног пакета мера</w:t>
      </w:r>
      <w:r>
        <w:t>, као што су: укидање јавног превоза ради смањења мобилности људи, релативно висока ограничења у кр</w:t>
      </w:r>
      <w:r>
        <w:t xml:space="preserve">етању, затварање установа образовања, укидање јавних услуга у директном контакту са грађанима и др. У посебно </w:t>
      </w:r>
      <w:r>
        <w:rPr>
          <w:b/>
        </w:rPr>
        <w:t>тешкој ситуацији биле су старије особе које живе саме, нарочито оне које имају потребу за туђом негом и помоћи</w:t>
      </w:r>
      <w:r>
        <w:t xml:space="preserve">, јер је </w:t>
      </w:r>
      <w:r>
        <w:rPr>
          <w:b/>
        </w:rPr>
        <w:t>већина услуга социјалне заш</w:t>
      </w:r>
      <w:r>
        <w:rPr>
          <w:b/>
        </w:rPr>
        <w:t>тите била или обустављена или су услуге пружане уз знатна ограничења</w:t>
      </w:r>
      <w:r>
        <w:t xml:space="preserve">. Хуманитарне и друге активности на локалном нивоу организовали су кризни штабови. </w:t>
      </w:r>
    </w:p>
    <w:p w:rsidR="00E8309B" w:rsidRDefault="009D0949">
      <w:pPr>
        <w:ind w:left="-5" w:right="17"/>
      </w:pPr>
      <w:r>
        <w:t xml:space="preserve">Посебна пажња у </w:t>
      </w:r>
      <w:r>
        <w:rPr>
          <w:b/>
        </w:rPr>
        <w:t>сврху превенције и заштите корисника</w:t>
      </w:r>
      <w:r>
        <w:t xml:space="preserve"> била је усмерена на бригу о </w:t>
      </w:r>
      <w:r>
        <w:rPr>
          <w:b/>
        </w:rPr>
        <w:t>најугроженијем сегменту</w:t>
      </w:r>
      <w:r>
        <w:rPr>
          <w:b/>
        </w:rPr>
        <w:t xml:space="preserve"> друштва</w:t>
      </w:r>
      <w:r>
        <w:t>, међу којима су корисници смештени у геронтолошке центре и центре за смештај старих, деца и млади без родитељског старања, одрасли и старији са интелектуалним и менталним тешкоћама, телесним и сензорним инвалидитетом, као и деца и млади са сметњам</w:t>
      </w:r>
      <w:r>
        <w:t xml:space="preserve">а у развоју. </w:t>
      </w:r>
      <w:r>
        <w:rPr>
          <w:b/>
        </w:rPr>
        <w:t>Набављена је неопходна заштитна и здравствена опрема</w:t>
      </w:r>
      <w:r>
        <w:t xml:space="preserve"> и испоручена свим установама социјалне заштите (маске, рукавице, мантили, капе, каљаче, бесконтактни топломери, средства за дезинфекцију и др.). Влада је одобрила </w:t>
      </w:r>
      <w:r>
        <w:rPr>
          <w:b/>
        </w:rPr>
        <w:t>запошљавање</w:t>
      </w:r>
      <w:r>
        <w:t xml:space="preserve"> око 700 људи, к</w:t>
      </w:r>
      <w:r>
        <w:t xml:space="preserve">ако би се </w:t>
      </w:r>
      <w:r>
        <w:rPr>
          <w:b/>
        </w:rPr>
        <w:t>установе социјалне заштите додатно ојачале кроз радно ангажовање медицинског и немедицинског особља</w:t>
      </w:r>
      <w:r>
        <w:t xml:space="preserve">. </w:t>
      </w:r>
    </w:p>
    <w:p w:rsidR="00E8309B" w:rsidRDefault="009D0949">
      <w:pPr>
        <w:spacing w:after="90"/>
        <w:ind w:left="-5" w:right="17"/>
      </w:pPr>
      <w:r>
        <w:t xml:space="preserve">Свим </w:t>
      </w:r>
      <w:r>
        <w:rPr>
          <w:b/>
        </w:rPr>
        <w:t>грађанима</w:t>
      </w:r>
      <w:r>
        <w:t xml:space="preserve">, којима је у време ванредног стања требало да престане право на новчану социјалну </w:t>
      </w:r>
      <w:r>
        <w:t xml:space="preserve">помоћ, дечији додатак, туђу негу и помоћ, као и накнаде за породиље, </w:t>
      </w:r>
      <w:r>
        <w:rPr>
          <w:b/>
        </w:rPr>
        <w:t>продужена је исплата помоћи до окончања ванредног стања</w:t>
      </w:r>
      <w:r>
        <w:t xml:space="preserve">. Пензионерима је исплаћена једнократна помоћ са мартовском пензијом, </w:t>
      </w:r>
      <w:r>
        <w:rPr>
          <w:b/>
        </w:rPr>
        <w:t>пензије су исплаћиване без дана закашњења</w:t>
      </w:r>
      <w:r>
        <w:t xml:space="preserve"> упркос пандемији, и </w:t>
      </w:r>
      <w:r>
        <w:t xml:space="preserve">то у целости (не у два дела каква је била пракса). </w:t>
      </w:r>
    </w:p>
    <w:p w:rsidR="00E8309B" w:rsidRDefault="009D0949">
      <w:pPr>
        <w:spacing w:after="93"/>
        <w:ind w:left="-5" w:right="17"/>
      </w:pPr>
      <w:r>
        <w:rPr>
          <w:b/>
        </w:rPr>
        <w:t xml:space="preserve">Ниво родне равноправности у Србији још увек није задовољавајући. </w:t>
      </w:r>
      <w:r>
        <w:t xml:space="preserve">Жене чине 51% опште популације, али их је и даље мање међу доносиоцима одлука: жене заузимају 38,8% посланичких места, а 43% су заступљене </w:t>
      </w:r>
      <w:r>
        <w:t xml:space="preserve">у Влади. На функцији председника Владе налази се жена од 2017. године. </w:t>
      </w:r>
    </w:p>
    <w:p w:rsidR="00E8309B" w:rsidRDefault="009D0949">
      <w:pPr>
        <w:spacing w:after="94"/>
        <w:ind w:left="-5" w:right="17"/>
      </w:pPr>
      <w:r>
        <w:rPr>
          <w:b/>
        </w:rPr>
        <w:t>Србија</w:t>
      </w:r>
      <w:r>
        <w:t xml:space="preserve"> је прва земља ван Европске уније која је </w:t>
      </w:r>
      <w:r>
        <w:rPr>
          <w:b/>
        </w:rPr>
        <w:t>увела Индекс родне равноправности</w:t>
      </w:r>
      <w:r>
        <w:rPr>
          <w:vertAlign w:val="superscript"/>
        </w:rPr>
        <w:footnoteReference w:id="79"/>
      </w:r>
      <w:r>
        <w:t xml:space="preserve">. Индекс родне равноправности за Србију износи </w:t>
      </w:r>
      <w:r>
        <w:rPr>
          <w:b/>
        </w:rPr>
        <w:t>55,8 поена</w:t>
      </w:r>
      <w:r>
        <w:rPr>
          <w:vertAlign w:val="superscript"/>
        </w:rPr>
        <w:footnoteReference w:id="80"/>
      </w:r>
      <w:r>
        <w:t xml:space="preserve"> што представља унапређење родне равноправно</w:t>
      </w:r>
      <w:r>
        <w:t>сти односно пораст индекса за 3,4 поена у периоду од 2014. до 2016. године. Ипак, Србија и даље бележи нижу вредност индекса у односу на просек ЕУ-28, који износи 66,2 поена</w:t>
      </w:r>
      <w:r>
        <w:rPr>
          <w:vertAlign w:val="superscript"/>
        </w:rPr>
        <w:t>91</w:t>
      </w:r>
      <w:r>
        <w:t xml:space="preserve">. На заједничкој листи са државама чланицама ЕУ, Србија се налази на </w:t>
      </w:r>
      <w:r>
        <w:rPr>
          <w:b/>
        </w:rPr>
        <w:t>22. месту</w:t>
      </w:r>
      <w:r>
        <w:rPr>
          <w:b/>
          <w:vertAlign w:val="superscript"/>
        </w:rPr>
        <w:footnoteReference w:id="81"/>
      </w:r>
      <w:r>
        <w:t xml:space="preserve">. </w:t>
      </w:r>
      <w:r>
        <w:t>Једна од главних оса неједнакости коју је Индекс забележио односи се на родну сегрегацију која се успоставља током образовања и наставља касније на тржишту рада. Неједнакости су видљиве и у домену новца, јер жене имају ниже приходе од мушкараца, а поједине</w:t>
      </w:r>
      <w:r>
        <w:t xml:space="preserve"> групе жена изложене су и вишим ризицима од сиромаштва. Неједнакости у домену времена показују колико жене свог времена и рада троше у бризи о домаћинству и породици, односно обављајући неплаћени кућни рад. </w:t>
      </w:r>
    </w:p>
    <w:p w:rsidR="00E8309B" w:rsidRDefault="009D0949">
      <w:pPr>
        <w:spacing w:after="85"/>
        <w:ind w:left="-5" w:right="17"/>
      </w:pPr>
      <w:r>
        <w:t xml:space="preserve">Према </w:t>
      </w:r>
      <w:r>
        <w:rPr>
          <w:b/>
        </w:rPr>
        <w:t>глобалном индексу здравствене сигурности</w:t>
      </w:r>
      <w:r>
        <w:t xml:space="preserve"> (</w:t>
      </w:r>
      <w:r>
        <w:rPr>
          <w:i/>
        </w:rPr>
        <w:t>Global Health Security Index</w:t>
      </w:r>
      <w:r>
        <w:rPr>
          <w:vertAlign w:val="superscript"/>
        </w:rPr>
        <w:footnoteReference w:id="82"/>
      </w:r>
      <w:r>
        <w:t xml:space="preserve">) Србија је рангирана на </w:t>
      </w:r>
      <w:r>
        <w:rPr>
          <w:b/>
        </w:rPr>
        <w:t>41. месту</w:t>
      </w:r>
      <w:r>
        <w:t xml:space="preserve"> од 195 земаља за које је рађена процена могућности здравствене заштите, а остварен је резултат од 52,3 у 2019. години. У свим категоријама индекса Србија остварује изнад просечан резултат у од</w:t>
      </w:r>
      <w:r>
        <w:t>носу на светски просек</w:t>
      </w:r>
      <w:r>
        <w:rPr>
          <w:vertAlign w:val="superscript"/>
        </w:rPr>
        <w:footnoteReference w:id="83"/>
      </w:r>
      <w:r>
        <w:t xml:space="preserve">. Као индикатор у коме Србија заузима слабу позицију је </w:t>
      </w:r>
      <w:r>
        <w:rPr>
          <w:b/>
          <w:i/>
        </w:rPr>
        <w:t>Здравствени капацитет у клиникама, болницама и локалним центрима</w:t>
      </w:r>
      <w:r>
        <w:t xml:space="preserve"> у оквиру категорије </w:t>
      </w:r>
      <w:r>
        <w:rPr>
          <w:b/>
        </w:rPr>
        <w:t>Здравствени систем</w:t>
      </w:r>
      <w:r>
        <w:t xml:space="preserve"> (19,4, док је светски просек 24,4)</w:t>
      </w:r>
      <w:r>
        <w:rPr>
          <w:vertAlign w:val="superscript"/>
        </w:rPr>
        <w:footnoteReference w:id="84"/>
      </w:r>
      <w:r>
        <w:t>. Након избијања пандемије Ковид-</w:t>
      </w:r>
      <w:r>
        <w:t xml:space="preserve">19 овај индикатор постаје посебно релевантан. </w:t>
      </w:r>
    </w:p>
    <w:p w:rsidR="00E8309B" w:rsidRDefault="009D0949">
      <w:pPr>
        <w:spacing w:after="23" w:line="271" w:lineRule="auto"/>
        <w:ind w:left="-5" w:right="9"/>
      </w:pPr>
      <w:r>
        <w:t xml:space="preserve">И пре избијања пандемије Ковид-19, здравствени систем у Србији се суочавао са озбиљним </w:t>
      </w:r>
      <w:r>
        <w:rPr>
          <w:b/>
        </w:rPr>
        <w:t>изазовима</w:t>
      </w:r>
      <w:r>
        <w:t xml:space="preserve"> у погледу </w:t>
      </w:r>
      <w:r>
        <w:rPr>
          <w:b/>
        </w:rPr>
        <w:t>финансирања, опремљености болница и квалитета пружених услуга</w:t>
      </w:r>
      <w:r>
        <w:t xml:space="preserve">. </w:t>
      </w:r>
      <w:r>
        <w:rPr>
          <w:b/>
        </w:rPr>
        <w:t>Здравствена заштита становништва</w:t>
      </w:r>
      <w:r>
        <w:rPr>
          <w:b/>
          <w:vertAlign w:val="superscript"/>
        </w:rPr>
        <w:footnoteReference w:id="85"/>
      </w:r>
      <w:r>
        <w:t xml:space="preserve"> у Срб</w:t>
      </w:r>
      <w:r>
        <w:t xml:space="preserve">ији непосредно се </w:t>
      </w:r>
      <w:r>
        <w:rPr>
          <w:b/>
        </w:rPr>
        <w:t>спроводи преко мреже здравствених установа</w:t>
      </w:r>
      <w:r>
        <w:t xml:space="preserve">, који је у Србији било </w:t>
      </w:r>
      <w:r>
        <w:rPr>
          <w:b/>
        </w:rPr>
        <w:t>350</w:t>
      </w:r>
      <w:r>
        <w:rPr>
          <w:b/>
          <w:vertAlign w:val="superscript"/>
        </w:rPr>
        <w:t>97</w:t>
      </w:r>
      <w:r>
        <w:rPr>
          <w:b/>
        </w:rPr>
        <w:t xml:space="preserve"> </w:t>
      </w:r>
      <w:r>
        <w:t xml:space="preserve">у </w:t>
      </w:r>
      <w:r>
        <w:rPr>
          <w:b/>
        </w:rPr>
        <w:t>2018</w:t>
      </w:r>
      <w:r>
        <w:t xml:space="preserve">. години, док је у систему здравствене заштите било </w:t>
      </w:r>
      <w:r>
        <w:rPr>
          <w:b/>
        </w:rPr>
        <w:t xml:space="preserve">запослено </w:t>
      </w:r>
      <w:r>
        <w:t xml:space="preserve">око </w:t>
      </w:r>
      <w:r>
        <w:rPr>
          <w:b/>
        </w:rPr>
        <w:t>101,4 хиљада радника</w:t>
      </w:r>
      <w:r>
        <w:t xml:space="preserve">. </w:t>
      </w:r>
      <w:r>
        <w:rPr>
          <w:b/>
        </w:rPr>
        <w:t>Број лекара на 100.000 становника у Србији износио је 286</w:t>
      </w:r>
      <w:r>
        <w:t xml:space="preserve">. </w:t>
      </w:r>
    </w:p>
    <w:p w:rsidR="00E8309B" w:rsidRDefault="009D0949">
      <w:pPr>
        <w:ind w:left="-5" w:right="17"/>
      </w:pPr>
      <w:r>
        <w:t xml:space="preserve">Здравствену </w:t>
      </w:r>
      <w:r>
        <w:t xml:space="preserve">заштиту на примарном нивоу обезбеђују домови здравља (158) у државној својини, који су основани за територију једне или више општина, односно града. Стационарну (болничку) здравствену заштиту пружало је 128 здравствених установа, у којима је радило </w:t>
      </w:r>
    </w:p>
    <w:p w:rsidR="00E8309B" w:rsidRDefault="009D0949">
      <w:pPr>
        <w:spacing w:after="97"/>
        <w:ind w:left="-5" w:right="17"/>
      </w:pPr>
      <w:r>
        <w:t xml:space="preserve">8.248 </w:t>
      </w:r>
      <w:r>
        <w:t xml:space="preserve">лекара (од тога 79,5% специјалиста). Постељни фонд у стационарним установама износи 41.988 постељa, односно </w:t>
      </w:r>
      <w:r>
        <w:rPr>
          <w:b/>
        </w:rPr>
        <w:t xml:space="preserve">614 постеља на 100.000 становника </w:t>
      </w:r>
      <w:r>
        <w:t xml:space="preserve">у 2018. Број болесника у стационарним здравственим установама износио је нешто мање од 1,4 милиона, а укупан број </w:t>
      </w:r>
      <w:r>
        <w:t xml:space="preserve">остварених болничких дана 10 милиона. </w:t>
      </w:r>
      <w:r>
        <w:rPr>
          <w:b/>
        </w:rPr>
        <w:t>Просечна дужина лечења по једном болеснику је 7,4 дана</w:t>
      </w:r>
      <w:r>
        <w:t xml:space="preserve">, а </w:t>
      </w:r>
      <w:r>
        <w:rPr>
          <w:b/>
        </w:rPr>
        <w:t>просечна заузетост болничких постеља 65,8%.</w:t>
      </w:r>
      <w:r>
        <w:t xml:space="preserve"> </w:t>
      </w:r>
    </w:p>
    <w:p w:rsidR="00E8309B" w:rsidRDefault="009D0949">
      <w:pPr>
        <w:spacing w:after="88"/>
        <w:ind w:left="-5" w:right="17"/>
      </w:pPr>
      <w:r>
        <w:rPr>
          <w:b/>
        </w:rPr>
        <w:t>Укупна издвајања за здравство</w:t>
      </w:r>
      <w:r>
        <w:t xml:space="preserve"> у Србији износила су </w:t>
      </w:r>
      <w:r>
        <w:rPr>
          <w:b/>
        </w:rPr>
        <w:t>8,55% БДП</w:t>
      </w:r>
      <w:r>
        <w:t xml:space="preserve">-а у </w:t>
      </w:r>
      <w:r>
        <w:rPr>
          <w:b/>
        </w:rPr>
        <w:t>2018</w:t>
      </w:r>
      <w:r>
        <w:t>.</w:t>
      </w:r>
      <w:r>
        <w:rPr>
          <w:vertAlign w:val="superscript"/>
        </w:rPr>
        <w:footnoteReference w:id="86"/>
      </w:r>
      <w:r>
        <w:t xml:space="preserve"> години, док издвајања </w:t>
      </w:r>
      <w:r>
        <w:rPr>
          <w:b/>
        </w:rPr>
        <w:t>по глави становника</w:t>
      </w:r>
      <w:r>
        <w:t xml:space="preserve"> и</w:t>
      </w:r>
      <w:r>
        <w:t xml:space="preserve">зносе </w:t>
      </w:r>
      <w:r>
        <w:rPr>
          <w:b/>
        </w:rPr>
        <w:t>600 УСД</w:t>
      </w:r>
      <w:r>
        <w:t xml:space="preserve">. Доминантан финансијер здравства је </w:t>
      </w:r>
      <w:r>
        <w:rPr>
          <w:b/>
        </w:rPr>
        <w:t>држава</w:t>
      </w:r>
      <w:r>
        <w:t xml:space="preserve"> која издваја </w:t>
      </w:r>
      <w:r>
        <w:rPr>
          <w:b/>
        </w:rPr>
        <w:t>60% укупних средстава</w:t>
      </w:r>
      <w:r>
        <w:t xml:space="preserve">, док учешће </w:t>
      </w:r>
      <w:r>
        <w:rPr>
          <w:b/>
        </w:rPr>
        <w:t>приватног сектора</w:t>
      </w:r>
      <w:r>
        <w:t xml:space="preserve"> износи </w:t>
      </w:r>
      <w:r>
        <w:rPr>
          <w:b/>
        </w:rPr>
        <w:t>40%</w:t>
      </w:r>
      <w:r>
        <w:t xml:space="preserve">. </w:t>
      </w:r>
    </w:p>
    <w:p w:rsidR="00E8309B" w:rsidRDefault="009D0949">
      <w:pPr>
        <w:spacing w:after="89"/>
        <w:ind w:left="-5" w:right="17"/>
      </w:pPr>
      <w:r>
        <w:rPr>
          <w:b/>
        </w:rPr>
        <w:t>Касни се са реконструкцијом и опремањем клиничких центара</w:t>
      </w:r>
      <w:r>
        <w:t xml:space="preserve"> који су од значаја за унапређење квалитета терцијарне здравстве</w:t>
      </w:r>
      <w:r>
        <w:t xml:space="preserve">не заштите. Завршена је реконструкција КЦ Ниш (крајем 2017), док је доградња и реконструкција КЦ Србије у Београду и КЦ Војводина у Новом Саду у току. </w:t>
      </w:r>
    </w:p>
    <w:p w:rsidR="00E8309B" w:rsidRDefault="009D0949">
      <w:pPr>
        <w:spacing w:after="90"/>
        <w:ind w:left="-5" w:right="17"/>
      </w:pPr>
      <w:r>
        <w:t xml:space="preserve">Ниска улагања у здравству одражавају се на </w:t>
      </w:r>
      <w:r>
        <w:rPr>
          <w:b/>
        </w:rPr>
        <w:t>недовољну опремљеност здравствених установа дијагностичким ме</w:t>
      </w:r>
      <w:r>
        <w:rPr>
          <w:b/>
        </w:rPr>
        <w:t>дицинским апаратима</w:t>
      </w:r>
      <w:r>
        <w:rPr>
          <w:b/>
          <w:vertAlign w:val="superscript"/>
        </w:rPr>
        <w:t>99</w:t>
      </w:r>
      <w:r>
        <w:t>, па тако Србија има 27 магнетних резонанци (0,39 на 100.000 становника), 81 ЦТ скенер (1,12 на 100.000 становника), 22 гама камере (0,29 на 100.000 становника), 24 јединица за ангиографију (0,34 на 100.000 становника; податак за 2016)</w:t>
      </w:r>
      <w:r>
        <w:t xml:space="preserve">, 30 јединица за радио терапију (0,43 на 100.000 становника), 128 мамографа (1,8 на 100.000 становника) и 2 ПЕТ скенера. </w:t>
      </w:r>
    </w:p>
    <w:p w:rsidR="00E8309B" w:rsidRDefault="009D0949">
      <w:pPr>
        <w:ind w:left="-5" w:right="17"/>
      </w:pPr>
      <w:r>
        <w:rPr>
          <w:b/>
        </w:rPr>
        <w:t>Изазов</w:t>
      </w:r>
      <w:r>
        <w:t xml:space="preserve"> са којим се здравствени систем у Србији се суочава је и </w:t>
      </w:r>
      <w:r>
        <w:rPr>
          <w:b/>
        </w:rPr>
        <w:t>одлив кадрова и недостатак радне снаге</w:t>
      </w:r>
      <w:r>
        <w:t xml:space="preserve">. Лекарска комора Србије годишње </w:t>
      </w:r>
      <w:r>
        <w:t>изда преко 700 сертификата добре праксе</w:t>
      </w:r>
      <w:r>
        <w:rPr>
          <w:vertAlign w:val="superscript"/>
        </w:rPr>
        <w:t>100</w:t>
      </w:r>
      <w:r>
        <w:t xml:space="preserve"> који омогућавају докторима да раде у иностранству. </w:t>
      </w:r>
    </w:p>
    <w:p w:rsidR="00E8309B" w:rsidRDefault="009D0949">
      <w:pPr>
        <w:spacing w:after="79" w:line="271" w:lineRule="auto"/>
        <w:ind w:left="-5" w:right="9"/>
      </w:pPr>
      <w:r>
        <w:rPr>
          <w:b/>
        </w:rPr>
        <w:t>Недовољна улагања и опремљеност здравствених установа и мањак медицинског кадра негативно се одражавају на листе чекања</w:t>
      </w:r>
      <w:r>
        <w:t xml:space="preserve">. </w:t>
      </w:r>
      <w:r>
        <w:rPr>
          <w:b/>
        </w:rPr>
        <w:t>Јединствена листа чекања</w:t>
      </w:r>
      <w:r>
        <w:t xml:space="preserve"> се за </w:t>
      </w:r>
      <w:r>
        <w:rPr>
          <w:b/>
        </w:rPr>
        <w:t xml:space="preserve">26 </w:t>
      </w:r>
      <w:r>
        <w:rPr>
          <w:b/>
        </w:rPr>
        <w:t>здравствених услуга</w:t>
      </w:r>
      <w:r>
        <w:t xml:space="preserve"> ажурира на дневној бази и објављује на сајту РФЗО</w:t>
      </w:r>
      <w:r>
        <w:rPr>
          <w:vertAlign w:val="superscript"/>
        </w:rPr>
        <w:footnoteReference w:id="87"/>
      </w:r>
      <w:r>
        <w:t xml:space="preserve">, а укупан </w:t>
      </w:r>
      <w:r>
        <w:rPr>
          <w:b/>
        </w:rPr>
        <w:t xml:space="preserve">број лица </w:t>
      </w:r>
      <w:r>
        <w:t xml:space="preserve">на овој листи износио је око </w:t>
      </w:r>
      <w:r>
        <w:rPr>
          <w:b/>
        </w:rPr>
        <w:t>51 хиљада</w:t>
      </w:r>
      <w:r>
        <w:t xml:space="preserve"> средином октобра 2020.</w:t>
      </w:r>
      <w:r>
        <w:rPr>
          <w:b/>
        </w:rPr>
        <w:t xml:space="preserve"> </w:t>
      </w:r>
    </w:p>
    <w:p w:rsidR="00E8309B" w:rsidRDefault="009D0949">
      <w:pPr>
        <w:spacing w:after="85"/>
        <w:ind w:left="-5" w:right="17"/>
      </w:pPr>
      <w:r>
        <w:t xml:space="preserve">У првих неколико недеља од избијања пандемије Ковид-19 постало је неопходно повећати </w:t>
      </w:r>
      <w:r>
        <w:rPr>
          <w:b/>
        </w:rPr>
        <w:t>обим откривања сл</w:t>
      </w:r>
      <w:r>
        <w:rPr>
          <w:b/>
        </w:rPr>
        <w:t>учаја заразе, праћења контаката и извештавања</w:t>
      </w:r>
      <w:r>
        <w:t xml:space="preserve">. Изазов је био </w:t>
      </w:r>
      <w:r>
        <w:rPr>
          <w:b/>
        </w:rPr>
        <w:t>набавка неопходне опреме</w:t>
      </w:r>
      <w:r>
        <w:t xml:space="preserve"> (респиратори и заштитна опрема, дезинфекциона средства и др.), а свакодневне </w:t>
      </w:r>
      <w:r>
        <w:rPr>
          <w:b/>
        </w:rPr>
        <w:t>активности здравствених радника постале далеко сложеније и ризичније</w:t>
      </w:r>
      <w:r>
        <w:t xml:space="preserve">. </w:t>
      </w:r>
    </w:p>
    <w:p w:rsidR="00E8309B" w:rsidRDefault="009D0949">
      <w:pPr>
        <w:ind w:left="-5" w:right="17"/>
      </w:pPr>
      <w:r>
        <w:t xml:space="preserve">Како је </w:t>
      </w:r>
      <w:r>
        <w:rPr>
          <w:b/>
        </w:rPr>
        <w:t>растао број за</w:t>
      </w:r>
      <w:r>
        <w:rPr>
          <w:b/>
        </w:rPr>
        <w:t xml:space="preserve">ражених </w:t>
      </w:r>
      <w:r>
        <w:t xml:space="preserve">вирусом Ковид-19, тако је све </w:t>
      </w:r>
      <w:r>
        <w:rPr>
          <w:b/>
        </w:rPr>
        <w:t>више болница</w:t>
      </w:r>
      <w:r>
        <w:t xml:space="preserve"> у Србији улазило у Ковид систем односно </w:t>
      </w:r>
      <w:r>
        <w:rPr>
          <w:b/>
        </w:rPr>
        <w:t>постајале</w:t>
      </w:r>
      <w:r>
        <w:t xml:space="preserve"> су </w:t>
      </w:r>
      <w:r>
        <w:rPr>
          <w:b/>
        </w:rPr>
        <w:t>Ковид центри</w:t>
      </w:r>
      <w:r>
        <w:t xml:space="preserve">. У одређеним временским периодима дошло је до </w:t>
      </w:r>
      <w:r>
        <w:rPr>
          <w:b/>
        </w:rPr>
        <w:t>претварање великих хала</w:t>
      </w:r>
      <w:r>
        <w:rPr>
          <w:b/>
          <w:vertAlign w:val="superscript"/>
        </w:rPr>
        <w:t>102</w:t>
      </w:r>
      <w:r>
        <w:t xml:space="preserve"> у </w:t>
      </w:r>
      <w:r>
        <w:rPr>
          <w:b/>
        </w:rPr>
        <w:t>привремене Ковид болнице</w:t>
      </w:r>
      <w:r>
        <w:t xml:space="preserve"> намењене пацијентима са лакшом клиничко</w:t>
      </w:r>
      <w:r>
        <w:t xml:space="preserve">м сликом. Као решење за проблем недостатка болничких капацитета, Србија је отпочела </w:t>
      </w:r>
      <w:r>
        <w:rPr>
          <w:b/>
        </w:rPr>
        <w:t>градњу две нове Ковид болнице</w:t>
      </w:r>
      <w:r>
        <w:t xml:space="preserve"> у Београду и Крушевцу. </w:t>
      </w:r>
    </w:p>
    <w:p w:rsidR="00E8309B" w:rsidRDefault="009D0949">
      <w:pPr>
        <w:spacing w:after="88"/>
        <w:ind w:left="-5" w:right="17"/>
      </w:pPr>
      <w:r>
        <w:rPr>
          <w:b/>
        </w:rPr>
        <w:t>Приступ здравственој заштити постао је далеко сложенији за бројне пацијенте</w:t>
      </w:r>
      <w:r>
        <w:t>, нарочито за оболеле од рака, труднице и п</w:t>
      </w:r>
      <w:r>
        <w:t xml:space="preserve">рипаднике различитих угрожених група, јер су болнице биле принуђене да </w:t>
      </w:r>
      <w:r>
        <w:rPr>
          <w:b/>
        </w:rPr>
        <w:t xml:space="preserve">обуставе или ограниче интервенције које нису хитне, </w:t>
      </w:r>
      <w:r>
        <w:t xml:space="preserve">а вирус Ковид-19 је постао и </w:t>
      </w:r>
      <w:r>
        <w:rPr>
          <w:b/>
        </w:rPr>
        <w:t>препрека за приступ битним услугама превентивне заштите</w:t>
      </w:r>
      <w:r>
        <w:t>, па се очекује да ће одлагање тих услуга предста</w:t>
      </w:r>
      <w:r>
        <w:t xml:space="preserve">вљати додатни ризик. </w:t>
      </w:r>
    </w:p>
    <w:p w:rsidR="00E8309B" w:rsidRDefault="009D0949">
      <w:pPr>
        <w:spacing w:after="87"/>
        <w:ind w:left="-5" w:right="17"/>
      </w:pPr>
      <w:r>
        <w:rPr>
          <w:b/>
        </w:rPr>
        <w:t>Процес дигитализације</w:t>
      </w:r>
      <w:r>
        <w:t xml:space="preserve"> уопште, а пре свега у јавној управи, </w:t>
      </w:r>
      <w:r>
        <w:rPr>
          <w:b/>
        </w:rPr>
        <w:t xml:space="preserve">побољшава квалитет живота грађана </w:t>
      </w:r>
      <w:r>
        <w:t xml:space="preserve">Србије, што је од посебног значаја услед пандемије Ковид-19.  </w:t>
      </w:r>
    </w:p>
    <w:p w:rsidR="00E8309B" w:rsidRDefault="009D0949">
      <w:pPr>
        <w:spacing w:after="89"/>
        <w:ind w:left="-5" w:right="17"/>
      </w:pPr>
      <w:r>
        <w:t xml:space="preserve">Ради </w:t>
      </w:r>
      <w:r>
        <w:rPr>
          <w:b/>
        </w:rPr>
        <w:t>вршења епидемиолошког надзора</w:t>
      </w:r>
      <w:r>
        <w:t xml:space="preserve"> </w:t>
      </w:r>
      <w:r>
        <w:t xml:space="preserve">повезаног са пандемијом корона вируса у Србији, Влада је формирала јединствено и централизовано софтверско решење - </w:t>
      </w:r>
      <w:r>
        <w:rPr>
          <w:b/>
        </w:rPr>
        <w:t>Информациони систем Ковид-19</w:t>
      </w:r>
      <w:r>
        <w:rPr>
          <w:vertAlign w:val="superscript"/>
        </w:rPr>
        <w:footnoteReference w:id="88"/>
      </w:r>
      <w:r>
        <w:t xml:space="preserve"> који садржи податке о излеченима, преминулима, тестиранима, лицима под самоизолацијом и у смештају који се на </w:t>
      </w:r>
      <w:r>
        <w:t>дневном нивоу до 14 сати достављају Министарству здравља, а ради надзора за мере самоизолације и појачаног здравственог надзора и МУП-у и Војсци Србије. Подаци о броју грађана у самоизолацији, зараженим вирусом, тестираним, хоспитализованим и преминулим на</w:t>
      </w:r>
      <w:r>
        <w:t xml:space="preserve"> територији Србије су отворени и доступни на </w:t>
      </w:r>
      <w:r>
        <w:rPr>
          <w:b/>
        </w:rPr>
        <w:t>Порталу отворених података</w:t>
      </w:r>
      <w:r>
        <w:t xml:space="preserve">. </w:t>
      </w:r>
    </w:p>
    <w:p w:rsidR="00E8309B" w:rsidRDefault="009D0949">
      <w:pPr>
        <w:spacing w:after="86"/>
        <w:ind w:left="-5" w:right="17"/>
      </w:pPr>
      <w:r>
        <w:t>Успостављена је</w:t>
      </w:r>
      <w:r>
        <w:rPr>
          <w:b/>
        </w:rPr>
        <w:t xml:space="preserve"> национална платформа за пријаву волонтера </w:t>
      </w:r>
      <w:r>
        <w:t>путем које сви грађани који не спадају у ризичну групу а желе да помогну најстаријим суграђанима и другим ризичним групама м</w:t>
      </w:r>
      <w:r>
        <w:t>огу да се пријаве. Такође, успостављена је</w:t>
      </w:r>
      <w:r>
        <w:rPr>
          <w:b/>
        </w:rPr>
        <w:t xml:space="preserve"> Национална платформа Донирај плазму</w:t>
      </w:r>
      <w:r>
        <w:rPr>
          <w:vertAlign w:val="superscript"/>
        </w:rPr>
        <w:footnoteReference w:id="89"/>
      </w:r>
      <w:r>
        <w:rPr>
          <w:b/>
        </w:rPr>
        <w:t xml:space="preserve">, </w:t>
      </w:r>
      <w:r>
        <w:t xml:space="preserve">креиран је </w:t>
      </w:r>
      <w:r>
        <w:rPr>
          <w:b/>
        </w:rPr>
        <w:t>Портал Дигитална солидарност</w:t>
      </w:r>
      <w:r>
        <w:t xml:space="preserve"> намењен свима који су услед пандемије корона вируса у својим кућама.  </w:t>
      </w:r>
    </w:p>
    <w:p w:rsidR="00E8309B" w:rsidRDefault="009D0949">
      <w:pPr>
        <w:spacing w:after="91"/>
        <w:ind w:left="-5" w:right="17"/>
      </w:pPr>
      <w:r>
        <w:rPr>
          <w:b/>
        </w:rPr>
        <w:t>Тест самопроцене на Ковид-19</w:t>
      </w:r>
      <w:r>
        <w:t xml:space="preserve"> у форми упитника самопроцене симпто</w:t>
      </w:r>
      <w:r>
        <w:t xml:space="preserve">ма доступан је од почетка априла 2020. на </w:t>
      </w:r>
      <w:r>
        <w:rPr>
          <w:b/>
        </w:rPr>
        <w:t>Порталу еЗдравље</w:t>
      </w:r>
      <w:r>
        <w:t xml:space="preserve">. На основу одговора добијају се смернице о даљем поступању и остварује директна електронска комуникација са Респираторним амбулантама из система надзора. </w:t>
      </w:r>
    </w:p>
    <w:p w:rsidR="00E8309B" w:rsidRDefault="009D0949">
      <w:pPr>
        <w:ind w:left="-5" w:right="17"/>
      </w:pPr>
      <w:r>
        <w:t xml:space="preserve">Развијена је и од краја јула 2020. на </w:t>
      </w:r>
      <w:r>
        <w:rPr>
          <w:b/>
        </w:rPr>
        <w:t>Порт</w:t>
      </w:r>
      <w:r>
        <w:rPr>
          <w:b/>
        </w:rPr>
        <w:t>алу еУправа</w:t>
      </w:r>
      <w:r>
        <w:t xml:space="preserve"> доступна </w:t>
      </w:r>
      <w:r>
        <w:rPr>
          <w:b/>
        </w:rPr>
        <w:t>нова услуга</w:t>
      </w:r>
      <w:r>
        <w:t xml:space="preserve"> (</w:t>
      </w:r>
      <w:r>
        <w:rPr>
          <w:b/>
        </w:rPr>
        <w:t>пријава за нотификацију</w:t>
      </w:r>
      <w:r>
        <w:t xml:space="preserve">) која грађанима омогућава да примају </w:t>
      </w:r>
      <w:r>
        <w:rPr>
          <w:b/>
        </w:rPr>
        <w:t>имејл и СМС обавештења</w:t>
      </w:r>
      <w:r>
        <w:t xml:space="preserve"> да ли је њихов </w:t>
      </w:r>
      <w:r>
        <w:rPr>
          <w:b/>
        </w:rPr>
        <w:t>резултат PCR теста на Ковид-19</w:t>
      </w:r>
      <w:r>
        <w:t xml:space="preserve"> готов.  </w:t>
      </w:r>
    </w:p>
    <w:p w:rsidR="00E8309B" w:rsidRDefault="009D0949">
      <w:pPr>
        <w:spacing w:after="0" w:line="259" w:lineRule="auto"/>
        <w:ind w:left="0" w:right="0" w:firstLine="0"/>
        <w:jc w:val="left"/>
      </w:pPr>
      <w:r>
        <w:t xml:space="preserve"> </w:t>
      </w:r>
      <w:r>
        <w:tab/>
        <w:t xml:space="preserve"> </w:t>
      </w:r>
    </w:p>
    <w:p w:rsidR="00E8309B" w:rsidRDefault="009D0949">
      <w:pPr>
        <w:spacing w:after="246" w:line="271" w:lineRule="auto"/>
        <w:ind w:left="-5" w:right="9"/>
      </w:pPr>
      <w:r>
        <w:rPr>
          <w:b/>
        </w:rPr>
        <w:t>б) Реформе</w:t>
      </w:r>
      <w:r>
        <w:t xml:space="preserve"> </w:t>
      </w:r>
    </w:p>
    <w:p w:rsidR="00E8309B" w:rsidRDefault="009D0949">
      <w:pPr>
        <w:ind w:left="-5" w:right="17"/>
      </w:pPr>
      <w:r>
        <w:rPr>
          <w:b/>
          <w:u w:val="single" w:color="000000"/>
        </w:rPr>
        <w:t>СТРУКТУРНА РЕФОРМА 23</w:t>
      </w:r>
      <w:r>
        <w:rPr>
          <w:b/>
        </w:rPr>
        <w:t xml:space="preserve">: </w:t>
      </w:r>
      <w:r>
        <w:t xml:space="preserve">УНАПРЕЂЕЊЕ АДЕКВАТНОСТИ, КВАЛИТЕТА И </w:t>
      </w:r>
    </w:p>
    <w:p w:rsidR="00E8309B" w:rsidRDefault="009D0949">
      <w:pPr>
        <w:spacing w:after="156"/>
        <w:ind w:left="-5" w:right="17"/>
      </w:pPr>
      <w:r>
        <w:t>ТАРГЕТИРАНОСТИ МЕРА СОЦИЈАЛНЕ ЗАШТИТЕ</w:t>
      </w:r>
      <w:r>
        <w:rPr>
          <w:b/>
        </w:rPr>
        <w:t xml:space="preserve"> </w:t>
      </w:r>
    </w:p>
    <w:p w:rsidR="00E8309B" w:rsidRDefault="009D0949">
      <w:pPr>
        <w:spacing w:after="79" w:line="271" w:lineRule="auto"/>
        <w:ind w:left="-5" w:right="9"/>
      </w:pPr>
      <w:r>
        <w:rPr>
          <w:b/>
        </w:rPr>
        <w:t>1.</w:t>
      </w:r>
      <w:r>
        <w:rPr>
          <w:rFonts w:ascii="Arial" w:eastAsia="Arial" w:hAnsi="Arial" w:cs="Arial"/>
          <w:b/>
        </w:rPr>
        <w:t xml:space="preserve"> </w:t>
      </w:r>
      <w:r>
        <w:rPr>
          <w:b/>
        </w:rPr>
        <w:t xml:space="preserve">Опис структурне реформе </w:t>
      </w:r>
    </w:p>
    <w:p w:rsidR="00E8309B" w:rsidRDefault="009D0949">
      <w:pPr>
        <w:spacing w:after="88"/>
        <w:ind w:left="-5" w:right="17"/>
      </w:pPr>
      <w:r>
        <w:t>Праведна расподела средстава намењених за социјалну заштиту обезбедиће се кроз успостављање јединственог Регистра социјална карта који ће омогућити сагледавање социјалног и материјалног ста</w:t>
      </w:r>
      <w:r>
        <w:t xml:space="preserve">туса корисника, а неопходан предуслов за то је прикупљање и коришћење података који тај статус одређују и то из свих доступних извора државне управе. Поред тога, применом информационог система за подршку пословним процесима у спровођењу социјалне заштите, </w:t>
      </w:r>
      <w:r>
        <w:t>„</w:t>
      </w:r>
      <w:r>
        <w:rPr>
          <w:i/>
        </w:rPr>
        <w:t>Система за заштиту и аутоматизацију инструмената социјалне заштите</w:t>
      </w:r>
      <w:r>
        <w:t xml:space="preserve">“, повезаће се и установе социјалне заштите, а пре свега центри за социјални рад у јединствену мрежу. Основ за израду Регистра социјална карта садржан је у </w:t>
      </w:r>
      <w:r>
        <w:rPr>
          <w:i/>
        </w:rPr>
        <w:t>Акционом плану за спровођење Прог</w:t>
      </w:r>
      <w:r>
        <w:rPr>
          <w:i/>
        </w:rPr>
        <w:t>рама Владе</w:t>
      </w:r>
      <w:r>
        <w:t xml:space="preserve">, којим се увођење социјалних карата дефинише као приоритет. Такође, израда наведених система је предвиђена у </w:t>
      </w:r>
      <w:r>
        <w:rPr>
          <w:i/>
        </w:rPr>
        <w:t>Акционом плану за реализацију Програма развоја еУправе у Републици Србији за период 2020.-2022. године</w:t>
      </w:r>
      <w:r>
        <w:t xml:space="preserve"> (мера 1.6), али и као циљ у </w:t>
      </w:r>
      <w:r>
        <w:rPr>
          <w:i/>
        </w:rPr>
        <w:t>Прогр</w:t>
      </w:r>
      <w:r>
        <w:rPr>
          <w:i/>
        </w:rPr>
        <w:t xml:space="preserve">аму реформи политике запошљавања и социјалне политике (ЕСРП) </w:t>
      </w:r>
      <w:r>
        <w:t xml:space="preserve">(циљ 1. и циљ 6. „Социјално укључивање“). Реформа доприноси остваривању </w:t>
      </w:r>
      <w:r>
        <w:rPr>
          <w:b/>
        </w:rPr>
        <w:t xml:space="preserve">ЦОР 1.3. </w:t>
      </w:r>
      <w:r>
        <w:t>Применити одговарајуће националне системе социјалне заштите и мере за све, укључујући најугроженије, и до 2030. по</w:t>
      </w:r>
      <w:r>
        <w:t xml:space="preserve">стићи довољно велики обухват сиромашних и рањивих, као и дигиталној трансформацији у Србији. </w:t>
      </w:r>
    </w:p>
    <w:p w:rsidR="00E8309B" w:rsidRDefault="009D0949">
      <w:pPr>
        <w:ind w:left="-5" w:right="17"/>
      </w:pPr>
      <w:r>
        <w:t xml:space="preserve">До сада је завршена прва фаза развоја </w:t>
      </w:r>
      <w:r>
        <w:rPr>
          <w:i/>
        </w:rPr>
        <w:t>Регистра социјална карта</w:t>
      </w:r>
      <w:r>
        <w:t xml:space="preserve"> која подразумева интерно повезивање подсистема података на нивоу Министарства и израђен је </w:t>
      </w:r>
      <w:r>
        <w:rPr>
          <w:i/>
        </w:rPr>
        <w:t>Нацрт за</w:t>
      </w:r>
      <w:r>
        <w:rPr>
          <w:i/>
        </w:rPr>
        <w:t>кона о социјалној карти</w:t>
      </w:r>
      <w:r>
        <w:t xml:space="preserve">.  </w:t>
      </w:r>
    </w:p>
    <w:p w:rsidR="00E8309B" w:rsidRDefault="009D0949">
      <w:pPr>
        <w:spacing w:after="89"/>
        <w:ind w:left="-5" w:right="17"/>
      </w:pPr>
      <w:r>
        <w:t xml:space="preserve">Предложена структурна реформа ће омогућити редовно анализирање тенденција у области сиромаштва на основу расположивих података, ради идентификовања нових облика сиромаштва и адекватних мера социјалне заштите. </w:t>
      </w:r>
    </w:p>
    <w:p w:rsidR="00E8309B" w:rsidRDefault="009D0949">
      <w:pPr>
        <w:spacing w:after="150"/>
        <w:ind w:left="-5" w:right="17"/>
      </w:pPr>
      <w:r>
        <w:t xml:space="preserve">Министарство </w:t>
      </w:r>
      <w:r>
        <w:t xml:space="preserve">је 2020. започело набавку </w:t>
      </w:r>
      <w:r>
        <w:rPr>
          <w:i/>
        </w:rPr>
        <w:t>Система за заштиту и аутоматизацију инструмената социјалне заштите</w:t>
      </w:r>
      <w:r>
        <w:t>, која обухвата софтверско решење, са свим модулима и подмодулима, и хардвер, али је проглашена пандемија Ковид-19 довела до кашњења започетих процеса имплементациј</w:t>
      </w:r>
      <w:r>
        <w:t xml:space="preserve">е. </w:t>
      </w:r>
    </w:p>
    <w:p w:rsidR="00E8309B" w:rsidRDefault="009D0949">
      <w:pPr>
        <w:numPr>
          <w:ilvl w:val="0"/>
          <w:numId w:val="49"/>
        </w:numPr>
        <w:spacing w:after="126" w:line="271" w:lineRule="auto"/>
        <w:ind w:right="9" w:hanging="427"/>
      </w:pPr>
      <w:r>
        <w:rPr>
          <w:b/>
        </w:rPr>
        <w:t xml:space="preserve">Ковид-19 – ефекти, мере и изазови </w:t>
      </w:r>
    </w:p>
    <w:p w:rsidR="00E8309B" w:rsidRDefault="009D0949">
      <w:pPr>
        <w:spacing w:after="159"/>
        <w:ind w:left="-5" w:right="17"/>
      </w:pPr>
      <w:r>
        <w:t>Структурна реформа је од значаја и за отклањање последица Ковид-19 с обзиром да ће наведени системи настојати да подрже социјални скрининг за потребе управљања периодом после кризе, нарочито за социјално рањиве групе,</w:t>
      </w:r>
      <w:r>
        <w:t xml:space="preserve"> интеграцију са подацима НСЗ о незапослености (систематски преглед и проналажење најугроженијих незапослених особа), као и геореференцирање рањивих група и појединаца по територији са нивоом агрегирања података који обезбеђује адресни регистар. </w:t>
      </w:r>
    </w:p>
    <w:p w:rsidR="00E8309B" w:rsidRDefault="009D0949">
      <w:pPr>
        <w:numPr>
          <w:ilvl w:val="0"/>
          <w:numId w:val="49"/>
        </w:numPr>
        <w:spacing w:after="0" w:line="271" w:lineRule="auto"/>
        <w:ind w:right="9" w:hanging="427"/>
      </w:pPr>
      <w:r>
        <w:rPr>
          <w:b/>
        </w:rPr>
        <w:t xml:space="preserve">Планирање </w:t>
      </w:r>
      <w:r>
        <w:rPr>
          <w:b/>
        </w:rPr>
        <w:t xml:space="preserve">активности по годинама </w:t>
      </w:r>
    </w:p>
    <w:tbl>
      <w:tblPr>
        <w:tblStyle w:val="TableGrid"/>
        <w:tblW w:w="9611" w:type="dxa"/>
        <w:tblInd w:w="10" w:type="dxa"/>
        <w:tblCellMar>
          <w:top w:w="7" w:type="dxa"/>
          <w:left w:w="58" w:type="dxa"/>
          <w:bottom w:w="0" w:type="dxa"/>
          <w:right w:w="8" w:type="dxa"/>
        </w:tblCellMar>
        <w:tblLook w:val="04A0" w:firstRow="1" w:lastRow="0" w:firstColumn="1" w:lastColumn="0" w:noHBand="0" w:noVBand="1"/>
      </w:tblPr>
      <w:tblGrid>
        <w:gridCol w:w="427"/>
        <w:gridCol w:w="4123"/>
        <w:gridCol w:w="419"/>
        <w:gridCol w:w="421"/>
        <w:gridCol w:w="422"/>
        <w:gridCol w:w="421"/>
        <w:gridCol w:w="424"/>
        <w:gridCol w:w="421"/>
        <w:gridCol w:w="423"/>
        <w:gridCol w:w="422"/>
        <w:gridCol w:w="422"/>
        <w:gridCol w:w="422"/>
        <w:gridCol w:w="422"/>
        <w:gridCol w:w="420"/>
      </w:tblGrid>
      <w:tr w:rsidR="00E8309B">
        <w:trPr>
          <w:trHeight w:val="331"/>
        </w:trPr>
        <w:tc>
          <w:tcPr>
            <w:tcW w:w="427" w:type="dxa"/>
            <w:vMerge w:val="restart"/>
            <w:tcBorders>
              <w:top w:val="single" w:sz="8" w:space="0" w:color="000000"/>
              <w:left w:val="single" w:sz="8" w:space="0" w:color="000000"/>
              <w:bottom w:val="single" w:sz="4" w:space="0" w:color="000000"/>
              <w:right w:val="single" w:sz="8" w:space="0" w:color="000000"/>
            </w:tcBorders>
            <w:vAlign w:val="center"/>
          </w:tcPr>
          <w:p w:rsidR="00E8309B" w:rsidRDefault="009D0949">
            <w:pPr>
              <w:spacing w:after="0" w:line="259" w:lineRule="auto"/>
              <w:ind w:left="29" w:right="0" w:firstLine="0"/>
            </w:pPr>
            <w:r>
              <w:rPr>
                <w:b/>
                <w:sz w:val="20"/>
              </w:rPr>
              <w:t xml:space="preserve">РБ </w:t>
            </w:r>
          </w:p>
        </w:tc>
        <w:tc>
          <w:tcPr>
            <w:tcW w:w="4123" w:type="dxa"/>
            <w:vMerge w:val="restart"/>
            <w:tcBorders>
              <w:top w:val="single" w:sz="8" w:space="0" w:color="000000"/>
              <w:left w:val="single" w:sz="8" w:space="0" w:color="000000"/>
              <w:bottom w:val="single" w:sz="4" w:space="0" w:color="000000"/>
              <w:right w:val="single" w:sz="8" w:space="0" w:color="000000"/>
            </w:tcBorders>
            <w:vAlign w:val="center"/>
          </w:tcPr>
          <w:p w:rsidR="00E8309B" w:rsidRDefault="009D0949">
            <w:pPr>
              <w:spacing w:after="0" w:line="259" w:lineRule="auto"/>
              <w:ind w:left="0" w:right="0" w:firstLine="0"/>
              <w:jc w:val="left"/>
            </w:pPr>
            <w:r>
              <w:rPr>
                <w:b/>
                <w:sz w:val="20"/>
              </w:rPr>
              <w:t xml:space="preserve">Планиране активности </w:t>
            </w:r>
          </w:p>
        </w:tc>
        <w:tc>
          <w:tcPr>
            <w:tcW w:w="1684" w:type="dxa"/>
            <w:gridSpan w:val="4"/>
            <w:tcBorders>
              <w:top w:val="single" w:sz="8" w:space="0" w:color="000000"/>
              <w:left w:val="single" w:sz="8" w:space="0" w:color="000000"/>
              <w:bottom w:val="single" w:sz="4" w:space="0" w:color="000000"/>
              <w:right w:val="single" w:sz="8" w:space="0" w:color="000000"/>
            </w:tcBorders>
          </w:tcPr>
          <w:p w:rsidR="00E8309B" w:rsidRDefault="009D0949">
            <w:pPr>
              <w:spacing w:after="0" w:line="259" w:lineRule="auto"/>
              <w:ind w:left="0" w:right="47" w:firstLine="0"/>
              <w:jc w:val="center"/>
            </w:pPr>
            <w:r>
              <w:rPr>
                <w:b/>
                <w:sz w:val="20"/>
              </w:rPr>
              <w:t xml:space="preserve">2021 </w:t>
            </w:r>
          </w:p>
        </w:tc>
        <w:tc>
          <w:tcPr>
            <w:tcW w:w="1690" w:type="dxa"/>
            <w:gridSpan w:val="4"/>
            <w:tcBorders>
              <w:top w:val="single" w:sz="8" w:space="0" w:color="000000"/>
              <w:left w:val="single" w:sz="8" w:space="0" w:color="000000"/>
              <w:bottom w:val="single" w:sz="4" w:space="0" w:color="000000"/>
              <w:right w:val="single" w:sz="8" w:space="0" w:color="000000"/>
            </w:tcBorders>
          </w:tcPr>
          <w:p w:rsidR="00E8309B" w:rsidRDefault="009D0949">
            <w:pPr>
              <w:spacing w:after="0" w:line="259" w:lineRule="auto"/>
              <w:ind w:left="0" w:right="47" w:firstLine="0"/>
              <w:jc w:val="center"/>
            </w:pPr>
            <w:r>
              <w:rPr>
                <w:b/>
                <w:sz w:val="20"/>
              </w:rPr>
              <w:t xml:space="preserve">2022 </w:t>
            </w:r>
          </w:p>
        </w:tc>
        <w:tc>
          <w:tcPr>
            <w:tcW w:w="1687" w:type="dxa"/>
            <w:gridSpan w:val="4"/>
            <w:tcBorders>
              <w:top w:val="single" w:sz="8" w:space="0" w:color="000000"/>
              <w:left w:val="single" w:sz="8" w:space="0" w:color="000000"/>
              <w:bottom w:val="single" w:sz="4" w:space="0" w:color="000000"/>
              <w:right w:val="single" w:sz="8" w:space="0" w:color="000000"/>
            </w:tcBorders>
          </w:tcPr>
          <w:p w:rsidR="00E8309B" w:rsidRDefault="009D0949">
            <w:pPr>
              <w:spacing w:after="0" w:line="259" w:lineRule="auto"/>
              <w:ind w:left="0" w:right="49" w:firstLine="0"/>
              <w:jc w:val="center"/>
            </w:pPr>
            <w:r>
              <w:rPr>
                <w:b/>
                <w:sz w:val="20"/>
              </w:rPr>
              <w:t xml:space="preserve">2023 </w:t>
            </w:r>
          </w:p>
        </w:tc>
      </w:tr>
      <w:tr w:rsidR="00E8309B">
        <w:trPr>
          <w:trHeight w:val="320"/>
        </w:trPr>
        <w:tc>
          <w:tcPr>
            <w:tcW w:w="0" w:type="auto"/>
            <w:vMerge/>
            <w:tcBorders>
              <w:top w:val="nil"/>
              <w:left w:val="single" w:sz="8" w:space="0" w:color="000000"/>
              <w:bottom w:val="single" w:sz="4" w:space="0" w:color="000000"/>
              <w:right w:val="single" w:sz="8" w:space="0" w:color="000000"/>
            </w:tcBorders>
          </w:tcPr>
          <w:p w:rsidR="00E8309B" w:rsidRDefault="00E8309B">
            <w:pPr>
              <w:spacing w:after="160" w:line="259" w:lineRule="auto"/>
              <w:ind w:left="0" w:right="0" w:firstLine="0"/>
              <w:jc w:val="left"/>
            </w:pPr>
          </w:p>
        </w:tc>
        <w:tc>
          <w:tcPr>
            <w:tcW w:w="0" w:type="auto"/>
            <w:vMerge/>
            <w:tcBorders>
              <w:top w:val="nil"/>
              <w:left w:val="single" w:sz="8" w:space="0" w:color="000000"/>
              <w:bottom w:val="single" w:sz="4" w:space="0" w:color="000000"/>
              <w:right w:val="single" w:sz="8" w:space="0" w:color="000000"/>
            </w:tcBorders>
          </w:tcPr>
          <w:p w:rsidR="00E8309B" w:rsidRDefault="00E8309B">
            <w:pPr>
              <w:spacing w:after="160" w:line="259" w:lineRule="auto"/>
              <w:ind w:left="0" w:right="0" w:firstLine="0"/>
              <w:jc w:val="left"/>
            </w:pPr>
          </w:p>
        </w:tc>
        <w:tc>
          <w:tcPr>
            <w:tcW w:w="419" w:type="dxa"/>
            <w:tcBorders>
              <w:top w:val="single" w:sz="4" w:space="0" w:color="000000"/>
              <w:left w:val="single" w:sz="8" w:space="0" w:color="000000"/>
              <w:bottom w:val="single" w:sz="4" w:space="0" w:color="000000"/>
              <w:right w:val="single" w:sz="4" w:space="0" w:color="000000"/>
            </w:tcBorders>
          </w:tcPr>
          <w:p w:rsidR="00E8309B" w:rsidRDefault="009D0949">
            <w:pPr>
              <w:spacing w:after="0" w:line="259" w:lineRule="auto"/>
              <w:ind w:left="42" w:right="0" w:firstLine="0"/>
              <w:jc w:val="left"/>
            </w:pPr>
            <w:r>
              <w:rPr>
                <w:i/>
                <w:sz w:val="18"/>
              </w:rPr>
              <w:t xml:space="preserve">Q1 </w:t>
            </w:r>
          </w:p>
        </w:tc>
        <w:tc>
          <w:tcPr>
            <w:tcW w:w="421"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43" w:right="0" w:firstLine="0"/>
              <w:jc w:val="left"/>
            </w:pPr>
            <w:r>
              <w:rPr>
                <w:i/>
                <w:sz w:val="18"/>
              </w:rPr>
              <w:t xml:space="preserve">Q2 </w:t>
            </w:r>
          </w:p>
        </w:tc>
        <w:tc>
          <w:tcPr>
            <w:tcW w:w="422"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44" w:right="0" w:firstLine="0"/>
              <w:jc w:val="left"/>
            </w:pPr>
            <w:r>
              <w:rPr>
                <w:i/>
                <w:sz w:val="18"/>
              </w:rPr>
              <w:t xml:space="preserve">Q3 </w:t>
            </w:r>
          </w:p>
        </w:tc>
        <w:tc>
          <w:tcPr>
            <w:tcW w:w="421" w:type="dxa"/>
            <w:tcBorders>
              <w:top w:val="single" w:sz="4" w:space="0" w:color="000000"/>
              <w:left w:val="single" w:sz="4" w:space="0" w:color="000000"/>
              <w:bottom w:val="single" w:sz="4" w:space="0" w:color="000000"/>
              <w:right w:val="single" w:sz="8" w:space="0" w:color="000000"/>
            </w:tcBorders>
          </w:tcPr>
          <w:p w:rsidR="00E8309B" w:rsidRDefault="009D0949">
            <w:pPr>
              <w:spacing w:after="0" w:line="259" w:lineRule="auto"/>
              <w:ind w:left="44" w:right="0" w:firstLine="0"/>
              <w:jc w:val="left"/>
            </w:pPr>
            <w:r>
              <w:rPr>
                <w:i/>
                <w:sz w:val="18"/>
              </w:rPr>
              <w:t xml:space="preserve">Q4 </w:t>
            </w:r>
          </w:p>
        </w:tc>
        <w:tc>
          <w:tcPr>
            <w:tcW w:w="424" w:type="dxa"/>
            <w:tcBorders>
              <w:top w:val="single" w:sz="4" w:space="0" w:color="000000"/>
              <w:left w:val="single" w:sz="8" w:space="0" w:color="000000"/>
              <w:bottom w:val="single" w:sz="4" w:space="0" w:color="000000"/>
              <w:right w:val="single" w:sz="4" w:space="0" w:color="000000"/>
            </w:tcBorders>
          </w:tcPr>
          <w:p w:rsidR="00E8309B" w:rsidRDefault="009D0949">
            <w:pPr>
              <w:spacing w:after="0" w:line="259" w:lineRule="auto"/>
              <w:ind w:left="46" w:right="0" w:firstLine="0"/>
              <w:jc w:val="left"/>
            </w:pPr>
            <w:r>
              <w:rPr>
                <w:i/>
                <w:sz w:val="18"/>
              </w:rPr>
              <w:t xml:space="preserve">Q1 </w:t>
            </w:r>
          </w:p>
        </w:tc>
        <w:tc>
          <w:tcPr>
            <w:tcW w:w="421"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44" w:right="0" w:firstLine="0"/>
              <w:jc w:val="left"/>
            </w:pPr>
            <w:r>
              <w:rPr>
                <w:i/>
                <w:sz w:val="18"/>
              </w:rPr>
              <w:t xml:space="preserve">Q2 </w:t>
            </w:r>
          </w:p>
        </w:tc>
        <w:tc>
          <w:tcPr>
            <w:tcW w:w="423"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46" w:right="0" w:firstLine="0"/>
              <w:jc w:val="left"/>
            </w:pPr>
            <w:r>
              <w:rPr>
                <w:i/>
                <w:sz w:val="18"/>
              </w:rPr>
              <w:t xml:space="preserve">Q3 </w:t>
            </w:r>
          </w:p>
        </w:tc>
        <w:tc>
          <w:tcPr>
            <w:tcW w:w="422" w:type="dxa"/>
            <w:tcBorders>
              <w:top w:val="single" w:sz="4" w:space="0" w:color="000000"/>
              <w:left w:val="single" w:sz="4" w:space="0" w:color="000000"/>
              <w:bottom w:val="single" w:sz="4" w:space="0" w:color="000000"/>
              <w:right w:val="single" w:sz="8" w:space="0" w:color="000000"/>
            </w:tcBorders>
          </w:tcPr>
          <w:p w:rsidR="00E8309B" w:rsidRDefault="009D0949">
            <w:pPr>
              <w:spacing w:after="0" w:line="259" w:lineRule="auto"/>
              <w:ind w:left="43" w:right="0" w:firstLine="0"/>
              <w:jc w:val="left"/>
            </w:pPr>
            <w:r>
              <w:rPr>
                <w:i/>
                <w:sz w:val="18"/>
              </w:rPr>
              <w:t xml:space="preserve">Q4 </w:t>
            </w:r>
          </w:p>
        </w:tc>
        <w:tc>
          <w:tcPr>
            <w:tcW w:w="422" w:type="dxa"/>
            <w:tcBorders>
              <w:top w:val="single" w:sz="4" w:space="0" w:color="000000"/>
              <w:left w:val="single" w:sz="8" w:space="0" w:color="000000"/>
              <w:bottom w:val="single" w:sz="4" w:space="0" w:color="000000"/>
              <w:right w:val="single" w:sz="4" w:space="0" w:color="000000"/>
            </w:tcBorders>
          </w:tcPr>
          <w:p w:rsidR="00E8309B" w:rsidRDefault="009D0949">
            <w:pPr>
              <w:spacing w:after="0" w:line="259" w:lineRule="auto"/>
              <w:ind w:left="43" w:right="0" w:firstLine="0"/>
              <w:jc w:val="left"/>
            </w:pPr>
            <w:r>
              <w:rPr>
                <w:i/>
                <w:sz w:val="18"/>
              </w:rPr>
              <w:t xml:space="preserve">Q1 </w:t>
            </w:r>
          </w:p>
        </w:tc>
        <w:tc>
          <w:tcPr>
            <w:tcW w:w="422"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43" w:right="0" w:firstLine="0"/>
              <w:jc w:val="left"/>
            </w:pPr>
            <w:r>
              <w:rPr>
                <w:i/>
                <w:sz w:val="18"/>
              </w:rPr>
              <w:t xml:space="preserve">Q2 </w:t>
            </w:r>
          </w:p>
        </w:tc>
        <w:tc>
          <w:tcPr>
            <w:tcW w:w="422"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43" w:right="0" w:firstLine="0"/>
              <w:jc w:val="left"/>
            </w:pPr>
            <w:r>
              <w:rPr>
                <w:i/>
                <w:sz w:val="18"/>
              </w:rPr>
              <w:t xml:space="preserve">Q3 </w:t>
            </w:r>
          </w:p>
        </w:tc>
        <w:tc>
          <w:tcPr>
            <w:tcW w:w="420" w:type="dxa"/>
            <w:tcBorders>
              <w:top w:val="single" w:sz="4" w:space="0" w:color="000000"/>
              <w:left w:val="single" w:sz="4" w:space="0" w:color="000000"/>
              <w:bottom w:val="single" w:sz="4" w:space="0" w:color="000000"/>
              <w:right w:val="single" w:sz="8" w:space="0" w:color="000000"/>
            </w:tcBorders>
          </w:tcPr>
          <w:p w:rsidR="00E8309B" w:rsidRDefault="009D0949">
            <w:pPr>
              <w:spacing w:after="0" w:line="259" w:lineRule="auto"/>
              <w:ind w:left="43" w:right="0" w:firstLine="0"/>
              <w:jc w:val="left"/>
            </w:pPr>
            <w:r>
              <w:rPr>
                <w:i/>
                <w:sz w:val="18"/>
              </w:rPr>
              <w:t xml:space="preserve">Q4 </w:t>
            </w:r>
          </w:p>
        </w:tc>
      </w:tr>
      <w:tr w:rsidR="00E8309B">
        <w:trPr>
          <w:trHeight w:val="1847"/>
        </w:trPr>
        <w:tc>
          <w:tcPr>
            <w:tcW w:w="427" w:type="dxa"/>
            <w:tcBorders>
              <w:top w:val="single" w:sz="4" w:space="0" w:color="000000"/>
              <w:left w:val="single" w:sz="8" w:space="0" w:color="000000"/>
              <w:bottom w:val="single" w:sz="4" w:space="0" w:color="000000"/>
              <w:right w:val="single" w:sz="8" w:space="0" w:color="000000"/>
            </w:tcBorders>
          </w:tcPr>
          <w:p w:rsidR="00E8309B" w:rsidRDefault="009D0949">
            <w:pPr>
              <w:spacing w:after="0" w:line="259" w:lineRule="auto"/>
              <w:ind w:left="0" w:right="51" w:firstLine="0"/>
              <w:jc w:val="right"/>
            </w:pPr>
            <w:r>
              <w:rPr>
                <w:sz w:val="20"/>
              </w:rPr>
              <w:t xml:space="preserve">1 </w:t>
            </w:r>
          </w:p>
        </w:tc>
        <w:tc>
          <w:tcPr>
            <w:tcW w:w="4123" w:type="dxa"/>
            <w:tcBorders>
              <w:top w:val="single" w:sz="4" w:space="0" w:color="000000"/>
              <w:left w:val="single" w:sz="8" w:space="0" w:color="000000"/>
              <w:bottom w:val="single" w:sz="4" w:space="0" w:color="000000"/>
              <w:right w:val="single" w:sz="8" w:space="0" w:color="000000"/>
            </w:tcBorders>
          </w:tcPr>
          <w:p w:rsidR="00E8309B" w:rsidRDefault="009D0949">
            <w:pPr>
              <w:spacing w:after="0" w:line="246" w:lineRule="auto"/>
              <w:ind w:left="0" w:right="55" w:firstLine="0"/>
              <w:jc w:val="left"/>
            </w:pPr>
            <w:r>
              <w:rPr>
                <w:sz w:val="20"/>
              </w:rPr>
              <w:t xml:space="preserve">Повезивање центара за социјални рад у јединствену мрежу применом софтвера, односно нформационог система за подршку пословним процесима у спровођењу социјалне заштите („Систем за заштиту и аутоматизацију инструмената социјалне заштите“). </w:t>
            </w:r>
          </w:p>
          <w:p w:rsidR="00E8309B" w:rsidRDefault="009D0949">
            <w:pPr>
              <w:spacing w:after="0" w:line="259" w:lineRule="auto"/>
              <w:ind w:left="0" w:right="0" w:firstLine="0"/>
              <w:jc w:val="left"/>
            </w:pPr>
            <w:r>
              <w:rPr>
                <w:sz w:val="20"/>
              </w:rPr>
              <w:t xml:space="preserve"> </w:t>
            </w:r>
          </w:p>
        </w:tc>
        <w:tc>
          <w:tcPr>
            <w:tcW w:w="419" w:type="dxa"/>
            <w:tcBorders>
              <w:top w:val="single" w:sz="4" w:space="0" w:color="000000"/>
              <w:left w:val="single" w:sz="8" w:space="0" w:color="000000"/>
              <w:bottom w:val="single" w:sz="4" w:space="0" w:color="000000"/>
              <w:right w:val="single" w:sz="4" w:space="0" w:color="000000"/>
            </w:tcBorders>
            <w:shd w:val="clear" w:color="auto" w:fill="D9D9D9"/>
            <w:vAlign w:val="center"/>
          </w:tcPr>
          <w:p w:rsidR="00E8309B" w:rsidRDefault="009D0949">
            <w:pPr>
              <w:spacing w:after="0" w:line="259" w:lineRule="auto"/>
              <w:ind w:left="1" w:right="0" w:firstLine="0"/>
              <w:jc w:val="center"/>
            </w:pPr>
            <w:r>
              <w:rPr>
                <w:sz w:val="20"/>
              </w:rPr>
              <w:t xml:space="preserve"> </w:t>
            </w:r>
          </w:p>
        </w:tc>
        <w:tc>
          <w:tcPr>
            <w:tcW w:w="421"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E8309B" w:rsidRDefault="009D0949">
            <w:pPr>
              <w:spacing w:after="0" w:line="259" w:lineRule="auto"/>
              <w:ind w:left="1" w:right="0" w:firstLine="0"/>
              <w:jc w:val="center"/>
            </w:pPr>
            <w:r>
              <w:rPr>
                <w:sz w:val="20"/>
              </w:rPr>
              <w:t xml:space="preserve"> </w:t>
            </w:r>
          </w:p>
        </w:tc>
        <w:tc>
          <w:tcPr>
            <w:tcW w:w="422"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E8309B" w:rsidRDefault="009D0949">
            <w:pPr>
              <w:spacing w:after="0" w:line="259" w:lineRule="auto"/>
              <w:ind w:left="2" w:right="0" w:firstLine="0"/>
              <w:jc w:val="center"/>
            </w:pPr>
            <w:r>
              <w:rPr>
                <w:sz w:val="20"/>
              </w:rPr>
              <w:t xml:space="preserve"> </w:t>
            </w:r>
          </w:p>
        </w:tc>
        <w:tc>
          <w:tcPr>
            <w:tcW w:w="421" w:type="dxa"/>
            <w:tcBorders>
              <w:top w:val="single" w:sz="4" w:space="0" w:color="000000"/>
              <w:left w:val="single" w:sz="4" w:space="0" w:color="000000"/>
              <w:bottom w:val="single" w:sz="4" w:space="0" w:color="000000"/>
              <w:right w:val="single" w:sz="8" w:space="0" w:color="000000"/>
            </w:tcBorders>
            <w:shd w:val="clear" w:color="auto" w:fill="D9D9D9"/>
            <w:vAlign w:val="center"/>
          </w:tcPr>
          <w:p w:rsidR="00E8309B" w:rsidRDefault="009D0949">
            <w:pPr>
              <w:spacing w:after="0" w:line="259" w:lineRule="auto"/>
              <w:ind w:left="4" w:right="0" w:firstLine="0"/>
              <w:jc w:val="center"/>
            </w:pPr>
            <w:r>
              <w:rPr>
                <w:sz w:val="20"/>
              </w:rPr>
              <w:t xml:space="preserve"> </w:t>
            </w:r>
          </w:p>
        </w:tc>
        <w:tc>
          <w:tcPr>
            <w:tcW w:w="424" w:type="dxa"/>
            <w:tcBorders>
              <w:top w:val="single" w:sz="4" w:space="0" w:color="000000"/>
              <w:left w:val="single" w:sz="8" w:space="0" w:color="000000"/>
              <w:bottom w:val="single" w:sz="4" w:space="0" w:color="000000"/>
              <w:right w:val="single" w:sz="4" w:space="0" w:color="000000"/>
            </w:tcBorders>
            <w:shd w:val="clear" w:color="auto" w:fill="D9D9D9"/>
            <w:vAlign w:val="center"/>
          </w:tcPr>
          <w:p w:rsidR="00E8309B" w:rsidRDefault="009D0949">
            <w:pPr>
              <w:spacing w:after="0" w:line="259" w:lineRule="auto"/>
              <w:ind w:left="4" w:right="0" w:firstLine="0"/>
              <w:jc w:val="center"/>
            </w:pPr>
            <w:r>
              <w:rPr>
                <w:sz w:val="20"/>
              </w:rPr>
              <w:t xml:space="preserve"> </w:t>
            </w:r>
          </w:p>
        </w:tc>
        <w:tc>
          <w:tcPr>
            <w:tcW w:w="421"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E8309B" w:rsidRDefault="009D0949">
            <w:pPr>
              <w:spacing w:after="0" w:line="259" w:lineRule="auto"/>
              <w:ind w:left="4" w:right="0" w:firstLine="0"/>
              <w:jc w:val="center"/>
            </w:pPr>
            <w:r>
              <w:rPr>
                <w:sz w:val="20"/>
              </w:rPr>
              <w:t xml:space="preserve"> </w:t>
            </w:r>
          </w:p>
        </w:tc>
        <w:tc>
          <w:tcPr>
            <w:tcW w:w="423"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5" w:right="0" w:firstLine="0"/>
              <w:jc w:val="center"/>
            </w:pPr>
            <w:r>
              <w:rPr>
                <w:sz w:val="20"/>
              </w:rPr>
              <w:t xml:space="preserve"> </w:t>
            </w:r>
          </w:p>
        </w:tc>
        <w:tc>
          <w:tcPr>
            <w:tcW w:w="422" w:type="dxa"/>
            <w:tcBorders>
              <w:top w:val="single" w:sz="4" w:space="0" w:color="000000"/>
              <w:left w:val="single" w:sz="4" w:space="0" w:color="000000"/>
              <w:bottom w:val="single" w:sz="4" w:space="0" w:color="000000"/>
              <w:right w:val="single" w:sz="8" w:space="0" w:color="000000"/>
            </w:tcBorders>
            <w:vAlign w:val="center"/>
          </w:tcPr>
          <w:p w:rsidR="00E8309B" w:rsidRDefault="009D0949">
            <w:pPr>
              <w:spacing w:after="0" w:line="259" w:lineRule="auto"/>
              <w:ind w:left="0" w:right="0" w:firstLine="0"/>
              <w:jc w:val="center"/>
            </w:pPr>
            <w:r>
              <w:rPr>
                <w:sz w:val="20"/>
              </w:rPr>
              <w:t xml:space="preserve"> </w:t>
            </w:r>
          </w:p>
        </w:tc>
        <w:tc>
          <w:tcPr>
            <w:tcW w:w="422" w:type="dxa"/>
            <w:tcBorders>
              <w:top w:val="single" w:sz="4" w:space="0" w:color="000000"/>
              <w:left w:val="single" w:sz="8" w:space="0" w:color="000000"/>
              <w:bottom w:val="single" w:sz="4" w:space="0" w:color="000000"/>
              <w:right w:val="single" w:sz="4" w:space="0" w:color="000000"/>
            </w:tcBorders>
            <w:vAlign w:val="center"/>
          </w:tcPr>
          <w:p w:rsidR="00E8309B" w:rsidRDefault="009D0949">
            <w:pPr>
              <w:spacing w:after="0" w:line="259" w:lineRule="auto"/>
              <w:ind w:left="0" w:right="0" w:firstLine="0"/>
              <w:jc w:val="center"/>
            </w:pPr>
            <w:r>
              <w:rPr>
                <w:sz w:val="20"/>
              </w:rPr>
              <w:t xml:space="preserve"> </w:t>
            </w:r>
          </w:p>
        </w:tc>
        <w:tc>
          <w:tcPr>
            <w:tcW w:w="422"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0" w:right="0" w:firstLine="0"/>
              <w:jc w:val="center"/>
            </w:pPr>
            <w:r>
              <w:rPr>
                <w:sz w:val="20"/>
              </w:rPr>
              <w:t xml:space="preserve"> </w:t>
            </w:r>
          </w:p>
        </w:tc>
        <w:tc>
          <w:tcPr>
            <w:tcW w:w="422"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0" w:right="0" w:firstLine="0"/>
              <w:jc w:val="center"/>
            </w:pPr>
            <w:r>
              <w:rPr>
                <w:sz w:val="20"/>
              </w:rPr>
              <w:t xml:space="preserve"> </w:t>
            </w:r>
          </w:p>
        </w:tc>
        <w:tc>
          <w:tcPr>
            <w:tcW w:w="420" w:type="dxa"/>
            <w:tcBorders>
              <w:top w:val="single" w:sz="4" w:space="0" w:color="000000"/>
              <w:left w:val="single" w:sz="4" w:space="0" w:color="000000"/>
              <w:bottom w:val="single" w:sz="4" w:space="0" w:color="000000"/>
              <w:right w:val="single" w:sz="8" w:space="0" w:color="000000"/>
            </w:tcBorders>
            <w:vAlign w:val="center"/>
          </w:tcPr>
          <w:p w:rsidR="00E8309B" w:rsidRDefault="009D0949">
            <w:pPr>
              <w:spacing w:after="0" w:line="259" w:lineRule="auto"/>
              <w:ind w:left="2" w:right="0" w:firstLine="0"/>
              <w:jc w:val="center"/>
            </w:pPr>
            <w:r>
              <w:rPr>
                <w:sz w:val="20"/>
              </w:rPr>
              <w:t xml:space="preserve"> </w:t>
            </w:r>
          </w:p>
        </w:tc>
      </w:tr>
      <w:tr w:rsidR="00E8309B">
        <w:trPr>
          <w:trHeight w:val="929"/>
        </w:trPr>
        <w:tc>
          <w:tcPr>
            <w:tcW w:w="427" w:type="dxa"/>
            <w:tcBorders>
              <w:top w:val="single" w:sz="4" w:space="0" w:color="000000"/>
              <w:left w:val="single" w:sz="8" w:space="0" w:color="000000"/>
              <w:bottom w:val="single" w:sz="4" w:space="0" w:color="000000"/>
              <w:right w:val="single" w:sz="8" w:space="0" w:color="000000"/>
            </w:tcBorders>
          </w:tcPr>
          <w:p w:rsidR="00E8309B" w:rsidRDefault="009D0949">
            <w:pPr>
              <w:spacing w:after="0" w:line="259" w:lineRule="auto"/>
              <w:ind w:left="0" w:right="51" w:firstLine="0"/>
              <w:jc w:val="right"/>
            </w:pPr>
            <w:r>
              <w:rPr>
                <w:sz w:val="20"/>
              </w:rPr>
              <w:t xml:space="preserve">2 </w:t>
            </w:r>
          </w:p>
        </w:tc>
        <w:tc>
          <w:tcPr>
            <w:tcW w:w="4123" w:type="dxa"/>
            <w:tcBorders>
              <w:top w:val="single" w:sz="4" w:space="0" w:color="000000"/>
              <w:left w:val="single" w:sz="8" w:space="0" w:color="000000"/>
              <w:bottom w:val="single" w:sz="4" w:space="0" w:color="000000"/>
              <w:right w:val="single" w:sz="8" w:space="0" w:color="000000"/>
            </w:tcBorders>
          </w:tcPr>
          <w:p w:rsidR="00E8309B" w:rsidRDefault="009D0949">
            <w:pPr>
              <w:spacing w:after="0" w:line="259" w:lineRule="auto"/>
              <w:ind w:left="0" w:right="0" w:firstLine="0"/>
              <w:jc w:val="left"/>
            </w:pPr>
            <w:r>
              <w:rPr>
                <w:sz w:val="20"/>
              </w:rPr>
              <w:t xml:space="preserve">Информационо повезивање са изворима података од значаја за социјално-економски статус појединца и породице („Регистар социјална карта“). </w:t>
            </w:r>
          </w:p>
        </w:tc>
        <w:tc>
          <w:tcPr>
            <w:tcW w:w="419" w:type="dxa"/>
            <w:tcBorders>
              <w:top w:val="single" w:sz="4" w:space="0" w:color="000000"/>
              <w:left w:val="single" w:sz="8" w:space="0" w:color="000000"/>
              <w:bottom w:val="single" w:sz="4" w:space="0" w:color="000000"/>
              <w:right w:val="single" w:sz="4" w:space="0" w:color="000000"/>
            </w:tcBorders>
            <w:shd w:val="clear" w:color="auto" w:fill="D9D9D9"/>
            <w:vAlign w:val="center"/>
          </w:tcPr>
          <w:p w:rsidR="00E8309B" w:rsidRDefault="009D0949">
            <w:pPr>
              <w:spacing w:after="0" w:line="259" w:lineRule="auto"/>
              <w:ind w:left="1" w:right="0" w:firstLine="0"/>
              <w:jc w:val="center"/>
            </w:pPr>
            <w:r>
              <w:rPr>
                <w:sz w:val="20"/>
              </w:rPr>
              <w:t xml:space="preserve"> </w:t>
            </w:r>
          </w:p>
        </w:tc>
        <w:tc>
          <w:tcPr>
            <w:tcW w:w="421"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E8309B" w:rsidRDefault="009D0949">
            <w:pPr>
              <w:spacing w:after="0" w:line="259" w:lineRule="auto"/>
              <w:ind w:left="1" w:right="0" w:firstLine="0"/>
              <w:jc w:val="center"/>
            </w:pPr>
            <w:r>
              <w:rPr>
                <w:sz w:val="20"/>
              </w:rPr>
              <w:t xml:space="preserve"> </w:t>
            </w:r>
          </w:p>
        </w:tc>
        <w:tc>
          <w:tcPr>
            <w:tcW w:w="422"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E8309B" w:rsidRDefault="009D0949">
            <w:pPr>
              <w:spacing w:after="0" w:line="259" w:lineRule="auto"/>
              <w:ind w:left="2" w:right="0" w:firstLine="0"/>
              <w:jc w:val="center"/>
            </w:pPr>
            <w:r>
              <w:rPr>
                <w:sz w:val="20"/>
              </w:rPr>
              <w:t xml:space="preserve"> </w:t>
            </w:r>
          </w:p>
        </w:tc>
        <w:tc>
          <w:tcPr>
            <w:tcW w:w="421" w:type="dxa"/>
            <w:tcBorders>
              <w:top w:val="single" w:sz="4" w:space="0" w:color="000000"/>
              <w:left w:val="single" w:sz="4" w:space="0" w:color="000000"/>
              <w:bottom w:val="single" w:sz="4" w:space="0" w:color="000000"/>
              <w:right w:val="single" w:sz="8" w:space="0" w:color="000000"/>
            </w:tcBorders>
            <w:shd w:val="clear" w:color="auto" w:fill="D9D9D9"/>
            <w:vAlign w:val="center"/>
          </w:tcPr>
          <w:p w:rsidR="00E8309B" w:rsidRDefault="009D0949">
            <w:pPr>
              <w:spacing w:after="0" w:line="259" w:lineRule="auto"/>
              <w:ind w:left="4" w:right="0" w:firstLine="0"/>
              <w:jc w:val="center"/>
            </w:pPr>
            <w:r>
              <w:rPr>
                <w:sz w:val="20"/>
              </w:rPr>
              <w:t xml:space="preserve"> </w:t>
            </w:r>
          </w:p>
        </w:tc>
        <w:tc>
          <w:tcPr>
            <w:tcW w:w="424" w:type="dxa"/>
            <w:tcBorders>
              <w:top w:val="single" w:sz="4" w:space="0" w:color="000000"/>
              <w:left w:val="single" w:sz="8" w:space="0" w:color="000000"/>
              <w:bottom w:val="single" w:sz="4" w:space="0" w:color="000000"/>
              <w:right w:val="single" w:sz="4" w:space="0" w:color="000000"/>
            </w:tcBorders>
            <w:shd w:val="clear" w:color="auto" w:fill="D9D9D9"/>
            <w:vAlign w:val="center"/>
          </w:tcPr>
          <w:p w:rsidR="00E8309B" w:rsidRDefault="009D0949">
            <w:pPr>
              <w:spacing w:after="0" w:line="259" w:lineRule="auto"/>
              <w:ind w:left="4" w:right="0" w:firstLine="0"/>
              <w:jc w:val="center"/>
            </w:pPr>
            <w:r>
              <w:rPr>
                <w:sz w:val="20"/>
              </w:rPr>
              <w:t xml:space="preserve"> </w:t>
            </w:r>
          </w:p>
        </w:tc>
        <w:tc>
          <w:tcPr>
            <w:tcW w:w="421"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E8309B" w:rsidRDefault="009D0949">
            <w:pPr>
              <w:spacing w:after="0" w:line="259" w:lineRule="auto"/>
              <w:ind w:left="4" w:right="0" w:firstLine="0"/>
              <w:jc w:val="center"/>
            </w:pPr>
            <w:r>
              <w:rPr>
                <w:sz w:val="20"/>
              </w:rPr>
              <w:t xml:space="preserve"> </w:t>
            </w:r>
          </w:p>
        </w:tc>
        <w:tc>
          <w:tcPr>
            <w:tcW w:w="423"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5" w:right="0" w:firstLine="0"/>
              <w:jc w:val="center"/>
            </w:pPr>
            <w:r>
              <w:rPr>
                <w:sz w:val="20"/>
              </w:rPr>
              <w:t xml:space="preserve"> </w:t>
            </w:r>
          </w:p>
        </w:tc>
        <w:tc>
          <w:tcPr>
            <w:tcW w:w="422" w:type="dxa"/>
            <w:tcBorders>
              <w:top w:val="single" w:sz="4" w:space="0" w:color="000000"/>
              <w:left w:val="single" w:sz="4" w:space="0" w:color="000000"/>
              <w:bottom w:val="single" w:sz="4" w:space="0" w:color="000000"/>
              <w:right w:val="single" w:sz="8" w:space="0" w:color="000000"/>
            </w:tcBorders>
            <w:vAlign w:val="center"/>
          </w:tcPr>
          <w:p w:rsidR="00E8309B" w:rsidRDefault="009D0949">
            <w:pPr>
              <w:spacing w:after="0" w:line="259" w:lineRule="auto"/>
              <w:ind w:left="2" w:right="0" w:firstLine="0"/>
              <w:jc w:val="center"/>
            </w:pPr>
            <w:r>
              <w:rPr>
                <w:sz w:val="20"/>
              </w:rPr>
              <w:t xml:space="preserve"> </w:t>
            </w:r>
          </w:p>
        </w:tc>
        <w:tc>
          <w:tcPr>
            <w:tcW w:w="422" w:type="dxa"/>
            <w:tcBorders>
              <w:top w:val="single" w:sz="4" w:space="0" w:color="000000"/>
              <w:left w:val="single" w:sz="8" w:space="0" w:color="000000"/>
              <w:bottom w:val="single" w:sz="4" w:space="0" w:color="000000"/>
              <w:right w:val="single" w:sz="4" w:space="0" w:color="000000"/>
            </w:tcBorders>
            <w:vAlign w:val="center"/>
          </w:tcPr>
          <w:p w:rsidR="00E8309B" w:rsidRDefault="009D0949">
            <w:pPr>
              <w:spacing w:after="0" w:line="259" w:lineRule="auto"/>
              <w:ind w:left="4" w:right="0" w:firstLine="0"/>
              <w:jc w:val="center"/>
            </w:pPr>
            <w:r>
              <w:rPr>
                <w:sz w:val="20"/>
              </w:rPr>
              <w:t xml:space="preserve"> </w:t>
            </w:r>
          </w:p>
        </w:tc>
        <w:tc>
          <w:tcPr>
            <w:tcW w:w="422"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1" w:right="0" w:firstLine="0"/>
              <w:jc w:val="center"/>
            </w:pPr>
            <w:r>
              <w:rPr>
                <w:sz w:val="20"/>
              </w:rPr>
              <w:t xml:space="preserve"> </w:t>
            </w:r>
          </w:p>
        </w:tc>
        <w:tc>
          <w:tcPr>
            <w:tcW w:w="422"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0" w:right="0" w:firstLine="0"/>
              <w:jc w:val="center"/>
            </w:pPr>
            <w:r>
              <w:rPr>
                <w:sz w:val="20"/>
              </w:rPr>
              <w:t xml:space="preserve"> </w:t>
            </w:r>
          </w:p>
        </w:tc>
        <w:tc>
          <w:tcPr>
            <w:tcW w:w="420" w:type="dxa"/>
            <w:tcBorders>
              <w:top w:val="single" w:sz="4" w:space="0" w:color="000000"/>
              <w:left w:val="single" w:sz="4" w:space="0" w:color="000000"/>
              <w:bottom w:val="single" w:sz="4" w:space="0" w:color="000000"/>
              <w:right w:val="single" w:sz="8" w:space="0" w:color="000000"/>
            </w:tcBorders>
            <w:vAlign w:val="center"/>
          </w:tcPr>
          <w:p w:rsidR="00E8309B" w:rsidRDefault="009D0949">
            <w:pPr>
              <w:spacing w:after="0" w:line="259" w:lineRule="auto"/>
              <w:ind w:left="2" w:right="0" w:firstLine="0"/>
              <w:jc w:val="center"/>
            </w:pPr>
            <w:r>
              <w:rPr>
                <w:sz w:val="20"/>
              </w:rPr>
              <w:t xml:space="preserve"> </w:t>
            </w:r>
          </w:p>
        </w:tc>
      </w:tr>
      <w:tr w:rsidR="00E8309B">
        <w:trPr>
          <w:trHeight w:val="1159"/>
        </w:trPr>
        <w:tc>
          <w:tcPr>
            <w:tcW w:w="427" w:type="dxa"/>
            <w:tcBorders>
              <w:top w:val="single" w:sz="4" w:space="0" w:color="000000"/>
              <w:left w:val="single" w:sz="8" w:space="0" w:color="000000"/>
              <w:bottom w:val="single" w:sz="4" w:space="0" w:color="000000"/>
              <w:right w:val="single" w:sz="8" w:space="0" w:color="000000"/>
            </w:tcBorders>
          </w:tcPr>
          <w:p w:rsidR="00E8309B" w:rsidRDefault="009D0949">
            <w:pPr>
              <w:spacing w:after="0" w:line="259" w:lineRule="auto"/>
              <w:ind w:left="0" w:right="51" w:firstLine="0"/>
              <w:jc w:val="right"/>
            </w:pPr>
            <w:r>
              <w:rPr>
                <w:sz w:val="20"/>
              </w:rPr>
              <w:t xml:space="preserve">3 </w:t>
            </w:r>
          </w:p>
        </w:tc>
        <w:tc>
          <w:tcPr>
            <w:tcW w:w="4123" w:type="dxa"/>
            <w:tcBorders>
              <w:top w:val="single" w:sz="4" w:space="0" w:color="000000"/>
              <w:left w:val="single" w:sz="8" w:space="0" w:color="000000"/>
              <w:bottom w:val="single" w:sz="4" w:space="0" w:color="000000"/>
              <w:right w:val="single" w:sz="8" w:space="0" w:color="000000"/>
            </w:tcBorders>
          </w:tcPr>
          <w:p w:rsidR="00E8309B" w:rsidRDefault="009D0949">
            <w:pPr>
              <w:spacing w:after="0" w:line="278" w:lineRule="auto"/>
              <w:ind w:left="0" w:right="803" w:firstLine="0"/>
              <w:jc w:val="left"/>
            </w:pPr>
            <w:r>
              <w:rPr>
                <w:sz w:val="20"/>
              </w:rPr>
              <w:t xml:space="preserve">Доношење одговарајућих законских и подзаконских аката - Закон о социјалној карти </w:t>
            </w:r>
          </w:p>
          <w:p w:rsidR="00E8309B" w:rsidRDefault="009D0949">
            <w:pPr>
              <w:spacing w:after="0" w:line="259" w:lineRule="auto"/>
              <w:ind w:left="0" w:right="0" w:firstLine="0"/>
              <w:jc w:val="left"/>
            </w:pPr>
            <w:r>
              <w:rPr>
                <w:sz w:val="20"/>
              </w:rPr>
              <w:t xml:space="preserve">- Правилник о техничким условима успостављања и вођења социјалне карте  </w:t>
            </w:r>
          </w:p>
        </w:tc>
        <w:tc>
          <w:tcPr>
            <w:tcW w:w="419" w:type="dxa"/>
            <w:tcBorders>
              <w:top w:val="single" w:sz="4" w:space="0" w:color="000000"/>
              <w:left w:val="single" w:sz="8" w:space="0" w:color="000000"/>
              <w:bottom w:val="single" w:sz="4" w:space="0" w:color="000000"/>
              <w:right w:val="single" w:sz="4" w:space="0" w:color="000000"/>
            </w:tcBorders>
            <w:shd w:val="clear" w:color="auto" w:fill="D9D9D9"/>
            <w:vAlign w:val="center"/>
          </w:tcPr>
          <w:p w:rsidR="00E8309B" w:rsidRDefault="009D0949">
            <w:pPr>
              <w:spacing w:after="0" w:line="259" w:lineRule="auto"/>
              <w:ind w:left="1" w:right="0" w:firstLine="0"/>
              <w:jc w:val="center"/>
            </w:pPr>
            <w:r>
              <w:rPr>
                <w:sz w:val="20"/>
              </w:rPr>
              <w:t xml:space="preserve"> </w:t>
            </w:r>
          </w:p>
        </w:tc>
        <w:tc>
          <w:tcPr>
            <w:tcW w:w="421"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E8309B" w:rsidRDefault="009D0949">
            <w:pPr>
              <w:spacing w:after="0" w:line="259" w:lineRule="auto"/>
              <w:ind w:left="1" w:right="0" w:firstLine="0"/>
              <w:jc w:val="center"/>
            </w:pPr>
            <w:r>
              <w:rPr>
                <w:sz w:val="20"/>
              </w:rPr>
              <w:t xml:space="preserve"> </w:t>
            </w:r>
          </w:p>
        </w:tc>
        <w:tc>
          <w:tcPr>
            <w:tcW w:w="422"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E8309B" w:rsidRDefault="009D0949">
            <w:pPr>
              <w:spacing w:after="0" w:line="259" w:lineRule="auto"/>
              <w:ind w:left="2" w:right="0" w:firstLine="0"/>
              <w:jc w:val="center"/>
            </w:pPr>
            <w:r>
              <w:rPr>
                <w:sz w:val="20"/>
              </w:rPr>
              <w:t xml:space="preserve"> </w:t>
            </w:r>
          </w:p>
        </w:tc>
        <w:tc>
          <w:tcPr>
            <w:tcW w:w="421" w:type="dxa"/>
            <w:tcBorders>
              <w:top w:val="single" w:sz="4" w:space="0" w:color="000000"/>
              <w:left w:val="single" w:sz="4" w:space="0" w:color="000000"/>
              <w:bottom w:val="single" w:sz="4" w:space="0" w:color="000000"/>
              <w:right w:val="single" w:sz="8" w:space="0" w:color="000000"/>
            </w:tcBorders>
            <w:vAlign w:val="center"/>
          </w:tcPr>
          <w:p w:rsidR="00E8309B" w:rsidRDefault="009D0949">
            <w:pPr>
              <w:spacing w:after="0" w:line="259" w:lineRule="auto"/>
              <w:ind w:left="4" w:right="0" w:firstLine="0"/>
              <w:jc w:val="center"/>
            </w:pPr>
            <w:r>
              <w:rPr>
                <w:sz w:val="20"/>
              </w:rPr>
              <w:t xml:space="preserve"> </w:t>
            </w:r>
          </w:p>
        </w:tc>
        <w:tc>
          <w:tcPr>
            <w:tcW w:w="424" w:type="dxa"/>
            <w:tcBorders>
              <w:top w:val="single" w:sz="4" w:space="0" w:color="000000"/>
              <w:left w:val="single" w:sz="8" w:space="0" w:color="000000"/>
              <w:bottom w:val="single" w:sz="4" w:space="0" w:color="000000"/>
              <w:right w:val="single" w:sz="4" w:space="0" w:color="000000"/>
            </w:tcBorders>
            <w:vAlign w:val="center"/>
          </w:tcPr>
          <w:p w:rsidR="00E8309B" w:rsidRDefault="009D0949">
            <w:pPr>
              <w:spacing w:after="0" w:line="259" w:lineRule="auto"/>
              <w:ind w:left="4" w:right="0" w:firstLine="0"/>
              <w:jc w:val="center"/>
            </w:pPr>
            <w:r>
              <w:rPr>
                <w:sz w:val="20"/>
              </w:rPr>
              <w:t xml:space="preserve"> </w:t>
            </w:r>
          </w:p>
        </w:tc>
        <w:tc>
          <w:tcPr>
            <w:tcW w:w="421"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4" w:right="0" w:firstLine="0"/>
              <w:jc w:val="center"/>
            </w:pPr>
            <w:r>
              <w:rPr>
                <w:sz w:val="20"/>
              </w:rPr>
              <w:t xml:space="preserve"> </w:t>
            </w:r>
          </w:p>
        </w:tc>
        <w:tc>
          <w:tcPr>
            <w:tcW w:w="423"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5" w:right="0" w:firstLine="0"/>
              <w:jc w:val="center"/>
            </w:pPr>
            <w:r>
              <w:rPr>
                <w:sz w:val="20"/>
              </w:rPr>
              <w:t xml:space="preserve"> </w:t>
            </w:r>
          </w:p>
        </w:tc>
        <w:tc>
          <w:tcPr>
            <w:tcW w:w="422" w:type="dxa"/>
            <w:tcBorders>
              <w:top w:val="single" w:sz="4" w:space="0" w:color="000000"/>
              <w:left w:val="single" w:sz="4" w:space="0" w:color="000000"/>
              <w:bottom w:val="single" w:sz="4" w:space="0" w:color="000000"/>
              <w:right w:val="single" w:sz="8" w:space="0" w:color="000000"/>
            </w:tcBorders>
            <w:vAlign w:val="center"/>
          </w:tcPr>
          <w:p w:rsidR="00E8309B" w:rsidRDefault="009D0949">
            <w:pPr>
              <w:spacing w:after="0" w:line="259" w:lineRule="auto"/>
              <w:ind w:left="2" w:right="0" w:firstLine="0"/>
              <w:jc w:val="center"/>
            </w:pPr>
            <w:r>
              <w:rPr>
                <w:sz w:val="20"/>
              </w:rPr>
              <w:t xml:space="preserve"> </w:t>
            </w:r>
          </w:p>
        </w:tc>
        <w:tc>
          <w:tcPr>
            <w:tcW w:w="422" w:type="dxa"/>
            <w:tcBorders>
              <w:top w:val="single" w:sz="4" w:space="0" w:color="000000"/>
              <w:left w:val="single" w:sz="8" w:space="0" w:color="000000"/>
              <w:bottom w:val="single" w:sz="4" w:space="0" w:color="000000"/>
              <w:right w:val="single" w:sz="4" w:space="0" w:color="000000"/>
            </w:tcBorders>
            <w:vAlign w:val="center"/>
          </w:tcPr>
          <w:p w:rsidR="00E8309B" w:rsidRDefault="009D0949">
            <w:pPr>
              <w:spacing w:after="0" w:line="259" w:lineRule="auto"/>
              <w:ind w:left="4" w:right="0" w:firstLine="0"/>
              <w:jc w:val="center"/>
            </w:pPr>
            <w:r>
              <w:rPr>
                <w:sz w:val="20"/>
              </w:rPr>
              <w:t xml:space="preserve"> </w:t>
            </w:r>
          </w:p>
        </w:tc>
        <w:tc>
          <w:tcPr>
            <w:tcW w:w="422"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1" w:right="0" w:firstLine="0"/>
              <w:jc w:val="center"/>
            </w:pPr>
            <w:r>
              <w:rPr>
                <w:sz w:val="20"/>
              </w:rPr>
              <w:t xml:space="preserve"> </w:t>
            </w:r>
          </w:p>
        </w:tc>
        <w:tc>
          <w:tcPr>
            <w:tcW w:w="422"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0" w:right="0" w:firstLine="0"/>
              <w:jc w:val="center"/>
            </w:pPr>
            <w:r>
              <w:rPr>
                <w:sz w:val="20"/>
              </w:rPr>
              <w:t xml:space="preserve"> </w:t>
            </w:r>
          </w:p>
        </w:tc>
        <w:tc>
          <w:tcPr>
            <w:tcW w:w="420" w:type="dxa"/>
            <w:tcBorders>
              <w:top w:val="single" w:sz="4" w:space="0" w:color="000000"/>
              <w:left w:val="single" w:sz="4" w:space="0" w:color="000000"/>
              <w:bottom w:val="single" w:sz="4" w:space="0" w:color="000000"/>
              <w:right w:val="single" w:sz="8" w:space="0" w:color="000000"/>
            </w:tcBorders>
            <w:vAlign w:val="center"/>
          </w:tcPr>
          <w:p w:rsidR="00E8309B" w:rsidRDefault="009D0949">
            <w:pPr>
              <w:spacing w:after="0" w:line="259" w:lineRule="auto"/>
              <w:ind w:left="2" w:right="0" w:firstLine="0"/>
              <w:jc w:val="center"/>
            </w:pPr>
            <w:r>
              <w:rPr>
                <w:sz w:val="20"/>
              </w:rPr>
              <w:t xml:space="preserve"> </w:t>
            </w:r>
          </w:p>
        </w:tc>
      </w:tr>
      <w:tr w:rsidR="00E8309B">
        <w:trPr>
          <w:trHeight w:val="1160"/>
        </w:trPr>
        <w:tc>
          <w:tcPr>
            <w:tcW w:w="427" w:type="dxa"/>
            <w:tcBorders>
              <w:top w:val="single" w:sz="4" w:space="0" w:color="000000"/>
              <w:left w:val="single" w:sz="8" w:space="0" w:color="000000"/>
              <w:bottom w:val="single" w:sz="4" w:space="0" w:color="000000"/>
              <w:right w:val="single" w:sz="8" w:space="0" w:color="000000"/>
            </w:tcBorders>
          </w:tcPr>
          <w:p w:rsidR="00E8309B" w:rsidRDefault="009D0949">
            <w:pPr>
              <w:spacing w:after="0" w:line="259" w:lineRule="auto"/>
              <w:ind w:left="0" w:right="51" w:firstLine="0"/>
              <w:jc w:val="right"/>
            </w:pPr>
            <w:r>
              <w:rPr>
                <w:sz w:val="20"/>
              </w:rPr>
              <w:t xml:space="preserve">4 </w:t>
            </w:r>
          </w:p>
        </w:tc>
        <w:tc>
          <w:tcPr>
            <w:tcW w:w="4123" w:type="dxa"/>
            <w:tcBorders>
              <w:top w:val="single" w:sz="4" w:space="0" w:color="000000"/>
              <w:left w:val="single" w:sz="8" w:space="0" w:color="000000"/>
              <w:bottom w:val="single" w:sz="4" w:space="0" w:color="000000"/>
              <w:right w:val="single" w:sz="8" w:space="0" w:color="000000"/>
            </w:tcBorders>
          </w:tcPr>
          <w:p w:rsidR="00E8309B" w:rsidRDefault="009D0949">
            <w:pPr>
              <w:spacing w:after="0" w:line="259" w:lineRule="auto"/>
              <w:ind w:left="0" w:right="0" w:firstLine="0"/>
              <w:jc w:val="left"/>
            </w:pPr>
            <w:r>
              <w:rPr>
                <w:sz w:val="20"/>
              </w:rPr>
              <w:t xml:space="preserve">Припремљена одговарајућа упутства и организоване потребне обуке за кориснике Система за заштиту и аутоматизацију инструмената социјалне заштите и Регистра социјална карта. </w:t>
            </w:r>
          </w:p>
        </w:tc>
        <w:tc>
          <w:tcPr>
            <w:tcW w:w="419" w:type="dxa"/>
            <w:tcBorders>
              <w:top w:val="single" w:sz="4" w:space="0" w:color="000000"/>
              <w:left w:val="single" w:sz="8" w:space="0" w:color="000000"/>
              <w:bottom w:val="single" w:sz="4" w:space="0" w:color="000000"/>
              <w:right w:val="single" w:sz="4" w:space="0" w:color="000000"/>
            </w:tcBorders>
            <w:vAlign w:val="center"/>
          </w:tcPr>
          <w:p w:rsidR="00E8309B" w:rsidRDefault="009D0949">
            <w:pPr>
              <w:spacing w:after="0" w:line="259" w:lineRule="auto"/>
              <w:ind w:left="1" w:right="0" w:firstLine="0"/>
              <w:jc w:val="center"/>
            </w:pPr>
            <w:r>
              <w:rPr>
                <w:sz w:val="20"/>
              </w:rPr>
              <w:t xml:space="preserve"> </w:t>
            </w:r>
          </w:p>
        </w:tc>
        <w:tc>
          <w:tcPr>
            <w:tcW w:w="421"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1" w:right="0" w:firstLine="0"/>
              <w:jc w:val="center"/>
            </w:pPr>
            <w:r>
              <w:rPr>
                <w:sz w:val="20"/>
              </w:rPr>
              <w:t xml:space="preserve"> </w:t>
            </w:r>
          </w:p>
        </w:tc>
        <w:tc>
          <w:tcPr>
            <w:tcW w:w="422"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2" w:right="0" w:firstLine="0"/>
              <w:jc w:val="center"/>
            </w:pPr>
            <w:r>
              <w:rPr>
                <w:sz w:val="20"/>
              </w:rPr>
              <w:t xml:space="preserve"> </w:t>
            </w:r>
          </w:p>
        </w:tc>
        <w:tc>
          <w:tcPr>
            <w:tcW w:w="421" w:type="dxa"/>
            <w:tcBorders>
              <w:top w:val="single" w:sz="4" w:space="0" w:color="000000"/>
              <w:left w:val="single" w:sz="4" w:space="0" w:color="000000"/>
              <w:bottom w:val="single" w:sz="4" w:space="0" w:color="000000"/>
              <w:right w:val="single" w:sz="8" w:space="0" w:color="000000"/>
            </w:tcBorders>
            <w:vAlign w:val="center"/>
          </w:tcPr>
          <w:p w:rsidR="00E8309B" w:rsidRDefault="009D0949">
            <w:pPr>
              <w:spacing w:after="0" w:line="259" w:lineRule="auto"/>
              <w:ind w:left="4" w:right="0" w:firstLine="0"/>
              <w:jc w:val="center"/>
            </w:pPr>
            <w:r>
              <w:rPr>
                <w:sz w:val="20"/>
              </w:rPr>
              <w:t xml:space="preserve"> </w:t>
            </w:r>
          </w:p>
        </w:tc>
        <w:tc>
          <w:tcPr>
            <w:tcW w:w="424" w:type="dxa"/>
            <w:tcBorders>
              <w:top w:val="single" w:sz="4" w:space="0" w:color="000000"/>
              <w:left w:val="single" w:sz="8" w:space="0" w:color="000000"/>
              <w:bottom w:val="single" w:sz="4" w:space="0" w:color="000000"/>
              <w:right w:val="single" w:sz="4" w:space="0" w:color="000000"/>
            </w:tcBorders>
            <w:vAlign w:val="center"/>
          </w:tcPr>
          <w:p w:rsidR="00E8309B" w:rsidRDefault="009D0949">
            <w:pPr>
              <w:spacing w:after="0" w:line="259" w:lineRule="auto"/>
              <w:ind w:left="4" w:right="0" w:firstLine="0"/>
              <w:jc w:val="center"/>
            </w:pPr>
            <w:r>
              <w:rPr>
                <w:sz w:val="20"/>
              </w:rPr>
              <w:t xml:space="preserve"> </w:t>
            </w:r>
          </w:p>
        </w:tc>
        <w:tc>
          <w:tcPr>
            <w:tcW w:w="421"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4" w:right="0" w:firstLine="0"/>
              <w:jc w:val="center"/>
            </w:pPr>
            <w:r>
              <w:rPr>
                <w:sz w:val="20"/>
              </w:rPr>
              <w:t xml:space="preserve"> </w:t>
            </w:r>
          </w:p>
        </w:tc>
        <w:tc>
          <w:tcPr>
            <w:tcW w:w="423"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E8309B" w:rsidRDefault="009D0949">
            <w:pPr>
              <w:spacing w:after="0" w:line="259" w:lineRule="auto"/>
              <w:ind w:left="5" w:right="0" w:firstLine="0"/>
              <w:jc w:val="center"/>
            </w:pPr>
            <w:r>
              <w:rPr>
                <w:sz w:val="20"/>
              </w:rPr>
              <w:t xml:space="preserve"> </w:t>
            </w:r>
          </w:p>
        </w:tc>
        <w:tc>
          <w:tcPr>
            <w:tcW w:w="422" w:type="dxa"/>
            <w:tcBorders>
              <w:top w:val="single" w:sz="4" w:space="0" w:color="000000"/>
              <w:left w:val="single" w:sz="4" w:space="0" w:color="000000"/>
              <w:bottom w:val="single" w:sz="4" w:space="0" w:color="000000"/>
              <w:right w:val="single" w:sz="8" w:space="0" w:color="000000"/>
            </w:tcBorders>
            <w:shd w:val="clear" w:color="auto" w:fill="D9D9D9"/>
            <w:vAlign w:val="center"/>
          </w:tcPr>
          <w:p w:rsidR="00E8309B" w:rsidRDefault="009D0949">
            <w:pPr>
              <w:spacing w:after="0" w:line="259" w:lineRule="auto"/>
              <w:ind w:left="2" w:right="0" w:firstLine="0"/>
              <w:jc w:val="center"/>
            </w:pPr>
            <w:r>
              <w:rPr>
                <w:sz w:val="20"/>
              </w:rPr>
              <w:t xml:space="preserve"> </w:t>
            </w:r>
          </w:p>
        </w:tc>
        <w:tc>
          <w:tcPr>
            <w:tcW w:w="422" w:type="dxa"/>
            <w:tcBorders>
              <w:top w:val="single" w:sz="4" w:space="0" w:color="000000"/>
              <w:left w:val="single" w:sz="8" w:space="0" w:color="000000"/>
              <w:bottom w:val="single" w:sz="4" w:space="0" w:color="000000"/>
              <w:right w:val="single" w:sz="4" w:space="0" w:color="000000"/>
            </w:tcBorders>
            <w:shd w:val="clear" w:color="auto" w:fill="D9D9D9"/>
            <w:vAlign w:val="center"/>
          </w:tcPr>
          <w:p w:rsidR="00E8309B" w:rsidRDefault="009D0949">
            <w:pPr>
              <w:spacing w:after="0" w:line="259" w:lineRule="auto"/>
              <w:ind w:left="4" w:right="0" w:firstLine="0"/>
              <w:jc w:val="center"/>
            </w:pPr>
            <w:r>
              <w:rPr>
                <w:sz w:val="20"/>
              </w:rPr>
              <w:t xml:space="preserve"> </w:t>
            </w:r>
          </w:p>
        </w:tc>
        <w:tc>
          <w:tcPr>
            <w:tcW w:w="422"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1" w:right="0" w:firstLine="0"/>
              <w:jc w:val="center"/>
            </w:pPr>
            <w:r>
              <w:rPr>
                <w:sz w:val="20"/>
              </w:rPr>
              <w:t xml:space="preserve"> </w:t>
            </w:r>
          </w:p>
        </w:tc>
        <w:tc>
          <w:tcPr>
            <w:tcW w:w="422"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0" w:right="0" w:firstLine="0"/>
              <w:jc w:val="center"/>
            </w:pPr>
            <w:r>
              <w:rPr>
                <w:sz w:val="20"/>
              </w:rPr>
              <w:t xml:space="preserve"> </w:t>
            </w:r>
          </w:p>
        </w:tc>
        <w:tc>
          <w:tcPr>
            <w:tcW w:w="420" w:type="dxa"/>
            <w:tcBorders>
              <w:top w:val="single" w:sz="4" w:space="0" w:color="000000"/>
              <w:left w:val="single" w:sz="4" w:space="0" w:color="000000"/>
              <w:bottom w:val="single" w:sz="4" w:space="0" w:color="000000"/>
              <w:right w:val="single" w:sz="8" w:space="0" w:color="000000"/>
            </w:tcBorders>
            <w:vAlign w:val="center"/>
          </w:tcPr>
          <w:p w:rsidR="00E8309B" w:rsidRDefault="009D0949">
            <w:pPr>
              <w:spacing w:after="0" w:line="259" w:lineRule="auto"/>
              <w:ind w:left="2" w:right="0" w:firstLine="0"/>
              <w:jc w:val="center"/>
            </w:pPr>
            <w:r>
              <w:rPr>
                <w:sz w:val="20"/>
              </w:rPr>
              <w:t xml:space="preserve"> </w:t>
            </w:r>
          </w:p>
        </w:tc>
      </w:tr>
    </w:tbl>
    <w:p w:rsidR="00E8309B" w:rsidRDefault="009D0949">
      <w:pPr>
        <w:numPr>
          <w:ilvl w:val="0"/>
          <w:numId w:val="49"/>
        </w:numPr>
        <w:spacing w:after="0" w:line="271" w:lineRule="auto"/>
        <w:ind w:right="9" w:hanging="427"/>
      </w:pPr>
      <w:r>
        <w:rPr>
          <w:b/>
        </w:rPr>
        <w:t xml:space="preserve">Индикатори рeзултата </w:t>
      </w:r>
    </w:p>
    <w:tbl>
      <w:tblPr>
        <w:tblStyle w:val="TableGrid"/>
        <w:tblW w:w="9635" w:type="dxa"/>
        <w:tblInd w:w="5" w:type="dxa"/>
        <w:tblCellMar>
          <w:top w:w="49" w:type="dxa"/>
          <w:left w:w="110" w:type="dxa"/>
          <w:bottom w:w="0" w:type="dxa"/>
          <w:right w:w="10" w:type="dxa"/>
        </w:tblCellMar>
        <w:tblLook w:val="04A0" w:firstRow="1" w:lastRow="0" w:firstColumn="1" w:lastColumn="0" w:noHBand="0" w:noVBand="1"/>
      </w:tblPr>
      <w:tblGrid>
        <w:gridCol w:w="4107"/>
        <w:gridCol w:w="1841"/>
        <w:gridCol w:w="1844"/>
        <w:gridCol w:w="1843"/>
      </w:tblGrid>
      <w:tr w:rsidR="00E8309B">
        <w:trPr>
          <w:trHeight w:val="470"/>
        </w:trPr>
        <w:tc>
          <w:tcPr>
            <w:tcW w:w="4107"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0" w:right="0" w:firstLine="0"/>
              <w:jc w:val="left"/>
            </w:pPr>
            <w:r>
              <w:rPr>
                <w:b/>
                <w:sz w:val="20"/>
              </w:rPr>
              <w:t xml:space="preserve">Показатељ </w:t>
            </w:r>
          </w:p>
        </w:tc>
        <w:tc>
          <w:tcPr>
            <w:tcW w:w="1841"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44" w:right="96" w:firstLine="0"/>
              <w:jc w:val="right"/>
            </w:pPr>
            <w:r>
              <w:rPr>
                <w:b/>
                <w:sz w:val="20"/>
              </w:rPr>
              <w:t xml:space="preserve">Почетна вредност (2021) </w:t>
            </w:r>
          </w:p>
        </w:tc>
        <w:tc>
          <w:tcPr>
            <w:tcW w:w="1844"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96" w:firstLine="0"/>
              <w:jc w:val="right"/>
            </w:pPr>
            <w:r>
              <w:rPr>
                <w:b/>
                <w:sz w:val="20"/>
              </w:rPr>
              <w:t xml:space="preserve">Међурезултат (2022) </w:t>
            </w:r>
          </w:p>
        </w:tc>
        <w:tc>
          <w:tcPr>
            <w:tcW w:w="1843"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95" w:firstLine="0"/>
              <w:jc w:val="right"/>
            </w:pPr>
            <w:r>
              <w:rPr>
                <w:b/>
                <w:sz w:val="20"/>
              </w:rPr>
              <w:t xml:space="preserve">Циљна вредност (2023) </w:t>
            </w:r>
          </w:p>
        </w:tc>
      </w:tr>
      <w:tr w:rsidR="00E8309B">
        <w:trPr>
          <w:trHeight w:val="929"/>
        </w:trPr>
        <w:tc>
          <w:tcPr>
            <w:tcW w:w="4107"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0" w:firstLine="0"/>
              <w:jc w:val="left"/>
            </w:pPr>
            <w:r>
              <w:rPr>
                <w:sz w:val="20"/>
              </w:rPr>
              <w:t xml:space="preserve">Број органа јавне управе (екстерних извора података) са којима је извршено информационо повезивање Регистра социјална карта </w:t>
            </w:r>
          </w:p>
        </w:tc>
        <w:tc>
          <w:tcPr>
            <w:tcW w:w="1841"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0" w:right="97" w:firstLine="0"/>
              <w:jc w:val="right"/>
            </w:pPr>
            <w:r>
              <w:rPr>
                <w:sz w:val="20"/>
              </w:rPr>
              <w:t xml:space="preserve">5 </w:t>
            </w:r>
          </w:p>
        </w:tc>
        <w:tc>
          <w:tcPr>
            <w:tcW w:w="1844"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0" w:right="97" w:firstLine="0"/>
              <w:jc w:val="right"/>
            </w:pPr>
            <w:r>
              <w:rPr>
                <w:sz w:val="20"/>
              </w:rPr>
              <w:t xml:space="preserve">8 </w:t>
            </w:r>
          </w:p>
        </w:tc>
        <w:tc>
          <w:tcPr>
            <w:tcW w:w="1843"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0" w:right="97" w:firstLine="0"/>
              <w:jc w:val="right"/>
            </w:pPr>
            <w:r>
              <w:rPr>
                <w:sz w:val="20"/>
              </w:rPr>
              <w:t xml:space="preserve">8 </w:t>
            </w:r>
          </w:p>
        </w:tc>
      </w:tr>
      <w:tr w:rsidR="00E8309B">
        <w:trPr>
          <w:trHeight w:val="929"/>
        </w:trPr>
        <w:tc>
          <w:tcPr>
            <w:tcW w:w="4107"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101" w:firstLine="0"/>
            </w:pPr>
            <w:r>
              <w:rPr>
                <w:sz w:val="20"/>
              </w:rPr>
              <w:t>Проценат Центара за социјални рад и других корисника који користе Систем за заштиту и аутоматизацију инструмената социјал</w:t>
            </w:r>
            <w:r>
              <w:rPr>
                <w:sz w:val="20"/>
              </w:rPr>
              <w:t>не заштите</w:t>
            </w:r>
            <w:r>
              <w:rPr>
                <w:b/>
                <w:sz w:val="20"/>
              </w:rPr>
              <w:t xml:space="preserve"> </w:t>
            </w:r>
          </w:p>
        </w:tc>
        <w:tc>
          <w:tcPr>
            <w:tcW w:w="1841"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0" w:right="94" w:firstLine="0"/>
              <w:jc w:val="right"/>
            </w:pPr>
            <w:r>
              <w:rPr>
                <w:sz w:val="20"/>
              </w:rPr>
              <w:t xml:space="preserve">70 </w:t>
            </w:r>
          </w:p>
        </w:tc>
        <w:tc>
          <w:tcPr>
            <w:tcW w:w="1844"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0" w:right="94" w:firstLine="0"/>
              <w:jc w:val="right"/>
            </w:pPr>
            <w:r>
              <w:rPr>
                <w:sz w:val="20"/>
              </w:rPr>
              <w:t xml:space="preserve">100 </w:t>
            </w:r>
          </w:p>
        </w:tc>
        <w:tc>
          <w:tcPr>
            <w:tcW w:w="1843"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0" w:right="95" w:firstLine="0"/>
              <w:jc w:val="right"/>
            </w:pPr>
            <w:r>
              <w:rPr>
                <w:sz w:val="20"/>
              </w:rPr>
              <w:t xml:space="preserve">100 </w:t>
            </w:r>
          </w:p>
        </w:tc>
      </w:tr>
      <w:tr w:rsidR="00E8309B">
        <w:trPr>
          <w:trHeight w:val="470"/>
        </w:trPr>
        <w:tc>
          <w:tcPr>
            <w:tcW w:w="4107"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0" w:firstLine="0"/>
              <w:jc w:val="left"/>
            </w:pPr>
            <w:r>
              <w:rPr>
                <w:sz w:val="20"/>
              </w:rPr>
              <w:t>Проценат донетих законских и подзаконских аката</w:t>
            </w:r>
            <w:r>
              <w:rPr>
                <w:b/>
                <w:sz w:val="20"/>
              </w:rPr>
              <w:t xml:space="preserve"> </w:t>
            </w:r>
          </w:p>
        </w:tc>
        <w:tc>
          <w:tcPr>
            <w:tcW w:w="1841"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0" w:right="94" w:firstLine="0"/>
              <w:jc w:val="right"/>
            </w:pPr>
            <w:r>
              <w:rPr>
                <w:sz w:val="20"/>
              </w:rPr>
              <w:t>60</w:t>
            </w:r>
            <w:r>
              <w:rPr>
                <w:b/>
                <w:sz w:val="20"/>
              </w:rPr>
              <w:t xml:space="preserve"> </w:t>
            </w:r>
          </w:p>
        </w:tc>
        <w:tc>
          <w:tcPr>
            <w:tcW w:w="1844"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0" w:right="94" w:firstLine="0"/>
              <w:jc w:val="right"/>
            </w:pPr>
            <w:r>
              <w:rPr>
                <w:sz w:val="20"/>
              </w:rPr>
              <w:t>100</w:t>
            </w:r>
            <w:r>
              <w:rPr>
                <w:b/>
                <w:sz w:val="20"/>
              </w:rPr>
              <w:t xml:space="preserve"> </w:t>
            </w:r>
          </w:p>
        </w:tc>
        <w:tc>
          <w:tcPr>
            <w:tcW w:w="1843"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0" w:right="95" w:firstLine="0"/>
              <w:jc w:val="right"/>
            </w:pPr>
            <w:r>
              <w:rPr>
                <w:sz w:val="20"/>
              </w:rPr>
              <w:t>100</w:t>
            </w:r>
            <w:r>
              <w:rPr>
                <w:b/>
                <w:sz w:val="20"/>
              </w:rPr>
              <w:t xml:space="preserve"> </w:t>
            </w:r>
          </w:p>
        </w:tc>
      </w:tr>
      <w:tr w:rsidR="00E8309B">
        <w:trPr>
          <w:trHeight w:val="1162"/>
        </w:trPr>
        <w:tc>
          <w:tcPr>
            <w:tcW w:w="4107"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101" w:firstLine="0"/>
            </w:pPr>
            <w:r>
              <w:rPr>
                <w:sz w:val="20"/>
              </w:rPr>
              <w:t xml:space="preserve">Проценат израђених одговарајућих упутстава и реализованих обука за кориснике Регистра  социјална карта и Система за заштиту и аутоматизацију инструмената социјалне заштите. </w:t>
            </w:r>
          </w:p>
        </w:tc>
        <w:tc>
          <w:tcPr>
            <w:tcW w:w="1841"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0" w:right="94" w:firstLine="0"/>
              <w:jc w:val="right"/>
            </w:pPr>
            <w:r>
              <w:rPr>
                <w:sz w:val="20"/>
              </w:rPr>
              <w:t xml:space="preserve">40 </w:t>
            </w:r>
          </w:p>
        </w:tc>
        <w:tc>
          <w:tcPr>
            <w:tcW w:w="1844"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0" w:right="94" w:firstLine="0"/>
              <w:jc w:val="right"/>
            </w:pPr>
            <w:r>
              <w:rPr>
                <w:sz w:val="20"/>
              </w:rPr>
              <w:t xml:space="preserve">100 </w:t>
            </w:r>
          </w:p>
        </w:tc>
        <w:tc>
          <w:tcPr>
            <w:tcW w:w="1843"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0" w:right="95" w:firstLine="0"/>
              <w:jc w:val="right"/>
            </w:pPr>
            <w:r>
              <w:rPr>
                <w:sz w:val="20"/>
              </w:rPr>
              <w:t xml:space="preserve">100 </w:t>
            </w:r>
          </w:p>
        </w:tc>
      </w:tr>
    </w:tbl>
    <w:p w:rsidR="00E8309B" w:rsidRDefault="009D0949">
      <w:pPr>
        <w:numPr>
          <w:ilvl w:val="0"/>
          <w:numId w:val="49"/>
        </w:numPr>
        <w:spacing w:after="126" w:line="271" w:lineRule="auto"/>
        <w:ind w:right="9" w:hanging="427"/>
      </w:pPr>
      <w:r>
        <w:rPr>
          <w:b/>
        </w:rPr>
        <w:t xml:space="preserve">Очекивани утицај на конкурентност </w:t>
      </w:r>
    </w:p>
    <w:p w:rsidR="00E8309B" w:rsidRDefault="009D0949">
      <w:pPr>
        <w:spacing w:after="160"/>
        <w:ind w:left="-5" w:right="17"/>
      </w:pPr>
      <w:r>
        <w:t xml:space="preserve">Није релевантно </w:t>
      </w:r>
      <w:r>
        <w:t xml:space="preserve">за област „Социјална заштита и инклузија, укључујући здравствену заштиту“. </w:t>
      </w:r>
    </w:p>
    <w:p w:rsidR="00E8309B" w:rsidRDefault="009D0949">
      <w:pPr>
        <w:numPr>
          <w:ilvl w:val="0"/>
          <w:numId w:val="49"/>
        </w:numPr>
        <w:spacing w:after="123" w:line="271" w:lineRule="auto"/>
        <w:ind w:right="9" w:hanging="427"/>
      </w:pPr>
      <w:r>
        <w:rPr>
          <w:b/>
        </w:rPr>
        <w:t xml:space="preserve">Процењени трошкови спровођења структурне реформе и предвиђени извори њиховог финансирања </w:t>
      </w:r>
    </w:p>
    <w:p w:rsidR="00E8309B" w:rsidRDefault="009D0949">
      <w:pPr>
        <w:ind w:left="-5" w:right="17"/>
      </w:pPr>
      <w:r>
        <w:t xml:space="preserve">За реализацију активности везаних за </w:t>
      </w:r>
      <w:r>
        <w:rPr>
          <w:i/>
        </w:rPr>
        <w:t>Регистар социјална карта</w:t>
      </w:r>
      <w:r>
        <w:t xml:space="preserve"> планирана су средства у буџе</w:t>
      </w:r>
      <w:r>
        <w:t>ту Републике Србије за 2021. годину у износу од 130.000.000 динара односно 1.083.333 евра ради припреме 2. фазе софтверског решења, а за 2022. годину нису планирана средства јер се очекује даље повезивање са екстерним корисницима Регистра СК на основу изгр</w:t>
      </w:r>
      <w:r>
        <w:t xml:space="preserve">ађеног софтверског решења. У 2023. години нису планирана средства јер се очекује коначна имплементација у 2022. години.  </w:t>
      </w:r>
    </w:p>
    <w:p w:rsidR="00E8309B" w:rsidRDefault="009D0949">
      <w:pPr>
        <w:spacing w:after="161"/>
        <w:ind w:left="-5" w:right="17"/>
      </w:pPr>
      <w:r>
        <w:t xml:space="preserve">За </w:t>
      </w:r>
      <w:r>
        <w:rPr>
          <w:i/>
        </w:rPr>
        <w:t>Систем за заштиту и аутоматизацију инструмената социјалне заштите</w:t>
      </w:r>
      <w:r>
        <w:t>, планирана средства за 2021. годину износе 269.428.000 динара одн</w:t>
      </w:r>
      <w:r>
        <w:t>осно 2.245.233 евра. За 2022. годину нису планирана средства јер се планира наставак имплементације Система. Активност припреме одговарајућих упутстава и обуке планиране у 2022. години и првом кварталу 2023. годину биће у склопу редовних активности Министа</w:t>
      </w:r>
      <w:r>
        <w:t xml:space="preserve">рства и финансирања плата запослених.  </w:t>
      </w:r>
    </w:p>
    <w:p w:rsidR="00E8309B" w:rsidRDefault="009D0949">
      <w:pPr>
        <w:numPr>
          <w:ilvl w:val="0"/>
          <w:numId w:val="49"/>
        </w:numPr>
        <w:spacing w:after="79" w:line="271" w:lineRule="auto"/>
        <w:ind w:right="9" w:hanging="427"/>
      </w:pPr>
      <w:r>
        <w:rPr>
          <w:b/>
        </w:rPr>
        <w:t xml:space="preserve">Очекивани утицај на социјалне циљеве, као што су запосленост, смањење сиромаштва, једнакост и род </w:t>
      </w:r>
    </w:p>
    <w:p w:rsidR="00E8309B" w:rsidRDefault="009D0949">
      <w:pPr>
        <w:spacing w:after="128"/>
        <w:ind w:left="-5" w:right="17"/>
      </w:pPr>
      <w:r>
        <w:t>Успостављање Регистра социјална карта и Система за заштиту и аутоматизацију инструмената социјалне заштите утицаће на праведнију расподелу социјалне помоћи и смањивање злоупотреба и на брже реаговање у случају промена у подацима који утичу на социјалноекон</w:t>
      </w:r>
      <w:r>
        <w:t>омски статус, али и на превенцију сиромаштва и отклањање последица социјалне искључености. Такође, допринеће олакшаном остваривању права корисника путем еУправе јер ће им се омогућити да електронски кроз јединствену приступну тачку остваре своје право на л</w:t>
      </w:r>
      <w:r>
        <w:t xml:space="preserve">акши начин. </w:t>
      </w:r>
    </w:p>
    <w:p w:rsidR="00E8309B" w:rsidRDefault="009D0949">
      <w:pPr>
        <w:numPr>
          <w:ilvl w:val="0"/>
          <w:numId w:val="49"/>
        </w:numPr>
        <w:spacing w:after="126" w:line="271" w:lineRule="auto"/>
        <w:ind w:right="9" w:hanging="427"/>
      </w:pPr>
      <w:r>
        <w:rPr>
          <w:b/>
        </w:rPr>
        <w:t xml:space="preserve">Очекивани утицај на животну средину </w:t>
      </w:r>
    </w:p>
    <w:p w:rsidR="00E8309B" w:rsidRDefault="009D0949">
      <w:pPr>
        <w:spacing w:after="155"/>
        <w:ind w:left="-5" w:right="17"/>
      </w:pPr>
      <w:r>
        <w:t xml:space="preserve">Структурна реформа је неутрална у односу на животну средину. </w:t>
      </w:r>
    </w:p>
    <w:p w:rsidR="00E8309B" w:rsidRDefault="009D0949">
      <w:pPr>
        <w:numPr>
          <w:ilvl w:val="0"/>
          <w:numId w:val="49"/>
        </w:numPr>
        <w:spacing w:after="0" w:line="271" w:lineRule="auto"/>
        <w:ind w:right="9" w:hanging="427"/>
      </w:pPr>
      <w:r>
        <w:rPr>
          <w:b/>
        </w:rPr>
        <w:t xml:space="preserve">Потенцијални ризици </w:t>
      </w:r>
    </w:p>
    <w:tbl>
      <w:tblPr>
        <w:tblStyle w:val="TableGrid"/>
        <w:tblW w:w="9696" w:type="dxa"/>
        <w:tblInd w:w="0" w:type="dxa"/>
        <w:tblCellMar>
          <w:top w:w="46" w:type="dxa"/>
          <w:left w:w="108" w:type="dxa"/>
          <w:bottom w:w="0" w:type="dxa"/>
          <w:right w:w="90" w:type="dxa"/>
        </w:tblCellMar>
        <w:tblLook w:val="04A0" w:firstRow="1" w:lastRow="0" w:firstColumn="1" w:lastColumn="0" w:noHBand="0" w:noVBand="1"/>
      </w:tblPr>
      <w:tblGrid>
        <w:gridCol w:w="3330"/>
        <w:gridCol w:w="2201"/>
        <w:gridCol w:w="4165"/>
      </w:tblGrid>
      <w:tr w:rsidR="00E8309B">
        <w:trPr>
          <w:trHeight w:val="470"/>
        </w:trPr>
        <w:tc>
          <w:tcPr>
            <w:tcW w:w="3330"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0" w:right="0" w:firstLine="0"/>
              <w:jc w:val="left"/>
            </w:pPr>
            <w:r>
              <w:rPr>
                <w:b/>
                <w:sz w:val="20"/>
              </w:rPr>
              <w:t xml:space="preserve">Ризик </w:t>
            </w:r>
          </w:p>
        </w:tc>
        <w:tc>
          <w:tcPr>
            <w:tcW w:w="2201"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2" w:right="0" w:firstLine="0"/>
              <w:jc w:val="left"/>
            </w:pPr>
            <w:r>
              <w:rPr>
                <w:b/>
                <w:sz w:val="20"/>
              </w:rPr>
              <w:t xml:space="preserve">Вероватноћа за остваривање ризика </w:t>
            </w:r>
          </w:p>
        </w:tc>
        <w:tc>
          <w:tcPr>
            <w:tcW w:w="4165"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0" w:firstLine="0"/>
              <w:jc w:val="left"/>
            </w:pPr>
            <w:r>
              <w:rPr>
                <w:b/>
                <w:sz w:val="20"/>
              </w:rPr>
              <w:t xml:space="preserve">Активност за ублажавање негативних ефеката ризика </w:t>
            </w:r>
          </w:p>
        </w:tc>
      </w:tr>
      <w:tr w:rsidR="00E8309B">
        <w:trPr>
          <w:trHeight w:val="1390"/>
        </w:trPr>
        <w:tc>
          <w:tcPr>
            <w:tcW w:w="3330"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0" w:firstLine="0"/>
              <w:jc w:val="left"/>
            </w:pPr>
            <w:r>
              <w:rPr>
                <w:sz w:val="20"/>
              </w:rPr>
              <w:t xml:space="preserve">Неблаговременост доношења Закона о социјалној карти </w:t>
            </w:r>
          </w:p>
        </w:tc>
        <w:tc>
          <w:tcPr>
            <w:tcW w:w="2201"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2" w:right="0" w:firstLine="0"/>
              <w:jc w:val="left"/>
            </w:pPr>
            <w:r>
              <w:rPr>
                <w:sz w:val="20"/>
              </w:rPr>
              <w:t xml:space="preserve">Средња </w:t>
            </w:r>
          </w:p>
        </w:tc>
        <w:tc>
          <w:tcPr>
            <w:tcW w:w="4165"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0" w:firstLine="0"/>
              <w:jc w:val="left"/>
            </w:pPr>
            <w:r>
              <w:rPr>
                <w:sz w:val="20"/>
              </w:rPr>
              <w:t>Израђен је Нацрт закона који је прошао јавну расправу, усаглашавање и усвојен је на одборима Владе. Потребна је дорада текста и поновни поступак усвајања у сазиву нове Владе и прослеђивање Народн</w:t>
            </w:r>
            <w:r>
              <w:rPr>
                <w:sz w:val="20"/>
              </w:rPr>
              <w:t xml:space="preserve">ој скупштини на усвајање </w:t>
            </w:r>
          </w:p>
        </w:tc>
      </w:tr>
      <w:tr w:rsidR="00E8309B">
        <w:trPr>
          <w:trHeight w:val="701"/>
        </w:trPr>
        <w:tc>
          <w:tcPr>
            <w:tcW w:w="3330"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0" w:firstLine="0"/>
              <w:jc w:val="left"/>
            </w:pPr>
            <w:r>
              <w:rPr>
                <w:sz w:val="20"/>
              </w:rPr>
              <w:t>Неповезивање информационих система одговарајућих институција и неотварање њихових база</w:t>
            </w:r>
            <w:r>
              <w:rPr>
                <w:b/>
                <w:sz w:val="20"/>
              </w:rPr>
              <w:t xml:space="preserve"> </w:t>
            </w:r>
          </w:p>
        </w:tc>
        <w:tc>
          <w:tcPr>
            <w:tcW w:w="2201"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2" w:right="0" w:firstLine="0"/>
              <w:jc w:val="left"/>
            </w:pPr>
            <w:r>
              <w:rPr>
                <w:sz w:val="20"/>
              </w:rPr>
              <w:t>Средња</w:t>
            </w:r>
            <w:r>
              <w:rPr>
                <w:b/>
                <w:sz w:val="20"/>
              </w:rPr>
              <w:t xml:space="preserve"> </w:t>
            </w:r>
          </w:p>
        </w:tc>
        <w:tc>
          <w:tcPr>
            <w:tcW w:w="4165"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0" w:firstLine="0"/>
              <w:jc w:val="left"/>
            </w:pPr>
            <w:r>
              <w:rPr>
                <w:sz w:val="20"/>
              </w:rPr>
              <w:t xml:space="preserve">Доношење Закона о социјалној карти је услов за повезивање, односно израду </w:t>
            </w:r>
            <w:r>
              <w:rPr>
                <w:i/>
                <w:sz w:val="20"/>
              </w:rPr>
              <w:t>Регистра социјална карта</w:t>
            </w:r>
            <w:r>
              <w:rPr>
                <w:b/>
                <w:sz w:val="20"/>
              </w:rPr>
              <w:t xml:space="preserve"> </w:t>
            </w:r>
          </w:p>
        </w:tc>
      </w:tr>
    </w:tbl>
    <w:p w:rsidR="00E8309B" w:rsidRDefault="009D0949">
      <w:pPr>
        <w:spacing w:after="156"/>
        <w:ind w:left="-5" w:right="17"/>
      </w:pPr>
      <w:r>
        <w:rPr>
          <w:b/>
          <w:u w:val="single" w:color="000000"/>
        </w:rPr>
        <w:t>СТРУКТУРНА РЕФОРМА 24</w:t>
      </w:r>
      <w:r>
        <w:rPr>
          <w:b/>
        </w:rPr>
        <w:t xml:space="preserve">: </w:t>
      </w:r>
      <w:r>
        <w:t>ДИГИТАЛИЗАЦИЈА ЗДРАВСТВЕНОГ СИСТЕМА</w:t>
      </w:r>
      <w:r>
        <w:rPr>
          <w:b/>
        </w:rPr>
        <w:t xml:space="preserve"> </w:t>
      </w:r>
    </w:p>
    <w:p w:rsidR="00E8309B" w:rsidRDefault="009D0949">
      <w:pPr>
        <w:numPr>
          <w:ilvl w:val="0"/>
          <w:numId w:val="50"/>
        </w:numPr>
        <w:spacing w:after="79" w:line="271" w:lineRule="auto"/>
        <w:ind w:right="9" w:hanging="427"/>
      </w:pPr>
      <w:r>
        <w:rPr>
          <w:b/>
        </w:rPr>
        <w:t xml:space="preserve">Опис структурне реформе </w:t>
      </w:r>
    </w:p>
    <w:p w:rsidR="00E8309B" w:rsidRDefault="009D0949">
      <w:pPr>
        <w:spacing w:after="153"/>
        <w:ind w:left="-5" w:right="17"/>
      </w:pPr>
      <w:r>
        <w:t>Дигитализација здравственог система доприноси ефикасности здравственог система, вишем квалитету дијагностике и лечења и омогућава ауторизовани приступ информацијама кључним за доношење клиничких</w:t>
      </w:r>
      <w:r>
        <w:t xml:space="preserve"> одлука. Јединственим електронским здравственим картоном успоставиће се механизам дигиталног ауторизованог приступа информацијама пацијента, којим ће пацијентима бити омогућен електронски приступ сопственим здравственим информацијама и активно учествовање </w:t>
      </w:r>
      <w:r>
        <w:t xml:space="preserve">у процесу дијагностике и лечења. Успостављање централних електронских здравствених сервиса у великој мери ће повећати ефикасност система, елиминисати непотребно ангажовање пацијената и допринети квалитету дијагностике и лечења. Такође, увођењем дигиталних </w:t>
      </w:r>
      <w:r>
        <w:t xml:space="preserve">технологија за радиолошко снимање и централно складиштење радиолошких снимака отворена су врата за пројекте који ће унапредити квалитет дијагностике и ефикасност целог система. Реформа доприноси остваривању </w:t>
      </w:r>
      <w:r>
        <w:rPr>
          <w:b/>
        </w:rPr>
        <w:t xml:space="preserve">ЦОР 3. </w:t>
      </w:r>
      <w:r>
        <w:t>Добро здравље, као и дигиталној трансформа</w:t>
      </w:r>
      <w:r>
        <w:t xml:space="preserve">цији у Србији. </w:t>
      </w:r>
    </w:p>
    <w:p w:rsidR="00E8309B" w:rsidRDefault="009D0949">
      <w:pPr>
        <w:numPr>
          <w:ilvl w:val="0"/>
          <w:numId w:val="50"/>
        </w:numPr>
        <w:spacing w:after="126" w:line="271" w:lineRule="auto"/>
        <w:ind w:right="9" w:hanging="427"/>
      </w:pPr>
      <w:r>
        <w:rPr>
          <w:b/>
        </w:rPr>
        <w:t xml:space="preserve">Ковид-19 – ефекти, мере и изазови </w:t>
      </w:r>
    </w:p>
    <w:p w:rsidR="00E8309B" w:rsidRDefault="009D0949">
      <w:pPr>
        <w:spacing w:after="157"/>
        <w:ind w:left="-5" w:right="17"/>
      </w:pPr>
      <w:r>
        <w:t xml:space="preserve">Неопходност поменутих мера потврђена је и током пандемије Ковид-19, када је успостављен  сервис о самопроцени симптома Ковид-19 пацијената у реалном времену путем којег грађани Србије могу, са подацима из </w:t>
      </w:r>
      <w:r>
        <w:t>здравствене књижице да приступе порталу, да се улогују и да пријаве евентуалне симптоме на Ковид-19. Сервис је повезан са локалним информационим системом МЗ и према подацима који су грађани унели, кроз систем, сервис их обавештава у коју најближу амбуланту</w:t>
      </w:r>
      <w:r>
        <w:t xml:space="preserve"> да се јаве уколико имају симптоме. Такође, омогућен је и сервис за пријаву страних лица, због надзора, према Закону о заштити становнишва од заразних болести. </w:t>
      </w:r>
    </w:p>
    <w:p w:rsidR="00E8309B" w:rsidRDefault="009D0949">
      <w:pPr>
        <w:numPr>
          <w:ilvl w:val="0"/>
          <w:numId w:val="50"/>
        </w:numPr>
        <w:spacing w:after="0" w:line="271" w:lineRule="auto"/>
        <w:ind w:right="9" w:hanging="427"/>
      </w:pPr>
      <w:r>
        <w:rPr>
          <w:b/>
        </w:rPr>
        <w:t xml:space="preserve">Планирање активности по годинама </w:t>
      </w:r>
    </w:p>
    <w:tbl>
      <w:tblPr>
        <w:tblStyle w:val="TableGrid"/>
        <w:tblW w:w="9611" w:type="dxa"/>
        <w:tblInd w:w="10" w:type="dxa"/>
        <w:tblCellMar>
          <w:top w:w="7" w:type="dxa"/>
          <w:left w:w="58" w:type="dxa"/>
          <w:bottom w:w="0" w:type="dxa"/>
          <w:right w:w="8" w:type="dxa"/>
        </w:tblCellMar>
        <w:tblLook w:val="04A0" w:firstRow="1" w:lastRow="0" w:firstColumn="1" w:lastColumn="0" w:noHBand="0" w:noVBand="1"/>
      </w:tblPr>
      <w:tblGrid>
        <w:gridCol w:w="427"/>
        <w:gridCol w:w="4123"/>
        <w:gridCol w:w="419"/>
        <w:gridCol w:w="421"/>
        <w:gridCol w:w="422"/>
        <w:gridCol w:w="421"/>
        <w:gridCol w:w="425"/>
        <w:gridCol w:w="420"/>
        <w:gridCol w:w="423"/>
        <w:gridCol w:w="422"/>
        <w:gridCol w:w="422"/>
        <w:gridCol w:w="422"/>
        <w:gridCol w:w="422"/>
        <w:gridCol w:w="420"/>
      </w:tblGrid>
      <w:tr w:rsidR="00E8309B">
        <w:trPr>
          <w:trHeight w:val="331"/>
        </w:trPr>
        <w:tc>
          <w:tcPr>
            <w:tcW w:w="427" w:type="dxa"/>
            <w:vMerge w:val="restart"/>
            <w:tcBorders>
              <w:top w:val="single" w:sz="8" w:space="0" w:color="000000"/>
              <w:left w:val="single" w:sz="8" w:space="0" w:color="000000"/>
              <w:bottom w:val="single" w:sz="4" w:space="0" w:color="000000"/>
              <w:right w:val="single" w:sz="8" w:space="0" w:color="000000"/>
            </w:tcBorders>
            <w:vAlign w:val="center"/>
          </w:tcPr>
          <w:p w:rsidR="00E8309B" w:rsidRDefault="009D0949">
            <w:pPr>
              <w:spacing w:after="0" w:line="259" w:lineRule="auto"/>
              <w:ind w:left="29" w:right="0" w:firstLine="0"/>
            </w:pPr>
            <w:r>
              <w:rPr>
                <w:b/>
                <w:sz w:val="20"/>
              </w:rPr>
              <w:t xml:space="preserve">РБ </w:t>
            </w:r>
          </w:p>
        </w:tc>
        <w:tc>
          <w:tcPr>
            <w:tcW w:w="4123" w:type="dxa"/>
            <w:vMerge w:val="restart"/>
            <w:tcBorders>
              <w:top w:val="single" w:sz="8" w:space="0" w:color="000000"/>
              <w:left w:val="single" w:sz="8" w:space="0" w:color="000000"/>
              <w:bottom w:val="single" w:sz="4" w:space="0" w:color="000000"/>
              <w:right w:val="single" w:sz="8" w:space="0" w:color="000000"/>
            </w:tcBorders>
            <w:vAlign w:val="center"/>
          </w:tcPr>
          <w:p w:rsidR="00E8309B" w:rsidRDefault="009D0949">
            <w:pPr>
              <w:spacing w:after="0" w:line="259" w:lineRule="auto"/>
              <w:ind w:left="0" w:right="0" w:firstLine="0"/>
              <w:jc w:val="left"/>
            </w:pPr>
            <w:r>
              <w:rPr>
                <w:b/>
                <w:sz w:val="20"/>
              </w:rPr>
              <w:t xml:space="preserve">Планиране активности </w:t>
            </w:r>
          </w:p>
        </w:tc>
        <w:tc>
          <w:tcPr>
            <w:tcW w:w="1684" w:type="dxa"/>
            <w:gridSpan w:val="4"/>
            <w:tcBorders>
              <w:top w:val="single" w:sz="8" w:space="0" w:color="000000"/>
              <w:left w:val="single" w:sz="8" w:space="0" w:color="000000"/>
              <w:bottom w:val="single" w:sz="4" w:space="0" w:color="000000"/>
              <w:right w:val="single" w:sz="8" w:space="0" w:color="000000"/>
            </w:tcBorders>
          </w:tcPr>
          <w:p w:rsidR="00E8309B" w:rsidRDefault="009D0949">
            <w:pPr>
              <w:spacing w:after="0" w:line="259" w:lineRule="auto"/>
              <w:ind w:left="0" w:right="47" w:firstLine="0"/>
              <w:jc w:val="center"/>
            </w:pPr>
            <w:r>
              <w:rPr>
                <w:b/>
                <w:sz w:val="20"/>
              </w:rPr>
              <w:t xml:space="preserve">2021 </w:t>
            </w:r>
          </w:p>
        </w:tc>
        <w:tc>
          <w:tcPr>
            <w:tcW w:w="1690" w:type="dxa"/>
            <w:gridSpan w:val="4"/>
            <w:tcBorders>
              <w:top w:val="single" w:sz="8" w:space="0" w:color="000000"/>
              <w:left w:val="single" w:sz="8" w:space="0" w:color="000000"/>
              <w:bottom w:val="single" w:sz="4" w:space="0" w:color="000000"/>
              <w:right w:val="single" w:sz="8" w:space="0" w:color="000000"/>
            </w:tcBorders>
          </w:tcPr>
          <w:p w:rsidR="00E8309B" w:rsidRDefault="009D0949">
            <w:pPr>
              <w:spacing w:after="0" w:line="259" w:lineRule="auto"/>
              <w:ind w:left="0" w:right="47" w:firstLine="0"/>
              <w:jc w:val="center"/>
            </w:pPr>
            <w:r>
              <w:rPr>
                <w:b/>
                <w:sz w:val="20"/>
              </w:rPr>
              <w:t xml:space="preserve">2022 </w:t>
            </w:r>
          </w:p>
        </w:tc>
        <w:tc>
          <w:tcPr>
            <w:tcW w:w="1687" w:type="dxa"/>
            <w:gridSpan w:val="4"/>
            <w:tcBorders>
              <w:top w:val="single" w:sz="8" w:space="0" w:color="000000"/>
              <w:left w:val="single" w:sz="8" w:space="0" w:color="000000"/>
              <w:bottom w:val="single" w:sz="4" w:space="0" w:color="000000"/>
              <w:right w:val="single" w:sz="8" w:space="0" w:color="000000"/>
            </w:tcBorders>
          </w:tcPr>
          <w:p w:rsidR="00E8309B" w:rsidRDefault="009D0949">
            <w:pPr>
              <w:spacing w:after="0" w:line="259" w:lineRule="auto"/>
              <w:ind w:left="0" w:right="49" w:firstLine="0"/>
              <w:jc w:val="center"/>
            </w:pPr>
            <w:r>
              <w:rPr>
                <w:b/>
                <w:sz w:val="20"/>
              </w:rPr>
              <w:t xml:space="preserve">2023 </w:t>
            </w:r>
          </w:p>
        </w:tc>
      </w:tr>
      <w:tr w:rsidR="00E8309B">
        <w:trPr>
          <w:trHeight w:val="319"/>
        </w:trPr>
        <w:tc>
          <w:tcPr>
            <w:tcW w:w="0" w:type="auto"/>
            <w:vMerge/>
            <w:tcBorders>
              <w:top w:val="nil"/>
              <w:left w:val="single" w:sz="8" w:space="0" w:color="000000"/>
              <w:bottom w:val="single" w:sz="4" w:space="0" w:color="000000"/>
              <w:right w:val="single" w:sz="8" w:space="0" w:color="000000"/>
            </w:tcBorders>
          </w:tcPr>
          <w:p w:rsidR="00E8309B" w:rsidRDefault="00E8309B">
            <w:pPr>
              <w:spacing w:after="160" w:line="259" w:lineRule="auto"/>
              <w:ind w:left="0" w:right="0" w:firstLine="0"/>
              <w:jc w:val="left"/>
            </w:pPr>
          </w:p>
        </w:tc>
        <w:tc>
          <w:tcPr>
            <w:tcW w:w="0" w:type="auto"/>
            <w:vMerge/>
            <w:tcBorders>
              <w:top w:val="nil"/>
              <w:left w:val="single" w:sz="8" w:space="0" w:color="000000"/>
              <w:bottom w:val="single" w:sz="4" w:space="0" w:color="000000"/>
              <w:right w:val="single" w:sz="8" w:space="0" w:color="000000"/>
            </w:tcBorders>
          </w:tcPr>
          <w:p w:rsidR="00E8309B" w:rsidRDefault="00E8309B">
            <w:pPr>
              <w:spacing w:after="160" w:line="259" w:lineRule="auto"/>
              <w:ind w:left="0" w:right="0" w:firstLine="0"/>
              <w:jc w:val="left"/>
            </w:pPr>
          </w:p>
        </w:tc>
        <w:tc>
          <w:tcPr>
            <w:tcW w:w="419" w:type="dxa"/>
            <w:tcBorders>
              <w:top w:val="single" w:sz="4" w:space="0" w:color="000000"/>
              <w:left w:val="single" w:sz="8" w:space="0" w:color="000000"/>
              <w:bottom w:val="single" w:sz="4" w:space="0" w:color="000000"/>
              <w:right w:val="single" w:sz="4" w:space="0" w:color="000000"/>
            </w:tcBorders>
          </w:tcPr>
          <w:p w:rsidR="00E8309B" w:rsidRDefault="009D0949">
            <w:pPr>
              <w:spacing w:after="0" w:line="259" w:lineRule="auto"/>
              <w:ind w:left="42" w:right="0" w:firstLine="0"/>
              <w:jc w:val="left"/>
            </w:pPr>
            <w:r>
              <w:rPr>
                <w:i/>
                <w:sz w:val="18"/>
              </w:rPr>
              <w:t xml:space="preserve">Q1 </w:t>
            </w:r>
          </w:p>
        </w:tc>
        <w:tc>
          <w:tcPr>
            <w:tcW w:w="421"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43" w:right="0" w:firstLine="0"/>
              <w:jc w:val="left"/>
            </w:pPr>
            <w:r>
              <w:rPr>
                <w:i/>
                <w:sz w:val="18"/>
              </w:rPr>
              <w:t xml:space="preserve">Q2 </w:t>
            </w:r>
          </w:p>
        </w:tc>
        <w:tc>
          <w:tcPr>
            <w:tcW w:w="422"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44" w:right="0" w:firstLine="0"/>
              <w:jc w:val="left"/>
            </w:pPr>
            <w:r>
              <w:rPr>
                <w:i/>
                <w:sz w:val="18"/>
              </w:rPr>
              <w:t xml:space="preserve">Q3 </w:t>
            </w:r>
          </w:p>
        </w:tc>
        <w:tc>
          <w:tcPr>
            <w:tcW w:w="421" w:type="dxa"/>
            <w:tcBorders>
              <w:top w:val="single" w:sz="4" w:space="0" w:color="000000"/>
              <w:left w:val="single" w:sz="4" w:space="0" w:color="000000"/>
              <w:bottom w:val="single" w:sz="4" w:space="0" w:color="000000"/>
              <w:right w:val="single" w:sz="8" w:space="0" w:color="000000"/>
            </w:tcBorders>
          </w:tcPr>
          <w:p w:rsidR="00E8309B" w:rsidRDefault="009D0949">
            <w:pPr>
              <w:spacing w:after="0" w:line="259" w:lineRule="auto"/>
              <w:ind w:left="44" w:right="0" w:firstLine="0"/>
              <w:jc w:val="left"/>
            </w:pPr>
            <w:r>
              <w:rPr>
                <w:i/>
                <w:sz w:val="18"/>
              </w:rPr>
              <w:t>Q4</w:t>
            </w:r>
            <w:r>
              <w:rPr>
                <w:i/>
                <w:sz w:val="18"/>
              </w:rPr>
              <w:t xml:space="preserve"> </w:t>
            </w:r>
          </w:p>
        </w:tc>
        <w:tc>
          <w:tcPr>
            <w:tcW w:w="425" w:type="dxa"/>
            <w:tcBorders>
              <w:top w:val="single" w:sz="4" w:space="0" w:color="000000"/>
              <w:left w:val="single" w:sz="8" w:space="0" w:color="000000"/>
              <w:bottom w:val="single" w:sz="4" w:space="0" w:color="000000"/>
              <w:right w:val="single" w:sz="4" w:space="0" w:color="000000"/>
            </w:tcBorders>
          </w:tcPr>
          <w:p w:rsidR="00E8309B" w:rsidRDefault="009D0949">
            <w:pPr>
              <w:spacing w:after="0" w:line="259" w:lineRule="auto"/>
              <w:ind w:left="46" w:right="0" w:firstLine="0"/>
              <w:jc w:val="left"/>
            </w:pPr>
            <w:r>
              <w:rPr>
                <w:i/>
                <w:sz w:val="18"/>
              </w:rPr>
              <w:t xml:space="preserve">Q1 </w:t>
            </w:r>
          </w:p>
        </w:tc>
        <w:tc>
          <w:tcPr>
            <w:tcW w:w="420"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43" w:right="0" w:firstLine="0"/>
              <w:jc w:val="left"/>
            </w:pPr>
            <w:r>
              <w:rPr>
                <w:i/>
                <w:sz w:val="18"/>
              </w:rPr>
              <w:t xml:space="preserve">Q2 </w:t>
            </w:r>
          </w:p>
        </w:tc>
        <w:tc>
          <w:tcPr>
            <w:tcW w:w="423"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46" w:right="0" w:firstLine="0"/>
              <w:jc w:val="left"/>
            </w:pPr>
            <w:r>
              <w:rPr>
                <w:i/>
                <w:sz w:val="18"/>
              </w:rPr>
              <w:t xml:space="preserve">Q3 </w:t>
            </w:r>
          </w:p>
        </w:tc>
        <w:tc>
          <w:tcPr>
            <w:tcW w:w="422" w:type="dxa"/>
            <w:tcBorders>
              <w:top w:val="single" w:sz="4" w:space="0" w:color="000000"/>
              <w:left w:val="single" w:sz="4" w:space="0" w:color="000000"/>
              <w:bottom w:val="single" w:sz="4" w:space="0" w:color="000000"/>
              <w:right w:val="single" w:sz="8" w:space="0" w:color="000000"/>
            </w:tcBorders>
          </w:tcPr>
          <w:p w:rsidR="00E8309B" w:rsidRDefault="009D0949">
            <w:pPr>
              <w:spacing w:after="0" w:line="259" w:lineRule="auto"/>
              <w:ind w:left="43" w:right="0" w:firstLine="0"/>
              <w:jc w:val="left"/>
            </w:pPr>
            <w:r>
              <w:rPr>
                <w:i/>
                <w:sz w:val="18"/>
              </w:rPr>
              <w:t xml:space="preserve">Q4 </w:t>
            </w:r>
          </w:p>
        </w:tc>
        <w:tc>
          <w:tcPr>
            <w:tcW w:w="422" w:type="dxa"/>
            <w:tcBorders>
              <w:top w:val="single" w:sz="4" w:space="0" w:color="000000"/>
              <w:left w:val="single" w:sz="8" w:space="0" w:color="000000"/>
              <w:bottom w:val="single" w:sz="4" w:space="0" w:color="000000"/>
              <w:right w:val="single" w:sz="4" w:space="0" w:color="000000"/>
            </w:tcBorders>
          </w:tcPr>
          <w:p w:rsidR="00E8309B" w:rsidRDefault="009D0949">
            <w:pPr>
              <w:spacing w:after="0" w:line="259" w:lineRule="auto"/>
              <w:ind w:left="43" w:right="0" w:firstLine="0"/>
              <w:jc w:val="left"/>
            </w:pPr>
            <w:r>
              <w:rPr>
                <w:i/>
                <w:sz w:val="18"/>
              </w:rPr>
              <w:t xml:space="preserve">Q1 </w:t>
            </w:r>
          </w:p>
        </w:tc>
        <w:tc>
          <w:tcPr>
            <w:tcW w:w="422"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43" w:right="0" w:firstLine="0"/>
              <w:jc w:val="left"/>
            </w:pPr>
            <w:r>
              <w:rPr>
                <w:i/>
                <w:sz w:val="18"/>
              </w:rPr>
              <w:t xml:space="preserve">Q2 </w:t>
            </w:r>
          </w:p>
        </w:tc>
        <w:tc>
          <w:tcPr>
            <w:tcW w:w="422"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43" w:right="0" w:firstLine="0"/>
              <w:jc w:val="left"/>
            </w:pPr>
            <w:r>
              <w:rPr>
                <w:i/>
                <w:sz w:val="18"/>
              </w:rPr>
              <w:t xml:space="preserve">Q3 </w:t>
            </w:r>
          </w:p>
        </w:tc>
        <w:tc>
          <w:tcPr>
            <w:tcW w:w="420" w:type="dxa"/>
            <w:tcBorders>
              <w:top w:val="single" w:sz="4" w:space="0" w:color="000000"/>
              <w:left w:val="single" w:sz="4" w:space="0" w:color="000000"/>
              <w:bottom w:val="single" w:sz="4" w:space="0" w:color="000000"/>
              <w:right w:val="single" w:sz="8" w:space="0" w:color="000000"/>
            </w:tcBorders>
          </w:tcPr>
          <w:p w:rsidR="00E8309B" w:rsidRDefault="009D0949">
            <w:pPr>
              <w:spacing w:after="0" w:line="259" w:lineRule="auto"/>
              <w:ind w:left="43" w:right="0" w:firstLine="0"/>
              <w:jc w:val="left"/>
            </w:pPr>
            <w:r>
              <w:rPr>
                <w:i/>
                <w:sz w:val="18"/>
              </w:rPr>
              <w:t xml:space="preserve">Q4 </w:t>
            </w:r>
          </w:p>
        </w:tc>
      </w:tr>
      <w:tr w:rsidR="00E8309B">
        <w:trPr>
          <w:trHeight w:val="698"/>
        </w:trPr>
        <w:tc>
          <w:tcPr>
            <w:tcW w:w="427" w:type="dxa"/>
            <w:tcBorders>
              <w:top w:val="single" w:sz="4" w:space="0" w:color="000000"/>
              <w:left w:val="single" w:sz="8" w:space="0" w:color="000000"/>
              <w:bottom w:val="single" w:sz="4" w:space="0" w:color="000000"/>
              <w:right w:val="single" w:sz="8" w:space="0" w:color="000000"/>
            </w:tcBorders>
          </w:tcPr>
          <w:p w:rsidR="00E8309B" w:rsidRDefault="009D0949">
            <w:pPr>
              <w:spacing w:after="0" w:line="259" w:lineRule="auto"/>
              <w:ind w:left="0" w:right="51" w:firstLine="0"/>
              <w:jc w:val="right"/>
            </w:pPr>
            <w:r>
              <w:rPr>
                <w:sz w:val="20"/>
              </w:rPr>
              <w:t xml:space="preserve">1 </w:t>
            </w:r>
          </w:p>
        </w:tc>
        <w:tc>
          <w:tcPr>
            <w:tcW w:w="4123" w:type="dxa"/>
            <w:tcBorders>
              <w:top w:val="single" w:sz="4" w:space="0" w:color="000000"/>
              <w:left w:val="single" w:sz="8" w:space="0" w:color="000000"/>
              <w:bottom w:val="single" w:sz="4" w:space="0" w:color="000000"/>
              <w:right w:val="single" w:sz="8" w:space="0" w:color="000000"/>
            </w:tcBorders>
          </w:tcPr>
          <w:p w:rsidR="00E8309B" w:rsidRDefault="009D0949">
            <w:pPr>
              <w:spacing w:after="0" w:line="259" w:lineRule="auto"/>
              <w:ind w:left="0" w:right="0" w:firstLine="0"/>
              <w:jc w:val="left"/>
            </w:pPr>
            <w:r>
              <w:rPr>
                <w:sz w:val="20"/>
              </w:rPr>
              <w:t xml:space="preserve">Повезивање здравствених установа у централни систем електронског здравственог картона </w:t>
            </w:r>
          </w:p>
        </w:tc>
        <w:tc>
          <w:tcPr>
            <w:tcW w:w="419" w:type="dxa"/>
            <w:tcBorders>
              <w:top w:val="single" w:sz="4" w:space="0" w:color="000000"/>
              <w:left w:val="single" w:sz="8" w:space="0" w:color="000000"/>
              <w:bottom w:val="single" w:sz="4" w:space="0" w:color="000000"/>
              <w:right w:val="single" w:sz="4" w:space="0" w:color="000000"/>
            </w:tcBorders>
            <w:shd w:val="clear" w:color="auto" w:fill="D9D9D9"/>
            <w:vAlign w:val="center"/>
          </w:tcPr>
          <w:p w:rsidR="00E8309B" w:rsidRDefault="009D0949">
            <w:pPr>
              <w:spacing w:after="0" w:line="259" w:lineRule="auto"/>
              <w:ind w:left="1" w:right="0" w:firstLine="0"/>
              <w:jc w:val="center"/>
            </w:pPr>
            <w:r>
              <w:rPr>
                <w:sz w:val="20"/>
              </w:rPr>
              <w:t xml:space="preserve"> </w:t>
            </w:r>
          </w:p>
        </w:tc>
        <w:tc>
          <w:tcPr>
            <w:tcW w:w="421"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E8309B" w:rsidRDefault="009D0949">
            <w:pPr>
              <w:spacing w:after="0" w:line="259" w:lineRule="auto"/>
              <w:ind w:left="1" w:right="0" w:firstLine="0"/>
              <w:jc w:val="center"/>
            </w:pPr>
            <w:r>
              <w:rPr>
                <w:sz w:val="20"/>
              </w:rPr>
              <w:t xml:space="preserve"> </w:t>
            </w:r>
          </w:p>
        </w:tc>
        <w:tc>
          <w:tcPr>
            <w:tcW w:w="422"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2" w:right="0" w:firstLine="0"/>
              <w:jc w:val="center"/>
            </w:pPr>
            <w:r>
              <w:rPr>
                <w:sz w:val="20"/>
              </w:rPr>
              <w:t xml:space="preserve"> </w:t>
            </w:r>
          </w:p>
        </w:tc>
        <w:tc>
          <w:tcPr>
            <w:tcW w:w="421" w:type="dxa"/>
            <w:tcBorders>
              <w:top w:val="single" w:sz="4" w:space="0" w:color="000000"/>
              <w:left w:val="single" w:sz="4" w:space="0" w:color="000000"/>
              <w:bottom w:val="single" w:sz="4" w:space="0" w:color="000000"/>
              <w:right w:val="single" w:sz="8" w:space="0" w:color="000000"/>
            </w:tcBorders>
            <w:vAlign w:val="center"/>
          </w:tcPr>
          <w:p w:rsidR="00E8309B" w:rsidRDefault="009D0949">
            <w:pPr>
              <w:spacing w:after="0" w:line="259" w:lineRule="auto"/>
              <w:ind w:left="4" w:right="0" w:firstLine="0"/>
              <w:jc w:val="center"/>
            </w:pPr>
            <w:r>
              <w:rPr>
                <w:sz w:val="20"/>
              </w:rPr>
              <w:t xml:space="preserve"> </w:t>
            </w:r>
          </w:p>
        </w:tc>
        <w:tc>
          <w:tcPr>
            <w:tcW w:w="425" w:type="dxa"/>
            <w:tcBorders>
              <w:top w:val="single" w:sz="4" w:space="0" w:color="000000"/>
              <w:left w:val="single" w:sz="8" w:space="0" w:color="000000"/>
              <w:bottom w:val="single" w:sz="4" w:space="0" w:color="000000"/>
              <w:right w:val="single" w:sz="4" w:space="0" w:color="000000"/>
            </w:tcBorders>
            <w:vAlign w:val="center"/>
          </w:tcPr>
          <w:p w:rsidR="00E8309B" w:rsidRDefault="009D0949">
            <w:pPr>
              <w:spacing w:after="0" w:line="259" w:lineRule="auto"/>
              <w:ind w:left="2" w:right="0" w:firstLine="0"/>
              <w:jc w:val="center"/>
            </w:pPr>
            <w:r>
              <w:rPr>
                <w:sz w:val="20"/>
              </w:rPr>
              <w:t xml:space="preserve"> </w:t>
            </w:r>
          </w:p>
        </w:tc>
        <w:tc>
          <w:tcPr>
            <w:tcW w:w="420"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2" w:right="0" w:firstLine="0"/>
              <w:jc w:val="center"/>
            </w:pPr>
            <w:r>
              <w:rPr>
                <w:sz w:val="20"/>
              </w:rPr>
              <w:t xml:space="preserve"> </w:t>
            </w:r>
          </w:p>
        </w:tc>
        <w:tc>
          <w:tcPr>
            <w:tcW w:w="423"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5" w:right="0" w:firstLine="0"/>
              <w:jc w:val="center"/>
            </w:pPr>
            <w:r>
              <w:rPr>
                <w:sz w:val="20"/>
              </w:rPr>
              <w:t xml:space="preserve"> </w:t>
            </w:r>
          </w:p>
        </w:tc>
        <w:tc>
          <w:tcPr>
            <w:tcW w:w="422" w:type="dxa"/>
            <w:tcBorders>
              <w:top w:val="single" w:sz="4" w:space="0" w:color="000000"/>
              <w:left w:val="single" w:sz="4" w:space="0" w:color="000000"/>
              <w:bottom w:val="single" w:sz="4" w:space="0" w:color="000000"/>
              <w:right w:val="single" w:sz="8" w:space="0" w:color="000000"/>
            </w:tcBorders>
            <w:vAlign w:val="center"/>
          </w:tcPr>
          <w:p w:rsidR="00E8309B" w:rsidRDefault="009D0949">
            <w:pPr>
              <w:spacing w:after="0" w:line="259" w:lineRule="auto"/>
              <w:ind w:left="0" w:right="0" w:firstLine="0"/>
              <w:jc w:val="center"/>
            </w:pPr>
            <w:r>
              <w:rPr>
                <w:sz w:val="20"/>
              </w:rPr>
              <w:t xml:space="preserve"> </w:t>
            </w:r>
          </w:p>
        </w:tc>
        <w:tc>
          <w:tcPr>
            <w:tcW w:w="422" w:type="dxa"/>
            <w:tcBorders>
              <w:top w:val="single" w:sz="4" w:space="0" w:color="000000"/>
              <w:left w:val="single" w:sz="8" w:space="0" w:color="000000"/>
              <w:bottom w:val="single" w:sz="4" w:space="0" w:color="000000"/>
              <w:right w:val="single" w:sz="4" w:space="0" w:color="000000"/>
            </w:tcBorders>
            <w:vAlign w:val="center"/>
          </w:tcPr>
          <w:p w:rsidR="00E8309B" w:rsidRDefault="009D0949">
            <w:pPr>
              <w:spacing w:after="0" w:line="259" w:lineRule="auto"/>
              <w:ind w:left="0" w:right="0" w:firstLine="0"/>
              <w:jc w:val="center"/>
            </w:pPr>
            <w:r>
              <w:rPr>
                <w:sz w:val="20"/>
              </w:rPr>
              <w:t xml:space="preserve"> </w:t>
            </w:r>
          </w:p>
        </w:tc>
        <w:tc>
          <w:tcPr>
            <w:tcW w:w="422"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0" w:right="0" w:firstLine="0"/>
              <w:jc w:val="center"/>
            </w:pPr>
            <w:r>
              <w:rPr>
                <w:sz w:val="20"/>
              </w:rPr>
              <w:t xml:space="preserve"> </w:t>
            </w:r>
          </w:p>
        </w:tc>
        <w:tc>
          <w:tcPr>
            <w:tcW w:w="422"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0" w:right="0" w:firstLine="0"/>
              <w:jc w:val="center"/>
            </w:pPr>
            <w:r>
              <w:rPr>
                <w:sz w:val="20"/>
              </w:rPr>
              <w:t xml:space="preserve"> </w:t>
            </w:r>
          </w:p>
        </w:tc>
        <w:tc>
          <w:tcPr>
            <w:tcW w:w="420" w:type="dxa"/>
            <w:tcBorders>
              <w:top w:val="single" w:sz="4" w:space="0" w:color="000000"/>
              <w:left w:val="single" w:sz="4" w:space="0" w:color="000000"/>
              <w:bottom w:val="single" w:sz="4" w:space="0" w:color="000000"/>
              <w:right w:val="single" w:sz="8" w:space="0" w:color="000000"/>
            </w:tcBorders>
            <w:vAlign w:val="center"/>
          </w:tcPr>
          <w:p w:rsidR="00E8309B" w:rsidRDefault="009D0949">
            <w:pPr>
              <w:spacing w:after="0" w:line="259" w:lineRule="auto"/>
              <w:ind w:left="2" w:right="0" w:firstLine="0"/>
              <w:jc w:val="center"/>
            </w:pPr>
            <w:r>
              <w:rPr>
                <w:sz w:val="20"/>
              </w:rPr>
              <w:t xml:space="preserve"> </w:t>
            </w:r>
          </w:p>
        </w:tc>
      </w:tr>
      <w:tr w:rsidR="00E8309B">
        <w:trPr>
          <w:trHeight w:val="471"/>
        </w:trPr>
        <w:tc>
          <w:tcPr>
            <w:tcW w:w="427" w:type="dxa"/>
            <w:tcBorders>
              <w:top w:val="single" w:sz="4" w:space="0" w:color="000000"/>
              <w:left w:val="single" w:sz="8" w:space="0" w:color="000000"/>
              <w:bottom w:val="single" w:sz="4" w:space="0" w:color="000000"/>
              <w:right w:val="single" w:sz="8" w:space="0" w:color="000000"/>
            </w:tcBorders>
          </w:tcPr>
          <w:p w:rsidR="00E8309B" w:rsidRDefault="009D0949">
            <w:pPr>
              <w:spacing w:after="0" w:line="259" w:lineRule="auto"/>
              <w:ind w:left="0" w:right="51" w:firstLine="0"/>
              <w:jc w:val="right"/>
            </w:pPr>
            <w:r>
              <w:rPr>
                <w:sz w:val="20"/>
              </w:rPr>
              <w:t xml:space="preserve">2 </w:t>
            </w:r>
          </w:p>
        </w:tc>
        <w:tc>
          <w:tcPr>
            <w:tcW w:w="4123" w:type="dxa"/>
            <w:tcBorders>
              <w:top w:val="single" w:sz="4" w:space="0" w:color="000000"/>
              <w:left w:val="single" w:sz="8" w:space="0" w:color="000000"/>
              <w:bottom w:val="single" w:sz="4" w:space="0" w:color="000000"/>
              <w:right w:val="single" w:sz="8" w:space="0" w:color="000000"/>
            </w:tcBorders>
          </w:tcPr>
          <w:p w:rsidR="00E8309B" w:rsidRDefault="009D0949">
            <w:pPr>
              <w:spacing w:after="0" w:line="259" w:lineRule="auto"/>
              <w:ind w:left="0" w:right="0" w:firstLine="0"/>
              <w:jc w:val="left"/>
            </w:pPr>
            <w:r>
              <w:rPr>
                <w:sz w:val="20"/>
              </w:rPr>
              <w:t xml:space="preserve">Успостављање централних електронских здравствених сервиса - еБоловање </w:t>
            </w:r>
          </w:p>
        </w:tc>
        <w:tc>
          <w:tcPr>
            <w:tcW w:w="419" w:type="dxa"/>
            <w:tcBorders>
              <w:top w:val="single" w:sz="4" w:space="0" w:color="000000"/>
              <w:left w:val="single" w:sz="8" w:space="0" w:color="000000"/>
              <w:bottom w:val="single" w:sz="4" w:space="0" w:color="000000"/>
              <w:right w:val="single" w:sz="4" w:space="0" w:color="000000"/>
            </w:tcBorders>
            <w:shd w:val="clear" w:color="auto" w:fill="D9D9D9"/>
            <w:vAlign w:val="center"/>
          </w:tcPr>
          <w:p w:rsidR="00E8309B" w:rsidRDefault="009D0949">
            <w:pPr>
              <w:spacing w:after="0" w:line="259" w:lineRule="auto"/>
              <w:ind w:left="1" w:right="0" w:firstLine="0"/>
              <w:jc w:val="center"/>
            </w:pPr>
            <w:r>
              <w:rPr>
                <w:sz w:val="20"/>
              </w:rPr>
              <w:t xml:space="preserve"> </w:t>
            </w:r>
          </w:p>
        </w:tc>
        <w:tc>
          <w:tcPr>
            <w:tcW w:w="421"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E8309B" w:rsidRDefault="009D0949">
            <w:pPr>
              <w:spacing w:after="0" w:line="259" w:lineRule="auto"/>
              <w:ind w:left="1" w:right="0" w:firstLine="0"/>
              <w:jc w:val="center"/>
            </w:pPr>
            <w:r>
              <w:rPr>
                <w:sz w:val="20"/>
              </w:rPr>
              <w:t xml:space="preserve"> </w:t>
            </w:r>
          </w:p>
        </w:tc>
        <w:tc>
          <w:tcPr>
            <w:tcW w:w="422"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E8309B" w:rsidRDefault="009D0949">
            <w:pPr>
              <w:spacing w:after="0" w:line="259" w:lineRule="auto"/>
              <w:ind w:left="2" w:right="0" w:firstLine="0"/>
              <w:jc w:val="center"/>
            </w:pPr>
            <w:r>
              <w:rPr>
                <w:sz w:val="20"/>
              </w:rPr>
              <w:t xml:space="preserve"> </w:t>
            </w:r>
          </w:p>
        </w:tc>
        <w:tc>
          <w:tcPr>
            <w:tcW w:w="421" w:type="dxa"/>
            <w:tcBorders>
              <w:top w:val="single" w:sz="4" w:space="0" w:color="000000"/>
              <w:left w:val="single" w:sz="4" w:space="0" w:color="000000"/>
              <w:bottom w:val="single" w:sz="4" w:space="0" w:color="000000"/>
              <w:right w:val="single" w:sz="8" w:space="0" w:color="000000"/>
            </w:tcBorders>
            <w:shd w:val="clear" w:color="auto" w:fill="D9D9D9"/>
            <w:vAlign w:val="center"/>
          </w:tcPr>
          <w:p w:rsidR="00E8309B" w:rsidRDefault="009D0949">
            <w:pPr>
              <w:spacing w:after="0" w:line="259" w:lineRule="auto"/>
              <w:ind w:left="4" w:right="0" w:firstLine="0"/>
              <w:jc w:val="center"/>
            </w:pPr>
            <w:r>
              <w:rPr>
                <w:sz w:val="20"/>
              </w:rPr>
              <w:t xml:space="preserve"> </w:t>
            </w:r>
          </w:p>
        </w:tc>
        <w:tc>
          <w:tcPr>
            <w:tcW w:w="425" w:type="dxa"/>
            <w:tcBorders>
              <w:top w:val="single" w:sz="4" w:space="0" w:color="000000"/>
              <w:left w:val="single" w:sz="8" w:space="0" w:color="000000"/>
              <w:bottom w:val="single" w:sz="4" w:space="0" w:color="000000"/>
              <w:right w:val="single" w:sz="4" w:space="0" w:color="000000"/>
            </w:tcBorders>
            <w:vAlign w:val="center"/>
          </w:tcPr>
          <w:p w:rsidR="00E8309B" w:rsidRDefault="009D0949">
            <w:pPr>
              <w:spacing w:after="0" w:line="259" w:lineRule="auto"/>
              <w:ind w:left="2" w:right="0" w:firstLine="0"/>
              <w:jc w:val="center"/>
            </w:pPr>
            <w:r>
              <w:rPr>
                <w:sz w:val="20"/>
              </w:rPr>
              <w:t xml:space="preserve"> </w:t>
            </w:r>
          </w:p>
        </w:tc>
        <w:tc>
          <w:tcPr>
            <w:tcW w:w="420"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2" w:right="0" w:firstLine="0"/>
              <w:jc w:val="center"/>
            </w:pPr>
            <w:r>
              <w:rPr>
                <w:sz w:val="20"/>
              </w:rPr>
              <w:t xml:space="preserve"> </w:t>
            </w:r>
          </w:p>
        </w:tc>
        <w:tc>
          <w:tcPr>
            <w:tcW w:w="423"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5" w:right="0" w:firstLine="0"/>
              <w:jc w:val="center"/>
            </w:pPr>
            <w:r>
              <w:rPr>
                <w:sz w:val="20"/>
              </w:rPr>
              <w:t xml:space="preserve"> </w:t>
            </w:r>
          </w:p>
        </w:tc>
        <w:tc>
          <w:tcPr>
            <w:tcW w:w="422" w:type="dxa"/>
            <w:tcBorders>
              <w:top w:val="single" w:sz="4" w:space="0" w:color="000000"/>
              <w:left w:val="single" w:sz="4" w:space="0" w:color="000000"/>
              <w:bottom w:val="single" w:sz="4" w:space="0" w:color="000000"/>
              <w:right w:val="single" w:sz="8" w:space="0" w:color="000000"/>
            </w:tcBorders>
            <w:vAlign w:val="center"/>
          </w:tcPr>
          <w:p w:rsidR="00E8309B" w:rsidRDefault="009D0949">
            <w:pPr>
              <w:spacing w:after="0" w:line="259" w:lineRule="auto"/>
              <w:ind w:left="0" w:right="0" w:firstLine="0"/>
              <w:jc w:val="center"/>
            </w:pPr>
            <w:r>
              <w:rPr>
                <w:sz w:val="20"/>
              </w:rPr>
              <w:t xml:space="preserve"> </w:t>
            </w:r>
          </w:p>
        </w:tc>
        <w:tc>
          <w:tcPr>
            <w:tcW w:w="422" w:type="dxa"/>
            <w:tcBorders>
              <w:top w:val="single" w:sz="4" w:space="0" w:color="000000"/>
              <w:left w:val="single" w:sz="8" w:space="0" w:color="000000"/>
              <w:bottom w:val="single" w:sz="4" w:space="0" w:color="000000"/>
              <w:right w:val="single" w:sz="4" w:space="0" w:color="000000"/>
            </w:tcBorders>
            <w:vAlign w:val="center"/>
          </w:tcPr>
          <w:p w:rsidR="00E8309B" w:rsidRDefault="009D0949">
            <w:pPr>
              <w:spacing w:after="0" w:line="259" w:lineRule="auto"/>
              <w:ind w:left="0" w:right="0" w:firstLine="0"/>
              <w:jc w:val="center"/>
            </w:pPr>
            <w:r>
              <w:rPr>
                <w:sz w:val="20"/>
              </w:rPr>
              <w:t xml:space="preserve"> </w:t>
            </w:r>
          </w:p>
        </w:tc>
        <w:tc>
          <w:tcPr>
            <w:tcW w:w="422"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0" w:right="0" w:firstLine="0"/>
              <w:jc w:val="center"/>
            </w:pPr>
            <w:r>
              <w:rPr>
                <w:sz w:val="20"/>
              </w:rPr>
              <w:t xml:space="preserve"> </w:t>
            </w:r>
          </w:p>
        </w:tc>
        <w:tc>
          <w:tcPr>
            <w:tcW w:w="422"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0" w:right="0" w:firstLine="0"/>
              <w:jc w:val="center"/>
            </w:pPr>
            <w:r>
              <w:rPr>
                <w:sz w:val="20"/>
              </w:rPr>
              <w:t xml:space="preserve"> </w:t>
            </w:r>
          </w:p>
        </w:tc>
        <w:tc>
          <w:tcPr>
            <w:tcW w:w="420" w:type="dxa"/>
            <w:tcBorders>
              <w:top w:val="single" w:sz="4" w:space="0" w:color="000000"/>
              <w:left w:val="single" w:sz="4" w:space="0" w:color="000000"/>
              <w:bottom w:val="single" w:sz="4" w:space="0" w:color="000000"/>
              <w:right w:val="single" w:sz="8" w:space="0" w:color="000000"/>
            </w:tcBorders>
            <w:vAlign w:val="center"/>
          </w:tcPr>
          <w:p w:rsidR="00E8309B" w:rsidRDefault="009D0949">
            <w:pPr>
              <w:spacing w:after="0" w:line="259" w:lineRule="auto"/>
              <w:ind w:left="2" w:right="0" w:firstLine="0"/>
              <w:jc w:val="center"/>
            </w:pPr>
            <w:r>
              <w:rPr>
                <w:sz w:val="20"/>
              </w:rPr>
              <w:t xml:space="preserve"> </w:t>
            </w:r>
          </w:p>
        </w:tc>
      </w:tr>
      <w:tr w:rsidR="00E8309B">
        <w:trPr>
          <w:trHeight w:val="469"/>
        </w:trPr>
        <w:tc>
          <w:tcPr>
            <w:tcW w:w="427" w:type="dxa"/>
            <w:tcBorders>
              <w:top w:val="single" w:sz="4" w:space="0" w:color="000000"/>
              <w:left w:val="single" w:sz="8" w:space="0" w:color="000000"/>
              <w:bottom w:val="single" w:sz="4" w:space="0" w:color="000000"/>
              <w:right w:val="single" w:sz="8" w:space="0" w:color="000000"/>
            </w:tcBorders>
          </w:tcPr>
          <w:p w:rsidR="00E8309B" w:rsidRDefault="009D0949">
            <w:pPr>
              <w:spacing w:after="0" w:line="259" w:lineRule="auto"/>
              <w:ind w:left="0" w:right="51" w:firstLine="0"/>
              <w:jc w:val="right"/>
            </w:pPr>
            <w:r>
              <w:rPr>
                <w:sz w:val="20"/>
              </w:rPr>
              <w:t xml:space="preserve">3 </w:t>
            </w:r>
          </w:p>
        </w:tc>
        <w:tc>
          <w:tcPr>
            <w:tcW w:w="4123" w:type="dxa"/>
            <w:tcBorders>
              <w:top w:val="single" w:sz="4" w:space="0" w:color="000000"/>
              <w:left w:val="single" w:sz="8" w:space="0" w:color="000000"/>
              <w:bottom w:val="single" w:sz="4" w:space="0" w:color="000000"/>
              <w:right w:val="single" w:sz="8" w:space="0" w:color="000000"/>
            </w:tcBorders>
          </w:tcPr>
          <w:p w:rsidR="00E8309B" w:rsidRDefault="009D0949">
            <w:pPr>
              <w:spacing w:after="0" w:line="259" w:lineRule="auto"/>
              <w:ind w:left="0" w:right="0" w:firstLine="0"/>
              <w:jc w:val="left"/>
            </w:pPr>
            <w:r>
              <w:rPr>
                <w:sz w:val="20"/>
              </w:rPr>
              <w:t xml:space="preserve">Проширење националне платформе за радиолошка снимања </w:t>
            </w:r>
          </w:p>
        </w:tc>
        <w:tc>
          <w:tcPr>
            <w:tcW w:w="419" w:type="dxa"/>
            <w:tcBorders>
              <w:top w:val="single" w:sz="4" w:space="0" w:color="000000"/>
              <w:left w:val="single" w:sz="8" w:space="0" w:color="000000"/>
              <w:bottom w:val="single" w:sz="4" w:space="0" w:color="000000"/>
              <w:right w:val="single" w:sz="4" w:space="0" w:color="000000"/>
            </w:tcBorders>
            <w:shd w:val="clear" w:color="auto" w:fill="D9D9D9"/>
            <w:vAlign w:val="center"/>
          </w:tcPr>
          <w:p w:rsidR="00E8309B" w:rsidRDefault="009D0949">
            <w:pPr>
              <w:spacing w:after="0" w:line="259" w:lineRule="auto"/>
              <w:ind w:left="1" w:right="0" w:firstLine="0"/>
              <w:jc w:val="center"/>
            </w:pPr>
            <w:r>
              <w:rPr>
                <w:sz w:val="20"/>
              </w:rPr>
              <w:t xml:space="preserve"> </w:t>
            </w:r>
          </w:p>
        </w:tc>
        <w:tc>
          <w:tcPr>
            <w:tcW w:w="421"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E8309B" w:rsidRDefault="009D0949">
            <w:pPr>
              <w:spacing w:after="0" w:line="259" w:lineRule="auto"/>
              <w:ind w:left="1" w:right="0" w:firstLine="0"/>
              <w:jc w:val="center"/>
            </w:pPr>
            <w:r>
              <w:rPr>
                <w:sz w:val="20"/>
              </w:rPr>
              <w:t xml:space="preserve"> </w:t>
            </w:r>
          </w:p>
        </w:tc>
        <w:tc>
          <w:tcPr>
            <w:tcW w:w="422"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E8309B" w:rsidRDefault="009D0949">
            <w:pPr>
              <w:spacing w:after="0" w:line="259" w:lineRule="auto"/>
              <w:ind w:left="2" w:right="0" w:firstLine="0"/>
              <w:jc w:val="center"/>
            </w:pPr>
            <w:r>
              <w:rPr>
                <w:sz w:val="20"/>
              </w:rPr>
              <w:t xml:space="preserve"> </w:t>
            </w:r>
          </w:p>
        </w:tc>
        <w:tc>
          <w:tcPr>
            <w:tcW w:w="421" w:type="dxa"/>
            <w:tcBorders>
              <w:top w:val="single" w:sz="4" w:space="0" w:color="000000"/>
              <w:left w:val="single" w:sz="4" w:space="0" w:color="000000"/>
              <w:bottom w:val="single" w:sz="4" w:space="0" w:color="000000"/>
              <w:right w:val="single" w:sz="8" w:space="0" w:color="000000"/>
            </w:tcBorders>
            <w:shd w:val="clear" w:color="auto" w:fill="D9D9D9"/>
            <w:vAlign w:val="center"/>
          </w:tcPr>
          <w:p w:rsidR="00E8309B" w:rsidRDefault="009D0949">
            <w:pPr>
              <w:spacing w:after="0" w:line="259" w:lineRule="auto"/>
              <w:ind w:left="4" w:right="0" w:firstLine="0"/>
              <w:jc w:val="center"/>
            </w:pPr>
            <w:r>
              <w:rPr>
                <w:sz w:val="20"/>
              </w:rPr>
              <w:t xml:space="preserve"> </w:t>
            </w:r>
          </w:p>
        </w:tc>
        <w:tc>
          <w:tcPr>
            <w:tcW w:w="425" w:type="dxa"/>
            <w:tcBorders>
              <w:top w:val="single" w:sz="4" w:space="0" w:color="000000"/>
              <w:left w:val="single" w:sz="8" w:space="0" w:color="000000"/>
              <w:bottom w:val="single" w:sz="4" w:space="0" w:color="000000"/>
              <w:right w:val="single" w:sz="4" w:space="0" w:color="000000"/>
            </w:tcBorders>
            <w:vAlign w:val="center"/>
          </w:tcPr>
          <w:p w:rsidR="00E8309B" w:rsidRDefault="009D0949">
            <w:pPr>
              <w:spacing w:after="0" w:line="259" w:lineRule="auto"/>
              <w:ind w:left="2" w:right="0" w:firstLine="0"/>
              <w:jc w:val="center"/>
            </w:pPr>
            <w:r>
              <w:rPr>
                <w:sz w:val="20"/>
              </w:rPr>
              <w:t xml:space="preserve"> </w:t>
            </w:r>
          </w:p>
        </w:tc>
        <w:tc>
          <w:tcPr>
            <w:tcW w:w="420"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2" w:right="0" w:firstLine="0"/>
              <w:jc w:val="center"/>
            </w:pPr>
            <w:r>
              <w:rPr>
                <w:sz w:val="20"/>
              </w:rPr>
              <w:t xml:space="preserve"> </w:t>
            </w:r>
          </w:p>
        </w:tc>
        <w:tc>
          <w:tcPr>
            <w:tcW w:w="423"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5" w:right="0" w:firstLine="0"/>
              <w:jc w:val="center"/>
            </w:pPr>
            <w:r>
              <w:rPr>
                <w:sz w:val="20"/>
              </w:rPr>
              <w:t xml:space="preserve"> </w:t>
            </w:r>
          </w:p>
        </w:tc>
        <w:tc>
          <w:tcPr>
            <w:tcW w:w="422" w:type="dxa"/>
            <w:tcBorders>
              <w:top w:val="single" w:sz="4" w:space="0" w:color="000000"/>
              <w:left w:val="single" w:sz="4" w:space="0" w:color="000000"/>
              <w:bottom w:val="single" w:sz="4" w:space="0" w:color="000000"/>
              <w:right w:val="single" w:sz="8" w:space="0" w:color="000000"/>
            </w:tcBorders>
            <w:vAlign w:val="center"/>
          </w:tcPr>
          <w:p w:rsidR="00E8309B" w:rsidRDefault="009D0949">
            <w:pPr>
              <w:spacing w:after="0" w:line="259" w:lineRule="auto"/>
              <w:ind w:left="0" w:right="0" w:firstLine="0"/>
              <w:jc w:val="center"/>
            </w:pPr>
            <w:r>
              <w:rPr>
                <w:sz w:val="20"/>
              </w:rPr>
              <w:t xml:space="preserve"> </w:t>
            </w:r>
          </w:p>
        </w:tc>
        <w:tc>
          <w:tcPr>
            <w:tcW w:w="422" w:type="dxa"/>
            <w:tcBorders>
              <w:top w:val="single" w:sz="4" w:space="0" w:color="000000"/>
              <w:left w:val="single" w:sz="8" w:space="0" w:color="000000"/>
              <w:bottom w:val="single" w:sz="4" w:space="0" w:color="000000"/>
              <w:right w:val="single" w:sz="4" w:space="0" w:color="000000"/>
            </w:tcBorders>
            <w:vAlign w:val="center"/>
          </w:tcPr>
          <w:p w:rsidR="00E8309B" w:rsidRDefault="009D0949">
            <w:pPr>
              <w:spacing w:after="0" w:line="259" w:lineRule="auto"/>
              <w:ind w:left="0" w:right="0" w:firstLine="0"/>
              <w:jc w:val="center"/>
            </w:pPr>
            <w:r>
              <w:rPr>
                <w:sz w:val="20"/>
              </w:rPr>
              <w:t xml:space="preserve"> </w:t>
            </w:r>
          </w:p>
        </w:tc>
        <w:tc>
          <w:tcPr>
            <w:tcW w:w="422"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0" w:right="0" w:firstLine="0"/>
              <w:jc w:val="center"/>
            </w:pPr>
            <w:r>
              <w:rPr>
                <w:sz w:val="20"/>
              </w:rPr>
              <w:t xml:space="preserve"> </w:t>
            </w:r>
          </w:p>
        </w:tc>
        <w:tc>
          <w:tcPr>
            <w:tcW w:w="422"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0" w:right="0" w:firstLine="0"/>
              <w:jc w:val="center"/>
            </w:pPr>
            <w:r>
              <w:rPr>
                <w:sz w:val="20"/>
              </w:rPr>
              <w:t xml:space="preserve"> </w:t>
            </w:r>
          </w:p>
        </w:tc>
        <w:tc>
          <w:tcPr>
            <w:tcW w:w="420" w:type="dxa"/>
            <w:tcBorders>
              <w:top w:val="single" w:sz="4" w:space="0" w:color="000000"/>
              <w:left w:val="single" w:sz="4" w:space="0" w:color="000000"/>
              <w:bottom w:val="single" w:sz="4" w:space="0" w:color="000000"/>
              <w:right w:val="single" w:sz="8" w:space="0" w:color="000000"/>
            </w:tcBorders>
            <w:vAlign w:val="center"/>
          </w:tcPr>
          <w:p w:rsidR="00E8309B" w:rsidRDefault="009D0949">
            <w:pPr>
              <w:spacing w:after="0" w:line="259" w:lineRule="auto"/>
              <w:ind w:left="2" w:right="0" w:firstLine="0"/>
              <w:jc w:val="center"/>
            </w:pPr>
            <w:r>
              <w:rPr>
                <w:sz w:val="20"/>
              </w:rPr>
              <w:t xml:space="preserve"> </w:t>
            </w:r>
          </w:p>
        </w:tc>
      </w:tr>
      <w:tr w:rsidR="00E8309B">
        <w:trPr>
          <w:trHeight w:val="467"/>
        </w:trPr>
        <w:tc>
          <w:tcPr>
            <w:tcW w:w="427" w:type="dxa"/>
            <w:tcBorders>
              <w:top w:val="single" w:sz="4" w:space="0" w:color="000000"/>
              <w:left w:val="single" w:sz="8" w:space="0" w:color="000000"/>
              <w:bottom w:val="single" w:sz="4" w:space="0" w:color="000000"/>
              <w:right w:val="single" w:sz="8" w:space="0" w:color="000000"/>
            </w:tcBorders>
          </w:tcPr>
          <w:p w:rsidR="00E8309B" w:rsidRDefault="009D0949">
            <w:pPr>
              <w:spacing w:after="0" w:line="259" w:lineRule="auto"/>
              <w:ind w:left="0" w:right="51" w:firstLine="0"/>
              <w:jc w:val="right"/>
            </w:pPr>
            <w:r>
              <w:rPr>
                <w:sz w:val="20"/>
              </w:rPr>
              <w:t xml:space="preserve">4 </w:t>
            </w:r>
          </w:p>
        </w:tc>
        <w:tc>
          <w:tcPr>
            <w:tcW w:w="4123" w:type="dxa"/>
            <w:tcBorders>
              <w:top w:val="single" w:sz="4" w:space="0" w:color="000000"/>
              <w:left w:val="single" w:sz="8" w:space="0" w:color="000000"/>
              <w:bottom w:val="single" w:sz="4" w:space="0" w:color="000000"/>
              <w:right w:val="single" w:sz="8" w:space="0" w:color="000000"/>
            </w:tcBorders>
          </w:tcPr>
          <w:p w:rsidR="00E8309B" w:rsidRDefault="009D0949">
            <w:pPr>
              <w:spacing w:after="0" w:line="259" w:lineRule="auto"/>
              <w:ind w:left="0" w:right="0" w:firstLine="0"/>
              <w:jc w:val="left"/>
            </w:pPr>
            <w:r>
              <w:rPr>
                <w:sz w:val="20"/>
              </w:rPr>
              <w:t xml:space="preserve">Примена решења на бази вештачке интелигенције у радиологији </w:t>
            </w:r>
          </w:p>
        </w:tc>
        <w:tc>
          <w:tcPr>
            <w:tcW w:w="419" w:type="dxa"/>
            <w:tcBorders>
              <w:top w:val="single" w:sz="4" w:space="0" w:color="000000"/>
              <w:left w:val="single" w:sz="8" w:space="0" w:color="000000"/>
              <w:bottom w:val="single" w:sz="4" w:space="0" w:color="000000"/>
              <w:right w:val="single" w:sz="4" w:space="0" w:color="000000"/>
            </w:tcBorders>
            <w:vAlign w:val="center"/>
          </w:tcPr>
          <w:p w:rsidR="00E8309B" w:rsidRDefault="009D0949">
            <w:pPr>
              <w:spacing w:after="0" w:line="259" w:lineRule="auto"/>
              <w:ind w:left="4" w:right="0" w:firstLine="0"/>
              <w:jc w:val="center"/>
            </w:pPr>
            <w:r>
              <w:rPr>
                <w:sz w:val="20"/>
              </w:rPr>
              <w:t xml:space="preserve"> </w:t>
            </w:r>
          </w:p>
        </w:tc>
        <w:tc>
          <w:tcPr>
            <w:tcW w:w="421"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0" w:right="0" w:firstLine="0"/>
              <w:jc w:val="center"/>
            </w:pPr>
            <w:r>
              <w:rPr>
                <w:sz w:val="20"/>
              </w:rPr>
              <w:t xml:space="preserve"> </w:t>
            </w:r>
          </w:p>
        </w:tc>
        <w:tc>
          <w:tcPr>
            <w:tcW w:w="422"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E8309B" w:rsidRDefault="009D0949">
            <w:pPr>
              <w:spacing w:after="0" w:line="259" w:lineRule="auto"/>
              <w:ind w:left="1" w:right="0" w:firstLine="0"/>
              <w:jc w:val="center"/>
            </w:pPr>
            <w:r>
              <w:rPr>
                <w:sz w:val="20"/>
              </w:rPr>
              <w:t xml:space="preserve"> </w:t>
            </w:r>
          </w:p>
        </w:tc>
        <w:tc>
          <w:tcPr>
            <w:tcW w:w="421" w:type="dxa"/>
            <w:tcBorders>
              <w:top w:val="single" w:sz="4" w:space="0" w:color="000000"/>
              <w:left w:val="single" w:sz="4" w:space="0" w:color="000000"/>
              <w:bottom w:val="single" w:sz="4" w:space="0" w:color="000000"/>
              <w:right w:val="single" w:sz="8" w:space="0" w:color="000000"/>
            </w:tcBorders>
            <w:shd w:val="clear" w:color="auto" w:fill="D9D9D9"/>
            <w:vAlign w:val="center"/>
          </w:tcPr>
          <w:p w:rsidR="00E8309B" w:rsidRDefault="009D0949">
            <w:pPr>
              <w:spacing w:after="0" w:line="259" w:lineRule="auto"/>
              <w:ind w:left="4" w:right="0" w:firstLine="0"/>
              <w:jc w:val="center"/>
            </w:pPr>
            <w:r>
              <w:rPr>
                <w:sz w:val="20"/>
              </w:rPr>
              <w:t xml:space="preserve"> </w:t>
            </w:r>
          </w:p>
        </w:tc>
        <w:tc>
          <w:tcPr>
            <w:tcW w:w="425" w:type="dxa"/>
            <w:tcBorders>
              <w:top w:val="single" w:sz="4" w:space="0" w:color="000000"/>
              <w:left w:val="single" w:sz="8" w:space="0" w:color="000000"/>
              <w:bottom w:val="single" w:sz="4" w:space="0" w:color="000000"/>
              <w:right w:val="single" w:sz="4" w:space="0" w:color="000000"/>
            </w:tcBorders>
            <w:shd w:val="clear" w:color="auto" w:fill="D9D9D9"/>
            <w:vAlign w:val="center"/>
          </w:tcPr>
          <w:p w:rsidR="00E8309B" w:rsidRDefault="009D0949">
            <w:pPr>
              <w:spacing w:after="0" w:line="259" w:lineRule="auto"/>
              <w:ind w:left="4" w:right="0" w:firstLine="0"/>
              <w:jc w:val="center"/>
            </w:pPr>
            <w:r>
              <w:rPr>
                <w:sz w:val="20"/>
              </w:rPr>
              <w:t xml:space="preserve"> </w:t>
            </w:r>
          </w:p>
        </w:tc>
        <w:tc>
          <w:tcPr>
            <w:tcW w:w="420"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E8309B" w:rsidRDefault="009D0949">
            <w:pPr>
              <w:spacing w:after="0" w:line="259" w:lineRule="auto"/>
              <w:ind w:left="4" w:right="0" w:firstLine="0"/>
              <w:jc w:val="center"/>
            </w:pPr>
            <w:r>
              <w:rPr>
                <w:sz w:val="20"/>
              </w:rPr>
              <w:t xml:space="preserve"> </w:t>
            </w:r>
          </w:p>
        </w:tc>
        <w:tc>
          <w:tcPr>
            <w:tcW w:w="423"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5" w:right="0" w:firstLine="0"/>
              <w:jc w:val="center"/>
            </w:pPr>
            <w:r>
              <w:rPr>
                <w:sz w:val="20"/>
              </w:rPr>
              <w:t xml:space="preserve"> </w:t>
            </w:r>
          </w:p>
        </w:tc>
        <w:tc>
          <w:tcPr>
            <w:tcW w:w="422" w:type="dxa"/>
            <w:tcBorders>
              <w:top w:val="single" w:sz="4" w:space="0" w:color="000000"/>
              <w:left w:val="single" w:sz="4" w:space="0" w:color="000000"/>
              <w:bottom w:val="single" w:sz="4" w:space="0" w:color="000000"/>
              <w:right w:val="single" w:sz="8" w:space="0" w:color="000000"/>
            </w:tcBorders>
            <w:vAlign w:val="center"/>
          </w:tcPr>
          <w:p w:rsidR="00E8309B" w:rsidRDefault="009D0949">
            <w:pPr>
              <w:spacing w:after="0" w:line="259" w:lineRule="auto"/>
              <w:ind w:left="0" w:right="0" w:firstLine="0"/>
              <w:jc w:val="center"/>
            </w:pPr>
            <w:r>
              <w:rPr>
                <w:sz w:val="20"/>
              </w:rPr>
              <w:t xml:space="preserve"> </w:t>
            </w:r>
          </w:p>
        </w:tc>
        <w:tc>
          <w:tcPr>
            <w:tcW w:w="422" w:type="dxa"/>
            <w:tcBorders>
              <w:top w:val="single" w:sz="4" w:space="0" w:color="000000"/>
              <w:left w:val="single" w:sz="8" w:space="0" w:color="000000"/>
              <w:bottom w:val="single" w:sz="4" w:space="0" w:color="000000"/>
              <w:right w:val="single" w:sz="4" w:space="0" w:color="000000"/>
            </w:tcBorders>
            <w:vAlign w:val="center"/>
          </w:tcPr>
          <w:p w:rsidR="00E8309B" w:rsidRDefault="009D0949">
            <w:pPr>
              <w:spacing w:after="0" w:line="259" w:lineRule="auto"/>
              <w:ind w:left="0" w:right="0" w:firstLine="0"/>
              <w:jc w:val="center"/>
            </w:pPr>
            <w:r>
              <w:rPr>
                <w:sz w:val="20"/>
              </w:rPr>
              <w:t xml:space="preserve"> </w:t>
            </w:r>
          </w:p>
        </w:tc>
        <w:tc>
          <w:tcPr>
            <w:tcW w:w="422"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0" w:right="0" w:firstLine="0"/>
              <w:jc w:val="center"/>
            </w:pPr>
            <w:r>
              <w:rPr>
                <w:sz w:val="20"/>
              </w:rPr>
              <w:t xml:space="preserve"> </w:t>
            </w:r>
          </w:p>
        </w:tc>
        <w:tc>
          <w:tcPr>
            <w:tcW w:w="422"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0" w:right="0" w:firstLine="0"/>
              <w:jc w:val="center"/>
            </w:pPr>
            <w:r>
              <w:rPr>
                <w:sz w:val="20"/>
              </w:rPr>
              <w:t xml:space="preserve"> </w:t>
            </w:r>
          </w:p>
        </w:tc>
        <w:tc>
          <w:tcPr>
            <w:tcW w:w="420" w:type="dxa"/>
            <w:tcBorders>
              <w:top w:val="single" w:sz="4" w:space="0" w:color="000000"/>
              <w:left w:val="single" w:sz="4" w:space="0" w:color="000000"/>
              <w:bottom w:val="single" w:sz="4" w:space="0" w:color="000000"/>
              <w:right w:val="single" w:sz="8" w:space="0" w:color="000000"/>
            </w:tcBorders>
            <w:vAlign w:val="center"/>
          </w:tcPr>
          <w:p w:rsidR="00E8309B" w:rsidRDefault="009D0949">
            <w:pPr>
              <w:spacing w:after="0" w:line="259" w:lineRule="auto"/>
              <w:ind w:left="2" w:right="0" w:firstLine="0"/>
              <w:jc w:val="center"/>
            </w:pPr>
            <w:r>
              <w:rPr>
                <w:sz w:val="20"/>
              </w:rPr>
              <w:t xml:space="preserve"> </w:t>
            </w:r>
          </w:p>
        </w:tc>
      </w:tr>
    </w:tbl>
    <w:p w:rsidR="00E8309B" w:rsidRDefault="009D0949">
      <w:pPr>
        <w:numPr>
          <w:ilvl w:val="0"/>
          <w:numId w:val="50"/>
        </w:numPr>
        <w:spacing w:after="0" w:line="271" w:lineRule="auto"/>
        <w:ind w:right="9" w:hanging="427"/>
      </w:pPr>
      <w:r>
        <w:rPr>
          <w:b/>
        </w:rPr>
        <w:t xml:space="preserve">Индикатори рeзултата </w:t>
      </w:r>
    </w:p>
    <w:tbl>
      <w:tblPr>
        <w:tblStyle w:val="TableGrid"/>
        <w:tblW w:w="9635" w:type="dxa"/>
        <w:tblInd w:w="5" w:type="dxa"/>
        <w:tblCellMar>
          <w:top w:w="49" w:type="dxa"/>
          <w:left w:w="110" w:type="dxa"/>
          <w:bottom w:w="0" w:type="dxa"/>
          <w:right w:w="56" w:type="dxa"/>
        </w:tblCellMar>
        <w:tblLook w:val="04A0" w:firstRow="1" w:lastRow="0" w:firstColumn="1" w:lastColumn="0" w:noHBand="0" w:noVBand="1"/>
      </w:tblPr>
      <w:tblGrid>
        <w:gridCol w:w="4107"/>
        <w:gridCol w:w="1841"/>
        <w:gridCol w:w="1844"/>
        <w:gridCol w:w="1843"/>
      </w:tblGrid>
      <w:tr w:rsidR="00E8309B">
        <w:trPr>
          <w:trHeight w:val="470"/>
        </w:trPr>
        <w:tc>
          <w:tcPr>
            <w:tcW w:w="4107"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0" w:right="0" w:firstLine="0"/>
              <w:jc w:val="left"/>
            </w:pPr>
            <w:r>
              <w:rPr>
                <w:b/>
                <w:sz w:val="20"/>
              </w:rPr>
              <w:t xml:space="preserve">Показатељ </w:t>
            </w:r>
          </w:p>
        </w:tc>
        <w:tc>
          <w:tcPr>
            <w:tcW w:w="1841"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44" w:right="49" w:firstLine="0"/>
              <w:jc w:val="right"/>
            </w:pPr>
            <w:r>
              <w:rPr>
                <w:b/>
                <w:sz w:val="20"/>
              </w:rPr>
              <w:t xml:space="preserve">Почетна вредност (2019) </w:t>
            </w:r>
          </w:p>
        </w:tc>
        <w:tc>
          <w:tcPr>
            <w:tcW w:w="1844"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50" w:firstLine="0"/>
              <w:jc w:val="right"/>
            </w:pPr>
            <w:r>
              <w:rPr>
                <w:b/>
                <w:sz w:val="20"/>
              </w:rPr>
              <w:t xml:space="preserve">Међурезултат (2020) </w:t>
            </w:r>
          </w:p>
        </w:tc>
        <w:tc>
          <w:tcPr>
            <w:tcW w:w="1843"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49" w:firstLine="0"/>
              <w:jc w:val="right"/>
            </w:pPr>
            <w:r>
              <w:rPr>
                <w:b/>
                <w:sz w:val="20"/>
              </w:rPr>
              <w:t xml:space="preserve">Циљна вредност (2021) </w:t>
            </w:r>
          </w:p>
        </w:tc>
      </w:tr>
      <w:tr w:rsidR="00E8309B">
        <w:trPr>
          <w:trHeight w:val="470"/>
        </w:trPr>
        <w:tc>
          <w:tcPr>
            <w:tcW w:w="4107"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0" w:firstLine="0"/>
              <w:jc w:val="left"/>
            </w:pPr>
            <w:r>
              <w:rPr>
                <w:sz w:val="20"/>
              </w:rPr>
              <w:t xml:space="preserve">Број установа које користе електронски здравствени картон </w:t>
            </w:r>
          </w:p>
        </w:tc>
        <w:tc>
          <w:tcPr>
            <w:tcW w:w="1841"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0" w:right="51" w:firstLine="0"/>
              <w:jc w:val="right"/>
            </w:pPr>
            <w:r>
              <w:rPr>
                <w:sz w:val="20"/>
              </w:rPr>
              <w:t xml:space="preserve">0 </w:t>
            </w:r>
          </w:p>
        </w:tc>
        <w:tc>
          <w:tcPr>
            <w:tcW w:w="1844"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0" w:right="49" w:firstLine="0"/>
              <w:jc w:val="right"/>
            </w:pPr>
            <w:r>
              <w:rPr>
                <w:sz w:val="20"/>
              </w:rPr>
              <w:t xml:space="preserve">40 </w:t>
            </w:r>
          </w:p>
        </w:tc>
        <w:tc>
          <w:tcPr>
            <w:tcW w:w="1843"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0" w:right="49" w:firstLine="0"/>
              <w:jc w:val="right"/>
            </w:pPr>
            <w:r>
              <w:rPr>
                <w:sz w:val="20"/>
              </w:rPr>
              <w:t xml:space="preserve">225 </w:t>
            </w:r>
          </w:p>
        </w:tc>
      </w:tr>
      <w:tr w:rsidR="00E8309B">
        <w:trPr>
          <w:trHeight w:val="470"/>
        </w:trPr>
        <w:tc>
          <w:tcPr>
            <w:tcW w:w="4107"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0" w:firstLine="0"/>
              <w:jc w:val="left"/>
            </w:pPr>
            <w:r>
              <w:rPr>
                <w:sz w:val="20"/>
              </w:rPr>
              <w:t xml:space="preserve">Број здравствених </w:t>
            </w:r>
            <w:r>
              <w:rPr>
                <w:sz w:val="20"/>
              </w:rPr>
              <w:tab/>
              <w:t>установа у систему еРадиологије</w:t>
            </w:r>
            <w:r>
              <w:rPr>
                <w:b/>
                <w:sz w:val="20"/>
              </w:rPr>
              <w:t xml:space="preserve"> </w:t>
            </w:r>
          </w:p>
        </w:tc>
        <w:tc>
          <w:tcPr>
            <w:tcW w:w="1841"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0" w:right="49" w:firstLine="0"/>
              <w:jc w:val="right"/>
            </w:pPr>
            <w:r>
              <w:rPr>
                <w:sz w:val="20"/>
              </w:rPr>
              <w:t xml:space="preserve">60 </w:t>
            </w:r>
          </w:p>
        </w:tc>
        <w:tc>
          <w:tcPr>
            <w:tcW w:w="1844"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0" w:right="49" w:firstLine="0"/>
              <w:jc w:val="right"/>
            </w:pPr>
            <w:r>
              <w:rPr>
                <w:sz w:val="20"/>
              </w:rPr>
              <w:t xml:space="preserve">150 </w:t>
            </w:r>
          </w:p>
        </w:tc>
        <w:tc>
          <w:tcPr>
            <w:tcW w:w="1843"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0" w:right="49" w:firstLine="0"/>
              <w:jc w:val="right"/>
            </w:pPr>
            <w:r>
              <w:rPr>
                <w:sz w:val="20"/>
              </w:rPr>
              <w:t xml:space="preserve">225 </w:t>
            </w:r>
          </w:p>
        </w:tc>
      </w:tr>
      <w:tr w:rsidR="00E8309B">
        <w:trPr>
          <w:trHeight w:val="470"/>
        </w:trPr>
        <w:tc>
          <w:tcPr>
            <w:tcW w:w="4107"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0" w:firstLine="0"/>
            </w:pPr>
            <w:r>
              <w:rPr>
                <w:sz w:val="20"/>
              </w:rPr>
              <w:t>Број радиолога који приступају снимцима са било које локације у Србији</w:t>
            </w:r>
            <w:r>
              <w:rPr>
                <w:b/>
                <w:sz w:val="20"/>
              </w:rPr>
              <w:t xml:space="preserve"> </w:t>
            </w:r>
          </w:p>
        </w:tc>
        <w:tc>
          <w:tcPr>
            <w:tcW w:w="1841"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0" w:right="51" w:firstLine="0"/>
              <w:jc w:val="right"/>
            </w:pPr>
            <w:r>
              <w:rPr>
                <w:sz w:val="20"/>
              </w:rPr>
              <w:t>0</w:t>
            </w:r>
            <w:r>
              <w:rPr>
                <w:b/>
                <w:sz w:val="20"/>
              </w:rPr>
              <w:t xml:space="preserve"> </w:t>
            </w:r>
          </w:p>
        </w:tc>
        <w:tc>
          <w:tcPr>
            <w:tcW w:w="1844"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0" w:right="49" w:firstLine="0"/>
              <w:jc w:val="right"/>
            </w:pPr>
            <w:r>
              <w:rPr>
                <w:sz w:val="20"/>
              </w:rPr>
              <w:t>180</w:t>
            </w:r>
            <w:r>
              <w:rPr>
                <w:b/>
                <w:sz w:val="20"/>
              </w:rPr>
              <w:t xml:space="preserve"> </w:t>
            </w:r>
          </w:p>
        </w:tc>
        <w:tc>
          <w:tcPr>
            <w:tcW w:w="1843"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0" w:right="49" w:firstLine="0"/>
              <w:jc w:val="right"/>
            </w:pPr>
            <w:r>
              <w:rPr>
                <w:sz w:val="20"/>
              </w:rPr>
              <w:t>250</w:t>
            </w:r>
            <w:r>
              <w:rPr>
                <w:b/>
                <w:sz w:val="20"/>
              </w:rPr>
              <w:t xml:space="preserve"> </w:t>
            </w:r>
          </w:p>
        </w:tc>
      </w:tr>
    </w:tbl>
    <w:p w:rsidR="00E8309B" w:rsidRDefault="009D0949">
      <w:pPr>
        <w:numPr>
          <w:ilvl w:val="0"/>
          <w:numId w:val="50"/>
        </w:numPr>
        <w:spacing w:after="127" w:line="271" w:lineRule="auto"/>
        <w:ind w:right="9" w:hanging="427"/>
      </w:pPr>
      <w:r>
        <w:rPr>
          <w:b/>
        </w:rPr>
        <w:t xml:space="preserve">Очекивани утицај на конкурентност </w:t>
      </w:r>
    </w:p>
    <w:p w:rsidR="00E8309B" w:rsidRDefault="009D0949">
      <w:pPr>
        <w:spacing w:after="160"/>
        <w:ind w:left="-5" w:right="17"/>
      </w:pPr>
      <w:r>
        <w:t xml:space="preserve">Није релевантно за област „Социјална заштита и инклузија, укључујући здравствену заштиту“. </w:t>
      </w:r>
    </w:p>
    <w:p w:rsidR="00E8309B" w:rsidRDefault="009D0949">
      <w:pPr>
        <w:numPr>
          <w:ilvl w:val="0"/>
          <w:numId w:val="50"/>
        </w:numPr>
        <w:spacing w:after="79" w:line="271" w:lineRule="auto"/>
        <w:ind w:right="9" w:hanging="427"/>
      </w:pPr>
      <w:r>
        <w:rPr>
          <w:b/>
        </w:rPr>
        <w:t xml:space="preserve">Процењени трошкови спровођења структурне реформе и предвиђени извори њиховог финансирања </w:t>
      </w:r>
    </w:p>
    <w:p w:rsidR="00E8309B" w:rsidRDefault="009D0949">
      <w:pPr>
        <w:spacing w:after="145" w:line="269" w:lineRule="auto"/>
        <w:ind w:left="-5" w:right="0"/>
        <w:jc w:val="left"/>
      </w:pPr>
      <w:r>
        <w:t>За све наведене активности средства су обезбеђена у оквиру буџета Министарства здравља за 2021. годину. Имплементација Електронског здравственог картона је започета у 2020. години и за то нису потребна средства у 2021. години. За активност увођења еБоловањ</w:t>
      </w:r>
      <w:r>
        <w:t xml:space="preserve">а опредељено је 1.500.000 евра; за проширивање националне платформе за радиолошка снимања 2 милиона евра; за примену решења на бази вештачке интелигенције у области радиологије издвојено је 1 милион евра. </w:t>
      </w:r>
    </w:p>
    <w:p w:rsidR="00E8309B" w:rsidRDefault="009D0949">
      <w:pPr>
        <w:numPr>
          <w:ilvl w:val="0"/>
          <w:numId w:val="50"/>
        </w:numPr>
        <w:spacing w:after="79" w:line="271" w:lineRule="auto"/>
        <w:ind w:right="9" w:hanging="427"/>
      </w:pPr>
      <w:r>
        <w:rPr>
          <w:b/>
        </w:rPr>
        <w:t>Очекивани утицај на социјалне циљеве, као што су з</w:t>
      </w:r>
      <w:r>
        <w:rPr>
          <w:b/>
        </w:rPr>
        <w:t xml:space="preserve">апосленост, смањење сиромаштва, једнакост и род </w:t>
      </w:r>
    </w:p>
    <w:p w:rsidR="00E8309B" w:rsidRDefault="009D0949">
      <w:pPr>
        <w:spacing w:after="159"/>
        <w:ind w:left="-5" w:right="17"/>
      </w:pPr>
      <w:r>
        <w:t xml:space="preserve">Имплементација планираних активности ће унапредити приступ здравственој заштити примарно коришћењем електронског здравственог картона. Пацијенти ће бити информисанији у вези са својим здравственим подацима, </w:t>
      </w:r>
      <w:r>
        <w:t xml:space="preserve">као и о сервисима које им здравствени систем омогућава и пружа. </w:t>
      </w:r>
    </w:p>
    <w:p w:rsidR="00E8309B" w:rsidRDefault="009D0949">
      <w:pPr>
        <w:numPr>
          <w:ilvl w:val="0"/>
          <w:numId w:val="50"/>
        </w:numPr>
        <w:spacing w:after="126" w:line="271" w:lineRule="auto"/>
        <w:ind w:right="9" w:hanging="427"/>
      </w:pPr>
      <w:r>
        <w:rPr>
          <w:b/>
        </w:rPr>
        <w:t xml:space="preserve">Очекивани утицај на животну средину </w:t>
      </w:r>
    </w:p>
    <w:p w:rsidR="00E8309B" w:rsidRDefault="009D0949">
      <w:pPr>
        <w:spacing w:after="155"/>
        <w:ind w:left="-5" w:right="17"/>
      </w:pPr>
      <w:r>
        <w:t xml:space="preserve">Структурна реформа неће имати утицаја на животну средину.  </w:t>
      </w:r>
    </w:p>
    <w:p w:rsidR="00E8309B" w:rsidRDefault="009D0949">
      <w:pPr>
        <w:numPr>
          <w:ilvl w:val="0"/>
          <w:numId w:val="50"/>
        </w:numPr>
        <w:spacing w:after="0" w:line="271" w:lineRule="auto"/>
        <w:ind w:right="9" w:hanging="427"/>
      </w:pPr>
      <w:r>
        <w:rPr>
          <w:b/>
        </w:rPr>
        <w:t xml:space="preserve">Потенцијални ризици </w:t>
      </w:r>
    </w:p>
    <w:tbl>
      <w:tblPr>
        <w:tblStyle w:val="TableGrid"/>
        <w:tblW w:w="9696" w:type="dxa"/>
        <w:tblInd w:w="0" w:type="dxa"/>
        <w:tblCellMar>
          <w:top w:w="46" w:type="dxa"/>
          <w:left w:w="108" w:type="dxa"/>
          <w:bottom w:w="0" w:type="dxa"/>
          <w:right w:w="128" w:type="dxa"/>
        </w:tblCellMar>
        <w:tblLook w:val="04A0" w:firstRow="1" w:lastRow="0" w:firstColumn="1" w:lastColumn="0" w:noHBand="0" w:noVBand="1"/>
      </w:tblPr>
      <w:tblGrid>
        <w:gridCol w:w="3330"/>
        <w:gridCol w:w="2201"/>
        <w:gridCol w:w="4165"/>
      </w:tblGrid>
      <w:tr w:rsidR="00E8309B">
        <w:trPr>
          <w:trHeight w:val="470"/>
        </w:trPr>
        <w:tc>
          <w:tcPr>
            <w:tcW w:w="3330"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0" w:right="0" w:firstLine="0"/>
              <w:jc w:val="left"/>
            </w:pPr>
            <w:r>
              <w:rPr>
                <w:b/>
                <w:sz w:val="20"/>
              </w:rPr>
              <w:t xml:space="preserve">Ризик </w:t>
            </w:r>
          </w:p>
        </w:tc>
        <w:tc>
          <w:tcPr>
            <w:tcW w:w="2201"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2" w:right="0" w:firstLine="0"/>
              <w:jc w:val="left"/>
            </w:pPr>
            <w:r>
              <w:rPr>
                <w:b/>
                <w:sz w:val="20"/>
              </w:rPr>
              <w:t xml:space="preserve">Вероватноћа за остваривање ризика </w:t>
            </w:r>
          </w:p>
        </w:tc>
        <w:tc>
          <w:tcPr>
            <w:tcW w:w="4165"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0" w:firstLine="0"/>
              <w:jc w:val="left"/>
            </w:pPr>
            <w:r>
              <w:rPr>
                <w:b/>
                <w:sz w:val="20"/>
              </w:rPr>
              <w:t>Активност за ублажавање негатив</w:t>
            </w:r>
            <w:r>
              <w:rPr>
                <w:b/>
                <w:sz w:val="20"/>
              </w:rPr>
              <w:t xml:space="preserve">них ефеката ризика </w:t>
            </w:r>
          </w:p>
        </w:tc>
      </w:tr>
      <w:tr w:rsidR="00E8309B">
        <w:trPr>
          <w:trHeight w:val="699"/>
        </w:trPr>
        <w:tc>
          <w:tcPr>
            <w:tcW w:w="3330"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54" w:firstLine="0"/>
            </w:pPr>
            <w:r>
              <w:rPr>
                <w:sz w:val="20"/>
              </w:rPr>
              <w:t xml:space="preserve">Потенцијална неусаглашеност многобројних актера у процесу реализације комплексних пројеката </w:t>
            </w:r>
          </w:p>
        </w:tc>
        <w:tc>
          <w:tcPr>
            <w:tcW w:w="2201"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2" w:right="0" w:firstLine="0"/>
              <w:jc w:val="left"/>
            </w:pPr>
            <w:r>
              <w:rPr>
                <w:sz w:val="20"/>
              </w:rPr>
              <w:t xml:space="preserve">Ниска </w:t>
            </w:r>
          </w:p>
        </w:tc>
        <w:tc>
          <w:tcPr>
            <w:tcW w:w="4165"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0" w:firstLine="0"/>
              <w:jc w:val="left"/>
            </w:pPr>
            <w:r>
              <w:rPr>
                <w:sz w:val="20"/>
              </w:rPr>
              <w:t xml:space="preserve">Креирање ефикасних механизама стратешке и тактичке координације у реализацији пројеката </w:t>
            </w:r>
          </w:p>
        </w:tc>
      </w:tr>
    </w:tbl>
    <w:p w:rsidR="00E8309B" w:rsidRDefault="009D0949">
      <w:pPr>
        <w:spacing w:after="0" w:line="259" w:lineRule="auto"/>
        <w:ind w:left="0" w:right="0" w:firstLine="0"/>
        <w:jc w:val="left"/>
      </w:pPr>
      <w:r>
        <w:t xml:space="preserve"> </w:t>
      </w:r>
    </w:p>
    <w:p w:rsidR="00E8309B" w:rsidRDefault="009D0949">
      <w:pPr>
        <w:spacing w:after="12" w:line="259" w:lineRule="auto"/>
        <w:ind w:left="0" w:right="0" w:firstLine="0"/>
        <w:jc w:val="left"/>
      </w:pPr>
      <w:r>
        <w:t xml:space="preserve"> </w:t>
      </w:r>
    </w:p>
    <w:p w:rsidR="00E8309B" w:rsidRDefault="009D0949">
      <w:pPr>
        <w:spacing w:after="0" w:line="259" w:lineRule="auto"/>
        <w:ind w:left="0" w:right="0" w:firstLine="0"/>
        <w:jc w:val="left"/>
      </w:pPr>
      <w:r>
        <w:rPr>
          <w:b/>
        </w:rPr>
        <w:t xml:space="preserve"> </w:t>
      </w:r>
      <w:r>
        <w:rPr>
          <w:b/>
        </w:rPr>
        <w:tab/>
        <w:t xml:space="preserve"> </w:t>
      </w:r>
    </w:p>
    <w:p w:rsidR="00E8309B" w:rsidRDefault="009D0949">
      <w:pPr>
        <w:pStyle w:val="Heading1"/>
        <w:ind w:left="271" w:hanging="286"/>
      </w:pPr>
      <w:r>
        <w:t xml:space="preserve">ТРОШКОВИ И ФИНАНСИРАЊЕ СТРУКТУРНИХ РЕФОРМИ </w:t>
      </w:r>
    </w:p>
    <w:p w:rsidR="00E8309B" w:rsidRDefault="009D0949">
      <w:pPr>
        <w:spacing w:after="100"/>
        <w:ind w:left="-5" w:right="17"/>
      </w:pPr>
      <w:r>
        <w:t>Додатни трошкови спровођења структурних реформи у периоду 2021-2023. година износе 2,39 милијарди евра у односу на базну годину пре почетка сваке појединачне реформе. По годинама, додатни трошкови спровођења стру</w:t>
      </w:r>
      <w:r>
        <w:t xml:space="preserve">ктурних реформи износе у 2021. години 583,50 милиона евра, за 2022. годину укупно 650,49 милиона евра и у 2023. години износе 1,15 милијарди евра. </w:t>
      </w:r>
    </w:p>
    <w:p w:rsidR="00E8309B" w:rsidRDefault="009D0949">
      <w:pPr>
        <w:spacing w:after="136"/>
        <w:ind w:left="-5" w:right="17"/>
      </w:pPr>
      <w:r>
        <w:t xml:space="preserve">У структури трошкова реформских мера у наредном трогодишњем периоду доминирају добра и услуге са учешћем од </w:t>
      </w:r>
      <w:r>
        <w:t>59,87% у укупним трошковима, затим капитални расходи са 33,97% у укупним трошковима, субвенције и трансфери са 4,25%, као и плате са учешћем од 1,91%. Посматрано са становишта извора финансирања у периоду 2021-2023. године кључни извор додатног финансирања</w:t>
      </w:r>
      <w:r>
        <w:t xml:space="preserve"> структурних реформи чине средства пројектних кредита са учешћем од 60,14%, затим следе ИПА средства која представљају 20,15% свих расположивих извора, као и буџет централног нивоа са учешћем од 14,3%. Локални буџети и други домаћи извори финансирања имају</w:t>
      </w:r>
      <w:r>
        <w:t xml:space="preserve"> занемарљиво учешће у укупном додатном финансирању структурних реформи у наредном трогодишњем периоду (њихово појединачно учешће је испод 1,5% укупних средстава). Удео извора који треба тек да се утврде за финансирање структурних реформи износи 3,96% и одн</w:t>
      </w:r>
      <w:r>
        <w:t xml:space="preserve">осе се на финансирање структурних реформи у периоду 20222023. године. </w:t>
      </w:r>
    </w:p>
    <w:p w:rsidR="00E8309B" w:rsidRDefault="009D0949">
      <w:pPr>
        <w:spacing w:after="135"/>
        <w:ind w:left="-5" w:right="17"/>
      </w:pPr>
      <w:r>
        <w:t xml:space="preserve">Финaнсиjскa срeдствa зa спрoвoђeњe структурних рeфoрми у 2021. гoдини плaнирaнa су у склaду сa Зaкoнoм o буџeту зa 2021. гoдину („Сл. гласник РС“, бр. 149 од 11. децембра 2020. године) </w:t>
      </w:r>
      <w:r>
        <w:t xml:space="preserve">средствима буџета и кредита, приливимa из дoнaциja или из других извoрa.  </w:t>
      </w:r>
    </w:p>
    <w:p w:rsidR="00E8309B" w:rsidRDefault="009D0949">
      <w:pPr>
        <w:spacing w:after="99"/>
        <w:ind w:left="-5" w:right="17"/>
      </w:pPr>
      <w:r>
        <w:t>Финaнсиjскa срeдствa из буџeтa Рeпубликe Србиje зa спрoвoђeњe структурних рeфoрми у 2022. и 2023. гoдини морају бити планирана у склaду сa дoдeљeним лимитимa зa нoсиoцe истих у тoку</w:t>
      </w:r>
      <w:r>
        <w:t xml:space="preserve"> буџeтскe прoцeдурe. Због одржања фискалне стабилности oбeзбeђивaњe дoдaтних финaнсиjских срeдстaвa зa спрoвoђeњe структурних рeфoрми у 2022. и 2023. гoдини је ограничено и мора бити у складу са билaнсним мoгућнoстима буџета.  </w:t>
      </w:r>
    </w:p>
    <w:p w:rsidR="00E8309B" w:rsidRDefault="009D0949">
      <w:pPr>
        <w:spacing w:after="145"/>
        <w:ind w:left="-5" w:right="17"/>
      </w:pPr>
      <w:r>
        <w:t xml:space="preserve">Реализација структурних реформи зависиће од обезбеђености финансијских средстава у годишњим законима о буџету. </w:t>
      </w:r>
    </w:p>
    <w:p w:rsidR="00E8309B" w:rsidRDefault="009D0949">
      <w:pPr>
        <w:spacing w:after="278"/>
        <w:ind w:left="-5" w:right="17"/>
      </w:pPr>
      <w:r>
        <w:t>Детаљне информације о додатним трошковима спровођења сваке појединачне структурне реформе на буџет и потенцијалном небуџетском финансирању прика</w:t>
      </w:r>
      <w:r>
        <w:t xml:space="preserve">зани су у Табелaма 10а и 10б у прилогу. </w:t>
      </w:r>
    </w:p>
    <w:p w:rsidR="00E8309B" w:rsidRDefault="009D0949">
      <w:pPr>
        <w:pStyle w:val="Heading1"/>
        <w:ind w:left="-5"/>
      </w:pPr>
      <w:r>
        <w:t xml:space="preserve">ИНСТИТУЦИОНАЛНА </w:t>
      </w:r>
      <w:r>
        <w:tab/>
        <w:t xml:space="preserve">ПИТАЊА </w:t>
      </w:r>
      <w:r>
        <w:tab/>
        <w:t xml:space="preserve">И </w:t>
      </w:r>
      <w:r>
        <w:tab/>
        <w:t xml:space="preserve">УКЉУЧИВАЊЕ ЗАИНТЕРЕСОВАНИХ СТРАНА </w:t>
      </w:r>
    </w:p>
    <w:p w:rsidR="00E8309B" w:rsidRDefault="009D0949">
      <w:pPr>
        <w:spacing w:after="103"/>
        <w:ind w:left="-5" w:right="17"/>
      </w:pPr>
      <w:r>
        <w:t>Активности на изради Програма економских реформи (ЕРП) за период  2021-2023. годинa почеле су средином 2020. године, одмах након усвајања Заједничких за</w:t>
      </w:r>
      <w:r>
        <w:t>кључака економског и финансијског дијалога између ЕУ и Западног Балкана и Турске, на састанку ЕКОФИН Савета 19. маја 2020. године одржаног онлајн и добијања нових смерница Европске комисије за израду ЕРП 2021-2023. Нове смернице Европске комисије упућују н</w:t>
      </w:r>
      <w:r>
        <w:t>а већи број области на које је потребно обратити додатну пажњу приликом формулисања структурних мера, као што је планирање одрживог опоравка у доба пандемије, зелена и дигитална трансформација као фактор конкурентности; социјална заштита, посебно здравстве</w:t>
      </w:r>
      <w:r>
        <w:t xml:space="preserve">на заштита, допринос реализацији регионалне сарадње и испуњењу економских критеријума за чланство у ЕУ, као и веза са ИПА III. Због општих превентивних мера услед пандемије, састанци и обуке у седмом циклусу припреме ЕРП су се одржавали путем електронских </w:t>
      </w:r>
      <w:r>
        <w:t xml:space="preserve">платформи. </w:t>
      </w:r>
    </w:p>
    <w:p w:rsidR="00E8309B" w:rsidRDefault="009D0949">
      <w:pPr>
        <w:spacing w:after="6"/>
        <w:ind w:left="-5" w:right="17"/>
      </w:pPr>
      <w:r>
        <w:t xml:space="preserve">Република Србија има развијену структуру интерресорне координације ЕРП. Закључком </w:t>
      </w:r>
    </w:p>
    <w:p w:rsidR="00E8309B" w:rsidRDefault="009D0949">
      <w:pPr>
        <w:spacing w:after="150"/>
        <w:ind w:left="-5" w:right="17"/>
      </w:pPr>
      <w:r>
        <w:t xml:space="preserve">Владе Републике Србије од 28. августа 2018. године, министар финансија Синиша Мали је именован за националног координатора и руководиоца Радне групе за израду и </w:t>
      </w:r>
      <w:r>
        <w:t xml:space="preserve">праћење спрoвођења ЕРП. Решењем министра финансија је 18. јула 2019. године образована Радна група за израду и праћење спровођења Програма економских реформи. У Прилогу 2 се налази списак институција које су учествовале у изради ЕРП 2021-2023. </w:t>
      </w:r>
    </w:p>
    <w:p w:rsidR="00E8309B" w:rsidRDefault="009D0949">
      <w:pPr>
        <w:spacing w:after="151"/>
        <w:ind w:left="-5" w:right="17"/>
      </w:pPr>
      <w:r>
        <w:t>У складу са</w:t>
      </w:r>
      <w:r>
        <w:t xml:space="preserve"> већ успостављеном праксом, први део документа који се односи на макрофискални оквир, израдили су Министарство финансија и Народна банка Србије и у највећој мери се ослања на Фискалну стратегију за 2021. годину са пројекцијама за 2022. и 2023. годину. Рад </w:t>
      </w:r>
      <w:r>
        <w:t xml:space="preserve">на припреми садржаја осталих поглавља овог документа која се односе на структурне реформе координирали су Министарство финансија и Републички секретаријат за јавне политике.  </w:t>
      </w:r>
    </w:p>
    <w:p w:rsidR="00E8309B" w:rsidRDefault="009D0949">
      <w:pPr>
        <w:spacing w:after="150"/>
        <w:ind w:left="-5" w:right="17"/>
      </w:pPr>
      <w:r>
        <w:t>Седми циклус израде ЕРП за период 2021-2023. година је почео 13. јула 2020. годи</w:t>
      </w:r>
      <w:r>
        <w:t>не, одржавањем уводног састанка и онлајн курса на тему „Интеграција структурних реформи у буџет“ у оквиру које су представљене Смернице Европске комисије за израду ЕРП 2021-2023, образац за припрему описа структурних реформи и методологија за процену трошк</w:t>
      </w:r>
      <w:r>
        <w:t>ова спровођења структурних реформи. Такође се дискутовало о резултатима постигнутим у претходном периоду, препорукама ЕКОФИН Савета и даљим активностима. Овом догађају су присуствовали ЕРП координатори из ресорних министарстава и осталих релевантних инстит</w:t>
      </w:r>
      <w:r>
        <w:t xml:space="preserve">уција Републике Србије, као и представници Европске комисије и Делегације ЕУ, а организован је уз подршку регионалног ИПА пројекта „Јачање капацитета линијских министарстава за процену фискалних утицаја структурних реформи - FISR“ који имплементира Центар </w:t>
      </w:r>
      <w:r>
        <w:t>за развој финансија (Сenter of Еxcellence in Finance - CEF, Словенија) и пројекта српско–немачке развојне сарадње „Подршка реформи јавне управе“ који спроводи Немачка организација за међународну сарадњу (Deutsche Gesellschaft für Internationale Zusammenarb</w:t>
      </w:r>
      <w:r>
        <w:t xml:space="preserve">eit - GIZ).  </w:t>
      </w:r>
    </w:p>
    <w:p w:rsidR="00E8309B" w:rsidRDefault="009D0949">
      <w:pPr>
        <w:spacing w:after="103"/>
        <w:ind w:left="-5" w:right="17"/>
      </w:pPr>
      <w:r>
        <w:t>Током састанака одржаних 24. и 25. септембра 2020. године дискутован је садржај и обухват нацрта мера структурних реформи у оквиру Радне групе ЕРП координатора. Прелиминарна листа структурних реформи за период 2021-2023. je формирана на основ</w:t>
      </w:r>
      <w:r>
        <w:t>у предлога релевантних институција, поводом чега је одржан и већи број састанака са надлежним ресорима и Радном групом ЕРП координатора. Активности које су уследиле су се односиле на ажурирање дијагностике у свим реформским областима и прикупљање информаци</w:t>
      </w:r>
      <w:r>
        <w:t xml:space="preserve">ја о реализацији приоритетних структурних реформи за период 2020-2022. година.  </w:t>
      </w:r>
    </w:p>
    <w:p w:rsidR="00E8309B" w:rsidRDefault="009D0949">
      <w:pPr>
        <w:spacing w:after="102"/>
        <w:ind w:left="-5" w:right="17"/>
      </w:pPr>
      <w:r>
        <w:t>Регионални састанак ЕРП координатора са представницима Европске комисије, а уз подршку ЦЕФ из Љубљане, на коме су презентирана досадашња искуства и нове смернице за израду ЕРП</w:t>
      </w:r>
      <w:r>
        <w:t xml:space="preserve">, одржан је онлајн 15. и 16. септембра 2020. године.  </w:t>
      </w:r>
    </w:p>
    <w:p w:rsidR="00E8309B" w:rsidRDefault="009D0949">
      <w:pPr>
        <w:spacing w:after="99"/>
        <w:ind w:left="-5" w:right="17"/>
      </w:pPr>
      <w:r>
        <w:t xml:space="preserve">Као и до сада и у седмом циклусу израде ЕРП посебна пажња је била усмерена на консултације са заинтересованим странама, које су и  за ЕРП 2021-2023 обављене у два циклуса онлајн консултација.  </w:t>
      </w:r>
    </w:p>
    <w:p w:rsidR="00E8309B" w:rsidRDefault="009D0949">
      <w:pPr>
        <w:spacing w:after="150"/>
        <w:ind w:left="-5" w:right="17"/>
      </w:pPr>
      <w:r>
        <w:t>У Беогр</w:t>
      </w:r>
      <w:r>
        <w:t xml:space="preserve">аду је 17. септембра 2020. године, у организацији Центра за европске политике (ЦЕП), НАЛЕД, портала </w:t>
      </w:r>
      <w:r>
        <w:rPr>
          <w:i/>
        </w:rPr>
        <w:t xml:space="preserve">European Western Balkans </w:t>
      </w:r>
      <w:r>
        <w:t>и Националног конвента о ЕУ организован састанак „Доручак са новинарима о Програму економских реформи“, на коме су узели учешће пре</w:t>
      </w:r>
      <w:r>
        <w:t>дставници МФ и РСЈП (</w:t>
      </w:r>
      <w:hyperlink r:id="rId157">
        <w:r>
          <w:rPr>
            <w:color w:val="0563C1"/>
            <w:u w:val="single" w:color="0563C1"/>
          </w:rPr>
          <w:t>https://cep.org.rs/dorucak</w:t>
        </w:r>
      </w:hyperlink>
      <w:hyperlink r:id="rId158">
        <w:r>
          <w:rPr>
            <w:color w:val="0563C1"/>
            <w:u w:val="single" w:color="0563C1"/>
          </w:rPr>
          <w:t>-</w:t>
        </w:r>
      </w:hyperlink>
      <w:hyperlink r:id="rId159">
        <w:r>
          <w:rPr>
            <w:color w:val="0563C1"/>
            <w:u w:val="single" w:color="0563C1"/>
          </w:rPr>
          <w:t>sa</w:t>
        </w:r>
      </w:hyperlink>
      <w:hyperlink r:id="rId160">
        <w:r>
          <w:rPr>
            <w:color w:val="0563C1"/>
            <w:u w:val="single" w:color="0563C1"/>
          </w:rPr>
          <w:t>-</w:t>
        </w:r>
      </w:hyperlink>
      <w:hyperlink r:id="rId161">
        <w:r>
          <w:rPr>
            <w:color w:val="0563C1"/>
            <w:u w:val="single" w:color="0563C1"/>
          </w:rPr>
          <w:t>novinarima</w:t>
        </w:r>
      </w:hyperlink>
      <w:hyperlink r:id="rId162">
        <w:r>
          <w:rPr>
            <w:color w:val="0563C1"/>
            <w:u w:val="single" w:color="0563C1"/>
          </w:rPr>
          <w:t>-</w:t>
        </w:r>
      </w:hyperlink>
      <w:hyperlink r:id="rId163">
        <w:r>
          <w:rPr>
            <w:color w:val="0563C1"/>
            <w:u w:val="single" w:color="0563C1"/>
          </w:rPr>
          <w:t>na</w:t>
        </w:r>
      </w:hyperlink>
      <w:hyperlink r:id="rId164">
        <w:r>
          <w:rPr>
            <w:color w:val="0563C1"/>
            <w:u w:val="single" w:color="0563C1"/>
          </w:rPr>
          <w:t>-</w:t>
        </w:r>
      </w:hyperlink>
      <w:hyperlink r:id="rId165">
        <w:r>
          <w:rPr>
            <w:color w:val="0563C1"/>
            <w:u w:val="single" w:color="0563C1"/>
          </w:rPr>
          <w:t>temu</w:t>
        </w:r>
      </w:hyperlink>
      <w:hyperlink r:id="rId166">
        <w:r>
          <w:rPr>
            <w:color w:val="0563C1"/>
            <w:u w:val="single" w:color="0563C1"/>
          </w:rPr>
          <w:t>-</w:t>
        </w:r>
      </w:hyperlink>
      <w:hyperlink r:id="rId167">
        <w:r>
          <w:rPr>
            <w:color w:val="0563C1"/>
            <w:u w:val="single" w:color="0563C1"/>
          </w:rPr>
          <w:t>erp</w:t>
        </w:r>
      </w:hyperlink>
      <w:hyperlink r:id="rId168">
        <w:r>
          <w:rPr>
            <w:color w:val="0563C1"/>
            <w:u w:val="single" w:color="0563C1"/>
          </w:rPr>
          <w:t>-</w:t>
        </w:r>
      </w:hyperlink>
      <w:hyperlink r:id="rId169">
        <w:r>
          <w:rPr>
            <w:color w:val="0563C1"/>
            <w:u w:val="single" w:color="0563C1"/>
          </w:rPr>
          <w:t>a</w:t>
        </w:r>
      </w:hyperlink>
      <w:hyperlink r:id="rId170">
        <w:r>
          <w:rPr>
            <w:color w:val="0563C1"/>
            <w:u w:val="single" w:color="0563C1"/>
          </w:rPr>
          <w:t>-</w:t>
        </w:r>
      </w:hyperlink>
      <w:hyperlink r:id="rId171">
        <w:r>
          <w:rPr>
            <w:color w:val="0563C1"/>
            <w:u w:val="single" w:color="0563C1"/>
          </w:rPr>
          <w:t>opasnost</w:t>
        </w:r>
      </w:hyperlink>
      <w:hyperlink r:id="rId172"/>
      <w:hyperlink r:id="rId173">
        <w:r>
          <w:rPr>
            <w:color w:val="0563C1"/>
            <w:u w:val="single" w:color="0563C1"/>
          </w:rPr>
          <w:t>zanemarivanja</w:t>
        </w:r>
      </w:hyperlink>
      <w:hyperlink r:id="rId174">
        <w:r>
          <w:rPr>
            <w:color w:val="0563C1"/>
            <w:u w:val="single" w:color="0563C1"/>
          </w:rPr>
          <w:t>-</w:t>
        </w:r>
      </w:hyperlink>
      <w:hyperlink r:id="rId175">
        <w:r>
          <w:rPr>
            <w:color w:val="0563C1"/>
            <w:u w:val="single" w:color="0563C1"/>
          </w:rPr>
          <w:t>ekonomski</w:t>
        </w:r>
        <w:r>
          <w:rPr>
            <w:color w:val="0563C1"/>
            <w:u w:val="single" w:color="0563C1"/>
          </w:rPr>
          <w:t>h</w:t>
        </w:r>
      </w:hyperlink>
      <w:hyperlink r:id="rId176">
        <w:r>
          <w:rPr>
            <w:color w:val="0563C1"/>
            <w:u w:val="single" w:color="0563C1"/>
          </w:rPr>
          <w:t>-</w:t>
        </w:r>
      </w:hyperlink>
      <w:hyperlink r:id="rId177">
        <w:r>
          <w:rPr>
            <w:color w:val="0563C1"/>
            <w:u w:val="single" w:color="0563C1"/>
          </w:rPr>
          <w:t>tema</w:t>
        </w:r>
      </w:hyperlink>
      <w:hyperlink r:id="rId178">
        <w:r>
          <w:rPr>
            <w:color w:val="0563C1"/>
            <w:u w:val="single" w:color="0563C1"/>
          </w:rPr>
          <w:t>-</w:t>
        </w:r>
      </w:hyperlink>
      <w:hyperlink r:id="rId179">
        <w:r>
          <w:rPr>
            <w:color w:val="0563C1"/>
            <w:u w:val="single" w:color="0563C1"/>
          </w:rPr>
          <w:t>u</w:t>
        </w:r>
      </w:hyperlink>
      <w:hyperlink r:id="rId180">
        <w:r>
          <w:rPr>
            <w:color w:val="0563C1"/>
            <w:u w:val="single" w:color="0563C1"/>
          </w:rPr>
          <w:t>-</w:t>
        </w:r>
      </w:hyperlink>
      <w:hyperlink r:id="rId181">
        <w:r>
          <w:rPr>
            <w:color w:val="0563C1"/>
            <w:u w:val="single" w:color="0563C1"/>
          </w:rPr>
          <w:t>procesu</w:t>
        </w:r>
      </w:hyperlink>
      <w:hyperlink r:id="rId182">
        <w:r>
          <w:rPr>
            <w:color w:val="0563C1"/>
            <w:u w:val="single" w:color="0563C1"/>
          </w:rPr>
          <w:t>-</w:t>
        </w:r>
      </w:hyperlink>
      <w:hyperlink r:id="rId183">
        <w:r>
          <w:rPr>
            <w:color w:val="0563C1"/>
            <w:u w:val="single" w:color="0563C1"/>
          </w:rPr>
          <w:t>pristupanja/</w:t>
        </w:r>
      </w:hyperlink>
      <w:hyperlink r:id="rId184">
        <w:r>
          <w:t>)</w:t>
        </w:r>
      </w:hyperlink>
      <w:r>
        <w:t xml:space="preserve">. </w:t>
      </w:r>
    </w:p>
    <w:p w:rsidR="00E8309B" w:rsidRDefault="009D0949">
      <w:pPr>
        <w:spacing w:after="137"/>
        <w:ind w:left="-5" w:right="17"/>
      </w:pPr>
      <w:r>
        <w:t>Процес свеобухватних ко</w:t>
      </w:r>
      <w:r>
        <w:t>нсултација је почео у периоду од 5. до 18. октобра 2020. године, када је прелиминарна листа изабраних структурних реформи стављена на увид широј јавности на веб-сајту Министарства финансија, Републичког секретаријата за јавне политике и Владе Републике Срб</w:t>
      </w:r>
      <w:r>
        <w:t xml:space="preserve">ије </w:t>
      </w:r>
      <w:hyperlink r:id="rId185">
        <w:r>
          <w:t>(</w:t>
        </w:r>
      </w:hyperlink>
      <w:hyperlink r:id="rId186">
        <w:r>
          <w:rPr>
            <w:color w:val="0563C1"/>
            <w:u w:val="single" w:color="0563C1"/>
          </w:rPr>
          <w:t>https://www.srbija.gov.rs/vest/490045/preliminarna</w:t>
        </w:r>
      </w:hyperlink>
      <w:hyperlink r:id="rId187">
        <w:r>
          <w:rPr>
            <w:color w:val="0563C1"/>
            <w:u w:val="single" w:color="0563C1"/>
          </w:rPr>
          <w:t>-</w:t>
        </w:r>
      </w:hyperlink>
      <w:hyperlink r:id="rId188">
        <w:r>
          <w:rPr>
            <w:color w:val="0563C1"/>
            <w:u w:val="single" w:color="0563C1"/>
          </w:rPr>
          <w:t>lista</w:t>
        </w:r>
      </w:hyperlink>
      <w:hyperlink r:id="rId189">
        <w:r>
          <w:rPr>
            <w:color w:val="0563C1"/>
            <w:u w:val="single" w:color="0563C1"/>
          </w:rPr>
          <w:t>-</w:t>
        </w:r>
      </w:hyperlink>
      <w:hyperlink r:id="rId190">
        <w:r>
          <w:rPr>
            <w:color w:val="0563C1"/>
            <w:u w:val="single" w:color="0563C1"/>
          </w:rPr>
          <w:t>strukturnih</w:t>
        </w:r>
      </w:hyperlink>
      <w:hyperlink r:id="rId191">
        <w:r>
          <w:rPr>
            <w:color w:val="0563C1"/>
            <w:u w:val="single" w:color="0563C1"/>
          </w:rPr>
          <w:t>-</w:t>
        </w:r>
      </w:hyperlink>
      <w:hyperlink r:id="rId192">
        <w:r>
          <w:rPr>
            <w:color w:val="0563C1"/>
            <w:u w:val="single" w:color="0563C1"/>
          </w:rPr>
          <w:t>reformi</w:t>
        </w:r>
      </w:hyperlink>
      <w:hyperlink r:id="rId193"/>
      <w:hyperlink r:id="rId194">
        <w:r>
          <w:rPr>
            <w:color w:val="0563C1"/>
            <w:u w:val="single" w:color="0563C1"/>
          </w:rPr>
          <w:t>za</w:t>
        </w:r>
      </w:hyperlink>
      <w:hyperlink r:id="rId195">
        <w:r>
          <w:rPr>
            <w:color w:val="0563C1"/>
            <w:u w:val="single" w:color="0563C1"/>
          </w:rPr>
          <w:t>-</w:t>
        </w:r>
      </w:hyperlink>
      <w:hyperlink r:id="rId196">
        <w:r>
          <w:rPr>
            <w:color w:val="0563C1"/>
            <w:u w:val="single" w:color="0563C1"/>
          </w:rPr>
          <w:t>erp</w:t>
        </w:r>
      </w:hyperlink>
      <w:hyperlink r:id="rId197">
        <w:r>
          <w:rPr>
            <w:color w:val="0563C1"/>
            <w:u w:val="single" w:color="0563C1"/>
          </w:rPr>
          <w:t>-</w:t>
        </w:r>
      </w:hyperlink>
      <w:hyperlink r:id="rId198">
        <w:r>
          <w:rPr>
            <w:color w:val="0563C1"/>
            <w:u w:val="single" w:color="0563C1"/>
          </w:rPr>
          <w:t>stavljena</w:t>
        </w:r>
      </w:hyperlink>
      <w:hyperlink r:id="rId199">
        <w:r>
          <w:rPr>
            <w:color w:val="0563C1"/>
            <w:u w:val="single" w:color="0563C1"/>
          </w:rPr>
          <w:t>-</w:t>
        </w:r>
      </w:hyperlink>
      <w:hyperlink r:id="rId200">
        <w:r>
          <w:rPr>
            <w:color w:val="0563C1"/>
            <w:u w:val="single" w:color="0563C1"/>
          </w:rPr>
          <w:t>na</w:t>
        </w:r>
      </w:hyperlink>
      <w:hyperlink r:id="rId201">
        <w:r>
          <w:rPr>
            <w:color w:val="0563C1"/>
            <w:u w:val="single" w:color="0563C1"/>
          </w:rPr>
          <w:t>-</w:t>
        </w:r>
      </w:hyperlink>
      <w:hyperlink r:id="rId202">
        <w:r>
          <w:rPr>
            <w:color w:val="0563C1"/>
            <w:u w:val="single" w:color="0563C1"/>
          </w:rPr>
          <w:t>uvid</w:t>
        </w:r>
      </w:hyperlink>
      <w:hyperlink r:id="rId203">
        <w:r>
          <w:rPr>
            <w:color w:val="0563C1"/>
            <w:u w:val="single" w:color="0563C1"/>
          </w:rPr>
          <w:t>-</w:t>
        </w:r>
      </w:hyperlink>
      <w:hyperlink r:id="rId204">
        <w:r>
          <w:rPr>
            <w:color w:val="0563C1"/>
            <w:u w:val="single" w:color="0563C1"/>
          </w:rPr>
          <w:t>javnosti.php</w:t>
        </w:r>
      </w:hyperlink>
      <w:hyperlink r:id="rId205">
        <w:r>
          <w:rPr>
            <w:color w:val="0563C1"/>
            <w:u w:val="single" w:color="0563C1"/>
          </w:rPr>
          <w:t>)</w:t>
        </w:r>
      </w:hyperlink>
      <w:r>
        <w:t>. Седница Међуресорске радне групе Националног конвента о ЕУ за Програм економских рефо</w:t>
      </w:r>
      <w:r>
        <w:t>рми је одржана 14. октобра 2020. године на којој је разматрана прелиминарна листа структурних реформи за ЕРП 2021-2023, након чега су достављени коментари Министарству финанансија (коментари НКЕУ и одговори налазе се у Прилогу 1).</w:t>
      </w:r>
      <w:r>
        <w:rPr>
          <w:rFonts w:ascii="Calibri" w:eastAsia="Calibri" w:hAnsi="Calibri" w:cs="Calibri"/>
          <w:sz w:val="22"/>
        </w:rPr>
        <w:t xml:space="preserve">  </w:t>
      </w:r>
    </w:p>
    <w:p w:rsidR="00E8309B" w:rsidRDefault="009D0949">
      <w:pPr>
        <w:spacing w:after="103"/>
        <w:ind w:left="-5" w:right="17"/>
      </w:pPr>
      <w:r>
        <w:t>У новембру 2020. године</w:t>
      </w:r>
      <w:r>
        <w:t xml:space="preserve"> је отпочео рад на процени трошкова структурних реформи, у складу са новом методологијом за процену трошкова и извора финансирања појединачних структурних реформи и одржана онлајн радионица за представнике Радне групе за израду и праћење ЕРП 30. новембра и</w:t>
      </w:r>
      <w:r>
        <w:t xml:space="preserve"> 1. децембра 2020. године, која је организована уз подршку регионалног ИПА пројекта „Јачање капацитета линијских министарстава за процену фискалних утицаја структурних реформи“ који имплементира CEF. Рад на овом сегменту документа је финализиран у децембру</w:t>
      </w:r>
      <w:r>
        <w:t xml:space="preserve">, након што је у децембру 2020. усвојен Закон о буџету за 2021. годину. </w:t>
      </w:r>
    </w:p>
    <w:p w:rsidR="00E8309B" w:rsidRDefault="009D0949">
      <w:pPr>
        <w:spacing w:after="147"/>
        <w:ind w:left="-5" w:right="17"/>
      </w:pPr>
      <w:r>
        <w:t>Састанци са представницима Европске комисије и Делегације ЕУ и институцијама РС надлежним за појединачне области ЕРП, на којима је са учесницима у процесу израде овог документа дискутовано о испуњењу препорука ЕКОФИН Савета, као и основним изазовима из  ЕР</w:t>
      </w:r>
      <w:r>
        <w:t xml:space="preserve">П оцене ЕК, одржан је онлајн 27. новембра 2020. године.  </w:t>
      </w:r>
    </w:p>
    <w:p w:rsidR="00E8309B" w:rsidRDefault="009D0949">
      <w:pPr>
        <w:ind w:left="-5" w:right="17"/>
      </w:pPr>
      <w:r>
        <w:t xml:space="preserve">У другом циклусу консултација први нацрт целокупног документа ЕРП 2021-2023 стављен је на увид јавности од 13. децембра 2020. године такође на веб-сајту Министарства финансија, </w:t>
      </w:r>
    </w:p>
    <w:p w:rsidR="00E8309B" w:rsidRDefault="009D0949">
      <w:pPr>
        <w:tabs>
          <w:tab w:val="center" w:pos="2353"/>
          <w:tab w:val="center" w:pos="3495"/>
          <w:tab w:val="center" w:pos="4197"/>
          <w:tab w:val="center" w:pos="5272"/>
          <w:tab w:val="center" w:pos="6151"/>
          <w:tab w:val="center" w:pos="6863"/>
          <w:tab w:val="center" w:pos="8049"/>
          <w:tab w:val="right" w:pos="9665"/>
        </w:tabs>
        <w:spacing w:after="6"/>
        <w:ind w:left="-15" w:right="0" w:firstLine="0"/>
        <w:jc w:val="left"/>
      </w:pPr>
      <w:r>
        <w:t xml:space="preserve">Републичког </w:t>
      </w:r>
      <w:r>
        <w:tab/>
        <w:t>секрета</w:t>
      </w:r>
      <w:r>
        <w:t xml:space="preserve">ријата </w:t>
      </w:r>
      <w:r>
        <w:tab/>
        <w:t xml:space="preserve">за </w:t>
      </w:r>
      <w:r>
        <w:tab/>
        <w:t xml:space="preserve">јавне </w:t>
      </w:r>
      <w:r>
        <w:tab/>
        <w:t xml:space="preserve">политике </w:t>
      </w:r>
      <w:r>
        <w:tab/>
        <w:t xml:space="preserve">и </w:t>
      </w:r>
      <w:r>
        <w:tab/>
        <w:t xml:space="preserve">Владе </w:t>
      </w:r>
      <w:r>
        <w:tab/>
        <w:t xml:space="preserve">Републике </w:t>
      </w:r>
      <w:r>
        <w:tab/>
        <w:t xml:space="preserve">Србије </w:t>
      </w:r>
    </w:p>
    <w:p w:rsidR="00E8309B" w:rsidRDefault="009D0949">
      <w:pPr>
        <w:spacing w:after="102"/>
        <w:ind w:left="-5" w:right="17"/>
      </w:pPr>
      <w:hyperlink r:id="rId206">
        <w:r>
          <w:t>(</w:t>
        </w:r>
      </w:hyperlink>
      <w:hyperlink r:id="rId207">
        <w:r>
          <w:rPr>
            <w:color w:val="0563C1"/>
            <w:u w:val="single" w:color="0563C1"/>
          </w:rPr>
          <w:t>https://www.mfin.gov.rs/propisi/nacrt</w:t>
        </w:r>
      </w:hyperlink>
      <w:hyperlink r:id="rId208">
        <w:r>
          <w:rPr>
            <w:color w:val="0563C1"/>
            <w:u w:val="single" w:color="0563C1"/>
          </w:rPr>
          <w:t>-</w:t>
        </w:r>
      </w:hyperlink>
      <w:hyperlink r:id="rId209">
        <w:r>
          <w:rPr>
            <w:color w:val="0563C1"/>
            <w:u w:val="single" w:color="0563C1"/>
          </w:rPr>
          <w:t>programa</w:t>
        </w:r>
      </w:hyperlink>
      <w:hyperlink r:id="rId210">
        <w:r>
          <w:rPr>
            <w:color w:val="0563C1"/>
            <w:u w:val="single" w:color="0563C1"/>
          </w:rPr>
          <w:t>-</w:t>
        </w:r>
      </w:hyperlink>
      <w:hyperlink r:id="rId211">
        <w:r>
          <w:rPr>
            <w:color w:val="0563C1"/>
            <w:u w:val="single" w:color="0563C1"/>
          </w:rPr>
          <w:t>ekonomskih</w:t>
        </w:r>
      </w:hyperlink>
      <w:hyperlink r:id="rId212">
        <w:r>
          <w:rPr>
            <w:color w:val="0563C1"/>
            <w:u w:val="single" w:color="0563C1"/>
          </w:rPr>
          <w:t>-</w:t>
        </w:r>
      </w:hyperlink>
      <w:hyperlink r:id="rId213">
        <w:r>
          <w:rPr>
            <w:color w:val="0563C1"/>
            <w:u w:val="single" w:color="0563C1"/>
          </w:rPr>
          <w:t>reformi</w:t>
        </w:r>
      </w:hyperlink>
      <w:hyperlink r:id="rId214">
        <w:r>
          <w:rPr>
            <w:color w:val="0563C1"/>
            <w:u w:val="single" w:color="0563C1"/>
          </w:rPr>
          <w:t>-</w:t>
        </w:r>
      </w:hyperlink>
      <w:hyperlink r:id="rId215">
        <w:r>
          <w:rPr>
            <w:color w:val="0563C1"/>
            <w:u w:val="single" w:color="0563C1"/>
          </w:rPr>
          <w:t>erp</w:t>
        </w:r>
      </w:hyperlink>
      <w:hyperlink r:id="rId216">
        <w:r>
          <w:rPr>
            <w:color w:val="0563C1"/>
            <w:u w:val="single" w:color="0563C1"/>
          </w:rPr>
          <w:t>-</w:t>
        </w:r>
      </w:hyperlink>
      <w:hyperlink r:id="rId217">
        <w:r>
          <w:rPr>
            <w:color w:val="0563C1"/>
            <w:u w:val="single" w:color="0563C1"/>
          </w:rPr>
          <w:t>2021</w:t>
        </w:r>
      </w:hyperlink>
      <w:hyperlink r:id="rId218">
        <w:r>
          <w:rPr>
            <w:color w:val="0563C1"/>
            <w:u w:val="single" w:color="0563C1"/>
          </w:rPr>
          <w:t>-</w:t>
        </w:r>
      </w:hyperlink>
      <w:hyperlink r:id="rId219">
        <w:r>
          <w:rPr>
            <w:color w:val="0563C1"/>
            <w:u w:val="single" w:color="0563C1"/>
          </w:rPr>
          <w:t>2023/</w:t>
        </w:r>
      </w:hyperlink>
      <w:hyperlink r:id="rId220">
        <w:r>
          <w:rPr>
            <w:color w:val="0563C1"/>
            <w:u w:val="single" w:color="0563C1"/>
          </w:rPr>
          <w:t>)</w:t>
        </w:r>
      </w:hyperlink>
      <w:r>
        <w:t xml:space="preserve">. На овај начин су све заинтересоване стране имале прилику да својим коментарима допринесу унапређењу документа.  </w:t>
      </w:r>
    </w:p>
    <w:p w:rsidR="00E8309B" w:rsidRDefault="009D0949">
      <w:pPr>
        <w:spacing w:after="6"/>
        <w:ind w:left="-5" w:right="17"/>
      </w:pPr>
      <w:r>
        <w:t>Завршне консултације са представ</w:t>
      </w:r>
      <w:r>
        <w:t xml:space="preserve">ницима заинтересованих страна одржане су 12. јануара </w:t>
      </w:r>
    </w:p>
    <w:p w:rsidR="00E8309B" w:rsidRDefault="009D0949">
      <w:pPr>
        <w:spacing w:after="103"/>
        <w:ind w:left="-5" w:right="17"/>
      </w:pPr>
      <w:r>
        <w:t>2021. године на састанку са представницима Националног конвента о Европској унији, Програма Уједињених нација за развој (УНДП), Дечјег фонда Уједињених нација (УНИЦЕФ) итд, на коме је дискутовано о нацр</w:t>
      </w:r>
      <w:r>
        <w:t>ту ЕРП 2021-2023 (коментари представника цивилног друштва и одговори надлежних ресора су у Прилогу 1). Представници Владе Републике Србије су, током дискусије на састанку одржаном 12. јануара 2020. године, дали одговоре представницима цивилног друштва на и</w:t>
      </w:r>
      <w:r>
        <w:t>знете коментаре. Национални конвент о Европској унији окупља преко 700 организација цивилног друштва и представља стално тело у оквиру којег се води тематски структурирана дебата о приступању Републике Србије Европској унији, тематски подељена по преговара</w:t>
      </w:r>
      <w:r>
        <w:t>чким поглављима и специјалним темама, између невладиних организација, стручњака, привреде, синдиката и професионалних удружења са једне стране и представника Владе, са друге стране и има веома важну улогу у овом процесу. Национални конвент је унутар својих</w:t>
      </w:r>
      <w:r>
        <w:t xml:space="preserve"> структура оформио и механизам за мониторинг и евалуацију ЕРП, кроз посебну хоризонталну Радну групу за ЕРП и његове чланице активно учествују у овом процесу.  </w:t>
      </w:r>
    </w:p>
    <w:p w:rsidR="00E8309B" w:rsidRDefault="009D0949">
      <w:pPr>
        <w:spacing w:after="100"/>
        <w:ind w:left="-5" w:right="17"/>
      </w:pPr>
      <w:r>
        <w:t>Обједињени коментари заинтересованих страна у процесу израде ЕРП на овогодишњи документ и одгов</w:t>
      </w:r>
      <w:r>
        <w:t xml:space="preserve">ори  приложени су у Прилогу 1. Имајући у виду да је ЕРП преносни документ, велики број примедаба заинтересованих страна из претходног циклуса је укључен у ЕРП 20212023.  </w:t>
      </w:r>
    </w:p>
    <w:p w:rsidR="00E8309B" w:rsidRDefault="009D0949">
      <w:pPr>
        <w:spacing w:after="108"/>
        <w:ind w:left="-5" w:right="17"/>
      </w:pPr>
      <w:r>
        <w:t>Након завршетка консултација са заинтересованим странама и комплетирања интерне проце</w:t>
      </w:r>
      <w:r>
        <w:t>дуре, документ усвојен од стране Владе Републике Србије биће достављен Европској комисији у предвиђеном року, односно до краја јануара 2021. године. ЕРП ће затим бити даље разматран са представницима ЕУ институција и држава чланица у процесу Европски семес</w:t>
      </w:r>
      <w:r>
        <w:t xml:space="preserve">тар лајт за Западни Балкан и Турску, а средином 2021. године очекује се започињање следећег (осмог) циклуса израде ЕРП. </w:t>
      </w:r>
    </w:p>
    <w:p w:rsidR="00E8309B" w:rsidRDefault="009D0949">
      <w:pPr>
        <w:spacing w:after="0" w:line="259" w:lineRule="auto"/>
        <w:ind w:left="0" w:right="0" w:firstLine="0"/>
        <w:jc w:val="left"/>
      </w:pPr>
      <w:r>
        <w:rPr>
          <w:b/>
        </w:rPr>
        <w:t xml:space="preserve"> </w:t>
      </w:r>
    </w:p>
    <w:p w:rsidR="00E8309B" w:rsidRDefault="00E8309B">
      <w:pPr>
        <w:sectPr w:rsidR="00E8309B">
          <w:headerReference w:type="even" r:id="rId221"/>
          <w:headerReference w:type="default" r:id="rId222"/>
          <w:footerReference w:type="even" r:id="rId223"/>
          <w:footerReference w:type="default" r:id="rId224"/>
          <w:headerReference w:type="first" r:id="rId225"/>
          <w:footerReference w:type="first" r:id="rId226"/>
          <w:pgSz w:w="11906" w:h="16838"/>
          <w:pgMar w:top="1129" w:right="1108" w:bottom="1132" w:left="1133" w:header="720" w:footer="720" w:gutter="0"/>
          <w:cols w:space="720"/>
          <w:titlePg/>
        </w:sectPr>
      </w:pPr>
    </w:p>
    <w:p w:rsidR="00E8309B" w:rsidRDefault="009D0949">
      <w:pPr>
        <w:pStyle w:val="Heading1"/>
        <w:spacing w:after="181"/>
        <w:ind w:left="270" w:hanging="285"/>
      </w:pPr>
      <w:r>
        <w:t xml:space="preserve">ПРИЛОЗИ </w:t>
      </w:r>
    </w:p>
    <w:p w:rsidR="00E8309B" w:rsidRDefault="009D0949">
      <w:pPr>
        <w:spacing w:after="0" w:line="259" w:lineRule="auto"/>
        <w:ind w:left="0" w:right="0" w:firstLine="0"/>
        <w:jc w:val="left"/>
      </w:pPr>
      <w:r>
        <w:rPr>
          <w:b/>
        </w:rPr>
        <w:t xml:space="preserve"> </w:t>
      </w:r>
    </w:p>
    <w:tbl>
      <w:tblPr>
        <w:tblStyle w:val="TableGrid"/>
        <w:tblW w:w="8353" w:type="dxa"/>
        <w:tblInd w:w="24" w:type="dxa"/>
        <w:tblCellMar>
          <w:top w:w="34" w:type="dxa"/>
          <w:left w:w="108" w:type="dxa"/>
          <w:bottom w:w="5" w:type="dxa"/>
          <w:right w:w="115" w:type="dxa"/>
        </w:tblCellMar>
        <w:tblLook w:val="04A0" w:firstRow="1" w:lastRow="0" w:firstColumn="1" w:lastColumn="0" w:noHBand="0" w:noVBand="1"/>
      </w:tblPr>
      <w:tblGrid>
        <w:gridCol w:w="6750"/>
        <w:gridCol w:w="1604"/>
      </w:tblGrid>
      <w:tr w:rsidR="00E8309B">
        <w:trPr>
          <w:trHeight w:val="487"/>
        </w:trPr>
        <w:tc>
          <w:tcPr>
            <w:tcW w:w="6750" w:type="dxa"/>
            <w:tcBorders>
              <w:top w:val="double" w:sz="6" w:space="0" w:color="000000"/>
              <w:left w:val="double" w:sz="6" w:space="0" w:color="000000"/>
              <w:bottom w:val="dashed" w:sz="4" w:space="0" w:color="000000"/>
              <w:right w:val="dashed" w:sz="4" w:space="0" w:color="000000"/>
            </w:tcBorders>
            <w:vAlign w:val="bottom"/>
          </w:tcPr>
          <w:p w:rsidR="00E8309B" w:rsidRDefault="009D0949">
            <w:pPr>
              <w:spacing w:after="0" w:line="259" w:lineRule="auto"/>
              <w:ind w:left="0" w:right="0" w:firstLine="0"/>
              <w:jc w:val="left"/>
            </w:pPr>
            <w:r>
              <w:rPr>
                <w:sz w:val="20"/>
              </w:rPr>
              <w:t xml:space="preserve">Земља: </w:t>
            </w:r>
          </w:p>
        </w:tc>
        <w:tc>
          <w:tcPr>
            <w:tcW w:w="1604" w:type="dxa"/>
            <w:tcBorders>
              <w:top w:val="double" w:sz="6" w:space="0" w:color="000000"/>
              <w:left w:val="dashed" w:sz="4" w:space="0" w:color="000000"/>
              <w:bottom w:val="dashed" w:sz="4" w:space="0" w:color="000000"/>
              <w:right w:val="double" w:sz="6" w:space="0" w:color="000000"/>
            </w:tcBorders>
          </w:tcPr>
          <w:p w:rsidR="00E8309B" w:rsidRDefault="009D0949">
            <w:pPr>
              <w:spacing w:after="0" w:line="259" w:lineRule="auto"/>
              <w:ind w:left="0" w:right="0" w:firstLine="0"/>
              <w:jc w:val="center"/>
            </w:pPr>
            <w:r>
              <w:rPr>
                <w:b/>
                <w:sz w:val="20"/>
              </w:rPr>
              <w:t xml:space="preserve">Република Србија </w:t>
            </w:r>
          </w:p>
        </w:tc>
      </w:tr>
      <w:tr w:rsidR="00E8309B">
        <w:trPr>
          <w:trHeight w:val="266"/>
        </w:trPr>
        <w:tc>
          <w:tcPr>
            <w:tcW w:w="6750" w:type="dxa"/>
            <w:tcBorders>
              <w:top w:val="dashed" w:sz="4" w:space="0" w:color="000000"/>
              <w:left w:val="double" w:sz="6" w:space="0" w:color="000000"/>
              <w:bottom w:val="dashed" w:sz="4" w:space="0" w:color="000000"/>
              <w:right w:val="dashed" w:sz="4" w:space="0" w:color="000000"/>
            </w:tcBorders>
          </w:tcPr>
          <w:p w:rsidR="00E8309B" w:rsidRDefault="009D0949">
            <w:pPr>
              <w:spacing w:after="0" w:line="259" w:lineRule="auto"/>
              <w:ind w:left="0" w:right="0" w:firstLine="0"/>
              <w:jc w:val="left"/>
            </w:pPr>
            <w:r>
              <w:rPr>
                <w:sz w:val="20"/>
              </w:rPr>
              <w:t xml:space="preserve">Година подношења (рок) </w:t>
            </w:r>
          </w:p>
        </w:tc>
        <w:tc>
          <w:tcPr>
            <w:tcW w:w="1604" w:type="dxa"/>
            <w:tcBorders>
              <w:top w:val="dashed" w:sz="4" w:space="0" w:color="000000"/>
              <w:left w:val="dashed" w:sz="4" w:space="0" w:color="000000"/>
              <w:bottom w:val="dashed" w:sz="4" w:space="0" w:color="000000"/>
              <w:right w:val="double" w:sz="6" w:space="0" w:color="000000"/>
            </w:tcBorders>
          </w:tcPr>
          <w:p w:rsidR="00E8309B" w:rsidRDefault="009D0949">
            <w:pPr>
              <w:spacing w:after="0" w:line="259" w:lineRule="auto"/>
              <w:ind w:left="11" w:right="0" w:firstLine="0"/>
              <w:jc w:val="center"/>
            </w:pPr>
            <w:r>
              <w:rPr>
                <w:sz w:val="20"/>
              </w:rPr>
              <w:t xml:space="preserve">2021 </w:t>
            </w:r>
          </w:p>
        </w:tc>
      </w:tr>
      <w:tr w:rsidR="00E8309B">
        <w:trPr>
          <w:trHeight w:val="264"/>
        </w:trPr>
        <w:tc>
          <w:tcPr>
            <w:tcW w:w="6750" w:type="dxa"/>
            <w:tcBorders>
              <w:top w:val="dashed" w:sz="4" w:space="0" w:color="000000"/>
              <w:left w:val="double" w:sz="6" w:space="0" w:color="000000"/>
              <w:bottom w:val="dashed" w:sz="4" w:space="0" w:color="000000"/>
              <w:right w:val="dashed" w:sz="4" w:space="0" w:color="000000"/>
            </w:tcBorders>
          </w:tcPr>
          <w:p w:rsidR="00E8309B" w:rsidRDefault="009D0949">
            <w:pPr>
              <w:spacing w:after="0" w:line="259" w:lineRule="auto"/>
              <w:ind w:left="0" w:right="0" w:firstLine="0"/>
              <w:jc w:val="left"/>
            </w:pPr>
            <w:r>
              <w:rPr>
                <w:sz w:val="20"/>
              </w:rPr>
              <w:t xml:space="preserve">Цене претходне године (не = 0, да = 1) </w:t>
            </w:r>
          </w:p>
        </w:tc>
        <w:tc>
          <w:tcPr>
            <w:tcW w:w="1604" w:type="dxa"/>
            <w:tcBorders>
              <w:top w:val="dashed" w:sz="4" w:space="0" w:color="000000"/>
              <w:left w:val="dashed" w:sz="4" w:space="0" w:color="000000"/>
              <w:bottom w:val="dashed" w:sz="4" w:space="0" w:color="000000"/>
              <w:right w:val="double" w:sz="6" w:space="0" w:color="000000"/>
            </w:tcBorders>
          </w:tcPr>
          <w:p w:rsidR="00E8309B" w:rsidRDefault="009D0949">
            <w:pPr>
              <w:spacing w:after="0" w:line="259" w:lineRule="auto"/>
              <w:ind w:left="11" w:right="0" w:firstLine="0"/>
              <w:jc w:val="center"/>
            </w:pPr>
            <w:r>
              <w:rPr>
                <w:sz w:val="20"/>
              </w:rPr>
              <w:t xml:space="preserve">0 </w:t>
            </w:r>
          </w:p>
        </w:tc>
      </w:tr>
      <w:tr w:rsidR="00E8309B">
        <w:trPr>
          <w:trHeight w:val="300"/>
        </w:trPr>
        <w:tc>
          <w:tcPr>
            <w:tcW w:w="6750" w:type="dxa"/>
            <w:tcBorders>
              <w:top w:val="dashed" w:sz="4" w:space="0" w:color="000000"/>
              <w:left w:val="double" w:sz="6" w:space="0" w:color="000000"/>
              <w:bottom w:val="double" w:sz="6" w:space="0" w:color="000000"/>
              <w:right w:val="dashed" w:sz="4" w:space="0" w:color="000000"/>
            </w:tcBorders>
          </w:tcPr>
          <w:p w:rsidR="00E8309B" w:rsidRDefault="009D0949">
            <w:pPr>
              <w:spacing w:after="0" w:line="259" w:lineRule="auto"/>
              <w:ind w:left="0" w:right="0" w:firstLine="0"/>
              <w:jc w:val="left"/>
            </w:pPr>
            <w:r>
              <w:rPr>
                <w:sz w:val="20"/>
              </w:rPr>
              <w:t xml:space="preserve">Платни биланс - Подаци: Национална валута = 0, EUR = 1 </w:t>
            </w:r>
          </w:p>
        </w:tc>
        <w:tc>
          <w:tcPr>
            <w:tcW w:w="1604" w:type="dxa"/>
            <w:tcBorders>
              <w:top w:val="dashed" w:sz="4" w:space="0" w:color="000000"/>
              <w:left w:val="dashed" w:sz="4" w:space="0" w:color="000000"/>
              <w:bottom w:val="double" w:sz="6" w:space="0" w:color="000000"/>
              <w:right w:val="double" w:sz="6" w:space="0" w:color="000000"/>
            </w:tcBorders>
          </w:tcPr>
          <w:p w:rsidR="00E8309B" w:rsidRDefault="009D0949">
            <w:pPr>
              <w:spacing w:after="0" w:line="259" w:lineRule="auto"/>
              <w:ind w:left="11" w:right="0" w:firstLine="0"/>
              <w:jc w:val="center"/>
            </w:pPr>
            <w:r>
              <w:rPr>
                <w:sz w:val="20"/>
              </w:rPr>
              <w:t xml:space="preserve">1 </w:t>
            </w:r>
          </w:p>
        </w:tc>
      </w:tr>
    </w:tbl>
    <w:p w:rsidR="00E8309B" w:rsidRDefault="009D0949">
      <w:pPr>
        <w:spacing w:after="116" w:line="259" w:lineRule="auto"/>
        <w:ind w:left="0" w:right="0" w:firstLine="0"/>
        <w:jc w:val="left"/>
      </w:pPr>
      <w:r>
        <w:rPr>
          <w:rFonts w:ascii="Calibri" w:eastAsia="Calibri" w:hAnsi="Calibri" w:cs="Calibri"/>
          <w:sz w:val="22"/>
        </w:rPr>
        <w:t xml:space="preserve"> </w:t>
      </w:r>
    </w:p>
    <w:p w:rsidR="00E8309B" w:rsidRDefault="009D0949">
      <w:pPr>
        <w:pStyle w:val="Heading3"/>
      </w:pPr>
      <w:r>
        <w:t xml:space="preserve">Табела 1: Макроекономски оквир </w:t>
      </w:r>
    </w:p>
    <w:tbl>
      <w:tblPr>
        <w:tblStyle w:val="TableGrid"/>
        <w:tblW w:w="14266" w:type="dxa"/>
        <w:tblInd w:w="24" w:type="dxa"/>
        <w:tblCellMar>
          <w:top w:w="10" w:type="dxa"/>
          <w:left w:w="108" w:type="dxa"/>
          <w:bottom w:w="0" w:type="dxa"/>
          <w:right w:w="56" w:type="dxa"/>
        </w:tblCellMar>
        <w:tblLook w:val="04A0" w:firstRow="1" w:lastRow="0" w:firstColumn="1" w:lastColumn="0" w:noHBand="0" w:noVBand="1"/>
      </w:tblPr>
      <w:tblGrid>
        <w:gridCol w:w="6750"/>
        <w:gridCol w:w="1604"/>
        <w:gridCol w:w="984"/>
        <w:gridCol w:w="984"/>
        <w:gridCol w:w="982"/>
        <w:gridCol w:w="984"/>
        <w:gridCol w:w="984"/>
        <w:gridCol w:w="994"/>
      </w:tblGrid>
      <w:tr w:rsidR="00E8309B">
        <w:trPr>
          <w:trHeight w:val="276"/>
        </w:trPr>
        <w:tc>
          <w:tcPr>
            <w:tcW w:w="6750" w:type="dxa"/>
            <w:tcBorders>
              <w:top w:val="double" w:sz="6" w:space="0" w:color="000000"/>
              <w:left w:val="double" w:sz="6" w:space="0" w:color="000000"/>
              <w:bottom w:val="double" w:sz="6" w:space="0" w:color="000000"/>
              <w:right w:val="single" w:sz="8" w:space="0" w:color="000000"/>
            </w:tcBorders>
          </w:tcPr>
          <w:p w:rsidR="00E8309B" w:rsidRDefault="009D0949">
            <w:pPr>
              <w:spacing w:after="0" w:line="259" w:lineRule="auto"/>
              <w:ind w:left="0" w:right="61" w:firstLine="0"/>
              <w:jc w:val="center"/>
            </w:pPr>
            <w:r>
              <w:rPr>
                <w:b/>
                <w:sz w:val="20"/>
              </w:rPr>
              <w:t>1a: Расходна страна, сталне цене (млрд РСД/ЕУР)</w:t>
            </w:r>
            <w:r>
              <w:rPr>
                <w:b/>
                <w:sz w:val="16"/>
              </w:rPr>
              <w:t xml:space="preserve"> </w:t>
            </w:r>
          </w:p>
        </w:tc>
        <w:tc>
          <w:tcPr>
            <w:tcW w:w="1604" w:type="dxa"/>
            <w:tcBorders>
              <w:top w:val="double" w:sz="6" w:space="0" w:color="000000"/>
              <w:left w:val="single" w:sz="8" w:space="0" w:color="000000"/>
              <w:bottom w:val="double" w:sz="6" w:space="0" w:color="000000"/>
              <w:right w:val="single" w:sz="8" w:space="0" w:color="000000"/>
            </w:tcBorders>
          </w:tcPr>
          <w:p w:rsidR="00E8309B" w:rsidRDefault="009D0949">
            <w:pPr>
              <w:spacing w:after="0" w:line="259" w:lineRule="auto"/>
              <w:ind w:left="0" w:right="51" w:firstLine="0"/>
              <w:jc w:val="center"/>
            </w:pPr>
            <w:r>
              <w:rPr>
                <w:sz w:val="20"/>
              </w:rPr>
              <w:t xml:space="preserve">ESA шифра </w:t>
            </w:r>
          </w:p>
        </w:tc>
        <w:tc>
          <w:tcPr>
            <w:tcW w:w="984" w:type="dxa"/>
            <w:tcBorders>
              <w:top w:val="double" w:sz="6" w:space="0" w:color="000000"/>
              <w:left w:val="single" w:sz="8" w:space="0" w:color="000000"/>
              <w:bottom w:val="double" w:sz="6" w:space="0" w:color="000000"/>
              <w:right w:val="dashed" w:sz="4" w:space="0" w:color="000000"/>
            </w:tcBorders>
          </w:tcPr>
          <w:p w:rsidR="00E8309B" w:rsidRDefault="009D0949">
            <w:pPr>
              <w:spacing w:after="0" w:line="259" w:lineRule="auto"/>
              <w:ind w:left="0" w:right="51" w:firstLine="0"/>
              <w:jc w:val="right"/>
            </w:pPr>
            <w:r>
              <w:rPr>
                <w:b/>
                <w:sz w:val="20"/>
              </w:rPr>
              <w:t xml:space="preserve">2018 </w:t>
            </w:r>
          </w:p>
        </w:tc>
        <w:tc>
          <w:tcPr>
            <w:tcW w:w="984" w:type="dxa"/>
            <w:tcBorders>
              <w:top w:val="double" w:sz="6" w:space="0" w:color="000000"/>
              <w:left w:val="dashed" w:sz="4" w:space="0" w:color="000000"/>
              <w:bottom w:val="double" w:sz="6" w:space="0" w:color="000000"/>
              <w:right w:val="dashed" w:sz="4" w:space="0" w:color="000000"/>
            </w:tcBorders>
          </w:tcPr>
          <w:p w:rsidR="00E8309B" w:rsidRDefault="009D0949">
            <w:pPr>
              <w:spacing w:after="0" w:line="259" w:lineRule="auto"/>
              <w:ind w:left="0" w:right="51" w:firstLine="0"/>
              <w:jc w:val="right"/>
            </w:pPr>
            <w:r>
              <w:rPr>
                <w:b/>
                <w:sz w:val="20"/>
              </w:rPr>
              <w:t xml:space="preserve">2019 </w:t>
            </w:r>
          </w:p>
        </w:tc>
        <w:tc>
          <w:tcPr>
            <w:tcW w:w="982" w:type="dxa"/>
            <w:tcBorders>
              <w:top w:val="double" w:sz="6" w:space="0" w:color="000000"/>
              <w:left w:val="dashed" w:sz="4" w:space="0" w:color="000000"/>
              <w:bottom w:val="double" w:sz="6" w:space="0" w:color="000000"/>
              <w:right w:val="dashed" w:sz="4" w:space="0" w:color="000000"/>
            </w:tcBorders>
          </w:tcPr>
          <w:p w:rsidR="00E8309B" w:rsidRDefault="009D0949">
            <w:pPr>
              <w:spacing w:after="0" w:line="259" w:lineRule="auto"/>
              <w:ind w:left="0" w:right="49" w:firstLine="0"/>
              <w:jc w:val="right"/>
            </w:pPr>
            <w:r>
              <w:rPr>
                <w:b/>
                <w:sz w:val="20"/>
              </w:rPr>
              <w:t xml:space="preserve">2020 </w:t>
            </w:r>
          </w:p>
        </w:tc>
        <w:tc>
          <w:tcPr>
            <w:tcW w:w="984" w:type="dxa"/>
            <w:tcBorders>
              <w:top w:val="double" w:sz="6" w:space="0" w:color="000000"/>
              <w:left w:val="dashed" w:sz="4" w:space="0" w:color="000000"/>
              <w:bottom w:val="double" w:sz="6" w:space="0" w:color="000000"/>
              <w:right w:val="dashed" w:sz="4" w:space="0" w:color="000000"/>
            </w:tcBorders>
          </w:tcPr>
          <w:p w:rsidR="00E8309B" w:rsidRDefault="009D0949">
            <w:pPr>
              <w:spacing w:after="0" w:line="259" w:lineRule="auto"/>
              <w:ind w:left="0" w:right="49" w:firstLine="0"/>
              <w:jc w:val="right"/>
            </w:pPr>
            <w:r>
              <w:rPr>
                <w:b/>
                <w:sz w:val="20"/>
              </w:rPr>
              <w:t xml:space="preserve">2021 </w:t>
            </w:r>
          </w:p>
        </w:tc>
        <w:tc>
          <w:tcPr>
            <w:tcW w:w="984" w:type="dxa"/>
            <w:tcBorders>
              <w:top w:val="double" w:sz="6" w:space="0" w:color="000000"/>
              <w:left w:val="dashed" w:sz="4" w:space="0" w:color="000000"/>
              <w:bottom w:val="double" w:sz="6" w:space="0" w:color="000000"/>
              <w:right w:val="dashed" w:sz="4" w:space="0" w:color="000000"/>
            </w:tcBorders>
          </w:tcPr>
          <w:p w:rsidR="00E8309B" w:rsidRDefault="009D0949">
            <w:pPr>
              <w:spacing w:after="0" w:line="259" w:lineRule="auto"/>
              <w:ind w:left="0" w:right="51" w:firstLine="0"/>
              <w:jc w:val="right"/>
            </w:pPr>
            <w:r>
              <w:rPr>
                <w:b/>
                <w:sz w:val="20"/>
              </w:rPr>
              <w:t xml:space="preserve">2022 </w:t>
            </w:r>
          </w:p>
        </w:tc>
        <w:tc>
          <w:tcPr>
            <w:tcW w:w="994" w:type="dxa"/>
            <w:tcBorders>
              <w:top w:val="double" w:sz="6" w:space="0" w:color="000000"/>
              <w:left w:val="dashed" w:sz="4" w:space="0" w:color="000000"/>
              <w:bottom w:val="double" w:sz="6" w:space="0" w:color="000000"/>
              <w:right w:val="double" w:sz="6" w:space="0" w:color="000000"/>
            </w:tcBorders>
          </w:tcPr>
          <w:p w:rsidR="00E8309B" w:rsidRDefault="009D0949">
            <w:pPr>
              <w:spacing w:after="0" w:line="259" w:lineRule="auto"/>
              <w:ind w:left="0" w:right="49" w:firstLine="0"/>
              <w:jc w:val="right"/>
            </w:pPr>
            <w:r>
              <w:rPr>
                <w:b/>
                <w:sz w:val="20"/>
              </w:rPr>
              <w:t xml:space="preserve">2023 </w:t>
            </w:r>
          </w:p>
        </w:tc>
      </w:tr>
      <w:tr w:rsidR="00E8309B">
        <w:trPr>
          <w:trHeight w:val="257"/>
        </w:trPr>
        <w:tc>
          <w:tcPr>
            <w:tcW w:w="6750" w:type="dxa"/>
            <w:tcBorders>
              <w:top w:val="double" w:sz="6" w:space="0" w:color="000000"/>
              <w:left w:val="double" w:sz="6" w:space="0" w:color="000000"/>
              <w:bottom w:val="dashed" w:sz="4" w:space="0" w:color="000000"/>
              <w:right w:val="single" w:sz="8" w:space="0" w:color="000000"/>
            </w:tcBorders>
          </w:tcPr>
          <w:p w:rsidR="00E8309B" w:rsidRDefault="009D0949">
            <w:pPr>
              <w:spacing w:after="0" w:line="259" w:lineRule="auto"/>
              <w:ind w:left="0" w:right="0" w:firstLine="0"/>
              <w:jc w:val="left"/>
            </w:pPr>
            <w:r>
              <w:rPr>
                <w:sz w:val="20"/>
              </w:rPr>
              <w:t xml:space="preserve">БДП према тржишним ценама </w:t>
            </w:r>
          </w:p>
        </w:tc>
        <w:tc>
          <w:tcPr>
            <w:tcW w:w="1604" w:type="dxa"/>
            <w:tcBorders>
              <w:top w:val="double" w:sz="6" w:space="0" w:color="000000"/>
              <w:left w:val="single" w:sz="8" w:space="0" w:color="000000"/>
              <w:bottom w:val="dashed" w:sz="4" w:space="0" w:color="000000"/>
              <w:right w:val="single" w:sz="8" w:space="0" w:color="000000"/>
            </w:tcBorders>
          </w:tcPr>
          <w:p w:rsidR="00E8309B" w:rsidRDefault="009D0949">
            <w:pPr>
              <w:spacing w:after="0" w:line="259" w:lineRule="auto"/>
              <w:ind w:left="0" w:right="51" w:firstLine="0"/>
              <w:jc w:val="center"/>
            </w:pPr>
            <w:r>
              <w:rPr>
                <w:sz w:val="20"/>
              </w:rPr>
              <w:t xml:space="preserve">B1*g </w:t>
            </w:r>
          </w:p>
        </w:tc>
        <w:tc>
          <w:tcPr>
            <w:tcW w:w="984" w:type="dxa"/>
            <w:tcBorders>
              <w:top w:val="double" w:sz="6" w:space="0" w:color="000000"/>
              <w:left w:val="single" w:sz="8" w:space="0" w:color="000000"/>
              <w:bottom w:val="dashed" w:sz="4" w:space="0" w:color="000000"/>
              <w:right w:val="dashed" w:sz="4" w:space="0" w:color="000000"/>
            </w:tcBorders>
          </w:tcPr>
          <w:p w:rsidR="00E8309B" w:rsidRDefault="009D0949">
            <w:pPr>
              <w:spacing w:after="0" w:line="259" w:lineRule="auto"/>
              <w:ind w:left="0" w:right="52" w:firstLine="0"/>
              <w:jc w:val="right"/>
            </w:pPr>
            <w:r>
              <w:rPr>
                <w:sz w:val="20"/>
              </w:rPr>
              <w:t xml:space="preserve">4.757,4 </w:t>
            </w:r>
          </w:p>
        </w:tc>
        <w:tc>
          <w:tcPr>
            <w:tcW w:w="984" w:type="dxa"/>
            <w:tcBorders>
              <w:top w:val="double" w:sz="6" w:space="0" w:color="000000"/>
              <w:left w:val="dashed" w:sz="4" w:space="0" w:color="000000"/>
              <w:bottom w:val="dashed" w:sz="4" w:space="0" w:color="000000"/>
              <w:right w:val="dashed" w:sz="4" w:space="0" w:color="000000"/>
            </w:tcBorders>
          </w:tcPr>
          <w:p w:rsidR="00E8309B" w:rsidRDefault="009D0949">
            <w:pPr>
              <w:spacing w:after="0" w:line="259" w:lineRule="auto"/>
              <w:ind w:left="0" w:right="52" w:firstLine="0"/>
              <w:jc w:val="right"/>
            </w:pPr>
            <w:r>
              <w:rPr>
                <w:sz w:val="20"/>
              </w:rPr>
              <w:t xml:space="preserve">4.959,5 </w:t>
            </w:r>
          </w:p>
        </w:tc>
        <w:tc>
          <w:tcPr>
            <w:tcW w:w="982" w:type="dxa"/>
            <w:tcBorders>
              <w:top w:val="double" w:sz="6" w:space="0" w:color="000000"/>
              <w:left w:val="dashed" w:sz="4" w:space="0" w:color="000000"/>
              <w:bottom w:val="dashed" w:sz="4" w:space="0" w:color="000000"/>
              <w:right w:val="dashed" w:sz="4" w:space="0" w:color="000000"/>
            </w:tcBorders>
          </w:tcPr>
          <w:p w:rsidR="00E8309B" w:rsidRDefault="009D0949">
            <w:pPr>
              <w:spacing w:after="0" w:line="259" w:lineRule="auto"/>
              <w:ind w:left="0" w:right="50" w:firstLine="0"/>
              <w:jc w:val="right"/>
            </w:pPr>
            <w:r>
              <w:rPr>
                <w:sz w:val="20"/>
              </w:rPr>
              <w:t xml:space="preserve">4.907,8 </w:t>
            </w:r>
          </w:p>
        </w:tc>
        <w:tc>
          <w:tcPr>
            <w:tcW w:w="984" w:type="dxa"/>
            <w:tcBorders>
              <w:top w:val="double" w:sz="6" w:space="0" w:color="000000"/>
              <w:left w:val="dashed" w:sz="4" w:space="0" w:color="000000"/>
              <w:bottom w:val="dashed" w:sz="4" w:space="0" w:color="000000"/>
              <w:right w:val="dashed" w:sz="4" w:space="0" w:color="000000"/>
            </w:tcBorders>
          </w:tcPr>
          <w:p w:rsidR="00E8309B" w:rsidRDefault="009D0949">
            <w:pPr>
              <w:spacing w:after="0" w:line="259" w:lineRule="auto"/>
              <w:ind w:left="0" w:right="50" w:firstLine="0"/>
              <w:jc w:val="right"/>
            </w:pPr>
            <w:r>
              <w:rPr>
                <w:sz w:val="20"/>
              </w:rPr>
              <w:t xml:space="preserve">5.201,3 </w:t>
            </w:r>
          </w:p>
        </w:tc>
        <w:tc>
          <w:tcPr>
            <w:tcW w:w="984" w:type="dxa"/>
            <w:tcBorders>
              <w:top w:val="double" w:sz="6" w:space="0" w:color="000000"/>
              <w:left w:val="dashed" w:sz="4" w:space="0" w:color="000000"/>
              <w:bottom w:val="dashed" w:sz="4" w:space="0" w:color="000000"/>
              <w:right w:val="dashed" w:sz="4" w:space="0" w:color="000000"/>
            </w:tcBorders>
          </w:tcPr>
          <w:p w:rsidR="00E8309B" w:rsidRDefault="009D0949">
            <w:pPr>
              <w:spacing w:after="0" w:line="259" w:lineRule="auto"/>
              <w:ind w:left="0" w:right="52" w:firstLine="0"/>
              <w:jc w:val="right"/>
            </w:pPr>
            <w:r>
              <w:rPr>
                <w:sz w:val="20"/>
              </w:rPr>
              <w:t xml:space="preserve">5.409,3 </w:t>
            </w:r>
          </w:p>
        </w:tc>
        <w:tc>
          <w:tcPr>
            <w:tcW w:w="994" w:type="dxa"/>
            <w:tcBorders>
              <w:top w:val="double" w:sz="6" w:space="0" w:color="000000"/>
              <w:left w:val="dashed" w:sz="4" w:space="0" w:color="000000"/>
              <w:bottom w:val="dashed" w:sz="4" w:space="0" w:color="000000"/>
              <w:right w:val="double" w:sz="6" w:space="0" w:color="000000"/>
            </w:tcBorders>
          </w:tcPr>
          <w:p w:rsidR="00E8309B" w:rsidRDefault="009D0949">
            <w:pPr>
              <w:spacing w:after="0" w:line="259" w:lineRule="auto"/>
              <w:ind w:left="0" w:right="50" w:firstLine="0"/>
              <w:jc w:val="right"/>
            </w:pPr>
            <w:r>
              <w:rPr>
                <w:sz w:val="20"/>
              </w:rPr>
              <w:t xml:space="preserve">5.626,8 </w:t>
            </w:r>
          </w:p>
        </w:tc>
      </w:tr>
      <w:tr w:rsidR="00E8309B">
        <w:trPr>
          <w:trHeight w:val="240"/>
        </w:trPr>
        <w:tc>
          <w:tcPr>
            <w:tcW w:w="6750" w:type="dxa"/>
            <w:tcBorders>
              <w:top w:val="dashed" w:sz="4" w:space="0" w:color="000000"/>
              <w:left w:val="double" w:sz="6" w:space="0" w:color="000000"/>
              <w:bottom w:val="dashed" w:sz="4" w:space="0" w:color="000000"/>
              <w:right w:val="single" w:sz="8" w:space="0" w:color="000000"/>
            </w:tcBorders>
          </w:tcPr>
          <w:p w:rsidR="00E8309B" w:rsidRDefault="009D0949">
            <w:pPr>
              <w:spacing w:after="0" w:line="259" w:lineRule="auto"/>
              <w:ind w:left="0" w:right="0" w:firstLine="0"/>
              <w:jc w:val="left"/>
            </w:pPr>
            <w:r>
              <w:rPr>
                <w:sz w:val="20"/>
              </w:rPr>
              <w:t xml:space="preserve">Приватна потрошња </w:t>
            </w:r>
          </w:p>
        </w:tc>
        <w:tc>
          <w:tcPr>
            <w:tcW w:w="1604" w:type="dxa"/>
            <w:tcBorders>
              <w:top w:val="dashed" w:sz="4" w:space="0" w:color="000000"/>
              <w:left w:val="single" w:sz="8" w:space="0" w:color="000000"/>
              <w:bottom w:val="dashed" w:sz="4" w:space="0" w:color="000000"/>
              <w:right w:val="single" w:sz="8" w:space="0" w:color="000000"/>
            </w:tcBorders>
          </w:tcPr>
          <w:p w:rsidR="00E8309B" w:rsidRDefault="009D0949">
            <w:pPr>
              <w:spacing w:after="0" w:line="259" w:lineRule="auto"/>
              <w:ind w:left="0" w:right="46" w:firstLine="0"/>
              <w:jc w:val="center"/>
            </w:pPr>
            <w:r>
              <w:rPr>
                <w:sz w:val="20"/>
              </w:rPr>
              <w:t xml:space="preserve">P3 </w:t>
            </w:r>
          </w:p>
        </w:tc>
        <w:tc>
          <w:tcPr>
            <w:tcW w:w="984" w:type="dxa"/>
            <w:tcBorders>
              <w:top w:val="dashed" w:sz="4" w:space="0" w:color="000000"/>
              <w:left w:val="single" w:sz="8" w:space="0" w:color="000000"/>
              <w:bottom w:val="dashed" w:sz="4" w:space="0" w:color="000000"/>
              <w:right w:val="dashed" w:sz="4" w:space="0" w:color="000000"/>
            </w:tcBorders>
          </w:tcPr>
          <w:p w:rsidR="00E8309B" w:rsidRDefault="009D0949">
            <w:pPr>
              <w:spacing w:after="0" w:line="259" w:lineRule="auto"/>
              <w:ind w:left="0" w:right="52" w:firstLine="0"/>
              <w:jc w:val="right"/>
            </w:pPr>
            <w:r>
              <w:rPr>
                <w:sz w:val="20"/>
              </w:rPr>
              <w:t xml:space="preserve">3.333,9 </w:t>
            </w:r>
          </w:p>
        </w:tc>
        <w:tc>
          <w:tcPr>
            <w:tcW w:w="984"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52" w:firstLine="0"/>
              <w:jc w:val="right"/>
            </w:pPr>
            <w:r>
              <w:rPr>
                <w:sz w:val="20"/>
              </w:rPr>
              <w:t xml:space="preserve">3.452,5 </w:t>
            </w:r>
          </w:p>
        </w:tc>
        <w:tc>
          <w:tcPr>
            <w:tcW w:w="982"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49" w:firstLine="0"/>
              <w:jc w:val="right"/>
            </w:pPr>
            <w:r>
              <w:rPr>
                <w:sz w:val="20"/>
              </w:rPr>
              <w:t xml:space="preserve">3.386,2 </w:t>
            </w:r>
          </w:p>
        </w:tc>
        <w:tc>
          <w:tcPr>
            <w:tcW w:w="984"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50" w:firstLine="0"/>
              <w:jc w:val="right"/>
            </w:pPr>
            <w:r>
              <w:rPr>
                <w:sz w:val="20"/>
              </w:rPr>
              <w:t xml:space="preserve">3.570,7 </w:t>
            </w:r>
          </w:p>
        </w:tc>
        <w:tc>
          <w:tcPr>
            <w:tcW w:w="984"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52" w:firstLine="0"/>
              <w:jc w:val="right"/>
            </w:pPr>
            <w:r>
              <w:rPr>
                <w:sz w:val="20"/>
              </w:rPr>
              <w:t xml:space="preserve">3.672,2 </w:t>
            </w:r>
          </w:p>
        </w:tc>
        <w:tc>
          <w:tcPr>
            <w:tcW w:w="994" w:type="dxa"/>
            <w:tcBorders>
              <w:top w:val="dashed" w:sz="4" w:space="0" w:color="000000"/>
              <w:left w:val="dashed" w:sz="4" w:space="0" w:color="000000"/>
              <w:bottom w:val="dashed" w:sz="4" w:space="0" w:color="000000"/>
              <w:right w:val="double" w:sz="6" w:space="0" w:color="000000"/>
            </w:tcBorders>
          </w:tcPr>
          <w:p w:rsidR="00E8309B" w:rsidRDefault="009D0949">
            <w:pPr>
              <w:spacing w:after="0" w:line="259" w:lineRule="auto"/>
              <w:ind w:left="0" w:right="50" w:firstLine="0"/>
              <w:jc w:val="right"/>
            </w:pPr>
            <w:r>
              <w:rPr>
                <w:sz w:val="20"/>
              </w:rPr>
              <w:t xml:space="preserve">3.776,8 </w:t>
            </w:r>
          </w:p>
        </w:tc>
      </w:tr>
      <w:tr w:rsidR="00E8309B">
        <w:trPr>
          <w:trHeight w:val="240"/>
        </w:trPr>
        <w:tc>
          <w:tcPr>
            <w:tcW w:w="6750" w:type="dxa"/>
            <w:tcBorders>
              <w:top w:val="dashed" w:sz="4" w:space="0" w:color="000000"/>
              <w:left w:val="double" w:sz="6" w:space="0" w:color="000000"/>
              <w:bottom w:val="dashed" w:sz="4" w:space="0" w:color="000000"/>
              <w:right w:val="single" w:sz="8" w:space="0" w:color="000000"/>
            </w:tcBorders>
          </w:tcPr>
          <w:p w:rsidR="00E8309B" w:rsidRDefault="009D0949">
            <w:pPr>
              <w:spacing w:after="0" w:line="259" w:lineRule="auto"/>
              <w:ind w:left="0" w:right="0" w:firstLine="0"/>
              <w:jc w:val="left"/>
            </w:pPr>
            <w:r>
              <w:rPr>
                <w:sz w:val="20"/>
              </w:rPr>
              <w:t xml:space="preserve">Државна потрошња </w:t>
            </w:r>
          </w:p>
        </w:tc>
        <w:tc>
          <w:tcPr>
            <w:tcW w:w="1604" w:type="dxa"/>
            <w:tcBorders>
              <w:top w:val="dashed" w:sz="4" w:space="0" w:color="000000"/>
              <w:left w:val="single" w:sz="8" w:space="0" w:color="000000"/>
              <w:bottom w:val="dashed" w:sz="4" w:space="0" w:color="000000"/>
              <w:right w:val="single" w:sz="8" w:space="0" w:color="000000"/>
            </w:tcBorders>
          </w:tcPr>
          <w:p w:rsidR="00E8309B" w:rsidRDefault="009D0949">
            <w:pPr>
              <w:spacing w:after="0" w:line="259" w:lineRule="auto"/>
              <w:ind w:left="0" w:right="46" w:firstLine="0"/>
              <w:jc w:val="center"/>
            </w:pPr>
            <w:r>
              <w:rPr>
                <w:sz w:val="20"/>
              </w:rPr>
              <w:t xml:space="preserve">P3 </w:t>
            </w:r>
          </w:p>
        </w:tc>
        <w:tc>
          <w:tcPr>
            <w:tcW w:w="984" w:type="dxa"/>
            <w:tcBorders>
              <w:top w:val="dashed" w:sz="4" w:space="0" w:color="000000"/>
              <w:left w:val="single" w:sz="8" w:space="0" w:color="000000"/>
              <w:bottom w:val="dashed" w:sz="4" w:space="0" w:color="000000"/>
              <w:right w:val="dashed" w:sz="4" w:space="0" w:color="000000"/>
            </w:tcBorders>
          </w:tcPr>
          <w:p w:rsidR="00E8309B" w:rsidRDefault="009D0949">
            <w:pPr>
              <w:spacing w:after="0" w:line="259" w:lineRule="auto"/>
              <w:ind w:left="0" w:right="52" w:firstLine="0"/>
              <w:jc w:val="right"/>
            </w:pPr>
            <w:r>
              <w:rPr>
                <w:sz w:val="20"/>
              </w:rPr>
              <w:t xml:space="preserve">756,5 </w:t>
            </w:r>
          </w:p>
        </w:tc>
        <w:tc>
          <w:tcPr>
            <w:tcW w:w="984"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52" w:firstLine="0"/>
              <w:jc w:val="right"/>
            </w:pPr>
            <w:r>
              <w:rPr>
                <w:sz w:val="20"/>
              </w:rPr>
              <w:t xml:space="preserve">771,8 </w:t>
            </w:r>
          </w:p>
        </w:tc>
        <w:tc>
          <w:tcPr>
            <w:tcW w:w="982"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49" w:firstLine="0"/>
              <w:jc w:val="right"/>
            </w:pPr>
            <w:r>
              <w:rPr>
                <w:sz w:val="20"/>
              </w:rPr>
              <w:t xml:space="preserve">816,3 </w:t>
            </w:r>
          </w:p>
        </w:tc>
        <w:tc>
          <w:tcPr>
            <w:tcW w:w="984"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49" w:firstLine="0"/>
              <w:jc w:val="right"/>
            </w:pPr>
            <w:r>
              <w:rPr>
                <w:sz w:val="20"/>
              </w:rPr>
              <w:t xml:space="preserve">819,9 </w:t>
            </w:r>
          </w:p>
        </w:tc>
        <w:tc>
          <w:tcPr>
            <w:tcW w:w="984"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52" w:firstLine="0"/>
              <w:jc w:val="right"/>
            </w:pPr>
            <w:r>
              <w:rPr>
                <w:sz w:val="20"/>
              </w:rPr>
              <w:t xml:space="preserve">840,7 </w:t>
            </w:r>
          </w:p>
        </w:tc>
        <w:tc>
          <w:tcPr>
            <w:tcW w:w="994" w:type="dxa"/>
            <w:tcBorders>
              <w:top w:val="dashed" w:sz="4" w:space="0" w:color="000000"/>
              <w:left w:val="dashed" w:sz="4" w:space="0" w:color="000000"/>
              <w:bottom w:val="dashed" w:sz="4" w:space="0" w:color="000000"/>
              <w:right w:val="double" w:sz="6" w:space="0" w:color="000000"/>
            </w:tcBorders>
          </w:tcPr>
          <w:p w:rsidR="00E8309B" w:rsidRDefault="009D0949">
            <w:pPr>
              <w:spacing w:after="0" w:line="259" w:lineRule="auto"/>
              <w:ind w:left="0" w:right="49" w:firstLine="0"/>
              <w:jc w:val="right"/>
            </w:pPr>
            <w:r>
              <w:rPr>
                <w:sz w:val="20"/>
              </w:rPr>
              <w:t xml:space="preserve">855,5 </w:t>
            </w:r>
          </w:p>
        </w:tc>
      </w:tr>
      <w:tr w:rsidR="00E8309B">
        <w:trPr>
          <w:trHeight w:val="240"/>
        </w:trPr>
        <w:tc>
          <w:tcPr>
            <w:tcW w:w="6750" w:type="dxa"/>
            <w:tcBorders>
              <w:top w:val="dashed" w:sz="4" w:space="0" w:color="000000"/>
              <w:left w:val="double" w:sz="6" w:space="0" w:color="000000"/>
              <w:bottom w:val="dashed" w:sz="4" w:space="0" w:color="000000"/>
              <w:right w:val="single" w:sz="8" w:space="0" w:color="000000"/>
            </w:tcBorders>
          </w:tcPr>
          <w:p w:rsidR="00E8309B" w:rsidRDefault="009D0949">
            <w:pPr>
              <w:spacing w:after="0" w:line="259" w:lineRule="auto"/>
              <w:ind w:left="0" w:right="0" w:firstLine="0"/>
              <w:jc w:val="left"/>
            </w:pPr>
            <w:r>
              <w:rPr>
                <w:sz w:val="20"/>
              </w:rPr>
              <w:t xml:space="preserve">Бруто инвестиције у основна средства </w:t>
            </w:r>
          </w:p>
        </w:tc>
        <w:tc>
          <w:tcPr>
            <w:tcW w:w="1604" w:type="dxa"/>
            <w:tcBorders>
              <w:top w:val="dashed" w:sz="4" w:space="0" w:color="000000"/>
              <w:left w:val="single" w:sz="8" w:space="0" w:color="000000"/>
              <w:bottom w:val="dashed" w:sz="4" w:space="0" w:color="000000"/>
              <w:right w:val="single" w:sz="8" w:space="0" w:color="000000"/>
            </w:tcBorders>
          </w:tcPr>
          <w:p w:rsidR="00E8309B" w:rsidRDefault="009D0949">
            <w:pPr>
              <w:spacing w:after="0" w:line="259" w:lineRule="auto"/>
              <w:ind w:left="0" w:right="46" w:firstLine="0"/>
              <w:jc w:val="center"/>
            </w:pPr>
            <w:r>
              <w:rPr>
                <w:sz w:val="20"/>
              </w:rPr>
              <w:t xml:space="preserve">P51  </w:t>
            </w:r>
          </w:p>
        </w:tc>
        <w:tc>
          <w:tcPr>
            <w:tcW w:w="984" w:type="dxa"/>
            <w:tcBorders>
              <w:top w:val="dashed" w:sz="4" w:space="0" w:color="000000"/>
              <w:left w:val="single" w:sz="8" w:space="0" w:color="000000"/>
              <w:bottom w:val="dashed" w:sz="4" w:space="0" w:color="000000"/>
              <w:right w:val="dashed" w:sz="4" w:space="0" w:color="000000"/>
            </w:tcBorders>
          </w:tcPr>
          <w:p w:rsidR="00E8309B" w:rsidRDefault="009D0949">
            <w:pPr>
              <w:spacing w:after="0" w:line="259" w:lineRule="auto"/>
              <w:ind w:left="0" w:right="52" w:firstLine="0"/>
              <w:jc w:val="right"/>
            </w:pPr>
            <w:r>
              <w:rPr>
                <w:sz w:val="20"/>
              </w:rPr>
              <w:t xml:space="preserve">964,3 </w:t>
            </w:r>
          </w:p>
        </w:tc>
        <w:tc>
          <w:tcPr>
            <w:tcW w:w="984"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52" w:firstLine="0"/>
              <w:jc w:val="right"/>
            </w:pPr>
            <w:r>
              <w:rPr>
                <w:sz w:val="20"/>
              </w:rPr>
              <w:t xml:space="preserve">1.129,7 </w:t>
            </w:r>
          </w:p>
        </w:tc>
        <w:tc>
          <w:tcPr>
            <w:tcW w:w="982"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50" w:firstLine="0"/>
              <w:jc w:val="right"/>
            </w:pPr>
            <w:r>
              <w:rPr>
                <w:sz w:val="20"/>
              </w:rPr>
              <w:t xml:space="preserve">1.075,5 </w:t>
            </w:r>
          </w:p>
        </w:tc>
        <w:tc>
          <w:tcPr>
            <w:tcW w:w="984"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50" w:firstLine="0"/>
              <w:jc w:val="right"/>
            </w:pPr>
            <w:r>
              <w:rPr>
                <w:sz w:val="20"/>
              </w:rPr>
              <w:t xml:space="preserve">1.218,6 </w:t>
            </w:r>
          </w:p>
        </w:tc>
        <w:tc>
          <w:tcPr>
            <w:tcW w:w="984"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52" w:firstLine="0"/>
              <w:jc w:val="right"/>
            </w:pPr>
            <w:r>
              <w:rPr>
                <w:sz w:val="20"/>
              </w:rPr>
              <w:t xml:space="preserve">1.305,3 </w:t>
            </w:r>
          </w:p>
        </w:tc>
        <w:tc>
          <w:tcPr>
            <w:tcW w:w="994" w:type="dxa"/>
            <w:tcBorders>
              <w:top w:val="dashed" w:sz="4" w:space="0" w:color="000000"/>
              <w:left w:val="dashed" w:sz="4" w:space="0" w:color="000000"/>
              <w:bottom w:val="dashed" w:sz="4" w:space="0" w:color="000000"/>
              <w:right w:val="double" w:sz="6" w:space="0" w:color="000000"/>
            </w:tcBorders>
          </w:tcPr>
          <w:p w:rsidR="00E8309B" w:rsidRDefault="009D0949">
            <w:pPr>
              <w:spacing w:after="0" w:line="259" w:lineRule="auto"/>
              <w:ind w:left="0" w:right="50" w:firstLine="0"/>
              <w:jc w:val="right"/>
            </w:pPr>
            <w:r>
              <w:rPr>
                <w:sz w:val="20"/>
              </w:rPr>
              <w:t xml:space="preserve">1.406,5 </w:t>
            </w:r>
          </w:p>
        </w:tc>
      </w:tr>
      <w:tr w:rsidR="00E8309B">
        <w:trPr>
          <w:trHeight w:val="240"/>
        </w:trPr>
        <w:tc>
          <w:tcPr>
            <w:tcW w:w="6750" w:type="dxa"/>
            <w:tcBorders>
              <w:top w:val="dashed" w:sz="4" w:space="0" w:color="000000"/>
              <w:left w:val="double" w:sz="6" w:space="0" w:color="000000"/>
              <w:bottom w:val="dashed" w:sz="4" w:space="0" w:color="000000"/>
              <w:right w:val="single" w:sz="8" w:space="0" w:color="000000"/>
            </w:tcBorders>
          </w:tcPr>
          <w:p w:rsidR="00E8309B" w:rsidRDefault="009D0949">
            <w:pPr>
              <w:spacing w:after="0" w:line="259" w:lineRule="auto"/>
              <w:ind w:left="0" w:right="0" w:firstLine="0"/>
              <w:jc w:val="left"/>
            </w:pPr>
            <w:r>
              <w:rPr>
                <w:sz w:val="20"/>
              </w:rPr>
              <w:t xml:space="preserve">Домаћа тражња </w:t>
            </w:r>
          </w:p>
        </w:tc>
        <w:tc>
          <w:tcPr>
            <w:tcW w:w="1604" w:type="dxa"/>
            <w:tcBorders>
              <w:top w:val="dashed" w:sz="4" w:space="0" w:color="000000"/>
              <w:left w:val="single" w:sz="8" w:space="0" w:color="000000"/>
              <w:bottom w:val="dashed" w:sz="4" w:space="0" w:color="000000"/>
              <w:right w:val="single" w:sz="8" w:space="0" w:color="000000"/>
            </w:tcBorders>
          </w:tcPr>
          <w:p w:rsidR="00E8309B" w:rsidRDefault="00E8309B">
            <w:pPr>
              <w:spacing w:after="160" w:line="259" w:lineRule="auto"/>
              <w:ind w:left="0" w:right="0" w:firstLine="0"/>
              <w:jc w:val="left"/>
            </w:pPr>
          </w:p>
        </w:tc>
        <w:tc>
          <w:tcPr>
            <w:tcW w:w="984" w:type="dxa"/>
            <w:tcBorders>
              <w:top w:val="dashed" w:sz="4" w:space="0" w:color="000000"/>
              <w:left w:val="single" w:sz="8" w:space="0" w:color="000000"/>
              <w:bottom w:val="dashed" w:sz="4" w:space="0" w:color="000000"/>
              <w:right w:val="dashed" w:sz="4" w:space="0" w:color="000000"/>
            </w:tcBorders>
          </w:tcPr>
          <w:p w:rsidR="00E8309B" w:rsidRDefault="009D0949">
            <w:pPr>
              <w:spacing w:after="0" w:line="259" w:lineRule="auto"/>
              <w:ind w:left="0" w:right="52" w:firstLine="0"/>
              <w:jc w:val="right"/>
            </w:pPr>
            <w:r>
              <w:rPr>
                <w:sz w:val="20"/>
              </w:rPr>
              <w:t xml:space="preserve">5.054,8 </w:t>
            </w:r>
          </w:p>
        </w:tc>
        <w:tc>
          <w:tcPr>
            <w:tcW w:w="984"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52" w:firstLine="0"/>
              <w:jc w:val="right"/>
            </w:pPr>
            <w:r>
              <w:rPr>
                <w:sz w:val="20"/>
              </w:rPr>
              <w:t xml:space="preserve">5.354,0 </w:t>
            </w:r>
          </w:p>
        </w:tc>
        <w:tc>
          <w:tcPr>
            <w:tcW w:w="982"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50" w:firstLine="0"/>
              <w:jc w:val="right"/>
            </w:pPr>
            <w:r>
              <w:rPr>
                <w:sz w:val="20"/>
              </w:rPr>
              <w:t xml:space="preserve">5.278,0 </w:t>
            </w:r>
          </w:p>
        </w:tc>
        <w:tc>
          <w:tcPr>
            <w:tcW w:w="984"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50" w:firstLine="0"/>
              <w:jc w:val="right"/>
            </w:pPr>
            <w:r>
              <w:rPr>
                <w:sz w:val="20"/>
              </w:rPr>
              <w:t xml:space="preserve">5.609,2 </w:t>
            </w:r>
          </w:p>
        </w:tc>
        <w:tc>
          <w:tcPr>
            <w:tcW w:w="984"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52" w:firstLine="0"/>
              <w:jc w:val="right"/>
            </w:pPr>
            <w:r>
              <w:rPr>
                <w:sz w:val="20"/>
              </w:rPr>
              <w:t xml:space="preserve">5.818,2 </w:t>
            </w:r>
          </w:p>
        </w:tc>
        <w:tc>
          <w:tcPr>
            <w:tcW w:w="994" w:type="dxa"/>
            <w:tcBorders>
              <w:top w:val="dashed" w:sz="4" w:space="0" w:color="000000"/>
              <w:left w:val="dashed" w:sz="4" w:space="0" w:color="000000"/>
              <w:bottom w:val="dashed" w:sz="4" w:space="0" w:color="000000"/>
              <w:right w:val="double" w:sz="6" w:space="0" w:color="000000"/>
            </w:tcBorders>
          </w:tcPr>
          <w:p w:rsidR="00E8309B" w:rsidRDefault="009D0949">
            <w:pPr>
              <w:spacing w:after="0" w:line="259" w:lineRule="auto"/>
              <w:ind w:left="0" w:right="50" w:firstLine="0"/>
              <w:jc w:val="right"/>
            </w:pPr>
            <w:r>
              <w:rPr>
                <w:sz w:val="20"/>
              </w:rPr>
              <w:t xml:space="preserve">6.038,8 </w:t>
            </w:r>
          </w:p>
        </w:tc>
      </w:tr>
      <w:tr w:rsidR="00E8309B">
        <w:trPr>
          <w:trHeight w:val="240"/>
        </w:trPr>
        <w:tc>
          <w:tcPr>
            <w:tcW w:w="6750" w:type="dxa"/>
            <w:tcBorders>
              <w:top w:val="dashed" w:sz="4" w:space="0" w:color="000000"/>
              <w:left w:val="double" w:sz="6" w:space="0" w:color="000000"/>
              <w:bottom w:val="dashed" w:sz="4" w:space="0" w:color="000000"/>
              <w:right w:val="single" w:sz="8" w:space="0" w:color="000000"/>
            </w:tcBorders>
          </w:tcPr>
          <w:p w:rsidR="00E8309B" w:rsidRDefault="009D0949">
            <w:pPr>
              <w:spacing w:after="0" w:line="259" w:lineRule="auto"/>
              <w:ind w:left="0" w:right="0" w:firstLine="0"/>
              <w:jc w:val="left"/>
            </w:pPr>
            <w:r>
              <w:rPr>
                <w:sz w:val="20"/>
              </w:rPr>
              <w:t xml:space="preserve">6. Промене у залихама и нето набавка драгоцености </w:t>
            </w:r>
          </w:p>
        </w:tc>
        <w:tc>
          <w:tcPr>
            <w:tcW w:w="1604" w:type="dxa"/>
            <w:tcBorders>
              <w:top w:val="dashed" w:sz="4" w:space="0" w:color="000000"/>
              <w:left w:val="single" w:sz="8" w:space="0" w:color="000000"/>
              <w:bottom w:val="dashed" w:sz="4" w:space="0" w:color="000000"/>
              <w:right w:val="single" w:sz="8" w:space="0" w:color="000000"/>
            </w:tcBorders>
          </w:tcPr>
          <w:p w:rsidR="00E8309B" w:rsidRDefault="009D0949">
            <w:pPr>
              <w:spacing w:after="0" w:line="259" w:lineRule="auto"/>
              <w:ind w:left="0" w:right="47" w:firstLine="0"/>
              <w:jc w:val="center"/>
            </w:pPr>
            <w:r>
              <w:rPr>
                <w:sz w:val="20"/>
              </w:rPr>
              <w:t xml:space="preserve">P52+P53 </w:t>
            </w:r>
          </w:p>
        </w:tc>
        <w:tc>
          <w:tcPr>
            <w:tcW w:w="984" w:type="dxa"/>
            <w:tcBorders>
              <w:top w:val="dashed" w:sz="4" w:space="0" w:color="000000"/>
              <w:left w:val="single" w:sz="8" w:space="0" w:color="000000"/>
              <w:bottom w:val="dashed" w:sz="4" w:space="0" w:color="000000"/>
              <w:right w:val="dashed" w:sz="4" w:space="0" w:color="000000"/>
            </w:tcBorders>
          </w:tcPr>
          <w:p w:rsidR="00E8309B" w:rsidRDefault="009D0949">
            <w:pPr>
              <w:spacing w:after="0" w:line="259" w:lineRule="auto"/>
              <w:ind w:left="0" w:right="52" w:firstLine="0"/>
              <w:jc w:val="right"/>
            </w:pPr>
            <w:r>
              <w:rPr>
                <w:sz w:val="20"/>
              </w:rPr>
              <w:t xml:space="preserve">130,2 </w:t>
            </w:r>
          </w:p>
        </w:tc>
        <w:tc>
          <w:tcPr>
            <w:tcW w:w="984"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52" w:firstLine="0"/>
              <w:jc w:val="right"/>
            </w:pPr>
            <w:r>
              <w:rPr>
                <w:sz w:val="20"/>
              </w:rPr>
              <w:t xml:space="preserve">154,8 </w:t>
            </w:r>
          </w:p>
        </w:tc>
        <w:tc>
          <w:tcPr>
            <w:tcW w:w="982"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49" w:firstLine="0"/>
              <w:jc w:val="right"/>
            </w:pPr>
            <w:r>
              <w:rPr>
                <w:sz w:val="20"/>
              </w:rPr>
              <w:t xml:space="preserve">154,3 </w:t>
            </w:r>
          </w:p>
        </w:tc>
        <w:tc>
          <w:tcPr>
            <w:tcW w:w="984"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49" w:firstLine="0"/>
              <w:jc w:val="right"/>
            </w:pPr>
            <w:r>
              <w:rPr>
                <w:sz w:val="20"/>
              </w:rPr>
              <w:t xml:space="preserve">156,8 </w:t>
            </w:r>
          </w:p>
        </w:tc>
        <w:tc>
          <w:tcPr>
            <w:tcW w:w="984"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52" w:firstLine="0"/>
              <w:jc w:val="right"/>
            </w:pPr>
            <w:r>
              <w:rPr>
                <w:sz w:val="20"/>
              </w:rPr>
              <w:t xml:space="preserve">158,9 </w:t>
            </w:r>
          </w:p>
        </w:tc>
        <w:tc>
          <w:tcPr>
            <w:tcW w:w="994" w:type="dxa"/>
            <w:tcBorders>
              <w:top w:val="dashed" w:sz="4" w:space="0" w:color="000000"/>
              <w:left w:val="dashed" w:sz="4" w:space="0" w:color="000000"/>
              <w:bottom w:val="dashed" w:sz="4" w:space="0" w:color="000000"/>
              <w:right w:val="double" w:sz="6" w:space="0" w:color="000000"/>
            </w:tcBorders>
          </w:tcPr>
          <w:p w:rsidR="00E8309B" w:rsidRDefault="009D0949">
            <w:pPr>
              <w:spacing w:after="0" w:line="259" w:lineRule="auto"/>
              <w:ind w:left="0" w:right="49" w:firstLine="0"/>
              <w:jc w:val="right"/>
            </w:pPr>
            <w:r>
              <w:rPr>
                <w:sz w:val="20"/>
              </w:rPr>
              <w:t xml:space="preserve">156,9 </w:t>
            </w:r>
          </w:p>
        </w:tc>
      </w:tr>
      <w:tr w:rsidR="00E8309B">
        <w:trPr>
          <w:trHeight w:val="240"/>
        </w:trPr>
        <w:tc>
          <w:tcPr>
            <w:tcW w:w="6750" w:type="dxa"/>
            <w:tcBorders>
              <w:top w:val="dashed" w:sz="4" w:space="0" w:color="000000"/>
              <w:left w:val="double" w:sz="6" w:space="0" w:color="000000"/>
              <w:bottom w:val="dashed" w:sz="4" w:space="0" w:color="000000"/>
              <w:right w:val="single" w:sz="8" w:space="0" w:color="000000"/>
            </w:tcBorders>
          </w:tcPr>
          <w:p w:rsidR="00E8309B" w:rsidRDefault="009D0949">
            <w:pPr>
              <w:spacing w:after="0" w:line="259" w:lineRule="auto"/>
              <w:ind w:left="0" w:right="0" w:firstLine="0"/>
              <w:jc w:val="left"/>
            </w:pPr>
            <w:r>
              <w:rPr>
                <w:sz w:val="20"/>
              </w:rPr>
              <w:t xml:space="preserve">Извоз робе и услуга </w:t>
            </w:r>
          </w:p>
        </w:tc>
        <w:tc>
          <w:tcPr>
            <w:tcW w:w="1604" w:type="dxa"/>
            <w:tcBorders>
              <w:top w:val="dashed" w:sz="4" w:space="0" w:color="000000"/>
              <w:left w:val="single" w:sz="8" w:space="0" w:color="000000"/>
              <w:bottom w:val="dashed" w:sz="4" w:space="0" w:color="000000"/>
              <w:right w:val="single" w:sz="8" w:space="0" w:color="000000"/>
            </w:tcBorders>
          </w:tcPr>
          <w:p w:rsidR="00E8309B" w:rsidRDefault="009D0949">
            <w:pPr>
              <w:spacing w:after="0" w:line="259" w:lineRule="auto"/>
              <w:ind w:left="0" w:right="46" w:firstLine="0"/>
              <w:jc w:val="center"/>
            </w:pPr>
            <w:r>
              <w:rPr>
                <w:sz w:val="20"/>
              </w:rPr>
              <w:t xml:space="preserve">P6 </w:t>
            </w:r>
          </w:p>
        </w:tc>
        <w:tc>
          <w:tcPr>
            <w:tcW w:w="984" w:type="dxa"/>
            <w:tcBorders>
              <w:top w:val="dashed" w:sz="4" w:space="0" w:color="000000"/>
              <w:left w:val="single" w:sz="8" w:space="0" w:color="000000"/>
              <w:bottom w:val="dashed" w:sz="4" w:space="0" w:color="000000"/>
              <w:right w:val="dashed" w:sz="4" w:space="0" w:color="000000"/>
            </w:tcBorders>
          </w:tcPr>
          <w:p w:rsidR="00E8309B" w:rsidRDefault="009D0949">
            <w:pPr>
              <w:spacing w:after="0" w:line="259" w:lineRule="auto"/>
              <w:ind w:left="0" w:right="52" w:firstLine="0"/>
              <w:jc w:val="right"/>
            </w:pPr>
            <w:r>
              <w:rPr>
                <w:sz w:val="20"/>
              </w:rPr>
              <w:t xml:space="preserve">2.540,5 </w:t>
            </w:r>
          </w:p>
        </w:tc>
        <w:tc>
          <w:tcPr>
            <w:tcW w:w="984"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52" w:firstLine="0"/>
              <w:jc w:val="right"/>
            </w:pPr>
            <w:r>
              <w:rPr>
                <w:sz w:val="20"/>
              </w:rPr>
              <w:t xml:space="preserve">2.735,3 </w:t>
            </w:r>
          </w:p>
        </w:tc>
        <w:tc>
          <w:tcPr>
            <w:tcW w:w="982"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50" w:firstLine="0"/>
              <w:jc w:val="right"/>
            </w:pPr>
            <w:r>
              <w:rPr>
                <w:sz w:val="20"/>
              </w:rPr>
              <w:t xml:space="preserve">2.546,6 </w:t>
            </w:r>
          </w:p>
        </w:tc>
        <w:tc>
          <w:tcPr>
            <w:tcW w:w="984"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50" w:firstLine="0"/>
              <w:jc w:val="right"/>
            </w:pPr>
            <w:r>
              <w:rPr>
                <w:sz w:val="20"/>
              </w:rPr>
              <w:t xml:space="preserve">2.792,1 </w:t>
            </w:r>
          </w:p>
        </w:tc>
        <w:tc>
          <w:tcPr>
            <w:tcW w:w="984"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52" w:firstLine="0"/>
              <w:jc w:val="right"/>
            </w:pPr>
            <w:r>
              <w:rPr>
                <w:sz w:val="20"/>
              </w:rPr>
              <w:t xml:space="preserve">3.046,1 </w:t>
            </w:r>
          </w:p>
        </w:tc>
        <w:tc>
          <w:tcPr>
            <w:tcW w:w="994" w:type="dxa"/>
            <w:tcBorders>
              <w:top w:val="dashed" w:sz="4" w:space="0" w:color="000000"/>
              <w:left w:val="dashed" w:sz="4" w:space="0" w:color="000000"/>
              <w:bottom w:val="dashed" w:sz="4" w:space="0" w:color="000000"/>
              <w:right w:val="double" w:sz="6" w:space="0" w:color="000000"/>
            </w:tcBorders>
          </w:tcPr>
          <w:p w:rsidR="00E8309B" w:rsidRDefault="009D0949">
            <w:pPr>
              <w:spacing w:after="0" w:line="259" w:lineRule="auto"/>
              <w:ind w:left="0" w:right="50" w:firstLine="0"/>
              <w:jc w:val="right"/>
            </w:pPr>
            <w:r>
              <w:rPr>
                <w:sz w:val="20"/>
              </w:rPr>
              <w:t xml:space="preserve">3.328,2 </w:t>
            </w:r>
          </w:p>
        </w:tc>
      </w:tr>
      <w:tr w:rsidR="00E8309B">
        <w:trPr>
          <w:trHeight w:val="240"/>
        </w:trPr>
        <w:tc>
          <w:tcPr>
            <w:tcW w:w="6750" w:type="dxa"/>
            <w:tcBorders>
              <w:top w:val="dashed" w:sz="4" w:space="0" w:color="000000"/>
              <w:left w:val="double" w:sz="6" w:space="0" w:color="000000"/>
              <w:bottom w:val="dashed" w:sz="4" w:space="0" w:color="000000"/>
              <w:right w:val="single" w:sz="8" w:space="0" w:color="000000"/>
            </w:tcBorders>
          </w:tcPr>
          <w:p w:rsidR="00E8309B" w:rsidRDefault="009D0949">
            <w:pPr>
              <w:spacing w:after="0" w:line="259" w:lineRule="auto"/>
              <w:ind w:left="0" w:right="0" w:firstLine="0"/>
              <w:jc w:val="left"/>
            </w:pPr>
            <w:r>
              <w:rPr>
                <w:sz w:val="20"/>
              </w:rPr>
              <w:t xml:space="preserve">Увоз робе и услуга </w:t>
            </w:r>
          </w:p>
        </w:tc>
        <w:tc>
          <w:tcPr>
            <w:tcW w:w="1604" w:type="dxa"/>
            <w:tcBorders>
              <w:top w:val="dashed" w:sz="4" w:space="0" w:color="000000"/>
              <w:left w:val="single" w:sz="8" w:space="0" w:color="000000"/>
              <w:bottom w:val="dashed" w:sz="4" w:space="0" w:color="000000"/>
              <w:right w:val="single" w:sz="8" w:space="0" w:color="000000"/>
            </w:tcBorders>
          </w:tcPr>
          <w:p w:rsidR="00E8309B" w:rsidRDefault="009D0949">
            <w:pPr>
              <w:spacing w:after="0" w:line="259" w:lineRule="auto"/>
              <w:ind w:left="0" w:right="46" w:firstLine="0"/>
              <w:jc w:val="center"/>
            </w:pPr>
            <w:r>
              <w:rPr>
                <w:sz w:val="20"/>
              </w:rPr>
              <w:t xml:space="preserve">P7  </w:t>
            </w:r>
          </w:p>
        </w:tc>
        <w:tc>
          <w:tcPr>
            <w:tcW w:w="984" w:type="dxa"/>
            <w:tcBorders>
              <w:top w:val="dashed" w:sz="4" w:space="0" w:color="000000"/>
              <w:left w:val="single" w:sz="8" w:space="0" w:color="000000"/>
              <w:bottom w:val="dashed" w:sz="4" w:space="0" w:color="000000"/>
              <w:right w:val="dashed" w:sz="4" w:space="0" w:color="000000"/>
            </w:tcBorders>
          </w:tcPr>
          <w:p w:rsidR="00E8309B" w:rsidRDefault="009D0949">
            <w:pPr>
              <w:spacing w:after="0" w:line="259" w:lineRule="auto"/>
              <w:ind w:left="0" w:right="52" w:firstLine="0"/>
              <w:jc w:val="right"/>
            </w:pPr>
            <w:r>
              <w:rPr>
                <w:sz w:val="20"/>
              </w:rPr>
              <w:t xml:space="preserve">2.968,0 </w:t>
            </w:r>
          </w:p>
        </w:tc>
        <w:tc>
          <w:tcPr>
            <w:tcW w:w="984"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52" w:firstLine="0"/>
              <w:jc w:val="right"/>
            </w:pPr>
            <w:r>
              <w:rPr>
                <w:sz w:val="20"/>
              </w:rPr>
              <w:t xml:space="preserve">3.284,6 </w:t>
            </w:r>
          </w:p>
        </w:tc>
        <w:tc>
          <w:tcPr>
            <w:tcW w:w="982"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50" w:firstLine="0"/>
              <w:jc w:val="right"/>
            </w:pPr>
            <w:r>
              <w:rPr>
                <w:sz w:val="20"/>
              </w:rPr>
              <w:t xml:space="preserve">3.071,1 </w:t>
            </w:r>
          </w:p>
        </w:tc>
        <w:tc>
          <w:tcPr>
            <w:tcW w:w="984"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50" w:firstLine="0"/>
              <w:jc w:val="right"/>
            </w:pPr>
            <w:r>
              <w:rPr>
                <w:sz w:val="20"/>
              </w:rPr>
              <w:t xml:space="preserve">3.356,7 </w:t>
            </w:r>
          </w:p>
        </w:tc>
        <w:tc>
          <w:tcPr>
            <w:tcW w:w="984"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52" w:firstLine="0"/>
              <w:jc w:val="right"/>
            </w:pPr>
            <w:r>
              <w:rPr>
                <w:sz w:val="20"/>
              </w:rPr>
              <w:t xml:space="preserve">3.613,8 </w:t>
            </w:r>
          </w:p>
        </w:tc>
        <w:tc>
          <w:tcPr>
            <w:tcW w:w="994" w:type="dxa"/>
            <w:tcBorders>
              <w:top w:val="dashed" w:sz="4" w:space="0" w:color="000000"/>
              <w:left w:val="dashed" w:sz="4" w:space="0" w:color="000000"/>
              <w:bottom w:val="dashed" w:sz="4" w:space="0" w:color="000000"/>
              <w:right w:val="double" w:sz="6" w:space="0" w:color="000000"/>
            </w:tcBorders>
          </w:tcPr>
          <w:p w:rsidR="00E8309B" w:rsidRDefault="009D0949">
            <w:pPr>
              <w:spacing w:after="0" w:line="259" w:lineRule="auto"/>
              <w:ind w:left="0" w:right="50" w:firstLine="0"/>
              <w:jc w:val="right"/>
            </w:pPr>
            <w:r>
              <w:rPr>
                <w:sz w:val="20"/>
              </w:rPr>
              <w:t xml:space="preserve">3.897,2 </w:t>
            </w:r>
          </w:p>
        </w:tc>
      </w:tr>
      <w:tr w:rsidR="00E8309B">
        <w:trPr>
          <w:trHeight w:val="240"/>
        </w:trPr>
        <w:tc>
          <w:tcPr>
            <w:tcW w:w="6750" w:type="dxa"/>
            <w:tcBorders>
              <w:top w:val="dashed" w:sz="4" w:space="0" w:color="000000"/>
              <w:left w:val="double" w:sz="6" w:space="0" w:color="000000"/>
              <w:bottom w:val="single" w:sz="4" w:space="0" w:color="000000"/>
              <w:right w:val="single" w:sz="8" w:space="0" w:color="000000"/>
            </w:tcBorders>
          </w:tcPr>
          <w:p w:rsidR="00E8309B" w:rsidRDefault="009D0949">
            <w:pPr>
              <w:spacing w:after="0" w:line="259" w:lineRule="auto"/>
              <w:ind w:left="0" w:right="0" w:firstLine="0"/>
              <w:jc w:val="left"/>
            </w:pPr>
            <w:r>
              <w:rPr>
                <w:sz w:val="20"/>
              </w:rPr>
              <w:t xml:space="preserve">Нето извоз </w:t>
            </w:r>
          </w:p>
        </w:tc>
        <w:tc>
          <w:tcPr>
            <w:tcW w:w="1604" w:type="dxa"/>
            <w:tcBorders>
              <w:top w:val="dashed" w:sz="4" w:space="0" w:color="000000"/>
              <w:left w:val="single" w:sz="8" w:space="0" w:color="000000"/>
              <w:bottom w:val="single" w:sz="4" w:space="0" w:color="000000"/>
              <w:right w:val="single" w:sz="8" w:space="0" w:color="000000"/>
            </w:tcBorders>
          </w:tcPr>
          <w:p w:rsidR="00E8309B" w:rsidRDefault="00E8309B">
            <w:pPr>
              <w:spacing w:after="160" w:line="259" w:lineRule="auto"/>
              <w:ind w:left="0" w:right="0" w:firstLine="0"/>
              <w:jc w:val="left"/>
            </w:pPr>
          </w:p>
        </w:tc>
        <w:tc>
          <w:tcPr>
            <w:tcW w:w="984" w:type="dxa"/>
            <w:tcBorders>
              <w:top w:val="dashed" w:sz="4" w:space="0" w:color="000000"/>
              <w:left w:val="single" w:sz="8" w:space="0" w:color="000000"/>
              <w:bottom w:val="single" w:sz="4" w:space="0" w:color="000000"/>
              <w:right w:val="dashed" w:sz="4" w:space="0" w:color="000000"/>
            </w:tcBorders>
          </w:tcPr>
          <w:p w:rsidR="00E8309B" w:rsidRDefault="009D0949">
            <w:pPr>
              <w:spacing w:after="0" w:line="259" w:lineRule="auto"/>
              <w:ind w:left="0" w:right="52" w:firstLine="0"/>
              <w:jc w:val="right"/>
            </w:pPr>
            <w:r>
              <w:rPr>
                <w:sz w:val="20"/>
              </w:rPr>
              <w:t xml:space="preserve">-427,6 </w:t>
            </w:r>
          </w:p>
        </w:tc>
        <w:tc>
          <w:tcPr>
            <w:tcW w:w="984" w:type="dxa"/>
            <w:tcBorders>
              <w:top w:val="dashed" w:sz="4" w:space="0" w:color="000000"/>
              <w:left w:val="dashed" w:sz="4" w:space="0" w:color="000000"/>
              <w:bottom w:val="single" w:sz="4" w:space="0" w:color="000000"/>
              <w:right w:val="dashed" w:sz="4" w:space="0" w:color="000000"/>
            </w:tcBorders>
          </w:tcPr>
          <w:p w:rsidR="00E8309B" w:rsidRDefault="009D0949">
            <w:pPr>
              <w:spacing w:after="0" w:line="259" w:lineRule="auto"/>
              <w:ind w:left="0" w:right="52" w:firstLine="0"/>
              <w:jc w:val="right"/>
            </w:pPr>
            <w:r>
              <w:rPr>
                <w:sz w:val="20"/>
              </w:rPr>
              <w:t xml:space="preserve">-549,3 </w:t>
            </w:r>
          </w:p>
        </w:tc>
        <w:tc>
          <w:tcPr>
            <w:tcW w:w="982" w:type="dxa"/>
            <w:tcBorders>
              <w:top w:val="dashed" w:sz="4" w:space="0" w:color="000000"/>
              <w:left w:val="dashed" w:sz="4" w:space="0" w:color="000000"/>
              <w:bottom w:val="single" w:sz="4" w:space="0" w:color="000000"/>
              <w:right w:val="dashed" w:sz="4" w:space="0" w:color="000000"/>
            </w:tcBorders>
          </w:tcPr>
          <w:p w:rsidR="00E8309B" w:rsidRDefault="009D0949">
            <w:pPr>
              <w:spacing w:after="0" w:line="259" w:lineRule="auto"/>
              <w:ind w:left="0" w:right="49" w:firstLine="0"/>
              <w:jc w:val="right"/>
            </w:pPr>
            <w:r>
              <w:rPr>
                <w:sz w:val="20"/>
              </w:rPr>
              <w:t xml:space="preserve">-524,5 </w:t>
            </w:r>
          </w:p>
        </w:tc>
        <w:tc>
          <w:tcPr>
            <w:tcW w:w="984" w:type="dxa"/>
            <w:tcBorders>
              <w:top w:val="dashed" w:sz="4" w:space="0" w:color="000000"/>
              <w:left w:val="dashed" w:sz="4" w:space="0" w:color="000000"/>
              <w:bottom w:val="single" w:sz="4" w:space="0" w:color="000000"/>
              <w:right w:val="dashed" w:sz="4" w:space="0" w:color="000000"/>
            </w:tcBorders>
          </w:tcPr>
          <w:p w:rsidR="00E8309B" w:rsidRDefault="009D0949">
            <w:pPr>
              <w:spacing w:after="0" w:line="259" w:lineRule="auto"/>
              <w:ind w:left="0" w:right="49" w:firstLine="0"/>
              <w:jc w:val="right"/>
            </w:pPr>
            <w:r>
              <w:rPr>
                <w:sz w:val="20"/>
              </w:rPr>
              <w:t xml:space="preserve">-564,7 </w:t>
            </w:r>
          </w:p>
        </w:tc>
        <w:tc>
          <w:tcPr>
            <w:tcW w:w="984" w:type="dxa"/>
            <w:tcBorders>
              <w:top w:val="dashed" w:sz="4" w:space="0" w:color="000000"/>
              <w:left w:val="dashed" w:sz="4" w:space="0" w:color="000000"/>
              <w:bottom w:val="single" w:sz="4" w:space="0" w:color="000000"/>
              <w:right w:val="dashed" w:sz="4" w:space="0" w:color="000000"/>
            </w:tcBorders>
          </w:tcPr>
          <w:p w:rsidR="00E8309B" w:rsidRDefault="009D0949">
            <w:pPr>
              <w:spacing w:after="0" w:line="259" w:lineRule="auto"/>
              <w:ind w:left="0" w:right="52" w:firstLine="0"/>
              <w:jc w:val="right"/>
            </w:pPr>
            <w:r>
              <w:rPr>
                <w:sz w:val="20"/>
              </w:rPr>
              <w:t xml:space="preserve">-567,7 </w:t>
            </w:r>
          </w:p>
        </w:tc>
        <w:tc>
          <w:tcPr>
            <w:tcW w:w="994" w:type="dxa"/>
            <w:tcBorders>
              <w:top w:val="dashed" w:sz="4" w:space="0" w:color="000000"/>
              <w:left w:val="dashed" w:sz="4" w:space="0" w:color="000000"/>
              <w:bottom w:val="single" w:sz="4" w:space="0" w:color="000000"/>
              <w:right w:val="double" w:sz="6" w:space="0" w:color="000000"/>
            </w:tcBorders>
          </w:tcPr>
          <w:p w:rsidR="00E8309B" w:rsidRDefault="009D0949">
            <w:pPr>
              <w:spacing w:after="0" w:line="259" w:lineRule="auto"/>
              <w:ind w:left="0" w:right="49" w:firstLine="0"/>
              <w:jc w:val="right"/>
            </w:pPr>
            <w:r>
              <w:rPr>
                <w:sz w:val="20"/>
              </w:rPr>
              <w:t xml:space="preserve">-569,0 </w:t>
            </w:r>
          </w:p>
        </w:tc>
      </w:tr>
      <w:tr w:rsidR="00E8309B">
        <w:trPr>
          <w:trHeight w:val="240"/>
        </w:trPr>
        <w:tc>
          <w:tcPr>
            <w:tcW w:w="6750" w:type="dxa"/>
            <w:tcBorders>
              <w:top w:val="single" w:sz="4" w:space="0" w:color="000000"/>
              <w:left w:val="double" w:sz="6" w:space="0" w:color="000000"/>
              <w:bottom w:val="single" w:sz="4" w:space="0" w:color="000000"/>
              <w:right w:val="single" w:sz="8" w:space="0" w:color="000000"/>
            </w:tcBorders>
          </w:tcPr>
          <w:p w:rsidR="00E8309B" w:rsidRDefault="009D0949">
            <w:pPr>
              <w:spacing w:after="0" w:line="259" w:lineRule="auto"/>
              <w:ind w:left="0" w:right="56" w:firstLine="0"/>
              <w:jc w:val="center"/>
            </w:pPr>
            <w:r>
              <w:rPr>
                <w:b/>
                <w:sz w:val="20"/>
              </w:rPr>
              <w:t xml:space="preserve">1a: Расходна страна, текуће цене (млрд РСД) </w:t>
            </w:r>
          </w:p>
        </w:tc>
        <w:tc>
          <w:tcPr>
            <w:tcW w:w="1604" w:type="dxa"/>
            <w:tcBorders>
              <w:top w:val="single" w:sz="4" w:space="0" w:color="000000"/>
              <w:left w:val="single" w:sz="8" w:space="0" w:color="000000"/>
              <w:bottom w:val="single" w:sz="4" w:space="0" w:color="000000"/>
              <w:right w:val="single" w:sz="8" w:space="0" w:color="000000"/>
            </w:tcBorders>
          </w:tcPr>
          <w:p w:rsidR="00E8309B" w:rsidRDefault="009D0949">
            <w:pPr>
              <w:spacing w:after="0" w:line="259" w:lineRule="auto"/>
              <w:ind w:left="3" w:right="0" w:firstLine="0"/>
              <w:jc w:val="center"/>
            </w:pPr>
            <w:r>
              <w:rPr>
                <w:sz w:val="20"/>
              </w:rPr>
              <w:t xml:space="preserve"> </w:t>
            </w:r>
          </w:p>
        </w:tc>
        <w:tc>
          <w:tcPr>
            <w:tcW w:w="984" w:type="dxa"/>
            <w:tcBorders>
              <w:top w:val="single" w:sz="4" w:space="0" w:color="000000"/>
              <w:left w:val="single" w:sz="8" w:space="0" w:color="000000"/>
              <w:bottom w:val="single" w:sz="4" w:space="0" w:color="000000"/>
              <w:right w:val="dashed" w:sz="4" w:space="0" w:color="000000"/>
            </w:tcBorders>
          </w:tcPr>
          <w:p w:rsidR="00E8309B" w:rsidRDefault="009D0949">
            <w:pPr>
              <w:spacing w:after="0" w:line="259" w:lineRule="auto"/>
              <w:ind w:left="0" w:right="2" w:firstLine="0"/>
              <w:jc w:val="right"/>
            </w:pPr>
            <w:r>
              <w:rPr>
                <w:sz w:val="20"/>
              </w:rPr>
              <w:t xml:space="preserve">  </w:t>
            </w:r>
          </w:p>
        </w:tc>
        <w:tc>
          <w:tcPr>
            <w:tcW w:w="984" w:type="dxa"/>
            <w:tcBorders>
              <w:top w:val="single" w:sz="4" w:space="0" w:color="000000"/>
              <w:left w:val="dashed" w:sz="4" w:space="0" w:color="000000"/>
              <w:bottom w:val="single" w:sz="4" w:space="0" w:color="000000"/>
              <w:right w:val="dashed" w:sz="4" w:space="0" w:color="000000"/>
            </w:tcBorders>
          </w:tcPr>
          <w:p w:rsidR="00E8309B" w:rsidRDefault="009D0949">
            <w:pPr>
              <w:spacing w:after="0" w:line="259" w:lineRule="auto"/>
              <w:ind w:left="0" w:right="2" w:firstLine="0"/>
              <w:jc w:val="right"/>
            </w:pPr>
            <w:r>
              <w:rPr>
                <w:sz w:val="20"/>
              </w:rPr>
              <w:t xml:space="preserve">  </w:t>
            </w:r>
          </w:p>
        </w:tc>
        <w:tc>
          <w:tcPr>
            <w:tcW w:w="982" w:type="dxa"/>
            <w:tcBorders>
              <w:top w:val="single" w:sz="4" w:space="0" w:color="000000"/>
              <w:left w:val="dashed" w:sz="4" w:space="0" w:color="000000"/>
              <w:bottom w:val="single" w:sz="4" w:space="0" w:color="000000"/>
              <w:right w:val="dashed" w:sz="4" w:space="0" w:color="000000"/>
            </w:tcBorders>
          </w:tcPr>
          <w:p w:rsidR="00E8309B" w:rsidRDefault="009D0949">
            <w:pPr>
              <w:spacing w:after="0" w:line="259" w:lineRule="auto"/>
              <w:ind w:left="0" w:right="0" w:firstLine="0"/>
              <w:jc w:val="right"/>
            </w:pPr>
            <w:r>
              <w:rPr>
                <w:sz w:val="20"/>
              </w:rPr>
              <w:t xml:space="preserve">  </w:t>
            </w:r>
          </w:p>
        </w:tc>
        <w:tc>
          <w:tcPr>
            <w:tcW w:w="984" w:type="dxa"/>
            <w:tcBorders>
              <w:top w:val="single" w:sz="4" w:space="0" w:color="000000"/>
              <w:left w:val="dashed" w:sz="4" w:space="0" w:color="000000"/>
              <w:bottom w:val="single" w:sz="4" w:space="0" w:color="000000"/>
              <w:right w:val="dashed" w:sz="4" w:space="0" w:color="000000"/>
            </w:tcBorders>
          </w:tcPr>
          <w:p w:rsidR="00E8309B" w:rsidRDefault="009D0949">
            <w:pPr>
              <w:spacing w:after="0" w:line="259" w:lineRule="auto"/>
              <w:ind w:left="0" w:right="0" w:firstLine="0"/>
              <w:jc w:val="right"/>
            </w:pPr>
            <w:r>
              <w:rPr>
                <w:sz w:val="20"/>
              </w:rPr>
              <w:t xml:space="preserve">  </w:t>
            </w:r>
          </w:p>
        </w:tc>
        <w:tc>
          <w:tcPr>
            <w:tcW w:w="984" w:type="dxa"/>
            <w:tcBorders>
              <w:top w:val="single" w:sz="4" w:space="0" w:color="000000"/>
              <w:left w:val="dashed" w:sz="4" w:space="0" w:color="000000"/>
              <w:bottom w:val="single" w:sz="4" w:space="0" w:color="000000"/>
              <w:right w:val="dashed" w:sz="4" w:space="0" w:color="000000"/>
            </w:tcBorders>
          </w:tcPr>
          <w:p w:rsidR="00E8309B" w:rsidRDefault="009D0949">
            <w:pPr>
              <w:spacing w:after="0" w:line="259" w:lineRule="auto"/>
              <w:ind w:left="0" w:right="2" w:firstLine="0"/>
              <w:jc w:val="right"/>
            </w:pPr>
            <w:r>
              <w:rPr>
                <w:sz w:val="20"/>
              </w:rPr>
              <w:t xml:space="preserve">  </w:t>
            </w:r>
          </w:p>
        </w:tc>
        <w:tc>
          <w:tcPr>
            <w:tcW w:w="994" w:type="dxa"/>
            <w:tcBorders>
              <w:top w:val="single" w:sz="4" w:space="0" w:color="000000"/>
              <w:left w:val="dashed" w:sz="4" w:space="0" w:color="000000"/>
              <w:bottom w:val="single" w:sz="4" w:space="0" w:color="000000"/>
              <w:right w:val="double" w:sz="6" w:space="0" w:color="000000"/>
            </w:tcBorders>
          </w:tcPr>
          <w:p w:rsidR="00E8309B" w:rsidRDefault="009D0949">
            <w:pPr>
              <w:spacing w:after="0" w:line="259" w:lineRule="auto"/>
              <w:ind w:left="0" w:right="0" w:firstLine="0"/>
              <w:jc w:val="right"/>
            </w:pPr>
            <w:r>
              <w:rPr>
                <w:sz w:val="20"/>
              </w:rPr>
              <w:t xml:space="preserve">  </w:t>
            </w:r>
          </w:p>
        </w:tc>
      </w:tr>
      <w:tr w:rsidR="00E8309B">
        <w:trPr>
          <w:trHeight w:val="240"/>
        </w:trPr>
        <w:tc>
          <w:tcPr>
            <w:tcW w:w="6750" w:type="dxa"/>
            <w:tcBorders>
              <w:top w:val="single" w:sz="4" w:space="0" w:color="000000"/>
              <w:left w:val="double" w:sz="6" w:space="0" w:color="000000"/>
              <w:bottom w:val="dashed" w:sz="4" w:space="0" w:color="000000"/>
              <w:right w:val="single" w:sz="8" w:space="0" w:color="000000"/>
            </w:tcBorders>
          </w:tcPr>
          <w:p w:rsidR="00E8309B" w:rsidRDefault="009D0949">
            <w:pPr>
              <w:spacing w:after="0" w:line="259" w:lineRule="auto"/>
              <w:ind w:left="0" w:right="0" w:firstLine="0"/>
              <w:jc w:val="left"/>
            </w:pPr>
            <w:r>
              <w:rPr>
                <w:sz w:val="20"/>
              </w:rPr>
              <w:t xml:space="preserve">БДП према тржишним ценама </w:t>
            </w:r>
          </w:p>
        </w:tc>
        <w:tc>
          <w:tcPr>
            <w:tcW w:w="1604" w:type="dxa"/>
            <w:tcBorders>
              <w:top w:val="single" w:sz="4" w:space="0" w:color="000000"/>
              <w:left w:val="single" w:sz="8" w:space="0" w:color="000000"/>
              <w:bottom w:val="dashed" w:sz="4" w:space="0" w:color="000000"/>
              <w:right w:val="single" w:sz="8" w:space="0" w:color="000000"/>
            </w:tcBorders>
          </w:tcPr>
          <w:p w:rsidR="00E8309B" w:rsidRDefault="009D0949">
            <w:pPr>
              <w:spacing w:after="0" w:line="259" w:lineRule="auto"/>
              <w:ind w:left="0" w:right="51" w:firstLine="0"/>
              <w:jc w:val="center"/>
            </w:pPr>
            <w:r>
              <w:rPr>
                <w:sz w:val="20"/>
              </w:rPr>
              <w:t xml:space="preserve">B1*g </w:t>
            </w:r>
          </w:p>
        </w:tc>
        <w:tc>
          <w:tcPr>
            <w:tcW w:w="984" w:type="dxa"/>
            <w:tcBorders>
              <w:top w:val="single" w:sz="4" w:space="0" w:color="000000"/>
              <w:left w:val="single" w:sz="8" w:space="0" w:color="000000"/>
              <w:bottom w:val="dashed" w:sz="4" w:space="0" w:color="000000"/>
              <w:right w:val="dashed" w:sz="4" w:space="0" w:color="000000"/>
            </w:tcBorders>
          </w:tcPr>
          <w:p w:rsidR="00E8309B" w:rsidRDefault="009D0949">
            <w:pPr>
              <w:spacing w:after="0" w:line="259" w:lineRule="auto"/>
              <w:ind w:left="0" w:right="52" w:firstLine="0"/>
              <w:jc w:val="right"/>
            </w:pPr>
            <w:r>
              <w:rPr>
                <w:sz w:val="20"/>
              </w:rPr>
              <w:t xml:space="preserve">5.072,9 </w:t>
            </w:r>
          </w:p>
        </w:tc>
        <w:tc>
          <w:tcPr>
            <w:tcW w:w="984" w:type="dxa"/>
            <w:tcBorders>
              <w:top w:val="single" w:sz="4" w:space="0" w:color="000000"/>
              <w:left w:val="dashed" w:sz="4" w:space="0" w:color="000000"/>
              <w:bottom w:val="dashed" w:sz="4" w:space="0" w:color="000000"/>
              <w:right w:val="dashed" w:sz="4" w:space="0" w:color="000000"/>
            </w:tcBorders>
          </w:tcPr>
          <w:p w:rsidR="00E8309B" w:rsidRDefault="009D0949">
            <w:pPr>
              <w:spacing w:after="0" w:line="259" w:lineRule="auto"/>
              <w:ind w:left="0" w:right="52" w:firstLine="0"/>
              <w:jc w:val="right"/>
            </w:pPr>
            <w:r>
              <w:rPr>
                <w:sz w:val="20"/>
              </w:rPr>
              <w:t xml:space="preserve">5.417,7 </w:t>
            </w:r>
          </w:p>
        </w:tc>
        <w:tc>
          <w:tcPr>
            <w:tcW w:w="982" w:type="dxa"/>
            <w:tcBorders>
              <w:top w:val="single" w:sz="4" w:space="0" w:color="000000"/>
              <w:left w:val="dashed" w:sz="4" w:space="0" w:color="000000"/>
              <w:bottom w:val="dashed" w:sz="4" w:space="0" w:color="000000"/>
              <w:right w:val="dashed" w:sz="4" w:space="0" w:color="000000"/>
            </w:tcBorders>
          </w:tcPr>
          <w:p w:rsidR="00E8309B" w:rsidRDefault="009D0949">
            <w:pPr>
              <w:spacing w:after="0" w:line="259" w:lineRule="auto"/>
              <w:ind w:left="0" w:right="50" w:firstLine="0"/>
              <w:jc w:val="right"/>
            </w:pPr>
            <w:r>
              <w:rPr>
                <w:sz w:val="20"/>
              </w:rPr>
              <w:t xml:space="preserve">5.517,3 </w:t>
            </w:r>
          </w:p>
        </w:tc>
        <w:tc>
          <w:tcPr>
            <w:tcW w:w="984" w:type="dxa"/>
            <w:tcBorders>
              <w:top w:val="single" w:sz="4" w:space="0" w:color="000000"/>
              <w:left w:val="dashed" w:sz="4" w:space="0" w:color="000000"/>
              <w:bottom w:val="dashed" w:sz="4" w:space="0" w:color="000000"/>
              <w:right w:val="dashed" w:sz="4" w:space="0" w:color="000000"/>
            </w:tcBorders>
          </w:tcPr>
          <w:p w:rsidR="00E8309B" w:rsidRDefault="009D0949">
            <w:pPr>
              <w:spacing w:after="0" w:line="259" w:lineRule="auto"/>
              <w:ind w:left="0" w:right="50" w:firstLine="0"/>
              <w:jc w:val="right"/>
            </w:pPr>
            <w:r>
              <w:rPr>
                <w:sz w:val="20"/>
              </w:rPr>
              <w:t xml:space="preserve">5.997,7 </w:t>
            </w:r>
          </w:p>
        </w:tc>
        <w:tc>
          <w:tcPr>
            <w:tcW w:w="984" w:type="dxa"/>
            <w:tcBorders>
              <w:top w:val="single" w:sz="4" w:space="0" w:color="000000"/>
              <w:left w:val="dashed" w:sz="4" w:space="0" w:color="000000"/>
              <w:bottom w:val="dashed" w:sz="4" w:space="0" w:color="000000"/>
              <w:right w:val="dashed" w:sz="4" w:space="0" w:color="000000"/>
            </w:tcBorders>
          </w:tcPr>
          <w:p w:rsidR="00E8309B" w:rsidRDefault="009D0949">
            <w:pPr>
              <w:spacing w:after="0" w:line="259" w:lineRule="auto"/>
              <w:ind w:left="0" w:right="52" w:firstLine="0"/>
              <w:jc w:val="right"/>
            </w:pPr>
            <w:r>
              <w:rPr>
                <w:sz w:val="20"/>
              </w:rPr>
              <w:t xml:space="preserve">6.408,1 </w:t>
            </w:r>
          </w:p>
        </w:tc>
        <w:tc>
          <w:tcPr>
            <w:tcW w:w="994" w:type="dxa"/>
            <w:tcBorders>
              <w:top w:val="single" w:sz="4" w:space="0" w:color="000000"/>
              <w:left w:val="dashed" w:sz="4" w:space="0" w:color="000000"/>
              <w:bottom w:val="dashed" w:sz="4" w:space="0" w:color="000000"/>
              <w:right w:val="double" w:sz="6" w:space="0" w:color="000000"/>
            </w:tcBorders>
          </w:tcPr>
          <w:p w:rsidR="00E8309B" w:rsidRDefault="009D0949">
            <w:pPr>
              <w:spacing w:after="0" w:line="259" w:lineRule="auto"/>
              <w:ind w:left="0" w:right="50" w:firstLine="0"/>
              <w:jc w:val="right"/>
            </w:pPr>
            <w:r>
              <w:rPr>
                <w:sz w:val="20"/>
              </w:rPr>
              <w:t xml:space="preserve">6.871,3 </w:t>
            </w:r>
          </w:p>
        </w:tc>
      </w:tr>
      <w:tr w:rsidR="00E8309B">
        <w:trPr>
          <w:trHeight w:val="240"/>
        </w:trPr>
        <w:tc>
          <w:tcPr>
            <w:tcW w:w="6750" w:type="dxa"/>
            <w:tcBorders>
              <w:top w:val="dashed" w:sz="4" w:space="0" w:color="000000"/>
              <w:left w:val="double" w:sz="6" w:space="0" w:color="000000"/>
              <w:bottom w:val="dashed" w:sz="4" w:space="0" w:color="000000"/>
              <w:right w:val="single" w:sz="8" w:space="0" w:color="000000"/>
            </w:tcBorders>
          </w:tcPr>
          <w:p w:rsidR="00E8309B" w:rsidRDefault="009D0949">
            <w:pPr>
              <w:spacing w:after="0" w:line="259" w:lineRule="auto"/>
              <w:ind w:left="0" w:right="0" w:firstLine="0"/>
              <w:jc w:val="left"/>
            </w:pPr>
            <w:r>
              <w:rPr>
                <w:sz w:val="20"/>
              </w:rPr>
              <w:t xml:space="preserve">Приватна потрошња </w:t>
            </w:r>
          </w:p>
        </w:tc>
        <w:tc>
          <w:tcPr>
            <w:tcW w:w="1604" w:type="dxa"/>
            <w:tcBorders>
              <w:top w:val="dashed" w:sz="4" w:space="0" w:color="000000"/>
              <w:left w:val="single" w:sz="8" w:space="0" w:color="000000"/>
              <w:bottom w:val="dashed" w:sz="4" w:space="0" w:color="000000"/>
              <w:right w:val="single" w:sz="8" w:space="0" w:color="000000"/>
            </w:tcBorders>
          </w:tcPr>
          <w:p w:rsidR="00E8309B" w:rsidRDefault="009D0949">
            <w:pPr>
              <w:spacing w:after="0" w:line="259" w:lineRule="auto"/>
              <w:ind w:left="0" w:right="46" w:firstLine="0"/>
              <w:jc w:val="center"/>
            </w:pPr>
            <w:r>
              <w:rPr>
                <w:sz w:val="20"/>
              </w:rPr>
              <w:t xml:space="preserve">P3 </w:t>
            </w:r>
          </w:p>
        </w:tc>
        <w:tc>
          <w:tcPr>
            <w:tcW w:w="984" w:type="dxa"/>
            <w:tcBorders>
              <w:top w:val="dashed" w:sz="4" w:space="0" w:color="000000"/>
              <w:left w:val="single" w:sz="8" w:space="0" w:color="000000"/>
              <w:bottom w:val="dashed" w:sz="4" w:space="0" w:color="000000"/>
              <w:right w:val="dashed" w:sz="4" w:space="0" w:color="000000"/>
            </w:tcBorders>
          </w:tcPr>
          <w:p w:rsidR="00E8309B" w:rsidRDefault="009D0949">
            <w:pPr>
              <w:spacing w:after="0" w:line="259" w:lineRule="auto"/>
              <w:ind w:left="0" w:right="52" w:firstLine="0"/>
              <w:jc w:val="right"/>
            </w:pPr>
            <w:r>
              <w:rPr>
                <w:sz w:val="20"/>
              </w:rPr>
              <w:t xml:space="preserve">3522,2 </w:t>
            </w:r>
          </w:p>
        </w:tc>
        <w:tc>
          <w:tcPr>
            <w:tcW w:w="984"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52" w:firstLine="0"/>
              <w:jc w:val="right"/>
            </w:pPr>
            <w:r>
              <w:rPr>
                <w:sz w:val="20"/>
              </w:rPr>
              <w:t xml:space="preserve">3696,7 </w:t>
            </w:r>
          </w:p>
        </w:tc>
        <w:tc>
          <w:tcPr>
            <w:tcW w:w="982"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49" w:firstLine="0"/>
              <w:jc w:val="right"/>
            </w:pPr>
            <w:r>
              <w:rPr>
                <w:sz w:val="20"/>
              </w:rPr>
              <w:t xml:space="preserve">3678,3 </w:t>
            </w:r>
          </w:p>
        </w:tc>
        <w:tc>
          <w:tcPr>
            <w:tcW w:w="984"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49" w:firstLine="0"/>
              <w:jc w:val="right"/>
            </w:pPr>
            <w:r>
              <w:rPr>
                <w:sz w:val="20"/>
              </w:rPr>
              <w:t xml:space="preserve">3958,2 </w:t>
            </w:r>
          </w:p>
        </w:tc>
        <w:tc>
          <w:tcPr>
            <w:tcW w:w="984"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52" w:firstLine="0"/>
              <w:jc w:val="right"/>
            </w:pPr>
            <w:r>
              <w:rPr>
                <w:sz w:val="20"/>
              </w:rPr>
              <w:t xml:space="preserve">4161,6 </w:t>
            </w:r>
          </w:p>
        </w:tc>
        <w:tc>
          <w:tcPr>
            <w:tcW w:w="994" w:type="dxa"/>
            <w:tcBorders>
              <w:top w:val="dashed" w:sz="4" w:space="0" w:color="000000"/>
              <w:left w:val="dashed" w:sz="4" w:space="0" w:color="000000"/>
              <w:bottom w:val="dashed" w:sz="4" w:space="0" w:color="000000"/>
              <w:right w:val="double" w:sz="6" w:space="0" w:color="000000"/>
            </w:tcBorders>
          </w:tcPr>
          <w:p w:rsidR="00E8309B" w:rsidRDefault="009D0949">
            <w:pPr>
              <w:spacing w:after="0" w:line="259" w:lineRule="auto"/>
              <w:ind w:left="0" w:right="50" w:firstLine="0"/>
              <w:jc w:val="right"/>
            </w:pPr>
            <w:r>
              <w:rPr>
                <w:sz w:val="20"/>
              </w:rPr>
              <w:t xml:space="preserve">4407,9 </w:t>
            </w:r>
          </w:p>
        </w:tc>
      </w:tr>
      <w:tr w:rsidR="00E8309B">
        <w:trPr>
          <w:trHeight w:val="240"/>
        </w:trPr>
        <w:tc>
          <w:tcPr>
            <w:tcW w:w="6750" w:type="dxa"/>
            <w:tcBorders>
              <w:top w:val="dashed" w:sz="4" w:space="0" w:color="000000"/>
              <w:left w:val="double" w:sz="6" w:space="0" w:color="000000"/>
              <w:bottom w:val="dashed" w:sz="4" w:space="0" w:color="000000"/>
              <w:right w:val="single" w:sz="8" w:space="0" w:color="000000"/>
            </w:tcBorders>
          </w:tcPr>
          <w:p w:rsidR="00E8309B" w:rsidRDefault="009D0949">
            <w:pPr>
              <w:spacing w:after="0" w:line="259" w:lineRule="auto"/>
              <w:ind w:left="0" w:right="0" w:firstLine="0"/>
              <w:jc w:val="left"/>
            </w:pPr>
            <w:r>
              <w:rPr>
                <w:sz w:val="20"/>
              </w:rPr>
              <w:t xml:space="preserve">Државна потрошња </w:t>
            </w:r>
          </w:p>
        </w:tc>
        <w:tc>
          <w:tcPr>
            <w:tcW w:w="1604" w:type="dxa"/>
            <w:tcBorders>
              <w:top w:val="dashed" w:sz="4" w:space="0" w:color="000000"/>
              <w:left w:val="single" w:sz="8" w:space="0" w:color="000000"/>
              <w:bottom w:val="dashed" w:sz="4" w:space="0" w:color="000000"/>
              <w:right w:val="single" w:sz="8" w:space="0" w:color="000000"/>
            </w:tcBorders>
          </w:tcPr>
          <w:p w:rsidR="00E8309B" w:rsidRDefault="009D0949">
            <w:pPr>
              <w:spacing w:after="0" w:line="259" w:lineRule="auto"/>
              <w:ind w:left="0" w:right="46" w:firstLine="0"/>
              <w:jc w:val="center"/>
            </w:pPr>
            <w:r>
              <w:rPr>
                <w:sz w:val="20"/>
              </w:rPr>
              <w:t xml:space="preserve">P3 </w:t>
            </w:r>
          </w:p>
        </w:tc>
        <w:tc>
          <w:tcPr>
            <w:tcW w:w="984" w:type="dxa"/>
            <w:tcBorders>
              <w:top w:val="dashed" w:sz="4" w:space="0" w:color="000000"/>
              <w:left w:val="single" w:sz="8" w:space="0" w:color="000000"/>
              <w:bottom w:val="dashed" w:sz="4" w:space="0" w:color="000000"/>
              <w:right w:val="dashed" w:sz="4" w:space="0" w:color="000000"/>
            </w:tcBorders>
          </w:tcPr>
          <w:p w:rsidR="00E8309B" w:rsidRDefault="009D0949">
            <w:pPr>
              <w:spacing w:after="0" w:line="259" w:lineRule="auto"/>
              <w:ind w:left="0" w:right="52" w:firstLine="0"/>
              <w:jc w:val="right"/>
            </w:pPr>
            <w:r>
              <w:rPr>
                <w:sz w:val="20"/>
              </w:rPr>
              <w:t xml:space="preserve">839,0 </w:t>
            </w:r>
          </w:p>
        </w:tc>
        <w:tc>
          <w:tcPr>
            <w:tcW w:w="984"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52" w:firstLine="0"/>
              <w:jc w:val="right"/>
            </w:pPr>
            <w:r>
              <w:rPr>
                <w:sz w:val="20"/>
              </w:rPr>
              <w:t xml:space="preserve">901,8 </w:t>
            </w:r>
          </w:p>
        </w:tc>
        <w:tc>
          <w:tcPr>
            <w:tcW w:w="982"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49" w:firstLine="0"/>
              <w:jc w:val="right"/>
            </w:pPr>
            <w:r>
              <w:rPr>
                <w:sz w:val="20"/>
              </w:rPr>
              <w:t xml:space="preserve">1013,4 </w:t>
            </w:r>
          </w:p>
        </w:tc>
        <w:tc>
          <w:tcPr>
            <w:tcW w:w="984"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49" w:firstLine="0"/>
              <w:jc w:val="right"/>
            </w:pPr>
            <w:r>
              <w:rPr>
                <w:sz w:val="20"/>
              </w:rPr>
              <w:t xml:space="preserve">1054,9 </w:t>
            </w:r>
          </w:p>
        </w:tc>
        <w:tc>
          <w:tcPr>
            <w:tcW w:w="984"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52" w:firstLine="0"/>
              <w:jc w:val="right"/>
            </w:pPr>
            <w:r>
              <w:rPr>
                <w:sz w:val="20"/>
              </w:rPr>
              <w:t xml:space="preserve">1119,5 </w:t>
            </w:r>
          </w:p>
        </w:tc>
        <w:tc>
          <w:tcPr>
            <w:tcW w:w="994" w:type="dxa"/>
            <w:tcBorders>
              <w:top w:val="dashed" w:sz="4" w:space="0" w:color="000000"/>
              <w:left w:val="dashed" w:sz="4" w:space="0" w:color="000000"/>
              <w:bottom w:val="dashed" w:sz="4" w:space="0" w:color="000000"/>
              <w:right w:val="double" w:sz="6" w:space="0" w:color="000000"/>
            </w:tcBorders>
          </w:tcPr>
          <w:p w:rsidR="00E8309B" w:rsidRDefault="009D0949">
            <w:pPr>
              <w:spacing w:after="0" w:line="259" w:lineRule="auto"/>
              <w:ind w:left="0" w:right="50" w:firstLine="0"/>
              <w:jc w:val="right"/>
            </w:pPr>
            <w:r>
              <w:rPr>
                <w:sz w:val="20"/>
              </w:rPr>
              <w:t xml:space="preserve">1162,0 </w:t>
            </w:r>
          </w:p>
        </w:tc>
      </w:tr>
      <w:tr w:rsidR="00E8309B">
        <w:trPr>
          <w:trHeight w:val="240"/>
        </w:trPr>
        <w:tc>
          <w:tcPr>
            <w:tcW w:w="6750" w:type="dxa"/>
            <w:tcBorders>
              <w:top w:val="dashed" w:sz="4" w:space="0" w:color="000000"/>
              <w:left w:val="double" w:sz="6" w:space="0" w:color="000000"/>
              <w:bottom w:val="dashed" w:sz="4" w:space="0" w:color="000000"/>
              <w:right w:val="single" w:sz="8" w:space="0" w:color="000000"/>
            </w:tcBorders>
          </w:tcPr>
          <w:p w:rsidR="00E8309B" w:rsidRDefault="009D0949">
            <w:pPr>
              <w:spacing w:after="0" w:line="259" w:lineRule="auto"/>
              <w:ind w:left="0" w:right="0" w:firstLine="0"/>
              <w:jc w:val="left"/>
            </w:pPr>
            <w:r>
              <w:rPr>
                <w:sz w:val="20"/>
              </w:rPr>
              <w:t xml:space="preserve">Бруто инвестиције у основна средства </w:t>
            </w:r>
          </w:p>
        </w:tc>
        <w:tc>
          <w:tcPr>
            <w:tcW w:w="1604" w:type="dxa"/>
            <w:tcBorders>
              <w:top w:val="dashed" w:sz="4" w:space="0" w:color="000000"/>
              <w:left w:val="single" w:sz="8" w:space="0" w:color="000000"/>
              <w:bottom w:val="dashed" w:sz="4" w:space="0" w:color="000000"/>
              <w:right w:val="single" w:sz="8" w:space="0" w:color="000000"/>
            </w:tcBorders>
          </w:tcPr>
          <w:p w:rsidR="00E8309B" w:rsidRDefault="009D0949">
            <w:pPr>
              <w:spacing w:after="0" w:line="259" w:lineRule="auto"/>
              <w:ind w:left="0" w:right="46" w:firstLine="0"/>
              <w:jc w:val="center"/>
            </w:pPr>
            <w:r>
              <w:rPr>
                <w:sz w:val="20"/>
              </w:rPr>
              <w:t xml:space="preserve">P51  </w:t>
            </w:r>
          </w:p>
        </w:tc>
        <w:tc>
          <w:tcPr>
            <w:tcW w:w="984" w:type="dxa"/>
            <w:tcBorders>
              <w:top w:val="dashed" w:sz="4" w:space="0" w:color="000000"/>
              <w:left w:val="single" w:sz="8" w:space="0" w:color="000000"/>
              <w:bottom w:val="dashed" w:sz="4" w:space="0" w:color="000000"/>
              <w:right w:val="dashed" w:sz="4" w:space="0" w:color="000000"/>
            </w:tcBorders>
          </w:tcPr>
          <w:p w:rsidR="00E8309B" w:rsidRDefault="009D0949">
            <w:pPr>
              <w:spacing w:after="0" w:line="259" w:lineRule="auto"/>
              <w:ind w:left="0" w:right="52" w:firstLine="0"/>
              <w:jc w:val="right"/>
            </w:pPr>
            <w:r>
              <w:rPr>
                <w:sz w:val="20"/>
              </w:rPr>
              <w:t xml:space="preserve">1016,7 </w:t>
            </w:r>
          </w:p>
        </w:tc>
        <w:tc>
          <w:tcPr>
            <w:tcW w:w="984"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52" w:firstLine="0"/>
              <w:jc w:val="right"/>
            </w:pPr>
            <w:r>
              <w:rPr>
                <w:sz w:val="20"/>
              </w:rPr>
              <w:t xml:space="preserve">1217,9 </w:t>
            </w:r>
          </w:p>
        </w:tc>
        <w:tc>
          <w:tcPr>
            <w:tcW w:w="982"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49" w:firstLine="0"/>
              <w:jc w:val="right"/>
            </w:pPr>
            <w:r>
              <w:rPr>
                <w:sz w:val="20"/>
              </w:rPr>
              <w:t xml:space="preserve">1168,5 </w:t>
            </w:r>
          </w:p>
        </w:tc>
        <w:tc>
          <w:tcPr>
            <w:tcW w:w="984"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49" w:firstLine="0"/>
              <w:jc w:val="right"/>
            </w:pPr>
            <w:r>
              <w:rPr>
                <w:sz w:val="20"/>
              </w:rPr>
              <w:t xml:space="preserve">1365,5 </w:t>
            </w:r>
          </w:p>
        </w:tc>
        <w:tc>
          <w:tcPr>
            <w:tcW w:w="984"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52" w:firstLine="0"/>
              <w:jc w:val="right"/>
            </w:pPr>
            <w:r>
              <w:rPr>
                <w:sz w:val="20"/>
              </w:rPr>
              <w:t xml:space="preserve">1512,3 </w:t>
            </w:r>
          </w:p>
        </w:tc>
        <w:tc>
          <w:tcPr>
            <w:tcW w:w="994" w:type="dxa"/>
            <w:tcBorders>
              <w:top w:val="dashed" w:sz="4" w:space="0" w:color="000000"/>
              <w:left w:val="dashed" w:sz="4" w:space="0" w:color="000000"/>
              <w:bottom w:val="dashed" w:sz="4" w:space="0" w:color="000000"/>
              <w:right w:val="double" w:sz="6" w:space="0" w:color="000000"/>
            </w:tcBorders>
          </w:tcPr>
          <w:p w:rsidR="00E8309B" w:rsidRDefault="009D0949">
            <w:pPr>
              <w:spacing w:after="0" w:line="259" w:lineRule="auto"/>
              <w:ind w:left="0" w:right="50" w:firstLine="0"/>
              <w:jc w:val="right"/>
            </w:pPr>
            <w:r>
              <w:rPr>
                <w:sz w:val="20"/>
              </w:rPr>
              <w:t xml:space="preserve">1690,0 </w:t>
            </w:r>
          </w:p>
        </w:tc>
      </w:tr>
      <w:tr w:rsidR="00E8309B">
        <w:trPr>
          <w:trHeight w:val="240"/>
        </w:trPr>
        <w:tc>
          <w:tcPr>
            <w:tcW w:w="6750" w:type="dxa"/>
            <w:tcBorders>
              <w:top w:val="dashed" w:sz="4" w:space="0" w:color="000000"/>
              <w:left w:val="double" w:sz="6" w:space="0" w:color="000000"/>
              <w:bottom w:val="dashed" w:sz="4" w:space="0" w:color="000000"/>
              <w:right w:val="single" w:sz="8" w:space="0" w:color="000000"/>
            </w:tcBorders>
          </w:tcPr>
          <w:p w:rsidR="00E8309B" w:rsidRDefault="009D0949">
            <w:pPr>
              <w:spacing w:after="0" w:line="259" w:lineRule="auto"/>
              <w:ind w:left="0" w:right="0" w:firstLine="0"/>
              <w:jc w:val="left"/>
            </w:pPr>
            <w:r>
              <w:rPr>
                <w:sz w:val="20"/>
              </w:rPr>
              <w:t xml:space="preserve">Домаћа тражња </w:t>
            </w:r>
          </w:p>
        </w:tc>
        <w:tc>
          <w:tcPr>
            <w:tcW w:w="1604" w:type="dxa"/>
            <w:tcBorders>
              <w:top w:val="dashed" w:sz="4" w:space="0" w:color="000000"/>
              <w:left w:val="single" w:sz="8" w:space="0" w:color="000000"/>
              <w:bottom w:val="dashed" w:sz="4" w:space="0" w:color="000000"/>
              <w:right w:val="single" w:sz="8" w:space="0" w:color="000000"/>
            </w:tcBorders>
          </w:tcPr>
          <w:p w:rsidR="00E8309B" w:rsidRDefault="00E8309B">
            <w:pPr>
              <w:spacing w:after="160" w:line="259" w:lineRule="auto"/>
              <w:ind w:left="0" w:right="0" w:firstLine="0"/>
              <w:jc w:val="left"/>
            </w:pPr>
          </w:p>
        </w:tc>
        <w:tc>
          <w:tcPr>
            <w:tcW w:w="984" w:type="dxa"/>
            <w:tcBorders>
              <w:top w:val="dashed" w:sz="4" w:space="0" w:color="000000"/>
              <w:left w:val="single" w:sz="8" w:space="0" w:color="000000"/>
              <w:bottom w:val="dashed" w:sz="4" w:space="0" w:color="000000"/>
              <w:right w:val="dashed" w:sz="4" w:space="0" w:color="000000"/>
            </w:tcBorders>
          </w:tcPr>
          <w:p w:rsidR="00E8309B" w:rsidRDefault="009D0949">
            <w:pPr>
              <w:spacing w:after="0" w:line="259" w:lineRule="auto"/>
              <w:ind w:left="0" w:right="52" w:firstLine="0"/>
              <w:jc w:val="right"/>
            </w:pPr>
            <w:r>
              <w:rPr>
                <w:sz w:val="20"/>
              </w:rPr>
              <w:t xml:space="preserve">5.377,9 </w:t>
            </w:r>
          </w:p>
        </w:tc>
        <w:tc>
          <w:tcPr>
            <w:tcW w:w="984"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52" w:firstLine="0"/>
              <w:jc w:val="right"/>
            </w:pPr>
            <w:r>
              <w:rPr>
                <w:sz w:val="20"/>
              </w:rPr>
              <w:t xml:space="preserve">5.816,4 </w:t>
            </w:r>
          </w:p>
        </w:tc>
        <w:tc>
          <w:tcPr>
            <w:tcW w:w="982"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50" w:firstLine="0"/>
              <w:jc w:val="right"/>
            </w:pPr>
            <w:r>
              <w:rPr>
                <w:sz w:val="20"/>
              </w:rPr>
              <w:t xml:space="preserve">5.860,2 </w:t>
            </w:r>
          </w:p>
        </w:tc>
        <w:tc>
          <w:tcPr>
            <w:tcW w:w="984"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50" w:firstLine="0"/>
              <w:jc w:val="right"/>
            </w:pPr>
            <w:r>
              <w:rPr>
                <w:sz w:val="20"/>
              </w:rPr>
              <w:t xml:space="preserve">6.378,6 </w:t>
            </w:r>
          </w:p>
        </w:tc>
        <w:tc>
          <w:tcPr>
            <w:tcW w:w="984"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52" w:firstLine="0"/>
              <w:jc w:val="right"/>
            </w:pPr>
            <w:r>
              <w:rPr>
                <w:sz w:val="20"/>
              </w:rPr>
              <w:t xml:space="preserve">6.793,4 </w:t>
            </w:r>
          </w:p>
        </w:tc>
        <w:tc>
          <w:tcPr>
            <w:tcW w:w="994" w:type="dxa"/>
            <w:tcBorders>
              <w:top w:val="dashed" w:sz="4" w:space="0" w:color="000000"/>
              <w:left w:val="dashed" w:sz="4" w:space="0" w:color="000000"/>
              <w:bottom w:val="dashed" w:sz="4" w:space="0" w:color="000000"/>
              <w:right w:val="double" w:sz="6" w:space="0" w:color="000000"/>
            </w:tcBorders>
          </w:tcPr>
          <w:p w:rsidR="00E8309B" w:rsidRDefault="009D0949">
            <w:pPr>
              <w:spacing w:after="0" w:line="259" w:lineRule="auto"/>
              <w:ind w:left="0" w:right="50" w:firstLine="0"/>
              <w:jc w:val="right"/>
            </w:pPr>
            <w:r>
              <w:rPr>
                <w:sz w:val="20"/>
              </w:rPr>
              <w:t xml:space="preserve">7.259,9 </w:t>
            </w:r>
          </w:p>
        </w:tc>
      </w:tr>
      <w:tr w:rsidR="00E8309B">
        <w:trPr>
          <w:trHeight w:val="240"/>
        </w:trPr>
        <w:tc>
          <w:tcPr>
            <w:tcW w:w="6750" w:type="dxa"/>
            <w:tcBorders>
              <w:top w:val="dashed" w:sz="4" w:space="0" w:color="000000"/>
              <w:left w:val="double" w:sz="6" w:space="0" w:color="000000"/>
              <w:bottom w:val="dashed" w:sz="4" w:space="0" w:color="000000"/>
              <w:right w:val="single" w:sz="8" w:space="0" w:color="000000"/>
            </w:tcBorders>
          </w:tcPr>
          <w:p w:rsidR="00E8309B" w:rsidRDefault="009D0949">
            <w:pPr>
              <w:spacing w:after="0" w:line="259" w:lineRule="auto"/>
              <w:ind w:left="0" w:right="0" w:firstLine="0"/>
              <w:jc w:val="left"/>
            </w:pPr>
            <w:r>
              <w:rPr>
                <w:sz w:val="20"/>
              </w:rPr>
              <w:t xml:space="preserve">6. Промене у залихама и нето набавка драгоцености </w:t>
            </w:r>
          </w:p>
        </w:tc>
        <w:tc>
          <w:tcPr>
            <w:tcW w:w="1604" w:type="dxa"/>
            <w:tcBorders>
              <w:top w:val="dashed" w:sz="4" w:space="0" w:color="000000"/>
              <w:left w:val="single" w:sz="8" w:space="0" w:color="000000"/>
              <w:bottom w:val="dashed" w:sz="4" w:space="0" w:color="000000"/>
              <w:right w:val="single" w:sz="8" w:space="0" w:color="000000"/>
            </w:tcBorders>
          </w:tcPr>
          <w:p w:rsidR="00E8309B" w:rsidRDefault="009D0949">
            <w:pPr>
              <w:spacing w:after="0" w:line="259" w:lineRule="auto"/>
              <w:ind w:left="0" w:right="46" w:firstLine="0"/>
              <w:jc w:val="center"/>
            </w:pPr>
            <w:r>
              <w:rPr>
                <w:sz w:val="20"/>
              </w:rPr>
              <w:t xml:space="preserve">P52+P53 </w:t>
            </w:r>
          </w:p>
        </w:tc>
        <w:tc>
          <w:tcPr>
            <w:tcW w:w="984" w:type="dxa"/>
            <w:tcBorders>
              <w:top w:val="dashed" w:sz="4" w:space="0" w:color="000000"/>
              <w:left w:val="single" w:sz="8" w:space="0" w:color="000000"/>
              <w:bottom w:val="dashed" w:sz="4" w:space="0" w:color="000000"/>
              <w:right w:val="dashed" w:sz="4" w:space="0" w:color="000000"/>
            </w:tcBorders>
          </w:tcPr>
          <w:p w:rsidR="00E8309B" w:rsidRDefault="009D0949">
            <w:pPr>
              <w:spacing w:after="0" w:line="259" w:lineRule="auto"/>
              <w:ind w:left="0" w:right="52" w:firstLine="0"/>
              <w:jc w:val="right"/>
            </w:pPr>
            <w:r>
              <w:rPr>
                <w:sz w:val="20"/>
              </w:rPr>
              <w:t xml:space="preserve">132,6 </w:t>
            </w:r>
          </w:p>
        </w:tc>
        <w:tc>
          <w:tcPr>
            <w:tcW w:w="984"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52" w:firstLine="0"/>
              <w:jc w:val="right"/>
            </w:pPr>
            <w:r>
              <w:rPr>
                <w:sz w:val="20"/>
              </w:rPr>
              <w:t xml:space="preserve">142,2 </w:t>
            </w:r>
          </w:p>
        </w:tc>
        <w:tc>
          <w:tcPr>
            <w:tcW w:w="982"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49" w:firstLine="0"/>
              <w:jc w:val="right"/>
            </w:pPr>
            <w:r>
              <w:rPr>
                <w:sz w:val="20"/>
              </w:rPr>
              <w:t xml:space="preserve">135,7 </w:t>
            </w:r>
          </w:p>
        </w:tc>
        <w:tc>
          <w:tcPr>
            <w:tcW w:w="984"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49" w:firstLine="0"/>
              <w:jc w:val="right"/>
            </w:pPr>
            <w:r>
              <w:rPr>
                <w:sz w:val="20"/>
              </w:rPr>
              <w:t xml:space="preserve">164,8 </w:t>
            </w:r>
          </w:p>
        </w:tc>
        <w:tc>
          <w:tcPr>
            <w:tcW w:w="984"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52" w:firstLine="0"/>
              <w:jc w:val="right"/>
            </w:pPr>
            <w:r>
              <w:rPr>
                <w:sz w:val="20"/>
              </w:rPr>
              <w:t xml:space="preserve">177,8 </w:t>
            </w:r>
          </w:p>
        </w:tc>
        <w:tc>
          <w:tcPr>
            <w:tcW w:w="994" w:type="dxa"/>
            <w:tcBorders>
              <w:top w:val="dashed" w:sz="4" w:space="0" w:color="000000"/>
              <w:left w:val="dashed" w:sz="4" w:space="0" w:color="000000"/>
              <w:bottom w:val="dashed" w:sz="4" w:space="0" w:color="000000"/>
              <w:right w:val="double" w:sz="6" w:space="0" w:color="000000"/>
            </w:tcBorders>
          </w:tcPr>
          <w:p w:rsidR="00E8309B" w:rsidRDefault="009D0949">
            <w:pPr>
              <w:spacing w:after="0" w:line="259" w:lineRule="auto"/>
              <w:ind w:left="0" w:right="49" w:firstLine="0"/>
              <w:jc w:val="right"/>
            </w:pPr>
            <w:r>
              <w:rPr>
                <w:sz w:val="20"/>
              </w:rPr>
              <w:t xml:space="preserve">188,7 </w:t>
            </w:r>
          </w:p>
        </w:tc>
      </w:tr>
      <w:tr w:rsidR="00E8309B">
        <w:trPr>
          <w:trHeight w:val="241"/>
        </w:trPr>
        <w:tc>
          <w:tcPr>
            <w:tcW w:w="6750" w:type="dxa"/>
            <w:tcBorders>
              <w:top w:val="dashed" w:sz="4" w:space="0" w:color="000000"/>
              <w:left w:val="double" w:sz="6" w:space="0" w:color="000000"/>
              <w:bottom w:val="dashed" w:sz="4" w:space="0" w:color="000000"/>
              <w:right w:val="single" w:sz="8" w:space="0" w:color="000000"/>
            </w:tcBorders>
          </w:tcPr>
          <w:p w:rsidR="00E8309B" w:rsidRDefault="009D0949">
            <w:pPr>
              <w:spacing w:after="0" w:line="259" w:lineRule="auto"/>
              <w:ind w:left="0" w:right="0" w:firstLine="0"/>
              <w:jc w:val="left"/>
            </w:pPr>
            <w:r>
              <w:rPr>
                <w:sz w:val="20"/>
              </w:rPr>
              <w:t xml:space="preserve">Извоз робе и услуга </w:t>
            </w:r>
          </w:p>
        </w:tc>
        <w:tc>
          <w:tcPr>
            <w:tcW w:w="1604" w:type="dxa"/>
            <w:tcBorders>
              <w:top w:val="dashed" w:sz="4" w:space="0" w:color="000000"/>
              <w:left w:val="single" w:sz="8" w:space="0" w:color="000000"/>
              <w:bottom w:val="dashed" w:sz="4" w:space="0" w:color="000000"/>
              <w:right w:val="single" w:sz="8" w:space="0" w:color="000000"/>
            </w:tcBorders>
          </w:tcPr>
          <w:p w:rsidR="00E8309B" w:rsidRDefault="009D0949">
            <w:pPr>
              <w:spacing w:after="0" w:line="259" w:lineRule="auto"/>
              <w:ind w:left="0" w:right="46" w:firstLine="0"/>
              <w:jc w:val="center"/>
            </w:pPr>
            <w:r>
              <w:rPr>
                <w:sz w:val="20"/>
              </w:rPr>
              <w:t xml:space="preserve">P6 </w:t>
            </w:r>
          </w:p>
        </w:tc>
        <w:tc>
          <w:tcPr>
            <w:tcW w:w="984" w:type="dxa"/>
            <w:tcBorders>
              <w:top w:val="dashed" w:sz="4" w:space="0" w:color="000000"/>
              <w:left w:val="single" w:sz="8" w:space="0" w:color="000000"/>
              <w:bottom w:val="dashed" w:sz="4" w:space="0" w:color="000000"/>
              <w:right w:val="dashed" w:sz="4" w:space="0" w:color="000000"/>
            </w:tcBorders>
          </w:tcPr>
          <w:p w:rsidR="00E8309B" w:rsidRDefault="009D0949">
            <w:pPr>
              <w:spacing w:after="0" w:line="259" w:lineRule="auto"/>
              <w:ind w:left="0" w:right="52" w:firstLine="0"/>
              <w:jc w:val="right"/>
            </w:pPr>
            <w:r>
              <w:rPr>
                <w:sz w:val="20"/>
              </w:rPr>
              <w:t xml:space="preserve">2558,5 </w:t>
            </w:r>
          </w:p>
        </w:tc>
        <w:tc>
          <w:tcPr>
            <w:tcW w:w="984"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52" w:firstLine="0"/>
              <w:jc w:val="right"/>
            </w:pPr>
            <w:r>
              <w:rPr>
                <w:sz w:val="20"/>
              </w:rPr>
              <w:t xml:space="preserve">2765,7 </w:t>
            </w:r>
          </w:p>
        </w:tc>
        <w:tc>
          <w:tcPr>
            <w:tcW w:w="982"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49" w:firstLine="0"/>
              <w:jc w:val="right"/>
            </w:pPr>
            <w:r>
              <w:rPr>
                <w:sz w:val="20"/>
              </w:rPr>
              <w:t xml:space="preserve">2585,1 </w:t>
            </w:r>
          </w:p>
        </w:tc>
        <w:tc>
          <w:tcPr>
            <w:tcW w:w="984"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49" w:firstLine="0"/>
              <w:jc w:val="right"/>
            </w:pPr>
            <w:r>
              <w:rPr>
                <w:sz w:val="20"/>
              </w:rPr>
              <w:t xml:space="preserve">2895,1 </w:t>
            </w:r>
          </w:p>
        </w:tc>
        <w:tc>
          <w:tcPr>
            <w:tcW w:w="984"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52" w:firstLine="0"/>
              <w:jc w:val="right"/>
            </w:pPr>
            <w:r>
              <w:rPr>
                <w:sz w:val="20"/>
              </w:rPr>
              <w:t xml:space="preserve">3238,0 </w:t>
            </w:r>
          </w:p>
        </w:tc>
        <w:tc>
          <w:tcPr>
            <w:tcW w:w="994" w:type="dxa"/>
            <w:tcBorders>
              <w:top w:val="dashed" w:sz="4" w:space="0" w:color="000000"/>
              <w:left w:val="dashed" w:sz="4" w:space="0" w:color="000000"/>
              <w:bottom w:val="dashed" w:sz="4" w:space="0" w:color="000000"/>
              <w:right w:val="double" w:sz="6" w:space="0" w:color="000000"/>
            </w:tcBorders>
          </w:tcPr>
          <w:p w:rsidR="00E8309B" w:rsidRDefault="009D0949">
            <w:pPr>
              <w:spacing w:after="0" w:line="259" w:lineRule="auto"/>
              <w:ind w:left="0" w:right="50" w:firstLine="0"/>
              <w:jc w:val="right"/>
            </w:pPr>
            <w:r>
              <w:rPr>
                <w:sz w:val="20"/>
              </w:rPr>
              <w:t xml:space="preserve">3637,5 </w:t>
            </w:r>
          </w:p>
        </w:tc>
      </w:tr>
      <w:tr w:rsidR="00E8309B">
        <w:trPr>
          <w:trHeight w:val="240"/>
        </w:trPr>
        <w:tc>
          <w:tcPr>
            <w:tcW w:w="6750" w:type="dxa"/>
            <w:tcBorders>
              <w:top w:val="dashed" w:sz="4" w:space="0" w:color="000000"/>
              <w:left w:val="double" w:sz="6" w:space="0" w:color="000000"/>
              <w:bottom w:val="dashed" w:sz="4" w:space="0" w:color="000000"/>
              <w:right w:val="single" w:sz="8" w:space="0" w:color="000000"/>
            </w:tcBorders>
          </w:tcPr>
          <w:p w:rsidR="00E8309B" w:rsidRDefault="009D0949">
            <w:pPr>
              <w:spacing w:after="0" w:line="259" w:lineRule="auto"/>
              <w:ind w:left="0" w:right="0" w:firstLine="0"/>
              <w:jc w:val="left"/>
            </w:pPr>
            <w:r>
              <w:rPr>
                <w:sz w:val="20"/>
              </w:rPr>
              <w:t xml:space="preserve">Увоз робе и услуга </w:t>
            </w:r>
          </w:p>
        </w:tc>
        <w:tc>
          <w:tcPr>
            <w:tcW w:w="1604" w:type="dxa"/>
            <w:tcBorders>
              <w:top w:val="dashed" w:sz="4" w:space="0" w:color="000000"/>
              <w:left w:val="single" w:sz="8" w:space="0" w:color="000000"/>
              <w:bottom w:val="dashed" w:sz="4" w:space="0" w:color="000000"/>
              <w:right w:val="single" w:sz="8" w:space="0" w:color="000000"/>
            </w:tcBorders>
          </w:tcPr>
          <w:p w:rsidR="00E8309B" w:rsidRDefault="009D0949">
            <w:pPr>
              <w:spacing w:after="0" w:line="259" w:lineRule="auto"/>
              <w:ind w:left="0" w:right="46" w:firstLine="0"/>
              <w:jc w:val="center"/>
            </w:pPr>
            <w:r>
              <w:rPr>
                <w:sz w:val="20"/>
              </w:rPr>
              <w:t xml:space="preserve">P7  </w:t>
            </w:r>
          </w:p>
        </w:tc>
        <w:tc>
          <w:tcPr>
            <w:tcW w:w="984" w:type="dxa"/>
            <w:tcBorders>
              <w:top w:val="dashed" w:sz="4" w:space="0" w:color="000000"/>
              <w:left w:val="single" w:sz="8" w:space="0" w:color="000000"/>
              <w:bottom w:val="dashed" w:sz="4" w:space="0" w:color="000000"/>
              <w:right w:val="dashed" w:sz="4" w:space="0" w:color="000000"/>
            </w:tcBorders>
          </w:tcPr>
          <w:p w:rsidR="00E8309B" w:rsidRDefault="009D0949">
            <w:pPr>
              <w:spacing w:after="0" w:line="259" w:lineRule="auto"/>
              <w:ind w:left="0" w:right="52" w:firstLine="0"/>
              <w:jc w:val="right"/>
            </w:pPr>
            <w:r>
              <w:rPr>
                <w:sz w:val="20"/>
              </w:rPr>
              <w:t xml:space="preserve">2996,1 </w:t>
            </w:r>
          </w:p>
        </w:tc>
        <w:tc>
          <w:tcPr>
            <w:tcW w:w="984"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52" w:firstLine="0"/>
              <w:jc w:val="right"/>
            </w:pPr>
            <w:r>
              <w:rPr>
                <w:sz w:val="20"/>
              </w:rPr>
              <w:t xml:space="preserve">3306,6 </w:t>
            </w:r>
          </w:p>
        </w:tc>
        <w:tc>
          <w:tcPr>
            <w:tcW w:w="982"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49" w:firstLine="0"/>
              <w:jc w:val="right"/>
            </w:pPr>
            <w:r>
              <w:rPr>
                <w:sz w:val="20"/>
              </w:rPr>
              <w:t xml:space="preserve">3063,7 </w:t>
            </w:r>
          </w:p>
        </w:tc>
        <w:tc>
          <w:tcPr>
            <w:tcW w:w="984"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49" w:firstLine="0"/>
              <w:jc w:val="right"/>
            </w:pPr>
            <w:r>
              <w:rPr>
                <w:sz w:val="20"/>
              </w:rPr>
              <w:t xml:space="preserve">3440,7 </w:t>
            </w:r>
          </w:p>
        </w:tc>
        <w:tc>
          <w:tcPr>
            <w:tcW w:w="984"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52" w:firstLine="0"/>
              <w:jc w:val="right"/>
            </w:pPr>
            <w:r>
              <w:rPr>
                <w:sz w:val="20"/>
              </w:rPr>
              <w:t xml:space="preserve">3801,2 </w:t>
            </w:r>
          </w:p>
        </w:tc>
        <w:tc>
          <w:tcPr>
            <w:tcW w:w="994" w:type="dxa"/>
            <w:tcBorders>
              <w:top w:val="dashed" w:sz="4" w:space="0" w:color="000000"/>
              <w:left w:val="dashed" w:sz="4" w:space="0" w:color="000000"/>
              <w:bottom w:val="dashed" w:sz="4" w:space="0" w:color="000000"/>
              <w:right w:val="double" w:sz="6" w:space="0" w:color="000000"/>
            </w:tcBorders>
          </w:tcPr>
          <w:p w:rsidR="00E8309B" w:rsidRDefault="009D0949">
            <w:pPr>
              <w:spacing w:after="0" w:line="259" w:lineRule="auto"/>
              <w:ind w:left="0" w:right="50" w:firstLine="0"/>
              <w:jc w:val="right"/>
            </w:pPr>
            <w:r>
              <w:rPr>
                <w:sz w:val="20"/>
              </w:rPr>
              <w:t xml:space="preserve">4214,7 </w:t>
            </w:r>
          </w:p>
        </w:tc>
      </w:tr>
      <w:tr w:rsidR="00E8309B">
        <w:trPr>
          <w:trHeight w:val="240"/>
        </w:trPr>
        <w:tc>
          <w:tcPr>
            <w:tcW w:w="6750" w:type="dxa"/>
            <w:tcBorders>
              <w:top w:val="dashed" w:sz="4" w:space="0" w:color="000000"/>
              <w:left w:val="double" w:sz="6" w:space="0" w:color="000000"/>
              <w:bottom w:val="single" w:sz="4" w:space="0" w:color="000000"/>
              <w:right w:val="single" w:sz="8" w:space="0" w:color="000000"/>
            </w:tcBorders>
          </w:tcPr>
          <w:p w:rsidR="00E8309B" w:rsidRDefault="009D0949">
            <w:pPr>
              <w:spacing w:after="0" w:line="259" w:lineRule="auto"/>
              <w:ind w:left="0" w:right="0" w:firstLine="0"/>
              <w:jc w:val="left"/>
            </w:pPr>
            <w:r>
              <w:rPr>
                <w:sz w:val="20"/>
              </w:rPr>
              <w:t xml:space="preserve">Нето извоз </w:t>
            </w:r>
          </w:p>
        </w:tc>
        <w:tc>
          <w:tcPr>
            <w:tcW w:w="1604" w:type="dxa"/>
            <w:tcBorders>
              <w:top w:val="dashed" w:sz="4" w:space="0" w:color="000000"/>
              <w:left w:val="single" w:sz="8" w:space="0" w:color="000000"/>
              <w:bottom w:val="single" w:sz="4" w:space="0" w:color="000000"/>
              <w:right w:val="single" w:sz="8" w:space="0" w:color="000000"/>
            </w:tcBorders>
          </w:tcPr>
          <w:p w:rsidR="00E8309B" w:rsidRDefault="00E8309B">
            <w:pPr>
              <w:spacing w:after="160" w:line="259" w:lineRule="auto"/>
              <w:ind w:left="0" w:right="0" w:firstLine="0"/>
              <w:jc w:val="left"/>
            </w:pPr>
          </w:p>
        </w:tc>
        <w:tc>
          <w:tcPr>
            <w:tcW w:w="984" w:type="dxa"/>
            <w:tcBorders>
              <w:top w:val="dashed" w:sz="4" w:space="0" w:color="000000"/>
              <w:left w:val="single" w:sz="8" w:space="0" w:color="000000"/>
              <w:bottom w:val="single" w:sz="4" w:space="0" w:color="000000"/>
              <w:right w:val="dashed" w:sz="4" w:space="0" w:color="000000"/>
            </w:tcBorders>
          </w:tcPr>
          <w:p w:rsidR="00E8309B" w:rsidRDefault="009D0949">
            <w:pPr>
              <w:spacing w:after="0" w:line="259" w:lineRule="auto"/>
              <w:ind w:left="0" w:right="52" w:firstLine="0"/>
              <w:jc w:val="right"/>
            </w:pPr>
            <w:r>
              <w:rPr>
                <w:sz w:val="20"/>
              </w:rPr>
              <w:t xml:space="preserve">-437,6 </w:t>
            </w:r>
          </w:p>
        </w:tc>
        <w:tc>
          <w:tcPr>
            <w:tcW w:w="984" w:type="dxa"/>
            <w:tcBorders>
              <w:top w:val="dashed" w:sz="4" w:space="0" w:color="000000"/>
              <w:left w:val="dashed" w:sz="4" w:space="0" w:color="000000"/>
              <w:bottom w:val="single" w:sz="4" w:space="0" w:color="000000"/>
              <w:right w:val="dashed" w:sz="4" w:space="0" w:color="000000"/>
            </w:tcBorders>
          </w:tcPr>
          <w:p w:rsidR="00E8309B" w:rsidRDefault="009D0949">
            <w:pPr>
              <w:spacing w:after="0" w:line="259" w:lineRule="auto"/>
              <w:ind w:left="0" w:right="52" w:firstLine="0"/>
              <w:jc w:val="right"/>
            </w:pPr>
            <w:r>
              <w:rPr>
                <w:sz w:val="20"/>
              </w:rPr>
              <w:t xml:space="preserve">-540,8 </w:t>
            </w:r>
          </w:p>
        </w:tc>
        <w:tc>
          <w:tcPr>
            <w:tcW w:w="982" w:type="dxa"/>
            <w:tcBorders>
              <w:top w:val="dashed" w:sz="4" w:space="0" w:color="000000"/>
              <w:left w:val="dashed" w:sz="4" w:space="0" w:color="000000"/>
              <w:bottom w:val="single" w:sz="4" w:space="0" w:color="000000"/>
              <w:right w:val="dashed" w:sz="4" w:space="0" w:color="000000"/>
            </w:tcBorders>
          </w:tcPr>
          <w:p w:rsidR="00E8309B" w:rsidRDefault="009D0949">
            <w:pPr>
              <w:spacing w:after="0" w:line="259" w:lineRule="auto"/>
              <w:ind w:left="0" w:right="49" w:firstLine="0"/>
              <w:jc w:val="right"/>
            </w:pPr>
            <w:r>
              <w:rPr>
                <w:sz w:val="20"/>
              </w:rPr>
              <w:t xml:space="preserve">-478,6 </w:t>
            </w:r>
          </w:p>
        </w:tc>
        <w:tc>
          <w:tcPr>
            <w:tcW w:w="984" w:type="dxa"/>
            <w:tcBorders>
              <w:top w:val="dashed" w:sz="4" w:space="0" w:color="000000"/>
              <w:left w:val="dashed" w:sz="4" w:space="0" w:color="000000"/>
              <w:bottom w:val="single" w:sz="4" w:space="0" w:color="000000"/>
              <w:right w:val="dashed" w:sz="4" w:space="0" w:color="000000"/>
            </w:tcBorders>
          </w:tcPr>
          <w:p w:rsidR="00E8309B" w:rsidRDefault="009D0949">
            <w:pPr>
              <w:spacing w:after="0" w:line="259" w:lineRule="auto"/>
              <w:ind w:left="0" w:right="49" w:firstLine="0"/>
              <w:jc w:val="right"/>
            </w:pPr>
            <w:r>
              <w:rPr>
                <w:sz w:val="20"/>
              </w:rPr>
              <w:t xml:space="preserve">-545,6 </w:t>
            </w:r>
          </w:p>
        </w:tc>
        <w:tc>
          <w:tcPr>
            <w:tcW w:w="984" w:type="dxa"/>
            <w:tcBorders>
              <w:top w:val="dashed" w:sz="4" w:space="0" w:color="000000"/>
              <w:left w:val="dashed" w:sz="4" w:space="0" w:color="000000"/>
              <w:bottom w:val="single" w:sz="4" w:space="0" w:color="000000"/>
              <w:right w:val="dashed" w:sz="4" w:space="0" w:color="000000"/>
            </w:tcBorders>
          </w:tcPr>
          <w:p w:rsidR="00E8309B" w:rsidRDefault="009D0949">
            <w:pPr>
              <w:spacing w:after="0" w:line="259" w:lineRule="auto"/>
              <w:ind w:left="0" w:right="52" w:firstLine="0"/>
              <w:jc w:val="right"/>
            </w:pPr>
            <w:r>
              <w:rPr>
                <w:sz w:val="20"/>
              </w:rPr>
              <w:t xml:space="preserve">-563,2 </w:t>
            </w:r>
          </w:p>
        </w:tc>
        <w:tc>
          <w:tcPr>
            <w:tcW w:w="994" w:type="dxa"/>
            <w:tcBorders>
              <w:top w:val="dashed" w:sz="4" w:space="0" w:color="000000"/>
              <w:left w:val="dashed" w:sz="4" w:space="0" w:color="000000"/>
              <w:bottom w:val="single" w:sz="4" w:space="0" w:color="000000"/>
              <w:right w:val="double" w:sz="6" w:space="0" w:color="000000"/>
            </w:tcBorders>
          </w:tcPr>
          <w:p w:rsidR="00E8309B" w:rsidRDefault="009D0949">
            <w:pPr>
              <w:spacing w:after="0" w:line="259" w:lineRule="auto"/>
              <w:ind w:left="0" w:right="49" w:firstLine="0"/>
              <w:jc w:val="right"/>
            </w:pPr>
            <w:r>
              <w:rPr>
                <w:sz w:val="20"/>
              </w:rPr>
              <w:t xml:space="preserve">-577,2 </w:t>
            </w:r>
          </w:p>
        </w:tc>
      </w:tr>
      <w:tr w:rsidR="00E8309B">
        <w:trPr>
          <w:trHeight w:val="240"/>
        </w:trPr>
        <w:tc>
          <w:tcPr>
            <w:tcW w:w="6750" w:type="dxa"/>
            <w:tcBorders>
              <w:top w:val="single" w:sz="4" w:space="0" w:color="000000"/>
              <w:left w:val="double" w:sz="6" w:space="0" w:color="000000"/>
              <w:bottom w:val="single" w:sz="4" w:space="0" w:color="000000"/>
              <w:right w:val="single" w:sz="8" w:space="0" w:color="000000"/>
            </w:tcBorders>
          </w:tcPr>
          <w:p w:rsidR="00E8309B" w:rsidRDefault="009D0949">
            <w:pPr>
              <w:spacing w:after="0" w:line="259" w:lineRule="auto"/>
              <w:ind w:left="0" w:right="56" w:firstLine="0"/>
              <w:jc w:val="center"/>
            </w:pPr>
            <w:r>
              <w:rPr>
                <w:b/>
                <w:sz w:val="20"/>
              </w:rPr>
              <w:t>1a: Девизни курс</w:t>
            </w:r>
            <w:r>
              <w:rPr>
                <w:sz w:val="20"/>
              </w:rPr>
              <w:t xml:space="preserve"> </w:t>
            </w:r>
          </w:p>
        </w:tc>
        <w:tc>
          <w:tcPr>
            <w:tcW w:w="1604" w:type="dxa"/>
            <w:tcBorders>
              <w:top w:val="single" w:sz="4" w:space="0" w:color="000000"/>
              <w:left w:val="single" w:sz="8" w:space="0" w:color="000000"/>
              <w:bottom w:val="single" w:sz="4" w:space="0" w:color="000000"/>
              <w:right w:val="single" w:sz="8" w:space="0" w:color="000000"/>
            </w:tcBorders>
          </w:tcPr>
          <w:p w:rsidR="00E8309B" w:rsidRDefault="009D0949">
            <w:pPr>
              <w:spacing w:after="0" w:line="259" w:lineRule="auto"/>
              <w:ind w:left="3" w:right="0" w:firstLine="0"/>
              <w:jc w:val="center"/>
            </w:pPr>
            <w:r>
              <w:rPr>
                <w:sz w:val="20"/>
              </w:rPr>
              <w:t xml:space="preserve"> </w:t>
            </w:r>
          </w:p>
        </w:tc>
        <w:tc>
          <w:tcPr>
            <w:tcW w:w="984" w:type="dxa"/>
            <w:tcBorders>
              <w:top w:val="single" w:sz="4" w:space="0" w:color="000000"/>
              <w:left w:val="single" w:sz="8" w:space="0" w:color="000000"/>
              <w:bottom w:val="single" w:sz="4" w:space="0" w:color="000000"/>
              <w:right w:val="nil"/>
            </w:tcBorders>
          </w:tcPr>
          <w:p w:rsidR="00E8309B" w:rsidRDefault="009D0949">
            <w:pPr>
              <w:spacing w:after="0" w:line="259" w:lineRule="auto"/>
              <w:ind w:left="0" w:right="2" w:firstLine="0"/>
              <w:jc w:val="right"/>
            </w:pPr>
            <w:r>
              <w:rPr>
                <w:sz w:val="20"/>
              </w:rPr>
              <w:t xml:space="preserve">  </w:t>
            </w:r>
          </w:p>
        </w:tc>
        <w:tc>
          <w:tcPr>
            <w:tcW w:w="984" w:type="dxa"/>
            <w:tcBorders>
              <w:top w:val="single" w:sz="4" w:space="0" w:color="000000"/>
              <w:left w:val="nil"/>
              <w:bottom w:val="single" w:sz="4" w:space="0" w:color="000000"/>
              <w:right w:val="nil"/>
            </w:tcBorders>
          </w:tcPr>
          <w:p w:rsidR="00E8309B" w:rsidRDefault="009D0949">
            <w:pPr>
              <w:spacing w:after="0" w:line="259" w:lineRule="auto"/>
              <w:ind w:left="0" w:right="2" w:firstLine="0"/>
              <w:jc w:val="right"/>
            </w:pPr>
            <w:r>
              <w:rPr>
                <w:sz w:val="20"/>
              </w:rPr>
              <w:t xml:space="preserve">  </w:t>
            </w:r>
          </w:p>
        </w:tc>
        <w:tc>
          <w:tcPr>
            <w:tcW w:w="982" w:type="dxa"/>
            <w:tcBorders>
              <w:top w:val="single" w:sz="4" w:space="0" w:color="000000"/>
              <w:left w:val="nil"/>
              <w:bottom w:val="single" w:sz="4" w:space="0" w:color="000000"/>
              <w:right w:val="nil"/>
            </w:tcBorders>
          </w:tcPr>
          <w:p w:rsidR="00E8309B" w:rsidRDefault="009D0949">
            <w:pPr>
              <w:spacing w:after="0" w:line="259" w:lineRule="auto"/>
              <w:ind w:left="0" w:right="0" w:firstLine="0"/>
              <w:jc w:val="right"/>
            </w:pPr>
            <w:r>
              <w:rPr>
                <w:sz w:val="20"/>
              </w:rPr>
              <w:t xml:space="preserve">  </w:t>
            </w:r>
          </w:p>
        </w:tc>
        <w:tc>
          <w:tcPr>
            <w:tcW w:w="984" w:type="dxa"/>
            <w:tcBorders>
              <w:top w:val="single" w:sz="4" w:space="0" w:color="000000"/>
              <w:left w:val="nil"/>
              <w:bottom w:val="single" w:sz="4" w:space="0" w:color="000000"/>
              <w:right w:val="nil"/>
            </w:tcBorders>
          </w:tcPr>
          <w:p w:rsidR="00E8309B" w:rsidRDefault="009D0949">
            <w:pPr>
              <w:spacing w:after="0" w:line="259" w:lineRule="auto"/>
              <w:ind w:left="0" w:right="0" w:firstLine="0"/>
              <w:jc w:val="right"/>
            </w:pPr>
            <w:r>
              <w:rPr>
                <w:sz w:val="20"/>
              </w:rPr>
              <w:t xml:space="preserve">  </w:t>
            </w:r>
          </w:p>
        </w:tc>
        <w:tc>
          <w:tcPr>
            <w:tcW w:w="984" w:type="dxa"/>
            <w:tcBorders>
              <w:top w:val="single" w:sz="4" w:space="0" w:color="000000"/>
              <w:left w:val="nil"/>
              <w:bottom w:val="single" w:sz="4" w:space="0" w:color="000000"/>
              <w:right w:val="nil"/>
            </w:tcBorders>
          </w:tcPr>
          <w:p w:rsidR="00E8309B" w:rsidRDefault="009D0949">
            <w:pPr>
              <w:spacing w:after="0" w:line="259" w:lineRule="auto"/>
              <w:ind w:left="0" w:right="2" w:firstLine="0"/>
              <w:jc w:val="right"/>
            </w:pPr>
            <w:r>
              <w:rPr>
                <w:sz w:val="20"/>
              </w:rPr>
              <w:t xml:space="preserve">  </w:t>
            </w:r>
          </w:p>
        </w:tc>
        <w:tc>
          <w:tcPr>
            <w:tcW w:w="994" w:type="dxa"/>
            <w:tcBorders>
              <w:top w:val="single" w:sz="4" w:space="0" w:color="000000"/>
              <w:left w:val="nil"/>
              <w:bottom w:val="single" w:sz="4" w:space="0" w:color="000000"/>
              <w:right w:val="double" w:sz="6" w:space="0" w:color="000000"/>
            </w:tcBorders>
          </w:tcPr>
          <w:p w:rsidR="00E8309B" w:rsidRDefault="009D0949">
            <w:pPr>
              <w:spacing w:after="0" w:line="259" w:lineRule="auto"/>
              <w:ind w:left="0" w:right="0" w:firstLine="0"/>
              <w:jc w:val="right"/>
            </w:pPr>
            <w:r>
              <w:rPr>
                <w:sz w:val="20"/>
              </w:rPr>
              <w:t xml:space="preserve">  </w:t>
            </w:r>
          </w:p>
        </w:tc>
      </w:tr>
      <w:tr w:rsidR="00E8309B">
        <w:trPr>
          <w:trHeight w:val="240"/>
        </w:trPr>
        <w:tc>
          <w:tcPr>
            <w:tcW w:w="6750" w:type="dxa"/>
            <w:tcBorders>
              <w:top w:val="single" w:sz="4" w:space="0" w:color="000000"/>
              <w:left w:val="double" w:sz="6" w:space="0" w:color="000000"/>
              <w:bottom w:val="dashed" w:sz="4" w:space="0" w:color="000000"/>
              <w:right w:val="single" w:sz="8" w:space="0" w:color="000000"/>
            </w:tcBorders>
          </w:tcPr>
          <w:p w:rsidR="00E8309B" w:rsidRDefault="009D0949">
            <w:pPr>
              <w:spacing w:after="0" w:line="259" w:lineRule="auto"/>
              <w:ind w:left="0" w:right="0" w:firstLine="0"/>
              <w:jc w:val="left"/>
            </w:pPr>
            <w:r>
              <w:rPr>
                <w:sz w:val="20"/>
              </w:rPr>
              <w:t xml:space="preserve">Девизни курс РСД/ЕУР (годишњи просек) </w:t>
            </w:r>
          </w:p>
        </w:tc>
        <w:tc>
          <w:tcPr>
            <w:tcW w:w="1604" w:type="dxa"/>
            <w:tcBorders>
              <w:top w:val="single" w:sz="4" w:space="0" w:color="000000"/>
              <w:left w:val="single" w:sz="8" w:space="0" w:color="000000"/>
              <w:bottom w:val="dashed" w:sz="4" w:space="0" w:color="000000"/>
              <w:right w:val="single" w:sz="8" w:space="0" w:color="000000"/>
            </w:tcBorders>
          </w:tcPr>
          <w:p w:rsidR="00E8309B" w:rsidRDefault="009D0949">
            <w:pPr>
              <w:spacing w:after="0" w:line="259" w:lineRule="auto"/>
              <w:ind w:left="0" w:right="47" w:firstLine="0"/>
              <w:jc w:val="center"/>
            </w:pPr>
            <w:r>
              <w:rPr>
                <w:sz w:val="20"/>
              </w:rPr>
              <w:t xml:space="preserve">РСД/ЕУР </w:t>
            </w:r>
          </w:p>
        </w:tc>
        <w:tc>
          <w:tcPr>
            <w:tcW w:w="984" w:type="dxa"/>
            <w:tcBorders>
              <w:top w:val="single" w:sz="4" w:space="0" w:color="000000"/>
              <w:left w:val="single" w:sz="8" w:space="0" w:color="000000"/>
              <w:bottom w:val="dashed" w:sz="4" w:space="0" w:color="000000"/>
              <w:right w:val="dashed" w:sz="4" w:space="0" w:color="000000"/>
            </w:tcBorders>
          </w:tcPr>
          <w:p w:rsidR="00E8309B" w:rsidRDefault="009D0949">
            <w:pPr>
              <w:spacing w:after="0" w:line="259" w:lineRule="auto"/>
              <w:ind w:left="0" w:right="52" w:firstLine="0"/>
              <w:jc w:val="right"/>
            </w:pPr>
            <w:r>
              <w:rPr>
                <w:sz w:val="20"/>
              </w:rPr>
              <w:t xml:space="preserve">118,3 </w:t>
            </w:r>
          </w:p>
        </w:tc>
        <w:tc>
          <w:tcPr>
            <w:tcW w:w="984" w:type="dxa"/>
            <w:tcBorders>
              <w:top w:val="single" w:sz="4" w:space="0" w:color="000000"/>
              <w:left w:val="dashed" w:sz="4" w:space="0" w:color="000000"/>
              <w:bottom w:val="dashed" w:sz="4" w:space="0" w:color="000000"/>
              <w:right w:val="dashed" w:sz="4" w:space="0" w:color="000000"/>
            </w:tcBorders>
          </w:tcPr>
          <w:p w:rsidR="00E8309B" w:rsidRDefault="009D0949">
            <w:pPr>
              <w:spacing w:after="0" w:line="259" w:lineRule="auto"/>
              <w:ind w:left="0" w:right="52" w:firstLine="0"/>
              <w:jc w:val="right"/>
            </w:pPr>
            <w:r>
              <w:rPr>
                <w:sz w:val="20"/>
              </w:rPr>
              <w:t xml:space="preserve">117,9 </w:t>
            </w:r>
          </w:p>
        </w:tc>
        <w:tc>
          <w:tcPr>
            <w:tcW w:w="982" w:type="dxa"/>
            <w:tcBorders>
              <w:top w:val="single" w:sz="4" w:space="0" w:color="000000"/>
              <w:left w:val="dashed" w:sz="4" w:space="0" w:color="000000"/>
              <w:bottom w:val="dashed" w:sz="4" w:space="0" w:color="000000"/>
              <w:right w:val="dashed" w:sz="4" w:space="0" w:color="000000"/>
            </w:tcBorders>
          </w:tcPr>
          <w:p w:rsidR="00E8309B" w:rsidRDefault="009D0949">
            <w:pPr>
              <w:spacing w:after="0" w:line="259" w:lineRule="auto"/>
              <w:ind w:left="0" w:right="49" w:firstLine="0"/>
              <w:jc w:val="right"/>
            </w:pPr>
            <w:r>
              <w:rPr>
                <w:sz w:val="20"/>
              </w:rPr>
              <w:t xml:space="preserve">117,6 </w:t>
            </w:r>
          </w:p>
        </w:tc>
        <w:tc>
          <w:tcPr>
            <w:tcW w:w="984" w:type="dxa"/>
            <w:tcBorders>
              <w:top w:val="single" w:sz="4" w:space="0" w:color="000000"/>
              <w:left w:val="dashed" w:sz="4" w:space="0" w:color="000000"/>
              <w:bottom w:val="dashed" w:sz="4" w:space="0" w:color="000000"/>
              <w:right w:val="dashed" w:sz="4" w:space="0" w:color="000000"/>
            </w:tcBorders>
          </w:tcPr>
          <w:p w:rsidR="00E8309B" w:rsidRDefault="009D0949">
            <w:pPr>
              <w:spacing w:after="0" w:line="259" w:lineRule="auto"/>
              <w:ind w:left="0" w:right="0" w:firstLine="0"/>
              <w:jc w:val="right"/>
            </w:pPr>
            <w:r>
              <w:rPr>
                <w:sz w:val="20"/>
              </w:rPr>
              <w:t xml:space="preserve"> </w:t>
            </w:r>
          </w:p>
        </w:tc>
        <w:tc>
          <w:tcPr>
            <w:tcW w:w="984" w:type="dxa"/>
            <w:tcBorders>
              <w:top w:val="single" w:sz="4" w:space="0" w:color="000000"/>
              <w:left w:val="dashed" w:sz="4" w:space="0" w:color="000000"/>
              <w:bottom w:val="dashed" w:sz="4" w:space="0" w:color="000000"/>
              <w:right w:val="dashed" w:sz="4" w:space="0" w:color="000000"/>
            </w:tcBorders>
          </w:tcPr>
          <w:p w:rsidR="00E8309B" w:rsidRDefault="009D0949">
            <w:pPr>
              <w:spacing w:after="0" w:line="259" w:lineRule="auto"/>
              <w:ind w:left="0" w:right="2" w:firstLine="0"/>
              <w:jc w:val="right"/>
            </w:pPr>
            <w:r>
              <w:rPr>
                <w:sz w:val="20"/>
              </w:rPr>
              <w:t xml:space="preserve"> </w:t>
            </w:r>
          </w:p>
        </w:tc>
        <w:tc>
          <w:tcPr>
            <w:tcW w:w="994" w:type="dxa"/>
            <w:tcBorders>
              <w:top w:val="single" w:sz="4" w:space="0" w:color="000000"/>
              <w:left w:val="dashed" w:sz="4" w:space="0" w:color="000000"/>
              <w:bottom w:val="dashed" w:sz="4" w:space="0" w:color="000000"/>
              <w:right w:val="double" w:sz="6" w:space="0" w:color="000000"/>
            </w:tcBorders>
          </w:tcPr>
          <w:p w:rsidR="00E8309B" w:rsidRDefault="009D0949">
            <w:pPr>
              <w:spacing w:after="0" w:line="259" w:lineRule="auto"/>
              <w:ind w:left="0" w:right="0" w:firstLine="0"/>
              <w:jc w:val="right"/>
            </w:pPr>
            <w:r>
              <w:rPr>
                <w:sz w:val="20"/>
              </w:rPr>
              <w:t xml:space="preserve"> </w:t>
            </w:r>
          </w:p>
        </w:tc>
      </w:tr>
      <w:tr w:rsidR="00E8309B">
        <w:trPr>
          <w:trHeight w:val="245"/>
        </w:trPr>
        <w:tc>
          <w:tcPr>
            <w:tcW w:w="6750" w:type="dxa"/>
            <w:tcBorders>
              <w:top w:val="dashed" w:sz="4" w:space="0" w:color="000000"/>
              <w:left w:val="double" w:sz="6" w:space="0" w:color="000000"/>
              <w:bottom w:val="single" w:sz="8" w:space="0" w:color="000000"/>
              <w:right w:val="single" w:sz="8" w:space="0" w:color="000000"/>
            </w:tcBorders>
          </w:tcPr>
          <w:p w:rsidR="00E8309B" w:rsidRDefault="009D0949">
            <w:pPr>
              <w:spacing w:after="0" w:line="259" w:lineRule="auto"/>
              <w:ind w:left="0" w:right="0" w:firstLine="0"/>
              <w:jc w:val="left"/>
            </w:pPr>
            <w:r>
              <w:rPr>
                <w:sz w:val="20"/>
              </w:rPr>
              <w:t xml:space="preserve">Девизни курс РСД/ЕУР (крај године) </w:t>
            </w:r>
          </w:p>
        </w:tc>
        <w:tc>
          <w:tcPr>
            <w:tcW w:w="1604" w:type="dxa"/>
            <w:tcBorders>
              <w:top w:val="dashed" w:sz="4" w:space="0" w:color="000000"/>
              <w:left w:val="single" w:sz="8" w:space="0" w:color="000000"/>
              <w:bottom w:val="single" w:sz="8" w:space="0" w:color="000000"/>
              <w:right w:val="single" w:sz="8" w:space="0" w:color="000000"/>
            </w:tcBorders>
          </w:tcPr>
          <w:p w:rsidR="00E8309B" w:rsidRDefault="009D0949">
            <w:pPr>
              <w:spacing w:after="0" w:line="259" w:lineRule="auto"/>
              <w:ind w:left="0" w:right="47" w:firstLine="0"/>
              <w:jc w:val="center"/>
            </w:pPr>
            <w:r>
              <w:rPr>
                <w:sz w:val="20"/>
              </w:rPr>
              <w:t xml:space="preserve">РСД/ЕУР </w:t>
            </w:r>
          </w:p>
        </w:tc>
        <w:tc>
          <w:tcPr>
            <w:tcW w:w="984" w:type="dxa"/>
            <w:tcBorders>
              <w:top w:val="dashed" w:sz="4" w:space="0" w:color="000000"/>
              <w:left w:val="single" w:sz="8" w:space="0" w:color="000000"/>
              <w:bottom w:val="single" w:sz="8" w:space="0" w:color="000000"/>
              <w:right w:val="dashed" w:sz="4" w:space="0" w:color="000000"/>
            </w:tcBorders>
          </w:tcPr>
          <w:p w:rsidR="00E8309B" w:rsidRDefault="009D0949">
            <w:pPr>
              <w:spacing w:after="0" w:line="259" w:lineRule="auto"/>
              <w:ind w:left="0" w:right="52" w:firstLine="0"/>
              <w:jc w:val="right"/>
            </w:pPr>
            <w:r>
              <w:rPr>
                <w:sz w:val="20"/>
              </w:rPr>
              <w:t xml:space="preserve">118,2 </w:t>
            </w:r>
          </w:p>
        </w:tc>
        <w:tc>
          <w:tcPr>
            <w:tcW w:w="984" w:type="dxa"/>
            <w:tcBorders>
              <w:top w:val="dashed" w:sz="4" w:space="0" w:color="000000"/>
              <w:left w:val="dashed" w:sz="4" w:space="0" w:color="000000"/>
              <w:bottom w:val="single" w:sz="8" w:space="0" w:color="000000"/>
              <w:right w:val="dashed" w:sz="4" w:space="0" w:color="000000"/>
            </w:tcBorders>
          </w:tcPr>
          <w:p w:rsidR="00E8309B" w:rsidRDefault="009D0949">
            <w:pPr>
              <w:spacing w:after="0" w:line="259" w:lineRule="auto"/>
              <w:ind w:left="0" w:right="52" w:firstLine="0"/>
              <w:jc w:val="right"/>
            </w:pPr>
            <w:r>
              <w:rPr>
                <w:sz w:val="20"/>
              </w:rPr>
              <w:t xml:space="preserve">117,6 </w:t>
            </w:r>
          </w:p>
        </w:tc>
        <w:tc>
          <w:tcPr>
            <w:tcW w:w="982" w:type="dxa"/>
            <w:tcBorders>
              <w:top w:val="dashed" w:sz="4" w:space="0" w:color="000000"/>
              <w:left w:val="dashed" w:sz="4" w:space="0" w:color="000000"/>
              <w:bottom w:val="single" w:sz="8" w:space="0" w:color="000000"/>
              <w:right w:val="dashed" w:sz="4" w:space="0" w:color="000000"/>
            </w:tcBorders>
          </w:tcPr>
          <w:p w:rsidR="00E8309B" w:rsidRDefault="009D0949">
            <w:pPr>
              <w:spacing w:after="0" w:line="259" w:lineRule="auto"/>
              <w:ind w:left="0" w:right="49" w:firstLine="0"/>
              <w:jc w:val="right"/>
            </w:pPr>
            <w:r>
              <w:rPr>
                <w:sz w:val="20"/>
              </w:rPr>
              <w:t xml:space="preserve">117,6 </w:t>
            </w:r>
          </w:p>
        </w:tc>
        <w:tc>
          <w:tcPr>
            <w:tcW w:w="984" w:type="dxa"/>
            <w:tcBorders>
              <w:top w:val="dashed" w:sz="4" w:space="0" w:color="000000"/>
              <w:left w:val="dashed" w:sz="4" w:space="0" w:color="000000"/>
              <w:bottom w:val="single" w:sz="8" w:space="0" w:color="000000"/>
              <w:right w:val="dashed" w:sz="4" w:space="0" w:color="000000"/>
            </w:tcBorders>
          </w:tcPr>
          <w:p w:rsidR="00E8309B" w:rsidRDefault="009D0949">
            <w:pPr>
              <w:spacing w:after="0" w:line="259" w:lineRule="auto"/>
              <w:ind w:left="0" w:right="0" w:firstLine="0"/>
              <w:jc w:val="right"/>
            </w:pPr>
            <w:r>
              <w:rPr>
                <w:sz w:val="20"/>
              </w:rPr>
              <w:t xml:space="preserve"> </w:t>
            </w:r>
          </w:p>
        </w:tc>
        <w:tc>
          <w:tcPr>
            <w:tcW w:w="984" w:type="dxa"/>
            <w:tcBorders>
              <w:top w:val="dashed" w:sz="4" w:space="0" w:color="000000"/>
              <w:left w:val="dashed" w:sz="4" w:space="0" w:color="000000"/>
              <w:bottom w:val="single" w:sz="8" w:space="0" w:color="000000"/>
              <w:right w:val="dashed" w:sz="4" w:space="0" w:color="000000"/>
            </w:tcBorders>
          </w:tcPr>
          <w:p w:rsidR="00E8309B" w:rsidRDefault="009D0949">
            <w:pPr>
              <w:spacing w:after="0" w:line="259" w:lineRule="auto"/>
              <w:ind w:left="0" w:right="2" w:firstLine="0"/>
              <w:jc w:val="right"/>
            </w:pPr>
            <w:r>
              <w:rPr>
                <w:sz w:val="20"/>
              </w:rPr>
              <w:t xml:space="preserve"> </w:t>
            </w:r>
          </w:p>
        </w:tc>
        <w:tc>
          <w:tcPr>
            <w:tcW w:w="994" w:type="dxa"/>
            <w:tcBorders>
              <w:top w:val="dashed" w:sz="4" w:space="0" w:color="000000"/>
              <w:left w:val="dashed" w:sz="4" w:space="0" w:color="000000"/>
              <w:bottom w:val="single" w:sz="8" w:space="0" w:color="000000"/>
              <w:right w:val="double" w:sz="6" w:space="0" w:color="000000"/>
            </w:tcBorders>
          </w:tcPr>
          <w:p w:rsidR="00E8309B" w:rsidRDefault="009D0949">
            <w:pPr>
              <w:spacing w:after="0" w:line="259" w:lineRule="auto"/>
              <w:ind w:left="0" w:right="0" w:firstLine="0"/>
              <w:jc w:val="right"/>
            </w:pPr>
            <w:r>
              <w:rPr>
                <w:sz w:val="20"/>
              </w:rPr>
              <w:t xml:space="preserve"> </w:t>
            </w:r>
          </w:p>
        </w:tc>
      </w:tr>
      <w:tr w:rsidR="00E8309B">
        <w:trPr>
          <w:trHeight w:val="250"/>
        </w:trPr>
        <w:tc>
          <w:tcPr>
            <w:tcW w:w="6750" w:type="dxa"/>
            <w:tcBorders>
              <w:top w:val="single" w:sz="8" w:space="0" w:color="000000"/>
              <w:left w:val="double" w:sz="6" w:space="0" w:color="000000"/>
              <w:bottom w:val="single" w:sz="8" w:space="0" w:color="000000"/>
              <w:right w:val="single" w:sz="8" w:space="0" w:color="000000"/>
            </w:tcBorders>
          </w:tcPr>
          <w:p w:rsidR="00E8309B" w:rsidRDefault="009D0949">
            <w:pPr>
              <w:spacing w:after="0" w:line="259" w:lineRule="auto"/>
              <w:ind w:left="0" w:right="56" w:firstLine="0"/>
              <w:jc w:val="center"/>
            </w:pPr>
            <w:r>
              <w:rPr>
                <w:b/>
                <w:sz w:val="20"/>
              </w:rPr>
              <w:t>Табела 1b: Кретање цена</w:t>
            </w:r>
            <w:r>
              <w:rPr>
                <w:sz w:val="20"/>
              </w:rPr>
              <w:t xml:space="preserve"> </w:t>
            </w:r>
          </w:p>
        </w:tc>
        <w:tc>
          <w:tcPr>
            <w:tcW w:w="1604"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3" w:right="0" w:firstLine="0"/>
              <w:jc w:val="center"/>
            </w:pPr>
            <w:r>
              <w:rPr>
                <w:sz w:val="20"/>
              </w:rPr>
              <w:t xml:space="preserve"> </w:t>
            </w:r>
          </w:p>
        </w:tc>
        <w:tc>
          <w:tcPr>
            <w:tcW w:w="984" w:type="dxa"/>
            <w:tcBorders>
              <w:top w:val="single" w:sz="8" w:space="0" w:color="000000"/>
              <w:left w:val="single" w:sz="8" w:space="0" w:color="000000"/>
              <w:bottom w:val="single" w:sz="8" w:space="0" w:color="000000"/>
              <w:right w:val="nil"/>
            </w:tcBorders>
          </w:tcPr>
          <w:p w:rsidR="00E8309B" w:rsidRDefault="009D0949">
            <w:pPr>
              <w:spacing w:after="0" w:line="259" w:lineRule="auto"/>
              <w:ind w:left="0" w:right="2" w:firstLine="0"/>
              <w:jc w:val="right"/>
            </w:pPr>
            <w:r>
              <w:rPr>
                <w:sz w:val="20"/>
              </w:rPr>
              <w:t xml:space="preserve">  </w:t>
            </w:r>
          </w:p>
        </w:tc>
        <w:tc>
          <w:tcPr>
            <w:tcW w:w="984" w:type="dxa"/>
            <w:tcBorders>
              <w:top w:val="single" w:sz="8" w:space="0" w:color="000000"/>
              <w:left w:val="nil"/>
              <w:bottom w:val="single" w:sz="8" w:space="0" w:color="000000"/>
              <w:right w:val="nil"/>
            </w:tcBorders>
          </w:tcPr>
          <w:p w:rsidR="00E8309B" w:rsidRDefault="009D0949">
            <w:pPr>
              <w:spacing w:after="0" w:line="259" w:lineRule="auto"/>
              <w:ind w:left="0" w:right="2" w:firstLine="0"/>
              <w:jc w:val="right"/>
            </w:pPr>
            <w:r>
              <w:rPr>
                <w:sz w:val="20"/>
              </w:rPr>
              <w:t xml:space="preserve">  </w:t>
            </w:r>
          </w:p>
        </w:tc>
        <w:tc>
          <w:tcPr>
            <w:tcW w:w="982" w:type="dxa"/>
            <w:tcBorders>
              <w:top w:val="single" w:sz="8" w:space="0" w:color="000000"/>
              <w:left w:val="nil"/>
              <w:bottom w:val="single" w:sz="8" w:space="0" w:color="000000"/>
              <w:right w:val="nil"/>
            </w:tcBorders>
          </w:tcPr>
          <w:p w:rsidR="00E8309B" w:rsidRDefault="009D0949">
            <w:pPr>
              <w:spacing w:after="0" w:line="259" w:lineRule="auto"/>
              <w:ind w:left="0" w:right="0" w:firstLine="0"/>
              <w:jc w:val="right"/>
            </w:pPr>
            <w:r>
              <w:rPr>
                <w:sz w:val="20"/>
              </w:rPr>
              <w:t xml:space="preserve">  </w:t>
            </w:r>
          </w:p>
        </w:tc>
        <w:tc>
          <w:tcPr>
            <w:tcW w:w="984" w:type="dxa"/>
            <w:tcBorders>
              <w:top w:val="single" w:sz="8" w:space="0" w:color="000000"/>
              <w:left w:val="nil"/>
              <w:bottom w:val="single" w:sz="8" w:space="0" w:color="000000"/>
              <w:right w:val="nil"/>
            </w:tcBorders>
          </w:tcPr>
          <w:p w:rsidR="00E8309B" w:rsidRDefault="009D0949">
            <w:pPr>
              <w:spacing w:after="0" w:line="259" w:lineRule="auto"/>
              <w:ind w:left="0" w:right="0" w:firstLine="0"/>
              <w:jc w:val="right"/>
            </w:pPr>
            <w:r>
              <w:rPr>
                <w:sz w:val="20"/>
              </w:rPr>
              <w:t xml:space="preserve">  </w:t>
            </w:r>
          </w:p>
        </w:tc>
        <w:tc>
          <w:tcPr>
            <w:tcW w:w="984" w:type="dxa"/>
            <w:tcBorders>
              <w:top w:val="single" w:sz="8" w:space="0" w:color="000000"/>
              <w:left w:val="nil"/>
              <w:bottom w:val="single" w:sz="8" w:space="0" w:color="000000"/>
              <w:right w:val="nil"/>
            </w:tcBorders>
          </w:tcPr>
          <w:p w:rsidR="00E8309B" w:rsidRDefault="009D0949">
            <w:pPr>
              <w:spacing w:after="0" w:line="259" w:lineRule="auto"/>
              <w:ind w:left="0" w:right="2" w:firstLine="0"/>
              <w:jc w:val="right"/>
            </w:pPr>
            <w:r>
              <w:rPr>
                <w:sz w:val="20"/>
              </w:rPr>
              <w:t xml:space="preserve">  </w:t>
            </w:r>
          </w:p>
        </w:tc>
        <w:tc>
          <w:tcPr>
            <w:tcW w:w="994" w:type="dxa"/>
            <w:tcBorders>
              <w:top w:val="single" w:sz="8" w:space="0" w:color="000000"/>
              <w:left w:val="nil"/>
              <w:bottom w:val="single" w:sz="8" w:space="0" w:color="000000"/>
              <w:right w:val="double" w:sz="6" w:space="0" w:color="000000"/>
            </w:tcBorders>
          </w:tcPr>
          <w:p w:rsidR="00E8309B" w:rsidRDefault="009D0949">
            <w:pPr>
              <w:spacing w:after="0" w:line="259" w:lineRule="auto"/>
              <w:ind w:left="0" w:right="0" w:firstLine="0"/>
              <w:jc w:val="right"/>
            </w:pPr>
            <w:r>
              <w:rPr>
                <w:sz w:val="20"/>
              </w:rPr>
              <w:t xml:space="preserve">  </w:t>
            </w:r>
          </w:p>
        </w:tc>
      </w:tr>
      <w:tr w:rsidR="00E8309B">
        <w:trPr>
          <w:trHeight w:val="245"/>
        </w:trPr>
        <w:tc>
          <w:tcPr>
            <w:tcW w:w="6750" w:type="dxa"/>
            <w:tcBorders>
              <w:top w:val="single" w:sz="8" w:space="0" w:color="000000"/>
              <w:left w:val="double" w:sz="6" w:space="0" w:color="000000"/>
              <w:bottom w:val="dashed" w:sz="4" w:space="0" w:color="000000"/>
              <w:right w:val="single" w:sz="8" w:space="0" w:color="000000"/>
            </w:tcBorders>
          </w:tcPr>
          <w:p w:rsidR="00E8309B" w:rsidRDefault="009D0949">
            <w:pPr>
              <w:spacing w:after="0" w:line="259" w:lineRule="auto"/>
              <w:ind w:left="0" w:right="0" w:firstLine="0"/>
              <w:jc w:val="left"/>
            </w:pPr>
            <w:r>
              <w:rPr>
                <w:sz w:val="20"/>
              </w:rPr>
              <w:t xml:space="preserve">1. Дефлатор БДП-а </w:t>
            </w:r>
          </w:p>
        </w:tc>
        <w:tc>
          <w:tcPr>
            <w:tcW w:w="1604" w:type="dxa"/>
            <w:tcBorders>
              <w:top w:val="single" w:sz="8" w:space="0" w:color="000000"/>
              <w:left w:val="single" w:sz="8" w:space="0" w:color="000000"/>
              <w:bottom w:val="dashed" w:sz="4" w:space="0" w:color="000000"/>
              <w:right w:val="single" w:sz="8" w:space="0" w:color="000000"/>
            </w:tcBorders>
          </w:tcPr>
          <w:p w:rsidR="00E8309B" w:rsidRDefault="009D0949">
            <w:pPr>
              <w:spacing w:after="0" w:line="259" w:lineRule="auto"/>
              <w:ind w:left="0" w:right="50" w:firstLine="0"/>
              <w:jc w:val="center"/>
            </w:pPr>
            <w:r>
              <w:rPr>
                <w:sz w:val="20"/>
              </w:rPr>
              <w:t xml:space="preserve">Индекс </w:t>
            </w:r>
          </w:p>
        </w:tc>
        <w:tc>
          <w:tcPr>
            <w:tcW w:w="984" w:type="dxa"/>
            <w:tcBorders>
              <w:top w:val="single" w:sz="8" w:space="0" w:color="000000"/>
              <w:left w:val="single" w:sz="8" w:space="0" w:color="000000"/>
              <w:bottom w:val="dashed" w:sz="4" w:space="0" w:color="000000"/>
              <w:right w:val="dashed" w:sz="4" w:space="0" w:color="000000"/>
            </w:tcBorders>
          </w:tcPr>
          <w:p w:rsidR="00E8309B" w:rsidRDefault="009D0949">
            <w:pPr>
              <w:spacing w:after="0" w:line="259" w:lineRule="auto"/>
              <w:ind w:left="0" w:right="52" w:firstLine="0"/>
              <w:jc w:val="right"/>
            </w:pPr>
            <w:r>
              <w:rPr>
                <w:sz w:val="20"/>
              </w:rPr>
              <w:t xml:space="preserve">106,6 </w:t>
            </w:r>
          </w:p>
        </w:tc>
        <w:tc>
          <w:tcPr>
            <w:tcW w:w="984" w:type="dxa"/>
            <w:tcBorders>
              <w:top w:val="single" w:sz="8" w:space="0" w:color="000000"/>
              <w:left w:val="dashed" w:sz="4" w:space="0" w:color="000000"/>
              <w:bottom w:val="dashed" w:sz="4" w:space="0" w:color="000000"/>
              <w:right w:val="dashed" w:sz="4" w:space="0" w:color="000000"/>
            </w:tcBorders>
          </w:tcPr>
          <w:p w:rsidR="00E8309B" w:rsidRDefault="009D0949">
            <w:pPr>
              <w:spacing w:after="0" w:line="259" w:lineRule="auto"/>
              <w:ind w:left="0" w:right="52" w:firstLine="0"/>
              <w:jc w:val="right"/>
            </w:pPr>
            <w:r>
              <w:rPr>
                <w:sz w:val="20"/>
              </w:rPr>
              <w:t xml:space="preserve">109,2 </w:t>
            </w:r>
          </w:p>
        </w:tc>
        <w:tc>
          <w:tcPr>
            <w:tcW w:w="982" w:type="dxa"/>
            <w:tcBorders>
              <w:top w:val="single" w:sz="8" w:space="0" w:color="000000"/>
              <w:left w:val="dashed" w:sz="4" w:space="0" w:color="000000"/>
              <w:bottom w:val="dashed" w:sz="4" w:space="0" w:color="000000"/>
              <w:right w:val="dashed" w:sz="4" w:space="0" w:color="000000"/>
            </w:tcBorders>
          </w:tcPr>
          <w:p w:rsidR="00E8309B" w:rsidRDefault="009D0949">
            <w:pPr>
              <w:spacing w:after="0" w:line="259" w:lineRule="auto"/>
              <w:ind w:left="0" w:right="49" w:firstLine="0"/>
              <w:jc w:val="right"/>
            </w:pPr>
            <w:r>
              <w:rPr>
                <w:sz w:val="20"/>
              </w:rPr>
              <w:t xml:space="preserve">112,4 </w:t>
            </w:r>
          </w:p>
        </w:tc>
        <w:tc>
          <w:tcPr>
            <w:tcW w:w="984" w:type="dxa"/>
            <w:tcBorders>
              <w:top w:val="single" w:sz="8" w:space="0" w:color="000000"/>
              <w:left w:val="dashed" w:sz="4" w:space="0" w:color="000000"/>
              <w:bottom w:val="dashed" w:sz="4" w:space="0" w:color="000000"/>
              <w:right w:val="dashed" w:sz="4" w:space="0" w:color="000000"/>
            </w:tcBorders>
          </w:tcPr>
          <w:p w:rsidR="00E8309B" w:rsidRDefault="009D0949">
            <w:pPr>
              <w:spacing w:after="0" w:line="259" w:lineRule="auto"/>
              <w:ind w:left="0" w:right="49" w:firstLine="0"/>
              <w:jc w:val="right"/>
            </w:pPr>
            <w:r>
              <w:rPr>
                <w:sz w:val="20"/>
              </w:rPr>
              <w:t xml:space="preserve">115,3 </w:t>
            </w:r>
          </w:p>
        </w:tc>
        <w:tc>
          <w:tcPr>
            <w:tcW w:w="984" w:type="dxa"/>
            <w:tcBorders>
              <w:top w:val="single" w:sz="8" w:space="0" w:color="000000"/>
              <w:left w:val="dashed" w:sz="4" w:space="0" w:color="000000"/>
              <w:bottom w:val="dashed" w:sz="4" w:space="0" w:color="000000"/>
              <w:right w:val="dashed" w:sz="4" w:space="0" w:color="000000"/>
            </w:tcBorders>
          </w:tcPr>
          <w:p w:rsidR="00E8309B" w:rsidRDefault="009D0949">
            <w:pPr>
              <w:spacing w:after="0" w:line="259" w:lineRule="auto"/>
              <w:ind w:left="0" w:right="52" w:firstLine="0"/>
              <w:jc w:val="right"/>
            </w:pPr>
            <w:r>
              <w:rPr>
                <w:sz w:val="20"/>
              </w:rPr>
              <w:t xml:space="preserve">118,5 </w:t>
            </w:r>
          </w:p>
        </w:tc>
        <w:tc>
          <w:tcPr>
            <w:tcW w:w="994" w:type="dxa"/>
            <w:tcBorders>
              <w:top w:val="single" w:sz="8" w:space="0" w:color="000000"/>
              <w:left w:val="dashed" w:sz="4" w:space="0" w:color="000000"/>
              <w:bottom w:val="dashed" w:sz="4" w:space="0" w:color="000000"/>
              <w:right w:val="double" w:sz="6" w:space="0" w:color="000000"/>
            </w:tcBorders>
          </w:tcPr>
          <w:p w:rsidR="00E8309B" w:rsidRDefault="009D0949">
            <w:pPr>
              <w:spacing w:after="0" w:line="259" w:lineRule="auto"/>
              <w:ind w:left="0" w:right="49" w:firstLine="0"/>
              <w:jc w:val="right"/>
            </w:pPr>
            <w:r>
              <w:rPr>
                <w:sz w:val="20"/>
              </w:rPr>
              <w:t xml:space="preserve">122,1 </w:t>
            </w:r>
          </w:p>
        </w:tc>
      </w:tr>
      <w:tr w:rsidR="00E8309B">
        <w:trPr>
          <w:trHeight w:val="240"/>
        </w:trPr>
        <w:tc>
          <w:tcPr>
            <w:tcW w:w="6750" w:type="dxa"/>
            <w:tcBorders>
              <w:top w:val="dashed" w:sz="4" w:space="0" w:color="000000"/>
              <w:left w:val="double" w:sz="6" w:space="0" w:color="000000"/>
              <w:bottom w:val="dashed" w:sz="4" w:space="0" w:color="000000"/>
              <w:right w:val="single" w:sz="8" w:space="0" w:color="000000"/>
            </w:tcBorders>
          </w:tcPr>
          <w:p w:rsidR="00E8309B" w:rsidRDefault="009D0949">
            <w:pPr>
              <w:spacing w:after="0" w:line="259" w:lineRule="auto"/>
              <w:ind w:left="0" w:right="0" w:firstLine="0"/>
              <w:jc w:val="left"/>
            </w:pPr>
            <w:r>
              <w:rPr>
                <w:sz w:val="20"/>
              </w:rPr>
              <w:t xml:space="preserve">2. Дефлатор приватне потрошње </w:t>
            </w:r>
          </w:p>
        </w:tc>
        <w:tc>
          <w:tcPr>
            <w:tcW w:w="1604" w:type="dxa"/>
            <w:tcBorders>
              <w:top w:val="dashed" w:sz="4" w:space="0" w:color="000000"/>
              <w:left w:val="single" w:sz="8" w:space="0" w:color="000000"/>
              <w:bottom w:val="dashed" w:sz="4" w:space="0" w:color="000000"/>
              <w:right w:val="single" w:sz="8" w:space="0" w:color="000000"/>
            </w:tcBorders>
          </w:tcPr>
          <w:p w:rsidR="00E8309B" w:rsidRDefault="009D0949">
            <w:pPr>
              <w:spacing w:after="0" w:line="259" w:lineRule="auto"/>
              <w:ind w:left="0" w:right="50" w:firstLine="0"/>
              <w:jc w:val="center"/>
            </w:pPr>
            <w:r>
              <w:rPr>
                <w:sz w:val="20"/>
              </w:rPr>
              <w:t xml:space="preserve">Индекс </w:t>
            </w:r>
          </w:p>
        </w:tc>
        <w:tc>
          <w:tcPr>
            <w:tcW w:w="984" w:type="dxa"/>
            <w:tcBorders>
              <w:top w:val="dashed" w:sz="4" w:space="0" w:color="000000"/>
              <w:left w:val="single" w:sz="8" w:space="0" w:color="000000"/>
              <w:bottom w:val="dashed" w:sz="4" w:space="0" w:color="000000"/>
              <w:right w:val="dashed" w:sz="4" w:space="0" w:color="000000"/>
            </w:tcBorders>
          </w:tcPr>
          <w:p w:rsidR="00E8309B" w:rsidRDefault="009D0949">
            <w:pPr>
              <w:spacing w:after="0" w:line="259" w:lineRule="auto"/>
              <w:ind w:left="0" w:right="52" w:firstLine="0"/>
              <w:jc w:val="right"/>
            </w:pPr>
            <w:r>
              <w:rPr>
                <w:sz w:val="20"/>
              </w:rPr>
              <w:t xml:space="preserve">105,6 </w:t>
            </w:r>
          </w:p>
        </w:tc>
        <w:tc>
          <w:tcPr>
            <w:tcW w:w="984"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52" w:firstLine="0"/>
              <w:jc w:val="right"/>
            </w:pPr>
            <w:r>
              <w:rPr>
                <w:sz w:val="20"/>
              </w:rPr>
              <w:t xml:space="preserve">107,1 </w:t>
            </w:r>
          </w:p>
        </w:tc>
        <w:tc>
          <w:tcPr>
            <w:tcW w:w="982"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49" w:firstLine="0"/>
              <w:jc w:val="right"/>
            </w:pPr>
            <w:r>
              <w:rPr>
                <w:sz w:val="20"/>
              </w:rPr>
              <w:t xml:space="preserve">108,6 </w:t>
            </w:r>
          </w:p>
        </w:tc>
        <w:tc>
          <w:tcPr>
            <w:tcW w:w="984"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49" w:firstLine="0"/>
              <w:jc w:val="right"/>
            </w:pPr>
            <w:r>
              <w:rPr>
                <w:sz w:val="20"/>
              </w:rPr>
              <w:t xml:space="preserve">110,9 </w:t>
            </w:r>
          </w:p>
        </w:tc>
        <w:tc>
          <w:tcPr>
            <w:tcW w:w="984"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52" w:firstLine="0"/>
              <w:jc w:val="right"/>
            </w:pPr>
            <w:r>
              <w:rPr>
                <w:sz w:val="20"/>
              </w:rPr>
              <w:t xml:space="preserve">113,3 </w:t>
            </w:r>
          </w:p>
        </w:tc>
        <w:tc>
          <w:tcPr>
            <w:tcW w:w="994" w:type="dxa"/>
            <w:tcBorders>
              <w:top w:val="dashed" w:sz="4" w:space="0" w:color="000000"/>
              <w:left w:val="dashed" w:sz="4" w:space="0" w:color="000000"/>
              <w:bottom w:val="dashed" w:sz="4" w:space="0" w:color="000000"/>
              <w:right w:val="double" w:sz="6" w:space="0" w:color="000000"/>
            </w:tcBorders>
          </w:tcPr>
          <w:p w:rsidR="00E8309B" w:rsidRDefault="009D0949">
            <w:pPr>
              <w:spacing w:after="0" w:line="259" w:lineRule="auto"/>
              <w:ind w:left="0" w:right="49" w:firstLine="0"/>
              <w:jc w:val="right"/>
            </w:pPr>
            <w:r>
              <w:rPr>
                <w:sz w:val="20"/>
              </w:rPr>
              <w:t xml:space="preserve">116,7 </w:t>
            </w:r>
          </w:p>
        </w:tc>
      </w:tr>
      <w:tr w:rsidR="00E8309B">
        <w:trPr>
          <w:trHeight w:val="240"/>
        </w:trPr>
        <w:tc>
          <w:tcPr>
            <w:tcW w:w="6750" w:type="dxa"/>
            <w:tcBorders>
              <w:top w:val="dashed" w:sz="4" w:space="0" w:color="000000"/>
              <w:left w:val="double" w:sz="6" w:space="0" w:color="000000"/>
              <w:bottom w:val="dashed" w:sz="4" w:space="0" w:color="000000"/>
              <w:right w:val="single" w:sz="8" w:space="0" w:color="000000"/>
            </w:tcBorders>
          </w:tcPr>
          <w:p w:rsidR="00E8309B" w:rsidRDefault="009D0949">
            <w:pPr>
              <w:spacing w:after="0" w:line="259" w:lineRule="auto"/>
              <w:ind w:left="0" w:right="0" w:firstLine="0"/>
              <w:jc w:val="left"/>
            </w:pPr>
            <w:r>
              <w:rPr>
                <w:sz w:val="20"/>
              </w:rPr>
              <w:t xml:space="preserve">3. Хармонизовани индекс потрошачких цена (HICP) </w:t>
            </w:r>
          </w:p>
        </w:tc>
        <w:tc>
          <w:tcPr>
            <w:tcW w:w="1604" w:type="dxa"/>
            <w:tcBorders>
              <w:top w:val="dashed" w:sz="4" w:space="0" w:color="000000"/>
              <w:left w:val="single" w:sz="8" w:space="0" w:color="000000"/>
              <w:bottom w:val="dashed" w:sz="4" w:space="0" w:color="000000"/>
              <w:right w:val="single" w:sz="8" w:space="0" w:color="000000"/>
            </w:tcBorders>
          </w:tcPr>
          <w:p w:rsidR="00E8309B" w:rsidRDefault="009D0949">
            <w:pPr>
              <w:spacing w:after="0" w:line="259" w:lineRule="auto"/>
              <w:ind w:left="0" w:right="50" w:firstLine="0"/>
              <w:jc w:val="center"/>
            </w:pPr>
            <w:r>
              <w:rPr>
                <w:sz w:val="20"/>
              </w:rPr>
              <w:t xml:space="preserve">Индекс </w:t>
            </w:r>
          </w:p>
        </w:tc>
        <w:tc>
          <w:tcPr>
            <w:tcW w:w="984" w:type="dxa"/>
            <w:tcBorders>
              <w:top w:val="dashed" w:sz="4" w:space="0" w:color="000000"/>
              <w:left w:val="single" w:sz="8" w:space="0" w:color="000000"/>
              <w:bottom w:val="dashed" w:sz="4" w:space="0" w:color="000000"/>
              <w:right w:val="dashed" w:sz="4" w:space="0" w:color="000000"/>
            </w:tcBorders>
          </w:tcPr>
          <w:p w:rsidR="00E8309B" w:rsidRDefault="009D0949">
            <w:pPr>
              <w:spacing w:after="0" w:line="259" w:lineRule="auto"/>
              <w:ind w:left="0" w:right="52" w:firstLine="0"/>
              <w:jc w:val="right"/>
            </w:pPr>
            <w:r>
              <w:rPr>
                <w:sz w:val="20"/>
              </w:rPr>
              <w:t xml:space="preserve">107,1 </w:t>
            </w:r>
          </w:p>
        </w:tc>
        <w:tc>
          <w:tcPr>
            <w:tcW w:w="984"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52" w:firstLine="0"/>
              <w:jc w:val="right"/>
            </w:pPr>
            <w:r>
              <w:rPr>
                <w:sz w:val="20"/>
              </w:rPr>
              <w:t xml:space="preserve">109,3 </w:t>
            </w:r>
          </w:p>
        </w:tc>
        <w:tc>
          <w:tcPr>
            <w:tcW w:w="982"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0" w:firstLine="0"/>
              <w:jc w:val="right"/>
            </w:pPr>
            <w:r>
              <w:rPr>
                <w:sz w:val="20"/>
              </w:rPr>
              <w:t xml:space="preserve"> </w:t>
            </w:r>
          </w:p>
        </w:tc>
        <w:tc>
          <w:tcPr>
            <w:tcW w:w="984"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0" w:firstLine="0"/>
              <w:jc w:val="right"/>
            </w:pPr>
            <w:r>
              <w:rPr>
                <w:sz w:val="20"/>
              </w:rPr>
              <w:t xml:space="preserve"> </w:t>
            </w:r>
          </w:p>
        </w:tc>
        <w:tc>
          <w:tcPr>
            <w:tcW w:w="984"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2" w:firstLine="0"/>
              <w:jc w:val="right"/>
            </w:pPr>
            <w:r>
              <w:rPr>
                <w:sz w:val="20"/>
              </w:rPr>
              <w:t xml:space="preserve"> </w:t>
            </w:r>
          </w:p>
        </w:tc>
        <w:tc>
          <w:tcPr>
            <w:tcW w:w="994" w:type="dxa"/>
            <w:tcBorders>
              <w:top w:val="dashed" w:sz="4" w:space="0" w:color="000000"/>
              <w:left w:val="dashed" w:sz="4" w:space="0" w:color="000000"/>
              <w:bottom w:val="dashed" w:sz="4" w:space="0" w:color="000000"/>
              <w:right w:val="double" w:sz="6" w:space="0" w:color="000000"/>
            </w:tcBorders>
          </w:tcPr>
          <w:p w:rsidR="00E8309B" w:rsidRDefault="009D0949">
            <w:pPr>
              <w:spacing w:after="0" w:line="259" w:lineRule="auto"/>
              <w:ind w:left="0" w:right="0" w:firstLine="0"/>
              <w:jc w:val="right"/>
            </w:pPr>
            <w:r>
              <w:rPr>
                <w:sz w:val="20"/>
              </w:rPr>
              <w:t xml:space="preserve"> </w:t>
            </w:r>
          </w:p>
        </w:tc>
      </w:tr>
    </w:tbl>
    <w:p w:rsidR="00E8309B" w:rsidRDefault="00E8309B">
      <w:pPr>
        <w:spacing w:after="0" w:line="259" w:lineRule="auto"/>
        <w:ind w:left="-1133" w:right="233" w:firstLine="0"/>
      </w:pPr>
    </w:p>
    <w:tbl>
      <w:tblPr>
        <w:tblStyle w:val="TableGrid"/>
        <w:tblW w:w="14266" w:type="dxa"/>
        <w:tblInd w:w="24" w:type="dxa"/>
        <w:tblCellMar>
          <w:top w:w="8" w:type="dxa"/>
          <w:left w:w="108" w:type="dxa"/>
          <w:bottom w:w="0" w:type="dxa"/>
          <w:right w:w="56" w:type="dxa"/>
        </w:tblCellMar>
        <w:tblLook w:val="04A0" w:firstRow="1" w:lastRow="0" w:firstColumn="1" w:lastColumn="0" w:noHBand="0" w:noVBand="1"/>
      </w:tblPr>
      <w:tblGrid>
        <w:gridCol w:w="6750"/>
        <w:gridCol w:w="1604"/>
        <w:gridCol w:w="984"/>
        <w:gridCol w:w="984"/>
        <w:gridCol w:w="982"/>
        <w:gridCol w:w="984"/>
        <w:gridCol w:w="984"/>
        <w:gridCol w:w="994"/>
        <w:gridCol w:w="283"/>
      </w:tblGrid>
      <w:tr w:rsidR="00E8309B">
        <w:trPr>
          <w:gridAfter w:val="1"/>
          <w:wAfter w:w="283" w:type="dxa"/>
          <w:trHeight w:val="240"/>
        </w:trPr>
        <w:tc>
          <w:tcPr>
            <w:tcW w:w="6750" w:type="dxa"/>
            <w:tcBorders>
              <w:top w:val="dashed" w:sz="4" w:space="0" w:color="000000"/>
              <w:left w:val="double" w:sz="6" w:space="0" w:color="000000"/>
              <w:bottom w:val="dashed" w:sz="4" w:space="0" w:color="000000"/>
              <w:right w:val="single" w:sz="8" w:space="0" w:color="000000"/>
            </w:tcBorders>
          </w:tcPr>
          <w:p w:rsidR="00E8309B" w:rsidRDefault="009D0949">
            <w:pPr>
              <w:spacing w:after="0" w:line="259" w:lineRule="auto"/>
              <w:ind w:left="0" w:right="0" w:firstLine="0"/>
              <w:jc w:val="left"/>
            </w:pPr>
            <w:r>
              <w:rPr>
                <w:sz w:val="20"/>
              </w:rPr>
              <w:t xml:space="preserve">4. Индекс потрошачких цена (CPI) </w:t>
            </w:r>
          </w:p>
        </w:tc>
        <w:tc>
          <w:tcPr>
            <w:tcW w:w="1604" w:type="dxa"/>
            <w:tcBorders>
              <w:top w:val="dashed" w:sz="4" w:space="0" w:color="000000"/>
              <w:left w:val="single" w:sz="8" w:space="0" w:color="000000"/>
              <w:bottom w:val="dashed" w:sz="4" w:space="0" w:color="000000"/>
              <w:right w:val="single" w:sz="8" w:space="0" w:color="000000"/>
            </w:tcBorders>
          </w:tcPr>
          <w:p w:rsidR="00E8309B" w:rsidRDefault="009D0949">
            <w:pPr>
              <w:spacing w:after="0" w:line="259" w:lineRule="auto"/>
              <w:ind w:left="0" w:right="50" w:firstLine="0"/>
              <w:jc w:val="center"/>
            </w:pPr>
            <w:r>
              <w:rPr>
                <w:sz w:val="20"/>
              </w:rPr>
              <w:t xml:space="preserve">Индекс </w:t>
            </w:r>
          </w:p>
        </w:tc>
        <w:tc>
          <w:tcPr>
            <w:tcW w:w="984" w:type="dxa"/>
            <w:tcBorders>
              <w:top w:val="dashed" w:sz="4" w:space="0" w:color="000000"/>
              <w:left w:val="single" w:sz="8" w:space="0" w:color="000000"/>
              <w:bottom w:val="dashed" w:sz="4" w:space="0" w:color="000000"/>
              <w:right w:val="dashed" w:sz="4" w:space="0" w:color="000000"/>
            </w:tcBorders>
          </w:tcPr>
          <w:p w:rsidR="00E8309B" w:rsidRDefault="009D0949">
            <w:pPr>
              <w:spacing w:after="0" w:line="259" w:lineRule="auto"/>
              <w:ind w:left="0" w:right="52" w:firstLine="0"/>
              <w:jc w:val="right"/>
            </w:pPr>
            <w:r>
              <w:rPr>
                <w:sz w:val="20"/>
              </w:rPr>
              <w:t xml:space="preserve">106,9 </w:t>
            </w:r>
          </w:p>
        </w:tc>
        <w:tc>
          <w:tcPr>
            <w:tcW w:w="984"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52" w:firstLine="0"/>
              <w:jc w:val="right"/>
            </w:pPr>
            <w:r>
              <w:rPr>
                <w:sz w:val="20"/>
              </w:rPr>
              <w:t xml:space="preserve">108,8 </w:t>
            </w:r>
          </w:p>
        </w:tc>
        <w:tc>
          <w:tcPr>
            <w:tcW w:w="982"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49" w:firstLine="0"/>
              <w:jc w:val="right"/>
            </w:pPr>
            <w:r>
              <w:rPr>
                <w:sz w:val="20"/>
              </w:rPr>
              <w:t xml:space="preserve">110,6 </w:t>
            </w:r>
          </w:p>
        </w:tc>
        <w:tc>
          <w:tcPr>
            <w:tcW w:w="984"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49" w:firstLine="0"/>
              <w:jc w:val="right"/>
            </w:pPr>
            <w:r>
              <w:rPr>
                <w:sz w:val="20"/>
              </w:rPr>
              <w:t xml:space="preserve">112,7 </w:t>
            </w:r>
          </w:p>
        </w:tc>
        <w:tc>
          <w:tcPr>
            <w:tcW w:w="984"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52" w:firstLine="0"/>
              <w:jc w:val="right"/>
            </w:pPr>
            <w:r>
              <w:rPr>
                <w:sz w:val="20"/>
              </w:rPr>
              <w:t xml:space="preserve">115,3 </w:t>
            </w:r>
          </w:p>
        </w:tc>
        <w:tc>
          <w:tcPr>
            <w:tcW w:w="994" w:type="dxa"/>
            <w:tcBorders>
              <w:top w:val="dashed" w:sz="4" w:space="0" w:color="000000"/>
              <w:left w:val="dashed" w:sz="4" w:space="0" w:color="000000"/>
              <w:bottom w:val="dashed" w:sz="4" w:space="0" w:color="000000"/>
              <w:right w:val="double" w:sz="6" w:space="0" w:color="000000"/>
            </w:tcBorders>
          </w:tcPr>
          <w:p w:rsidR="00E8309B" w:rsidRDefault="009D0949">
            <w:pPr>
              <w:spacing w:after="0" w:line="259" w:lineRule="auto"/>
              <w:ind w:left="0" w:right="49" w:firstLine="0"/>
              <w:jc w:val="right"/>
            </w:pPr>
            <w:r>
              <w:rPr>
                <w:sz w:val="20"/>
              </w:rPr>
              <w:t xml:space="preserve">118,2 </w:t>
            </w:r>
          </w:p>
        </w:tc>
      </w:tr>
      <w:tr w:rsidR="00E8309B">
        <w:trPr>
          <w:gridAfter w:val="1"/>
          <w:wAfter w:w="283" w:type="dxa"/>
          <w:trHeight w:val="240"/>
        </w:trPr>
        <w:tc>
          <w:tcPr>
            <w:tcW w:w="6750" w:type="dxa"/>
            <w:tcBorders>
              <w:top w:val="dashed" w:sz="4" w:space="0" w:color="000000"/>
              <w:left w:val="double" w:sz="6" w:space="0" w:color="000000"/>
              <w:bottom w:val="dashed" w:sz="4" w:space="0" w:color="000000"/>
              <w:right w:val="single" w:sz="8" w:space="0" w:color="000000"/>
            </w:tcBorders>
          </w:tcPr>
          <w:p w:rsidR="00E8309B" w:rsidRDefault="009D0949">
            <w:pPr>
              <w:spacing w:after="0" w:line="259" w:lineRule="auto"/>
              <w:ind w:left="0" w:right="0" w:firstLine="0"/>
              <w:jc w:val="left"/>
            </w:pPr>
            <w:r>
              <w:rPr>
                <w:sz w:val="20"/>
              </w:rPr>
              <w:t xml:space="preserve">5. Дефлатор јавне потрошње </w:t>
            </w:r>
          </w:p>
        </w:tc>
        <w:tc>
          <w:tcPr>
            <w:tcW w:w="1604" w:type="dxa"/>
            <w:tcBorders>
              <w:top w:val="dashed" w:sz="4" w:space="0" w:color="000000"/>
              <w:left w:val="single" w:sz="8" w:space="0" w:color="000000"/>
              <w:bottom w:val="dashed" w:sz="4" w:space="0" w:color="000000"/>
              <w:right w:val="single" w:sz="8" w:space="0" w:color="000000"/>
            </w:tcBorders>
          </w:tcPr>
          <w:p w:rsidR="00E8309B" w:rsidRDefault="009D0949">
            <w:pPr>
              <w:spacing w:after="0" w:line="259" w:lineRule="auto"/>
              <w:ind w:left="0" w:right="50" w:firstLine="0"/>
              <w:jc w:val="center"/>
            </w:pPr>
            <w:r>
              <w:rPr>
                <w:sz w:val="20"/>
              </w:rPr>
              <w:t xml:space="preserve">Индекс </w:t>
            </w:r>
          </w:p>
        </w:tc>
        <w:tc>
          <w:tcPr>
            <w:tcW w:w="984" w:type="dxa"/>
            <w:tcBorders>
              <w:top w:val="dashed" w:sz="4" w:space="0" w:color="000000"/>
              <w:left w:val="single" w:sz="8" w:space="0" w:color="000000"/>
              <w:bottom w:val="dashed" w:sz="4" w:space="0" w:color="000000"/>
              <w:right w:val="dashed" w:sz="4" w:space="0" w:color="000000"/>
            </w:tcBorders>
          </w:tcPr>
          <w:p w:rsidR="00E8309B" w:rsidRDefault="009D0949">
            <w:pPr>
              <w:spacing w:after="0" w:line="259" w:lineRule="auto"/>
              <w:ind w:left="0" w:right="52" w:firstLine="0"/>
              <w:jc w:val="right"/>
            </w:pPr>
            <w:r>
              <w:rPr>
                <w:sz w:val="20"/>
              </w:rPr>
              <w:t xml:space="preserve">110,9 </w:t>
            </w:r>
          </w:p>
        </w:tc>
        <w:tc>
          <w:tcPr>
            <w:tcW w:w="984"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52" w:firstLine="0"/>
              <w:jc w:val="right"/>
            </w:pPr>
            <w:r>
              <w:rPr>
                <w:sz w:val="20"/>
              </w:rPr>
              <w:t xml:space="preserve">116,8 </w:t>
            </w:r>
          </w:p>
        </w:tc>
        <w:tc>
          <w:tcPr>
            <w:tcW w:w="982"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49" w:firstLine="0"/>
              <w:jc w:val="right"/>
            </w:pPr>
            <w:r>
              <w:rPr>
                <w:sz w:val="20"/>
              </w:rPr>
              <w:t xml:space="preserve">124,1 </w:t>
            </w:r>
          </w:p>
        </w:tc>
        <w:tc>
          <w:tcPr>
            <w:tcW w:w="984"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49" w:firstLine="0"/>
              <w:jc w:val="right"/>
            </w:pPr>
            <w:r>
              <w:rPr>
                <w:sz w:val="20"/>
              </w:rPr>
              <w:t xml:space="preserve">128,7 </w:t>
            </w:r>
          </w:p>
        </w:tc>
        <w:tc>
          <w:tcPr>
            <w:tcW w:w="984"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52" w:firstLine="0"/>
              <w:jc w:val="right"/>
            </w:pPr>
            <w:r>
              <w:rPr>
                <w:sz w:val="20"/>
              </w:rPr>
              <w:t xml:space="preserve">133,2 </w:t>
            </w:r>
          </w:p>
        </w:tc>
        <w:tc>
          <w:tcPr>
            <w:tcW w:w="994" w:type="dxa"/>
            <w:tcBorders>
              <w:top w:val="dashed" w:sz="4" w:space="0" w:color="000000"/>
              <w:left w:val="dashed" w:sz="4" w:space="0" w:color="000000"/>
              <w:bottom w:val="dashed" w:sz="4" w:space="0" w:color="000000"/>
              <w:right w:val="double" w:sz="6" w:space="0" w:color="000000"/>
            </w:tcBorders>
          </w:tcPr>
          <w:p w:rsidR="00E8309B" w:rsidRDefault="009D0949">
            <w:pPr>
              <w:spacing w:after="0" w:line="259" w:lineRule="auto"/>
              <w:ind w:left="0" w:right="49" w:firstLine="0"/>
              <w:jc w:val="right"/>
            </w:pPr>
            <w:r>
              <w:rPr>
                <w:sz w:val="20"/>
              </w:rPr>
              <w:t xml:space="preserve">135,8 </w:t>
            </w:r>
          </w:p>
        </w:tc>
      </w:tr>
      <w:tr w:rsidR="00E8309B">
        <w:trPr>
          <w:gridAfter w:val="1"/>
          <w:wAfter w:w="283" w:type="dxa"/>
          <w:trHeight w:val="240"/>
        </w:trPr>
        <w:tc>
          <w:tcPr>
            <w:tcW w:w="6750" w:type="dxa"/>
            <w:tcBorders>
              <w:top w:val="dashed" w:sz="4" w:space="0" w:color="000000"/>
              <w:left w:val="double" w:sz="6" w:space="0" w:color="000000"/>
              <w:bottom w:val="dashed" w:sz="4" w:space="0" w:color="000000"/>
              <w:right w:val="single" w:sz="8" w:space="0" w:color="000000"/>
            </w:tcBorders>
          </w:tcPr>
          <w:p w:rsidR="00E8309B" w:rsidRDefault="009D0949">
            <w:pPr>
              <w:spacing w:after="0" w:line="259" w:lineRule="auto"/>
              <w:ind w:left="0" w:right="0" w:firstLine="0"/>
              <w:jc w:val="left"/>
            </w:pPr>
            <w:r>
              <w:rPr>
                <w:sz w:val="20"/>
              </w:rPr>
              <w:t xml:space="preserve">6. Дефлатор инвестиција </w:t>
            </w:r>
          </w:p>
        </w:tc>
        <w:tc>
          <w:tcPr>
            <w:tcW w:w="1604" w:type="dxa"/>
            <w:tcBorders>
              <w:top w:val="dashed" w:sz="4" w:space="0" w:color="000000"/>
              <w:left w:val="single" w:sz="8" w:space="0" w:color="000000"/>
              <w:bottom w:val="dashed" w:sz="4" w:space="0" w:color="000000"/>
              <w:right w:val="single" w:sz="8" w:space="0" w:color="000000"/>
            </w:tcBorders>
          </w:tcPr>
          <w:p w:rsidR="00E8309B" w:rsidRDefault="009D0949">
            <w:pPr>
              <w:spacing w:after="0" w:line="259" w:lineRule="auto"/>
              <w:ind w:left="0" w:right="50" w:firstLine="0"/>
              <w:jc w:val="center"/>
            </w:pPr>
            <w:r>
              <w:rPr>
                <w:sz w:val="20"/>
              </w:rPr>
              <w:t xml:space="preserve">Индекс </w:t>
            </w:r>
          </w:p>
        </w:tc>
        <w:tc>
          <w:tcPr>
            <w:tcW w:w="984" w:type="dxa"/>
            <w:tcBorders>
              <w:top w:val="dashed" w:sz="4" w:space="0" w:color="000000"/>
              <w:left w:val="single" w:sz="8" w:space="0" w:color="000000"/>
              <w:bottom w:val="dashed" w:sz="4" w:space="0" w:color="000000"/>
              <w:right w:val="dashed" w:sz="4" w:space="0" w:color="000000"/>
            </w:tcBorders>
          </w:tcPr>
          <w:p w:rsidR="00E8309B" w:rsidRDefault="009D0949">
            <w:pPr>
              <w:spacing w:after="0" w:line="259" w:lineRule="auto"/>
              <w:ind w:left="0" w:right="52" w:firstLine="0"/>
              <w:jc w:val="right"/>
            </w:pPr>
            <w:r>
              <w:rPr>
                <w:sz w:val="20"/>
              </w:rPr>
              <w:t xml:space="preserve">105,4 </w:t>
            </w:r>
          </w:p>
        </w:tc>
        <w:tc>
          <w:tcPr>
            <w:tcW w:w="984"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52" w:firstLine="0"/>
              <w:jc w:val="right"/>
            </w:pPr>
            <w:r>
              <w:rPr>
                <w:sz w:val="20"/>
              </w:rPr>
              <w:t xml:space="preserve">107,8 </w:t>
            </w:r>
          </w:p>
        </w:tc>
        <w:tc>
          <w:tcPr>
            <w:tcW w:w="982"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49" w:firstLine="0"/>
              <w:jc w:val="right"/>
            </w:pPr>
            <w:r>
              <w:rPr>
                <w:sz w:val="20"/>
              </w:rPr>
              <w:t xml:space="preserve">108,6 </w:t>
            </w:r>
          </w:p>
        </w:tc>
        <w:tc>
          <w:tcPr>
            <w:tcW w:w="984"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49" w:firstLine="0"/>
              <w:jc w:val="right"/>
            </w:pPr>
            <w:r>
              <w:rPr>
                <w:sz w:val="20"/>
              </w:rPr>
              <w:t xml:space="preserve">112,1 </w:t>
            </w:r>
          </w:p>
        </w:tc>
        <w:tc>
          <w:tcPr>
            <w:tcW w:w="984"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52" w:firstLine="0"/>
              <w:jc w:val="right"/>
            </w:pPr>
            <w:r>
              <w:rPr>
                <w:sz w:val="20"/>
              </w:rPr>
              <w:t xml:space="preserve">115,9 </w:t>
            </w:r>
          </w:p>
        </w:tc>
        <w:tc>
          <w:tcPr>
            <w:tcW w:w="994" w:type="dxa"/>
            <w:tcBorders>
              <w:top w:val="dashed" w:sz="4" w:space="0" w:color="000000"/>
              <w:left w:val="dashed" w:sz="4" w:space="0" w:color="000000"/>
              <w:bottom w:val="dashed" w:sz="4" w:space="0" w:color="000000"/>
              <w:right w:val="double" w:sz="6" w:space="0" w:color="000000"/>
            </w:tcBorders>
          </w:tcPr>
          <w:p w:rsidR="00E8309B" w:rsidRDefault="009D0949">
            <w:pPr>
              <w:spacing w:after="0" w:line="259" w:lineRule="auto"/>
              <w:ind w:left="0" w:right="49" w:firstLine="0"/>
              <w:jc w:val="right"/>
            </w:pPr>
            <w:r>
              <w:rPr>
                <w:sz w:val="20"/>
              </w:rPr>
              <w:t xml:space="preserve">120,2 </w:t>
            </w:r>
          </w:p>
        </w:tc>
      </w:tr>
      <w:tr w:rsidR="00E8309B">
        <w:trPr>
          <w:gridAfter w:val="1"/>
          <w:wAfter w:w="283" w:type="dxa"/>
          <w:trHeight w:val="240"/>
        </w:trPr>
        <w:tc>
          <w:tcPr>
            <w:tcW w:w="6750" w:type="dxa"/>
            <w:tcBorders>
              <w:top w:val="dashed" w:sz="4" w:space="0" w:color="000000"/>
              <w:left w:val="double" w:sz="6" w:space="0" w:color="000000"/>
              <w:bottom w:val="dashed" w:sz="4" w:space="0" w:color="000000"/>
              <w:right w:val="single" w:sz="8" w:space="0" w:color="000000"/>
            </w:tcBorders>
          </w:tcPr>
          <w:p w:rsidR="00E8309B" w:rsidRDefault="009D0949">
            <w:pPr>
              <w:spacing w:after="0" w:line="259" w:lineRule="auto"/>
              <w:ind w:left="0" w:right="0" w:firstLine="0"/>
              <w:jc w:val="left"/>
            </w:pPr>
            <w:r>
              <w:rPr>
                <w:sz w:val="20"/>
              </w:rPr>
              <w:t xml:space="preserve">7. Дефлатор извозних цена (роба и услуге) </w:t>
            </w:r>
          </w:p>
        </w:tc>
        <w:tc>
          <w:tcPr>
            <w:tcW w:w="1604" w:type="dxa"/>
            <w:tcBorders>
              <w:top w:val="dashed" w:sz="4" w:space="0" w:color="000000"/>
              <w:left w:val="single" w:sz="8" w:space="0" w:color="000000"/>
              <w:bottom w:val="dashed" w:sz="4" w:space="0" w:color="000000"/>
              <w:right w:val="single" w:sz="8" w:space="0" w:color="000000"/>
            </w:tcBorders>
          </w:tcPr>
          <w:p w:rsidR="00E8309B" w:rsidRDefault="009D0949">
            <w:pPr>
              <w:spacing w:after="0" w:line="259" w:lineRule="auto"/>
              <w:ind w:left="0" w:right="50" w:firstLine="0"/>
              <w:jc w:val="center"/>
            </w:pPr>
            <w:r>
              <w:rPr>
                <w:sz w:val="20"/>
              </w:rPr>
              <w:t xml:space="preserve">Индекс </w:t>
            </w:r>
          </w:p>
        </w:tc>
        <w:tc>
          <w:tcPr>
            <w:tcW w:w="984" w:type="dxa"/>
            <w:tcBorders>
              <w:top w:val="dashed" w:sz="4" w:space="0" w:color="000000"/>
              <w:left w:val="single" w:sz="8" w:space="0" w:color="000000"/>
              <w:bottom w:val="dashed" w:sz="4" w:space="0" w:color="000000"/>
              <w:right w:val="dashed" w:sz="4" w:space="0" w:color="000000"/>
            </w:tcBorders>
          </w:tcPr>
          <w:p w:rsidR="00E8309B" w:rsidRDefault="009D0949">
            <w:pPr>
              <w:spacing w:after="0" w:line="259" w:lineRule="auto"/>
              <w:ind w:left="0" w:right="52" w:firstLine="0"/>
              <w:jc w:val="right"/>
            </w:pPr>
            <w:r>
              <w:rPr>
                <w:sz w:val="20"/>
              </w:rPr>
              <w:t xml:space="preserve">100,7 </w:t>
            </w:r>
          </w:p>
        </w:tc>
        <w:tc>
          <w:tcPr>
            <w:tcW w:w="984"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52" w:firstLine="0"/>
              <w:jc w:val="right"/>
            </w:pPr>
            <w:r>
              <w:rPr>
                <w:sz w:val="20"/>
              </w:rPr>
              <w:t xml:space="preserve">101,1 </w:t>
            </w:r>
          </w:p>
        </w:tc>
        <w:tc>
          <w:tcPr>
            <w:tcW w:w="982"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49" w:firstLine="0"/>
              <w:jc w:val="right"/>
            </w:pPr>
            <w:r>
              <w:rPr>
                <w:sz w:val="20"/>
              </w:rPr>
              <w:t xml:space="preserve">101,5 </w:t>
            </w:r>
          </w:p>
        </w:tc>
        <w:tc>
          <w:tcPr>
            <w:tcW w:w="984"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49" w:firstLine="0"/>
              <w:jc w:val="right"/>
            </w:pPr>
            <w:r>
              <w:rPr>
                <w:sz w:val="20"/>
              </w:rPr>
              <w:t xml:space="preserve">103,7 </w:t>
            </w:r>
          </w:p>
        </w:tc>
        <w:tc>
          <w:tcPr>
            <w:tcW w:w="984"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52" w:firstLine="0"/>
              <w:jc w:val="right"/>
            </w:pPr>
            <w:r>
              <w:rPr>
                <w:sz w:val="20"/>
              </w:rPr>
              <w:t xml:space="preserve">106,3 </w:t>
            </w:r>
          </w:p>
        </w:tc>
        <w:tc>
          <w:tcPr>
            <w:tcW w:w="994" w:type="dxa"/>
            <w:tcBorders>
              <w:top w:val="dashed" w:sz="4" w:space="0" w:color="000000"/>
              <w:left w:val="dashed" w:sz="4" w:space="0" w:color="000000"/>
              <w:bottom w:val="dashed" w:sz="4" w:space="0" w:color="000000"/>
              <w:right w:val="double" w:sz="6" w:space="0" w:color="000000"/>
            </w:tcBorders>
          </w:tcPr>
          <w:p w:rsidR="00E8309B" w:rsidRDefault="009D0949">
            <w:pPr>
              <w:spacing w:after="0" w:line="259" w:lineRule="auto"/>
              <w:ind w:left="0" w:right="49" w:firstLine="0"/>
              <w:jc w:val="right"/>
            </w:pPr>
            <w:r>
              <w:rPr>
                <w:sz w:val="20"/>
              </w:rPr>
              <w:t xml:space="preserve">109,3 </w:t>
            </w:r>
          </w:p>
        </w:tc>
      </w:tr>
      <w:tr w:rsidR="00E8309B">
        <w:trPr>
          <w:gridAfter w:val="1"/>
          <w:wAfter w:w="283" w:type="dxa"/>
          <w:trHeight w:val="245"/>
        </w:trPr>
        <w:tc>
          <w:tcPr>
            <w:tcW w:w="6750" w:type="dxa"/>
            <w:tcBorders>
              <w:top w:val="dashed" w:sz="4" w:space="0" w:color="000000"/>
              <w:left w:val="double" w:sz="6" w:space="0" w:color="000000"/>
              <w:bottom w:val="single" w:sz="8" w:space="0" w:color="000000"/>
              <w:right w:val="single" w:sz="8" w:space="0" w:color="000000"/>
            </w:tcBorders>
          </w:tcPr>
          <w:p w:rsidR="00E8309B" w:rsidRDefault="009D0949">
            <w:pPr>
              <w:spacing w:after="0" w:line="259" w:lineRule="auto"/>
              <w:ind w:left="0" w:right="0" w:firstLine="0"/>
              <w:jc w:val="left"/>
            </w:pPr>
            <w:r>
              <w:rPr>
                <w:sz w:val="20"/>
              </w:rPr>
              <w:t xml:space="preserve">8. Дефлатор увозних цена (роба и услуге) </w:t>
            </w:r>
          </w:p>
        </w:tc>
        <w:tc>
          <w:tcPr>
            <w:tcW w:w="1604" w:type="dxa"/>
            <w:tcBorders>
              <w:top w:val="dashed" w:sz="4" w:space="0" w:color="000000"/>
              <w:left w:val="single" w:sz="8" w:space="0" w:color="000000"/>
              <w:bottom w:val="single" w:sz="8" w:space="0" w:color="000000"/>
              <w:right w:val="single" w:sz="8" w:space="0" w:color="000000"/>
            </w:tcBorders>
          </w:tcPr>
          <w:p w:rsidR="00E8309B" w:rsidRDefault="009D0949">
            <w:pPr>
              <w:spacing w:after="0" w:line="259" w:lineRule="auto"/>
              <w:ind w:left="0" w:right="50" w:firstLine="0"/>
              <w:jc w:val="center"/>
            </w:pPr>
            <w:r>
              <w:rPr>
                <w:sz w:val="20"/>
              </w:rPr>
              <w:t xml:space="preserve">Индекс </w:t>
            </w:r>
          </w:p>
        </w:tc>
        <w:tc>
          <w:tcPr>
            <w:tcW w:w="984" w:type="dxa"/>
            <w:tcBorders>
              <w:top w:val="dashed" w:sz="4" w:space="0" w:color="000000"/>
              <w:left w:val="single" w:sz="8" w:space="0" w:color="000000"/>
              <w:bottom w:val="single" w:sz="8" w:space="0" w:color="000000"/>
              <w:right w:val="dashed" w:sz="4" w:space="0" w:color="000000"/>
            </w:tcBorders>
          </w:tcPr>
          <w:p w:rsidR="00E8309B" w:rsidRDefault="009D0949">
            <w:pPr>
              <w:spacing w:after="0" w:line="259" w:lineRule="auto"/>
              <w:ind w:left="0" w:right="52" w:firstLine="0"/>
              <w:jc w:val="right"/>
            </w:pPr>
            <w:r>
              <w:rPr>
                <w:sz w:val="20"/>
              </w:rPr>
              <w:t xml:space="preserve">100,9 </w:t>
            </w:r>
          </w:p>
        </w:tc>
        <w:tc>
          <w:tcPr>
            <w:tcW w:w="984" w:type="dxa"/>
            <w:tcBorders>
              <w:top w:val="dashed" w:sz="4" w:space="0" w:color="000000"/>
              <w:left w:val="dashed" w:sz="4" w:space="0" w:color="000000"/>
              <w:bottom w:val="single" w:sz="8" w:space="0" w:color="000000"/>
              <w:right w:val="dashed" w:sz="4" w:space="0" w:color="000000"/>
            </w:tcBorders>
          </w:tcPr>
          <w:p w:rsidR="00E8309B" w:rsidRDefault="009D0949">
            <w:pPr>
              <w:spacing w:after="0" w:line="259" w:lineRule="auto"/>
              <w:ind w:left="0" w:right="52" w:firstLine="0"/>
              <w:jc w:val="right"/>
            </w:pPr>
            <w:r>
              <w:rPr>
                <w:sz w:val="20"/>
              </w:rPr>
              <w:t xml:space="preserve">100,7 </w:t>
            </w:r>
          </w:p>
        </w:tc>
        <w:tc>
          <w:tcPr>
            <w:tcW w:w="982" w:type="dxa"/>
            <w:tcBorders>
              <w:top w:val="dashed" w:sz="4" w:space="0" w:color="000000"/>
              <w:left w:val="dashed" w:sz="4" w:space="0" w:color="000000"/>
              <w:bottom w:val="single" w:sz="8" w:space="0" w:color="000000"/>
              <w:right w:val="dashed" w:sz="4" w:space="0" w:color="000000"/>
            </w:tcBorders>
          </w:tcPr>
          <w:p w:rsidR="00E8309B" w:rsidRDefault="009D0949">
            <w:pPr>
              <w:spacing w:after="0" w:line="259" w:lineRule="auto"/>
              <w:ind w:left="0" w:right="49" w:firstLine="0"/>
              <w:jc w:val="right"/>
            </w:pPr>
            <w:r>
              <w:rPr>
                <w:sz w:val="20"/>
              </w:rPr>
              <w:t xml:space="preserve">99,8 </w:t>
            </w:r>
          </w:p>
        </w:tc>
        <w:tc>
          <w:tcPr>
            <w:tcW w:w="984" w:type="dxa"/>
            <w:tcBorders>
              <w:top w:val="dashed" w:sz="4" w:space="0" w:color="000000"/>
              <w:left w:val="dashed" w:sz="4" w:space="0" w:color="000000"/>
              <w:bottom w:val="single" w:sz="8" w:space="0" w:color="000000"/>
              <w:right w:val="dashed" w:sz="4" w:space="0" w:color="000000"/>
            </w:tcBorders>
          </w:tcPr>
          <w:p w:rsidR="00E8309B" w:rsidRDefault="009D0949">
            <w:pPr>
              <w:spacing w:after="0" w:line="259" w:lineRule="auto"/>
              <w:ind w:left="0" w:right="49" w:firstLine="0"/>
              <w:jc w:val="right"/>
            </w:pPr>
            <w:r>
              <w:rPr>
                <w:sz w:val="20"/>
              </w:rPr>
              <w:t xml:space="preserve">102,5 </w:t>
            </w:r>
          </w:p>
        </w:tc>
        <w:tc>
          <w:tcPr>
            <w:tcW w:w="984" w:type="dxa"/>
            <w:tcBorders>
              <w:top w:val="dashed" w:sz="4" w:space="0" w:color="000000"/>
              <w:left w:val="dashed" w:sz="4" w:space="0" w:color="000000"/>
              <w:bottom w:val="single" w:sz="8" w:space="0" w:color="000000"/>
              <w:right w:val="dashed" w:sz="4" w:space="0" w:color="000000"/>
            </w:tcBorders>
          </w:tcPr>
          <w:p w:rsidR="00E8309B" w:rsidRDefault="009D0949">
            <w:pPr>
              <w:spacing w:after="0" w:line="259" w:lineRule="auto"/>
              <w:ind w:left="0" w:right="52" w:firstLine="0"/>
              <w:jc w:val="right"/>
            </w:pPr>
            <w:r>
              <w:rPr>
                <w:sz w:val="20"/>
              </w:rPr>
              <w:t xml:space="preserve">105,2 </w:t>
            </w:r>
          </w:p>
        </w:tc>
        <w:tc>
          <w:tcPr>
            <w:tcW w:w="994" w:type="dxa"/>
            <w:tcBorders>
              <w:top w:val="dashed" w:sz="4" w:space="0" w:color="000000"/>
              <w:left w:val="dashed" w:sz="4" w:space="0" w:color="000000"/>
              <w:bottom w:val="single" w:sz="8" w:space="0" w:color="000000"/>
              <w:right w:val="double" w:sz="6" w:space="0" w:color="000000"/>
            </w:tcBorders>
          </w:tcPr>
          <w:p w:rsidR="00E8309B" w:rsidRDefault="009D0949">
            <w:pPr>
              <w:spacing w:after="0" w:line="259" w:lineRule="auto"/>
              <w:ind w:left="0" w:right="49" w:firstLine="0"/>
              <w:jc w:val="right"/>
            </w:pPr>
            <w:r>
              <w:rPr>
                <w:sz w:val="20"/>
              </w:rPr>
              <w:t xml:space="preserve">108,1 </w:t>
            </w:r>
          </w:p>
        </w:tc>
      </w:tr>
      <w:tr w:rsidR="00E8309B">
        <w:trPr>
          <w:gridAfter w:val="1"/>
          <w:wAfter w:w="283" w:type="dxa"/>
          <w:trHeight w:val="252"/>
        </w:trPr>
        <w:tc>
          <w:tcPr>
            <w:tcW w:w="6750" w:type="dxa"/>
            <w:tcBorders>
              <w:top w:val="single" w:sz="8" w:space="0" w:color="000000"/>
              <w:left w:val="double" w:sz="6" w:space="0" w:color="000000"/>
              <w:bottom w:val="single" w:sz="8" w:space="0" w:color="000000"/>
              <w:right w:val="single" w:sz="8" w:space="0" w:color="000000"/>
            </w:tcBorders>
          </w:tcPr>
          <w:p w:rsidR="00E8309B" w:rsidRDefault="009D0949">
            <w:pPr>
              <w:spacing w:after="0" w:line="259" w:lineRule="auto"/>
              <w:ind w:left="0" w:right="55" w:firstLine="0"/>
              <w:jc w:val="center"/>
            </w:pPr>
            <w:r>
              <w:rPr>
                <w:b/>
                <w:sz w:val="20"/>
              </w:rPr>
              <w:t>Табела 1c: Кретања на тржишту рада</w:t>
            </w:r>
            <w:r>
              <w:rPr>
                <w:sz w:val="20"/>
              </w:rPr>
              <w:t xml:space="preserve"> </w:t>
            </w:r>
          </w:p>
        </w:tc>
        <w:tc>
          <w:tcPr>
            <w:tcW w:w="1604"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3" w:right="0" w:firstLine="0"/>
              <w:jc w:val="center"/>
            </w:pPr>
            <w:r>
              <w:rPr>
                <w:sz w:val="20"/>
              </w:rPr>
              <w:t xml:space="preserve"> </w:t>
            </w:r>
          </w:p>
        </w:tc>
        <w:tc>
          <w:tcPr>
            <w:tcW w:w="984" w:type="dxa"/>
            <w:tcBorders>
              <w:top w:val="single" w:sz="8" w:space="0" w:color="000000"/>
              <w:left w:val="single" w:sz="8" w:space="0" w:color="000000"/>
              <w:bottom w:val="single" w:sz="8" w:space="0" w:color="000000"/>
              <w:right w:val="nil"/>
            </w:tcBorders>
          </w:tcPr>
          <w:p w:rsidR="00E8309B" w:rsidRDefault="009D0949">
            <w:pPr>
              <w:spacing w:after="0" w:line="259" w:lineRule="auto"/>
              <w:ind w:left="0" w:right="2" w:firstLine="0"/>
              <w:jc w:val="right"/>
            </w:pPr>
            <w:r>
              <w:rPr>
                <w:sz w:val="20"/>
              </w:rPr>
              <w:t xml:space="preserve">  </w:t>
            </w:r>
          </w:p>
        </w:tc>
        <w:tc>
          <w:tcPr>
            <w:tcW w:w="984" w:type="dxa"/>
            <w:tcBorders>
              <w:top w:val="single" w:sz="8" w:space="0" w:color="000000"/>
              <w:left w:val="nil"/>
              <w:bottom w:val="single" w:sz="8" w:space="0" w:color="000000"/>
              <w:right w:val="nil"/>
            </w:tcBorders>
          </w:tcPr>
          <w:p w:rsidR="00E8309B" w:rsidRDefault="009D0949">
            <w:pPr>
              <w:spacing w:after="0" w:line="259" w:lineRule="auto"/>
              <w:ind w:left="0" w:right="2" w:firstLine="0"/>
              <w:jc w:val="right"/>
            </w:pPr>
            <w:r>
              <w:rPr>
                <w:sz w:val="20"/>
              </w:rPr>
              <w:t xml:space="preserve">  </w:t>
            </w:r>
          </w:p>
        </w:tc>
        <w:tc>
          <w:tcPr>
            <w:tcW w:w="982" w:type="dxa"/>
            <w:tcBorders>
              <w:top w:val="single" w:sz="8" w:space="0" w:color="000000"/>
              <w:left w:val="nil"/>
              <w:bottom w:val="single" w:sz="8" w:space="0" w:color="000000"/>
              <w:right w:val="nil"/>
            </w:tcBorders>
          </w:tcPr>
          <w:p w:rsidR="00E8309B" w:rsidRDefault="009D0949">
            <w:pPr>
              <w:spacing w:after="0" w:line="259" w:lineRule="auto"/>
              <w:ind w:left="0" w:right="0" w:firstLine="0"/>
              <w:jc w:val="right"/>
            </w:pPr>
            <w:r>
              <w:rPr>
                <w:sz w:val="20"/>
              </w:rPr>
              <w:t xml:space="preserve">  </w:t>
            </w:r>
          </w:p>
        </w:tc>
        <w:tc>
          <w:tcPr>
            <w:tcW w:w="984" w:type="dxa"/>
            <w:tcBorders>
              <w:top w:val="single" w:sz="8" w:space="0" w:color="000000"/>
              <w:left w:val="nil"/>
              <w:bottom w:val="single" w:sz="8" w:space="0" w:color="000000"/>
              <w:right w:val="nil"/>
            </w:tcBorders>
          </w:tcPr>
          <w:p w:rsidR="00E8309B" w:rsidRDefault="009D0949">
            <w:pPr>
              <w:spacing w:after="0" w:line="259" w:lineRule="auto"/>
              <w:ind w:left="0" w:right="0" w:firstLine="0"/>
              <w:jc w:val="right"/>
            </w:pPr>
            <w:r>
              <w:rPr>
                <w:sz w:val="20"/>
              </w:rPr>
              <w:t xml:space="preserve">  </w:t>
            </w:r>
          </w:p>
        </w:tc>
        <w:tc>
          <w:tcPr>
            <w:tcW w:w="984" w:type="dxa"/>
            <w:tcBorders>
              <w:top w:val="single" w:sz="8" w:space="0" w:color="000000"/>
              <w:left w:val="nil"/>
              <w:bottom w:val="single" w:sz="8" w:space="0" w:color="000000"/>
              <w:right w:val="nil"/>
            </w:tcBorders>
          </w:tcPr>
          <w:p w:rsidR="00E8309B" w:rsidRDefault="009D0949">
            <w:pPr>
              <w:spacing w:after="0" w:line="259" w:lineRule="auto"/>
              <w:ind w:left="0" w:right="2" w:firstLine="0"/>
              <w:jc w:val="right"/>
            </w:pPr>
            <w:r>
              <w:rPr>
                <w:sz w:val="20"/>
              </w:rPr>
              <w:t xml:space="preserve">  </w:t>
            </w:r>
          </w:p>
        </w:tc>
        <w:tc>
          <w:tcPr>
            <w:tcW w:w="994" w:type="dxa"/>
            <w:tcBorders>
              <w:top w:val="single" w:sz="8" w:space="0" w:color="000000"/>
              <w:left w:val="nil"/>
              <w:bottom w:val="single" w:sz="8" w:space="0" w:color="000000"/>
              <w:right w:val="double" w:sz="6" w:space="0" w:color="000000"/>
            </w:tcBorders>
          </w:tcPr>
          <w:p w:rsidR="00E8309B" w:rsidRDefault="009D0949">
            <w:pPr>
              <w:spacing w:after="0" w:line="259" w:lineRule="auto"/>
              <w:ind w:left="0" w:right="0" w:firstLine="0"/>
              <w:jc w:val="right"/>
            </w:pPr>
            <w:r>
              <w:rPr>
                <w:sz w:val="20"/>
              </w:rPr>
              <w:t xml:space="preserve">  </w:t>
            </w:r>
          </w:p>
        </w:tc>
      </w:tr>
      <w:tr w:rsidR="00E8309B">
        <w:trPr>
          <w:gridAfter w:val="1"/>
          <w:wAfter w:w="283" w:type="dxa"/>
          <w:trHeight w:val="245"/>
        </w:trPr>
        <w:tc>
          <w:tcPr>
            <w:tcW w:w="6750" w:type="dxa"/>
            <w:tcBorders>
              <w:top w:val="single" w:sz="8" w:space="0" w:color="000000"/>
              <w:left w:val="double" w:sz="6" w:space="0" w:color="000000"/>
              <w:bottom w:val="dashed" w:sz="4" w:space="0" w:color="000000"/>
              <w:right w:val="single" w:sz="8" w:space="0" w:color="000000"/>
            </w:tcBorders>
          </w:tcPr>
          <w:p w:rsidR="00E8309B" w:rsidRDefault="009D0949">
            <w:pPr>
              <w:spacing w:after="0" w:line="259" w:lineRule="auto"/>
              <w:ind w:left="0" w:right="0" w:firstLine="0"/>
              <w:jc w:val="left"/>
            </w:pPr>
            <w:r>
              <w:rPr>
                <w:sz w:val="20"/>
              </w:rPr>
              <w:t xml:space="preserve">1. Становништво (у хиљадама) </w:t>
            </w:r>
          </w:p>
        </w:tc>
        <w:tc>
          <w:tcPr>
            <w:tcW w:w="1604" w:type="dxa"/>
            <w:tcBorders>
              <w:top w:val="single" w:sz="8" w:space="0" w:color="000000"/>
              <w:left w:val="single" w:sz="8" w:space="0" w:color="000000"/>
              <w:bottom w:val="dashed" w:sz="4" w:space="0" w:color="000000"/>
              <w:right w:val="single" w:sz="8" w:space="0" w:color="000000"/>
            </w:tcBorders>
          </w:tcPr>
          <w:p w:rsidR="00E8309B" w:rsidRDefault="009D0949">
            <w:pPr>
              <w:spacing w:after="0" w:line="259" w:lineRule="auto"/>
              <w:ind w:left="0" w:right="51" w:firstLine="0"/>
              <w:jc w:val="center"/>
            </w:pPr>
            <w:r>
              <w:rPr>
                <w:sz w:val="20"/>
              </w:rPr>
              <w:t xml:space="preserve">у хиљадама </w:t>
            </w:r>
          </w:p>
        </w:tc>
        <w:tc>
          <w:tcPr>
            <w:tcW w:w="984" w:type="dxa"/>
            <w:tcBorders>
              <w:top w:val="single" w:sz="8" w:space="0" w:color="000000"/>
              <w:left w:val="single" w:sz="8" w:space="0" w:color="000000"/>
              <w:bottom w:val="dashed" w:sz="4" w:space="0" w:color="000000"/>
              <w:right w:val="dashed" w:sz="4" w:space="0" w:color="000000"/>
            </w:tcBorders>
          </w:tcPr>
          <w:p w:rsidR="00E8309B" w:rsidRDefault="009D0949">
            <w:pPr>
              <w:spacing w:after="0" w:line="259" w:lineRule="auto"/>
              <w:ind w:left="0" w:right="52" w:firstLine="0"/>
              <w:jc w:val="right"/>
            </w:pPr>
            <w:r>
              <w:rPr>
                <w:sz w:val="20"/>
              </w:rPr>
              <w:t xml:space="preserve">6.982,6 </w:t>
            </w:r>
          </w:p>
        </w:tc>
        <w:tc>
          <w:tcPr>
            <w:tcW w:w="984" w:type="dxa"/>
            <w:tcBorders>
              <w:top w:val="single" w:sz="8" w:space="0" w:color="000000"/>
              <w:left w:val="dashed" w:sz="4" w:space="0" w:color="000000"/>
              <w:bottom w:val="dashed" w:sz="4" w:space="0" w:color="000000"/>
              <w:right w:val="dashed" w:sz="4" w:space="0" w:color="000000"/>
            </w:tcBorders>
          </w:tcPr>
          <w:p w:rsidR="00E8309B" w:rsidRDefault="009D0949">
            <w:pPr>
              <w:spacing w:after="0" w:line="259" w:lineRule="auto"/>
              <w:ind w:left="0" w:right="52" w:firstLine="0"/>
              <w:jc w:val="right"/>
            </w:pPr>
            <w:r>
              <w:rPr>
                <w:sz w:val="20"/>
              </w:rPr>
              <w:t xml:space="preserve">6.945,2 </w:t>
            </w:r>
          </w:p>
        </w:tc>
        <w:tc>
          <w:tcPr>
            <w:tcW w:w="982" w:type="dxa"/>
            <w:tcBorders>
              <w:top w:val="single" w:sz="8" w:space="0" w:color="000000"/>
              <w:left w:val="dashed" w:sz="4" w:space="0" w:color="000000"/>
              <w:bottom w:val="dashed" w:sz="4" w:space="0" w:color="000000"/>
              <w:right w:val="dashed" w:sz="4" w:space="0" w:color="000000"/>
            </w:tcBorders>
          </w:tcPr>
          <w:p w:rsidR="00E8309B" w:rsidRDefault="009D0949">
            <w:pPr>
              <w:spacing w:after="0" w:line="259" w:lineRule="auto"/>
              <w:ind w:left="0" w:right="49" w:firstLine="0"/>
              <w:jc w:val="right"/>
            </w:pPr>
            <w:r>
              <w:rPr>
                <w:sz w:val="20"/>
              </w:rPr>
              <w:t xml:space="preserve">6.917,5 </w:t>
            </w:r>
          </w:p>
        </w:tc>
        <w:tc>
          <w:tcPr>
            <w:tcW w:w="984" w:type="dxa"/>
            <w:tcBorders>
              <w:top w:val="single" w:sz="8" w:space="0" w:color="000000"/>
              <w:left w:val="dashed" w:sz="4" w:space="0" w:color="000000"/>
              <w:bottom w:val="dashed" w:sz="4" w:space="0" w:color="000000"/>
              <w:right w:val="dashed" w:sz="4" w:space="0" w:color="000000"/>
            </w:tcBorders>
          </w:tcPr>
          <w:p w:rsidR="00E8309B" w:rsidRDefault="009D0949">
            <w:pPr>
              <w:spacing w:after="0" w:line="259" w:lineRule="auto"/>
              <w:ind w:left="0" w:right="49" w:firstLine="0"/>
              <w:jc w:val="right"/>
            </w:pPr>
            <w:r>
              <w:rPr>
                <w:sz w:val="20"/>
              </w:rPr>
              <w:t xml:space="preserve">6.889,8 </w:t>
            </w:r>
          </w:p>
        </w:tc>
        <w:tc>
          <w:tcPr>
            <w:tcW w:w="984" w:type="dxa"/>
            <w:tcBorders>
              <w:top w:val="single" w:sz="8" w:space="0" w:color="000000"/>
              <w:left w:val="dashed" w:sz="4" w:space="0" w:color="000000"/>
              <w:bottom w:val="dashed" w:sz="4" w:space="0" w:color="000000"/>
              <w:right w:val="dashed" w:sz="4" w:space="0" w:color="000000"/>
            </w:tcBorders>
          </w:tcPr>
          <w:p w:rsidR="00E8309B" w:rsidRDefault="009D0949">
            <w:pPr>
              <w:spacing w:after="0" w:line="259" w:lineRule="auto"/>
              <w:ind w:left="0" w:right="52" w:firstLine="0"/>
              <w:jc w:val="right"/>
            </w:pPr>
            <w:r>
              <w:rPr>
                <w:sz w:val="20"/>
              </w:rPr>
              <w:t xml:space="preserve">6.862,2 </w:t>
            </w:r>
          </w:p>
        </w:tc>
        <w:tc>
          <w:tcPr>
            <w:tcW w:w="994" w:type="dxa"/>
            <w:tcBorders>
              <w:top w:val="single" w:sz="8" w:space="0" w:color="000000"/>
              <w:left w:val="dashed" w:sz="4" w:space="0" w:color="000000"/>
              <w:bottom w:val="dashed" w:sz="4" w:space="0" w:color="000000"/>
              <w:right w:val="double" w:sz="6" w:space="0" w:color="000000"/>
            </w:tcBorders>
          </w:tcPr>
          <w:p w:rsidR="00E8309B" w:rsidRDefault="009D0949">
            <w:pPr>
              <w:spacing w:after="0" w:line="259" w:lineRule="auto"/>
              <w:ind w:left="0" w:right="49" w:firstLine="0"/>
              <w:jc w:val="right"/>
            </w:pPr>
            <w:r>
              <w:rPr>
                <w:sz w:val="20"/>
              </w:rPr>
              <w:t xml:space="preserve">6.834,8 </w:t>
            </w:r>
          </w:p>
        </w:tc>
      </w:tr>
      <w:tr w:rsidR="00E8309B">
        <w:trPr>
          <w:gridAfter w:val="1"/>
          <w:wAfter w:w="283" w:type="dxa"/>
          <w:trHeight w:val="240"/>
        </w:trPr>
        <w:tc>
          <w:tcPr>
            <w:tcW w:w="6750" w:type="dxa"/>
            <w:tcBorders>
              <w:top w:val="dashed" w:sz="4" w:space="0" w:color="000000"/>
              <w:left w:val="double" w:sz="6" w:space="0" w:color="000000"/>
              <w:bottom w:val="dashed" w:sz="4" w:space="0" w:color="000000"/>
              <w:right w:val="single" w:sz="8" w:space="0" w:color="000000"/>
            </w:tcBorders>
          </w:tcPr>
          <w:p w:rsidR="00E8309B" w:rsidRDefault="009D0949">
            <w:pPr>
              <w:spacing w:after="0" w:line="259" w:lineRule="auto"/>
              <w:ind w:left="0" w:right="0" w:firstLine="0"/>
              <w:jc w:val="left"/>
            </w:pPr>
            <w:r>
              <w:rPr>
                <w:sz w:val="20"/>
              </w:rPr>
              <w:t xml:space="preserve">3. Становништво радног узраста (број лица)[1] </w:t>
            </w:r>
          </w:p>
        </w:tc>
        <w:tc>
          <w:tcPr>
            <w:tcW w:w="1604" w:type="dxa"/>
            <w:tcBorders>
              <w:top w:val="dashed" w:sz="4" w:space="0" w:color="000000"/>
              <w:left w:val="single" w:sz="8" w:space="0" w:color="000000"/>
              <w:bottom w:val="dashed" w:sz="4" w:space="0" w:color="000000"/>
              <w:right w:val="single" w:sz="8" w:space="0" w:color="000000"/>
            </w:tcBorders>
          </w:tcPr>
          <w:p w:rsidR="00E8309B" w:rsidRDefault="009D0949">
            <w:pPr>
              <w:spacing w:after="0" w:line="259" w:lineRule="auto"/>
              <w:ind w:left="0" w:right="51" w:firstLine="0"/>
              <w:jc w:val="center"/>
            </w:pPr>
            <w:r>
              <w:rPr>
                <w:sz w:val="20"/>
              </w:rPr>
              <w:t xml:space="preserve">у хиљадама </w:t>
            </w:r>
          </w:p>
        </w:tc>
        <w:tc>
          <w:tcPr>
            <w:tcW w:w="984" w:type="dxa"/>
            <w:tcBorders>
              <w:top w:val="dashed" w:sz="4" w:space="0" w:color="000000"/>
              <w:left w:val="single" w:sz="8" w:space="0" w:color="000000"/>
              <w:bottom w:val="dashed" w:sz="4" w:space="0" w:color="000000"/>
              <w:right w:val="dashed" w:sz="4" w:space="0" w:color="000000"/>
            </w:tcBorders>
          </w:tcPr>
          <w:p w:rsidR="00E8309B" w:rsidRDefault="009D0949">
            <w:pPr>
              <w:spacing w:after="0" w:line="259" w:lineRule="auto"/>
              <w:ind w:left="0" w:right="52" w:firstLine="0"/>
              <w:jc w:val="right"/>
            </w:pPr>
            <w:r>
              <w:rPr>
                <w:sz w:val="20"/>
              </w:rPr>
              <w:t xml:space="preserve">4.565,0 </w:t>
            </w:r>
          </w:p>
        </w:tc>
        <w:tc>
          <w:tcPr>
            <w:tcW w:w="984"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52" w:firstLine="0"/>
              <w:jc w:val="right"/>
            </w:pPr>
            <w:r>
              <w:rPr>
                <w:sz w:val="20"/>
              </w:rPr>
              <w:t xml:space="preserve">4.504,1 </w:t>
            </w:r>
          </w:p>
        </w:tc>
        <w:tc>
          <w:tcPr>
            <w:tcW w:w="982"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49" w:firstLine="0"/>
              <w:jc w:val="right"/>
            </w:pPr>
            <w:r>
              <w:rPr>
                <w:sz w:val="20"/>
              </w:rPr>
              <w:t xml:space="preserve">4.565,5 </w:t>
            </w:r>
          </w:p>
        </w:tc>
        <w:tc>
          <w:tcPr>
            <w:tcW w:w="984"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49" w:firstLine="0"/>
              <w:jc w:val="right"/>
            </w:pPr>
            <w:r>
              <w:rPr>
                <w:sz w:val="20"/>
              </w:rPr>
              <w:t xml:space="preserve">4.547,3 </w:t>
            </w:r>
          </w:p>
        </w:tc>
        <w:tc>
          <w:tcPr>
            <w:tcW w:w="984"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52" w:firstLine="0"/>
              <w:jc w:val="right"/>
            </w:pPr>
            <w:r>
              <w:rPr>
                <w:sz w:val="20"/>
              </w:rPr>
              <w:t xml:space="preserve">4.535,9 </w:t>
            </w:r>
          </w:p>
        </w:tc>
        <w:tc>
          <w:tcPr>
            <w:tcW w:w="994" w:type="dxa"/>
            <w:tcBorders>
              <w:top w:val="dashed" w:sz="4" w:space="0" w:color="000000"/>
              <w:left w:val="dashed" w:sz="4" w:space="0" w:color="000000"/>
              <w:bottom w:val="dashed" w:sz="4" w:space="0" w:color="000000"/>
              <w:right w:val="double" w:sz="6" w:space="0" w:color="000000"/>
            </w:tcBorders>
          </w:tcPr>
          <w:p w:rsidR="00E8309B" w:rsidRDefault="009D0949">
            <w:pPr>
              <w:spacing w:after="0" w:line="259" w:lineRule="auto"/>
              <w:ind w:left="0" w:right="49" w:firstLine="0"/>
              <w:jc w:val="right"/>
            </w:pPr>
            <w:r>
              <w:rPr>
                <w:sz w:val="20"/>
              </w:rPr>
              <w:t xml:space="preserve">4.524,6 </w:t>
            </w:r>
          </w:p>
        </w:tc>
      </w:tr>
      <w:tr w:rsidR="00E8309B">
        <w:trPr>
          <w:gridAfter w:val="1"/>
          <w:wAfter w:w="283" w:type="dxa"/>
          <w:trHeight w:val="240"/>
        </w:trPr>
        <w:tc>
          <w:tcPr>
            <w:tcW w:w="6750" w:type="dxa"/>
            <w:tcBorders>
              <w:top w:val="dashed" w:sz="4" w:space="0" w:color="000000"/>
              <w:left w:val="double" w:sz="6" w:space="0" w:color="000000"/>
              <w:bottom w:val="dashed" w:sz="4" w:space="0" w:color="000000"/>
              <w:right w:val="single" w:sz="8" w:space="0" w:color="000000"/>
            </w:tcBorders>
          </w:tcPr>
          <w:p w:rsidR="00E8309B" w:rsidRDefault="009D0949">
            <w:pPr>
              <w:spacing w:after="0" w:line="259" w:lineRule="auto"/>
              <w:ind w:left="0" w:right="0" w:firstLine="0"/>
              <w:jc w:val="left"/>
            </w:pPr>
            <w:r>
              <w:rPr>
                <w:sz w:val="20"/>
              </w:rPr>
              <w:t xml:space="preserve">Укупна радна снага </w:t>
            </w:r>
          </w:p>
        </w:tc>
        <w:tc>
          <w:tcPr>
            <w:tcW w:w="1604" w:type="dxa"/>
            <w:tcBorders>
              <w:top w:val="dashed" w:sz="4" w:space="0" w:color="000000"/>
              <w:left w:val="single" w:sz="8" w:space="0" w:color="000000"/>
              <w:bottom w:val="dashed" w:sz="4" w:space="0" w:color="000000"/>
              <w:right w:val="single" w:sz="8" w:space="0" w:color="000000"/>
            </w:tcBorders>
          </w:tcPr>
          <w:p w:rsidR="00E8309B" w:rsidRDefault="009D0949">
            <w:pPr>
              <w:spacing w:after="0" w:line="259" w:lineRule="auto"/>
              <w:ind w:left="0" w:right="51" w:firstLine="0"/>
              <w:jc w:val="center"/>
            </w:pPr>
            <w:r>
              <w:rPr>
                <w:sz w:val="20"/>
              </w:rPr>
              <w:t xml:space="preserve">у хиљадама </w:t>
            </w:r>
          </w:p>
        </w:tc>
        <w:tc>
          <w:tcPr>
            <w:tcW w:w="984" w:type="dxa"/>
            <w:tcBorders>
              <w:top w:val="dashed" w:sz="4" w:space="0" w:color="000000"/>
              <w:left w:val="single" w:sz="8" w:space="0" w:color="000000"/>
              <w:bottom w:val="dashed" w:sz="4" w:space="0" w:color="000000"/>
              <w:right w:val="dashed" w:sz="4" w:space="0" w:color="000000"/>
            </w:tcBorders>
          </w:tcPr>
          <w:p w:rsidR="00E8309B" w:rsidRDefault="009D0949">
            <w:pPr>
              <w:spacing w:after="0" w:line="259" w:lineRule="auto"/>
              <w:ind w:left="0" w:right="52" w:firstLine="0"/>
              <w:jc w:val="right"/>
            </w:pPr>
            <w:r>
              <w:rPr>
                <w:sz w:val="20"/>
              </w:rPr>
              <w:t xml:space="preserve">3.096,4 </w:t>
            </w:r>
          </w:p>
        </w:tc>
        <w:tc>
          <w:tcPr>
            <w:tcW w:w="984"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52" w:firstLine="0"/>
              <w:jc w:val="right"/>
            </w:pPr>
            <w:r>
              <w:rPr>
                <w:sz w:val="20"/>
              </w:rPr>
              <w:t xml:space="preserve">3.068,2 </w:t>
            </w:r>
          </w:p>
        </w:tc>
        <w:tc>
          <w:tcPr>
            <w:tcW w:w="982"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49" w:firstLine="0"/>
              <w:jc w:val="right"/>
            </w:pPr>
            <w:r>
              <w:rPr>
                <w:sz w:val="20"/>
              </w:rPr>
              <w:t xml:space="preserve">3.058,9 </w:t>
            </w:r>
          </w:p>
        </w:tc>
        <w:tc>
          <w:tcPr>
            <w:tcW w:w="984"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49" w:firstLine="0"/>
              <w:jc w:val="right"/>
            </w:pPr>
            <w:r>
              <w:rPr>
                <w:sz w:val="20"/>
              </w:rPr>
              <w:t xml:space="preserve">3.092,1 </w:t>
            </w:r>
          </w:p>
        </w:tc>
        <w:tc>
          <w:tcPr>
            <w:tcW w:w="984"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52" w:firstLine="0"/>
              <w:jc w:val="right"/>
            </w:pPr>
            <w:r>
              <w:rPr>
                <w:sz w:val="20"/>
              </w:rPr>
              <w:t xml:space="preserve">3.093,5 </w:t>
            </w:r>
          </w:p>
        </w:tc>
        <w:tc>
          <w:tcPr>
            <w:tcW w:w="994" w:type="dxa"/>
            <w:tcBorders>
              <w:top w:val="dashed" w:sz="4" w:space="0" w:color="000000"/>
              <w:left w:val="dashed" w:sz="4" w:space="0" w:color="000000"/>
              <w:bottom w:val="dashed" w:sz="4" w:space="0" w:color="000000"/>
              <w:right w:val="double" w:sz="6" w:space="0" w:color="000000"/>
            </w:tcBorders>
          </w:tcPr>
          <w:p w:rsidR="00E8309B" w:rsidRDefault="009D0949">
            <w:pPr>
              <w:spacing w:after="0" w:line="259" w:lineRule="auto"/>
              <w:ind w:left="0" w:right="49" w:firstLine="0"/>
              <w:jc w:val="right"/>
            </w:pPr>
            <w:r>
              <w:rPr>
                <w:sz w:val="20"/>
              </w:rPr>
              <w:t xml:space="preserve">3.099,4 </w:t>
            </w:r>
          </w:p>
        </w:tc>
      </w:tr>
      <w:tr w:rsidR="00E8309B">
        <w:trPr>
          <w:gridAfter w:val="1"/>
          <w:wAfter w:w="283" w:type="dxa"/>
          <w:trHeight w:val="241"/>
        </w:trPr>
        <w:tc>
          <w:tcPr>
            <w:tcW w:w="6750" w:type="dxa"/>
            <w:tcBorders>
              <w:top w:val="dashed" w:sz="4" w:space="0" w:color="000000"/>
              <w:left w:val="double" w:sz="6" w:space="0" w:color="000000"/>
              <w:bottom w:val="dashed" w:sz="4" w:space="0" w:color="000000"/>
              <w:right w:val="single" w:sz="8" w:space="0" w:color="000000"/>
            </w:tcBorders>
          </w:tcPr>
          <w:p w:rsidR="00E8309B" w:rsidRDefault="009D0949">
            <w:pPr>
              <w:spacing w:after="0" w:line="259" w:lineRule="auto"/>
              <w:ind w:left="0" w:right="0" w:firstLine="0"/>
              <w:jc w:val="left"/>
            </w:pPr>
            <w:r>
              <w:rPr>
                <w:sz w:val="20"/>
              </w:rPr>
              <w:t xml:space="preserve">5. Запосленост, број лица [2] </w:t>
            </w:r>
          </w:p>
        </w:tc>
        <w:tc>
          <w:tcPr>
            <w:tcW w:w="1604" w:type="dxa"/>
            <w:tcBorders>
              <w:top w:val="dashed" w:sz="4" w:space="0" w:color="000000"/>
              <w:left w:val="single" w:sz="8" w:space="0" w:color="000000"/>
              <w:bottom w:val="dashed" w:sz="4" w:space="0" w:color="000000"/>
              <w:right w:val="single" w:sz="8" w:space="0" w:color="000000"/>
            </w:tcBorders>
          </w:tcPr>
          <w:p w:rsidR="00E8309B" w:rsidRDefault="009D0949">
            <w:pPr>
              <w:spacing w:after="0" w:line="259" w:lineRule="auto"/>
              <w:ind w:left="0" w:right="51" w:firstLine="0"/>
              <w:jc w:val="center"/>
            </w:pPr>
            <w:r>
              <w:rPr>
                <w:sz w:val="20"/>
              </w:rPr>
              <w:t xml:space="preserve">у хиљадама </w:t>
            </w:r>
          </w:p>
        </w:tc>
        <w:tc>
          <w:tcPr>
            <w:tcW w:w="984" w:type="dxa"/>
            <w:tcBorders>
              <w:top w:val="dashed" w:sz="4" w:space="0" w:color="000000"/>
              <w:left w:val="single" w:sz="8" w:space="0" w:color="000000"/>
              <w:bottom w:val="dashed" w:sz="4" w:space="0" w:color="000000"/>
              <w:right w:val="dashed" w:sz="4" w:space="0" w:color="000000"/>
            </w:tcBorders>
          </w:tcPr>
          <w:p w:rsidR="00E8309B" w:rsidRDefault="009D0949">
            <w:pPr>
              <w:spacing w:after="0" w:line="259" w:lineRule="auto"/>
              <w:ind w:left="0" w:right="52" w:firstLine="0"/>
              <w:jc w:val="right"/>
            </w:pPr>
            <w:r>
              <w:rPr>
                <w:sz w:val="20"/>
              </w:rPr>
              <w:t xml:space="preserve">2.685,4  </w:t>
            </w:r>
          </w:p>
        </w:tc>
        <w:tc>
          <w:tcPr>
            <w:tcW w:w="984"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52" w:firstLine="0"/>
              <w:jc w:val="right"/>
            </w:pPr>
            <w:r>
              <w:rPr>
                <w:sz w:val="20"/>
              </w:rPr>
              <w:t xml:space="preserve">2.733,5  </w:t>
            </w:r>
          </w:p>
        </w:tc>
        <w:tc>
          <w:tcPr>
            <w:tcW w:w="982"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49" w:firstLine="0"/>
              <w:jc w:val="right"/>
            </w:pPr>
            <w:r>
              <w:rPr>
                <w:sz w:val="20"/>
              </w:rPr>
              <w:t xml:space="preserve">2.747,2  </w:t>
            </w:r>
          </w:p>
        </w:tc>
        <w:tc>
          <w:tcPr>
            <w:tcW w:w="984"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49" w:firstLine="0"/>
              <w:jc w:val="right"/>
            </w:pPr>
            <w:r>
              <w:rPr>
                <w:sz w:val="20"/>
              </w:rPr>
              <w:t xml:space="preserve">2.780,1  </w:t>
            </w:r>
          </w:p>
        </w:tc>
        <w:tc>
          <w:tcPr>
            <w:tcW w:w="984"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52" w:firstLine="0"/>
              <w:jc w:val="right"/>
            </w:pPr>
            <w:r>
              <w:rPr>
                <w:sz w:val="20"/>
              </w:rPr>
              <w:t xml:space="preserve">2.807,9  </w:t>
            </w:r>
          </w:p>
        </w:tc>
        <w:tc>
          <w:tcPr>
            <w:tcW w:w="994" w:type="dxa"/>
            <w:tcBorders>
              <w:top w:val="dashed" w:sz="4" w:space="0" w:color="000000"/>
              <w:left w:val="dashed" w:sz="4" w:space="0" w:color="000000"/>
              <w:bottom w:val="dashed" w:sz="4" w:space="0" w:color="000000"/>
              <w:right w:val="double" w:sz="6" w:space="0" w:color="000000"/>
            </w:tcBorders>
          </w:tcPr>
          <w:p w:rsidR="00E8309B" w:rsidRDefault="009D0949">
            <w:pPr>
              <w:spacing w:after="0" w:line="259" w:lineRule="auto"/>
              <w:ind w:left="0" w:right="49" w:firstLine="0"/>
              <w:jc w:val="right"/>
            </w:pPr>
            <w:r>
              <w:rPr>
                <w:sz w:val="20"/>
              </w:rPr>
              <w:t xml:space="preserve">2.836,0  </w:t>
            </w:r>
          </w:p>
        </w:tc>
      </w:tr>
      <w:tr w:rsidR="00E8309B">
        <w:trPr>
          <w:gridAfter w:val="1"/>
          <w:wAfter w:w="283" w:type="dxa"/>
          <w:trHeight w:val="240"/>
        </w:trPr>
        <w:tc>
          <w:tcPr>
            <w:tcW w:w="6750" w:type="dxa"/>
            <w:tcBorders>
              <w:top w:val="dashed" w:sz="4" w:space="0" w:color="000000"/>
              <w:left w:val="double" w:sz="6" w:space="0" w:color="000000"/>
              <w:bottom w:val="dashed" w:sz="4" w:space="0" w:color="000000"/>
              <w:right w:val="single" w:sz="8" w:space="0" w:color="000000"/>
            </w:tcBorders>
          </w:tcPr>
          <w:p w:rsidR="00E8309B" w:rsidRDefault="009D0949">
            <w:pPr>
              <w:spacing w:after="0" w:line="259" w:lineRule="auto"/>
              <w:ind w:left="0" w:right="0" w:firstLine="0"/>
              <w:jc w:val="left"/>
            </w:pPr>
            <w:r>
              <w:rPr>
                <w:sz w:val="20"/>
              </w:rPr>
              <w:t xml:space="preserve">6. Запосленост, часови рада[3] </w:t>
            </w:r>
          </w:p>
        </w:tc>
        <w:tc>
          <w:tcPr>
            <w:tcW w:w="1604" w:type="dxa"/>
            <w:tcBorders>
              <w:top w:val="dashed" w:sz="4" w:space="0" w:color="000000"/>
              <w:left w:val="single" w:sz="8" w:space="0" w:color="000000"/>
              <w:bottom w:val="dashed" w:sz="4" w:space="0" w:color="000000"/>
              <w:right w:val="single" w:sz="8" w:space="0" w:color="000000"/>
            </w:tcBorders>
          </w:tcPr>
          <w:p w:rsidR="00E8309B" w:rsidRDefault="009D0949">
            <w:pPr>
              <w:spacing w:after="0" w:line="259" w:lineRule="auto"/>
              <w:ind w:left="0" w:right="51" w:firstLine="0"/>
              <w:jc w:val="center"/>
            </w:pPr>
            <w:r>
              <w:rPr>
                <w:sz w:val="20"/>
              </w:rPr>
              <w:t xml:space="preserve">у хиљадама </w:t>
            </w:r>
          </w:p>
        </w:tc>
        <w:tc>
          <w:tcPr>
            <w:tcW w:w="984" w:type="dxa"/>
            <w:tcBorders>
              <w:top w:val="dashed" w:sz="4" w:space="0" w:color="000000"/>
              <w:left w:val="single" w:sz="8" w:space="0" w:color="000000"/>
              <w:bottom w:val="dashed" w:sz="4" w:space="0" w:color="000000"/>
              <w:right w:val="dashed" w:sz="4" w:space="0" w:color="000000"/>
            </w:tcBorders>
            <w:vAlign w:val="bottom"/>
          </w:tcPr>
          <w:p w:rsidR="00E8309B" w:rsidRDefault="009D0949">
            <w:pPr>
              <w:spacing w:after="0" w:line="259" w:lineRule="auto"/>
              <w:ind w:left="0" w:right="2" w:firstLine="0"/>
              <w:jc w:val="right"/>
            </w:pPr>
            <w:r>
              <w:rPr>
                <w:sz w:val="20"/>
              </w:rPr>
              <w:t xml:space="preserve"> </w:t>
            </w:r>
          </w:p>
        </w:tc>
        <w:tc>
          <w:tcPr>
            <w:tcW w:w="984" w:type="dxa"/>
            <w:tcBorders>
              <w:top w:val="dashed" w:sz="4" w:space="0" w:color="000000"/>
              <w:left w:val="dashed" w:sz="4" w:space="0" w:color="000000"/>
              <w:bottom w:val="dashed" w:sz="4" w:space="0" w:color="000000"/>
              <w:right w:val="dashed" w:sz="4" w:space="0" w:color="000000"/>
            </w:tcBorders>
            <w:vAlign w:val="bottom"/>
          </w:tcPr>
          <w:p w:rsidR="00E8309B" w:rsidRDefault="009D0949">
            <w:pPr>
              <w:spacing w:after="0" w:line="259" w:lineRule="auto"/>
              <w:ind w:left="0" w:right="2" w:firstLine="0"/>
              <w:jc w:val="right"/>
            </w:pPr>
            <w:r>
              <w:rPr>
                <w:sz w:val="20"/>
              </w:rPr>
              <w:t xml:space="preserve"> </w:t>
            </w:r>
          </w:p>
        </w:tc>
        <w:tc>
          <w:tcPr>
            <w:tcW w:w="982" w:type="dxa"/>
            <w:tcBorders>
              <w:top w:val="dashed" w:sz="4" w:space="0" w:color="000000"/>
              <w:left w:val="dashed" w:sz="4" w:space="0" w:color="000000"/>
              <w:bottom w:val="dashed" w:sz="4" w:space="0" w:color="000000"/>
              <w:right w:val="dashed" w:sz="4" w:space="0" w:color="000000"/>
            </w:tcBorders>
            <w:vAlign w:val="bottom"/>
          </w:tcPr>
          <w:p w:rsidR="00E8309B" w:rsidRDefault="009D0949">
            <w:pPr>
              <w:spacing w:after="0" w:line="259" w:lineRule="auto"/>
              <w:ind w:left="0" w:right="0" w:firstLine="0"/>
              <w:jc w:val="right"/>
            </w:pPr>
            <w:r>
              <w:rPr>
                <w:sz w:val="20"/>
              </w:rPr>
              <w:t xml:space="preserve"> </w:t>
            </w:r>
          </w:p>
        </w:tc>
        <w:tc>
          <w:tcPr>
            <w:tcW w:w="984" w:type="dxa"/>
            <w:tcBorders>
              <w:top w:val="dashed" w:sz="4" w:space="0" w:color="000000"/>
              <w:left w:val="dashed" w:sz="4" w:space="0" w:color="000000"/>
              <w:bottom w:val="dashed" w:sz="4" w:space="0" w:color="000000"/>
              <w:right w:val="dashed" w:sz="4" w:space="0" w:color="000000"/>
            </w:tcBorders>
            <w:vAlign w:val="bottom"/>
          </w:tcPr>
          <w:p w:rsidR="00E8309B" w:rsidRDefault="009D0949">
            <w:pPr>
              <w:spacing w:after="0" w:line="259" w:lineRule="auto"/>
              <w:ind w:left="0" w:right="0" w:firstLine="0"/>
              <w:jc w:val="right"/>
            </w:pPr>
            <w:r>
              <w:rPr>
                <w:sz w:val="20"/>
              </w:rPr>
              <w:t xml:space="preserve"> </w:t>
            </w:r>
          </w:p>
        </w:tc>
        <w:tc>
          <w:tcPr>
            <w:tcW w:w="984" w:type="dxa"/>
            <w:tcBorders>
              <w:top w:val="dashed" w:sz="4" w:space="0" w:color="000000"/>
              <w:left w:val="dashed" w:sz="4" w:space="0" w:color="000000"/>
              <w:bottom w:val="dashed" w:sz="4" w:space="0" w:color="000000"/>
              <w:right w:val="dashed" w:sz="4" w:space="0" w:color="000000"/>
            </w:tcBorders>
            <w:vAlign w:val="bottom"/>
          </w:tcPr>
          <w:p w:rsidR="00E8309B" w:rsidRDefault="009D0949">
            <w:pPr>
              <w:spacing w:after="0" w:line="259" w:lineRule="auto"/>
              <w:ind w:left="0" w:right="2" w:firstLine="0"/>
              <w:jc w:val="right"/>
            </w:pPr>
            <w:r>
              <w:rPr>
                <w:sz w:val="20"/>
              </w:rPr>
              <w:t xml:space="preserve"> </w:t>
            </w:r>
          </w:p>
        </w:tc>
        <w:tc>
          <w:tcPr>
            <w:tcW w:w="994" w:type="dxa"/>
            <w:tcBorders>
              <w:top w:val="dashed" w:sz="4" w:space="0" w:color="000000"/>
              <w:left w:val="dashed" w:sz="4" w:space="0" w:color="000000"/>
              <w:bottom w:val="dashed" w:sz="4" w:space="0" w:color="000000"/>
              <w:right w:val="double" w:sz="6" w:space="0" w:color="000000"/>
            </w:tcBorders>
            <w:vAlign w:val="bottom"/>
          </w:tcPr>
          <w:p w:rsidR="00E8309B" w:rsidRDefault="009D0949">
            <w:pPr>
              <w:spacing w:after="0" w:line="259" w:lineRule="auto"/>
              <w:ind w:left="0" w:right="0" w:firstLine="0"/>
              <w:jc w:val="right"/>
            </w:pPr>
            <w:r>
              <w:rPr>
                <w:sz w:val="20"/>
              </w:rPr>
              <w:t xml:space="preserve"> </w:t>
            </w:r>
          </w:p>
        </w:tc>
      </w:tr>
      <w:tr w:rsidR="00E8309B">
        <w:trPr>
          <w:gridAfter w:val="1"/>
          <w:wAfter w:w="283" w:type="dxa"/>
          <w:trHeight w:val="240"/>
        </w:trPr>
        <w:tc>
          <w:tcPr>
            <w:tcW w:w="6750" w:type="dxa"/>
            <w:tcBorders>
              <w:top w:val="dashed" w:sz="4" w:space="0" w:color="000000"/>
              <w:left w:val="double" w:sz="6" w:space="0" w:color="000000"/>
              <w:bottom w:val="dashed" w:sz="4" w:space="0" w:color="000000"/>
              <w:right w:val="single" w:sz="8" w:space="0" w:color="000000"/>
            </w:tcBorders>
          </w:tcPr>
          <w:p w:rsidR="00E8309B" w:rsidRDefault="009D0949">
            <w:pPr>
              <w:spacing w:after="0" w:line="259" w:lineRule="auto"/>
              <w:ind w:left="0" w:right="0" w:firstLine="0"/>
              <w:jc w:val="left"/>
            </w:pPr>
            <w:r>
              <w:rPr>
                <w:sz w:val="20"/>
              </w:rPr>
              <w:t xml:space="preserve">8. Запосленост у јавном сектору (број лица) </w:t>
            </w:r>
          </w:p>
        </w:tc>
        <w:tc>
          <w:tcPr>
            <w:tcW w:w="1604" w:type="dxa"/>
            <w:tcBorders>
              <w:top w:val="dashed" w:sz="4" w:space="0" w:color="000000"/>
              <w:left w:val="single" w:sz="8" w:space="0" w:color="000000"/>
              <w:bottom w:val="dashed" w:sz="4" w:space="0" w:color="000000"/>
              <w:right w:val="single" w:sz="8" w:space="0" w:color="000000"/>
            </w:tcBorders>
          </w:tcPr>
          <w:p w:rsidR="00E8309B" w:rsidRDefault="009D0949">
            <w:pPr>
              <w:spacing w:after="0" w:line="259" w:lineRule="auto"/>
              <w:ind w:left="0" w:right="51" w:firstLine="0"/>
              <w:jc w:val="center"/>
            </w:pPr>
            <w:r>
              <w:rPr>
                <w:sz w:val="20"/>
              </w:rPr>
              <w:t xml:space="preserve">у хиљадама </w:t>
            </w:r>
          </w:p>
        </w:tc>
        <w:tc>
          <w:tcPr>
            <w:tcW w:w="984" w:type="dxa"/>
            <w:tcBorders>
              <w:top w:val="dashed" w:sz="4" w:space="0" w:color="000000"/>
              <w:left w:val="single" w:sz="8" w:space="0" w:color="000000"/>
              <w:bottom w:val="dashed" w:sz="4" w:space="0" w:color="000000"/>
              <w:right w:val="dashed" w:sz="4" w:space="0" w:color="000000"/>
            </w:tcBorders>
            <w:vAlign w:val="bottom"/>
          </w:tcPr>
          <w:p w:rsidR="00E8309B" w:rsidRDefault="009D0949">
            <w:pPr>
              <w:spacing w:after="0" w:line="259" w:lineRule="auto"/>
              <w:ind w:left="0" w:right="2" w:firstLine="0"/>
              <w:jc w:val="right"/>
            </w:pPr>
            <w:r>
              <w:rPr>
                <w:sz w:val="20"/>
              </w:rPr>
              <w:t xml:space="preserve"> </w:t>
            </w:r>
          </w:p>
        </w:tc>
        <w:tc>
          <w:tcPr>
            <w:tcW w:w="984" w:type="dxa"/>
            <w:tcBorders>
              <w:top w:val="dashed" w:sz="4" w:space="0" w:color="000000"/>
              <w:left w:val="dashed" w:sz="4" w:space="0" w:color="000000"/>
              <w:bottom w:val="dashed" w:sz="4" w:space="0" w:color="000000"/>
              <w:right w:val="dashed" w:sz="4" w:space="0" w:color="000000"/>
            </w:tcBorders>
            <w:vAlign w:val="bottom"/>
          </w:tcPr>
          <w:p w:rsidR="00E8309B" w:rsidRDefault="009D0949">
            <w:pPr>
              <w:spacing w:after="0" w:line="259" w:lineRule="auto"/>
              <w:ind w:left="0" w:right="2" w:firstLine="0"/>
              <w:jc w:val="right"/>
            </w:pPr>
            <w:r>
              <w:rPr>
                <w:sz w:val="20"/>
              </w:rPr>
              <w:t xml:space="preserve"> </w:t>
            </w:r>
          </w:p>
        </w:tc>
        <w:tc>
          <w:tcPr>
            <w:tcW w:w="982" w:type="dxa"/>
            <w:tcBorders>
              <w:top w:val="dashed" w:sz="4" w:space="0" w:color="000000"/>
              <w:left w:val="dashed" w:sz="4" w:space="0" w:color="000000"/>
              <w:bottom w:val="dashed" w:sz="4" w:space="0" w:color="000000"/>
              <w:right w:val="dashed" w:sz="4" w:space="0" w:color="000000"/>
            </w:tcBorders>
            <w:vAlign w:val="bottom"/>
          </w:tcPr>
          <w:p w:rsidR="00E8309B" w:rsidRDefault="009D0949">
            <w:pPr>
              <w:spacing w:after="0" w:line="259" w:lineRule="auto"/>
              <w:ind w:left="0" w:right="0" w:firstLine="0"/>
              <w:jc w:val="right"/>
            </w:pPr>
            <w:r>
              <w:rPr>
                <w:sz w:val="20"/>
              </w:rPr>
              <w:t xml:space="preserve"> </w:t>
            </w:r>
          </w:p>
        </w:tc>
        <w:tc>
          <w:tcPr>
            <w:tcW w:w="984" w:type="dxa"/>
            <w:tcBorders>
              <w:top w:val="dashed" w:sz="4" w:space="0" w:color="000000"/>
              <w:left w:val="dashed" w:sz="4" w:space="0" w:color="000000"/>
              <w:bottom w:val="dashed" w:sz="4" w:space="0" w:color="000000"/>
              <w:right w:val="dashed" w:sz="4" w:space="0" w:color="000000"/>
            </w:tcBorders>
            <w:vAlign w:val="bottom"/>
          </w:tcPr>
          <w:p w:rsidR="00E8309B" w:rsidRDefault="009D0949">
            <w:pPr>
              <w:spacing w:after="0" w:line="259" w:lineRule="auto"/>
              <w:ind w:left="0" w:right="0" w:firstLine="0"/>
              <w:jc w:val="right"/>
            </w:pPr>
            <w:r>
              <w:rPr>
                <w:sz w:val="20"/>
              </w:rPr>
              <w:t xml:space="preserve"> </w:t>
            </w:r>
          </w:p>
        </w:tc>
        <w:tc>
          <w:tcPr>
            <w:tcW w:w="984" w:type="dxa"/>
            <w:tcBorders>
              <w:top w:val="dashed" w:sz="4" w:space="0" w:color="000000"/>
              <w:left w:val="dashed" w:sz="4" w:space="0" w:color="000000"/>
              <w:bottom w:val="dashed" w:sz="4" w:space="0" w:color="000000"/>
              <w:right w:val="dashed" w:sz="4" w:space="0" w:color="000000"/>
            </w:tcBorders>
            <w:vAlign w:val="bottom"/>
          </w:tcPr>
          <w:p w:rsidR="00E8309B" w:rsidRDefault="009D0949">
            <w:pPr>
              <w:spacing w:after="0" w:line="259" w:lineRule="auto"/>
              <w:ind w:left="0" w:right="2" w:firstLine="0"/>
              <w:jc w:val="right"/>
            </w:pPr>
            <w:r>
              <w:rPr>
                <w:sz w:val="20"/>
              </w:rPr>
              <w:t xml:space="preserve"> </w:t>
            </w:r>
          </w:p>
        </w:tc>
        <w:tc>
          <w:tcPr>
            <w:tcW w:w="994" w:type="dxa"/>
            <w:tcBorders>
              <w:top w:val="dashed" w:sz="4" w:space="0" w:color="000000"/>
              <w:left w:val="dashed" w:sz="4" w:space="0" w:color="000000"/>
              <w:bottom w:val="dashed" w:sz="4" w:space="0" w:color="000000"/>
              <w:right w:val="double" w:sz="6" w:space="0" w:color="000000"/>
            </w:tcBorders>
            <w:vAlign w:val="bottom"/>
          </w:tcPr>
          <w:p w:rsidR="00E8309B" w:rsidRDefault="009D0949">
            <w:pPr>
              <w:spacing w:after="0" w:line="259" w:lineRule="auto"/>
              <w:ind w:left="0" w:right="0" w:firstLine="0"/>
              <w:jc w:val="right"/>
            </w:pPr>
            <w:r>
              <w:rPr>
                <w:sz w:val="20"/>
              </w:rPr>
              <w:t xml:space="preserve"> </w:t>
            </w:r>
          </w:p>
        </w:tc>
      </w:tr>
      <w:tr w:rsidR="00E8309B">
        <w:trPr>
          <w:gridAfter w:val="1"/>
          <w:wAfter w:w="283" w:type="dxa"/>
          <w:trHeight w:val="245"/>
        </w:trPr>
        <w:tc>
          <w:tcPr>
            <w:tcW w:w="6750" w:type="dxa"/>
            <w:tcBorders>
              <w:top w:val="dashed" w:sz="4" w:space="0" w:color="000000"/>
              <w:left w:val="double" w:sz="6" w:space="0" w:color="000000"/>
              <w:bottom w:val="single" w:sz="8" w:space="0" w:color="000000"/>
              <w:right w:val="single" w:sz="8" w:space="0" w:color="000000"/>
            </w:tcBorders>
          </w:tcPr>
          <w:p w:rsidR="00E8309B" w:rsidRDefault="009D0949">
            <w:pPr>
              <w:spacing w:after="0" w:line="259" w:lineRule="auto"/>
              <w:ind w:left="0" w:right="0" w:firstLine="0"/>
              <w:jc w:val="left"/>
            </w:pPr>
            <w:r>
              <w:rPr>
                <w:sz w:val="20"/>
              </w:rPr>
              <w:t xml:space="preserve">13. Зараде и накнаде запосленима </w:t>
            </w:r>
          </w:p>
        </w:tc>
        <w:tc>
          <w:tcPr>
            <w:tcW w:w="1604" w:type="dxa"/>
            <w:tcBorders>
              <w:top w:val="dashed" w:sz="4" w:space="0" w:color="000000"/>
              <w:left w:val="single" w:sz="8" w:space="0" w:color="000000"/>
              <w:bottom w:val="single" w:sz="8" w:space="0" w:color="000000"/>
              <w:right w:val="single" w:sz="8" w:space="0" w:color="000000"/>
            </w:tcBorders>
          </w:tcPr>
          <w:p w:rsidR="00E8309B" w:rsidRDefault="009D0949">
            <w:pPr>
              <w:spacing w:after="0" w:line="259" w:lineRule="auto"/>
              <w:ind w:left="0" w:right="48" w:firstLine="0"/>
              <w:jc w:val="center"/>
            </w:pPr>
            <w:r>
              <w:rPr>
                <w:sz w:val="20"/>
              </w:rPr>
              <w:t xml:space="preserve">млрд РСД </w:t>
            </w:r>
          </w:p>
        </w:tc>
        <w:tc>
          <w:tcPr>
            <w:tcW w:w="984" w:type="dxa"/>
            <w:tcBorders>
              <w:top w:val="dashed" w:sz="4" w:space="0" w:color="000000"/>
              <w:left w:val="single" w:sz="8" w:space="0" w:color="000000"/>
              <w:bottom w:val="single" w:sz="8" w:space="0" w:color="000000"/>
              <w:right w:val="dashed" w:sz="4" w:space="0" w:color="000000"/>
            </w:tcBorders>
          </w:tcPr>
          <w:p w:rsidR="00E8309B" w:rsidRDefault="00E8309B">
            <w:pPr>
              <w:spacing w:after="160" w:line="259" w:lineRule="auto"/>
              <w:ind w:left="0" w:right="0" w:firstLine="0"/>
              <w:jc w:val="left"/>
            </w:pPr>
          </w:p>
        </w:tc>
        <w:tc>
          <w:tcPr>
            <w:tcW w:w="984" w:type="dxa"/>
            <w:tcBorders>
              <w:top w:val="dashed" w:sz="4" w:space="0" w:color="000000"/>
              <w:left w:val="dashed" w:sz="4" w:space="0" w:color="000000"/>
              <w:bottom w:val="single" w:sz="8" w:space="0" w:color="000000"/>
              <w:right w:val="dashed" w:sz="4" w:space="0" w:color="000000"/>
            </w:tcBorders>
          </w:tcPr>
          <w:p w:rsidR="00E8309B" w:rsidRDefault="00E8309B">
            <w:pPr>
              <w:spacing w:after="160" w:line="259" w:lineRule="auto"/>
              <w:ind w:left="0" w:right="0" w:firstLine="0"/>
              <w:jc w:val="left"/>
            </w:pPr>
          </w:p>
        </w:tc>
        <w:tc>
          <w:tcPr>
            <w:tcW w:w="982" w:type="dxa"/>
            <w:tcBorders>
              <w:top w:val="dashed" w:sz="4" w:space="0" w:color="000000"/>
              <w:left w:val="dashed" w:sz="4" w:space="0" w:color="000000"/>
              <w:bottom w:val="single" w:sz="8" w:space="0" w:color="000000"/>
              <w:right w:val="dashed" w:sz="4" w:space="0" w:color="000000"/>
            </w:tcBorders>
          </w:tcPr>
          <w:p w:rsidR="00E8309B" w:rsidRDefault="00E8309B">
            <w:pPr>
              <w:spacing w:after="160" w:line="259" w:lineRule="auto"/>
              <w:ind w:left="0" w:right="0" w:firstLine="0"/>
              <w:jc w:val="left"/>
            </w:pPr>
          </w:p>
        </w:tc>
        <w:tc>
          <w:tcPr>
            <w:tcW w:w="984" w:type="dxa"/>
            <w:tcBorders>
              <w:top w:val="dashed" w:sz="4" w:space="0" w:color="000000"/>
              <w:left w:val="dashed" w:sz="4" w:space="0" w:color="000000"/>
              <w:bottom w:val="single" w:sz="8" w:space="0" w:color="000000"/>
              <w:right w:val="dashed" w:sz="4" w:space="0" w:color="000000"/>
            </w:tcBorders>
          </w:tcPr>
          <w:p w:rsidR="00E8309B" w:rsidRDefault="00E8309B">
            <w:pPr>
              <w:spacing w:after="160" w:line="259" w:lineRule="auto"/>
              <w:ind w:left="0" w:right="0" w:firstLine="0"/>
              <w:jc w:val="left"/>
            </w:pPr>
          </w:p>
        </w:tc>
        <w:tc>
          <w:tcPr>
            <w:tcW w:w="984" w:type="dxa"/>
            <w:tcBorders>
              <w:top w:val="dashed" w:sz="4" w:space="0" w:color="000000"/>
              <w:left w:val="dashed" w:sz="4" w:space="0" w:color="000000"/>
              <w:bottom w:val="single" w:sz="8" w:space="0" w:color="000000"/>
              <w:right w:val="dashed" w:sz="4" w:space="0" w:color="000000"/>
            </w:tcBorders>
          </w:tcPr>
          <w:p w:rsidR="00E8309B" w:rsidRDefault="00E8309B">
            <w:pPr>
              <w:spacing w:after="160" w:line="259" w:lineRule="auto"/>
              <w:ind w:left="0" w:right="0" w:firstLine="0"/>
              <w:jc w:val="left"/>
            </w:pPr>
          </w:p>
        </w:tc>
        <w:tc>
          <w:tcPr>
            <w:tcW w:w="994" w:type="dxa"/>
            <w:tcBorders>
              <w:top w:val="dashed" w:sz="4" w:space="0" w:color="000000"/>
              <w:left w:val="dashed" w:sz="4" w:space="0" w:color="000000"/>
              <w:bottom w:val="single" w:sz="8" w:space="0" w:color="000000"/>
              <w:right w:val="double" w:sz="6" w:space="0" w:color="000000"/>
            </w:tcBorders>
          </w:tcPr>
          <w:p w:rsidR="00E8309B" w:rsidRDefault="00E8309B">
            <w:pPr>
              <w:spacing w:after="160" w:line="259" w:lineRule="auto"/>
              <w:ind w:left="0" w:right="0" w:firstLine="0"/>
              <w:jc w:val="left"/>
            </w:pPr>
          </w:p>
        </w:tc>
      </w:tr>
      <w:tr w:rsidR="00E8309B">
        <w:trPr>
          <w:gridAfter w:val="1"/>
          <w:wAfter w:w="283" w:type="dxa"/>
          <w:trHeight w:val="250"/>
        </w:trPr>
        <w:tc>
          <w:tcPr>
            <w:tcW w:w="6750" w:type="dxa"/>
            <w:tcBorders>
              <w:top w:val="single" w:sz="8" w:space="0" w:color="000000"/>
              <w:left w:val="double" w:sz="6" w:space="0" w:color="000000"/>
              <w:bottom w:val="single" w:sz="8" w:space="0" w:color="000000"/>
              <w:right w:val="single" w:sz="8" w:space="0" w:color="000000"/>
            </w:tcBorders>
          </w:tcPr>
          <w:p w:rsidR="00E8309B" w:rsidRDefault="009D0949">
            <w:pPr>
              <w:spacing w:after="0" w:line="259" w:lineRule="auto"/>
              <w:ind w:left="0" w:right="58" w:firstLine="0"/>
              <w:jc w:val="center"/>
            </w:pPr>
            <w:r>
              <w:rPr>
                <w:b/>
                <w:sz w:val="20"/>
              </w:rPr>
              <w:t>Табела 1d: Секторски биланси</w:t>
            </w:r>
            <w:r>
              <w:rPr>
                <w:sz w:val="20"/>
              </w:rPr>
              <w:t xml:space="preserve"> </w:t>
            </w:r>
          </w:p>
        </w:tc>
        <w:tc>
          <w:tcPr>
            <w:tcW w:w="1604"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3" w:right="0" w:firstLine="0"/>
              <w:jc w:val="center"/>
            </w:pPr>
            <w:r>
              <w:rPr>
                <w:sz w:val="20"/>
              </w:rPr>
              <w:t xml:space="preserve"> </w:t>
            </w:r>
          </w:p>
        </w:tc>
        <w:tc>
          <w:tcPr>
            <w:tcW w:w="984" w:type="dxa"/>
            <w:tcBorders>
              <w:top w:val="single" w:sz="8" w:space="0" w:color="000000"/>
              <w:left w:val="single" w:sz="8" w:space="0" w:color="000000"/>
              <w:bottom w:val="single" w:sz="8" w:space="0" w:color="000000"/>
              <w:right w:val="nil"/>
            </w:tcBorders>
          </w:tcPr>
          <w:p w:rsidR="00E8309B" w:rsidRDefault="009D0949">
            <w:pPr>
              <w:spacing w:after="0" w:line="259" w:lineRule="auto"/>
              <w:ind w:left="0" w:right="51" w:firstLine="0"/>
              <w:jc w:val="right"/>
            </w:pPr>
            <w:r>
              <w:rPr>
                <w:b/>
                <w:sz w:val="20"/>
              </w:rPr>
              <w:t xml:space="preserve">2018 </w:t>
            </w:r>
          </w:p>
        </w:tc>
        <w:tc>
          <w:tcPr>
            <w:tcW w:w="984" w:type="dxa"/>
            <w:tcBorders>
              <w:top w:val="single" w:sz="8" w:space="0" w:color="000000"/>
              <w:left w:val="nil"/>
              <w:bottom w:val="single" w:sz="8" w:space="0" w:color="000000"/>
              <w:right w:val="nil"/>
            </w:tcBorders>
          </w:tcPr>
          <w:p w:rsidR="00E8309B" w:rsidRDefault="009D0949">
            <w:pPr>
              <w:spacing w:after="0" w:line="259" w:lineRule="auto"/>
              <w:ind w:left="0" w:right="51" w:firstLine="0"/>
              <w:jc w:val="right"/>
            </w:pPr>
            <w:r>
              <w:rPr>
                <w:b/>
                <w:sz w:val="20"/>
              </w:rPr>
              <w:t xml:space="preserve">2019 </w:t>
            </w:r>
          </w:p>
        </w:tc>
        <w:tc>
          <w:tcPr>
            <w:tcW w:w="982" w:type="dxa"/>
            <w:tcBorders>
              <w:top w:val="single" w:sz="8" w:space="0" w:color="000000"/>
              <w:left w:val="nil"/>
              <w:bottom w:val="single" w:sz="8" w:space="0" w:color="000000"/>
              <w:right w:val="nil"/>
            </w:tcBorders>
          </w:tcPr>
          <w:p w:rsidR="00E8309B" w:rsidRDefault="009D0949">
            <w:pPr>
              <w:spacing w:after="0" w:line="259" w:lineRule="auto"/>
              <w:ind w:left="0" w:right="49" w:firstLine="0"/>
              <w:jc w:val="right"/>
            </w:pPr>
            <w:r>
              <w:rPr>
                <w:b/>
                <w:sz w:val="20"/>
              </w:rPr>
              <w:t xml:space="preserve">2020 </w:t>
            </w:r>
          </w:p>
        </w:tc>
        <w:tc>
          <w:tcPr>
            <w:tcW w:w="984" w:type="dxa"/>
            <w:tcBorders>
              <w:top w:val="single" w:sz="8" w:space="0" w:color="000000"/>
              <w:left w:val="nil"/>
              <w:bottom w:val="single" w:sz="8" w:space="0" w:color="000000"/>
              <w:right w:val="nil"/>
            </w:tcBorders>
          </w:tcPr>
          <w:p w:rsidR="00E8309B" w:rsidRDefault="009D0949">
            <w:pPr>
              <w:spacing w:after="0" w:line="259" w:lineRule="auto"/>
              <w:ind w:left="0" w:right="49" w:firstLine="0"/>
              <w:jc w:val="right"/>
            </w:pPr>
            <w:r>
              <w:rPr>
                <w:b/>
                <w:sz w:val="20"/>
              </w:rPr>
              <w:t xml:space="preserve">2021 </w:t>
            </w:r>
          </w:p>
        </w:tc>
        <w:tc>
          <w:tcPr>
            <w:tcW w:w="984" w:type="dxa"/>
            <w:tcBorders>
              <w:top w:val="single" w:sz="8" w:space="0" w:color="000000"/>
              <w:left w:val="nil"/>
              <w:bottom w:val="single" w:sz="8" w:space="0" w:color="000000"/>
              <w:right w:val="nil"/>
            </w:tcBorders>
          </w:tcPr>
          <w:p w:rsidR="00E8309B" w:rsidRDefault="009D0949">
            <w:pPr>
              <w:spacing w:after="0" w:line="259" w:lineRule="auto"/>
              <w:ind w:left="0" w:right="51" w:firstLine="0"/>
              <w:jc w:val="right"/>
            </w:pPr>
            <w:r>
              <w:rPr>
                <w:b/>
                <w:sz w:val="20"/>
              </w:rPr>
              <w:t xml:space="preserve">2022 </w:t>
            </w:r>
          </w:p>
        </w:tc>
        <w:tc>
          <w:tcPr>
            <w:tcW w:w="994" w:type="dxa"/>
            <w:tcBorders>
              <w:top w:val="single" w:sz="8" w:space="0" w:color="000000"/>
              <w:left w:val="nil"/>
              <w:bottom w:val="single" w:sz="8" w:space="0" w:color="000000"/>
              <w:right w:val="double" w:sz="6" w:space="0" w:color="000000"/>
            </w:tcBorders>
          </w:tcPr>
          <w:p w:rsidR="00E8309B" w:rsidRDefault="009D0949">
            <w:pPr>
              <w:spacing w:after="0" w:line="259" w:lineRule="auto"/>
              <w:ind w:left="0" w:right="49" w:firstLine="0"/>
              <w:jc w:val="right"/>
            </w:pPr>
            <w:r>
              <w:rPr>
                <w:b/>
                <w:sz w:val="20"/>
              </w:rPr>
              <w:t xml:space="preserve">2023 </w:t>
            </w:r>
          </w:p>
        </w:tc>
      </w:tr>
      <w:tr w:rsidR="00E8309B">
        <w:trPr>
          <w:gridAfter w:val="1"/>
          <w:wAfter w:w="283" w:type="dxa"/>
          <w:trHeight w:val="245"/>
        </w:trPr>
        <w:tc>
          <w:tcPr>
            <w:tcW w:w="6750" w:type="dxa"/>
            <w:tcBorders>
              <w:top w:val="single" w:sz="8" w:space="0" w:color="000000"/>
              <w:left w:val="double" w:sz="6" w:space="0" w:color="000000"/>
              <w:bottom w:val="dashed" w:sz="4" w:space="0" w:color="000000"/>
              <w:right w:val="single" w:sz="8" w:space="0" w:color="000000"/>
            </w:tcBorders>
          </w:tcPr>
          <w:p w:rsidR="00E8309B" w:rsidRDefault="009D0949">
            <w:pPr>
              <w:spacing w:after="0" w:line="259" w:lineRule="auto"/>
              <w:ind w:left="0" w:right="0" w:firstLine="0"/>
              <w:jc w:val="left"/>
            </w:pPr>
            <w:r>
              <w:rPr>
                <w:sz w:val="20"/>
              </w:rPr>
              <w:t>1. Нето дате/узете позајмице у односу на остатак света</w:t>
            </w:r>
            <w:r>
              <w:rPr>
                <w:sz w:val="20"/>
              </w:rPr>
              <w:t xml:space="preserve"> </w:t>
            </w:r>
          </w:p>
        </w:tc>
        <w:tc>
          <w:tcPr>
            <w:tcW w:w="1604" w:type="dxa"/>
            <w:tcBorders>
              <w:top w:val="single" w:sz="8" w:space="0" w:color="000000"/>
              <w:left w:val="single" w:sz="8" w:space="0" w:color="000000"/>
              <w:bottom w:val="dashed" w:sz="4" w:space="0" w:color="000000"/>
              <w:right w:val="single" w:sz="8" w:space="0" w:color="000000"/>
            </w:tcBorders>
          </w:tcPr>
          <w:p w:rsidR="00E8309B" w:rsidRDefault="009D0949">
            <w:pPr>
              <w:tabs>
                <w:tab w:val="center" w:pos="695"/>
                <w:tab w:val="center" w:pos="1121"/>
              </w:tabs>
              <w:spacing w:after="0" w:line="259" w:lineRule="auto"/>
              <w:ind w:left="0" w:right="0" w:firstLine="0"/>
              <w:jc w:val="left"/>
            </w:pPr>
            <w:r>
              <w:rPr>
                <w:rFonts w:ascii="Calibri" w:eastAsia="Calibri" w:hAnsi="Calibri" w:cs="Calibri"/>
                <w:sz w:val="22"/>
              </w:rPr>
              <w:tab/>
            </w:r>
            <w:r>
              <w:rPr>
                <w:sz w:val="20"/>
              </w:rPr>
              <w:t xml:space="preserve">млрд ЕУР </w:t>
            </w:r>
            <w:r>
              <w:rPr>
                <w:sz w:val="20"/>
              </w:rPr>
              <w:tab/>
              <w:t xml:space="preserve"> </w:t>
            </w:r>
          </w:p>
        </w:tc>
        <w:tc>
          <w:tcPr>
            <w:tcW w:w="984" w:type="dxa"/>
            <w:tcBorders>
              <w:top w:val="single" w:sz="8" w:space="0" w:color="000000"/>
              <w:left w:val="single" w:sz="8" w:space="0" w:color="000000"/>
              <w:bottom w:val="dashed" w:sz="4" w:space="0" w:color="000000"/>
              <w:right w:val="dashed" w:sz="4" w:space="0" w:color="000000"/>
            </w:tcBorders>
          </w:tcPr>
          <w:p w:rsidR="00E8309B" w:rsidRDefault="009D0949">
            <w:pPr>
              <w:spacing w:after="0" w:line="259" w:lineRule="auto"/>
              <w:ind w:left="0" w:right="54" w:firstLine="0"/>
              <w:jc w:val="right"/>
            </w:pPr>
            <w:r>
              <w:rPr>
                <w:sz w:val="20"/>
              </w:rPr>
              <w:t xml:space="preserve">-2,1 </w:t>
            </w:r>
          </w:p>
        </w:tc>
        <w:tc>
          <w:tcPr>
            <w:tcW w:w="984" w:type="dxa"/>
            <w:tcBorders>
              <w:top w:val="single" w:sz="8" w:space="0" w:color="000000"/>
              <w:left w:val="dashed" w:sz="4" w:space="0" w:color="000000"/>
              <w:bottom w:val="dashed" w:sz="4" w:space="0" w:color="000000"/>
              <w:right w:val="dashed" w:sz="4" w:space="0" w:color="000000"/>
            </w:tcBorders>
          </w:tcPr>
          <w:p w:rsidR="00E8309B" w:rsidRDefault="009D0949">
            <w:pPr>
              <w:spacing w:after="0" w:line="259" w:lineRule="auto"/>
              <w:ind w:left="0" w:right="54" w:firstLine="0"/>
              <w:jc w:val="right"/>
            </w:pPr>
            <w:r>
              <w:rPr>
                <w:sz w:val="20"/>
              </w:rPr>
              <w:t xml:space="preserve">-3,3 </w:t>
            </w:r>
          </w:p>
        </w:tc>
        <w:tc>
          <w:tcPr>
            <w:tcW w:w="982" w:type="dxa"/>
            <w:tcBorders>
              <w:top w:val="single" w:sz="8" w:space="0" w:color="000000"/>
              <w:left w:val="dashed" w:sz="4" w:space="0" w:color="000000"/>
              <w:bottom w:val="dashed" w:sz="4" w:space="0" w:color="000000"/>
              <w:right w:val="dashed" w:sz="4" w:space="0" w:color="000000"/>
            </w:tcBorders>
          </w:tcPr>
          <w:p w:rsidR="00E8309B" w:rsidRDefault="009D0949">
            <w:pPr>
              <w:spacing w:after="0" w:line="259" w:lineRule="auto"/>
              <w:ind w:left="0" w:right="51" w:firstLine="0"/>
              <w:jc w:val="right"/>
            </w:pPr>
            <w:r>
              <w:rPr>
                <w:sz w:val="20"/>
              </w:rPr>
              <w:t xml:space="preserve">-2,3 </w:t>
            </w:r>
          </w:p>
        </w:tc>
        <w:tc>
          <w:tcPr>
            <w:tcW w:w="984" w:type="dxa"/>
            <w:tcBorders>
              <w:top w:val="single" w:sz="8" w:space="0" w:color="000000"/>
              <w:left w:val="dashed" w:sz="4" w:space="0" w:color="000000"/>
              <w:bottom w:val="dashed" w:sz="4" w:space="0" w:color="000000"/>
              <w:right w:val="dashed" w:sz="4" w:space="0" w:color="000000"/>
            </w:tcBorders>
          </w:tcPr>
          <w:p w:rsidR="00E8309B" w:rsidRDefault="009D0949">
            <w:pPr>
              <w:spacing w:after="0" w:line="259" w:lineRule="auto"/>
              <w:ind w:left="0" w:right="51" w:firstLine="0"/>
              <w:jc w:val="right"/>
            </w:pPr>
            <w:r>
              <w:rPr>
                <w:sz w:val="20"/>
              </w:rPr>
              <w:t xml:space="preserve">-2,8 </w:t>
            </w:r>
          </w:p>
        </w:tc>
        <w:tc>
          <w:tcPr>
            <w:tcW w:w="984" w:type="dxa"/>
            <w:tcBorders>
              <w:top w:val="single" w:sz="8" w:space="0" w:color="000000"/>
              <w:left w:val="dashed" w:sz="4" w:space="0" w:color="000000"/>
              <w:bottom w:val="dashed" w:sz="4" w:space="0" w:color="000000"/>
              <w:right w:val="dashed" w:sz="4" w:space="0" w:color="000000"/>
            </w:tcBorders>
          </w:tcPr>
          <w:p w:rsidR="00E8309B" w:rsidRDefault="009D0949">
            <w:pPr>
              <w:spacing w:after="0" w:line="259" w:lineRule="auto"/>
              <w:ind w:left="0" w:right="54" w:firstLine="0"/>
              <w:jc w:val="right"/>
            </w:pPr>
            <w:r>
              <w:rPr>
                <w:sz w:val="20"/>
              </w:rPr>
              <w:t xml:space="preserve">-2,7 </w:t>
            </w:r>
          </w:p>
        </w:tc>
        <w:tc>
          <w:tcPr>
            <w:tcW w:w="994" w:type="dxa"/>
            <w:tcBorders>
              <w:top w:val="single" w:sz="8" w:space="0" w:color="000000"/>
              <w:left w:val="dashed" w:sz="4" w:space="0" w:color="000000"/>
              <w:bottom w:val="dashed" w:sz="4" w:space="0" w:color="000000"/>
              <w:right w:val="double" w:sz="6" w:space="0" w:color="000000"/>
            </w:tcBorders>
          </w:tcPr>
          <w:p w:rsidR="00E8309B" w:rsidRDefault="009D0949">
            <w:pPr>
              <w:spacing w:after="0" w:line="259" w:lineRule="auto"/>
              <w:ind w:left="0" w:right="51" w:firstLine="0"/>
              <w:jc w:val="right"/>
            </w:pPr>
            <w:r>
              <w:rPr>
                <w:sz w:val="20"/>
              </w:rPr>
              <w:t xml:space="preserve">-2,8 </w:t>
            </w:r>
          </w:p>
        </w:tc>
      </w:tr>
      <w:tr w:rsidR="00E8309B">
        <w:trPr>
          <w:gridAfter w:val="1"/>
          <w:wAfter w:w="283" w:type="dxa"/>
          <w:trHeight w:val="240"/>
        </w:trPr>
        <w:tc>
          <w:tcPr>
            <w:tcW w:w="6750" w:type="dxa"/>
            <w:tcBorders>
              <w:top w:val="dashed" w:sz="4" w:space="0" w:color="000000"/>
              <w:left w:val="double" w:sz="6" w:space="0" w:color="000000"/>
              <w:bottom w:val="dashed" w:sz="4" w:space="0" w:color="000000"/>
              <w:right w:val="single" w:sz="8" w:space="0" w:color="000000"/>
            </w:tcBorders>
          </w:tcPr>
          <w:p w:rsidR="00E8309B" w:rsidRDefault="009D0949">
            <w:pPr>
              <w:spacing w:after="0" w:line="259" w:lineRule="auto"/>
              <w:ind w:left="0" w:right="0" w:firstLine="0"/>
              <w:jc w:val="left"/>
            </w:pPr>
            <w:r>
              <w:rPr>
                <w:i/>
                <w:sz w:val="20"/>
              </w:rPr>
              <w:t xml:space="preserve">од чега: </w:t>
            </w:r>
          </w:p>
        </w:tc>
        <w:tc>
          <w:tcPr>
            <w:tcW w:w="1604" w:type="dxa"/>
            <w:tcBorders>
              <w:top w:val="dashed" w:sz="4" w:space="0" w:color="000000"/>
              <w:left w:val="single" w:sz="8" w:space="0" w:color="000000"/>
              <w:bottom w:val="dashed" w:sz="4" w:space="0" w:color="000000"/>
              <w:right w:val="single" w:sz="8" w:space="0" w:color="000000"/>
            </w:tcBorders>
          </w:tcPr>
          <w:p w:rsidR="00E8309B" w:rsidRDefault="00E8309B">
            <w:pPr>
              <w:spacing w:after="160" w:line="259" w:lineRule="auto"/>
              <w:ind w:left="0" w:right="0" w:firstLine="0"/>
              <w:jc w:val="left"/>
            </w:pPr>
          </w:p>
        </w:tc>
        <w:tc>
          <w:tcPr>
            <w:tcW w:w="984" w:type="dxa"/>
            <w:tcBorders>
              <w:top w:val="dashed" w:sz="4" w:space="0" w:color="000000"/>
              <w:left w:val="single" w:sz="8" w:space="0" w:color="000000"/>
              <w:bottom w:val="dashed" w:sz="4" w:space="0" w:color="000000"/>
              <w:right w:val="dashed" w:sz="4" w:space="0" w:color="000000"/>
            </w:tcBorders>
          </w:tcPr>
          <w:p w:rsidR="00E8309B" w:rsidRDefault="009D0949">
            <w:pPr>
              <w:spacing w:after="0" w:line="259" w:lineRule="auto"/>
              <w:ind w:left="0" w:right="2" w:firstLine="0"/>
              <w:jc w:val="right"/>
            </w:pPr>
            <w:r>
              <w:rPr>
                <w:sz w:val="20"/>
              </w:rPr>
              <w:t xml:space="preserve"> </w:t>
            </w:r>
          </w:p>
        </w:tc>
        <w:tc>
          <w:tcPr>
            <w:tcW w:w="984"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2" w:firstLine="0"/>
              <w:jc w:val="right"/>
            </w:pPr>
            <w:r>
              <w:rPr>
                <w:sz w:val="20"/>
              </w:rPr>
              <w:t xml:space="preserve"> </w:t>
            </w:r>
          </w:p>
        </w:tc>
        <w:tc>
          <w:tcPr>
            <w:tcW w:w="982"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0" w:firstLine="0"/>
              <w:jc w:val="right"/>
            </w:pPr>
            <w:r>
              <w:rPr>
                <w:sz w:val="20"/>
              </w:rPr>
              <w:t xml:space="preserve"> </w:t>
            </w:r>
          </w:p>
        </w:tc>
        <w:tc>
          <w:tcPr>
            <w:tcW w:w="984"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0" w:firstLine="0"/>
              <w:jc w:val="right"/>
            </w:pPr>
            <w:r>
              <w:rPr>
                <w:sz w:val="20"/>
              </w:rPr>
              <w:t xml:space="preserve"> </w:t>
            </w:r>
          </w:p>
        </w:tc>
        <w:tc>
          <w:tcPr>
            <w:tcW w:w="984"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2" w:firstLine="0"/>
              <w:jc w:val="right"/>
            </w:pPr>
            <w:r>
              <w:rPr>
                <w:sz w:val="20"/>
              </w:rPr>
              <w:t xml:space="preserve"> </w:t>
            </w:r>
          </w:p>
        </w:tc>
        <w:tc>
          <w:tcPr>
            <w:tcW w:w="994" w:type="dxa"/>
            <w:tcBorders>
              <w:top w:val="dashed" w:sz="4" w:space="0" w:color="000000"/>
              <w:left w:val="dashed" w:sz="4" w:space="0" w:color="000000"/>
              <w:bottom w:val="dashed" w:sz="4" w:space="0" w:color="000000"/>
              <w:right w:val="double" w:sz="6" w:space="0" w:color="000000"/>
            </w:tcBorders>
          </w:tcPr>
          <w:p w:rsidR="00E8309B" w:rsidRDefault="009D0949">
            <w:pPr>
              <w:spacing w:after="0" w:line="259" w:lineRule="auto"/>
              <w:ind w:left="0" w:right="0" w:firstLine="0"/>
              <w:jc w:val="right"/>
            </w:pPr>
            <w:r>
              <w:rPr>
                <w:sz w:val="20"/>
              </w:rPr>
              <w:t xml:space="preserve"> </w:t>
            </w:r>
          </w:p>
        </w:tc>
      </w:tr>
      <w:tr w:rsidR="00E8309B">
        <w:trPr>
          <w:gridAfter w:val="1"/>
          <w:wAfter w:w="283" w:type="dxa"/>
          <w:trHeight w:val="240"/>
        </w:trPr>
        <w:tc>
          <w:tcPr>
            <w:tcW w:w="6750" w:type="dxa"/>
            <w:tcBorders>
              <w:top w:val="dashed" w:sz="4" w:space="0" w:color="000000"/>
              <w:left w:val="double" w:sz="6" w:space="0" w:color="000000"/>
              <w:bottom w:val="dashed" w:sz="4" w:space="0" w:color="000000"/>
              <w:right w:val="single" w:sz="8" w:space="0" w:color="000000"/>
            </w:tcBorders>
          </w:tcPr>
          <w:p w:rsidR="00E8309B" w:rsidRDefault="009D0949">
            <w:pPr>
              <w:spacing w:after="0" w:line="259" w:lineRule="auto"/>
              <w:ind w:left="0" w:right="0" w:firstLine="0"/>
              <w:jc w:val="left"/>
            </w:pPr>
            <w:r>
              <w:rPr>
                <w:i/>
                <w:sz w:val="20"/>
              </w:rPr>
              <w:t xml:space="preserve">- Биланс робе и услуга </w:t>
            </w:r>
          </w:p>
        </w:tc>
        <w:tc>
          <w:tcPr>
            <w:tcW w:w="1604" w:type="dxa"/>
            <w:tcBorders>
              <w:top w:val="dashed" w:sz="4" w:space="0" w:color="000000"/>
              <w:left w:val="single" w:sz="8" w:space="0" w:color="000000"/>
              <w:bottom w:val="dashed" w:sz="4" w:space="0" w:color="000000"/>
              <w:right w:val="single" w:sz="8" w:space="0" w:color="000000"/>
            </w:tcBorders>
          </w:tcPr>
          <w:p w:rsidR="00E8309B" w:rsidRDefault="009D0949">
            <w:pPr>
              <w:spacing w:after="0" w:line="259" w:lineRule="auto"/>
              <w:ind w:left="0" w:right="50" w:firstLine="0"/>
              <w:jc w:val="center"/>
            </w:pPr>
            <w:r>
              <w:rPr>
                <w:sz w:val="20"/>
              </w:rPr>
              <w:t xml:space="preserve">млрд ЕУР </w:t>
            </w:r>
          </w:p>
        </w:tc>
        <w:tc>
          <w:tcPr>
            <w:tcW w:w="984" w:type="dxa"/>
            <w:tcBorders>
              <w:top w:val="dashed" w:sz="4" w:space="0" w:color="000000"/>
              <w:left w:val="single" w:sz="8" w:space="0" w:color="000000"/>
              <w:bottom w:val="dashed" w:sz="4" w:space="0" w:color="000000"/>
              <w:right w:val="dashed" w:sz="4" w:space="0" w:color="000000"/>
            </w:tcBorders>
          </w:tcPr>
          <w:p w:rsidR="00E8309B" w:rsidRDefault="009D0949">
            <w:pPr>
              <w:spacing w:after="0" w:line="259" w:lineRule="auto"/>
              <w:ind w:left="0" w:right="54" w:firstLine="0"/>
              <w:jc w:val="right"/>
            </w:pPr>
            <w:r>
              <w:rPr>
                <w:sz w:val="20"/>
              </w:rPr>
              <w:t xml:space="preserve">-4,1 </w:t>
            </w:r>
          </w:p>
        </w:tc>
        <w:tc>
          <w:tcPr>
            <w:tcW w:w="984"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54" w:firstLine="0"/>
              <w:jc w:val="right"/>
            </w:pPr>
            <w:r>
              <w:rPr>
                <w:sz w:val="20"/>
              </w:rPr>
              <w:t xml:space="preserve">-4,6 </w:t>
            </w:r>
          </w:p>
        </w:tc>
        <w:tc>
          <w:tcPr>
            <w:tcW w:w="982"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51" w:firstLine="0"/>
              <w:jc w:val="right"/>
            </w:pPr>
            <w:r>
              <w:rPr>
                <w:sz w:val="20"/>
              </w:rPr>
              <w:t xml:space="preserve">-4,0 </w:t>
            </w:r>
          </w:p>
        </w:tc>
        <w:tc>
          <w:tcPr>
            <w:tcW w:w="984"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51" w:firstLine="0"/>
              <w:jc w:val="right"/>
            </w:pPr>
            <w:r>
              <w:rPr>
                <w:sz w:val="20"/>
              </w:rPr>
              <w:t xml:space="preserve">-4,4 </w:t>
            </w:r>
          </w:p>
        </w:tc>
        <w:tc>
          <w:tcPr>
            <w:tcW w:w="984"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54" w:firstLine="0"/>
              <w:jc w:val="right"/>
            </w:pPr>
            <w:r>
              <w:rPr>
                <w:sz w:val="20"/>
              </w:rPr>
              <w:t xml:space="preserve">-4,3 </w:t>
            </w:r>
          </w:p>
        </w:tc>
        <w:tc>
          <w:tcPr>
            <w:tcW w:w="994" w:type="dxa"/>
            <w:tcBorders>
              <w:top w:val="dashed" w:sz="4" w:space="0" w:color="000000"/>
              <w:left w:val="dashed" w:sz="4" w:space="0" w:color="000000"/>
              <w:bottom w:val="dashed" w:sz="4" w:space="0" w:color="000000"/>
              <w:right w:val="double" w:sz="6" w:space="0" w:color="000000"/>
            </w:tcBorders>
          </w:tcPr>
          <w:p w:rsidR="00E8309B" w:rsidRDefault="009D0949">
            <w:pPr>
              <w:spacing w:after="0" w:line="259" w:lineRule="auto"/>
              <w:ind w:left="0" w:right="51" w:firstLine="0"/>
              <w:jc w:val="right"/>
            </w:pPr>
            <w:r>
              <w:rPr>
                <w:sz w:val="20"/>
              </w:rPr>
              <w:t xml:space="preserve">-4,2 </w:t>
            </w:r>
          </w:p>
        </w:tc>
      </w:tr>
      <w:tr w:rsidR="00E8309B">
        <w:trPr>
          <w:gridAfter w:val="1"/>
          <w:wAfter w:w="283" w:type="dxa"/>
          <w:trHeight w:val="240"/>
        </w:trPr>
        <w:tc>
          <w:tcPr>
            <w:tcW w:w="6750" w:type="dxa"/>
            <w:tcBorders>
              <w:top w:val="dashed" w:sz="4" w:space="0" w:color="000000"/>
              <w:left w:val="double" w:sz="6" w:space="0" w:color="000000"/>
              <w:bottom w:val="dashed" w:sz="4" w:space="0" w:color="000000"/>
              <w:right w:val="single" w:sz="8" w:space="0" w:color="000000"/>
            </w:tcBorders>
          </w:tcPr>
          <w:p w:rsidR="00E8309B" w:rsidRDefault="009D0949">
            <w:pPr>
              <w:spacing w:after="0" w:line="259" w:lineRule="auto"/>
              <w:ind w:left="0" w:right="0" w:firstLine="0"/>
              <w:jc w:val="left"/>
            </w:pPr>
            <w:r>
              <w:rPr>
                <w:i/>
                <w:sz w:val="20"/>
              </w:rPr>
              <w:t xml:space="preserve">- Биланс примарног дохотка и трансфера </w:t>
            </w:r>
          </w:p>
        </w:tc>
        <w:tc>
          <w:tcPr>
            <w:tcW w:w="1604" w:type="dxa"/>
            <w:tcBorders>
              <w:top w:val="dashed" w:sz="4" w:space="0" w:color="000000"/>
              <w:left w:val="single" w:sz="8" w:space="0" w:color="000000"/>
              <w:bottom w:val="dashed" w:sz="4" w:space="0" w:color="000000"/>
              <w:right w:val="single" w:sz="8" w:space="0" w:color="000000"/>
            </w:tcBorders>
          </w:tcPr>
          <w:p w:rsidR="00E8309B" w:rsidRDefault="009D0949">
            <w:pPr>
              <w:spacing w:after="0" w:line="259" w:lineRule="auto"/>
              <w:ind w:left="0" w:right="50" w:firstLine="0"/>
              <w:jc w:val="center"/>
            </w:pPr>
            <w:r>
              <w:rPr>
                <w:sz w:val="20"/>
              </w:rPr>
              <w:t xml:space="preserve">млрд ЕУР </w:t>
            </w:r>
          </w:p>
        </w:tc>
        <w:tc>
          <w:tcPr>
            <w:tcW w:w="984" w:type="dxa"/>
            <w:tcBorders>
              <w:top w:val="dashed" w:sz="4" w:space="0" w:color="000000"/>
              <w:left w:val="single" w:sz="8" w:space="0" w:color="000000"/>
              <w:bottom w:val="dashed" w:sz="4" w:space="0" w:color="000000"/>
              <w:right w:val="dashed" w:sz="4" w:space="0" w:color="000000"/>
            </w:tcBorders>
          </w:tcPr>
          <w:p w:rsidR="00E8309B" w:rsidRDefault="009D0949">
            <w:pPr>
              <w:spacing w:after="0" w:line="259" w:lineRule="auto"/>
              <w:ind w:left="0" w:right="51" w:firstLine="0"/>
              <w:jc w:val="right"/>
            </w:pPr>
            <w:r>
              <w:rPr>
                <w:sz w:val="20"/>
              </w:rPr>
              <w:t xml:space="preserve">2,0 </w:t>
            </w:r>
          </w:p>
        </w:tc>
        <w:tc>
          <w:tcPr>
            <w:tcW w:w="984"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51" w:firstLine="0"/>
              <w:jc w:val="right"/>
            </w:pPr>
            <w:r>
              <w:rPr>
                <w:sz w:val="20"/>
              </w:rPr>
              <w:t xml:space="preserve">1,5 </w:t>
            </w:r>
          </w:p>
        </w:tc>
        <w:tc>
          <w:tcPr>
            <w:tcW w:w="982"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49" w:firstLine="0"/>
              <w:jc w:val="right"/>
            </w:pPr>
            <w:r>
              <w:rPr>
                <w:sz w:val="20"/>
              </w:rPr>
              <w:t xml:space="preserve">1,7 </w:t>
            </w:r>
          </w:p>
        </w:tc>
        <w:tc>
          <w:tcPr>
            <w:tcW w:w="984"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49" w:firstLine="0"/>
              <w:jc w:val="right"/>
            </w:pPr>
            <w:r>
              <w:rPr>
                <w:sz w:val="20"/>
              </w:rPr>
              <w:t xml:space="preserve">1,6 </w:t>
            </w:r>
          </w:p>
        </w:tc>
        <w:tc>
          <w:tcPr>
            <w:tcW w:w="984"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51" w:firstLine="0"/>
              <w:jc w:val="right"/>
            </w:pPr>
            <w:r>
              <w:rPr>
                <w:sz w:val="20"/>
              </w:rPr>
              <w:t xml:space="preserve">1,6 </w:t>
            </w:r>
          </w:p>
        </w:tc>
        <w:tc>
          <w:tcPr>
            <w:tcW w:w="994" w:type="dxa"/>
            <w:tcBorders>
              <w:top w:val="dashed" w:sz="4" w:space="0" w:color="000000"/>
              <w:left w:val="dashed" w:sz="4" w:space="0" w:color="000000"/>
              <w:bottom w:val="dashed" w:sz="4" w:space="0" w:color="000000"/>
              <w:right w:val="double" w:sz="6" w:space="0" w:color="000000"/>
            </w:tcBorders>
          </w:tcPr>
          <w:p w:rsidR="00E8309B" w:rsidRDefault="009D0949">
            <w:pPr>
              <w:spacing w:after="0" w:line="259" w:lineRule="auto"/>
              <w:ind w:left="0" w:right="49" w:firstLine="0"/>
              <w:jc w:val="right"/>
            </w:pPr>
            <w:r>
              <w:rPr>
                <w:sz w:val="20"/>
              </w:rPr>
              <w:t xml:space="preserve">1,5 </w:t>
            </w:r>
          </w:p>
        </w:tc>
      </w:tr>
      <w:tr w:rsidR="00E8309B">
        <w:trPr>
          <w:gridAfter w:val="1"/>
          <w:wAfter w:w="283" w:type="dxa"/>
          <w:trHeight w:val="245"/>
        </w:trPr>
        <w:tc>
          <w:tcPr>
            <w:tcW w:w="6750" w:type="dxa"/>
            <w:tcBorders>
              <w:top w:val="dashed" w:sz="4" w:space="0" w:color="000000"/>
              <w:left w:val="double" w:sz="6" w:space="0" w:color="000000"/>
              <w:bottom w:val="single" w:sz="8" w:space="0" w:color="000000"/>
              <w:right w:val="single" w:sz="8" w:space="0" w:color="000000"/>
            </w:tcBorders>
          </w:tcPr>
          <w:p w:rsidR="00E8309B" w:rsidRDefault="009D0949">
            <w:pPr>
              <w:spacing w:after="0" w:line="259" w:lineRule="auto"/>
              <w:ind w:left="0" w:right="0" w:firstLine="0"/>
              <w:jc w:val="left"/>
            </w:pPr>
            <w:r>
              <w:rPr>
                <w:i/>
                <w:sz w:val="20"/>
              </w:rPr>
              <w:t xml:space="preserve">- </w:t>
            </w:r>
            <w:r>
              <w:rPr>
                <w:i/>
                <w:sz w:val="20"/>
              </w:rPr>
              <w:t xml:space="preserve">Биланс капиталних трансакција </w:t>
            </w:r>
          </w:p>
        </w:tc>
        <w:tc>
          <w:tcPr>
            <w:tcW w:w="1604" w:type="dxa"/>
            <w:tcBorders>
              <w:top w:val="dashed" w:sz="4" w:space="0" w:color="000000"/>
              <w:left w:val="single" w:sz="8" w:space="0" w:color="000000"/>
              <w:bottom w:val="single" w:sz="8" w:space="0" w:color="000000"/>
              <w:right w:val="single" w:sz="8" w:space="0" w:color="000000"/>
            </w:tcBorders>
          </w:tcPr>
          <w:p w:rsidR="00E8309B" w:rsidRDefault="009D0949">
            <w:pPr>
              <w:spacing w:after="0" w:line="259" w:lineRule="auto"/>
              <w:ind w:left="0" w:right="50" w:firstLine="0"/>
              <w:jc w:val="center"/>
            </w:pPr>
            <w:r>
              <w:rPr>
                <w:sz w:val="20"/>
              </w:rPr>
              <w:t xml:space="preserve">млрд ЕУР </w:t>
            </w:r>
          </w:p>
        </w:tc>
        <w:tc>
          <w:tcPr>
            <w:tcW w:w="984" w:type="dxa"/>
            <w:tcBorders>
              <w:top w:val="dashed" w:sz="4" w:space="0" w:color="000000"/>
              <w:left w:val="single" w:sz="8" w:space="0" w:color="000000"/>
              <w:bottom w:val="single" w:sz="8" w:space="0" w:color="000000"/>
              <w:right w:val="dashed" w:sz="4" w:space="0" w:color="000000"/>
            </w:tcBorders>
          </w:tcPr>
          <w:p w:rsidR="00E8309B" w:rsidRDefault="009D0949">
            <w:pPr>
              <w:spacing w:after="0" w:line="259" w:lineRule="auto"/>
              <w:ind w:left="0" w:right="51" w:firstLine="0"/>
              <w:jc w:val="right"/>
            </w:pPr>
            <w:r>
              <w:rPr>
                <w:sz w:val="20"/>
              </w:rPr>
              <w:t xml:space="preserve">0,0 </w:t>
            </w:r>
          </w:p>
        </w:tc>
        <w:tc>
          <w:tcPr>
            <w:tcW w:w="984" w:type="dxa"/>
            <w:tcBorders>
              <w:top w:val="dashed" w:sz="4" w:space="0" w:color="000000"/>
              <w:left w:val="dashed" w:sz="4" w:space="0" w:color="000000"/>
              <w:bottom w:val="single" w:sz="8" w:space="0" w:color="000000"/>
              <w:right w:val="dashed" w:sz="4" w:space="0" w:color="000000"/>
            </w:tcBorders>
          </w:tcPr>
          <w:p w:rsidR="00E8309B" w:rsidRDefault="009D0949">
            <w:pPr>
              <w:spacing w:after="0" w:line="259" w:lineRule="auto"/>
              <w:ind w:left="0" w:right="54" w:firstLine="0"/>
              <w:jc w:val="right"/>
            </w:pPr>
            <w:r>
              <w:rPr>
                <w:sz w:val="20"/>
              </w:rPr>
              <w:t xml:space="preserve">-0,1 </w:t>
            </w:r>
          </w:p>
        </w:tc>
        <w:tc>
          <w:tcPr>
            <w:tcW w:w="982" w:type="dxa"/>
            <w:tcBorders>
              <w:top w:val="dashed" w:sz="4" w:space="0" w:color="000000"/>
              <w:left w:val="dashed" w:sz="4" w:space="0" w:color="000000"/>
              <w:bottom w:val="single" w:sz="8" w:space="0" w:color="000000"/>
              <w:right w:val="dashed" w:sz="4" w:space="0" w:color="000000"/>
            </w:tcBorders>
          </w:tcPr>
          <w:p w:rsidR="00E8309B" w:rsidRDefault="009D0949">
            <w:pPr>
              <w:spacing w:after="0" w:line="259" w:lineRule="auto"/>
              <w:ind w:left="0" w:right="49" w:firstLine="0"/>
              <w:jc w:val="right"/>
            </w:pPr>
            <w:r>
              <w:rPr>
                <w:sz w:val="20"/>
              </w:rPr>
              <w:t xml:space="preserve">0,0 </w:t>
            </w:r>
          </w:p>
        </w:tc>
        <w:tc>
          <w:tcPr>
            <w:tcW w:w="984" w:type="dxa"/>
            <w:tcBorders>
              <w:top w:val="dashed" w:sz="4" w:space="0" w:color="000000"/>
              <w:left w:val="dashed" w:sz="4" w:space="0" w:color="000000"/>
              <w:bottom w:val="single" w:sz="8" w:space="0" w:color="000000"/>
              <w:right w:val="dashed" w:sz="4" w:space="0" w:color="000000"/>
            </w:tcBorders>
          </w:tcPr>
          <w:p w:rsidR="00E8309B" w:rsidRDefault="009D0949">
            <w:pPr>
              <w:spacing w:after="0" w:line="259" w:lineRule="auto"/>
              <w:ind w:left="0" w:right="49" w:firstLine="0"/>
              <w:jc w:val="right"/>
            </w:pPr>
            <w:r>
              <w:rPr>
                <w:sz w:val="20"/>
              </w:rPr>
              <w:t xml:space="preserve">0,0 </w:t>
            </w:r>
          </w:p>
        </w:tc>
        <w:tc>
          <w:tcPr>
            <w:tcW w:w="984" w:type="dxa"/>
            <w:tcBorders>
              <w:top w:val="dashed" w:sz="4" w:space="0" w:color="000000"/>
              <w:left w:val="dashed" w:sz="4" w:space="0" w:color="000000"/>
              <w:bottom w:val="single" w:sz="8" w:space="0" w:color="000000"/>
              <w:right w:val="dashed" w:sz="4" w:space="0" w:color="000000"/>
            </w:tcBorders>
          </w:tcPr>
          <w:p w:rsidR="00E8309B" w:rsidRDefault="009D0949">
            <w:pPr>
              <w:spacing w:after="0" w:line="259" w:lineRule="auto"/>
              <w:ind w:left="0" w:right="51" w:firstLine="0"/>
              <w:jc w:val="right"/>
            </w:pPr>
            <w:r>
              <w:rPr>
                <w:sz w:val="20"/>
              </w:rPr>
              <w:t xml:space="preserve">0,0 </w:t>
            </w:r>
          </w:p>
        </w:tc>
        <w:tc>
          <w:tcPr>
            <w:tcW w:w="994" w:type="dxa"/>
            <w:tcBorders>
              <w:top w:val="dashed" w:sz="4" w:space="0" w:color="000000"/>
              <w:left w:val="dashed" w:sz="4" w:space="0" w:color="000000"/>
              <w:bottom w:val="single" w:sz="8" w:space="0" w:color="000000"/>
              <w:right w:val="double" w:sz="6" w:space="0" w:color="000000"/>
            </w:tcBorders>
          </w:tcPr>
          <w:p w:rsidR="00E8309B" w:rsidRDefault="009D0949">
            <w:pPr>
              <w:spacing w:after="0" w:line="259" w:lineRule="auto"/>
              <w:ind w:left="0" w:right="49" w:firstLine="0"/>
              <w:jc w:val="right"/>
            </w:pPr>
            <w:r>
              <w:rPr>
                <w:sz w:val="20"/>
              </w:rPr>
              <w:t xml:space="preserve">0,0 </w:t>
            </w:r>
          </w:p>
        </w:tc>
      </w:tr>
      <w:tr w:rsidR="00E8309B">
        <w:trPr>
          <w:gridAfter w:val="1"/>
          <w:wAfter w:w="283" w:type="dxa"/>
          <w:trHeight w:val="250"/>
        </w:trPr>
        <w:tc>
          <w:tcPr>
            <w:tcW w:w="6750" w:type="dxa"/>
            <w:tcBorders>
              <w:top w:val="single" w:sz="8" w:space="0" w:color="000000"/>
              <w:left w:val="double" w:sz="6" w:space="0" w:color="000000"/>
              <w:bottom w:val="single" w:sz="8" w:space="0" w:color="000000"/>
              <w:right w:val="single" w:sz="8" w:space="0" w:color="000000"/>
            </w:tcBorders>
          </w:tcPr>
          <w:p w:rsidR="00E8309B" w:rsidRDefault="009D0949">
            <w:pPr>
              <w:spacing w:after="0" w:line="259" w:lineRule="auto"/>
              <w:ind w:left="0" w:right="57" w:firstLine="0"/>
              <w:jc w:val="center"/>
            </w:pPr>
            <w:r>
              <w:rPr>
                <w:b/>
                <w:sz w:val="20"/>
              </w:rPr>
              <w:t>Табела 1e: Бруто додата вредност</w:t>
            </w:r>
            <w:r>
              <w:rPr>
                <w:sz w:val="20"/>
              </w:rPr>
              <w:t xml:space="preserve"> </w:t>
            </w:r>
          </w:p>
        </w:tc>
        <w:tc>
          <w:tcPr>
            <w:tcW w:w="1604"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3" w:right="0" w:firstLine="0"/>
              <w:jc w:val="center"/>
            </w:pPr>
            <w:r>
              <w:rPr>
                <w:sz w:val="20"/>
              </w:rPr>
              <w:t xml:space="preserve"> </w:t>
            </w:r>
          </w:p>
        </w:tc>
        <w:tc>
          <w:tcPr>
            <w:tcW w:w="984" w:type="dxa"/>
            <w:tcBorders>
              <w:top w:val="single" w:sz="8" w:space="0" w:color="000000"/>
              <w:left w:val="single" w:sz="8" w:space="0" w:color="000000"/>
              <w:bottom w:val="single" w:sz="8" w:space="0" w:color="000000"/>
              <w:right w:val="nil"/>
            </w:tcBorders>
          </w:tcPr>
          <w:p w:rsidR="00E8309B" w:rsidRDefault="009D0949">
            <w:pPr>
              <w:spacing w:after="0" w:line="259" w:lineRule="auto"/>
              <w:ind w:left="0" w:right="101" w:firstLine="0"/>
              <w:jc w:val="right"/>
            </w:pPr>
            <w:r>
              <w:rPr>
                <w:sz w:val="20"/>
              </w:rPr>
              <w:t xml:space="preserve">2018  </w:t>
            </w:r>
          </w:p>
        </w:tc>
        <w:tc>
          <w:tcPr>
            <w:tcW w:w="984" w:type="dxa"/>
            <w:tcBorders>
              <w:top w:val="single" w:sz="8" w:space="0" w:color="000000"/>
              <w:left w:val="nil"/>
              <w:bottom w:val="single" w:sz="8" w:space="0" w:color="000000"/>
              <w:right w:val="nil"/>
            </w:tcBorders>
          </w:tcPr>
          <w:p w:rsidR="00E8309B" w:rsidRDefault="009D0949">
            <w:pPr>
              <w:spacing w:after="0" w:line="259" w:lineRule="auto"/>
              <w:ind w:left="0" w:right="101" w:firstLine="0"/>
              <w:jc w:val="right"/>
            </w:pPr>
            <w:r>
              <w:rPr>
                <w:sz w:val="20"/>
              </w:rPr>
              <w:t xml:space="preserve">2019  </w:t>
            </w:r>
          </w:p>
        </w:tc>
        <w:tc>
          <w:tcPr>
            <w:tcW w:w="982" w:type="dxa"/>
            <w:tcBorders>
              <w:top w:val="single" w:sz="8" w:space="0" w:color="000000"/>
              <w:left w:val="nil"/>
              <w:bottom w:val="single" w:sz="8" w:space="0" w:color="000000"/>
              <w:right w:val="nil"/>
            </w:tcBorders>
          </w:tcPr>
          <w:p w:rsidR="00E8309B" w:rsidRDefault="009D0949">
            <w:pPr>
              <w:spacing w:after="0" w:line="259" w:lineRule="auto"/>
              <w:ind w:left="0" w:right="99" w:firstLine="0"/>
              <w:jc w:val="right"/>
            </w:pPr>
            <w:r>
              <w:rPr>
                <w:sz w:val="20"/>
              </w:rPr>
              <w:t xml:space="preserve">2020  </w:t>
            </w:r>
          </w:p>
        </w:tc>
        <w:tc>
          <w:tcPr>
            <w:tcW w:w="984" w:type="dxa"/>
            <w:tcBorders>
              <w:top w:val="single" w:sz="8" w:space="0" w:color="000000"/>
              <w:left w:val="nil"/>
              <w:bottom w:val="single" w:sz="8" w:space="0" w:color="000000"/>
              <w:right w:val="nil"/>
            </w:tcBorders>
          </w:tcPr>
          <w:p w:rsidR="00E8309B" w:rsidRDefault="009D0949">
            <w:pPr>
              <w:spacing w:after="0" w:line="259" w:lineRule="auto"/>
              <w:ind w:left="0" w:right="99" w:firstLine="0"/>
              <w:jc w:val="right"/>
            </w:pPr>
            <w:r>
              <w:rPr>
                <w:sz w:val="20"/>
              </w:rPr>
              <w:t xml:space="preserve">2021  </w:t>
            </w:r>
          </w:p>
        </w:tc>
        <w:tc>
          <w:tcPr>
            <w:tcW w:w="984" w:type="dxa"/>
            <w:tcBorders>
              <w:top w:val="single" w:sz="8" w:space="0" w:color="000000"/>
              <w:left w:val="nil"/>
              <w:bottom w:val="single" w:sz="8" w:space="0" w:color="000000"/>
              <w:right w:val="nil"/>
            </w:tcBorders>
          </w:tcPr>
          <w:p w:rsidR="00E8309B" w:rsidRDefault="009D0949">
            <w:pPr>
              <w:spacing w:after="0" w:line="259" w:lineRule="auto"/>
              <w:ind w:left="0" w:right="101" w:firstLine="0"/>
              <w:jc w:val="right"/>
            </w:pPr>
            <w:r>
              <w:rPr>
                <w:sz w:val="20"/>
              </w:rPr>
              <w:t xml:space="preserve">2022  </w:t>
            </w:r>
          </w:p>
        </w:tc>
        <w:tc>
          <w:tcPr>
            <w:tcW w:w="994" w:type="dxa"/>
            <w:tcBorders>
              <w:top w:val="single" w:sz="8" w:space="0" w:color="000000"/>
              <w:left w:val="nil"/>
              <w:bottom w:val="single" w:sz="8" w:space="0" w:color="000000"/>
              <w:right w:val="double" w:sz="6" w:space="0" w:color="000000"/>
            </w:tcBorders>
          </w:tcPr>
          <w:p w:rsidR="00E8309B" w:rsidRDefault="009D0949">
            <w:pPr>
              <w:spacing w:after="0" w:line="259" w:lineRule="auto"/>
              <w:ind w:left="0" w:right="99" w:firstLine="0"/>
              <w:jc w:val="right"/>
            </w:pPr>
            <w:r>
              <w:rPr>
                <w:sz w:val="20"/>
              </w:rPr>
              <w:t xml:space="preserve">2023  </w:t>
            </w:r>
          </w:p>
        </w:tc>
      </w:tr>
      <w:tr w:rsidR="00E8309B">
        <w:trPr>
          <w:gridAfter w:val="1"/>
          <w:wAfter w:w="283" w:type="dxa"/>
          <w:trHeight w:val="245"/>
        </w:trPr>
        <w:tc>
          <w:tcPr>
            <w:tcW w:w="6750" w:type="dxa"/>
            <w:tcBorders>
              <w:top w:val="single" w:sz="8" w:space="0" w:color="000000"/>
              <w:left w:val="double" w:sz="6" w:space="0" w:color="000000"/>
              <w:bottom w:val="dashed" w:sz="4" w:space="0" w:color="000000"/>
              <w:right w:val="single" w:sz="8" w:space="0" w:color="000000"/>
            </w:tcBorders>
          </w:tcPr>
          <w:p w:rsidR="00E8309B" w:rsidRDefault="009D0949">
            <w:pPr>
              <w:spacing w:after="0" w:line="259" w:lineRule="auto"/>
              <w:ind w:left="0" w:right="0" w:firstLine="0"/>
              <w:jc w:val="left"/>
            </w:pPr>
            <w:r>
              <w:rPr>
                <w:sz w:val="20"/>
              </w:rPr>
              <w:t xml:space="preserve">1. Пољопривреда </w:t>
            </w:r>
          </w:p>
        </w:tc>
        <w:tc>
          <w:tcPr>
            <w:tcW w:w="1604" w:type="dxa"/>
            <w:tcBorders>
              <w:top w:val="single" w:sz="8" w:space="0" w:color="000000"/>
              <w:left w:val="single" w:sz="8" w:space="0" w:color="000000"/>
              <w:bottom w:val="dashed" w:sz="4" w:space="0" w:color="000000"/>
              <w:right w:val="single" w:sz="8" w:space="0" w:color="000000"/>
            </w:tcBorders>
          </w:tcPr>
          <w:p w:rsidR="00E8309B" w:rsidRDefault="009D0949">
            <w:pPr>
              <w:spacing w:after="0" w:line="259" w:lineRule="auto"/>
              <w:ind w:left="0" w:right="50" w:firstLine="0"/>
              <w:jc w:val="center"/>
            </w:pPr>
            <w:r>
              <w:rPr>
                <w:sz w:val="20"/>
              </w:rPr>
              <w:t xml:space="preserve">сталне цене </w:t>
            </w:r>
          </w:p>
        </w:tc>
        <w:tc>
          <w:tcPr>
            <w:tcW w:w="984" w:type="dxa"/>
            <w:tcBorders>
              <w:top w:val="single" w:sz="8" w:space="0" w:color="000000"/>
              <w:left w:val="single" w:sz="8" w:space="0" w:color="000000"/>
              <w:bottom w:val="dashed" w:sz="4" w:space="0" w:color="000000"/>
              <w:right w:val="dashed" w:sz="4" w:space="0" w:color="000000"/>
            </w:tcBorders>
          </w:tcPr>
          <w:p w:rsidR="00E8309B" w:rsidRDefault="009D0949">
            <w:pPr>
              <w:spacing w:after="0" w:line="259" w:lineRule="auto"/>
              <w:ind w:left="209" w:right="0" w:firstLine="0"/>
              <w:jc w:val="left"/>
            </w:pPr>
            <w:r>
              <w:rPr>
                <w:sz w:val="14"/>
              </w:rPr>
              <w:t xml:space="preserve">317.514,6 </w:t>
            </w:r>
          </w:p>
        </w:tc>
        <w:tc>
          <w:tcPr>
            <w:tcW w:w="984" w:type="dxa"/>
            <w:tcBorders>
              <w:top w:val="single" w:sz="8" w:space="0" w:color="000000"/>
              <w:left w:val="dashed" w:sz="4" w:space="0" w:color="000000"/>
              <w:bottom w:val="dashed" w:sz="4" w:space="0" w:color="000000"/>
              <w:right w:val="dashed" w:sz="4" w:space="0" w:color="000000"/>
            </w:tcBorders>
          </w:tcPr>
          <w:p w:rsidR="00E8309B" w:rsidRDefault="009D0949">
            <w:pPr>
              <w:spacing w:after="0" w:line="259" w:lineRule="auto"/>
              <w:ind w:left="209" w:right="0" w:firstLine="0"/>
              <w:jc w:val="left"/>
            </w:pPr>
            <w:r>
              <w:rPr>
                <w:sz w:val="14"/>
              </w:rPr>
              <w:t xml:space="preserve">312.396,5 </w:t>
            </w:r>
          </w:p>
        </w:tc>
        <w:tc>
          <w:tcPr>
            <w:tcW w:w="982" w:type="dxa"/>
            <w:tcBorders>
              <w:top w:val="single" w:sz="8" w:space="0" w:color="000000"/>
              <w:left w:val="dashed" w:sz="4" w:space="0" w:color="000000"/>
              <w:bottom w:val="dashed" w:sz="4" w:space="0" w:color="000000"/>
              <w:right w:val="dashed" w:sz="4" w:space="0" w:color="000000"/>
            </w:tcBorders>
          </w:tcPr>
          <w:p w:rsidR="00E8309B" w:rsidRDefault="009D0949">
            <w:pPr>
              <w:spacing w:after="0" w:line="259" w:lineRule="auto"/>
              <w:ind w:left="209" w:right="0" w:firstLine="0"/>
              <w:jc w:val="left"/>
            </w:pPr>
            <w:r>
              <w:rPr>
                <w:sz w:val="14"/>
              </w:rPr>
              <w:t xml:space="preserve">327.579,0 </w:t>
            </w:r>
          </w:p>
        </w:tc>
        <w:tc>
          <w:tcPr>
            <w:tcW w:w="984" w:type="dxa"/>
            <w:tcBorders>
              <w:top w:val="single" w:sz="8" w:space="0" w:color="000000"/>
              <w:left w:val="dashed" w:sz="4" w:space="0" w:color="000000"/>
              <w:bottom w:val="dashed" w:sz="4" w:space="0" w:color="000000"/>
              <w:right w:val="dashed" w:sz="4" w:space="0" w:color="000000"/>
            </w:tcBorders>
          </w:tcPr>
          <w:p w:rsidR="00E8309B" w:rsidRDefault="009D0949">
            <w:pPr>
              <w:spacing w:after="0" w:line="259" w:lineRule="auto"/>
              <w:ind w:left="211" w:right="0" w:firstLine="0"/>
              <w:jc w:val="left"/>
            </w:pPr>
            <w:r>
              <w:rPr>
                <w:sz w:val="14"/>
              </w:rPr>
              <w:t xml:space="preserve">314.475,8 </w:t>
            </w:r>
          </w:p>
        </w:tc>
        <w:tc>
          <w:tcPr>
            <w:tcW w:w="984" w:type="dxa"/>
            <w:tcBorders>
              <w:top w:val="single" w:sz="8" w:space="0" w:color="000000"/>
              <w:left w:val="dashed" w:sz="4" w:space="0" w:color="000000"/>
              <w:bottom w:val="dashed" w:sz="4" w:space="0" w:color="000000"/>
              <w:right w:val="dashed" w:sz="4" w:space="0" w:color="000000"/>
            </w:tcBorders>
          </w:tcPr>
          <w:p w:rsidR="00E8309B" w:rsidRDefault="009D0949">
            <w:pPr>
              <w:spacing w:after="0" w:line="259" w:lineRule="auto"/>
              <w:ind w:left="209" w:right="0" w:firstLine="0"/>
              <w:jc w:val="left"/>
            </w:pPr>
            <w:r>
              <w:rPr>
                <w:sz w:val="14"/>
              </w:rPr>
              <w:t xml:space="preserve">3162.36,9 </w:t>
            </w:r>
          </w:p>
        </w:tc>
        <w:tc>
          <w:tcPr>
            <w:tcW w:w="994" w:type="dxa"/>
            <w:tcBorders>
              <w:top w:val="single" w:sz="8" w:space="0" w:color="000000"/>
              <w:left w:val="dashed" w:sz="4" w:space="0" w:color="000000"/>
              <w:bottom w:val="dashed" w:sz="4" w:space="0" w:color="000000"/>
              <w:right w:val="double" w:sz="6" w:space="0" w:color="000000"/>
            </w:tcBorders>
          </w:tcPr>
          <w:p w:rsidR="00E8309B" w:rsidRDefault="009D0949">
            <w:pPr>
              <w:spacing w:after="0" w:line="259" w:lineRule="auto"/>
              <w:ind w:left="221" w:right="0" w:firstLine="0"/>
              <w:jc w:val="left"/>
            </w:pPr>
            <w:r>
              <w:rPr>
                <w:sz w:val="14"/>
              </w:rPr>
              <w:t xml:space="preserve">316.236,9 </w:t>
            </w:r>
          </w:p>
        </w:tc>
      </w:tr>
      <w:tr w:rsidR="00E8309B">
        <w:trPr>
          <w:gridAfter w:val="1"/>
          <w:wAfter w:w="283" w:type="dxa"/>
          <w:trHeight w:val="240"/>
        </w:trPr>
        <w:tc>
          <w:tcPr>
            <w:tcW w:w="6750" w:type="dxa"/>
            <w:tcBorders>
              <w:top w:val="dashed" w:sz="4" w:space="0" w:color="000000"/>
              <w:left w:val="double" w:sz="6" w:space="0" w:color="000000"/>
              <w:bottom w:val="dashed" w:sz="4" w:space="0" w:color="000000"/>
              <w:right w:val="single" w:sz="8" w:space="0" w:color="000000"/>
            </w:tcBorders>
          </w:tcPr>
          <w:p w:rsidR="00E8309B" w:rsidRDefault="009D0949">
            <w:pPr>
              <w:spacing w:after="0" w:line="259" w:lineRule="auto"/>
              <w:ind w:left="0" w:right="0" w:firstLine="0"/>
              <w:jc w:val="left"/>
            </w:pPr>
            <w:r>
              <w:rPr>
                <w:sz w:val="20"/>
              </w:rPr>
              <w:t xml:space="preserve">2. Индустрија (осим грађевинарства) </w:t>
            </w:r>
          </w:p>
        </w:tc>
        <w:tc>
          <w:tcPr>
            <w:tcW w:w="1604" w:type="dxa"/>
            <w:tcBorders>
              <w:top w:val="dashed" w:sz="4" w:space="0" w:color="000000"/>
              <w:left w:val="single" w:sz="8" w:space="0" w:color="000000"/>
              <w:bottom w:val="dashed" w:sz="4" w:space="0" w:color="000000"/>
              <w:right w:val="single" w:sz="8" w:space="0" w:color="000000"/>
            </w:tcBorders>
          </w:tcPr>
          <w:p w:rsidR="00E8309B" w:rsidRDefault="009D0949">
            <w:pPr>
              <w:spacing w:after="0" w:line="259" w:lineRule="auto"/>
              <w:ind w:left="0" w:right="50" w:firstLine="0"/>
              <w:jc w:val="center"/>
            </w:pPr>
            <w:r>
              <w:rPr>
                <w:sz w:val="20"/>
              </w:rPr>
              <w:t xml:space="preserve">сталне цене </w:t>
            </w:r>
          </w:p>
        </w:tc>
        <w:tc>
          <w:tcPr>
            <w:tcW w:w="984" w:type="dxa"/>
            <w:tcBorders>
              <w:top w:val="dashed" w:sz="4" w:space="0" w:color="000000"/>
              <w:left w:val="single" w:sz="8" w:space="0" w:color="000000"/>
              <w:bottom w:val="dashed" w:sz="4" w:space="0" w:color="000000"/>
              <w:right w:val="dashed" w:sz="4" w:space="0" w:color="000000"/>
            </w:tcBorders>
          </w:tcPr>
          <w:p w:rsidR="00E8309B" w:rsidRDefault="009D0949">
            <w:pPr>
              <w:spacing w:after="0" w:line="259" w:lineRule="auto"/>
              <w:ind w:left="103" w:right="0" w:firstLine="0"/>
              <w:jc w:val="left"/>
            </w:pPr>
            <w:r>
              <w:rPr>
                <w:sz w:val="14"/>
              </w:rPr>
              <w:t xml:space="preserve">1.005.172,1 </w:t>
            </w:r>
          </w:p>
        </w:tc>
        <w:tc>
          <w:tcPr>
            <w:tcW w:w="984"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103" w:right="0" w:firstLine="0"/>
              <w:jc w:val="left"/>
            </w:pPr>
            <w:r>
              <w:rPr>
                <w:sz w:val="14"/>
              </w:rPr>
              <w:t xml:space="preserve">1.009.240,2 </w:t>
            </w:r>
          </w:p>
        </w:tc>
        <w:tc>
          <w:tcPr>
            <w:tcW w:w="982"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209" w:right="0" w:firstLine="0"/>
              <w:jc w:val="left"/>
            </w:pPr>
            <w:r>
              <w:rPr>
                <w:sz w:val="14"/>
              </w:rPr>
              <w:t xml:space="preserve">100.240,2 </w:t>
            </w:r>
          </w:p>
        </w:tc>
        <w:tc>
          <w:tcPr>
            <w:tcW w:w="984"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106" w:right="0" w:firstLine="0"/>
              <w:jc w:val="left"/>
            </w:pPr>
            <w:r>
              <w:rPr>
                <w:sz w:val="14"/>
              </w:rPr>
              <w:t xml:space="preserve">1.066.766,9 </w:t>
            </w:r>
          </w:p>
        </w:tc>
        <w:tc>
          <w:tcPr>
            <w:tcW w:w="984"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103" w:right="0" w:firstLine="0"/>
              <w:jc w:val="left"/>
            </w:pPr>
            <w:r>
              <w:rPr>
                <w:sz w:val="14"/>
              </w:rPr>
              <w:t xml:space="preserve">1.119.465,1 </w:t>
            </w:r>
          </w:p>
        </w:tc>
        <w:tc>
          <w:tcPr>
            <w:tcW w:w="994" w:type="dxa"/>
            <w:tcBorders>
              <w:top w:val="dashed" w:sz="4" w:space="0" w:color="000000"/>
              <w:left w:val="dashed" w:sz="4" w:space="0" w:color="000000"/>
              <w:bottom w:val="dashed" w:sz="4" w:space="0" w:color="000000"/>
              <w:right w:val="double" w:sz="6" w:space="0" w:color="000000"/>
            </w:tcBorders>
          </w:tcPr>
          <w:p w:rsidR="00E8309B" w:rsidRDefault="009D0949">
            <w:pPr>
              <w:spacing w:after="0" w:line="259" w:lineRule="auto"/>
              <w:ind w:left="115" w:right="0" w:firstLine="0"/>
              <w:jc w:val="left"/>
            </w:pPr>
            <w:r>
              <w:rPr>
                <w:sz w:val="14"/>
              </w:rPr>
              <w:t xml:space="preserve">1.174.990,6 </w:t>
            </w:r>
          </w:p>
        </w:tc>
      </w:tr>
      <w:tr w:rsidR="00E8309B">
        <w:trPr>
          <w:gridAfter w:val="1"/>
          <w:wAfter w:w="283" w:type="dxa"/>
          <w:trHeight w:val="240"/>
        </w:trPr>
        <w:tc>
          <w:tcPr>
            <w:tcW w:w="6750" w:type="dxa"/>
            <w:tcBorders>
              <w:top w:val="dashed" w:sz="4" w:space="0" w:color="000000"/>
              <w:left w:val="double" w:sz="6" w:space="0" w:color="000000"/>
              <w:bottom w:val="dashed" w:sz="4" w:space="0" w:color="000000"/>
              <w:right w:val="single" w:sz="8" w:space="0" w:color="000000"/>
            </w:tcBorders>
          </w:tcPr>
          <w:p w:rsidR="00E8309B" w:rsidRDefault="009D0949">
            <w:pPr>
              <w:spacing w:after="0" w:line="259" w:lineRule="auto"/>
              <w:ind w:left="0" w:right="0" w:firstLine="0"/>
              <w:jc w:val="left"/>
            </w:pPr>
            <w:r>
              <w:rPr>
                <w:sz w:val="20"/>
              </w:rPr>
              <w:t xml:space="preserve">3. Грађевинарство </w:t>
            </w:r>
          </w:p>
        </w:tc>
        <w:tc>
          <w:tcPr>
            <w:tcW w:w="1604" w:type="dxa"/>
            <w:tcBorders>
              <w:top w:val="dashed" w:sz="4" w:space="0" w:color="000000"/>
              <w:left w:val="single" w:sz="8" w:space="0" w:color="000000"/>
              <w:bottom w:val="dashed" w:sz="4" w:space="0" w:color="000000"/>
              <w:right w:val="single" w:sz="8" w:space="0" w:color="000000"/>
            </w:tcBorders>
          </w:tcPr>
          <w:p w:rsidR="00E8309B" w:rsidRDefault="009D0949">
            <w:pPr>
              <w:spacing w:after="0" w:line="259" w:lineRule="auto"/>
              <w:ind w:left="0" w:right="50" w:firstLine="0"/>
              <w:jc w:val="center"/>
            </w:pPr>
            <w:r>
              <w:rPr>
                <w:sz w:val="20"/>
              </w:rPr>
              <w:t xml:space="preserve">сталне цене </w:t>
            </w:r>
          </w:p>
        </w:tc>
        <w:tc>
          <w:tcPr>
            <w:tcW w:w="984" w:type="dxa"/>
            <w:tcBorders>
              <w:top w:val="dashed" w:sz="4" w:space="0" w:color="000000"/>
              <w:left w:val="single" w:sz="8" w:space="0" w:color="000000"/>
              <w:bottom w:val="dashed" w:sz="4" w:space="0" w:color="000000"/>
              <w:right w:val="dashed" w:sz="4" w:space="0" w:color="000000"/>
            </w:tcBorders>
          </w:tcPr>
          <w:p w:rsidR="00E8309B" w:rsidRDefault="009D0949">
            <w:pPr>
              <w:spacing w:after="0" w:line="259" w:lineRule="auto"/>
              <w:ind w:left="209" w:right="0" w:firstLine="0"/>
              <w:jc w:val="left"/>
            </w:pPr>
            <w:r>
              <w:rPr>
                <w:sz w:val="14"/>
              </w:rPr>
              <w:t xml:space="preserve">203.674,9 </w:t>
            </w:r>
          </w:p>
        </w:tc>
        <w:tc>
          <w:tcPr>
            <w:tcW w:w="984"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209" w:right="0" w:firstLine="0"/>
              <w:jc w:val="left"/>
            </w:pPr>
            <w:r>
              <w:rPr>
                <w:sz w:val="14"/>
              </w:rPr>
              <w:t xml:space="preserve">272.329,8 </w:t>
            </w:r>
          </w:p>
        </w:tc>
        <w:tc>
          <w:tcPr>
            <w:tcW w:w="982"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209" w:right="0" w:firstLine="0"/>
              <w:jc w:val="left"/>
            </w:pPr>
            <w:r>
              <w:rPr>
                <w:sz w:val="14"/>
              </w:rPr>
              <w:t xml:space="preserve">255.990,0 </w:t>
            </w:r>
          </w:p>
        </w:tc>
        <w:tc>
          <w:tcPr>
            <w:tcW w:w="984"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211" w:right="0" w:firstLine="0"/>
              <w:jc w:val="left"/>
            </w:pPr>
            <w:r>
              <w:rPr>
                <w:sz w:val="14"/>
              </w:rPr>
              <w:t xml:space="preserve">293.364,5 </w:t>
            </w:r>
          </w:p>
        </w:tc>
        <w:tc>
          <w:tcPr>
            <w:tcW w:w="984"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209" w:right="0" w:firstLine="0"/>
              <w:jc w:val="left"/>
            </w:pPr>
            <w:r>
              <w:rPr>
                <w:sz w:val="14"/>
              </w:rPr>
              <w:t xml:space="preserve">311.553,1 </w:t>
            </w:r>
          </w:p>
        </w:tc>
        <w:tc>
          <w:tcPr>
            <w:tcW w:w="994" w:type="dxa"/>
            <w:tcBorders>
              <w:top w:val="dashed" w:sz="4" w:space="0" w:color="000000"/>
              <w:left w:val="dashed" w:sz="4" w:space="0" w:color="000000"/>
              <w:bottom w:val="dashed" w:sz="4" w:space="0" w:color="000000"/>
              <w:right w:val="double" w:sz="6" w:space="0" w:color="000000"/>
            </w:tcBorders>
          </w:tcPr>
          <w:p w:rsidR="00E8309B" w:rsidRDefault="009D0949">
            <w:pPr>
              <w:spacing w:after="0" w:line="259" w:lineRule="auto"/>
              <w:ind w:left="221" w:right="0" w:firstLine="0"/>
              <w:jc w:val="left"/>
            </w:pPr>
            <w:r>
              <w:rPr>
                <w:sz w:val="14"/>
              </w:rPr>
              <w:t xml:space="preserve">336.290,4 </w:t>
            </w:r>
          </w:p>
        </w:tc>
      </w:tr>
      <w:tr w:rsidR="00E8309B">
        <w:trPr>
          <w:gridAfter w:val="1"/>
          <w:wAfter w:w="283" w:type="dxa"/>
          <w:trHeight w:val="240"/>
        </w:trPr>
        <w:tc>
          <w:tcPr>
            <w:tcW w:w="6750" w:type="dxa"/>
            <w:tcBorders>
              <w:top w:val="dashed" w:sz="4" w:space="0" w:color="000000"/>
              <w:left w:val="double" w:sz="6" w:space="0" w:color="000000"/>
              <w:bottom w:val="single" w:sz="4" w:space="0" w:color="000000"/>
              <w:right w:val="single" w:sz="8" w:space="0" w:color="000000"/>
            </w:tcBorders>
          </w:tcPr>
          <w:p w:rsidR="00E8309B" w:rsidRDefault="009D0949">
            <w:pPr>
              <w:spacing w:after="0" w:line="259" w:lineRule="auto"/>
              <w:ind w:left="0" w:right="0" w:firstLine="0"/>
              <w:jc w:val="left"/>
            </w:pPr>
            <w:r>
              <w:rPr>
                <w:sz w:val="20"/>
              </w:rPr>
              <w:t xml:space="preserve">4. Услуге </w:t>
            </w:r>
          </w:p>
        </w:tc>
        <w:tc>
          <w:tcPr>
            <w:tcW w:w="1604" w:type="dxa"/>
            <w:tcBorders>
              <w:top w:val="dashed" w:sz="4" w:space="0" w:color="000000"/>
              <w:left w:val="single" w:sz="8" w:space="0" w:color="000000"/>
              <w:bottom w:val="single" w:sz="4" w:space="0" w:color="000000"/>
              <w:right w:val="single" w:sz="8" w:space="0" w:color="000000"/>
            </w:tcBorders>
          </w:tcPr>
          <w:p w:rsidR="00E8309B" w:rsidRDefault="009D0949">
            <w:pPr>
              <w:spacing w:after="0" w:line="259" w:lineRule="auto"/>
              <w:ind w:left="0" w:right="50" w:firstLine="0"/>
              <w:jc w:val="center"/>
            </w:pPr>
            <w:r>
              <w:rPr>
                <w:sz w:val="20"/>
              </w:rPr>
              <w:t xml:space="preserve">сталне цене </w:t>
            </w:r>
          </w:p>
        </w:tc>
        <w:tc>
          <w:tcPr>
            <w:tcW w:w="984" w:type="dxa"/>
            <w:tcBorders>
              <w:top w:val="dashed" w:sz="4" w:space="0" w:color="000000"/>
              <w:left w:val="single" w:sz="8" w:space="0" w:color="000000"/>
              <w:bottom w:val="single" w:sz="4" w:space="0" w:color="000000"/>
              <w:right w:val="dashed" w:sz="4" w:space="0" w:color="000000"/>
            </w:tcBorders>
          </w:tcPr>
          <w:p w:rsidR="00E8309B" w:rsidRDefault="009D0949">
            <w:pPr>
              <w:spacing w:after="0" w:line="259" w:lineRule="auto"/>
              <w:ind w:left="103" w:right="0" w:firstLine="0"/>
              <w:jc w:val="left"/>
            </w:pPr>
            <w:r>
              <w:rPr>
                <w:sz w:val="14"/>
              </w:rPr>
              <w:t xml:space="preserve">2.414.965,0 </w:t>
            </w:r>
          </w:p>
        </w:tc>
        <w:tc>
          <w:tcPr>
            <w:tcW w:w="984" w:type="dxa"/>
            <w:tcBorders>
              <w:top w:val="dashed" w:sz="4" w:space="0" w:color="000000"/>
              <w:left w:val="dashed" w:sz="4" w:space="0" w:color="000000"/>
              <w:bottom w:val="single" w:sz="4" w:space="0" w:color="000000"/>
              <w:right w:val="dashed" w:sz="4" w:space="0" w:color="000000"/>
            </w:tcBorders>
          </w:tcPr>
          <w:p w:rsidR="00E8309B" w:rsidRDefault="009D0949">
            <w:pPr>
              <w:spacing w:after="0" w:line="259" w:lineRule="auto"/>
              <w:ind w:left="103" w:right="0" w:firstLine="0"/>
              <w:jc w:val="left"/>
            </w:pPr>
            <w:r>
              <w:rPr>
                <w:sz w:val="14"/>
              </w:rPr>
              <w:t xml:space="preserve">2.517.290,6 </w:t>
            </w:r>
          </w:p>
        </w:tc>
        <w:tc>
          <w:tcPr>
            <w:tcW w:w="982" w:type="dxa"/>
            <w:tcBorders>
              <w:top w:val="dashed" w:sz="4" w:space="0" w:color="000000"/>
              <w:left w:val="dashed" w:sz="4" w:space="0" w:color="000000"/>
              <w:bottom w:val="single" w:sz="4" w:space="0" w:color="000000"/>
              <w:right w:val="dashed" w:sz="4" w:space="0" w:color="000000"/>
            </w:tcBorders>
          </w:tcPr>
          <w:p w:rsidR="00E8309B" w:rsidRDefault="009D0949">
            <w:pPr>
              <w:spacing w:after="0" w:line="259" w:lineRule="auto"/>
              <w:ind w:left="104" w:right="0" w:firstLine="0"/>
              <w:jc w:val="left"/>
            </w:pPr>
            <w:r>
              <w:rPr>
                <w:sz w:val="14"/>
              </w:rPr>
              <w:t xml:space="preserve">2.479.027,8 </w:t>
            </w:r>
          </w:p>
        </w:tc>
        <w:tc>
          <w:tcPr>
            <w:tcW w:w="984" w:type="dxa"/>
            <w:tcBorders>
              <w:top w:val="dashed" w:sz="4" w:space="0" w:color="000000"/>
              <w:left w:val="dashed" w:sz="4" w:space="0" w:color="000000"/>
              <w:bottom w:val="single" w:sz="4" w:space="0" w:color="000000"/>
              <w:right w:val="dashed" w:sz="4" w:space="0" w:color="000000"/>
            </w:tcBorders>
          </w:tcPr>
          <w:p w:rsidR="00E8309B" w:rsidRDefault="009D0949">
            <w:pPr>
              <w:spacing w:after="0" w:line="259" w:lineRule="auto"/>
              <w:ind w:left="106" w:right="0" w:firstLine="0"/>
              <w:jc w:val="left"/>
            </w:pPr>
            <w:r>
              <w:rPr>
                <w:sz w:val="14"/>
              </w:rPr>
              <w:t xml:space="preserve">2.650.080,7 </w:t>
            </w:r>
          </w:p>
        </w:tc>
        <w:tc>
          <w:tcPr>
            <w:tcW w:w="984" w:type="dxa"/>
            <w:tcBorders>
              <w:top w:val="dashed" w:sz="4" w:space="0" w:color="000000"/>
              <w:left w:val="dashed" w:sz="4" w:space="0" w:color="000000"/>
              <w:bottom w:val="single" w:sz="4" w:space="0" w:color="000000"/>
              <w:right w:val="dashed" w:sz="4" w:space="0" w:color="000000"/>
            </w:tcBorders>
          </w:tcPr>
          <w:p w:rsidR="00E8309B" w:rsidRDefault="009D0949">
            <w:pPr>
              <w:spacing w:after="0" w:line="259" w:lineRule="auto"/>
              <w:ind w:left="103" w:right="0" w:firstLine="0"/>
              <w:jc w:val="left"/>
            </w:pPr>
            <w:r>
              <w:rPr>
                <w:sz w:val="14"/>
              </w:rPr>
              <w:t xml:space="preserve">2.757.382,5 </w:t>
            </w:r>
          </w:p>
        </w:tc>
        <w:tc>
          <w:tcPr>
            <w:tcW w:w="994" w:type="dxa"/>
            <w:tcBorders>
              <w:top w:val="dashed" w:sz="4" w:space="0" w:color="000000"/>
              <w:left w:val="dashed" w:sz="4" w:space="0" w:color="000000"/>
              <w:bottom w:val="single" w:sz="4" w:space="0" w:color="000000"/>
              <w:right w:val="double" w:sz="6" w:space="0" w:color="000000"/>
            </w:tcBorders>
          </w:tcPr>
          <w:p w:rsidR="00E8309B" w:rsidRDefault="009D0949">
            <w:pPr>
              <w:spacing w:after="0" w:line="259" w:lineRule="auto"/>
              <w:ind w:left="115" w:right="0" w:firstLine="0"/>
              <w:jc w:val="left"/>
            </w:pPr>
            <w:r>
              <w:rPr>
                <w:sz w:val="14"/>
              </w:rPr>
              <w:t xml:space="preserve">2.870.435,1 </w:t>
            </w:r>
          </w:p>
        </w:tc>
      </w:tr>
      <w:tr w:rsidR="00E8309B">
        <w:trPr>
          <w:gridAfter w:val="1"/>
          <w:wAfter w:w="283" w:type="dxa"/>
          <w:trHeight w:val="240"/>
        </w:trPr>
        <w:tc>
          <w:tcPr>
            <w:tcW w:w="6750" w:type="dxa"/>
            <w:tcBorders>
              <w:top w:val="single" w:sz="4" w:space="0" w:color="000000"/>
              <w:left w:val="double" w:sz="6" w:space="0" w:color="000000"/>
              <w:bottom w:val="dashed" w:sz="4" w:space="0" w:color="000000"/>
              <w:right w:val="single" w:sz="8" w:space="0" w:color="000000"/>
            </w:tcBorders>
          </w:tcPr>
          <w:p w:rsidR="00E8309B" w:rsidRDefault="009D0949">
            <w:pPr>
              <w:spacing w:after="0" w:line="259" w:lineRule="auto"/>
              <w:ind w:left="0" w:right="0" w:firstLine="0"/>
              <w:jc w:val="left"/>
            </w:pPr>
            <w:r>
              <w:rPr>
                <w:sz w:val="20"/>
              </w:rPr>
              <w:t xml:space="preserve">1. Пољопривреда </w:t>
            </w:r>
          </w:p>
        </w:tc>
        <w:tc>
          <w:tcPr>
            <w:tcW w:w="1604" w:type="dxa"/>
            <w:tcBorders>
              <w:top w:val="single" w:sz="4" w:space="0" w:color="000000"/>
              <w:left w:val="single" w:sz="8" w:space="0" w:color="000000"/>
              <w:bottom w:val="dashed" w:sz="4" w:space="0" w:color="000000"/>
              <w:right w:val="single" w:sz="8" w:space="0" w:color="000000"/>
            </w:tcBorders>
          </w:tcPr>
          <w:p w:rsidR="00E8309B" w:rsidRDefault="009D0949">
            <w:pPr>
              <w:spacing w:after="0" w:line="259" w:lineRule="auto"/>
              <w:ind w:left="0" w:right="50" w:firstLine="0"/>
              <w:jc w:val="center"/>
            </w:pPr>
            <w:r>
              <w:rPr>
                <w:sz w:val="20"/>
              </w:rPr>
              <w:t xml:space="preserve">текуће цене </w:t>
            </w:r>
          </w:p>
        </w:tc>
        <w:tc>
          <w:tcPr>
            <w:tcW w:w="984" w:type="dxa"/>
            <w:tcBorders>
              <w:top w:val="single" w:sz="4" w:space="0" w:color="000000"/>
              <w:left w:val="single" w:sz="8" w:space="0" w:color="000000"/>
              <w:bottom w:val="dashed" w:sz="4" w:space="0" w:color="000000"/>
              <w:right w:val="dashed" w:sz="4" w:space="0" w:color="000000"/>
            </w:tcBorders>
          </w:tcPr>
          <w:p w:rsidR="00E8309B" w:rsidRDefault="009D0949">
            <w:pPr>
              <w:spacing w:after="0" w:line="259" w:lineRule="auto"/>
              <w:ind w:left="209" w:right="0" w:firstLine="0"/>
              <w:jc w:val="left"/>
            </w:pPr>
            <w:r>
              <w:rPr>
                <w:sz w:val="14"/>
              </w:rPr>
              <w:t xml:space="preserve">321.765,1 </w:t>
            </w:r>
          </w:p>
        </w:tc>
        <w:tc>
          <w:tcPr>
            <w:tcW w:w="984" w:type="dxa"/>
            <w:tcBorders>
              <w:top w:val="single" w:sz="4" w:space="0" w:color="000000"/>
              <w:left w:val="dashed" w:sz="4" w:space="0" w:color="000000"/>
              <w:bottom w:val="dashed" w:sz="4" w:space="0" w:color="000000"/>
              <w:right w:val="dashed" w:sz="4" w:space="0" w:color="000000"/>
            </w:tcBorders>
          </w:tcPr>
          <w:p w:rsidR="00E8309B" w:rsidRDefault="009D0949">
            <w:pPr>
              <w:spacing w:after="0" w:line="259" w:lineRule="auto"/>
              <w:ind w:left="209" w:right="0" w:firstLine="0"/>
              <w:jc w:val="left"/>
            </w:pPr>
            <w:r>
              <w:rPr>
                <w:sz w:val="14"/>
              </w:rPr>
              <w:t xml:space="preserve">322.559,9 </w:t>
            </w:r>
          </w:p>
        </w:tc>
        <w:tc>
          <w:tcPr>
            <w:tcW w:w="982" w:type="dxa"/>
            <w:tcBorders>
              <w:top w:val="single" w:sz="4" w:space="0" w:color="000000"/>
              <w:left w:val="dashed" w:sz="4" w:space="0" w:color="000000"/>
              <w:bottom w:val="dashed" w:sz="4" w:space="0" w:color="000000"/>
              <w:right w:val="dashed" w:sz="4" w:space="0" w:color="000000"/>
            </w:tcBorders>
          </w:tcPr>
          <w:p w:rsidR="00E8309B" w:rsidRDefault="009D0949">
            <w:pPr>
              <w:spacing w:after="0" w:line="259" w:lineRule="auto"/>
              <w:ind w:left="0" w:right="15" w:firstLine="0"/>
              <w:jc w:val="right"/>
            </w:pPr>
            <w:r>
              <w:rPr>
                <w:sz w:val="14"/>
              </w:rPr>
              <w:t xml:space="preserve"> </w:t>
            </w:r>
          </w:p>
        </w:tc>
        <w:tc>
          <w:tcPr>
            <w:tcW w:w="984" w:type="dxa"/>
            <w:tcBorders>
              <w:top w:val="single" w:sz="4" w:space="0" w:color="000000"/>
              <w:left w:val="dashed" w:sz="4" w:space="0" w:color="000000"/>
              <w:bottom w:val="dashed" w:sz="4" w:space="0" w:color="000000"/>
              <w:right w:val="dashed" w:sz="4" w:space="0" w:color="000000"/>
            </w:tcBorders>
          </w:tcPr>
          <w:p w:rsidR="00E8309B" w:rsidRDefault="009D0949">
            <w:pPr>
              <w:spacing w:after="0" w:line="259" w:lineRule="auto"/>
              <w:ind w:left="0" w:right="15" w:firstLine="0"/>
              <w:jc w:val="right"/>
            </w:pPr>
            <w:r>
              <w:rPr>
                <w:sz w:val="14"/>
              </w:rPr>
              <w:t xml:space="preserve"> </w:t>
            </w:r>
          </w:p>
        </w:tc>
        <w:tc>
          <w:tcPr>
            <w:tcW w:w="984" w:type="dxa"/>
            <w:tcBorders>
              <w:top w:val="single" w:sz="4" w:space="0" w:color="000000"/>
              <w:left w:val="dashed" w:sz="4" w:space="0" w:color="000000"/>
              <w:bottom w:val="dashed" w:sz="4" w:space="0" w:color="000000"/>
              <w:right w:val="dashed" w:sz="4" w:space="0" w:color="000000"/>
            </w:tcBorders>
          </w:tcPr>
          <w:p w:rsidR="00E8309B" w:rsidRDefault="009D0949">
            <w:pPr>
              <w:spacing w:after="0" w:line="259" w:lineRule="auto"/>
              <w:ind w:left="0" w:right="17" w:firstLine="0"/>
              <w:jc w:val="right"/>
            </w:pPr>
            <w:r>
              <w:rPr>
                <w:sz w:val="14"/>
              </w:rPr>
              <w:t xml:space="preserve"> </w:t>
            </w:r>
          </w:p>
        </w:tc>
        <w:tc>
          <w:tcPr>
            <w:tcW w:w="994" w:type="dxa"/>
            <w:tcBorders>
              <w:top w:val="single" w:sz="4" w:space="0" w:color="000000"/>
              <w:left w:val="dashed" w:sz="4" w:space="0" w:color="000000"/>
              <w:bottom w:val="dashed" w:sz="4" w:space="0" w:color="000000"/>
              <w:right w:val="double" w:sz="6" w:space="0" w:color="000000"/>
            </w:tcBorders>
          </w:tcPr>
          <w:p w:rsidR="00E8309B" w:rsidRDefault="009D0949">
            <w:pPr>
              <w:spacing w:after="0" w:line="259" w:lineRule="auto"/>
              <w:ind w:left="0" w:right="15" w:firstLine="0"/>
              <w:jc w:val="right"/>
            </w:pPr>
            <w:r>
              <w:rPr>
                <w:sz w:val="14"/>
              </w:rPr>
              <w:t xml:space="preserve"> </w:t>
            </w:r>
          </w:p>
        </w:tc>
      </w:tr>
      <w:tr w:rsidR="00E8309B">
        <w:trPr>
          <w:gridAfter w:val="1"/>
          <w:wAfter w:w="283" w:type="dxa"/>
          <w:trHeight w:val="240"/>
        </w:trPr>
        <w:tc>
          <w:tcPr>
            <w:tcW w:w="6750" w:type="dxa"/>
            <w:tcBorders>
              <w:top w:val="dashed" w:sz="4" w:space="0" w:color="000000"/>
              <w:left w:val="double" w:sz="6" w:space="0" w:color="000000"/>
              <w:bottom w:val="dashed" w:sz="4" w:space="0" w:color="000000"/>
              <w:right w:val="single" w:sz="8" w:space="0" w:color="000000"/>
            </w:tcBorders>
          </w:tcPr>
          <w:p w:rsidR="00E8309B" w:rsidRDefault="009D0949">
            <w:pPr>
              <w:spacing w:after="0" w:line="259" w:lineRule="auto"/>
              <w:ind w:left="0" w:right="0" w:firstLine="0"/>
              <w:jc w:val="left"/>
            </w:pPr>
            <w:r>
              <w:rPr>
                <w:sz w:val="20"/>
              </w:rPr>
              <w:t xml:space="preserve">2. Индустрија (осим грађевинарства) </w:t>
            </w:r>
          </w:p>
        </w:tc>
        <w:tc>
          <w:tcPr>
            <w:tcW w:w="1604" w:type="dxa"/>
            <w:tcBorders>
              <w:top w:val="dashed" w:sz="4" w:space="0" w:color="000000"/>
              <w:left w:val="single" w:sz="8" w:space="0" w:color="000000"/>
              <w:bottom w:val="dashed" w:sz="4" w:space="0" w:color="000000"/>
              <w:right w:val="single" w:sz="8" w:space="0" w:color="000000"/>
            </w:tcBorders>
          </w:tcPr>
          <w:p w:rsidR="00E8309B" w:rsidRDefault="009D0949">
            <w:pPr>
              <w:spacing w:after="0" w:line="259" w:lineRule="auto"/>
              <w:ind w:left="0" w:right="50" w:firstLine="0"/>
              <w:jc w:val="center"/>
            </w:pPr>
            <w:r>
              <w:rPr>
                <w:sz w:val="20"/>
              </w:rPr>
              <w:t xml:space="preserve">текуће цене </w:t>
            </w:r>
          </w:p>
        </w:tc>
        <w:tc>
          <w:tcPr>
            <w:tcW w:w="984" w:type="dxa"/>
            <w:tcBorders>
              <w:top w:val="dashed" w:sz="4" w:space="0" w:color="000000"/>
              <w:left w:val="single" w:sz="8" w:space="0" w:color="000000"/>
              <w:bottom w:val="dashed" w:sz="4" w:space="0" w:color="000000"/>
              <w:right w:val="dashed" w:sz="4" w:space="0" w:color="000000"/>
            </w:tcBorders>
          </w:tcPr>
          <w:p w:rsidR="00E8309B" w:rsidRDefault="009D0949">
            <w:pPr>
              <w:spacing w:after="0" w:line="259" w:lineRule="auto"/>
              <w:ind w:left="103" w:right="0" w:firstLine="0"/>
              <w:jc w:val="left"/>
            </w:pPr>
            <w:r>
              <w:rPr>
                <w:sz w:val="14"/>
              </w:rPr>
              <w:t xml:space="preserve">1.067.256,1 </w:t>
            </w:r>
          </w:p>
        </w:tc>
        <w:tc>
          <w:tcPr>
            <w:tcW w:w="984"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103" w:right="0" w:firstLine="0"/>
              <w:jc w:val="left"/>
            </w:pPr>
            <w:r>
              <w:rPr>
                <w:sz w:val="14"/>
              </w:rPr>
              <w:t xml:space="preserve">1.076.329,4 </w:t>
            </w:r>
          </w:p>
        </w:tc>
        <w:tc>
          <w:tcPr>
            <w:tcW w:w="982"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15" w:firstLine="0"/>
              <w:jc w:val="right"/>
            </w:pPr>
            <w:r>
              <w:rPr>
                <w:sz w:val="14"/>
              </w:rPr>
              <w:t xml:space="preserve"> </w:t>
            </w:r>
          </w:p>
        </w:tc>
        <w:tc>
          <w:tcPr>
            <w:tcW w:w="984"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15" w:firstLine="0"/>
              <w:jc w:val="right"/>
            </w:pPr>
            <w:r>
              <w:rPr>
                <w:sz w:val="14"/>
              </w:rPr>
              <w:t xml:space="preserve"> </w:t>
            </w:r>
          </w:p>
        </w:tc>
        <w:tc>
          <w:tcPr>
            <w:tcW w:w="984"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17" w:firstLine="0"/>
              <w:jc w:val="right"/>
            </w:pPr>
            <w:r>
              <w:rPr>
                <w:sz w:val="14"/>
              </w:rPr>
              <w:t xml:space="preserve"> </w:t>
            </w:r>
          </w:p>
        </w:tc>
        <w:tc>
          <w:tcPr>
            <w:tcW w:w="994" w:type="dxa"/>
            <w:tcBorders>
              <w:top w:val="dashed" w:sz="4" w:space="0" w:color="000000"/>
              <w:left w:val="dashed" w:sz="4" w:space="0" w:color="000000"/>
              <w:bottom w:val="dashed" w:sz="4" w:space="0" w:color="000000"/>
              <w:right w:val="double" w:sz="6" w:space="0" w:color="000000"/>
            </w:tcBorders>
          </w:tcPr>
          <w:p w:rsidR="00E8309B" w:rsidRDefault="009D0949">
            <w:pPr>
              <w:spacing w:after="0" w:line="259" w:lineRule="auto"/>
              <w:ind w:left="0" w:right="15" w:firstLine="0"/>
              <w:jc w:val="right"/>
            </w:pPr>
            <w:r>
              <w:rPr>
                <w:sz w:val="14"/>
              </w:rPr>
              <w:t xml:space="preserve"> </w:t>
            </w:r>
          </w:p>
        </w:tc>
      </w:tr>
      <w:tr w:rsidR="00E8309B">
        <w:trPr>
          <w:gridAfter w:val="1"/>
          <w:wAfter w:w="283" w:type="dxa"/>
          <w:trHeight w:val="240"/>
        </w:trPr>
        <w:tc>
          <w:tcPr>
            <w:tcW w:w="6750" w:type="dxa"/>
            <w:tcBorders>
              <w:top w:val="dashed" w:sz="4" w:space="0" w:color="000000"/>
              <w:left w:val="double" w:sz="6" w:space="0" w:color="000000"/>
              <w:bottom w:val="dashed" w:sz="4" w:space="0" w:color="000000"/>
              <w:right w:val="single" w:sz="8" w:space="0" w:color="000000"/>
            </w:tcBorders>
          </w:tcPr>
          <w:p w:rsidR="00E8309B" w:rsidRDefault="009D0949">
            <w:pPr>
              <w:spacing w:after="0" w:line="259" w:lineRule="auto"/>
              <w:ind w:left="0" w:right="0" w:firstLine="0"/>
              <w:jc w:val="left"/>
            </w:pPr>
            <w:r>
              <w:rPr>
                <w:sz w:val="20"/>
              </w:rPr>
              <w:t xml:space="preserve">3. Грађевинарство </w:t>
            </w:r>
          </w:p>
        </w:tc>
        <w:tc>
          <w:tcPr>
            <w:tcW w:w="1604" w:type="dxa"/>
            <w:tcBorders>
              <w:top w:val="dashed" w:sz="4" w:space="0" w:color="000000"/>
              <w:left w:val="single" w:sz="8" w:space="0" w:color="000000"/>
              <w:bottom w:val="dashed" w:sz="4" w:space="0" w:color="000000"/>
              <w:right w:val="single" w:sz="8" w:space="0" w:color="000000"/>
            </w:tcBorders>
          </w:tcPr>
          <w:p w:rsidR="00E8309B" w:rsidRDefault="009D0949">
            <w:pPr>
              <w:spacing w:after="0" w:line="259" w:lineRule="auto"/>
              <w:ind w:left="0" w:right="50" w:firstLine="0"/>
              <w:jc w:val="center"/>
            </w:pPr>
            <w:r>
              <w:rPr>
                <w:sz w:val="20"/>
              </w:rPr>
              <w:t xml:space="preserve">текуће цене </w:t>
            </w:r>
          </w:p>
        </w:tc>
        <w:tc>
          <w:tcPr>
            <w:tcW w:w="984" w:type="dxa"/>
            <w:tcBorders>
              <w:top w:val="dashed" w:sz="4" w:space="0" w:color="000000"/>
              <w:left w:val="single" w:sz="8" w:space="0" w:color="000000"/>
              <w:bottom w:val="dashed" w:sz="4" w:space="0" w:color="000000"/>
              <w:right w:val="dashed" w:sz="4" w:space="0" w:color="000000"/>
            </w:tcBorders>
          </w:tcPr>
          <w:p w:rsidR="00E8309B" w:rsidRDefault="009D0949">
            <w:pPr>
              <w:spacing w:after="0" w:line="259" w:lineRule="auto"/>
              <w:ind w:left="209" w:right="0" w:firstLine="0"/>
              <w:jc w:val="left"/>
            </w:pPr>
            <w:r>
              <w:rPr>
                <w:sz w:val="14"/>
              </w:rPr>
              <w:t xml:space="preserve">226.215,6 </w:t>
            </w:r>
          </w:p>
        </w:tc>
        <w:tc>
          <w:tcPr>
            <w:tcW w:w="984"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209" w:right="0" w:firstLine="0"/>
              <w:jc w:val="left"/>
            </w:pPr>
            <w:r>
              <w:rPr>
                <w:sz w:val="14"/>
              </w:rPr>
              <w:t xml:space="preserve">309.202,7 </w:t>
            </w:r>
          </w:p>
        </w:tc>
        <w:tc>
          <w:tcPr>
            <w:tcW w:w="982"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15" w:firstLine="0"/>
              <w:jc w:val="right"/>
            </w:pPr>
            <w:r>
              <w:rPr>
                <w:sz w:val="14"/>
              </w:rPr>
              <w:t xml:space="preserve"> </w:t>
            </w:r>
          </w:p>
        </w:tc>
        <w:tc>
          <w:tcPr>
            <w:tcW w:w="984"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15" w:firstLine="0"/>
              <w:jc w:val="right"/>
            </w:pPr>
            <w:r>
              <w:rPr>
                <w:sz w:val="14"/>
              </w:rPr>
              <w:t xml:space="preserve"> </w:t>
            </w:r>
          </w:p>
        </w:tc>
        <w:tc>
          <w:tcPr>
            <w:tcW w:w="984"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17" w:firstLine="0"/>
              <w:jc w:val="right"/>
            </w:pPr>
            <w:r>
              <w:rPr>
                <w:sz w:val="14"/>
              </w:rPr>
              <w:t xml:space="preserve"> </w:t>
            </w:r>
          </w:p>
        </w:tc>
        <w:tc>
          <w:tcPr>
            <w:tcW w:w="994" w:type="dxa"/>
            <w:tcBorders>
              <w:top w:val="dashed" w:sz="4" w:space="0" w:color="000000"/>
              <w:left w:val="dashed" w:sz="4" w:space="0" w:color="000000"/>
              <w:bottom w:val="dashed" w:sz="4" w:space="0" w:color="000000"/>
              <w:right w:val="double" w:sz="6" w:space="0" w:color="000000"/>
            </w:tcBorders>
          </w:tcPr>
          <w:p w:rsidR="00E8309B" w:rsidRDefault="009D0949">
            <w:pPr>
              <w:spacing w:after="0" w:line="259" w:lineRule="auto"/>
              <w:ind w:left="0" w:right="15" w:firstLine="0"/>
              <w:jc w:val="right"/>
            </w:pPr>
            <w:r>
              <w:rPr>
                <w:sz w:val="14"/>
              </w:rPr>
              <w:t xml:space="preserve"> </w:t>
            </w:r>
          </w:p>
        </w:tc>
      </w:tr>
      <w:tr w:rsidR="00E8309B">
        <w:trPr>
          <w:gridAfter w:val="1"/>
          <w:wAfter w:w="283" w:type="dxa"/>
          <w:trHeight w:val="245"/>
        </w:trPr>
        <w:tc>
          <w:tcPr>
            <w:tcW w:w="6750" w:type="dxa"/>
            <w:tcBorders>
              <w:top w:val="dashed" w:sz="4" w:space="0" w:color="000000"/>
              <w:left w:val="double" w:sz="6" w:space="0" w:color="000000"/>
              <w:bottom w:val="single" w:sz="8" w:space="0" w:color="000000"/>
              <w:right w:val="single" w:sz="8" w:space="0" w:color="000000"/>
            </w:tcBorders>
          </w:tcPr>
          <w:p w:rsidR="00E8309B" w:rsidRDefault="009D0949">
            <w:pPr>
              <w:spacing w:after="0" w:line="259" w:lineRule="auto"/>
              <w:ind w:left="0" w:right="0" w:firstLine="0"/>
              <w:jc w:val="left"/>
            </w:pPr>
            <w:r>
              <w:rPr>
                <w:sz w:val="20"/>
              </w:rPr>
              <w:t xml:space="preserve">4. Услуге </w:t>
            </w:r>
          </w:p>
        </w:tc>
        <w:tc>
          <w:tcPr>
            <w:tcW w:w="1604" w:type="dxa"/>
            <w:tcBorders>
              <w:top w:val="dashed" w:sz="4" w:space="0" w:color="000000"/>
              <w:left w:val="single" w:sz="8" w:space="0" w:color="000000"/>
              <w:bottom w:val="single" w:sz="8" w:space="0" w:color="000000"/>
              <w:right w:val="single" w:sz="8" w:space="0" w:color="000000"/>
            </w:tcBorders>
          </w:tcPr>
          <w:p w:rsidR="00E8309B" w:rsidRDefault="009D0949">
            <w:pPr>
              <w:spacing w:after="0" w:line="259" w:lineRule="auto"/>
              <w:ind w:left="0" w:right="50" w:firstLine="0"/>
              <w:jc w:val="center"/>
            </w:pPr>
            <w:r>
              <w:rPr>
                <w:sz w:val="20"/>
              </w:rPr>
              <w:t xml:space="preserve">текуће цене </w:t>
            </w:r>
          </w:p>
        </w:tc>
        <w:tc>
          <w:tcPr>
            <w:tcW w:w="984" w:type="dxa"/>
            <w:tcBorders>
              <w:top w:val="dashed" w:sz="4" w:space="0" w:color="000000"/>
              <w:left w:val="single" w:sz="8" w:space="0" w:color="000000"/>
              <w:bottom w:val="single" w:sz="8" w:space="0" w:color="000000"/>
              <w:right w:val="dashed" w:sz="4" w:space="0" w:color="000000"/>
            </w:tcBorders>
          </w:tcPr>
          <w:p w:rsidR="00E8309B" w:rsidRDefault="009D0949">
            <w:pPr>
              <w:spacing w:after="0" w:line="259" w:lineRule="auto"/>
              <w:ind w:left="103" w:right="0" w:firstLine="0"/>
              <w:jc w:val="left"/>
            </w:pPr>
            <w:r>
              <w:rPr>
                <w:sz w:val="14"/>
              </w:rPr>
              <w:t xml:space="preserve">2.587.689,4 </w:t>
            </w:r>
          </w:p>
        </w:tc>
        <w:tc>
          <w:tcPr>
            <w:tcW w:w="984" w:type="dxa"/>
            <w:tcBorders>
              <w:top w:val="dashed" w:sz="4" w:space="0" w:color="000000"/>
              <w:left w:val="dashed" w:sz="4" w:space="0" w:color="000000"/>
              <w:bottom w:val="single" w:sz="8" w:space="0" w:color="000000"/>
              <w:right w:val="dashed" w:sz="4" w:space="0" w:color="000000"/>
            </w:tcBorders>
          </w:tcPr>
          <w:p w:rsidR="00E8309B" w:rsidRDefault="009D0949">
            <w:pPr>
              <w:spacing w:after="0" w:line="259" w:lineRule="auto"/>
              <w:ind w:left="103" w:right="0" w:firstLine="0"/>
              <w:jc w:val="left"/>
            </w:pPr>
            <w:r>
              <w:rPr>
                <w:sz w:val="14"/>
              </w:rPr>
              <w:t xml:space="preserve">2.772.807,9 </w:t>
            </w:r>
          </w:p>
        </w:tc>
        <w:tc>
          <w:tcPr>
            <w:tcW w:w="982" w:type="dxa"/>
            <w:tcBorders>
              <w:top w:val="dashed" w:sz="4" w:space="0" w:color="000000"/>
              <w:left w:val="dashed" w:sz="4" w:space="0" w:color="000000"/>
              <w:bottom w:val="single" w:sz="8" w:space="0" w:color="000000"/>
              <w:right w:val="dashed" w:sz="4" w:space="0" w:color="000000"/>
            </w:tcBorders>
          </w:tcPr>
          <w:p w:rsidR="00E8309B" w:rsidRDefault="009D0949">
            <w:pPr>
              <w:spacing w:after="0" w:line="259" w:lineRule="auto"/>
              <w:ind w:left="0" w:right="15" w:firstLine="0"/>
              <w:jc w:val="right"/>
            </w:pPr>
            <w:r>
              <w:rPr>
                <w:sz w:val="14"/>
              </w:rPr>
              <w:t xml:space="preserve"> </w:t>
            </w:r>
          </w:p>
        </w:tc>
        <w:tc>
          <w:tcPr>
            <w:tcW w:w="984" w:type="dxa"/>
            <w:tcBorders>
              <w:top w:val="dashed" w:sz="4" w:space="0" w:color="000000"/>
              <w:left w:val="dashed" w:sz="4" w:space="0" w:color="000000"/>
              <w:bottom w:val="single" w:sz="8" w:space="0" w:color="000000"/>
              <w:right w:val="dashed" w:sz="4" w:space="0" w:color="000000"/>
            </w:tcBorders>
          </w:tcPr>
          <w:p w:rsidR="00E8309B" w:rsidRDefault="009D0949">
            <w:pPr>
              <w:spacing w:after="0" w:line="259" w:lineRule="auto"/>
              <w:ind w:left="0" w:right="15" w:firstLine="0"/>
              <w:jc w:val="right"/>
            </w:pPr>
            <w:r>
              <w:rPr>
                <w:sz w:val="14"/>
              </w:rPr>
              <w:t xml:space="preserve"> </w:t>
            </w:r>
          </w:p>
        </w:tc>
        <w:tc>
          <w:tcPr>
            <w:tcW w:w="984" w:type="dxa"/>
            <w:tcBorders>
              <w:top w:val="dashed" w:sz="4" w:space="0" w:color="000000"/>
              <w:left w:val="dashed" w:sz="4" w:space="0" w:color="000000"/>
              <w:bottom w:val="single" w:sz="8" w:space="0" w:color="000000"/>
              <w:right w:val="dashed" w:sz="4" w:space="0" w:color="000000"/>
            </w:tcBorders>
          </w:tcPr>
          <w:p w:rsidR="00E8309B" w:rsidRDefault="009D0949">
            <w:pPr>
              <w:spacing w:after="0" w:line="259" w:lineRule="auto"/>
              <w:ind w:left="0" w:right="17" w:firstLine="0"/>
              <w:jc w:val="right"/>
            </w:pPr>
            <w:r>
              <w:rPr>
                <w:sz w:val="14"/>
              </w:rPr>
              <w:t xml:space="preserve"> </w:t>
            </w:r>
          </w:p>
        </w:tc>
        <w:tc>
          <w:tcPr>
            <w:tcW w:w="994" w:type="dxa"/>
            <w:tcBorders>
              <w:top w:val="dashed" w:sz="4" w:space="0" w:color="000000"/>
              <w:left w:val="dashed" w:sz="4" w:space="0" w:color="000000"/>
              <w:bottom w:val="single" w:sz="8" w:space="0" w:color="000000"/>
              <w:right w:val="double" w:sz="6" w:space="0" w:color="000000"/>
            </w:tcBorders>
          </w:tcPr>
          <w:p w:rsidR="00E8309B" w:rsidRDefault="009D0949">
            <w:pPr>
              <w:spacing w:after="0" w:line="259" w:lineRule="auto"/>
              <w:ind w:left="0" w:right="15" w:firstLine="0"/>
              <w:jc w:val="right"/>
            </w:pPr>
            <w:r>
              <w:rPr>
                <w:sz w:val="14"/>
              </w:rPr>
              <w:t xml:space="preserve"> </w:t>
            </w:r>
          </w:p>
        </w:tc>
      </w:tr>
      <w:tr w:rsidR="00E8309B">
        <w:trPr>
          <w:gridAfter w:val="1"/>
          <w:wAfter w:w="283" w:type="dxa"/>
          <w:trHeight w:val="250"/>
        </w:trPr>
        <w:tc>
          <w:tcPr>
            <w:tcW w:w="6750" w:type="dxa"/>
            <w:tcBorders>
              <w:top w:val="single" w:sz="8" w:space="0" w:color="000000"/>
              <w:left w:val="double" w:sz="6" w:space="0" w:color="000000"/>
              <w:bottom w:val="single" w:sz="8" w:space="0" w:color="000000"/>
              <w:right w:val="single" w:sz="8" w:space="0" w:color="000000"/>
            </w:tcBorders>
          </w:tcPr>
          <w:p w:rsidR="00E8309B" w:rsidRDefault="009D0949">
            <w:pPr>
              <w:spacing w:after="0" w:line="259" w:lineRule="auto"/>
              <w:ind w:left="0" w:right="57" w:firstLine="0"/>
              <w:jc w:val="center"/>
            </w:pPr>
            <w:r>
              <w:rPr>
                <w:b/>
                <w:sz w:val="20"/>
              </w:rPr>
              <w:t>Табела 1f: Кретања у екстерном сектору</w:t>
            </w:r>
            <w:r>
              <w:rPr>
                <w:sz w:val="20"/>
              </w:rPr>
              <w:t xml:space="preserve"> </w:t>
            </w:r>
          </w:p>
        </w:tc>
        <w:tc>
          <w:tcPr>
            <w:tcW w:w="1604"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3" w:right="0" w:firstLine="0"/>
              <w:jc w:val="center"/>
            </w:pPr>
            <w:r>
              <w:rPr>
                <w:sz w:val="20"/>
              </w:rPr>
              <w:t xml:space="preserve"> </w:t>
            </w:r>
          </w:p>
        </w:tc>
        <w:tc>
          <w:tcPr>
            <w:tcW w:w="984" w:type="dxa"/>
            <w:tcBorders>
              <w:top w:val="single" w:sz="8" w:space="0" w:color="000000"/>
              <w:left w:val="single" w:sz="8" w:space="0" w:color="000000"/>
              <w:bottom w:val="single" w:sz="8" w:space="0" w:color="000000"/>
              <w:right w:val="nil"/>
            </w:tcBorders>
          </w:tcPr>
          <w:p w:rsidR="00E8309B" w:rsidRDefault="009D0949">
            <w:pPr>
              <w:spacing w:after="0" w:line="259" w:lineRule="auto"/>
              <w:ind w:left="0" w:right="51" w:firstLine="0"/>
              <w:jc w:val="right"/>
            </w:pPr>
            <w:r>
              <w:rPr>
                <w:b/>
                <w:sz w:val="20"/>
              </w:rPr>
              <w:t xml:space="preserve">2018 </w:t>
            </w:r>
          </w:p>
        </w:tc>
        <w:tc>
          <w:tcPr>
            <w:tcW w:w="984" w:type="dxa"/>
            <w:tcBorders>
              <w:top w:val="single" w:sz="8" w:space="0" w:color="000000"/>
              <w:left w:val="nil"/>
              <w:bottom w:val="single" w:sz="8" w:space="0" w:color="000000"/>
              <w:right w:val="nil"/>
            </w:tcBorders>
          </w:tcPr>
          <w:p w:rsidR="00E8309B" w:rsidRDefault="009D0949">
            <w:pPr>
              <w:spacing w:after="0" w:line="259" w:lineRule="auto"/>
              <w:ind w:left="0" w:right="51" w:firstLine="0"/>
              <w:jc w:val="right"/>
            </w:pPr>
            <w:r>
              <w:rPr>
                <w:b/>
                <w:sz w:val="20"/>
              </w:rPr>
              <w:t xml:space="preserve">2019 </w:t>
            </w:r>
          </w:p>
        </w:tc>
        <w:tc>
          <w:tcPr>
            <w:tcW w:w="982" w:type="dxa"/>
            <w:tcBorders>
              <w:top w:val="single" w:sz="8" w:space="0" w:color="000000"/>
              <w:left w:val="nil"/>
              <w:bottom w:val="single" w:sz="8" w:space="0" w:color="000000"/>
              <w:right w:val="nil"/>
            </w:tcBorders>
          </w:tcPr>
          <w:p w:rsidR="00E8309B" w:rsidRDefault="009D0949">
            <w:pPr>
              <w:spacing w:after="0" w:line="259" w:lineRule="auto"/>
              <w:ind w:left="0" w:right="49" w:firstLine="0"/>
              <w:jc w:val="right"/>
            </w:pPr>
            <w:r>
              <w:rPr>
                <w:b/>
                <w:sz w:val="20"/>
              </w:rPr>
              <w:t xml:space="preserve">2020 </w:t>
            </w:r>
          </w:p>
        </w:tc>
        <w:tc>
          <w:tcPr>
            <w:tcW w:w="984" w:type="dxa"/>
            <w:tcBorders>
              <w:top w:val="single" w:sz="8" w:space="0" w:color="000000"/>
              <w:left w:val="nil"/>
              <w:bottom w:val="single" w:sz="8" w:space="0" w:color="000000"/>
              <w:right w:val="nil"/>
            </w:tcBorders>
          </w:tcPr>
          <w:p w:rsidR="00E8309B" w:rsidRDefault="009D0949">
            <w:pPr>
              <w:spacing w:after="0" w:line="259" w:lineRule="auto"/>
              <w:ind w:left="0" w:right="49" w:firstLine="0"/>
              <w:jc w:val="right"/>
            </w:pPr>
            <w:r>
              <w:rPr>
                <w:b/>
                <w:sz w:val="20"/>
              </w:rPr>
              <w:t xml:space="preserve">2021 </w:t>
            </w:r>
          </w:p>
        </w:tc>
        <w:tc>
          <w:tcPr>
            <w:tcW w:w="984" w:type="dxa"/>
            <w:tcBorders>
              <w:top w:val="single" w:sz="8" w:space="0" w:color="000000"/>
              <w:left w:val="nil"/>
              <w:bottom w:val="single" w:sz="8" w:space="0" w:color="000000"/>
              <w:right w:val="nil"/>
            </w:tcBorders>
          </w:tcPr>
          <w:p w:rsidR="00E8309B" w:rsidRDefault="009D0949">
            <w:pPr>
              <w:spacing w:after="0" w:line="259" w:lineRule="auto"/>
              <w:ind w:left="0" w:right="51" w:firstLine="0"/>
              <w:jc w:val="right"/>
            </w:pPr>
            <w:r>
              <w:rPr>
                <w:b/>
                <w:sz w:val="20"/>
              </w:rPr>
              <w:t xml:space="preserve">2022 </w:t>
            </w:r>
          </w:p>
        </w:tc>
        <w:tc>
          <w:tcPr>
            <w:tcW w:w="994" w:type="dxa"/>
            <w:tcBorders>
              <w:top w:val="single" w:sz="8" w:space="0" w:color="000000"/>
              <w:left w:val="nil"/>
              <w:bottom w:val="single" w:sz="8" w:space="0" w:color="000000"/>
              <w:right w:val="double" w:sz="6" w:space="0" w:color="000000"/>
            </w:tcBorders>
          </w:tcPr>
          <w:p w:rsidR="00E8309B" w:rsidRDefault="009D0949">
            <w:pPr>
              <w:spacing w:after="0" w:line="259" w:lineRule="auto"/>
              <w:ind w:left="0" w:right="49" w:firstLine="0"/>
              <w:jc w:val="right"/>
            </w:pPr>
            <w:r>
              <w:rPr>
                <w:b/>
                <w:sz w:val="20"/>
              </w:rPr>
              <w:t xml:space="preserve">2023 </w:t>
            </w:r>
          </w:p>
        </w:tc>
      </w:tr>
      <w:tr w:rsidR="00E8309B">
        <w:trPr>
          <w:gridAfter w:val="1"/>
          <w:wAfter w:w="283" w:type="dxa"/>
          <w:trHeight w:val="248"/>
        </w:trPr>
        <w:tc>
          <w:tcPr>
            <w:tcW w:w="6750" w:type="dxa"/>
            <w:tcBorders>
              <w:top w:val="single" w:sz="8" w:space="0" w:color="000000"/>
              <w:left w:val="double" w:sz="6" w:space="0" w:color="000000"/>
              <w:bottom w:val="dashed" w:sz="4" w:space="0" w:color="000000"/>
              <w:right w:val="single" w:sz="8" w:space="0" w:color="000000"/>
            </w:tcBorders>
          </w:tcPr>
          <w:p w:rsidR="00E8309B" w:rsidRDefault="009D0949">
            <w:pPr>
              <w:spacing w:after="0" w:line="259" w:lineRule="auto"/>
              <w:ind w:left="0" w:right="0" w:firstLine="0"/>
              <w:jc w:val="left"/>
            </w:pPr>
            <w:r>
              <w:rPr>
                <w:sz w:val="20"/>
              </w:rPr>
              <w:t xml:space="preserve">2. Извоз робе </w:t>
            </w:r>
          </w:p>
        </w:tc>
        <w:tc>
          <w:tcPr>
            <w:tcW w:w="1604" w:type="dxa"/>
            <w:tcBorders>
              <w:top w:val="single" w:sz="8" w:space="0" w:color="000000"/>
              <w:left w:val="single" w:sz="8" w:space="0" w:color="000000"/>
              <w:bottom w:val="dashed" w:sz="4" w:space="0" w:color="000000"/>
              <w:right w:val="single" w:sz="8" w:space="0" w:color="000000"/>
            </w:tcBorders>
          </w:tcPr>
          <w:p w:rsidR="00E8309B" w:rsidRDefault="009D0949">
            <w:pPr>
              <w:spacing w:after="0" w:line="259" w:lineRule="auto"/>
              <w:ind w:left="0" w:right="50" w:firstLine="0"/>
              <w:jc w:val="center"/>
            </w:pPr>
            <w:r>
              <w:rPr>
                <w:sz w:val="20"/>
              </w:rPr>
              <w:t xml:space="preserve">млрд ЕУР </w:t>
            </w:r>
          </w:p>
        </w:tc>
        <w:tc>
          <w:tcPr>
            <w:tcW w:w="984" w:type="dxa"/>
            <w:tcBorders>
              <w:top w:val="single" w:sz="8" w:space="0" w:color="000000"/>
              <w:left w:val="single" w:sz="8" w:space="0" w:color="000000"/>
              <w:bottom w:val="dashed" w:sz="4" w:space="0" w:color="000000"/>
              <w:right w:val="dashed" w:sz="4" w:space="0" w:color="000000"/>
            </w:tcBorders>
          </w:tcPr>
          <w:p w:rsidR="00E8309B" w:rsidRDefault="009D0949">
            <w:pPr>
              <w:spacing w:after="0" w:line="259" w:lineRule="auto"/>
              <w:ind w:left="0" w:right="52" w:firstLine="0"/>
              <w:jc w:val="right"/>
            </w:pPr>
            <w:r>
              <w:rPr>
                <w:sz w:val="20"/>
              </w:rPr>
              <w:t xml:space="preserve">15,1 </w:t>
            </w:r>
          </w:p>
        </w:tc>
        <w:tc>
          <w:tcPr>
            <w:tcW w:w="984" w:type="dxa"/>
            <w:tcBorders>
              <w:top w:val="single" w:sz="8" w:space="0" w:color="000000"/>
              <w:left w:val="dashed" w:sz="4" w:space="0" w:color="000000"/>
              <w:bottom w:val="dashed" w:sz="4" w:space="0" w:color="000000"/>
              <w:right w:val="dashed" w:sz="4" w:space="0" w:color="000000"/>
            </w:tcBorders>
          </w:tcPr>
          <w:p w:rsidR="00E8309B" w:rsidRDefault="009D0949">
            <w:pPr>
              <w:spacing w:after="0" w:line="259" w:lineRule="auto"/>
              <w:ind w:left="0" w:right="52" w:firstLine="0"/>
              <w:jc w:val="right"/>
            </w:pPr>
            <w:r>
              <w:rPr>
                <w:sz w:val="20"/>
              </w:rPr>
              <w:t xml:space="preserve">16,4 </w:t>
            </w:r>
          </w:p>
        </w:tc>
        <w:tc>
          <w:tcPr>
            <w:tcW w:w="982" w:type="dxa"/>
            <w:tcBorders>
              <w:top w:val="single" w:sz="8" w:space="0" w:color="000000"/>
              <w:left w:val="dashed" w:sz="4" w:space="0" w:color="000000"/>
              <w:bottom w:val="dashed" w:sz="4" w:space="0" w:color="000000"/>
              <w:right w:val="dashed" w:sz="4" w:space="0" w:color="000000"/>
            </w:tcBorders>
          </w:tcPr>
          <w:p w:rsidR="00E8309B" w:rsidRDefault="009D0949">
            <w:pPr>
              <w:spacing w:after="0" w:line="259" w:lineRule="auto"/>
              <w:ind w:left="0" w:right="49" w:firstLine="0"/>
              <w:jc w:val="right"/>
            </w:pPr>
            <w:r>
              <w:rPr>
                <w:sz w:val="20"/>
              </w:rPr>
              <w:t xml:space="preserve">15,6 </w:t>
            </w:r>
          </w:p>
        </w:tc>
        <w:tc>
          <w:tcPr>
            <w:tcW w:w="984" w:type="dxa"/>
            <w:tcBorders>
              <w:top w:val="single" w:sz="8" w:space="0" w:color="000000"/>
              <w:left w:val="dashed" w:sz="4" w:space="0" w:color="000000"/>
              <w:bottom w:val="dashed" w:sz="4" w:space="0" w:color="000000"/>
              <w:right w:val="dashed" w:sz="4" w:space="0" w:color="000000"/>
            </w:tcBorders>
          </w:tcPr>
          <w:p w:rsidR="00E8309B" w:rsidRDefault="009D0949">
            <w:pPr>
              <w:spacing w:after="0" w:line="259" w:lineRule="auto"/>
              <w:ind w:left="0" w:right="49" w:firstLine="0"/>
              <w:jc w:val="right"/>
            </w:pPr>
            <w:r>
              <w:rPr>
                <w:sz w:val="20"/>
              </w:rPr>
              <w:t xml:space="preserve">17,6 </w:t>
            </w:r>
          </w:p>
        </w:tc>
        <w:tc>
          <w:tcPr>
            <w:tcW w:w="984" w:type="dxa"/>
            <w:tcBorders>
              <w:top w:val="single" w:sz="8" w:space="0" w:color="000000"/>
              <w:left w:val="dashed" w:sz="4" w:space="0" w:color="000000"/>
              <w:bottom w:val="dashed" w:sz="4" w:space="0" w:color="000000"/>
              <w:right w:val="dashed" w:sz="4" w:space="0" w:color="000000"/>
            </w:tcBorders>
          </w:tcPr>
          <w:p w:rsidR="00E8309B" w:rsidRDefault="009D0949">
            <w:pPr>
              <w:spacing w:after="0" w:line="259" w:lineRule="auto"/>
              <w:ind w:left="0" w:right="52" w:firstLine="0"/>
              <w:jc w:val="right"/>
            </w:pPr>
            <w:r>
              <w:rPr>
                <w:sz w:val="20"/>
              </w:rPr>
              <w:t xml:space="preserve">19,3 </w:t>
            </w:r>
          </w:p>
        </w:tc>
        <w:tc>
          <w:tcPr>
            <w:tcW w:w="994" w:type="dxa"/>
            <w:tcBorders>
              <w:top w:val="single" w:sz="8" w:space="0" w:color="000000"/>
              <w:left w:val="dashed" w:sz="4" w:space="0" w:color="000000"/>
              <w:bottom w:val="dashed" w:sz="4" w:space="0" w:color="000000"/>
              <w:right w:val="double" w:sz="6" w:space="0" w:color="000000"/>
            </w:tcBorders>
          </w:tcPr>
          <w:p w:rsidR="00E8309B" w:rsidRDefault="009D0949">
            <w:pPr>
              <w:spacing w:after="0" w:line="259" w:lineRule="auto"/>
              <w:ind w:left="0" w:right="49" w:firstLine="0"/>
              <w:jc w:val="right"/>
            </w:pPr>
            <w:r>
              <w:rPr>
                <w:sz w:val="20"/>
              </w:rPr>
              <w:t xml:space="preserve">21,3 </w:t>
            </w:r>
          </w:p>
        </w:tc>
      </w:tr>
      <w:tr w:rsidR="00E8309B">
        <w:trPr>
          <w:gridAfter w:val="1"/>
          <w:wAfter w:w="283" w:type="dxa"/>
          <w:trHeight w:val="240"/>
        </w:trPr>
        <w:tc>
          <w:tcPr>
            <w:tcW w:w="6750" w:type="dxa"/>
            <w:tcBorders>
              <w:top w:val="dashed" w:sz="4" w:space="0" w:color="000000"/>
              <w:left w:val="double" w:sz="6" w:space="0" w:color="000000"/>
              <w:bottom w:val="dashed" w:sz="4" w:space="0" w:color="000000"/>
              <w:right w:val="single" w:sz="8" w:space="0" w:color="000000"/>
            </w:tcBorders>
          </w:tcPr>
          <w:p w:rsidR="00E8309B" w:rsidRDefault="009D0949">
            <w:pPr>
              <w:spacing w:after="0" w:line="259" w:lineRule="auto"/>
              <w:ind w:left="0" w:right="0" w:firstLine="0"/>
              <w:jc w:val="left"/>
            </w:pPr>
            <w:r>
              <w:rPr>
                <w:sz w:val="20"/>
              </w:rPr>
              <w:t xml:space="preserve">3. Увоз робе </w:t>
            </w:r>
          </w:p>
        </w:tc>
        <w:tc>
          <w:tcPr>
            <w:tcW w:w="1604" w:type="dxa"/>
            <w:tcBorders>
              <w:top w:val="dashed" w:sz="4" w:space="0" w:color="000000"/>
              <w:left w:val="single" w:sz="8" w:space="0" w:color="000000"/>
              <w:bottom w:val="dashed" w:sz="4" w:space="0" w:color="000000"/>
              <w:right w:val="single" w:sz="8" w:space="0" w:color="000000"/>
            </w:tcBorders>
          </w:tcPr>
          <w:p w:rsidR="00E8309B" w:rsidRDefault="009D0949">
            <w:pPr>
              <w:spacing w:after="0" w:line="259" w:lineRule="auto"/>
              <w:ind w:left="0" w:right="50" w:firstLine="0"/>
              <w:jc w:val="center"/>
            </w:pPr>
            <w:r>
              <w:rPr>
                <w:sz w:val="20"/>
              </w:rPr>
              <w:t xml:space="preserve">млрд ЕУР </w:t>
            </w:r>
          </w:p>
        </w:tc>
        <w:tc>
          <w:tcPr>
            <w:tcW w:w="984" w:type="dxa"/>
            <w:tcBorders>
              <w:top w:val="dashed" w:sz="4" w:space="0" w:color="000000"/>
              <w:left w:val="single" w:sz="8" w:space="0" w:color="000000"/>
              <w:bottom w:val="dashed" w:sz="4" w:space="0" w:color="000000"/>
              <w:right w:val="dashed" w:sz="4" w:space="0" w:color="000000"/>
            </w:tcBorders>
          </w:tcPr>
          <w:p w:rsidR="00E8309B" w:rsidRDefault="009D0949">
            <w:pPr>
              <w:spacing w:after="0" w:line="259" w:lineRule="auto"/>
              <w:ind w:left="0" w:right="52" w:firstLine="0"/>
              <w:jc w:val="right"/>
            </w:pPr>
            <w:r>
              <w:rPr>
                <w:sz w:val="20"/>
              </w:rPr>
              <w:t xml:space="preserve">20,2 </w:t>
            </w:r>
          </w:p>
        </w:tc>
        <w:tc>
          <w:tcPr>
            <w:tcW w:w="984"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52" w:firstLine="0"/>
              <w:jc w:val="right"/>
            </w:pPr>
            <w:r>
              <w:rPr>
                <w:sz w:val="20"/>
              </w:rPr>
              <w:t xml:space="preserve">22,0 </w:t>
            </w:r>
          </w:p>
        </w:tc>
        <w:tc>
          <w:tcPr>
            <w:tcW w:w="982"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49" w:firstLine="0"/>
              <w:jc w:val="right"/>
            </w:pPr>
            <w:r>
              <w:rPr>
                <w:sz w:val="20"/>
              </w:rPr>
              <w:t xml:space="preserve">20,7 </w:t>
            </w:r>
          </w:p>
        </w:tc>
        <w:tc>
          <w:tcPr>
            <w:tcW w:w="984"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49" w:firstLine="0"/>
              <w:jc w:val="right"/>
            </w:pPr>
            <w:r>
              <w:rPr>
                <w:sz w:val="20"/>
              </w:rPr>
              <w:t xml:space="preserve">23,3 </w:t>
            </w:r>
          </w:p>
        </w:tc>
        <w:tc>
          <w:tcPr>
            <w:tcW w:w="984"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52" w:firstLine="0"/>
              <w:jc w:val="right"/>
            </w:pPr>
            <w:r>
              <w:rPr>
                <w:sz w:val="20"/>
              </w:rPr>
              <w:t xml:space="preserve">25,2 </w:t>
            </w:r>
          </w:p>
        </w:tc>
        <w:tc>
          <w:tcPr>
            <w:tcW w:w="994" w:type="dxa"/>
            <w:tcBorders>
              <w:top w:val="dashed" w:sz="4" w:space="0" w:color="000000"/>
              <w:left w:val="dashed" w:sz="4" w:space="0" w:color="000000"/>
              <w:bottom w:val="dashed" w:sz="4" w:space="0" w:color="000000"/>
              <w:right w:val="double" w:sz="6" w:space="0" w:color="000000"/>
            </w:tcBorders>
          </w:tcPr>
          <w:p w:rsidR="00E8309B" w:rsidRDefault="009D0949">
            <w:pPr>
              <w:spacing w:after="0" w:line="259" w:lineRule="auto"/>
              <w:ind w:left="0" w:right="49" w:firstLine="0"/>
              <w:jc w:val="right"/>
            </w:pPr>
            <w:r>
              <w:rPr>
                <w:sz w:val="20"/>
              </w:rPr>
              <w:t xml:space="preserve">27,3 </w:t>
            </w:r>
          </w:p>
        </w:tc>
      </w:tr>
      <w:tr w:rsidR="00E8309B">
        <w:trPr>
          <w:gridAfter w:val="1"/>
          <w:wAfter w:w="283" w:type="dxa"/>
          <w:trHeight w:val="240"/>
        </w:trPr>
        <w:tc>
          <w:tcPr>
            <w:tcW w:w="6750" w:type="dxa"/>
            <w:tcBorders>
              <w:top w:val="dashed" w:sz="4" w:space="0" w:color="000000"/>
              <w:left w:val="double" w:sz="6" w:space="0" w:color="000000"/>
              <w:bottom w:val="dashed" w:sz="4" w:space="0" w:color="000000"/>
              <w:right w:val="single" w:sz="8" w:space="0" w:color="000000"/>
            </w:tcBorders>
          </w:tcPr>
          <w:p w:rsidR="00E8309B" w:rsidRDefault="009D0949">
            <w:pPr>
              <w:spacing w:after="0" w:line="259" w:lineRule="auto"/>
              <w:ind w:left="0" w:right="0" w:firstLine="0"/>
              <w:jc w:val="left"/>
            </w:pPr>
            <w:r>
              <w:rPr>
                <w:sz w:val="20"/>
              </w:rPr>
              <w:t xml:space="preserve">4. Спољнотрговински биланс </w:t>
            </w:r>
          </w:p>
        </w:tc>
        <w:tc>
          <w:tcPr>
            <w:tcW w:w="1604" w:type="dxa"/>
            <w:tcBorders>
              <w:top w:val="dashed" w:sz="4" w:space="0" w:color="000000"/>
              <w:left w:val="single" w:sz="8" w:space="0" w:color="000000"/>
              <w:bottom w:val="dashed" w:sz="4" w:space="0" w:color="000000"/>
              <w:right w:val="single" w:sz="8" w:space="0" w:color="000000"/>
            </w:tcBorders>
          </w:tcPr>
          <w:p w:rsidR="00E8309B" w:rsidRDefault="009D0949">
            <w:pPr>
              <w:spacing w:after="0" w:line="259" w:lineRule="auto"/>
              <w:ind w:left="0" w:right="50" w:firstLine="0"/>
              <w:jc w:val="center"/>
            </w:pPr>
            <w:r>
              <w:rPr>
                <w:sz w:val="20"/>
              </w:rPr>
              <w:t xml:space="preserve">млрд ЕУР </w:t>
            </w:r>
          </w:p>
        </w:tc>
        <w:tc>
          <w:tcPr>
            <w:tcW w:w="984" w:type="dxa"/>
            <w:tcBorders>
              <w:top w:val="dashed" w:sz="4" w:space="0" w:color="000000"/>
              <w:left w:val="single" w:sz="8" w:space="0" w:color="000000"/>
              <w:bottom w:val="dashed" w:sz="4" w:space="0" w:color="000000"/>
              <w:right w:val="dashed" w:sz="4" w:space="0" w:color="000000"/>
            </w:tcBorders>
          </w:tcPr>
          <w:p w:rsidR="00E8309B" w:rsidRDefault="009D0949">
            <w:pPr>
              <w:spacing w:after="0" w:line="259" w:lineRule="auto"/>
              <w:ind w:left="0" w:right="53" w:firstLine="0"/>
              <w:jc w:val="right"/>
            </w:pPr>
            <w:r>
              <w:rPr>
                <w:sz w:val="20"/>
              </w:rPr>
              <w:t xml:space="preserve">-5 </w:t>
            </w:r>
          </w:p>
        </w:tc>
        <w:tc>
          <w:tcPr>
            <w:tcW w:w="984"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53" w:firstLine="0"/>
              <w:jc w:val="right"/>
            </w:pPr>
            <w:r>
              <w:rPr>
                <w:sz w:val="20"/>
              </w:rPr>
              <w:t xml:space="preserve">-6 </w:t>
            </w:r>
          </w:p>
        </w:tc>
        <w:tc>
          <w:tcPr>
            <w:tcW w:w="982"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51" w:firstLine="0"/>
              <w:jc w:val="right"/>
            </w:pPr>
            <w:r>
              <w:rPr>
                <w:sz w:val="20"/>
              </w:rPr>
              <w:t xml:space="preserve">-5 </w:t>
            </w:r>
          </w:p>
        </w:tc>
        <w:tc>
          <w:tcPr>
            <w:tcW w:w="984"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51" w:firstLine="0"/>
              <w:jc w:val="right"/>
            </w:pPr>
            <w:r>
              <w:rPr>
                <w:sz w:val="20"/>
              </w:rPr>
              <w:t xml:space="preserve">-6 </w:t>
            </w:r>
          </w:p>
        </w:tc>
        <w:tc>
          <w:tcPr>
            <w:tcW w:w="984"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53" w:firstLine="0"/>
              <w:jc w:val="right"/>
            </w:pPr>
            <w:r>
              <w:rPr>
                <w:sz w:val="20"/>
              </w:rPr>
              <w:t xml:space="preserve">-6 </w:t>
            </w:r>
          </w:p>
        </w:tc>
        <w:tc>
          <w:tcPr>
            <w:tcW w:w="994" w:type="dxa"/>
            <w:tcBorders>
              <w:top w:val="dashed" w:sz="4" w:space="0" w:color="000000"/>
              <w:left w:val="dashed" w:sz="4" w:space="0" w:color="000000"/>
              <w:bottom w:val="dashed" w:sz="4" w:space="0" w:color="000000"/>
              <w:right w:val="double" w:sz="6" w:space="0" w:color="000000"/>
            </w:tcBorders>
          </w:tcPr>
          <w:p w:rsidR="00E8309B" w:rsidRDefault="009D0949">
            <w:pPr>
              <w:spacing w:after="0" w:line="259" w:lineRule="auto"/>
              <w:ind w:left="0" w:right="51" w:firstLine="0"/>
              <w:jc w:val="right"/>
            </w:pPr>
            <w:r>
              <w:rPr>
                <w:sz w:val="20"/>
              </w:rPr>
              <w:t xml:space="preserve">-6 </w:t>
            </w:r>
          </w:p>
        </w:tc>
      </w:tr>
      <w:tr w:rsidR="00E8309B">
        <w:trPr>
          <w:gridAfter w:val="1"/>
          <w:wAfter w:w="283" w:type="dxa"/>
          <w:trHeight w:val="240"/>
        </w:trPr>
        <w:tc>
          <w:tcPr>
            <w:tcW w:w="6750" w:type="dxa"/>
            <w:tcBorders>
              <w:top w:val="dashed" w:sz="4" w:space="0" w:color="000000"/>
              <w:left w:val="double" w:sz="6" w:space="0" w:color="000000"/>
              <w:bottom w:val="dashed" w:sz="4" w:space="0" w:color="000000"/>
              <w:right w:val="single" w:sz="8" w:space="0" w:color="000000"/>
            </w:tcBorders>
          </w:tcPr>
          <w:p w:rsidR="00E8309B" w:rsidRDefault="009D0949">
            <w:pPr>
              <w:spacing w:after="0" w:line="259" w:lineRule="auto"/>
              <w:ind w:left="0" w:right="0" w:firstLine="0"/>
              <w:jc w:val="left"/>
            </w:pPr>
            <w:r>
              <w:rPr>
                <w:sz w:val="20"/>
              </w:rPr>
              <w:t xml:space="preserve">5. Извоз услуга </w:t>
            </w:r>
          </w:p>
        </w:tc>
        <w:tc>
          <w:tcPr>
            <w:tcW w:w="1604" w:type="dxa"/>
            <w:tcBorders>
              <w:top w:val="dashed" w:sz="4" w:space="0" w:color="000000"/>
              <w:left w:val="single" w:sz="8" w:space="0" w:color="000000"/>
              <w:bottom w:val="dashed" w:sz="4" w:space="0" w:color="000000"/>
              <w:right w:val="single" w:sz="8" w:space="0" w:color="000000"/>
            </w:tcBorders>
          </w:tcPr>
          <w:p w:rsidR="00E8309B" w:rsidRDefault="009D0949">
            <w:pPr>
              <w:spacing w:after="0" w:line="259" w:lineRule="auto"/>
              <w:ind w:left="0" w:right="50" w:firstLine="0"/>
              <w:jc w:val="center"/>
            </w:pPr>
            <w:r>
              <w:rPr>
                <w:sz w:val="20"/>
              </w:rPr>
              <w:t xml:space="preserve">млрд ЕУР </w:t>
            </w:r>
          </w:p>
        </w:tc>
        <w:tc>
          <w:tcPr>
            <w:tcW w:w="984" w:type="dxa"/>
            <w:tcBorders>
              <w:top w:val="dashed" w:sz="4" w:space="0" w:color="000000"/>
              <w:left w:val="single" w:sz="8" w:space="0" w:color="000000"/>
              <w:bottom w:val="dashed" w:sz="4" w:space="0" w:color="000000"/>
              <w:right w:val="dashed" w:sz="4" w:space="0" w:color="000000"/>
            </w:tcBorders>
          </w:tcPr>
          <w:p w:rsidR="00E8309B" w:rsidRDefault="009D0949">
            <w:pPr>
              <w:spacing w:after="0" w:line="259" w:lineRule="auto"/>
              <w:ind w:left="0" w:right="51" w:firstLine="0"/>
              <w:jc w:val="right"/>
            </w:pPr>
            <w:r>
              <w:rPr>
                <w:sz w:val="20"/>
              </w:rPr>
              <w:t xml:space="preserve">6,1 </w:t>
            </w:r>
          </w:p>
        </w:tc>
        <w:tc>
          <w:tcPr>
            <w:tcW w:w="984"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51" w:firstLine="0"/>
              <w:jc w:val="right"/>
            </w:pPr>
            <w:r>
              <w:rPr>
                <w:sz w:val="20"/>
              </w:rPr>
              <w:t xml:space="preserve">6,9 </w:t>
            </w:r>
          </w:p>
        </w:tc>
        <w:tc>
          <w:tcPr>
            <w:tcW w:w="982"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49" w:firstLine="0"/>
              <w:jc w:val="right"/>
            </w:pPr>
            <w:r>
              <w:rPr>
                <w:sz w:val="20"/>
              </w:rPr>
              <w:t xml:space="preserve">5,9 </w:t>
            </w:r>
          </w:p>
        </w:tc>
        <w:tc>
          <w:tcPr>
            <w:tcW w:w="984"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49" w:firstLine="0"/>
              <w:jc w:val="right"/>
            </w:pPr>
            <w:r>
              <w:rPr>
                <w:sz w:val="20"/>
              </w:rPr>
              <w:t xml:space="preserve">6,6 </w:t>
            </w:r>
          </w:p>
        </w:tc>
        <w:tc>
          <w:tcPr>
            <w:tcW w:w="984"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51" w:firstLine="0"/>
              <w:jc w:val="right"/>
            </w:pPr>
            <w:r>
              <w:rPr>
                <w:sz w:val="20"/>
              </w:rPr>
              <w:t xml:space="preserve">7,4 </w:t>
            </w:r>
          </w:p>
        </w:tc>
        <w:tc>
          <w:tcPr>
            <w:tcW w:w="994" w:type="dxa"/>
            <w:tcBorders>
              <w:top w:val="dashed" w:sz="4" w:space="0" w:color="000000"/>
              <w:left w:val="dashed" w:sz="4" w:space="0" w:color="000000"/>
              <w:bottom w:val="dashed" w:sz="4" w:space="0" w:color="000000"/>
              <w:right w:val="double" w:sz="6" w:space="0" w:color="000000"/>
            </w:tcBorders>
          </w:tcPr>
          <w:p w:rsidR="00E8309B" w:rsidRDefault="009D0949">
            <w:pPr>
              <w:spacing w:after="0" w:line="259" w:lineRule="auto"/>
              <w:ind w:left="0" w:right="49" w:firstLine="0"/>
              <w:jc w:val="right"/>
            </w:pPr>
            <w:r>
              <w:rPr>
                <w:sz w:val="20"/>
              </w:rPr>
              <w:t xml:space="preserve">8,1 </w:t>
            </w:r>
          </w:p>
        </w:tc>
      </w:tr>
      <w:tr w:rsidR="00E8309B">
        <w:trPr>
          <w:gridAfter w:val="1"/>
          <w:wAfter w:w="283" w:type="dxa"/>
          <w:trHeight w:val="240"/>
        </w:trPr>
        <w:tc>
          <w:tcPr>
            <w:tcW w:w="6750" w:type="dxa"/>
            <w:tcBorders>
              <w:top w:val="dashed" w:sz="4" w:space="0" w:color="000000"/>
              <w:left w:val="double" w:sz="6" w:space="0" w:color="000000"/>
              <w:bottom w:val="dashed" w:sz="4" w:space="0" w:color="000000"/>
              <w:right w:val="single" w:sz="8" w:space="0" w:color="000000"/>
            </w:tcBorders>
          </w:tcPr>
          <w:p w:rsidR="00E8309B" w:rsidRDefault="009D0949">
            <w:pPr>
              <w:spacing w:after="0" w:line="259" w:lineRule="auto"/>
              <w:ind w:left="0" w:right="0" w:firstLine="0"/>
              <w:jc w:val="left"/>
            </w:pPr>
            <w:r>
              <w:rPr>
                <w:sz w:val="20"/>
              </w:rPr>
              <w:t xml:space="preserve">6. Увоз услуга </w:t>
            </w:r>
          </w:p>
        </w:tc>
        <w:tc>
          <w:tcPr>
            <w:tcW w:w="1604" w:type="dxa"/>
            <w:tcBorders>
              <w:top w:val="dashed" w:sz="4" w:space="0" w:color="000000"/>
              <w:left w:val="single" w:sz="8" w:space="0" w:color="000000"/>
              <w:bottom w:val="dashed" w:sz="4" w:space="0" w:color="000000"/>
              <w:right w:val="single" w:sz="8" w:space="0" w:color="000000"/>
            </w:tcBorders>
          </w:tcPr>
          <w:p w:rsidR="00E8309B" w:rsidRDefault="009D0949">
            <w:pPr>
              <w:spacing w:after="0" w:line="259" w:lineRule="auto"/>
              <w:ind w:left="0" w:right="50" w:firstLine="0"/>
              <w:jc w:val="center"/>
            </w:pPr>
            <w:r>
              <w:rPr>
                <w:sz w:val="20"/>
              </w:rPr>
              <w:t xml:space="preserve">млрд ЕУР </w:t>
            </w:r>
          </w:p>
        </w:tc>
        <w:tc>
          <w:tcPr>
            <w:tcW w:w="984" w:type="dxa"/>
            <w:tcBorders>
              <w:top w:val="dashed" w:sz="4" w:space="0" w:color="000000"/>
              <w:left w:val="single" w:sz="8" w:space="0" w:color="000000"/>
              <w:bottom w:val="dashed" w:sz="4" w:space="0" w:color="000000"/>
              <w:right w:val="dashed" w:sz="4" w:space="0" w:color="000000"/>
            </w:tcBorders>
          </w:tcPr>
          <w:p w:rsidR="00E8309B" w:rsidRDefault="009D0949">
            <w:pPr>
              <w:spacing w:after="0" w:line="259" w:lineRule="auto"/>
              <w:ind w:left="0" w:right="51" w:firstLine="0"/>
              <w:jc w:val="right"/>
            </w:pPr>
            <w:r>
              <w:rPr>
                <w:sz w:val="20"/>
              </w:rPr>
              <w:t xml:space="preserve">5,1 </w:t>
            </w:r>
          </w:p>
        </w:tc>
        <w:tc>
          <w:tcPr>
            <w:tcW w:w="984"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51" w:firstLine="0"/>
              <w:jc w:val="right"/>
            </w:pPr>
            <w:r>
              <w:rPr>
                <w:sz w:val="20"/>
              </w:rPr>
              <w:t xml:space="preserve">5,9 </w:t>
            </w:r>
          </w:p>
        </w:tc>
        <w:tc>
          <w:tcPr>
            <w:tcW w:w="982"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49" w:firstLine="0"/>
              <w:jc w:val="right"/>
            </w:pPr>
            <w:r>
              <w:rPr>
                <w:sz w:val="20"/>
              </w:rPr>
              <w:t xml:space="preserve">4,8 </w:t>
            </w:r>
          </w:p>
        </w:tc>
        <w:tc>
          <w:tcPr>
            <w:tcW w:w="984"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49" w:firstLine="0"/>
              <w:jc w:val="right"/>
            </w:pPr>
            <w:r>
              <w:rPr>
                <w:sz w:val="20"/>
              </w:rPr>
              <w:t xml:space="preserve">5,3 </w:t>
            </w:r>
          </w:p>
        </w:tc>
        <w:tc>
          <w:tcPr>
            <w:tcW w:w="984"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51" w:firstLine="0"/>
              <w:jc w:val="right"/>
            </w:pPr>
            <w:r>
              <w:rPr>
                <w:sz w:val="20"/>
              </w:rPr>
              <w:t xml:space="preserve">5,8 </w:t>
            </w:r>
          </w:p>
        </w:tc>
        <w:tc>
          <w:tcPr>
            <w:tcW w:w="994" w:type="dxa"/>
            <w:tcBorders>
              <w:top w:val="dashed" w:sz="4" w:space="0" w:color="000000"/>
              <w:left w:val="dashed" w:sz="4" w:space="0" w:color="000000"/>
              <w:bottom w:val="dashed" w:sz="4" w:space="0" w:color="000000"/>
              <w:right w:val="double" w:sz="6" w:space="0" w:color="000000"/>
            </w:tcBorders>
          </w:tcPr>
          <w:p w:rsidR="00E8309B" w:rsidRDefault="009D0949">
            <w:pPr>
              <w:spacing w:after="0" w:line="259" w:lineRule="auto"/>
              <w:ind w:left="0" w:right="49" w:firstLine="0"/>
              <w:jc w:val="right"/>
            </w:pPr>
            <w:r>
              <w:rPr>
                <w:sz w:val="20"/>
              </w:rPr>
              <w:t xml:space="preserve">6,3 </w:t>
            </w:r>
          </w:p>
        </w:tc>
      </w:tr>
      <w:tr w:rsidR="00E8309B">
        <w:trPr>
          <w:gridAfter w:val="1"/>
          <w:wAfter w:w="283" w:type="dxa"/>
          <w:trHeight w:val="240"/>
        </w:trPr>
        <w:tc>
          <w:tcPr>
            <w:tcW w:w="6750" w:type="dxa"/>
            <w:tcBorders>
              <w:top w:val="dashed" w:sz="4" w:space="0" w:color="000000"/>
              <w:left w:val="double" w:sz="6" w:space="0" w:color="000000"/>
              <w:bottom w:val="dashed" w:sz="4" w:space="0" w:color="000000"/>
              <w:right w:val="single" w:sz="8" w:space="0" w:color="000000"/>
            </w:tcBorders>
          </w:tcPr>
          <w:p w:rsidR="00E8309B" w:rsidRDefault="009D0949">
            <w:pPr>
              <w:spacing w:after="0" w:line="259" w:lineRule="auto"/>
              <w:ind w:left="0" w:right="0" w:firstLine="0"/>
              <w:jc w:val="left"/>
            </w:pPr>
            <w:r>
              <w:rPr>
                <w:sz w:val="20"/>
              </w:rPr>
              <w:t xml:space="preserve">7. Биланс услуга </w:t>
            </w:r>
          </w:p>
        </w:tc>
        <w:tc>
          <w:tcPr>
            <w:tcW w:w="1604" w:type="dxa"/>
            <w:tcBorders>
              <w:top w:val="dashed" w:sz="4" w:space="0" w:color="000000"/>
              <w:left w:val="single" w:sz="8" w:space="0" w:color="000000"/>
              <w:bottom w:val="dashed" w:sz="4" w:space="0" w:color="000000"/>
              <w:right w:val="single" w:sz="8" w:space="0" w:color="000000"/>
            </w:tcBorders>
          </w:tcPr>
          <w:p w:rsidR="00E8309B" w:rsidRDefault="009D0949">
            <w:pPr>
              <w:spacing w:after="0" w:line="259" w:lineRule="auto"/>
              <w:ind w:left="0" w:right="50" w:firstLine="0"/>
              <w:jc w:val="center"/>
            </w:pPr>
            <w:r>
              <w:rPr>
                <w:sz w:val="20"/>
              </w:rPr>
              <w:t xml:space="preserve">млрд ЕУР </w:t>
            </w:r>
          </w:p>
        </w:tc>
        <w:tc>
          <w:tcPr>
            <w:tcW w:w="984" w:type="dxa"/>
            <w:tcBorders>
              <w:top w:val="dashed" w:sz="4" w:space="0" w:color="000000"/>
              <w:left w:val="single" w:sz="8" w:space="0" w:color="000000"/>
              <w:bottom w:val="dashed" w:sz="4" w:space="0" w:color="000000"/>
              <w:right w:val="dashed" w:sz="4" w:space="0" w:color="000000"/>
            </w:tcBorders>
          </w:tcPr>
          <w:p w:rsidR="00E8309B" w:rsidRDefault="009D0949">
            <w:pPr>
              <w:spacing w:after="0" w:line="259" w:lineRule="auto"/>
              <w:ind w:left="0" w:right="53" w:firstLine="0"/>
              <w:jc w:val="right"/>
            </w:pPr>
            <w:r>
              <w:rPr>
                <w:sz w:val="20"/>
              </w:rPr>
              <w:t xml:space="preserve">1 </w:t>
            </w:r>
          </w:p>
        </w:tc>
        <w:tc>
          <w:tcPr>
            <w:tcW w:w="984"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53" w:firstLine="0"/>
              <w:jc w:val="right"/>
            </w:pPr>
            <w:r>
              <w:rPr>
                <w:sz w:val="20"/>
              </w:rPr>
              <w:t xml:space="preserve">1 </w:t>
            </w:r>
          </w:p>
        </w:tc>
        <w:tc>
          <w:tcPr>
            <w:tcW w:w="982"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51" w:firstLine="0"/>
              <w:jc w:val="right"/>
            </w:pPr>
            <w:r>
              <w:rPr>
                <w:sz w:val="20"/>
              </w:rPr>
              <w:t xml:space="preserve">1 </w:t>
            </w:r>
          </w:p>
        </w:tc>
        <w:tc>
          <w:tcPr>
            <w:tcW w:w="984"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51" w:firstLine="0"/>
              <w:jc w:val="right"/>
            </w:pPr>
            <w:r>
              <w:rPr>
                <w:sz w:val="20"/>
              </w:rPr>
              <w:t xml:space="preserve">1 </w:t>
            </w:r>
          </w:p>
        </w:tc>
        <w:tc>
          <w:tcPr>
            <w:tcW w:w="984"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53" w:firstLine="0"/>
              <w:jc w:val="right"/>
            </w:pPr>
            <w:r>
              <w:rPr>
                <w:sz w:val="20"/>
              </w:rPr>
              <w:t>2</w:t>
            </w:r>
            <w:r>
              <w:rPr>
                <w:sz w:val="20"/>
              </w:rPr>
              <w:t xml:space="preserve"> </w:t>
            </w:r>
          </w:p>
        </w:tc>
        <w:tc>
          <w:tcPr>
            <w:tcW w:w="994" w:type="dxa"/>
            <w:tcBorders>
              <w:top w:val="dashed" w:sz="4" w:space="0" w:color="000000"/>
              <w:left w:val="dashed" w:sz="4" w:space="0" w:color="000000"/>
              <w:bottom w:val="dashed" w:sz="4" w:space="0" w:color="000000"/>
              <w:right w:val="double" w:sz="6" w:space="0" w:color="000000"/>
            </w:tcBorders>
          </w:tcPr>
          <w:p w:rsidR="00E8309B" w:rsidRDefault="009D0949">
            <w:pPr>
              <w:spacing w:after="0" w:line="259" w:lineRule="auto"/>
              <w:ind w:left="0" w:right="51" w:firstLine="0"/>
              <w:jc w:val="right"/>
            </w:pPr>
            <w:r>
              <w:rPr>
                <w:sz w:val="20"/>
              </w:rPr>
              <w:t xml:space="preserve">2 </w:t>
            </w:r>
          </w:p>
        </w:tc>
      </w:tr>
      <w:tr w:rsidR="00E8309B">
        <w:trPr>
          <w:gridAfter w:val="1"/>
          <w:wAfter w:w="283" w:type="dxa"/>
          <w:trHeight w:val="240"/>
        </w:trPr>
        <w:tc>
          <w:tcPr>
            <w:tcW w:w="6750" w:type="dxa"/>
            <w:tcBorders>
              <w:top w:val="dashed" w:sz="4" w:space="0" w:color="000000"/>
              <w:left w:val="double" w:sz="6" w:space="0" w:color="000000"/>
              <w:bottom w:val="dashed" w:sz="4" w:space="0" w:color="000000"/>
              <w:right w:val="single" w:sz="8" w:space="0" w:color="000000"/>
            </w:tcBorders>
          </w:tcPr>
          <w:p w:rsidR="00E8309B" w:rsidRDefault="009D0949">
            <w:pPr>
              <w:spacing w:after="0" w:line="259" w:lineRule="auto"/>
              <w:ind w:left="0" w:right="0" w:firstLine="0"/>
              <w:jc w:val="left"/>
            </w:pPr>
            <w:r>
              <w:rPr>
                <w:sz w:val="20"/>
              </w:rPr>
              <w:t xml:space="preserve">8. Нето примљене камате из иностранства </w:t>
            </w:r>
          </w:p>
        </w:tc>
        <w:tc>
          <w:tcPr>
            <w:tcW w:w="1604" w:type="dxa"/>
            <w:tcBorders>
              <w:top w:val="dashed" w:sz="4" w:space="0" w:color="000000"/>
              <w:left w:val="single" w:sz="8" w:space="0" w:color="000000"/>
              <w:bottom w:val="dashed" w:sz="4" w:space="0" w:color="000000"/>
              <w:right w:val="single" w:sz="8" w:space="0" w:color="000000"/>
            </w:tcBorders>
          </w:tcPr>
          <w:p w:rsidR="00E8309B" w:rsidRDefault="009D0949">
            <w:pPr>
              <w:spacing w:after="0" w:line="259" w:lineRule="auto"/>
              <w:ind w:left="0" w:right="50" w:firstLine="0"/>
              <w:jc w:val="center"/>
            </w:pPr>
            <w:r>
              <w:rPr>
                <w:sz w:val="20"/>
              </w:rPr>
              <w:t xml:space="preserve">млрд ЕУР </w:t>
            </w:r>
          </w:p>
        </w:tc>
        <w:tc>
          <w:tcPr>
            <w:tcW w:w="984" w:type="dxa"/>
            <w:tcBorders>
              <w:top w:val="dashed" w:sz="4" w:space="0" w:color="000000"/>
              <w:left w:val="single" w:sz="8" w:space="0" w:color="000000"/>
              <w:bottom w:val="dashed" w:sz="4" w:space="0" w:color="000000"/>
              <w:right w:val="dashed" w:sz="4" w:space="0" w:color="000000"/>
            </w:tcBorders>
          </w:tcPr>
          <w:p w:rsidR="00E8309B" w:rsidRDefault="009D0949">
            <w:pPr>
              <w:spacing w:after="0" w:line="259" w:lineRule="auto"/>
              <w:ind w:left="0" w:right="54" w:firstLine="0"/>
              <w:jc w:val="right"/>
            </w:pPr>
            <w:r>
              <w:rPr>
                <w:sz w:val="20"/>
              </w:rPr>
              <w:t xml:space="preserve">-0,7 </w:t>
            </w:r>
          </w:p>
        </w:tc>
        <w:tc>
          <w:tcPr>
            <w:tcW w:w="984"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54" w:firstLine="0"/>
              <w:jc w:val="right"/>
            </w:pPr>
            <w:r>
              <w:rPr>
                <w:sz w:val="20"/>
              </w:rPr>
              <w:t xml:space="preserve">-0,6 </w:t>
            </w:r>
          </w:p>
        </w:tc>
        <w:tc>
          <w:tcPr>
            <w:tcW w:w="982"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51" w:firstLine="0"/>
              <w:jc w:val="right"/>
            </w:pPr>
            <w:r>
              <w:rPr>
                <w:sz w:val="20"/>
              </w:rPr>
              <w:t xml:space="preserve">-0,8 </w:t>
            </w:r>
          </w:p>
        </w:tc>
        <w:tc>
          <w:tcPr>
            <w:tcW w:w="984"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51" w:firstLine="0"/>
              <w:jc w:val="right"/>
            </w:pPr>
            <w:r>
              <w:rPr>
                <w:sz w:val="20"/>
              </w:rPr>
              <w:t xml:space="preserve">-0,8 </w:t>
            </w:r>
          </w:p>
        </w:tc>
        <w:tc>
          <w:tcPr>
            <w:tcW w:w="984"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54" w:firstLine="0"/>
              <w:jc w:val="right"/>
            </w:pPr>
            <w:r>
              <w:rPr>
                <w:sz w:val="20"/>
              </w:rPr>
              <w:t xml:space="preserve">-0,7 </w:t>
            </w:r>
          </w:p>
        </w:tc>
        <w:tc>
          <w:tcPr>
            <w:tcW w:w="994" w:type="dxa"/>
            <w:tcBorders>
              <w:top w:val="dashed" w:sz="4" w:space="0" w:color="000000"/>
              <w:left w:val="dashed" w:sz="4" w:space="0" w:color="000000"/>
              <w:bottom w:val="dashed" w:sz="4" w:space="0" w:color="000000"/>
              <w:right w:val="double" w:sz="6" w:space="0" w:color="000000"/>
            </w:tcBorders>
          </w:tcPr>
          <w:p w:rsidR="00E8309B" w:rsidRDefault="009D0949">
            <w:pPr>
              <w:spacing w:after="0" w:line="259" w:lineRule="auto"/>
              <w:ind w:left="0" w:right="51" w:firstLine="0"/>
              <w:jc w:val="right"/>
            </w:pPr>
            <w:r>
              <w:rPr>
                <w:sz w:val="20"/>
              </w:rPr>
              <w:t xml:space="preserve">-0,8 </w:t>
            </w:r>
          </w:p>
        </w:tc>
      </w:tr>
      <w:tr w:rsidR="00E8309B">
        <w:trPr>
          <w:gridAfter w:val="1"/>
          <w:wAfter w:w="283" w:type="dxa"/>
          <w:trHeight w:val="240"/>
        </w:trPr>
        <w:tc>
          <w:tcPr>
            <w:tcW w:w="6750" w:type="dxa"/>
            <w:tcBorders>
              <w:top w:val="dashed" w:sz="4" w:space="0" w:color="000000"/>
              <w:left w:val="double" w:sz="6" w:space="0" w:color="000000"/>
              <w:bottom w:val="dashed" w:sz="4" w:space="0" w:color="000000"/>
              <w:right w:val="single" w:sz="8" w:space="0" w:color="000000"/>
            </w:tcBorders>
          </w:tcPr>
          <w:p w:rsidR="00E8309B" w:rsidRDefault="009D0949">
            <w:pPr>
              <w:spacing w:after="0" w:line="259" w:lineRule="auto"/>
              <w:ind w:left="0" w:right="0" w:firstLine="0"/>
              <w:jc w:val="left"/>
            </w:pPr>
            <w:r>
              <w:rPr>
                <w:sz w:val="20"/>
              </w:rPr>
              <w:t xml:space="preserve">9. Остали нето факторски приход из иностранства  </w:t>
            </w:r>
          </w:p>
        </w:tc>
        <w:tc>
          <w:tcPr>
            <w:tcW w:w="1604" w:type="dxa"/>
            <w:tcBorders>
              <w:top w:val="dashed" w:sz="4" w:space="0" w:color="000000"/>
              <w:left w:val="single" w:sz="8" w:space="0" w:color="000000"/>
              <w:bottom w:val="dashed" w:sz="4" w:space="0" w:color="000000"/>
              <w:right w:val="single" w:sz="8" w:space="0" w:color="000000"/>
            </w:tcBorders>
          </w:tcPr>
          <w:p w:rsidR="00E8309B" w:rsidRDefault="009D0949">
            <w:pPr>
              <w:spacing w:after="0" w:line="259" w:lineRule="auto"/>
              <w:ind w:left="0" w:right="50" w:firstLine="0"/>
              <w:jc w:val="center"/>
            </w:pPr>
            <w:r>
              <w:rPr>
                <w:sz w:val="20"/>
              </w:rPr>
              <w:t xml:space="preserve">млрд ЕУР </w:t>
            </w:r>
          </w:p>
        </w:tc>
        <w:tc>
          <w:tcPr>
            <w:tcW w:w="984" w:type="dxa"/>
            <w:tcBorders>
              <w:top w:val="dashed" w:sz="4" w:space="0" w:color="000000"/>
              <w:left w:val="single" w:sz="8" w:space="0" w:color="000000"/>
              <w:bottom w:val="dashed" w:sz="4" w:space="0" w:color="000000"/>
              <w:right w:val="dashed" w:sz="4" w:space="0" w:color="000000"/>
            </w:tcBorders>
          </w:tcPr>
          <w:p w:rsidR="00E8309B" w:rsidRDefault="009D0949">
            <w:pPr>
              <w:spacing w:after="0" w:line="259" w:lineRule="auto"/>
              <w:ind w:left="0" w:right="54" w:firstLine="0"/>
              <w:jc w:val="right"/>
            </w:pPr>
            <w:r>
              <w:rPr>
                <w:sz w:val="20"/>
              </w:rPr>
              <w:t xml:space="preserve">-1,5 </w:t>
            </w:r>
          </w:p>
        </w:tc>
        <w:tc>
          <w:tcPr>
            <w:tcW w:w="984"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54" w:firstLine="0"/>
              <w:jc w:val="right"/>
            </w:pPr>
            <w:r>
              <w:rPr>
                <w:sz w:val="20"/>
              </w:rPr>
              <w:t xml:space="preserve">-1,8 </w:t>
            </w:r>
          </w:p>
        </w:tc>
        <w:tc>
          <w:tcPr>
            <w:tcW w:w="982"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51" w:firstLine="0"/>
              <w:jc w:val="right"/>
            </w:pPr>
            <w:r>
              <w:rPr>
                <w:sz w:val="20"/>
              </w:rPr>
              <w:t xml:space="preserve">-0,8 </w:t>
            </w:r>
          </w:p>
        </w:tc>
        <w:tc>
          <w:tcPr>
            <w:tcW w:w="984"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51" w:firstLine="0"/>
              <w:jc w:val="right"/>
            </w:pPr>
            <w:r>
              <w:rPr>
                <w:sz w:val="20"/>
              </w:rPr>
              <w:t xml:space="preserve">-1,6 </w:t>
            </w:r>
          </w:p>
        </w:tc>
        <w:tc>
          <w:tcPr>
            <w:tcW w:w="984"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54" w:firstLine="0"/>
              <w:jc w:val="right"/>
            </w:pPr>
            <w:r>
              <w:rPr>
                <w:sz w:val="20"/>
              </w:rPr>
              <w:t xml:space="preserve">-1,8 </w:t>
            </w:r>
          </w:p>
        </w:tc>
        <w:tc>
          <w:tcPr>
            <w:tcW w:w="994" w:type="dxa"/>
            <w:tcBorders>
              <w:top w:val="dashed" w:sz="4" w:space="0" w:color="000000"/>
              <w:left w:val="dashed" w:sz="4" w:space="0" w:color="000000"/>
              <w:bottom w:val="dashed" w:sz="4" w:space="0" w:color="000000"/>
              <w:right w:val="double" w:sz="6" w:space="0" w:color="000000"/>
            </w:tcBorders>
          </w:tcPr>
          <w:p w:rsidR="00E8309B" w:rsidRDefault="009D0949">
            <w:pPr>
              <w:spacing w:after="0" w:line="259" w:lineRule="auto"/>
              <w:ind w:left="0" w:right="51" w:firstLine="0"/>
              <w:jc w:val="right"/>
            </w:pPr>
            <w:r>
              <w:rPr>
                <w:sz w:val="20"/>
              </w:rPr>
              <w:t xml:space="preserve">-1,9 </w:t>
            </w:r>
          </w:p>
        </w:tc>
      </w:tr>
      <w:tr w:rsidR="00E8309B">
        <w:trPr>
          <w:gridAfter w:val="1"/>
          <w:wAfter w:w="283" w:type="dxa"/>
          <w:trHeight w:val="240"/>
        </w:trPr>
        <w:tc>
          <w:tcPr>
            <w:tcW w:w="6750" w:type="dxa"/>
            <w:tcBorders>
              <w:top w:val="dashed" w:sz="4" w:space="0" w:color="000000"/>
              <w:left w:val="double" w:sz="6" w:space="0" w:color="000000"/>
              <w:bottom w:val="dashed" w:sz="4" w:space="0" w:color="000000"/>
              <w:right w:val="single" w:sz="8" w:space="0" w:color="000000"/>
            </w:tcBorders>
          </w:tcPr>
          <w:p w:rsidR="00E8309B" w:rsidRDefault="009D0949">
            <w:pPr>
              <w:spacing w:after="0" w:line="259" w:lineRule="auto"/>
              <w:ind w:left="0" w:right="0" w:firstLine="0"/>
              <w:jc w:val="left"/>
            </w:pPr>
            <w:r>
              <w:rPr>
                <w:sz w:val="20"/>
              </w:rPr>
              <w:t xml:space="preserve">10. Текући трансфери </w:t>
            </w:r>
          </w:p>
        </w:tc>
        <w:tc>
          <w:tcPr>
            <w:tcW w:w="1604" w:type="dxa"/>
            <w:tcBorders>
              <w:top w:val="dashed" w:sz="4" w:space="0" w:color="000000"/>
              <w:left w:val="single" w:sz="8" w:space="0" w:color="000000"/>
              <w:bottom w:val="dashed" w:sz="4" w:space="0" w:color="000000"/>
              <w:right w:val="single" w:sz="8" w:space="0" w:color="000000"/>
            </w:tcBorders>
          </w:tcPr>
          <w:p w:rsidR="00E8309B" w:rsidRDefault="009D0949">
            <w:pPr>
              <w:spacing w:after="0" w:line="259" w:lineRule="auto"/>
              <w:ind w:left="0" w:right="50" w:firstLine="0"/>
              <w:jc w:val="center"/>
            </w:pPr>
            <w:r>
              <w:rPr>
                <w:sz w:val="20"/>
              </w:rPr>
              <w:t xml:space="preserve">млрд ЕУР </w:t>
            </w:r>
          </w:p>
        </w:tc>
        <w:tc>
          <w:tcPr>
            <w:tcW w:w="984" w:type="dxa"/>
            <w:tcBorders>
              <w:top w:val="dashed" w:sz="4" w:space="0" w:color="000000"/>
              <w:left w:val="single" w:sz="8" w:space="0" w:color="000000"/>
              <w:bottom w:val="dashed" w:sz="4" w:space="0" w:color="000000"/>
              <w:right w:val="dashed" w:sz="4" w:space="0" w:color="000000"/>
            </w:tcBorders>
          </w:tcPr>
          <w:p w:rsidR="00E8309B" w:rsidRDefault="009D0949">
            <w:pPr>
              <w:spacing w:after="0" w:line="259" w:lineRule="auto"/>
              <w:ind w:left="0" w:right="51" w:firstLine="0"/>
              <w:jc w:val="right"/>
            </w:pPr>
            <w:r>
              <w:rPr>
                <w:sz w:val="20"/>
              </w:rPr>
              <w:t xml:space="preserve">4,2 </w:t>
            </w:r>
          </w:p>
        </w:tc>
        <w:tc>
          <w:tcPr>
            <w:tcW w:w="984"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51" w:firstLine="0"/>
              <w:jc w:val="right"/>
            </w:pPr>
            <w:r>
              <w:rPr>
                <w:sz w:val="20"/>
              </w:rPr>
              <w:t xml:space="preserve">3,9 </w:t>
            </w:r>
          </w:p>
        </w:tc>
        <w:tc>
          <w:tcPr>
            <w:tcW w:w="982"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49" w:firstLine="0"/>
              <w:jc w:val="right"/>
            </w:pPr>
            <w:r>
              <w:rPr>
                <w:sz w:val="20"/>
              </w:rPr>
              <w:t xml:space="preserve">3,3 </w:t>
            </w:r>
          </w:p>
        </w:tc>
        <w:tc>
          <w:tcPr>
            <w:tcW w:w="984"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49" w:firstLine="0"/>
              <w:jc w:val="right"/>
            </w:pPr>
            <w:r>
              <w:rPr>
                <w:sz w:val="20"/>
              </w:rPr>
              <w:t xml:space="preserve">3,9 </w:t>
            </w:r>
          </w:p>
        </w:tc>
        <w:tc>
          <w:tcPr>
            <w:tcW w:w="984"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51" w:firstLine="0"/>
              <w:jc w:val="right"/>
            </w:pPr>
            <w:r>
              <w:rPr>
                <w:sz w:val="20"/>
              </w:rPr>
              <w:t xml:space="preserve">4,2 </w:t>
            </w:r>
          </w:p>
        </w:tc>
        <w:tc>
          <w:tcPr>
            <w:tcW w:w="994" w:type="dxa"/>
            <w:tcBorders>
              <w:top w:val="dashed" w:sz="4" w:space="0" w:color="000000"/>
              <w:left w:val="dashed" w:sz="4" w:space="0" w:color="000000"/>
              <w:bottom w:val="dashed" w:sz="4" w:space="0" w:color="000000"/>
              <w:right w:val="double" w:sz="6" w:space="0" w:color="000000"/>
            </w:tcBorders>
          </w:tcPr>
          <w:p w:rsidR="00E8309B" w:rsidRDefault="009D0949">
            <w:pPr>
              <w:spacing w:after="0" w:line="259" w:lineRule="auto"/>
              <w:ind w:left="0" w:right="49" w:firstLine="0"/>
              <w:jc w:val="right"/>
            </w:pPr>
            <w:r>
              <w:rPr>
                <w:sz w:val="20"/>
              </w:rPr>
              <w:t xml:space="preserve">4,3 </w:t>
            </w:r>
          </w:p>
        </w:tc>
      </w:tr>
      <w:tr w:rsidR="00E8309B">
        <w:trPr>
          <w:gridAfter w:val="1"/>
          <w:wAfter w:w="283" w:type="dxa"/>
          <w:trHeight w:val="240"/>
        </w:trPr>
        <w:tc>
          <w:tcPr>
            <w:tcW w:w="6750" w:type="dxa"/>
            <w:tcBorders>
              <w:top w:val="dashed" w:sz="4" w:space="0" w:color="000000"/>
              <w:left w:val="double" w:sz="6" w:space="0" w:color="000000"/>
              <w:bottom w:val="dashed" w:sz="4" w:space="0" w:color="000000"/>
              <w:right w:val="single" w:sz="8" w:space="0" w:color="000000"/>
            </w:tcBorders>
          </w:tcPr>
          <w:p w:rsidR="00E8309B" w:rsidRDefault="009D0949">
            <w:pPr>
              <w:spacing w:after="0" w:line="259" w:lineRule="auto"/>
              <w:ind w:left="0" w:right="0" w:firstLine="0"/>
              <w:jc w:val="left"/>
            </w:pPr>
            <w:r>
              <w:rPr>
                <w:i/>
                <w:sz w:val="20"/>
              </w:rPr>
              <w:t xml:space="preserve">11. Од чега из ЕУ </w:t>
            </w:r>
          </w:p>
        </w:tc>
        <w:tc>
          <w:tcPr>
            <w:tcW w:w="1604" w:type="dxa"/>
            <w:tcBorders>
              <w:top w:val="dashed" w:sz="4" w:space="0" w:color="000000"/>
              <w:left w:val="single" w:sz="8" w:space="0" w:color="000000"/>
              <w:bottom w:val="dashed" w:sz="4" w:space="0" w:color="000000"/>
              <w:right w:val="single" w:sz="8" w:space="0" w:color="000000"/>
            </w:tcBorders>
          </w:tcPr>
          <w:p w:rsidR="00E8309B" w:rsidRDefault="009D0949">
            <w:pPr>
              <w:spacing w:after="0" w:line="259" w:lineRule="auto"/>
              <w:ind w:left="0" w:right="50" w:firstLine="0"/>
              <w:jc w:val="center"/>
            </w:pPr>
            <w:r>
              <w:rPr>
                <w:sz w:val="20"/>
              </w:rPr>
              <w:t xml:space="preserve">млрд ЕУР </w:t>
            </w:r>
          </w:p>
        </w:tc>
        <w:tc>
          <w:tcPr>
            <w:tcW w:w="984" w:type="dxa"/>
            <w:tcBorders>
              <w:top w:val="dashed" w:sz="4" w:space="0" w:color="000000"/>
              <w:left w:val="single" w:sz="8" w:space="0" w:color="000000"/>
              <w:bottom w:val="dashed" w:sz="4" w:space="0" w:color="000000"/>
              <w:right w:val="dashed" w:sz="4" w:space="0" w:color="000000"/>
            </w:tcBorders>
          </w:tcPr>
          <w:p w:rsidR="00E8309B" w:rsidRDefault="009D0949">
            <w:pPr>
              <w:spacing w:after="0" w:line="259" w:lineRule="auto"/>
              <w:ind w:left="0" w:right="51" w:firstLine="0"/>
              <w:jc w:val="right"/>
            </w:pPr>
            <w:r>
              <w:rPr>
                <w:sz w:val="20"/>
              </w:rPr>
              <w:t xml:space="preserve">2,8 </w:t>
            </w:r>
          </w:p>
        </w:tc>
        <w:tc>
          <w:tcPr>
            <w:tcW w:w="984"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51" w:firstLine="0"/>
              <w:jc w:val="right"/>
            </w:pPr>
            <w:r>
              <w:rPr>
                <w:sz w:val="20"/>
              </w:rPr>
              <w:t xml:space="preserve">2,9 </w:t>
            </w:r>
          </w:p>
        </w:tc>
        <w:tc>
          <w:tcPr>
            <w:tcW w:w="982"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49" w:firstLine="0"/>
              <w:jc w:val="right"/>
            </w:pPr>
            <w:r>
              <w:rPr>
                <w:sz w:val="20"/>
              </w:rPr>
              <w:t xml:space="preserve">3,0 </w:t>
            </w:r>
          </w:p>
        </w:tc>
        <w:tc>
          <w:tcPr>
            <w:tcW w:w="984"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49" w:firstLine="0"/>
              <w:jc w:val="right"/>
            </w:pPr>
            <w:r>
              <w:rPr>
                <w:sz w:val="20"/>
              </w:rPr>
              <w:t xml:space="preserve">3,0 </w:t>
            </w:r>
          </w:p>
        </w:tc>
        <w:tc>
          <w:tcPr>
            <w:tcW w:w="984"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51" w:firstLine="0"/>
              <w:jc w:val="right"/>
            </w:pPr>
            <w:r>
              <w:rPr>
                <w:sz w:val="20"/>
              </w:rPr>
              <w:t xml:space="preserve">2,9 </w:t>
            </w:r>
          </w:p>
        </w:tc>
        <w:tc>
          <w:tcPr>
            <w:tcW w:w="994" w:type="dxa"/>
            <w:tcBorders>
              <w:top w:val="dashed" w:sz="4" w:space="0" w:color="000000"/>
              <w:left w:val="dashed" w:sz="4" w:space="0" w:color="000000"/>
              <w:bottom w:val="dashed" w:sz="4" w:space="0" w:color="000000"/>
              <w:right w:val="double" w:sz="6" w:space="0" w:color="000000"/>
            </w:tcBorders>
          </w:tcPr>
          <w:p w:rsidR="00E8309B" w:rsidRDefault="009D0949">
            <w:pPr>
              <w:spacing w:after="0" w:line="259" w:lineRule="auto"/>
              <w:ind w:left="0" w:right="49" w:firstLine="0"/>
              <w:jc w:val="right"/>
            </w:pPr>
            <w:r>
              <w:rPr>
                <w:sz w:val="20"/>
              </w:rPr>
              <w:t xml:space="preserve">3,1 </w:t>
            </w:r>
          </w:p>
        </w:tc>
      </w:tr>
      <w:tr w:rsidR="00E8309B">
        <w:tblPrEx>
          <w:tblCellMar>
            <w:top w:w="10" w:type="dxa"/>
          </w:tblCellMar>
        </w:tblPrEx>
        <w:trPr>
          <w:trHeight w:val="240"/>
        </w:trPr>
        <w:tc>
          <w:tcPr>
            <w:tcW w:w="6750" w:type="dxa"/>
            <w:tcBorders>
              <w:top w:val="dashed" w:sz="4" w:space="0" w:color="000000"/>
              <w:left w:val="double" w:sz="6" w:space="0" w:color="000000"/>
              <w:bottom w:val="dashed" w:sz="4" w:space="0" w:color="000000"/>
              <w:right w:val="single" w:sz="8" w:space="0" w:color="000000"/>
            </w:tcBorders>
          </w:tcPr>
          <w:p w:rsidR="00E8309B" w:rsidRDefault="009D0949">
            <w:pPr>
              <w:spacing w:after="0" w:line="259" w:lineRule="auto"/>
              <w:ind w:left="0" w:right="0" w:firstLine="0"/>
              <w:jc w:val="left"/>
            </w:pPr>
            <w:r>
              <w:rPr>
                <w:sz w:val="20"/>
              </w:rPr>
              <w:t xml:space="preserve">12. Биланс текућих трансакција </w:t>
            </w:r>
          </w:p>
        </w:tc>
        <w:tc>
          <w:tcPr>
            <w:tcW w:w="1604" w:type="dxa"/>
            <w:tcBorders>
              <w:top w:val="dashed" w:sz="4" w:space="0" w:color="000000"/>
              <w:left w:val="single" w:sz="8" w:space="0" w:color="000000"/>
              <w:bottom w:val="dashed" w:sz="4" w:space="0" w:color="000000"/>
              <w:right w:val="single" w:sz="8" w:space="0" w:color="000000"/>
            </w:tcBorders>
          </w:tcPr>
          <w:p w:rsidR="00E8309B" w:rsidRDefault="009D0949">
            <w:pPr>
              <w:spacing w:after="0" w:line="259" w:lineRule="auto"/>
              <w:ind w:left="0" w:right="50" w:firstLine="0"/>
              <w:jc w:val="center"/>
            </w:pPr>
            <w:r>
              <w:rPr>
                <w:sz w:val="20"/>
              </w:rPr>
              <w:t xml:space="preserve">млрд ЕУР </w:t>
            </w:r>
          </w:p>
        </w:tc>
        <w:tc>
          <w:tcPr>
            <w:tcW w:w="984" w:type="dxa"/>
            <w:tcBorders>
              <w:top w:val="dashed" w:sz="4" w:space="0" w:color="000000"/>
              <w:left w:val="single" w:sz="8" w:space="0" w:color="000000"/>
              <w:bottom w:val="dashed" w:sz="4" w:space="0" w:color="000000"/>
              <w:right w:val="dashed" w:sz="4" w:space="0" w:color="000000"/>
            </w:tcBorders>
          </w:tcPr>
          <w:p w:rsidR="00E8309B" w:rsidRDefault="009D0949">
            <w:pPr>
              <w:spacing w:after="0" w:line="259" w:lineRule="auto"/>
              <w:ind w:left="0" w:right="53" w:firstLine="0"/>
              <w:jc w:val="right"/>
            </w:pPr>
            <w:r>
              <w:rPr>
                <w:sz w:val="20"/>
              </w:rPr>
              <w:t xml:space="preserve">-2 </w:t>
            </w:r>
          </w:p>
        </w:tc>
        <w:tc>
          <w:tcPr>
            <w:tcW w:w="984"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53" w:firstLine="0"/>
              <w:jc w:val="right"/>
            </w:pPr>
            <w:r>
              <w:rPr>
                <w:sz w:val="20"/>
              </w:rPr>
              <w:t xml:space="preserve">-3 </w:t>
            </w:r>
          </w:p>
        </w:tc>
        <w:tc>
          <w:tcPr>
            <w:tcW w:w="982"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51" w:firstLine="0"/>
              <w:jc w:val="right"/>
            </w:pPr>
            <w:r>
              <w:rPr>
                <w:sz w:val="20"/>
              </w:rPr>
              <w:t xml:space="preserve">-2 </w:t>
            </w:r>
          </w:p>
        </w:tc>
        <w:tc>
          <w:tcPr>
            <w:tcW w:w="984"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51" w:firstLine="0"/>
              <w:jc w:val="right"/>
            </w:pPr>
            <w:r>
              <w:rPr>
                <w:sz w:val="20"/>
              </w:rPr>
              <w:t xml:space="preserve">-3 </w:t>
            </w:r>
          </w:p>
        </w:tc>
        <w:tc>
          <w:tcPr>
            <w:tcW w:w="984"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53" w:firstLine="0"/>
              <w:jc w:val="right"/>
            </w:pPr>
            <w:r>
              <w:rPr>
                <w:sz w:val="20"/>
              </w:rPr>
              <w:t xml:space="preserve">-3 </w:t>
            </w:r>
          </w:p>
        </w:tc>
        <w:tc>
          <w:tcPr>
            <w:tcW w:w="994" w:type="dxa"/>
            <w:tcBorders>
              <w:top w:val="dashed" w:sz="4" w:space="0" w:color="000000"/>
              <w:left w:val="dashed" w:sz="4" w:space="0" w:color="000000"/>
              <w:bottom w:val="dashed" w:sz="4" w:space="0" w:color="000000"/>
              <w:right w:val="double" w:sz="6" w:space="0" w:color="000000"/>
            </w:tcBorders>
          </w:tcPr>
          <w:p w:rsidR="00E8309B" w:rsidRDefault="009D0949">
            <w:pPr>
              <w:spacing w:after="0" w:line="259" w:lineRule="auto"/>
              <w:ind w:left="0" w:right="51" w:firstLine="0"/>
              <w:jc w:val="right"/>
            </w:pPr>
            <w:r>
              <w:rPr>
                <w:sz w:val="20"/>
              </w:rPr>
              <w:t xml:space="preserve">-3 </w:t>
            </w:r>
          </w:p>
        </w:tc>
        <w:tc>
          <w:tcPr>
            <w:tcW w:w="283" w:type="dxa"/>
            <w:vMerge w:val="restart"/>
            <w:tcBorders>
              <w:top w:val="nil"/>
              <w:left w:val="double" w:sz="6" w:space="0" w:color="000000"/>
              <w:bottom w:val="single" w:sz="18" w:space="0" w:color="FFFFFF"/>
              <w:right w:val="nil"/>
            </w:tcBorders>
          </w:tcPr>
          <w:p w:rsidR="00E8309B" w:rsidRDefault="009D0949">
            <w:pPr>
              <w:spacing w:after="0" w:line="259" w:lineRule="auto"/>
              <w:ind w:left="0" w:right="14" w:firstLine="0"/>
              <w:jc w:val="center"/>
            </w:pPr>
            <w:r>
              <w:rPr>
                <w:sz w:val="20"/>
              </w:rPr>
              <w:t xml:space="preserve">  </w:t>
            </w:r>
          </w:p>
          <w:p w:rsidR="00E8309B" w:rsidRDefault="009D0949">
            <w:pPr>
              <w:spacing w:after="0" w:line="259" w:lineRule="auto"/>
              <w:ind w:left="0" w:right="14" w:firstLine="0"/>
              <w:jc w:val="center"/>
            </w:pPr>
            <w:r>
              <w:rPr>
                <w:sz w:val="20"/>
              </w:rPr>
              <w:t xml:space="preserve">  </w:t>
            </w:r>
          </w:p>
          <w:p w:rsidR="00E8309B" w:rsidRDefault="009D0949">
            <w:pPr>
              <w:spacing w:after="0" w:line="259" w:lineRule="auto"/>
              <w:ind w:left="0" w:right="14" w:firstLine="0"/>
              <w:jc w:val="center"/>
            </w:pPr>
            <w:r>
              <w:rPr>
                <w:sz w:val="20"/>
              </w:rPr>
              <w:t xml:space="preserve">  </w:t>
            </w:r>
          </w:p>
          <w:p w:rsidR="00E8309B" w:rsidRDefault="009D0949">
            <w:pPr>
              <w:spacing w:after="0" w:line="259" w:lineRule="auto"/>
              <w:ind w:left="0" w:right="14" w:firstLine="0"/>
              <w:jc w:val="center"/>
            </w:pPr>
            <w:r>
              <w:rPr>
                <w:sz w:val="20"/>
              </w:rPr>
              <w:t xml:space="preserve">  </w:t>
            </w:r>
          </w:p>
          <w:p w:rsidR="00E8309B" w:rsidRDefault="009D0949">
            <w:pPr>
              <w:spacing w:after="0" w:line="259" w:lineRule="auto"/>
              <w:ind w:left="0" w:right="14" w:firstLine="0"/>
              <w:jc w:val="center"/>
            </w:pPr>
            <w:r>
              <w:rPr>
                <w:sz w:val="20"/>
              </w:rPr>
              <w:t xml:space="preserve">  </w:t>
            </w:r>
          </w:p>
          <w:p w:rsidR="00E8309B" w:rsidRDefault="009D0949">
            <w:pPr>
              <w:spacing w:after="0" w:line="259" w:lineRule="auto"/>
              <w:ind w:left="0" w:right="14" w:firstLine="0"/>
              <w:jc w:val="center"/>
            </w:pPr>
            <w:r>
              <w:rPr>
                <w:sz w:val="20"/>
              </w:rPr>
              <w:t xml:space="preserve">  </w:t>
            </w:r>
          </w:p>
          <w:p w:rsidR="00E8309B" w:rsidRDefault="009D0949">
            <w:pPr>
              <w:spacing w:after="0" w:line="259" w:lineRule="auto"/>
              <w:ind w:left="0" w:right="14" w:firstLine="0"/>
              <w:jc w:val="center"/>
            </w:pPr>
            <w:r>
              <w:rPr>
                <w:sz w:val="20"/>
              </w:rPr>
              <w:t xml:space="preserve">  </w:t>
            </w:r>
          </w:p>
          <w:p w:rsidR="00E8309B" w:rsidRDefault="009D0949">
            <w:pPr>
              <w:spacing w:after="0" w:line="259" w:lineRule="auto"/>
              <w:ind w:left="0" w:right="14" w:firstLine="0"/>
              <w:jc w:val="center"/>
            </w:pPr>
            <w:r>
              <w:rPr>
                <w:sz w:val="20"/>
              </w:rPr>
              <w:t xml:space="preserve">  </w:t>
            </w:r>
          </w:p>
          <w:p w:rsidR="00E8309B" w:rsidRDefault="009D0949">
            <w:pPr>
              <w:spacing w:after="0" w:line="259" w:lineRule="auto"/>
              <w:ind w:left="0" w:right="14" w:firstLine="0"/>
              <w:jc w:val="center"/>
            </w:pPr>
            <w:r>
              <w:rPr>
                <w:sz w:val="20"/>
              </w:rPr>
              <w:t xml:space="preserve">  </w:t>
            </w:r>
          </w:p>
          <w:p w:rsidR="00E8309B" w:rsidRDefault="009D0949">
            <w:pPr>
              <w:spacing w:after="0" w:line="259" w:lineRule="auto"/>
              <w:ind w:left="0" w:right="14" w:firstLine="0"/>
              <w:jc w:val="center"/>
            </w:pPr>
            <w:r>
              <w:rPr>
                <w:sz w:val="20"/>
              </w:rPr>
              <w:t xml:space="preserve">  </w:t>
            </w:r>
          </w:p>
          <w:p w:rsidR="00E8309B" w:rsidRDefault="009D0949">
            <w:pPr>
              <w:spacing w:after="0" w:line="259" w:lineRule="auto"/>
              <w:ind w:left="0" w:right="14" w:firstLine="0"/>
              <w:jc w:val="center"/>
            </w:pPr>
            <w:r>
              <w:rPr>
                <w:sz w:val="20"/>
              </w:rPr>
              <w:t xml:space="preserve">  </w:t>
            </w:r>
          </w:p>
          <w:p w:rsidR="00E8309B" w:rsidRDefault="009D0949">
            <w:pPr>
              <w:spacing w:after="3" w:line="259" w:lineRule="auto"/>
              <w:ind w:left="0" w:right="14" w:firstLine="0"/>
              <w:jc w:val="center"/>
            </w:pPr>
            <w:r>
              <w:rPr>
                <w:sz w:val="20"/>
              </w:rPr>
              <w:t xml:space="preserve">  </w:t>
            </w:r>
          </w:p>
          <w:p w:rsidR="00E8309B" w:rsidRDefault="009D0949">
            <w:pPr>
              <w:spacing w:after="0" w:line="259" w:lineRule="auto"/>
              <w:ind w:left="0" w:right="14" w:firstLine="0"/>
              <w:jc w:val="center"/>
            </w:pPr>
            <w:r>
              <w:rPr>
                <w:sz w:val="20"/>
              </w:rPr>
              <w:t xml:space="preserve">  </w:t>
            </w:r>
          </w:p>
          <w:p w:rsidR="00E8309B" w:rsidRDefault="009D0949">
            <w:pPr>
              <w:spacing w:after="0" w:line="259" w:lineRule="auto"/>
              <w:ind w:left="0" w:right="14" w:firstLine="0"/>
              <w:jc w:val="center"/>
            </w:pPr>
            <w:r>
              <w:rPr>
                <w:sz w:val="20"/>
              </w:rPr>
              <w:t xml:space="preserve">  </w:t>
            </w:r>
          </w:p>
          <w:p w:rsidR="00E8309B" w:rsidRDefault="009D0949">
            <w:pPr>
              <w:spacing w:after="0" w:line="259" w:lineRule="auto"/>
              <w:ind w:left="0" w:right="14" w:firstLine="0"/>
              <w:jc w:val="center"/>
            </w:pPr>
            <w:r>
              <w:rPr>
                <w:sz w:val="20"/>
              </w:rPr>
              <w:t xml:space="preserve">  </w:t>
            </w:r>
          </w:p>
          <w:p w:rsidR="00E8309B" w:rsidRDefault="009D0949">
            <w:pPr>
              <w:spacing w:after="0" w:line="259" w:lineRule="auto"/>
              <w:ind w:left="0" w:right="14" w:firstLine="0"/>
              <w:jc w:val="center"/>
            </w:pPr>
            <w:r>
              <w:rPr>
                <w:sz w:val="20"/>
              </w:rPr>
              <w:t xml:space="preserve">  </w:t>
            </w:r>
          </w:p>
          <w:p w:rsidR="00E8309B" w:rsidRDefault="009D0949">
            <w:pPr>
              <w:spacing w:after="0" w:line="259" w:lineRule="auto"/>
              <w:ind w:left="0" w:right="14" w:firstLine="0"/>
              <w:jc w:val="center"/>
            </w:pPr>
            <w:r>
              <w:rPr>
                <w:sz w:val="20"/>
              </w:rPr>
              <w:t xml:space="preserve">  </w:t>
            </w:r>
          </w:p>
        </w:tc>
      </w:tr>
      <w:tr w:rsidR="00E8309B">
        <w:tblPrEx>
          <w:tblCellMar>
            <w:top w:w="10" w:type="dxa"/>
          </w:tblCellMar>
        </w:tblPrEx>
        <w:trPr>
          <w:trHeight w:val="240"/>
        </w:trPr>
        <w:tc>
          <w:tcPr>
            <w:tcW w:w="6750" w:type="dxa"/>
            <w:tcBorders>
              <w:top w:val="dashed" w:sz="4" w:space="0" w:color="000000"/>
              <w:left w:val="double" w:sz="6" w:space="0" w:color="000000"/>
              <w:bottom w:val="dashed" w:sz="4" w:space="0" w:color="000000"/>
              <w:right w:val="single" w:sz="8" w:space="0" w:color="000000"/>
            </w:tcBorders>
          </w:tcPr>
          <w:p w:rsidR="00E8309B" w:rsidRDefault="009D0949">
            <w:pPr>
              <w:spacing w:after="0" w:line="259" w:lineRule="auto"/>
              <w:ind w:left="0" w:right="0" w:firstLine="0"/>
              <w:jc w:val="left"/>
            </w:pPr>
            <w:r>
              <w:rPr>
                <w:sz w:val="20"/>
              </w:rPr>
              <w:t xml:space="preserve">13. Капитални и финансијски рачун </w:t>
            </w:r>
          </w:p>
        </w:tc>
        <w:tc>
          <w:tcPr>
            <w:tcW w:w="1604" w:type="dxa"/>
            <w:tcBorders>
              <w:top w:val="dashed" w:sz="4" w:space="0" w:color="000000"/>
              <w:left w:val="single" w:sz="8" w:space="0" w:color="000000"/>
              <w:bottom w:val="dashed" w:sz="4" w:space="0" w:color="000000"/>
              <w:right w:val="single" w:sz="8" w:space="0" w:color="000000"/>
            </w:tcBorders>
          </w:tcPr>
          <w:p w:rsidR="00E8309B" w:rsidRDefault="009D0949">
            <w:pPr>
              <w:spacing w:after="0" w:line="259" w:lineRule="auto"/>
              <w:ind w:left="0" w:right="50" w:firstLine="0"/>
              <w:jc w:val="center"/>
            </w:pPr>
            <w:r>
              <w:rPr>
                <w:sz w:val="20"/>
              </w:rPr>
              <w:t xml:space="preserve">млрд ЕУР </w:t>
            </w:r>
          </w:p>
        </w:tc>
        <w:tc>
          <w:tcPr>
            <w:tcW w:w="984" w:type="dxa"/>
            <w:tcBorders>
              <w:top w:val="dashed" w:sz="4" w:space="0" w:color="000000"/>
              <w:left w:val="single" w:sz="8" w:space="0" w:color="000000"/>
              <w:bottom w:val="dashed" w:sz="4" w:space="0" w:color="000000"/>
              <w:right w:val="dashed" w:sz="4" w:space="0" w:color="000000"/>
            </w:tcBorders>
          </w:tcPr>
          <w:p w:rsidR="00E8309B" w:rsidRDefault="009D0949">
            <w:pPr>
              <w:spacing w:after="0" w:line="259" w:lineRule="auto"/>
              <w:ind w:left="0" w:right="51" w:firstLine="0"/>
              <w:jc w:val="right"/>
            </w:pPr>
            <w:r>
              <w:rPr>
                <w:sz w:val="20"/>
              </w:rPr>
              <w:t xml:space="preserve">1,8 </w:t>
            </w:r>
          </w:p>
        </w:tc>
        <w:tc>
          <w:tcPr>
            <w:tcW w:w="984"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51" w:firstLine="0"/>
              <w:jc w:val="right"/>
            </w:pPr>
            <w:r>
              <w:rPr>
                <w:sz w:val="20"/>
              </w:rPr>
              <w:t xml:space="preserve">3,2 </w:t>
            </w:r>
          </w:p>
        </w:tc>
        <w:tc>
          <w:tcPr>
            <w:tcW w:w="982"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49" w:firstLine="0"/>
              <w:jc w:val="right"/>
            </w:pPr>
            <w:r>
              <w:rPr>
                <w:sz w:val="20"/>
              </w:rPr>
              <w:t xml:space="preserve">2,3 </w:t>
            </w:r>
          </w:p>
        </w:tc>
        <w:tc>
          <w:tcPr>
            <w:tcW w:w="984"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49" w:firstLine="0"/>
              <w:jc w:val="right"/>
            </w:pPr>
            <w:r>
              <w:rPr>
                <w:sz w:val="20"/>
              </w:rPr>
              <w:t xml:space="preserve">2,8 </w:t>
            </w:r>
          </w:p>
        </w:tc>
        <w:tc>
          <w:tcPr>
            <w:tcW w:w="984"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51" w:firstLine="0"/>
              <w:jc w:val="right"/>
            </w:pPr>
            <w:r>
              <w:rPr>
                <w:sz w:val="20"/>
              </w:rPr>
              <w:t xml:space="preserve">2,7 </w:t>
            </w:r>
          </w:p>
        </w:tc>
        <w:tc>
          <w:tcPr>
            <w:tcW w:w="994" w:type="dxa"/>
            <w:tcBorders>
              <w:top w:val="dashed" w:sz="4" w:space="0" w:color="000000"/>
              <w:left w:val="dashed" w:sz="4" w:space="0" w:color="000000"/>
              <w:bottom w:val="dashed" w:sz="4" w:space="0" w:color="000000"/>
              <w:right w:val="double" w:sz="6" w:space="0" w:color="000000"/>
            </w:tcBorders>
          </w:tcPr>
          <w:p w:rsidR="00E8309B" w:rsidRDefault="009D0949">
            <w:pPr>
              <w:spacing w:after="0" w:line="259" w:lineRule="auto"/>
              <w:ind w:left="0" w:right="49" w:firstLine="0"/>
              <w:jc w:val="right"/>
            </w:pPr>
            <w:r>
              <w:rPr>
                <w:sz w:val="20"/>
              </w:rPr>
              <w:t xml:space="preserve">4,7 </w:t>
            </w:r>
          </w:p>
        </w:tc>
        <w:tc>
          <w:tcPr>
            <w:tcW w:w="0" w:type="auto"/>
            <w:vMerge/>
            <w:tcBorders>
              <w:top w:val="nil"/>
              <w:left w:val="double" w:sz="6" w:space="0" w:color="000000"/>
              <w:bottom w:val="nil"/>
              <w:right w:val="nil"/>
            </w:tcBorders>
          </w:tcPr>
          <w:p w:rsidR="00E8309B" w:rsidRDefault="00E8309B">
            <w:pPr>
              <w:spacing w:after="160" w:line="259" w:lineRule="auto"/>
              <w:ind w:left="0" w:right="0" w:firstLine="0"/>
              <w:jc w:val="left"/>
            </w:pPr>
          </w:p>
        </w:tc>
      </w:tr>
      <w:tr w:rsidR="00E8309B">
        <w:tblPrEx>
          <w:tblCellMar>
            <w:top w:w="10" w:type="dxa"/>
          </w:tblCellMar>
        </w:tblPrEx>
        <w:trPr>
          <w:trHeight w:val="240"/>
        </w:trPr>
        <w:tc>
          <w:tcPr>
            <w:tcW w:w="6750" w:type="dxa"/>
            <w:tcBorders>
              <w:top w:val="dashed" w:sz="4" w:space="0" w:color="000000"/>
              <w:left w:val="double" w:sz="6" w:space="0" w:color="000000"/>
              <w:bottom w:val="dashed" w:sz="4" w:space="0" w:color="000000"/>
              <w:right w:val="single" w:sz="8" w:space="0" w:color="000000"/>
            </w:tcBorders>
          </w:tcPr>
          <w:p w:rsidR="00E8309B" w:rsidRDefault="009D0949">
            <w:pPr>
              <w:spacing w:after="0" w:line="259" w:lineRule="auto"/>
              <w:ind w:left="0" w:right="0" w:firstLine="0"/>
              <w:jc w:val="left"/>
            </w:pPr>
            <w:r>
              <w:rPr>
                <w:i/>
                <w:sz w:val="20"/>
              </w:rPr>
              <w:t xml:space="preserve">14. Од чега: Нето стране директне инвестиције </w:t>
            </w:r>
          </w:p>
        </w:tc>
        <w:tc>
          <w:tcPr>
            <w:tcW w:w="1604" w:type="dxa"/>
            <w:tcBorders>
              <w:top w:val="dashed" w:sz="4" w:space="0" w:color="000000"/>
              <w:left w:val="single" w:sz="8" w:space="0" w:color="000000"/>
              <w:bottom w:val="dashed" w:sz="4" w:space="0" w:color="000000"/>
              <w:right w:val="single" w:sz="8" w:space="0" w:color="000000"/>
            </w:tcBorders>
          </w:tcPr>
          <w:p w:rsidR="00E8309B" w:rsidRDefault="009D0949">
            <w:pPr>
              <w:spacing w:after="0" w:line="259" w:lineRule="auto"/>
              <w:ind w:left="0" w:right="50" w:firstLine="0"/>
              <w:jc w:val="center"/>
            </w:pPr>
            <w:r>
              <w:rPr>
                <w:sz w:val="20"/>
              </w:rPr>
              <w:t xml:space="preserve">млрд ЕУР </w:t>
            </w:r>
          </w:p>
        </w:tc>
        <w:tc>
          <w:tcPr>
            <w:tcW w:w="984" w:type="dxa"/>
            <w:tcBorders>
              <w:top w:val="dashed" w:sz="4" w:space="0" w:color="000000"/>
              <w:left w:val="single" w:sz="8" w:space="0" w:color="000000"/>
              <w:bottom w:val="dashed" w:sz="4" w:space="0" w:color="000000"/>
              <w:right w:val="dashed" w:sz="4" w:space="0" w:color="000000"/>
            </w:tcBorders>
          </w:tcPr>
          <w:p w:rsidR="00E8309B" w:rsidRDefault="009D0949">
            <w:pPr>
              <w:spacing w:after="0" w:line="259" w:lineRule="auto"/>
              <w:ind w:left="0" w:right="51" w:firstLine="0"/>
              <w:jc w:val="right"/>
            </w:pPr>
            <w:r>
              <w:rPr>
                <w:sz w:val="20"/>
              </w:rPr>
              <w:t xml:space="preserve">3,2 </w:t>
            </w:r>
          </w:p>
        </w:tc>
        <w:tc>
          <w:tcPr>
            <w:tcW w:w="984"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51" w:firstLine="0"/>
              <w:jc w:val="right"/>
            </w:pPr>
            <w:r>
              <w:rPr>
                <w:sz w:val="20"/>
              </w:rPr>
              <w:t xml:space="preserve">3,6 </w:t>
            </w:r>
          </w:p>
        </w:tc>
        <w:tc>
          <w:tcPr>
            <w:tcW w:w="982"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49" w:firstLine="0"/>
              <w:jc w:val="right"/>
            </w:pPr>
            <w:r>
              <w:rPr>
                <w:sz w:val="20"/>
              </w:rPr>
              <w:t xml:space="preserve">2,3 </w:t>
            </w:r>
          </w:p>
        </w:tc>
        <w:tc>
          <w:tcPr>
            <w:tcW w:w="984"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49" w:firstLine="0"/>
              <w:jc w:val="right"/>
            </w:pPr>
            <w:r>
              <w:rPr>
                <w:sz w:val="20"/>
              </w:rPr>
              <w:t xml:space="preserve">2,8 </w:t>
            </w:r>
          </w:p>
        </w:tc>
        <w:tc>
          <w:tcPr>
            <w:tcW w:w="984"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51" w:firstLine="0"/>
              <w:jc w:val="right"/>
            </w:pPr>
            <w:r>
              <w:rPr>
                <w:sz w:val="20"/>
              </w:rPr>
              <w:t xml:space="preserve">2,7 </w:t>
            </w:r>
          </w:p>
        </w:tc>
        <w:tc>
          <w:tcPr>
            <w:tcW w:w="994" w:type="dxa"/>
            <w:tcBorders>
              <w:top w:val="dashed" w:sz="4" w:space="0" w:color="000000"/>
              <w:left w:val="dashed" w:sz="4" w:space="0" w:color="000000"/>
              <w:bottom w:val="dashed" w:sz="4" w:space="0" w:color="000000"/>
              <w:right w:val="double" w:sz="6" w:space="0" w:color="000000"/>
            </w:tcBorders>
          </w:tcPr>
          <w:p w:rsidR="00E8309B" w:rsidRDefault="009D0949">
            <w:pPr>
              <w:spacing w:after="0" w:line="259" w:lineRule="auto"/>
              <w:ind w:left="0" w:right="49" w:firstLine="0"/>
              <w:jc w:val="right"/>
            </w:pPr>
            <w:r>
              <w:rPr>
                <w:sz w:val="20"/>
              </w:rPr>
              <w:t xml:space="preserve">2,7 </w:t>
            </w:r>
          </w:p>
        </w:tc>
        <w:tc>
          <w:tcPr>
            <w:tcW w:w="0" w:type="auto"/>
            <w:vMerge/>
            <w:tcBorders>
              <w:top w:val="nil"/>
              <w:left w:val="double" w:sz="6" w:space="0" w:color="000000"/>
              <w:bottom w:val="nil"/>
              <w:right w:val="nil"/>
            </w:tcBorders>
          </w:tcPr>
          <w:p w:rsidR="00E8309B" w:rsidRDefault="00E8309B">
            <w:pPr>
              <w:spacing w:after="160" w:line="259" w:lineRule="auto"/>
              <w:ind w:left="0" w:right="0" w:firstLine="0"/>
              <w:jc w:val="left"/>
            </w:pPr>
          </w:p>
        </w:tc>
      </w:tr>
      <w:tr w:rsidR="00E8309B">
        <w:tblPrEx>
          <w:tblCellMar>
            <w:top w:w="10" w:type="dxa"/>
          </w:tblCellMar>
        </w:tblPrEx>
        <w:trPr>
          <w:trHeight w:val="240"/>
        </w:trPr>
        <w:tc>
          <w:tcPr>
            <w:tcW w:w="6750" w:type="dxa"/>
            <w:tcBorders>
              <w:top w:val="dashed" w:sz="4" w:space="0" w:color="000000"/>
              <w:left w:val="double" w:sz="6" w:space="0" w:color="000000"/>
              <w:bottom w:val="dashed" w:sz="4" w:space="0" w:color="000000"/>
              <w:right w:val="single" w:sz="8" w:space="0" w:color="000000"/>
            </w:tcBorders>
          </w:tcPr>
          <w:p w:rsidR="00E8309B" w:rsidRDefault="009D0949">
            <w:pPr>
              <w:spacing w:after="0" w:line="259" w:lineRule="auto"/>
              <w:ind w:left="0" w:right="0" w:firstLine="0"/>
              <w:jc w:val="left"/>
            </w:pPr>
            <w:r>
              <w:rPr>
                <w:i/>
                <w:sz w:val="20"/>
              </w:rPr>
              <w:t xml:space="preserve">14.a Од чега: Нето стране директне инвестиције(Equity) </w:t>
            </w:r>
          </w:p>
        </w:tc>
        <w:tc>
          <w:tcPr>
            <w:tcW w:w="1604" w:type="dxa"/>
            <w:tcBorders>
              <w:top w:val="dashed" w:sz="4" w:space="0" w:color="000000"/>
              <w:left w:val="single" w:sz="8" w:space="0" w:color="000000"/>
              <w:bottom w:val="dashed" w:sz="4" w:space="0" w:color="000000"/>
              <w:right w:val="single" w:sz="8" w:space="0" w:color="000000"/>
            </w:tcBorders>
          </w:tcPr>
          <w:p w:rsidR="00E8309B" w:rsidRDefault="009D0949">
            <w:pPr>
              <w:spacing w:after="0" w:line="259" w:lineRule="auto"/>
              <w:ind w:left="0" w:right="50" w:firstLine="0"/>
              <w:jc w:val="center"/>
            </w:pPr>
            <w:r>
              <w:rPr>
                <w:sz w:val="20"/>
              </w:rPr>
              <w:t xml:space="preserve">млрд ЕУР </w:t>
            </w:r>
          </w:p>
        </w:tc>
        <w:tc>
          <w:tcPr>
            <w:tcW w:w="984" w:type="dxa"/>
            <w:tcBorders>
              <w:top w:val="dashed" w:sz="4" w:space="0" w:color="000000"/>
              <w:left w:val="single" w:sz="8" w:space="0" w:color="000000"/>
              <w:bottom w:val="dashed" w:sz="4" w:space="0" w:color="000000"/>
              <w:right w:val="dashed" w:sz="4" w:space="0" w:color="000000"/>
            </w:tcBorders>
          </w:tcPr>
          <w:p w:rsidR="00E8309B" w:rsidRDefault="009D0949">
            <w:pPr>
              <w:spacing w:after="0" w:line="259" w:lineRule="auto"/>
              <w:ind w:left="0" w:right="51" w:firstLine="0"/>
              <w:jc w:val="right"/>
            </w:pPr>
            <w:r>
              <w:rPr>
                <w:sz w:val="20"/>
              </w:rPr>
              <w:t xml:space="preserve">2,7 </w:t>
            </w:r>
          </w:p>
        </w:tc>
        <w:tc>
          <w:tcPr>
            <w:tcW w:w="984"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51" w:firstLine="0"/>
              <w:jc w:val="right"/>
            </w:pPr>
            <w:r>
              <w:rPr>
                <w:sz w:val="20"/>
              </w:rPr>
              <w:t xml:space="preserve">2,9 </w:t>
            </w:r>
          </w:p>
        </w:tc>
        <w:tc>
          <w:tcPr>
            <w:tcW w:w="982"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49" w:firstLine="0"/>
              <w:jc w:val="right"/>
            </w:pPr>
            <w:r>
              <w:rPr>
                <w:sz w:val="20"/>
              </w:rPr>
              <w:t xml:space="preserve">1,8 </w:t>
            </w:r>
          </w:p>
        </w:tc>
        <w:tc>
          <w:tcPr>
            <w:tcW w:w="984"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49" w:firstLine="0"/>
              <w:jc w:val="right"/>
            </w:pPr>
            <w:r>
              <w:rPr>
                <w:sz w:val="20"/>
              </w:rPr>
              <w:t xml:space="preserve">2,0 </w:t>
            </w:r>
          </w:p>
        </w:tc>
        <w:tc>
          <w:tcPr>
            <w:tcW w:w="984"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51" w:firstLine="0"/>
              <w:jc w:val="right"/>
            </w:pPr>
            <w:r>
              <w:rPr>
                <w:sz w:val="20"/>
              </w:rPr>
              <w:t xml:space="preserve">2,0 </w:t>
            </w:r>
          </w:p>
        </w:tc>
        <w:tc>
          <w:tcPr>
            <w:tcW w:w="994" w:type="dxa"/>
            <w:tcBorders>
              <w:top w:val="dashed" w:sz="4" w:space="0" w:color="000000"/>
              <w:left w:val="dashed" w:sz="4" w:space="0" w:color="000000"/>
              <w:bottom w:val="dashed" w:sz="4" w:space="0" w:color="000000"/>
              <w:right w:val="double" w:sz="6" w:space="0" w:color="000000"/>
            </w:tcBorders>
          </w:tcPr>
          <w:p w:rsidR="00E8309B" w:rsidRDefault="009D0949">
            <w:pPr>
              <w:spacing w:after="0" w:line="259" w:lineRule="auto"/>
              <w:ind w:left="0" w:right="49" w:firstLine="0"/>
              <w:jc w:val="right"/>
            </w:pPr>
            <w:r>
              <w:rPr>
                <w:sz w:val="20"/>
              </w:rPr>
              <w:t xml:space="preserve">2,0 </w:t>
            </w:r>
          </w:p>
        </w:tc>
        <w:tc>
          <w:tcPr>
            <w:tcW w:w="0" w:type="auto"/>
            <w:vMerge/>
            <w:tcBorders>
              <w:top w:val="nil"/>
              <w:left w:val="double" w:sz="6" w:space="0" w:color="000000"/>
              <w:bottom w:val="nil"/>
              <w:right w:val="nil"/>
            </w:tcBorders>
          </w:tcPr>
          <w:p w:rsidR="00E8309B" w:rsidRDefault="00E8309B">
            <w:pPr>
              <w:spacing w:after="160" w:line="259" w:lineRule="auto"/>
              <w:ind w:left="0" w:right="0" w:firstLine="0"/>
              <w:jc w:val="left"/>
            </w:pPr>
          </w:p>
        </w:tc>
      </w:tr>
      <w:tr w:rsidR="00E8309B">
        <w:tblPrEx>
          <w:tblCellMar>
            <w:top w:w="10" w:type="dxa"/>
          </w:tblCellMar>
        </w:tblPrEx>
        <w:trPr>
          <w:trHeight w:val="240"/>
        </w:trPr>
        <w:tc>
          <w:tcPr>
            <w:tcW w:w="6750" w:type="dxa"/>
            <w:tcBorders>
              <w:top w:val="dashed" w:sz="4" w:space="0" w:color="000000"/>
              <w:left w:val="double" w:sz="6" w:space="0" w:color="000000"/>
              <w:bottom w:val="dashed" w:sz="4" w:space="0" w:color="000000"/>
              <w:right w:val="single" w:sz="8" w:space="0" w:color="000000"/>
            </w:tcBorders>
          </w:tcPr>
          <w:p w:rsidR="00E8309B" w:rsidRDefault="009D0949">
            <w:pPr>
              <w:spacing w:after="0" w:line="259" w:lineRule="auto"/>
              <w:ind w:left="0" w:right="0" w:firstLine="0"/>
              <w:jc w:val="left"/>
            </w:pPr>
            <w:r>
              <w:rPr>
                <w:i/>
                <w:sz w:val="20"/>
              </w:rPr>
              <w:t xml:space="preserve">15. Од чега: Портфолио инвестиције </w:t>
            </w:r>
          </w:p>
        </w:tc>
        <w:tc>
          <w:tcPr>
            <w:tcW w:w="1604" w:type="dxa"/>
            <w:tcBorders>
              <w:top w:val="dashed" w:sz="4" w:space="0" w:color="000000"/>
              <w:left w:val="single" w:sz="8" w:space="0" w:color="000000"/>
              <w:bottom w:val="dashed" w:sz="4" w:space="0" w:color="000000"/>
              <w:right w:val="single" w:sz="8" w:space="0" w:color="000000"/>
            </w:tcBorders>
          </w:tcPr>
          <w:p w:rsidR="00E8309B" w:rsidRDefault="009D0949">
            <w:pPr>
              <w:spacing w:after="0" w:line="259" w:lineRule="auto"/>
              <w:ind w:left="0" w:right="50" w:firstLine="0"/>
              <w:jc w:val="center"/>
            </w:pPr>
            <w:r>
              <w:rPr>
                <w:sz w:val="20"/>
              </w:rPr>
              <w:t xml:space="preserve">млрд ЕУР </w:t>
            </w:r>
          </w:p>
        </w:tc>
        <w:tc>
          <w:tcPr>
            <w:tcW w:w="984" w:type="dxa"/>
            <w:tcBorders>
              <w:top w:val="dashed" w:sz="4" w:space="0" w:color="000000"/>
              <w:left w:val="single" w:sz="8" w:space="0" w:color="000000"/>
              <w:bottom w:val="dashed" w:sz="4" w:space="0" w:color="000000"/>
              <w:right w:val="dashed" w:sz="4" w:space="0" w:color="000000"/>
            </w:tcBorders>
          </w:tcPr>
          <w:p w:rsidR="00E8309B" w:rsidRDefault="009D0949">
            <w:pPr>
              <w:spacing w:after="0" w:line="259" w:lineRule="auto"/>
              <w:ind w:left="0" w:right="54" w:firstLine="0"/>
              <w:jc w:val="right"/>
            </w:pPr>
            <w:r>
              <w:rPr>
                <w:sz w:val="20"/>
              </w:rPr>
              <w:t xml:space="preserve">-0,9 </w:t>
            </w:r>
          </w:p>
        </w:tc>
        <w:tc>
          <w:tcPr>
            <w:tcW w:w="984"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51" w:firstLine="0"/>
              <w:jc w:val="right"/>
            </w:pPr>
            <w:r>
              <w:rPr>
                <w:sz w:val="20"/>
              </w:rPr>
              <w:t xml:space="preserve">0,2 </w:t>
            </w:r>
          </w:p>
        </w:tc>
        <w:tc>
          <w:tcPr>
            <w:tcW w:w="982"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49" w:firstLine="0"/>
              <w:jc w:val="right"/>
            </w:pPr>
            <w:r>
              <w:rPr>
                <w:sz w:val="20"/>
              </w:rPr>
              <w:t xml:space="preserve">1,2 </w:t>
            </w:r>
          </w:p>
        </w:tc>
        <w:tc>
          <w:tcPr>
            <w:tcW w:w="984"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49" w:firstLine="0"/>
              <w:jc w:val="right"/>
            </w:pPr>
            <w:r>
              <w:rPr>
                <w:sz w:val="20"/>
              </w:rPr>
              <w:t xml:space="preserve">0,0 </w:t>
            </w:r>
          </w:p>
        </w:tc>
        <w:tc>
          <w:tcPr>
            <w:tcW w:w="984"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54" w:firstLine="0"/>
              <w:jc w:val="right"/>
            </w:pPr>
            <w:r>
              <w:rPr>
                <w:sz w:val="20"/>
              </w:rPr>
              <w:t>-</w:t>
            </w:r>
            <w:r>
              <w:rPr>
                <w:sz w:val="20"/>
              </w:rPr>
              <w:t xml:space="preserve">0,2 </w:t>
            </w:r>
          </w:p>
        </w:tc>
        <w:tc>
          <w:tcPr>
            <w:tcW w:w="994" w:type="dxa"/>
            <w:tcBorders>
              <w:top w:val="dashed" w:sz="4" w:space="0" w:color="000000"/>
              <w:left w:val="dashed" w:sz="4" w:space="0" w:color="000000"/>
              <w:bottom w:val="dashed" w:sz="4" w:space="0" w:color="000000"/>
              <w:right w:val="double" w:sz="6" w:space="0" w:color="000000"/>
            </w:tcBorders>
          </w:tcPr>
          <w:p w:rsidR="00E8309B" w:rsidRDefault="009D0949">
            <w:pPr>
              <w:spacing w:after="0" w:line="259" w:lineRule="auto"/>
              <w:ind w:left="0" w:right="49" w:firstLine="0"/>
              <w:jc w:val="right"/>
            </w:pPr>
            <w:r>
              <w:rPr>
                <w:sz w:val="20"/>
              </w:rPr>
              <w:t xml:space="preserve">0,0 </w:t>
            </w:r>
          </w:p>
        </w:tc>
        <w:tc>
          <w:tcPr>
            <w:tcW w:w="0" w:type="auto"/>
            <w:vMerge/>
            <w:tcBorders>
              <w:top w:val="nil"/>
              <w:left w:val="double" w:sz="6" w:space="0" w:color="000000"/>
              <w:bottom w:val="nil"/>
              <w:right w:val="nil"/>
            </w:tcBorders>
          </w:tcPr>
          <w:p w:rsidR="00E8309B" w:rsidRDefault="00E8309B">
            <w:pPr>
              <w:spacing w:after="160" w:line="259" w:lineRule="auto"/>
              <w:ind w:left="0" w:right="0" w:firstLine="0"/>
              <w:jc w:val="left"/>
            </w:pPr>
          </w:p>
        </w:tc>
      </w:tr>
      <w:tr w:rsidR="00E8309B">
        <w:tblPrEx>
          <w:tblCellMar>
            <w:top w:w="10" w:type="dxa"/>
          </w:tblCellMar>
        </w:tblPrEx>
        <w:trPr>
          <w:trHeight w:val="240"/>
        </w:trPr>
        <w:tc>
          <w:tcPr>
            <w:tcW w:w="6750" w:type="dxa"/>
            <w:tcBorders>
              <w:top w:val="dashed" w:sz="4" w:space="0" w:color="000000"/>
              <w:left w:val="double" w:sz="6" w:space="0" w:color="000000"/>
              <w:bottom w:val="dashed" w:sz="4" w:space="0" w:color="000000"/>
              <w:right w:val="single" w:sz="8" w:space="0" w:color="000000"/>
            </w:tcBorders>
          </w:tcPr>
          <w:p w:rsidR="00E8309B" w:rsidRDefault="009D0949">
            <w:pPr>
              <w:spacing w:after="0" w:line="259" w:lineRule="auto"/>
              <w:ind w:left="0" w:right="0" w:firstLine="0"/>
              <w:jc w:val="left"/>
            </w:pPr>
            <w:r>
              <w:rPr>
                <w:i/>
                <w:sz w:val="20"/>
              </w:rPr>
              <w:t xml:space="preserve">15.a Од чега: Нето-портфолио инвестиције (Equity) </w:t>
            </w:r>
          </w:p>
        </w:tc>
        <w:tc>
          <w:tcPr>
            <w:tcW w:w="1604" w:type="dxa"/>
            <w:tcBorders>
              <w:top w:val="dashed" w:sz="4" w:space="0" w:color="000000"/>
              <w:left w:val="single" w:sz="8" w:space="0" w:color="000000"/>
              <w:bottom w:val="dashed" w:sz="4" w:space="0" w:color="000000"/>
              <w:right w:val="single" w:sz="8" w:space="0" w:color="000000"/>
            </w:tcBorders>
          </w:tcPr>
          <w:p w:rsidR="00E8309B" w:rsidRDefault="009D0949">
            <w:pPr>
              <w:spacing w:after="0" w:line="259" w:lineRule="auto"/>
              <w:ind w:left="0" w:right="50" w:firstLine="0"/>
              <w:jc w:val="center"/>
            </w:pPr>
            <w:r>
              <w:rPr>
                <w:sz w:val="20"/>
              </w:rPr>
              <w:t xml:space="preserve">млрд ЕУР </w:t>
            </w:r>
          </w:p>
        </w:tc>
        <w:tc>
          <w:tcPr>
            <w:tcW w:w="984" w:type="dxa"/>
            <w:tcBorders>
              <w:top w:val="dashed" w:sz="4" w:space="0" w:color="000000"/>
              <w:left w:val="single" w:sz="8" w:space="0" w:color="000000"/>
              <w:bottom w:val="dashed" w:sz="4" w:space="0" w:color="000000"/>
              <w:right w:val="dashed" w:sz="4" w:space="0" w:color="000000"/>
            </w:tcBorders>
          </w:tcPr>
          <w:p w:rsidR="00E8309B" w:rsidRDefault="009D0949">
            <w:pPr>
              <w:spacing w:after="0" w:line="259" w:lineRule="auto"/>
              <w:ind w:left="0" w:right="51" w:firstLine="0"/>
              <w:jc w:val="right"/>
            </w:pPr>
            <w:r>
              <w:rPr>
                <w:sz w:val="20"/>
              </w:rPr>
              <w:t xml:space="preserve">0,1 </w:t>
            </w:r>
          </w:p>
        </w:tc>
        <w:tc>
          <w:tcPr>
            <w:tcW w:w="984"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51" w:firstLine="0"/>
              <w:jc w:val="right"/>
            </w:pPr>
            <w:r>
              <w:rPr>
                <w:sz w:val="20"/>
              </w:rPr>
              <w:t xml:space="preserve">0,0 </w:t>
            </w:r>
          </w:p>
        </w:tc>
        <w:tc>
          <w:tcPr>
            <w:tcW w:w="982"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49" w:firstLine="0"/>
              <w:jc w:val="right"/>
            </w:pPr>
            <w:r>
              <w:rPr>
                <w:sz w:val="20"/>
              </w:rPr>
              <w:t xml:space="preserve">0,0 </w:t>
            </w:r>
          </w:p>
        </w:tc>
        <w:tc>
          <w:tcPr>
            <w:tcW w:w="984"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49" w:firstLine="0"/>
              <w:jc w:val="right"/>
            </w:pPr>
            <w:r>
              <w:rPr>
                <w:sz w:val="20"/>
              </w:rPr>
              <w:t xml:space="preserve">0,0 </w:t>
            </w:r>
          </w:p>
        </w:tc>
        <w:tc>
          <w:tcPr>
            <w:tcW w:w="984"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51" w:firstLine="0"/>
              <w:jc w:val="right"/>
            </w:pPr>
            <w:r>
              <w:rPr>
                <w:sz w:val="20"/>
              </w:rPr>
              <w:t xml:space="preserve">0,0 </w:t>
            </w:r>
          </w:p>
        </w:tc>
        <w:tc>
          <w:tcPr>
            <w:tcW w:w="994" w:type="dxa"/>
            <w:tcBorders>
              <w:top w:val="dashed" w:sz="4" w:space="0" w:color="000000"/>
              <w:left w:val="dashed" w:sz="4" w:space="0" w:color="000000"/>
              <w:bottom w:val="dashed" w:sz="4" w:space="0" w:color="000000"/>
              <w:right w:val="double" w:sz="6" w:space="0" w:color="000000"/>
            </w:tcBorders>
          </w:tcPr>
          <w:p w:rsidR="00E8309B" w:rsidRDefault="009D0949">
            <w:pPr>
              <w:spacing w:after="0" w:line="259" w:lineRule="auto"/>
              <w:ind w:left="0" w:right="49" w:firstLine="0"/>
              <w:jc w:val="right"/>
            </w:pPr>
            <w:r>
              <w:rPr>
                <w:sz w:val="20"/>
              </w:rPr>
              <w:t xml:space="preserve">0,0 </w:t>
            </w:r>
          </w:p>
        </w:tc>
        <w:tc>
          <w:tcPr>
            <w:tcW w:w="0" w:type="auto"/>
            <w:vMerge/>
            <w:tcBorders>
              <w:top w:val="nil"/>
              <w:left w:val="double" w:sz="6" w:space="0" w:color="000000"/>
              <w:bottom w:val="nil"/>
              <w:right w:val="nil"/>
            </w:tcBorders>
          </w:tcPr>
          <w:p w:rsidR="00E8309B" w:rsidRDefault="00E8309B">
            <w:pPr>
              <w:spacing w:after="160" w:line="259" w:lineRule="auto"/>
              <w:ind w:left="0" w:right="0" w:firstLine="0"/>
              <w:jc w:val="left"/>
            </w:pPr>
          </w:p>
        </w:tc>
      </w:tr>
      <w:tr w:rsidR="00E8309B">
        <w:tblPrEx>
          <w:tblCellMar>
            <w:top w:w="10" w:type="dxa"/>
          </w:tblCellMar>
        </w:tblPrEx>
        <w:trPr>
          <w:trHeight w:val="240"/>
        </w:trPr>
        <w:tc>
          <w:tcPr>
            <w:tcW w:w="6750" w:type="dxa"/>
            <w:tcBorders>
              <w:top w:val="dashed" w:sz="4" w:space="0" w:color="000000"/>
              <w:left w:val="double" w:sz="6" w:space="0" w:color="000000"/>
              <w:bottom w:val="dashed" w:sz="4" w:space="0" w:color="000000"/>
              <w:right w:val="single" w:sz="8" w:space="0" w:color="000000"/>
            </w:tcBorders>
          </w:tcPr>
          <w:p w:rsidR="00E8309B" w:rsidRDefault="009D0949">
            <w:pPr>
              <w:spacing w:after="0" w:line="259" w:lineRule="auto"/>
              <w:ind w:left="0" w:right="0" w:firstLine="0"/>
              <w:jc w:val="left"/>
            </w:pPr>
            <w:r>
              <w:rPr>
                <w:sz w:val="20"/>
              </w:rPr>
              <w:t xml:space="preserve">16. Девизне резерве </w:t>
            </w:r>
          </w:p>
        </w:tc>
        <w:tc>
          <w:tcPr>
            <w:tcW w:w="1604" w:type="dxa"/>
            <w:tcBorders>
              <w:top w:val="dashed" w:sz="4" w:space="0" w:color="000000"/>
              <w:left w:val="single" w:sz="8" w:space="0" w:color="000000"/>
              <w:bottom w:val="dashed" w:sz="4" w:space="0" w:color="000000"/>
              <w:right w:val="single" w:sz="8" w:space="0" w:color="000000"/>
            </w:tcBorders>
          </w:tcPr>
          <w:p w:rsidR="00E8309B" w:rsidRDefault="009D0949">
            <w:pPr>
              <w:spacing w:after="0" w:line="259" w:lineRule="auto"/>
              <w:ind w:left="0" w:right="50" w:firstLine="0"/>
              <w:jc w:val="center"/>
            </w:pPr>
            <w:r>
              <w:rPr>
                <w:sz w:val="20"/>
              </w:rPr>
              <w:t xml:space="preserve">млрд ЕУР </w:t>
            </w:r>
          </w:p>
        </w:tc>
        <w:tc>
          <w:tcPr>
            <w:tcW w:w="984" w:type="dxa"/>
            <w:tcBorders>
              <w:top w:val="dashed" w:sz="4" w:space="0" w:color="000000"/>
              <w:left w:val="single" w:sz="8" w:space="0" w:color="000000"/>
              <w:bottom w:val="dashed" w:sz="4" w:space="0" w:color="000000"/>
              <w:right w:val="dashed" w:sz="4" w:space="0" w:color="000000"/>
            </w:tcBorders>
          </w:tcPr>
          <w:p w:rsidR="00E8309B" w:rsidRDefault="009D0949">
            <w:pPr>
              <w:spacing w:after="0" w:line="259" w:lineRule="auto"/>
              <w:ind w:left="0" w:right="52" w:firstLine="0"/>
              <w:jc w:val="right"/>
            </w:pPr>
            <w:r>
              <w:rPr>
                <w:sz w:val="20"/>
              </w:rPr>
              <w:t xml:space="preserve">10,1 </w:t>
            </w:r>
          </w:p>
        </w:tc>
        <w:tc>
          <w:tcPr>
            <w:tcW w:w="984"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52" w:firstLine="0"/>
              <w:jc w:val="right"/>
            </w:pPr>
            <w:r>
              <w:rPr>
                <w:sz w:val="20"/>
              </w:rPr>
              <w:t xml:space="preserve">13,5 </w:t>
            </w:r>
          </w:p>
        </w:tc>
        <w:tc>
          <w:tcPr>
            <w:tcW w:w="982"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49" w:firstLine="0"/>
              <w:jc w:val="right"/>
            </w:pPr>
            <w:r>
              <w:rPr>
                <w:sz w:val="20"/>
              </w:rPr>
              <w:t xml:space="preserve">13,8 </w:t>
            </w:r>
          </w:p>
        </w:tc>
        <w:tc>
          <w:tcPr>
            <w:tcW w:w="984"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49" w:firstLine="0"/>
              <w:jc w:val="right"/>
            </w:pPr>
            <w:r>
              <w:rPr>
                <w:sz w:val="20"/>
              </w:rPr>
              <w:t xml:space="preserve">14,3 </w:t>
            </w:r>
          </w:p>
        </w:tc>
        <w:tc>
          <w:tcPr>
            <w:tcW w:w="984"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52" w:firstLine="0"/>
              <w:jc w:val="right"/>
            </w:pPr>
            <w:r>
              <w:rPr>
                <w:sz w:val="20"/>
              </w:rPr>
              <w:t xml:space="preserve">14,6 </w:t>
            </w:r>
          </w:p>
        </w:tc>
        <w:tc>
          <w:tcPr>
            <w:tcW w:w="994" w:type="dxa"/>
            <w:tcBorders>
              <w:top w:val="dashed" w:sz="4" w:space="0" w:color="000000"/>
              <w:left w:val="dashed" w:sz="4" w:space="0" w:color="000000"/>
              <w:bottom w:val="dashed" w:sz="4" w:space="0" w:color="000000"/>
              <w:right w:val="double" w:sz="6" w:space="0" w:color="000000"/>
            </w:tcBorders>
          </w:tcPr>
          <w:p w:rsidR="00E8309B" w:rsidRDefault="009D0949">
            <w:pPr>
              <w:spacing w:after="0" w:line="259" w:lineRule="auto"/>
              <w:ind w:left="0" w:right="49" w:firstLine="0"/>
              <w:jc w:val="right"/>
            </w:pPr>
            <w:r>
              <w:rPr>
                <w:sz w:val="20"/>
              </w:rPr>
              <w:t xml:space="preserve">15,0 </w:t>
            </w:r>
          </w:p>
        </w:tc>
        <w:tc>
          <w:tcPr>
            <w:tcW w:w="0" w:type="auto"/>
            <w:vMerge/>
            <w:tcBorders>
              <w:top w:val="nil"/>
              <w:left w:val="double" w:sz="6" w:space="0" w:color="000000"/>
              <w:bottom w:val="nil"/>
              <w:right w:val="nil"/>
            </w:tcBorders>
          </w:tcPr>
          <w:p w:rsidR="00E8309B" w:rsidRDefault="00E8309B">
            <w:pPr>
              <w:spacing w:after="160" w:line="259" w:lineRule="auto"/>
              <w:ind w:left="0" w:right="0" w:firstLine="0"/>
              <w:jc w:val="left"/>
            </w:pPr>
          </w:p>
        </w:tc>
      </w:tr>
      <w:tr w:rsidR="00E8309B">
        <w:tblPrEx>
          <w:tblCellMar>
            <w:top w:w="10" w:type="dxa"/>
          </w:tblCellMar>
        </w:tblPrEx>
        <w:trPr>
          <w:trHeight w:val="240"/>
        </w:trPr>
        <w:tc>
          <w:tcPr>
            <w:tcW w:w="6750" w:type="dxa"/>
            <w:tcBorders>
              <w:top w:val="dashed" w:sz="4" w:space="0" w:color="000000"/>
              <w:left w:val="double" w:sz="6" w:space="0" w:color="000000"/>
              <w:bottom w:val="dashed" w:sz="4" w:space="0" w:color="000000"/>
              <w:right w:val="single" w:sz="8" w:space="0" w:color="000000"/>
            </w:tcBorders>
          </w:tcPr>
          <w:p w:rsidR="00E8309B" w:rsidRDefault="009D0949">
            <w:pPr>
              <w:spacing w:after="0" w:line="259" w:lineRule="auto"/>
              <w:ind w:left="0" w:right="0" w:firstLine="0"/>
              <w:jc w:val="left"/>
            </w:pPr>
            <w:r>
              <w:rPr>
                <w:sz w:val="20"/>
              </w:rPr>
              <w:t xml:space="preserve">17. Укупан нето спољни дуг </w:t>
            </w:r>
          </w:p>
        </w:tc>
        <w:tc>
          <w:tcPr>
            <w:tcW w:w="1604" w:type="dxa"/>
            <w:tcBorders>
              <w:top w:val="dashed" w:sz="4" w:space="0" w:color="000000"/>
              <w:left w:val="single" w:sz="8" w:space="0" w:color="000000"/>
              <w:bottom w:val="dashed" w:sz="4" w:space="0" w:color="000000"/>
              <w:right w:val="single" w:sz="8" w:space="0" w:color="000000"/>
            </w:tcBorders>
          </w:tcPr>
          <w:p w:rsidR="00E8309B" w:rsidRDefault="009D0949">
            <w:pPr>
              <w:spacing w:after="0" w:line="259" w:lineRule="auto"/>
              <w:ind w:left="0" w:right="50" w:firstLine="0"/>
              <w:jc w:val="center"/>
            </w:pPr>
            <w:r>
              <w:rPr>
                <w:sz w:val="20"/>
              </w:rPr>
              <w:t xml:space="preserve">млрд ЕУР </w:t>
            </w:r>
          </w:p>
        </w:tc>
        <w:tc>
          <w:tcPr>
            <w:tcW w:w="984" w:type="dxa"/>
            <w:tcBorders>
              <w:top w:val="dashed" w:sz="4" w:space="0" w:color="000000"/>
              <w:left w:val="single" w:sz="8" w:space="0" w:color="000000"/>
              <w:bottom w:val="dashed" w:sz="4" w:space="0" w:color="000000"/>
              <w:right w:val="dashed" w:sz="4" w:space="0" w:color="000000"/>
            </w:tcBorders>
          </w:tcPr>
          <w:p w:rsidR="00E8309B" w:rsidRDefault="009D0949">
            <w:pPr>
              <w:spacing w:after="0" w:line="259" w:lineRule="auto"/>
              <w:ind w:left="0" w:right="52" w:firstLine="0"/>
              <w:jc w:val="right"/>
            </w:pPr>
            <w:r>
              <w:rPr>
                <w:sz w:val="20"/>
              </w:rPr>
              <w:t xml:space="preserve">17,3 </w:t>
            </w:r>
          </w:p>
        </w:tc>
        <w:tc>
          <w:tcPr>
            <w:tcW w:w="984"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52" w:firstLine="0"/>
              <w:jc w:val="right"/>
            </w:pPr>
            <w:r>
              <w:rPr>
                <w:sz w:val="20"/>
              </w:rPr>
              <w:t xml:space="preserve">17,8 </w:t>
            </w:r>
          </w:p>
        </w:tc>
        <w:tc>
          <w:tcPr>
            <w:tcW w:w="982"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49" w:firstLine="0"/>
              <w:jc w:val="right"/>
            </w:pPr>
            <w:r>
              <w:rPr>
                <w:sz w:val="20"/>
              </w:rPr>
              <w:t xml:space="preserve">18,8 </w:t>
            </w:r>
          </w:p>
        </w:tc>
        <w:tc>
          <w:tcPr>
            <w:tcW w:w="984"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49" w:firstLine="0"/>
              <w:jc w:val="right"/>
            </w:pPr>
            <w:r>
              <w:rPr>
                <w:sz w:val="20"/>
              </w:rPr>
              <w:t xml:space="preserve">17,5 </w:t>
            </w:r>
          </w:p>
        </w:tc>
        <w:tc>
          <w:tcPr>
            <w:tcW w:w="984"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52" w:firstLine="0"/>
              <w:jc w:val="right"/>
            </w:pPr>
            <w:r>
              <w:rPr>
                <w:sz w:val="20"/>
              </w:rPr>
              <w:t xml:space="preserve">16,9 </w:t>
            </w:r>
          </w:p>
        </w:tc>
        <w:tc>
          <w:tcPr>
            <w:tcW w:w="994" w:type="dxa"/>
            <w:tcBorders>
              <w:top w:val="dashed" w:sz="4" w:space="0" w:color="000000"/>
              <w:left w:val="dashed" w:sz="4" w:space="0" w:color="000000"/>
              <w:bottom w:val="dashed" w:sz="4" w:space="0" w:color="000000"/>
              <w:right w:val="double" w:sz="6" w:space="0" w:color="000000"/>
            </w:tcBorders>
          </w:tcPr>
          <w:p w:rsidR="00E8309B" w:rsidRDefault="009D0949">
            <w:pPr>
              <w:spacing w:after="0" w:line="259" w:lineRule="auto"/>
              <w:ind w:left="0" w:right="49" w:firstLine="0"/>
              <w:jc w:val="right"/>
            </w:pPr>
            <w:r>
              <w:rPr>
                <w:sz w:val="20"/>
              </w:rPr>
              <w:t xml:space="preserve">16,6 </w:t>
            </w:r>
          </w:p>
        </w:tc>
        <w:tc>
          <w:tcPr>
            <w:tcW w:w="0" w:type="auto"/>
            <w:vMerge/>
            <w:tcBorders>
              <w:top w:val="nil"/>
              <w:left w:val="double" w:sz="6" w:space="0" w:color="000000"/>
              <w:bottom w:val="nil"/>
              <w:right w:val="nil"/>
            </w:tcBorders>
          </w:tcPr>
          <w:p w:rsidR="00E8309B" w:rsidRDefault="00E8309B">
            <w:pPr>
              <w:spacing w:after="160" w:line="259" w:lineRule="auto"/>
              <w:ind w:left="0" w:right="0" w:firstLine="0"/>
              <w:jc w:val="left"/>
            </w:pPr>
          </w:p>
        </w:tc>
      </w:tr>
      <w:tr w:rsidR="00E8309B">
        <w:tblPrEx>
          <w:tblCellMar>
            <w:top w:w="10" w:type="dxa"/>
          </w:tblCellMar>
        </w:tblPrEx>
        <w:trPr>
          <w:trHeight w:val="240"/>
        </w:trPr>
        <w:tc>
          <w:tcPr>
            <w:tcW w:w="6750" w:type="dxa"/>
            <w:tcBorders>
              <w:top w:val="dashed" w:sz="4" w:space="0" w:color="000000"/>
              <w:left w:val="double" w:sz="6" w:space="0" w:color="000000"/>
              <w:bottom w:val="dashed" w:sz="4" w:space="0" w:color="000000"/>
              <w:right w:val="single" w:sz="8" w:space="0" w:color="000000"/>
            </w:tcBorders>
          </w:tcPr>
          <w:p w:rsidR="00E8309B" w:rsidRDefault="009D0949">
            <w:pPr>
              <w:spacing w:after="0" w:line="259" w:lineRule="auto"/>
              <w:ind w:left="0" w:right="0" w:firstLine="0"/>
              <w:jc w:val="left"/>
            </w:pPr>
            <w:r>
              <w:rPr>
                <w:i/>
                <w:sz w:val="20"/>
              </w:rPr>
              <w:t xml:space="preserve">18. Од чега: деноминовано у страним валутама </w:t>
            </w:r>
          </w:p>
        </w:tc>
        <w:tc>
          <w:tcPr>
            <w:tcW w:w="1604" w:type="dxa"/>
            <w:tcBorders>
              <w:top w:val="dashed" w:sz="4" w:space="0" w:color="000000"/>
              <w:left w:val="single" w:sz="8" w:space="0" w:color="000000"/>
              <w:bottom w:val="dashed" w:sz="4" w:space="0" w:color="000000"/>
              <w:right w:val="single" w:sz="8" w:space="0" w:color="000000"/>
            </w:tcBorders>
          </w:tcPr>
          <w:p w:rsidR="00E8309B" w:rsidRDefault="009D0949">
            <w:pPr>
              <w:spacing w:after="0" w:line="259" w:lineRule="auto"/>
              <w:ind w:left="0" w:right="50" w:firstLine="0"/>
              <w:jc w:val="center"/>
            </w:pPr>
            <w:r>
              <w:rPr>
                <w:sz w:val="20"/>
              </w:rPr>
              <w:t xml:space="preserve">млрд ЕУР </w:t>
            </w:r>
          </w:p>
        </w:tc>
        <w:tc>
          <w:tcPr>
            <w:tcW w:w="984" w:type="dxa"/>
            <w:tcBorders>
              <w:top w:val="dashed" w:sz="4" w:space="0" w:color="000000"/>
              <w:left w:val="single" w:sz="8" w:space="0" w:color="000000"/>
              <w:bottom w:val="dashed" w:sz="4" w:space="0" w:color="000000"/>
              <w:right w:val="dashed" w:sz="4" w:space="0" w:color="000000"/>
            </w:tcBorders>
          </w:tcPr>
          <w:p w:rsidR="00E8309B" w:rsidRDefault="009D0949">
            <w:pPr>
              <w:spacing w:after="0" w:line="259" w:lineRule="auto"/>
              <w:ind w:left="0" w:right="52" w:firstLine="0"/>
              <w:jc w:val="right"/>
            </w:pPr>
            <w:r>
              <w:rPr>
                <w:sz w:val="20"/>
              </w:rPr>
              <w:t xml:space="preserve">15,4 </w:t>
            </w:r>
          </w:p>
        </w:tc>
        <w:tc>
          <w:tcPr>
            <w:tcW w:w="984"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52" w:firstLine="0"/>
              <w:jc w:val="right"/>
            </w:pPr>
            <w:r>
              <w:rPr>
                <w:sz w:val="20"/>
              </w:rPr>
              <w:t xml:space="preserve">15,8 </w:t>
            </w:r>
          </w:p>
        </w:tc>
        <w:tc>
          <w:tcPr>
            <w:tcW w:w="982"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49" w:firstLine="0"/>
              <w:jc w:val="right"/>
            </w:pPr>
            <w:r>
              <w:rPr>
                <w:sz w:val="20"/>
              </w:rPr>
              <w:t xml:space="preserve">16,7 </w:t>
            </w:r>
          </w:p>
        </w:tc>
        <w:tc>
          <w:tcPr>
            <w:tcW w:w="984"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49" w:firstLine="0"/>
              <w:jc w:val="right"/>
            </w:pPr>
            <w:r>
              <w:rPr>
                <w:sz w:val="20"/>
              </w:rPr>
              <w:t xml:space="preserve">15,3 </w:t>
            </w:r>
          </w:p>
        </w:tc>
        <w:tc>
          <w:tcPr>
            <w:tcW w:w="984"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52" w:firstLine="0"/>
              <w:jc w:val="right"/>
            </w:pPr>
            <w:r>
              <w:rPr>
                <w:sz w:val="20"/>
              </w:rPr>
              <w:t xml:space="preserve">14,6 </w:t>
            </w:r>
          </w:p>
        </w:tc>
        <w:tc>
          <w:tcPr>
            <w:tcW w:w="994" w:type="dxa"/>
            <w:tcBorders>
              <w:top w:val="dashed" w:sz="4" w:space="0" w:color="000000"/>
              <w:left w:val="dashed" w:sz="4" w:space="0" w:color="000000"/>
              <w:bottom w:val="dashed" w:sz="4" w:space="0" w:color="000000"/>
              <w:right w:val="double" w:sz="6" w:space="0" w:color="000000"/>
            </w:tcBorders>
          </w:tcPr>
          <w:p w:rsidR="00E8309B" w:rsidRDefault="009D0949">
            <w:pPr>
              <w:spacing w:after="0" w:line="259" w:lineRule="auto"/>
              <w:ind w:left="0" w:right="49" w:firstLine="0"/>
              <w:jc w:val="right"/>
            </w:pPr>
            <w:r>
              <w:rPr>
                <w:sz w:val="20"/>
              </w:rPr>
              <w:t xml:space="preserve">14,1 </w:t>
            </w:r>
          </w:p>
        </w:tc>
        <w:tc>
          <w:tcPr>
            <w:tcW w:w="0" w:type="auto"/>
            <w:vMerge/>
            <w:tcBorders>
              <w:top w:val="nil"/>
              <w:left w:val="double" w:sz="6" w:space="0" w:color="000000"/>
              <w:bottom w:val="nil"/>
              <w:right w:val="nil"/>
            </w:tcBorders>
          </w:tcPr>
          <w:p w:rsidR="00E8309B" w:rsidRDefault="00E8309B">
            <w:pPr>
              <w:spacing w:after="160" w:line="259" w:lineRule="auto"/>
              <w:ind w:left="0" w:right="0" w:firstLine="0"/>
              <w:jc w:val="left"/>
            </w:pPr>
          </w:p>
        </w:tc>
      </w:tr>
      <w:tr w:rsidR="00E8309B">
        <w:tblPrEx>
          <w:tblCellMar>
            <w:top w:w="10" w:type="dxa"/>
          </w:tblCellMar>
        </w:tblPrEx>
        <w:trPr>
          <w:trHeight w:val="240"/>
        </w:trPr>
        <w:tc>
          <w:tcPr>
            <w:tcW w:w="6750" w:type="dxa"/>
            <w:tcBorders>
              <w:top w:val="dashed" w:sz="4" w:space="0" w:color="000000"/>
              <w:left w:val="double" w:sz="6" w:space="0" w:color="000000"/>
              <w:bottom w:val="dashed" w:sz="4" w:space="0" w:color="000000"/>
              <w:right w:val="single" w:sz="8" w:space="0" w:color="000000"/>
            </w:tcBorders>
          </w:tcPr>
          <w:p w:rsidR="00E8309B" w:rsidRDefault="009D0949">
            <w:pPr>
              <w:spacing w:after="0" w:line="259" w:lineRule="auto"/>
              <w:ind w:left="0" w:right="0" w:firstLine="0"/>
              <w:jc w:val="left"/>
            </w:pPr>
            <w:r>
              <w:rPr>
                <w:i/>
                <w:sz w:val="20"/>
              </w:rPr>
              <w:t xml:space="preserve">19. Од чега: јавни </w:t>
            </w:r>
          </w:p>
        </w:tc>
        <w:tc>
          <w:tcPr>
            <w:tcW w:w="1604" w:type="dxa"/>
            <w:tcBorders>
              <w:top w:val="dashed" w:sz="4" w:space="0" w:color="000000"/>
              <w:left w:val="single" w:sz="8" w:space="0" w:color="000000"/>
              <w:bottom w:val="dashed" w:sz="4" w:space="0" w:color="000000"/>
              <w:right w:val="single" w:sz="8" w:space="0" w:color="000000"/>
            </w:tcBorders>
          </w:tcPr>
          <w:p w:rsidR="00E8309B" w:rsidRDefault="009D0949">
            <w:pPr>
              <w:spacing w:after="0" w:line="259" w:lineRule="auto"/>
              <w:ind w:left="0" w:right="50" w:firstLine="0"/>
              <w:jc w:val="center"/>
            </w:pPr>
            <w:r>
              <w:rPr>
                <w:sz w:val="20"/>
              </w:rPr>
              <w:t xml:space="preserve">млрд ЕУР </w:t>
            </w:r>
          </w:p>
        </w:tc>
        <w:tc>
          <w:tcPr>
            <w:tcW w:w="984" w:type="dxa"/>
            <w:tcBorders>
              <w:top w:val="dashed" w:sz="4" w:space="0" w:color="000000"/>
              <w:left w:val="single" w:sz="8" w:space="0" w:color="000000"/>
              <w:bottom w:val="dashed" w:sz="4" w:space="0" w:color="000000"/>
              <w:right w:val="dashed" w:sz="4" w:space="0" w:color="000000"/>
            </w:tcBorders>
          </w:tcPr>
          <w:p w:rsidR="00E8309B" w:rsidRDefault="009D0949">
            <w:pPr>
              <w:spacing w:after="0" w:line="259" w:lineRule="auto"/>
              <w:ind w:left="0" w:right="51" w:firstLine="0"/>
              <w:jc w:val="right"/>
            </w:pPr>
            <w:r>
              <w:rPr>
                <w:sz w:val="20"/>
              </w:rPr>
              <w:t xml:space="preserve">6,0 </w:t>
            </w:r>
          </w:p>
        </w:tc>
        <w:tc>
          <w:tcPr>
            <w:tcW w:w="984"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51" w:firstLine="0"/>
              <w:jc w:val="right"/>
            </w:pPr>
            <w:r>
              <w:rPr>
                <w:sz w:val="20"/>
              </w:rPr>
              <w:t xml:space="preserve">6,4 </w:t>
            </w:r>
          </w:p>
        </w:tc>
        <w:tc>
          <w:tcPr>
            <w:tcW w:w="982"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49" w:firstLine="0"/>
              <w:jc w:val="right"/>
            </w:pPr>
            <w:r>
              <w:rPr>
                <w:sz w:val="20"/>
              </w:rPr>
              <w:t xml:space="preserve">7,9 </w:t>
            </w:r>
          </w:p>
        </w:tc>
        <w:tc>
          <w:tcPr>
            <w:tcW w:w="984"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49" w:firstLine="0"/>
              <w:jc w:val="right"/>
            </w:pPr>
            <w:r>
              <w:rPr>
                <w:sz w:val="20"/>
              </w:rPr>
              <w:t xml:space="preserve">5,3 </w:t>
            </w:r>
          </w:p>
        </w:tc>
        <w:tc>
          <w:tcPr>
            <w:tcW w:w="984"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51" w:firstLine="0"/>
              <w:jc w:val="right"/>
            </w:pPr>
            <w:r>
              <w:rPr>
                <w:sz w:val="20"/>
              </w:rPr>
              <w:t xml:space="preserve">4,6 </w:t>
            </w:r>
          </w:p>
        </w:tc>
        <w:tc>
          <w:tcPr>
            <w:tcW w:w="994" w:type="dxa"/>
            <w:tcBorders>
              <w:top w:val="dashed" w:sz="4" w:space="0" w:color="000000"/>
              <w:left w:val="dashed" w:sz="4" w:space="0" w:color="000000"/>
              <w:bottom w:val="dashed" w:sz="4" w:space="0" w:color="000000"/>
              <w:right w:val="double" w:sz="6" w:space="0" w:color="000000"/>
            </w:tcBorders>
          </w:tcPr>
          <w:p w:rsidR="00E8309B" w:rsidRDefault="009D0949">
            <w:pPr>
              <w:spacing w:after="0" w:line="259" w:lineRule="auto"/>
              <w:ind w:left="0" w:right="49" w:firstLine="0"/>
              <w:jc w:val="right"/>
            </w:pPr>
            <w:r>
              <w:rPr>
                <w:sz w:val="20"/>
              </w:rPr>
              <w:t xml:space="preserve">4,4 </w:t>
            </w:r>
          </w:p>
        </w:tc>
        <w:tc>
          <w:tcPr>
            <w:tcW w:w="0" w:type="auto"/>
            <w:vMerge/>
            <w:tcBorders>
              <w:top w:val="nil"/>
              <w:left w:val="double" w:sz="6" w:space="0" w:color="000000"/>
              <w:bottom w:val="nil"/>
              <w:right w:val="nil"/>
            </w:tcBorders>
          </w:tcPr>
          <w:p w:rsidR="00E8309B" w:rsidRDefault="00E8309B">
            <w:pPr>
              <w:spacing w:after="160" w:line="259" w:lineRule="auto"/>
              <w:ind w:left="0" w:right="0" w:firstLine="0"/>
              <w:jc w:val="left"/>
            </w:pPr>
          </w:p>
        </w:tc>
      </w:tr>
      <w:tr w:rsidR="00E8309B">
        <w:tblPrEx>
          <w:tblCellMar>
            <w:top w:w="10" w:type="dxa"/>
          </w:tblCellMar>
        </w:tblPrEx>
        <w:trPr>
          <w:trHeight w:val="241"/>
        </w:trPr>
        <w:tc>
          <w:tcPr>
            <w:tcW w:w="6750" w:type="dxa"/>
            <w:tcBorders>
              <w:top w:val="dashed" w:sz="4" w:space="0" w:color="000000"/>
              <w:left w:val="double" w:sz="6" w:space="0" w:color="000000"/>
              <w:bottom w:val="dashed" w:sz="4" w:space="0" w:color="000000"/>
              <w:right w:val="single" w:sz="8" w:space="0" w:color="000000"/>
            </w:tcBorders>
          </w:tcPr>
          <w:p w:rsidR="00E8309B" w:rsidRDefault="009D0949">
            <w:pPr>
              <w:spacing w:after="0" w:line="259" w:lineRule="auto"/>
              <w:ind w:left="0" w:right="0" w:firstLine="0"/>
              <w:jc w:val="left"/>
            </w:pPr>
            <w:r>
              <w:rPr>
                <w:i/>
                <w:sz w:val="20"/>
              </w:rPr>
              <w:t xml:space="preserve">20. Од чега: отплата камата </w:t>
            </w:r>
          </w:p>
        </w:tc>
        <w:tc>
          <w:tcPr>
            <w:tcW w:w="1604" w:type="dxa"/>
            <w:tcBorders>
              <w:top w:val="dashed" w:sz="4" w:space="0" w:color="000000"/>
              <w:left w:val="single" w:sz="8" w:space="0" w:color="000000"/>
              <w:bottom w:val="dashed" w:sz="4" w:space="0" w:color="000000"/>
              <w:right w:val="single" w:sz="8" w:space="0" w:color="000000"/>
            </w:tcBorders>
          </w:tcPr>
          <w:p w:rsidR="00E8309B" w:rsidRDefault="009D0949">
            <w:pPr>
              <w:spacing w:after="0" w:line="259" w:lineRule="auto"/>
              <w:ind w:left="0" w:right="50" w:firstLine="0"/>
              <w:jc w:val="center"/>
            </w:pPr>
            <w:r>
              <w:rPr>
                <w:sz w:val="20"/>
              </w:rPr>
              <w:t xml:space="preserve">млрд ЕУР </w:t>
            </w:r>
          </w:p>
        </w:tc>
        <w:tc>
          <w:tcPr>
            <w:tcW w:w="984" w:type="dxa"/>
            <w:tcBorders>
              <w:top w:val="dashed" w:sz="4" w:space="0" w:color="000000"/>
              <w:left w:val="single" w:sz="8" w:space="0" w:color="000000"/>
              <w:bottom w:val="dashed" w:sz="4" w:space="0" w:color="000000"/>
              <w:right w:val="dashed" w:sz="4" w:space="0" w:color="000000"/>
            </w:tcBorders>
          </w:tcPr>
          <w:p w:rsidR="00E8309B" w:rsidRDefault="009D0949">
            <w:pPr>
              <w:spacing w:after="0" w:line="259" w:lineRule="auto"/>
              <w:ind w:left="0" w:right="51" w:firstLine="0"/>
              <w:jc w:val="right"/>
            </w:pPr>
            <w:r>
              <w:rPr>
                <w:sz w:val="20"/>
              </w:rPr>
              <w:t xml:space="preserve">0,8 </w:t>
            </w:r>
          </w:p>
        </w:tc>
        <w:tc>
          <w:tcPr>
            <w:tcW w:w="984"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51" w:firstLine="0"/>
              <w:jc w:val="right"/>
            </w:pPr>
            <w:r>
              <w:rPr>
                <w:sz w:val="20"/>
              </w:rPr>
              <w:t xml:space="preserve">0,7 </w:t>
            </w:r>
          </w:p>
        </w:tc>
        <w:tc>
          <w:tcPr>
            <w:tcW w:w="982"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49" w:firstLine="0"/>
              <w:jc w:val="right"/>
            </w:pPr>
            <w:r>
              <w:rPr>
                <w:sz w:val="20"/>
              </w:rPr>
              <w:t xml:space="preserve">0,7 </w:t>
            </w:r>
          </w:p>
        </w:tc>
        <w:tc>
          <w:tcPr>
            <w:tcW w:w="984"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49" w:firstLine="0"/>
              <w:jc w:val="right"/>
            </w:pPr>
            <w:r>
              <w:rPr>
                <w:sz w:val="20"/>
              </w:rPr>
              <w:t xml:space="preserve">0,6 </w:t>
            </w:r>
          </w:p>
        </w:tc>
        <w:tc>
          <w:tcPr>
            <w:tcW w:w="984"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51" w:firstLine="0"/>
              <w:jc w:val="right"/>
            </w:pPr>
            <w:r>
              <w:rPr>
                <w:sz w:val="20"/>
              </w:rPr>
              <w:t xml:space="preserve">0,5 </w:t>
            </w:r>
          </w:p>
        </w:tc>
        <w:tc>
          <w:tcPr>
            <w:tcW w:w="994" w:type="dxa"/>
            <w:tcBorders>
              <w:top w:val="dashed" w:sz="4" w:space="0" w:color="000000"/>
              <w:left w:val="dashed" w:sz="4" w:space="0" w:color="000000"/>
              <w:bottom w:val="dashed" w:sz="4" w:space="0" w:color="000000"/>
              <w:right w:val="double" w:sz="6" w:space="0" w:color="000000"/>
            </w:tcBorders>
          </w:tcPr>
          <w:p w:rsidR="00E8309B" w:rsidRDefault="009D0949">
            <w:pPr>
              <w:spacing w:after="0" w:line="259" w:lineRule="auto"/>
              <w:ind w:left="0" w:right="49" w:firstLine="0"/>
              <w:jc w:val="right"/>
            </w:pPr>
            <w:r>
              <w:rPr>
                <w:sz w:val="20"/>
              </w:rPr>
              <w:t xml:space="preserve">0,5 </w:t>
            </w:r>
          </w:p>
        </w:tc>
        <w:tc>
          <w:tcPr>
            <w:tcW w:w="0" w:type="auto"/>
            <w:vMerge/>
            <w:tcBorders>
              <w:top w:val="nil"/>
              <w:left w:val="double" w:sz="6" w:space="0" w:color="000000"/>
              <w:bottom w:val="nil"/>
              <w:right w:val="nil"/>
            </w:tcBorders>
          </w:tcPr>
          <w:p w:rsidR="00E8309B" w:rsidRDefault="00E8309B">
            <w:pPr>
              <w:spacing w:after="160" w:line="259" w:lineRule="auto"/>
              <w:ind w:left="0" w:right="0" w:firstLine="0"/>
              <w:jc w:val="left"/>
            </w:pPr>
          </w:p>
        </w:tc>
      </w:tr>
      <w:tr w:rsidR="00E8309B">
        <w:tblPrEx>
          <w:tblCellMar>
            <w:top w:w="10" w:type="dxa"/>
          </w:tblCellMar>
        </w:tblPrEx>
        <w:trPr>
          <w:trHeight w:val="245"/>
        </w:trPr>
        <w:tc>
          <w:tcPr>
            <w:tcW w:w="6750" w:type="dxa"/>
            <w:tcBorders>
              <w:top w:val="dashed" w:sz="4" w:space="0" w:color="000000"/>
              <w:left w:val="double" w:sz="6" w:space="0" w:color="000000"/>
              <w:bottom w:val="single" w:sz="8" w:space="0" w:color="000000"/>
              <w:right w:val="single" w:sz="8" w:space="0" w:color="000000"/>
            </w:tcBorders>
          </w:tcPr>
          <w:p w:rsidR="00E8309B" w:rsidRDefault="009D0949">
            <w:pPr>
              <w:spacing w:after="0" w:line="259" w:lineRule="auto"/>
              <w:ind w:left="0" w:right="0" w:firstLine="0"/>
              <w:jc w:val="left"/>
            </w:pPr>
            <w:r>
              <w:rPr>
                <w:i/>
                <w:sz w:val="20"/>
              </w:rPr>
              <w:t xml:space="preserve">21. Од чега: доспело за отплату </w:t>
            </w:r>
          </w:p>
        </w:tc>
        <w:tc>
          <w:tcPr>
            <w:tcW w:w="1604" w:type="dxa"/>
            <w:tcBorders>
              <w:top w:val="dashed" w:sz="4" w:space="0" w:color="000000"/>
              <w:left w:val="single" w:sz="8" w:space="0" w:color="000000"/>
              <w:bottom w:val="single" w:sz="8" w:space="0" w:color="000000"/>
              <w:right w:val="single" w:sz="8" w:space="0" w:color="000000"/>
            </w:tcBorders>
          </w:tcPr>
          <w:p w:rsidR="00E8309B" w:rsidRDefault="009D0949">
            <w:pPr>
              <w:spacing w:after="0" w:line="259" w:lineRule="auto"/>
              <w:ind w:left="0" w:right="50" w:firstLine="0"/>
              <w:jc w:val="center"/>
            </w:pPr>
            <w:r>
              <w:rPr>
                <w:sz w:val="20"/>
              </w:rPr>
              <w:t xml:space="preserve">млрд ЕУР </w:t>
            </w:r>
          </w:p>
        </w:tc>
        <w:tc>
          <w:tcPr>
            <w:tcW w:w="984" w:type="dxa"/>
            <w:tcBorders>
              <w:top w:val="dashed" w:sz="4" w:space="0" w:color="000000"/>
              <w:left w:val="single" w:sz="8" w:space="0" w:color="000000"/>
              <w:bottom w:val="single" w:sz="8" w:space="0" w:color="000000"/>
              <w:right w:val="dashed" w:sz="4" w:space="0" w:color="000000"/>
            </w:tcBorders>
          </w:tcPr>
          <w:p w:rsidR="00E8309B" w:rsidRDefault="009D0949">
            <w:pPr>
              <w:tabs>
                <w:tab w:val="right" w:pos="820"/>
              </w:tabs>
              <w:spacing w:after="0" w:line="259" w:lineRule="auto"/>
              <w:ind w:left="0" w:right="0" w:firstLine="0"/>
              <w:jc w:val="left"/>
            </w:pPr>
            <w:r>
              <w:rPr>
                <w:sz w:val="31"/>
                <w:vertAlign w:val="subscript"/>
              </w:rPr>
              <w:t xml:space="preserve"> </w:t>
            </w:r>
            <w:r>
              <w:rPr>
                <w:sz w:val="31"/>
                <w:vertAlign w:val="subscript"/>
              </w:rPr>
              <w:tab/>
            </w:r>
            <w:r>
              <w:rPr>
                <w:sz w:val="20"/>
              </w:rPr>
              <w:t xml:space="preserve">4,1 </w:t>
            </w:r>
          </w:p>
        </w:tc>
        <w:tc>
          <w:tcPr>
            <w:tcW w:w="984" w:type="dxa"/>
            <w:tcBorders>
              <w:top w:val="dashed" w:sz="4" w:space="0" w:color="000000"/>
              <w:left w:val="dashed" w:sz="4" w:space="0" w:color="000000"/>
              <w:bottom w:val="single" w:sz="8" w:space="0" w:color="000000"/>
              <w:right w:val="dashed" w:sz="4" w:space="0" w:color="000000"/>
            </w:tcBorders>
          </w:tcPr>
          <w:p w:rsidR="00E8309B" w:rsidRDefault="009D0949">
            <w:pPr>
              <w:tabs>
                <w:tab w:val="right" w:pos="820"/>
              </w:tabs>
              <w:spacing w:after="0" w:line="259" w:lineRule="auto"/>
              <w:ind w:left="0" w:right="0" w:firstLine="0"/>
              <w:jc w:val="left"/>
            </w:pPr>
            <w:r>
              <w:rPr>
                <w:sz w:val="31"/>
                <w:vertAlign w:val="subscript"/>
              </w:rPr>
              <w:t xml:space="preserve"> </w:t>
            </w:r>
            <w:r>
              <w:rPr>
                <w:sz w:val="31"/>
                <w:vertAlign w:val="subscript"/>
              </w:rPr>
              <w:tab/>
            </w:r>
            <w:r>
              <w:rPr>
                <w:sz w:val="20"/>
              </w:rPr>
              <w:t xml:space="preserve">5,4 </w:t>
            </w:r>
          </w:p>
        </w:tc>
        <w:tc>
          <w:tcPr>
            <w:tcW w:w="982" w:type="dxa"/>
            <w:tcBorders>
              <w:top w:val="dashed" w:sz="4" w:space="0" w:color="000000"/>
              <w:left w:val="dashed" w:sz="4" w:space="0" w:color="000000"/>
              <w:bottom w:val="single" w:sz="8" w:space="0" w:color="000000"/>
              <w:right w:val="dashed" w:sz="4" w:space="0" w:color="000000"/>
            </w:tcBorders>
          </w:tcPr>
          <w:p w:rsidR="00E8309B" w:rsidRDefault="009D0949">
            <w:pPr>
              <w:tabs>
                <w:tab w:val="right" w:pos="818"/>
              </w:tabs>
              <w:spacing w:after="0" w:line="259" w:lineRule="auto"/>
              <w:ind w:left="0" w:right="0" w:firstLine="0"/>
              <w:jc w:val="left"/>
            </w:pPr>
            <w:r>
              <w:rPr>
                <w:sz w:val="31"/>
                <w:vertAlign w:val="subscript"/>
              </w:rPr>
              <w:t xml:space="preserve"> </w:t>
            </w:r>
            <w:r>
              <w:rPr>
                <w:sz w:val="31"/>
                <w:vertAlign w:val="subscript"/>
              </w:rPr>
              <w:tab/>
            </w:r>
            <w:r>
              <w:rPr>
                <w:sz w:val="20"/>
              </w:rPr>
              <w:t xml:space="preserve">4,5 </w:t>
            </w:r>
          </w:p>
        </w:tc>
        <w:tc>
          <w:tcPr>
            <w:tcW w:w="984" w:type="dxa"/>
            <w:tcBorders>
              <w:top w:val="dashed" w:sz="4" w:space="0" w:color="000000"/>
              <w:left w:val="dashed" w:sz="4" w:space="0" w:color="000000"/>
              <w:bottom w:val="single" w:sz="8" w:space="0" w:color="000000"/>
              <w:right w:val="dashed" w:sz="4" w:space="0" w:color="000000"/>
            </w:tcBorders>
          </w:tcPr>
          <w:p w:rsidR="00E8309B" w:rsidRDefault="009D0949">
            <w:pPr>
              <w:tabs>
                <w:tab w:val="right" w:pos="820"/>
              </w:tabs>
              <w:spacing w:after="0" w:line="259" w:lineRule="auto"/>
              <w:ind w:left="0" w:right="0" w:firstLine="0"/>
              <w:jc w:val="left"/>
            </w:pPr>
            <w:r>
              <w:rPr>
                <w:sz w:val="31"/>
                <w:vertAlign w:val="subscript"/>
              </w:rPr>
              <w:t xml:space="preserve"> </w:t>
            </w:r>
            <w:r>
              <w:rPr>
                <w:sz w:val="31"/>
                <w:vertAlign w:val="subscript"/>
              </w:rPr>
              <w:tab/>
            </w:r>
            <w:r>
              <w:rPr>
                <w:sz w:val="20"/>
              </w:rPr>
              <w:t xml:space="preserve">4,1 </w:t>
            </w:r>
          </w:p>
        </w:tc>
        <w:tc>
          <w:tcPr>
            <w:tcW w:w="984" w:type="dxa"/>
            <w:tcBorders>
              <w:top w:val="dashed" w:sz="4" w:space="0" w:color="000000"/>
              <w:left w:val="dashed" w:sz="4" w:space="0" w:color="000000"/>
              <w:bottom w:val="single" w:sz="8" w:space="0" w:color="000000"/>
              <w:right w:val="dashed" w:sz="4" w:space="0" w:color="000000"/>
            </w:tcBorders>
          </w:tcPr>
          <w:p w:rsidR="00E8309B" w:rsidRDefault="009D0949">
            <w:pPr>
              <w:tabs>
                <w:tab w:val="right" w:pos="820"/>
              </w:tabs>
              <w:spacing w:after="0" w:line="259" w:lineRule="auto"/>
              <w:ind w:left="0" w:right="0" w:firstLine="0"/>
              <w:jc w:val="left"/>
            </w:pPr>
            <w:r>
              <w:rPr>
                <w:sz w:val="31"/>
                <w:vertAlign w:val="subscript"/>
              </w:rPr>
              <w:t xml:space="preserve"> </w:t>
            </w:r>
            <w:r>
              <w:rPr>
                <w:sz w:val="31"/>
                <w:vertAlign w:val="subscript"/>
              </w:rPr>
              <w:tab/>
            </w:r>
            <w:r>
              <w:rPr>
                <w:sz w:val="20"/>
              </w:rPr>
              <w:t xml:space="preserve">4,0 </w:t>
            </w:r>
          </w:p>
        </w:tc>
        <w:tc>
          <w:tcPr>
            <w:tcW w:w="994" w:type="dxa"/>
            <w:tcBorders>
              <w:top w:val="dashed" w:sz="4" w:space="0" w:color="000000"/>
              <w:left w:val="dashed" w:sz="4" w:space="0" w:color="000000"/>
              <w:bottom w:val="single" w:sz="8" w:space="0" w:color="000000"/>
              <w:right w:val="double" w:sz="6" w:space="0" w:color="000000"/>
            </w:tcBorders>
          </w:tcPr>
          <w:p w:rsidR="00E8309B" w:rsidRDefault="009D0949">
            <w:pPr>
              <w:tabs>
                <w:tab w:val="right" w:pos="830"/>
              </w:tabs>
              <w:spacing w:after="0" w:line="259" w:lineRule="auto"/>
              <w:ind w:left="0" w:right="0" w:firstLine="0"/>
              <w:jc w:val="left"/>
            </w:pPr>
            <w:r>
              <w:rPr>
                <w:sz w:val="31"/>
                <w:vertAlign w:val="subscript"/>
              </w:rPr>
              <w:t xml:space="preserve"> </w:t>
            </w:r>
            <w:r>
              <w:rPr>
                <w:sz w:val="31"/>
                <w:vertAlign w:val="subscript"/>
              </w:rPr>
              <w:tab/>
            </w:r>
            <w:r>
              <w:rPr>
                <w:sz w:val="20"/>
              </w:rPr>
              <w:t xml:space="preserve">4,0 </w:t>
            </w:r>
          </w:p>
        </w:tc>
        <w:tc>
          <w:tcPr>
            <w:tcW w:w="0" w:type="auto"/>
            <w:vMerge/>
            <w:tcBorders>
              <w:top w:val="nil"/>
              <w:left w:val="double" w:sz="6" w:space="0" w:color="000000"/>
              <w:bottom w:val="nil"/>
              <w:right w:val="nil"/>
            </w:tcBorders>
          </w:tcPr>
          <w:p w:rsidR="00E8309B" w:rsidRDefault="00E8309B">
            <w:pPr>
              <w:spacing w:after="160" w:line="259" w:lineRule="auto"/>
              <w:ind w:left="0" w:right="0" w:firstLine="0"/>
              <w:jc w:val="left"/>
            </w:pPr>
          </w:p>
        </w:tc>
      </w:tr>
      <w:tr w:rsidR="00E8309B">
        <w:tblPrEx>
          <w:tblCellMar>
            <w:top w:w="10" w:type="dxa"/>
          </w:tblCellMar>
        </w:tblPrEx>
        <w:trPr>
          <w:trHeight w:val="247"/>
        </w:trPr>
        <w:tc>
          <w:tcPr>
            <w:tcW w:w="6750" w:type="dxa"/>
            <w:tcBorders>
              <w:top w:val="single" w:sz="8" w:space="0" w:color="000000"/>
              <w:left w:val="double" w:sz="6" w:space="0" w:color="000000"/>
              <w:bottom w:val="dashed" w:sz="4" w:space="0" w:color="000000"/>
              <w:right w:val="single" w:sz="8" w:space="0" w:color="000000"/>
            </w:tcBorders>
          </w:tcPr>
          <w:p w:rsidR="00E8309B" w:rsidRDefault="009D0949">
            <w:pPr>
              <w:spacing w:after="0" w:line="259" w:lineRule="auto"/>
              <w:ind w:left="0" w:right="0" w:firstLine="0"/>
              <w:jc w:val="left"/>
            </w:pPr>
            <w:r>
              <w:rPr>
                <w:sz w:val="20"/>
              </w:rPr>
              <w:t xml:space="preserve">22. Нето страна штедња </w:t>
            </w:r>
          </w:p>
        </w:tc>
        <w:tc>
          <w:tcPr>
            <w:tcW w:w="1604" w:type="dxa"/>
            <w:tcBorders>
              <w:top w:val="single" w:sz="8" w:space="0" w:color="000000"/>
              <w:left w:val="single" w:sz="8" w:space="0" w:color="000000"/>
              <w:bottom w:val="dashed" w:sz="4" w:space="0" w:color="000000"/>
              <w:right w:val="single" w:sz="8" w:space="0" w:color="000000"/>
            </w:tcBorders>
          </w:tcPr>
          <w:p w:rsidR="00E8309B" w:rsidRDefault="009D0949">
            <w:pPr>
              <w:spacing w:after="0" w:line="259" w:lineRule="auto"/>
              <w:ind w:left="0" w:right="50" w:firstLine="0"/>
              <w:jc w:val="center"/>
            </w:pPr>
            <w:r>
              <w:rPr>
                <w:sz w:val="20"/>
              </w:rPr>
              <w:t xml:space="preserve">млрд ЕУР </w:t>
            </w:r>
          </w:p>
        </w:tc>
        <w:tc>
          <w:tcPr>
            <w:tcW w:w="984" w:type="dxa"/>
            <w:tcBorders>
              <w:top w:val="single" w:sz="8" w:space="0" w:color="000000"/>
              <w:left w:val="single" w:sz="8" w:space="0" w:color="000000"/>
              <w:bottom w:val="dashed" w:sz="4" w:space="0" w:color="000000"/>
              <w:right w:val="dashed" w:sz="4" w:space="0" w:color="000000"/>
            </w:tcBorders>
            <w:vAlign w:val="bottom"/>
          </w:tcPr>
          <w:p w:rsidR="00E8309B" w:rsidRDefault="009D0949">
            <w:pPr>
              <w:spacing w:after="0" w:line="259" w:lineRule="auto"/>
              <w:ind w:left="0" w:right="0" w:firstLine="0"/>
              <w:jc w:val="left"/>
            </w:pPr>
            <w:r>
              <w:rPr>
                <w:sz w:val="20"/>
              </w:rPr>
              <w:t xml:space="preserve"> </w:t>
            </w:r>
          </w:p>
        </w:tc>
        <w:tc>
          <w:tcPr>
            <w:tcW w:w="984" w:type="dxa"/>
            <w:tcBorders>
              <w:top w:val="single" w:sz="8" w:space="0" w:color="000000"/>
              <w:left w:val="dashed" w:sz="4" w:space="0" w:color="000000"/>
              <w:bottom w:val="dashed" w:sz="4" w:space="0" w:color="000000"/>
              <w:right w:val="dashed" w:sz="4" w:space="0" w:color="000000"/>
            </w:tcBorders>
            <w:vAlign w:val="bottom"/>
          </w:tcPr>
          <w:p w:rsidR="00E8309B" w:rsidRDefault="009D0949">
            <w:pPr>
              <w:spacing w:after="0" w:line="259" w:lineRule="auto"/>
              <w:ind w:left="0" w:right="0" w:firstLine="0"/>
              <w:jc w:val="left"/>
            </w:pPr>
            <w:r>
              <w:rPr>
                <w:sz w:val="20"/>
              </w:rPr>
              <w:t xml:space="preserve"> </w:t>
            </w:r>
          </w:p>
        </w:tc>
        <w:tc>
          <w:tcPr>
            <w:tcW w:w="982" w:type="dxa"/>
            <w:tcBorders>
              <w:top w:val="single" w:sz="8" w:space="0" w:color="000000"/>
              <w:left w:val="dashed" w:sz="4" w:space="0" w:color="000000"/>
              <w:bottom w:val="dashed" w:sz="4" w:space="0" w:color="000000"/>
              <w:right w:val="dashed" w:sz="4" w:space="0" w:color="000000"/>
            </w:tcBorders>
            <w:vAlign w:val="bottom"/>
          </w:tcPr>
          <w:p w:rsidR="00E8309B" w:rsidRDefault="009D0949">
            <w:pPr>
              <w:spacing w:after="0" w:line="259" w:lineRule="auto"/>
              <w:ind w:left="1" w:right="0" w:firstLine="0"/>
              <w:jc w:val="left"/>
            </w:pPr>
            <w:r>
              <w:rPr>
                <w:sz w:val="20"/>
              </w:rPr>
              <w:t xml:space="preserve"> </w:t>
            </w:r>
          </w:p>
        </w:tc>
        <w:tc>
          <w:tcPr>
            <w:tcW w:w="984" w:type="dxa"/>
            <w:tcBorders>
              <w:top w:val="single" w:sz="8" w:space="0" w:color="000000"/>
              <w:left w:val="dashed" w:sz="4" w:space="0" w:color="000000"/>
              <w:bottom w:val="dashed" w:sz="4" w:space="0" w:color="000000"/>
              <w:right w:val="dashed" w:sz="4" w:space="0" w:color="000000"/>
            </w:tcBorders>
            <w:vAlign w:val="bottom"/>
          </w:tcPr>
          <w:p w:rsidR="00E8309B" w:rsidRDefault="009D0949">
            <w:pPr>
              <w:spacing w:after="0" w:line="259" w:lineRule="auto"/>
              <w:ind w:left="2" w:right="0" w:firstLine="0"/>
              <w:jc w:val="left"/>
            </w:pPr>
            <w:r>
              <w:rPr>
                <w:sz w:val="20"/>
              </w:rPr>
              <w:t xml:space="preserve"> </w:t>
            </w:r>
          </w:p>
        </w:tc>
        <w:tc>
          <w:tcPr>
            <w:tcW w:w="984" w:type="dxa"/>
            <w:tcBorders>
              <w:top w:val="single" w:sz="8" w:space="0" w:color="000000"/>
              <w:left w:val="dashed" w:sz="4" w:space="0" w:color="000000"/>
              <w:bottom w:val="dashed" w:sz="4" w:space="0" w:color="000000"/>
              <w:right w:val="dashed" w:sz="4" w:space="0" w:color="000000"/>
            </w:tcBorders>
            <w:vAlign w:val="bottom"/>
          </w:tcPr>
          <w:p w:rsidR="00E8309B" w:rsidRDefault="009D0949">
            <w:pPr>
              <w:spacing w:after="0" w:line="259" w:lineRule="auto"/>
              <w:ind w:left="0" w:right="0" w:firstLine="0"/>
              <w:jc w:val="left"/>
            </w:pPr>
            <w:r>
              <w:rPr>
                <w:sz w:val="20"/>
              </w:rPr>
              <w:t xml:space="preserve"> </w:t>
            </w:r>
          </w:p>
        </w:tc>
        <w:tc>
          <w:tcPr>
            <w:tcW w:w="994" w:type="dxa"/>
            <w:tcBorders>
              <w:top w:val="single" w:sz="8" w:space="0" w:color="000000"/>
              <w:left w:val="dashed" w:sz="4" w:space="0" w:color="000000"/>
              <w:bottom w:val="dashed" w:sz="4" w:space="0" w:color="000000"/>
              <w:right w:val="double" w:sz="6" w:space="0" w:color="000000"/>
            </w:tcBorders>
            <w:vAlign w:val="bottom"/>
          </w:tcPr>
          <w:p w:rsidR="00E8309B" w:rsidRDefault="009D0949">
            <w:pPr>
              <w:spacing w:after="0" w:line="259" w:lineRule="auto"/>
              <w:ind w:left="0" w:right="0" w:firstLine="0"/>
              <w:jc w:val="left"/>
            </w:pPr>
            <w:r>
              <w:rPr>
                <w:sz w:val="20"/>
              </w:rPr>
              <w:t xml:space="preserve"> </w:t>
            </w:r>
          </w:p>
        </w:tc>
        <w:tc>
          <w:tcPr>
            <w:tcW w:w="0" w:type="auto"/>
            <w:vMerge/>
            <w:tcBorders>
              <w:top w:val="nil"/>
              <w:left w:val="double" w:sz="6" w:space="0" w:color="000000"/>
              <w:bottom w:val="nil"/>
              <w:right w:val="nil"/>
            </w:tcBorders>
          </w:tcPr>
          <w:p w:rsidR="00E8309B" w:rsidRDefault="00E8309B">
            <w:pPr>
              <w:spacing w:after="160" w:line="259" w:lineRule="auto"/>
              <w:ind w:left="0" w:right="0" w:firstLine="0"/>
              <w:jc w:val="left"/>
            </w:pPr>
          </w:p>
        </w:tc>
      </w:tr>
      <w:tr w:rsidR="00E8309B">
        <w:tblPrEx>
          <w:tblCellMar>
            <w:top w:w="10" w:type="dxa"/>
          </w:tblCellMar>
        </w:tblPrEx>
        <w:trPr>
          <w:trHeight w:val="240"/>
        </w:trPr>
        <w:tc>
          <w:tcPr>
            <w:tcW w:w="6750" w:type="dxa"/>
            <w:tcBorders>
              <w:top w:val="dashed" w:sz="4" w:space="0" w:color="000000"/>
              <w:left w:val="double" w:sz="6" w:space="0" w:color="000000"/>
              <w:bottom w:val="dashed" w:sz="4" w:space="0" w:color="000000"/>
              <w:right w:val="single" w:sz="8" w:space="0" w:color="000000"/>
            </w:tcBorders>
          </w:tcPr>
          <w:p w:rsidR="00E8309B" w:rsidRDefault="009D0949">
            <w:pPr>
              <w:spacing w:after="0" w:line="259" w:lineRule="auto"/>
              <w:ind w:left="0" w:right="0" w:firstLine="0"/>
              <w:jc w:val="left"/>
            </w:pPr>
            <w:r>
              <w:rPr>
                <w:sz w:val="20"/>
              </w:rPr>
              <w:t xml:space="preserve">23. Домаћа приватна штедња </w:t>
            </w:r>
          </w:p>
        </w:tc>
        <w:tc>
          <w:tcPr>
            <w:tcW w:w="1604" w:type="dxa"/>
            <w:tcBorders>
              <w:top w:val="dashed" w:sz="4" w:space="0" w:color="000000"/>
              <w:left w:val="single" w:sz="8" w:space="0" w:color="000000"/>
              <w:bottom w:val="dashed" w:sz="4" w:space="0" w:color="000000"/>
              <w:right w:val="single" w:sz="8" w:space="0" w:color="000000"/>
            </w:tcBorders>
          </w:tcPr>
          <w:p w:rsidR="00E8309B" w:rsidRDefault="009D0949">
            <w:pPr>
              <w:spacing w:after="0" w:line="259" w:lineRule="auto"/>
              <w:ind w:left="0" w:right="50" w:firstLine="0"/>
              <w:jc w:val="center"/>
            </w:pPr>
            <w:r>
              <w:rPr>
                <w:sz w:val="20"/>
              </w:rPr>
              <w:t xml:space="preserve">млрд ЕУР </w:t>
            </w:r>
          </w:p>
        </w:tc>
        <w:tc>
          <w:tcPr>
            <w:tcW w:w="984" w:type="dxa"/>
            <w:tcBorders>
              <w:top w:val="dashed" w:sz="4" w:space="0" w:color="000000"/>
              <w:left w:val="single" w:sz="8" w:space="0" w:color="000000"/>
              <w:bottom w:val="dashed" w:sz="4" w:space="0" w:color="000000"/>
              <w:right w:val="dashed" w:sz="4" w:space="0" w:color="000000"/>
            </w:tcBorders>
            <w:vAlign w:val="bottom"/>
          </w:tcPr>
          <w:p w:rsidR="00E8309B" w:rsidRDefault="009D0949">
            <w:pPr>
              <w:spacing w:after="0" w:line="259" w:lineRule="auto"/>
              <w:ind w:left="0" w:right="0" w:firstLine="0"/>
              <w:jc w:val="left"/>
            </w:pPr>
            <w:r>
              <w:rPr>
                <w:sz w:val="20"/>
              </w:rPr>
              <w:t xml:space="preserve"> </w:t>
            </w:r>
          </w:p>
        </w:tc>
        <w:tc>
          <w:tcPr>
            <w:tcW w:w="984" w:type="dxa"/>
            <w:tcBorders>
              <w:top w:val="dashed" w:sz="4" w:space="0" w:color="000000"/>
              <w:left w:val="dashed" w:sz="4" w:space="0" w:color="000000"/>
              <w:bottom w:val="dashed" w:sz="4" w:space="0" w:color="000000"/>
              <w:right w:val="dashed" w:sz="4" w:space="0" w:color="000000"/>
            </w:tcBorders>
            <w:vAlign w:val="bottom"/>
          </w:tcPr>
          <w:p w:rsidR="00E8309B" w:rsidRDefault="009D0949">
            <w:pPr>
              <w:spacing w:after="0" w:line="259" w:lineRule="auto"/>
              <w:ind w:left="0" w:right="0" w:firstLine="0"/>
              <w:jc w:val="left"/>
            </w:pPr>
            <w:r>
              <w:rPr>
                <w:sz w:val="20"/>
              </w:rPr>
              <w:t xml:space="preserve"> </w:t>
            </w:r>
          </w:p>
        </w:tc>
        <w:tc>
          <w:tcPr>
            <w:tcW w:w="982" w:type="dxa"/>
            <w:tcBorders>
              <w:top w:val="dashed" w:sz="4" w:space="0" w:color="000000"/>
              <w:left w:val="dashed" w:sz="4" w:space="0" w:color="000000"/>
              <w:bottom w:val="dashed" w:sz="4" w:space="0" w:color="000000"/>
              <w:right w:val="dashed" w:sz="4" w:space="0" w:color="000000"/>
            </w:tcBorders>
            <w:vAlign w:val="bottom"/>
          </w:tcPr>
          <w:p w:rsidR="00E8309B" w:rsidRDefault="009D0949">
            <w:pPr>
              <w:spacing w:after="0" w:line="259" w:lineRule="auto"/>
              <w:ind w:left="1" w:right="0" w:firstLine="0"/>
              <w:jc w:val="left"/>
            </w:pPr>
            <w:r>
              <w:rPr>
                <w:sz w:val="20"/>
              </w:rPr>
              <w:t xml:space="preserve"> </w:t>
            </w:r>
          </w:p>
        </w:tc>
        <w:tc>
          <w:tcPr>
            <w:tcW w:w="984" w:type="dxa"/>
            <w:tcBorders>
              <w:top w:val="dashed" w:sz="4" w:space="0" w:color="000000"/>
              <w:left w:val="dashed" w:sz="4" w:space="0" w:color="000000"/>
              <w:bottom w:val="dashed" w:sz="4" w:space="0" w:color="000000"/>
              <w:right w:val="dashed" w:sz="4" w:space="0" w:color="000000"/>
            </w:tcBorders>
            <w:vAlign w:val="bottom"/>
          </w:tcPr>
          <w:p w:rsidR="00E8309B" w:rsidRDefault="009D0949">
            <w:pPr>
              <w:spacing w:after="0" w:line="259" w:lineRule="auto"/>
              <w:ind w:left="2" w:right="0" w:firstLine="0"/>
              <w:jc w:val="left"/>
            </w:pPr>
            <w:r>
              <w:rPr>
                <w:sz w:val="20"/>
              </w:rPr>
              <w:t xml:space="preserve"> </w:t>
            </w:r>
          </w:p>
        </w:tc>
        <w:tc>
          <w:tcPr>
            <w:tcW w:w="984" w:type="dxa"/>
            <w:tcBorders>
              <w:top w:val="dashed" w:sz="4" w:space="0" w:color="000000"/>
              <w:left w:val="dashed" w:sz="4" w:space="0" w:color="000000"/>
              <w:bottom w:val="dashed" w:sz="4" w:space="0" w:color="000000"/>
              <w:right w:val="dashed" w:sz="4" w:space="0" w:color="000000"/>
            </w:tcBorders>
            <w:vAlign w:val="bottom"/>
          </w:tcPr>
          <w:p w:rsidR="00E8309B" w:rsidRDefault="009D0949">
            <w:pPr>
              <w:spacing w:after="0" w:line="259" w:lineRule="auto"/>
              <w:ind w:left="0" w:right="0" w:firstLine="0"/>
              <w:jc w:val="left"/>
            </w:pPr>
            <w:r>
              <w:rPr>
                <w:sz w:val="20"/>
              </w:rPr>
              <w:t xml:space="preserve"> </w:t>
            </w:r>
          </w:p>
        </w:tc>
        <w:tc>
          <w:tcPr>
            <w:tcW w:w="994" w:type="dxa"/>
            <w:tcBorders>
              <w:top w:val="dashed" w:sz="4" w:space="0" w:color="000000"/>
              <w:left w:val="dashed" w:sz="4" w:space="0" w:color="000000"/>
              <w:bottom w:val="dashed" w:sz="4" w:space="0" w:color="000000"/>
              <w:right w:val="double" w:sz="6" w:space="0" w:color="000000"/>
            </w:tcBorders>
            <w:vAlign w:val="bottom"/>
          </w:tcPr>
          <w:p w:rsidR="00E8309B" w:rsidRDefault="009D0949">
            <w:pPr>
              <w:spacing w:after="0" w:line="259" w:lineRule="auto"/>
              <w:ind w:left="0" w:right="0" w:firstLine="0"/>
              <w:jc w:val="left"/>
            </w:pPr>
            <w:r>
              <w:rPr>
                <w:sz w:val="20"/>
              </w:rPr>
              <w:t xml:space="preserve"> </w:t>
            </w:r>
          </w:p>
        </w:tc>
        <w:tc>
          <w:tcPr>
            <w:tcW w:w="0" w:type="auto"/>
            <w:vMerge/>
            <w:tcBorders>
              <w:top w:val="nil"/>
              <w:left w:val="double" w:sz="6" w:space="0" w:color="000000"/>
              <w:bottom w:val="nil"/>
              <w:right w:val="nil"/>
            </w:tcBorders>
          </w:tcPr>
          <w:p w:rsidR="00E8309B" w:rsidRDefault="00E8309B">
            <w:pPr>
              <w:spacing w:after="160" w:line="259" w:lineRule="auto"/>
              <w:ind w:left="0" w:right="0" w:firstLine="0"/>
              <w:jc w:val="left"/>
            </w:pPr>
          </w:p>
        </w:tc>
      </w:tr>
      <w:tr w:rsidR="00E8309B">
        <w:tblPrEx>
          <w:tblCellMar>
            <w:top w:w="10" w:type="dxa"/>
          </w:tblCellMar>
        </w:tblPrEx>
        <w:trPr>
          <w:trHeight w:val="240"/>
        </w:trPr>
        <w:tc>
          <w:tcPr>
            <w:tcW w:w="6750" w:type="dxa"/>
            <w:tcBorders>
              <w:top w:val="dashed" w:sz="4" w:space="0" w:color="000000"/>
              <w:left w:val="double" w:sz="6" w:space="0" w:color="000000"/>
              <w:bottom w:val="dashed" w:sz="4" w:space="0" w:color="000000"/>
              <w:right w:val="single" w:sz="8" w:space="0" w:color="000000"/>
            </w:tcBorders>
          </w:tcPr>
          <w:p w:rsidR="00E8309B" w:rsidRDefault="009D0949">
            <w:pPr>
              <w:spacing w:after="0" w:line="259" w:lineRule="auto"/>
              <w:ind w:left="0" w:right="0" w:firstLine="0"/>
              <w:jc w:val="left"/>
            </w:pPr>
            <w:r>
              <w:rPr>
                <w:sz w:val="20"/>
              </w:rPr>
              <w:t xml:space="preserve">24. Домаће приватне инвестиције  </w:t>
            </w:r>
          </w:p>
        </w:tc>
        <w:tc>
          <w:tcPr>
            <w:tcW w:w="1604" w:type="dxa"/>
            <w:tcBorders>
              <w:top w:val="dashed" w:sz="4" w:space="0" w:color="000000"/>
              <w:left w:val="single" w:sz="8" w:space="0" w:color="000000"/>
              <w:bottom w:val="dashed" w:sz="4" w:space="0" w:color="000000"/>
              <w:right w:val="single" w:sz="8" w:space="0" w:color="000000"/>
            </w:tcBorders>
          </w:tcPr>
          <w:p w:rsidR="00E8309B" w:rsidRDefault="009D0949">
            <w:pPr>
              <w:spacing w:after="0" w:line="259" w:lineRule="auto"/>
              <w:ind w:left="0" w:right="50" w:firstLine="0"/>
              <w:jc w:val="center"/>
            </w:pPr>
            <w:r>
              <w:rPr>
                <w:sz w:val="20"/>
              </w:rPr>
              <w:t xml:space="preserve">млрд ЕУР </w:t>
            </w:r>
          </w:p>
        </w:tc>
        <w:tc>
          <w:tcPr>
            <w:tcW w:w="984" w:type="dxa"/>
            <w:tcBorders>
              <w:top w:val="dashed" w:sz="4" w:space="0" w:color="000000"/>
              <w:left w:val="single" w:sz="8" w:space="0" w:color="000000"/>
              <w:bottom w:val="dashed" w:sz="4" w:space="0" w:color="000000"/>
              <w:right w:val="dashed" w:sz="4" w:space="0" w:color="000000"/>
            </w:tcBorders>
            <w:vAlign w:val="bottom"/>
          </w:tcPr>
          <w:p w:rsidR="00E8309B" w:rsidRDefault="009D0949">
            <w:pPr>
              <w:spacing w:after="0" w:line="259" w:lineRule="auto"/>
              <w:ind w:left="0" w:right="0" w:firstLine="0"/>
              <w:jc w:val="left"/>
            </w:pPr>
            <w:r>
              <w:rPr>
                <w:sz w:val="20"/>
              </w:rPr>
              <w:t xml:space="preserve"> </w:t>
            </w:r>
          </w:p>
        </w:tc>
        <w:tc>
          <w:tcPr>
            <w:tcW w:w="984" w:type="dxa"/>
            <w:tcBorders>
              <w:top w:val="dashed" w:sz="4" w:space="0" w:color="000000"/>
              <w:left w:val="dashed" w:sz="4" w:space="0" w:color="000000"/>
              <w:bottom w:val="dashed" w:sz="4" w:space="0" w:color="000000"/>
              <w:right w:val="dashed" w:sz="4" w:space="0" w:color="000000"/>
            </w:tcBorders>
            <w:vAlign w:val="bottom"/>
          </w:tcPr>
          <w:p w:rsidR="00E8309B" w:rsidRDefault="009D0949">
            <w:pPr>
              <w:spacing w:after="0" w:line="259" w:lineRule="auto"/>
              <w:ind w:left="0" w:right="0" w:firstLine="0"/>
              <w:jc w:val="left"/>
            </w:pPr>
            <w:r>
              <w:rPr>
                <w:sz w:val="20"/>
              </w:rPr>
              <w:t xml:space="preserve"> </w:t>
            </w:r>
          </w:p>
        </w:tc>
        <w:tc>
          <w:tcPr>
            <w:tcW w:w="982" w:type="dxa"/>
            <w:tcBorders>
              <w:top w:val="dashed" w:sz="4" w:space="0" w:color="000000"/>
              <w:left w:val="dashed" w:sz="4" w:space="0" w:color="000000"/>
              <w:bottom w:val="dashed" w:sz="4" w:space="0" w:color="000000"/>
              <w:right w:val="dashed" w:sz="4" w:space="0" w:color="000000"/>
            </w:tcBorders>
            <w:vAlign w:val="bottom"/>
          </w:tcPr>
          <w:p w:rsidR="00E8309B" w:rsidRDefault="009D0949">
            <w:pPr>
              <w:spacing w:after="0" w:line="259" w:lineRule="auto"/>
              <w:ind w:left="1" w:right="0" w:firstLine="0"/>
              <w:jc w:val="left"/>
            </w:pPr>
            <w:r>
              <w:rPr>
                <w:sz w:val="20"/>
              </w:rPr>
              <w:t xml:space="preserve"> </w:t>
            </w:r>
          </w:p>
        </w:tc>
        <w:tc>
          <w:tcPr>
            <w:tcW w:w="984" w:type="dxa"/>
            <w:tcBorders>
              <w:top w:val="dashed" w:sz="4" w:space="0" w:color="000000"/>
              <w:left w:val="dashed" w:sz="4" w:space="0" w:color="000000"/>
              <w:bottom w:val="dashed" w:sz="4" w:space="0" w:color="000000"/>
              <w:right w:val="dashed" w:sz="4" w:space="0" w:color="000000"/>
            </w:tcBorders>
            <w:vAlign w:val="bottom"/>
          </w:tcPr>
          <w:p w:rsidR="00E8309B" w:rsidRDefault="009D0949">
            <w:pPr>
              <w:spacing w:after="0" w:line="259" w:lineRule="auto"/>
              <w:ind w:left="2" w:right="0" w:firstLine="0"/>
              <w:jc w:val="left"/>
            </w:pPr>
            <w:r>
              <w:rPr>
                <w:sz w:val="20"/>
              </w:rPr>
              <w:t xml:space="preserve"> </w:t>
            </w:r>
          </w:p>
        </w:tc>
        <w:tc>
          <w:tcPr>
            <w:tcW w:w="984" w:type="dxa"/>
            <w:tcBorders>
              <w:top w:val="dashed" w:sz="4" w:space="0" w:color="000000"/>
              <w:left w:val="dashed" w:sz="4" w:space="0" w:color="000000"/>
              <w:bottom w:val="dashed" w:sz="4" w:space="0" w:color="000000"/>
              <w:right w:val="dashed" w:sz="4" w:space="0" w:color="000000"/>
            </w:tcBorders>
            <w:vAlign w:val="bottom"/>
          </w:tcPr>
          <w:p w:rsidR="00E8309B" w:rsidRDefault="009D0949">
            <w:pPr>
              <w:spacing w:after="0" w:line="259" w:lineRule="auto"/>
              <w:ind w:left="0" w:right="0" w:firstLine="0"/>
              <w:jc w:val="left"/>
            </w:pPr>
            <w:r>
              <w:rPr>
                <w:sz w:val="20"/>
              </w:rPr>
              <w:t xml:space="preserve"> </w:t>
            </w:r>
          </w:p>
        </w:tc>
        <w:tc>
          <w:tcPr>
            <w:tcW w:w="994" w:type="dxa"/>
            <w:tcBorders>
              <w:top w:val="dashed" w:sz="4" w:space="0" w:color="000000"/>
              <w:left w:val="dashed" w:sz="4" w:space="0" w:color="000000"/>
              <w:bottom w:val="dashed" w:sz="4" w:space="0" w:color="000000"/>
              <w:right w:val="double" w:sz="6" w:space="0" w:color="000000"/>
            </w:tcBorders>
            <w:vAlign w:val="bottom"/>
          </w:tcPr>
          <w:p w:rsidR="00E8309B" w:rsidRDefault="009D0949">
            <w:pPr>
              <w:spacing w:after="0" w:line="259" w:lineRule="auto"/>
              <w:ind w:left="0" w:right="0" w:firstLine="0"/>
              <w:jc w:val="left"/>
            </w:pPr>
            <w:r>
              <w:rPr>
                <w:sz w:val="20"/>
              </w:rPr>
              <w:t xml:space="preserve"> </w:t>
            </w:r>
          </w:p>
        </w:tc>
        <w:tc>
          <w:tcPr>
            <w:tcW w:w="0" w:type="auto"/>
            <w:vMerge/>
            <w:tcBorders>
              <w:top w:val="nil"/>
              <w:left w:val="double" w:sz="6" w:space="0" w:color="000000"/>
              <w:bottom w:val="nil"/>
              <w:right w:val="nil"/>
            </w:tcBorders>
          </w:tcPr>
          <w:p w:rsidR="00E8309B" w:rsidRDefault="00E8309B">
            <w:pPr>
              <w:spacing w:after="160" w:line="259" w:lineRule="auto"/>
              <w:ind w:left="0" w:right="0" w:firstLine="0"/>
              <w:jc w:val="left"/>
            </w:pPr>
          </w:p>
        </w:tc>
      </w:tr>
      <w:tr w:rsidR="00E8309B">
        <w:tblPrEx>
          <w:tblCellMar>
            <w:top w:w="10" w:type="dxa"/>
          </w:tblCellMar>
        </w:tblPrEx>
        <w:trPr>
          <w:trHeight w:val="240"/>
        </w:trPr>
        <w:tc>
          <w:tcPr>
            <w:tcW w:w="6750" w:type="dxa"/>
            <w:tcBorders>
              <w:top w:val="dashed" w:sz="4" w:space="0" w:color="000000"/>
              <w:left w:val="double" w:sz="6" w:space="0" w:color="000000"/>
              <w:bottom w:val="dashed" w:sz="4" w:space="0" w:color="000000"/>
              <w:right w:val="single" w:sz="8" w:space="0" w:color="000000"/>
            </w:tcBorders>
          </w:tcPr>
          <w:p w:rsidR="00E8309B" w:rsidRDefault="009D0949">
            <w:pPr>
              <w:spacing w:after="0" w:line="259" w:lineRule="auto"/>
              <w:ind w:left="0" w:right="0" w:firstLine="0"/>
              <w:jc w:val="left"/>
            </w:pPr>
            <w:r>
              <w:rPr>
                <w:sz w:val="20"/>
              </w:rPr>
              <w:t xml:space="preserve">25. Домаћа јавна штедња </w:t>
            </w:r>
          </w:p>
        </w:tc>
        <w:tc>
          <w:tcPr>
            <w:tcW w:w="1604" w:type="dxa"/>
            <w:tcBorders>
              <w:top w:val="dashed" w:sz="4" w:space="0" w:color="000000"/>
              <w:left w:val="single" w:sz="8" w:space="0" w:color="000000"/>
              <w:bottom w:val="dashed" w:sz="4" w:space="0" w:color="000000"/>
              <w:right w:val="single" w:sz="8" w:space="0" w:color="000000"/>
            </w:tcBorders>
          </w:tcPr>
          <w:p w:rsidR="00E8309B" w:rsidRDefault="009D0949">
            <w:pPr>
              <w:spacing w:after="0" w:line="259" w:lineRule="auto"/>
              <w:ind w:left="0" w:right="50" w:firstLine="0"/>
              <w:jc w:val="center"/>
            </w:pPr>
            <w:r>
              <w:rPr>
                <w:sz w:val="20"/>
              </w:rPr>
              <w:t xml:space="preserve">млрд ЕУР </w:t>
            </w:r>
          </w:p>
        </w:tc>
        <w:tc>
          <w:tcPr>
            <w:tcW w:w="984" w:type="dxa"/>
            <w:tcBorders>
              <w:top w:val="dashed" w:sz="4" w:space="0" w:color="000000"/>
              <w:left w:val="single" w:sz="8" w:space="0" w:color="000000"/>
              <w:bottom w:val="dashed" w:sz="4" w:space="0" w:color="000000"/>
              <w:right w:val="dashed" w:sz="4" w:space="0" w:color="000000"/>
            </w:tcBorders>
            <w:vAlign w:val="bottom"/>
          </w:tcPr>
          <w:p w:rsidR="00E8309B" w:rsidRDefault="009D0949">
            <w:pPr>
              <w:spacing w:after="0" w:line="259" w:lineRule="auto"/>
              <w:ind w:left="0" w:right="0" w:firstLine="0"/>
              <w:jc w:val="left"/>
            </w:pPr>
            <w:r>
              <w:rPr>
                <w:sz w:val="20"/>
              </w:rPr>
              <w:t xml:space="preserve"> </w:t>
            </w:r>
          </w:p>
        </w:tc>
        <w:tc>
          <w:tcPr>
            <w:tcW w:w="984" w:type="dxa"/>
            <w:tcBorders>
              <w:top w:val="dashed" w:sz="4" w:space="0" w:color="000000"/>
              <w:left w:val="dashed" w:sz="4" w:space="0" w:color="000000"/>
              <w:bottom w:val="dashed" w:sz="4" w:space="0" w:color="000000"/>
              <w:right w:val="dashed" w:sz="4" w:space="0" w:color="000000"/>
            </w:tcBorders>
            <w:vAlign w:val="bottom"/>
          </w:tcPr>
          <w:p w:rsidR="00E8309B" w:rsidRDefault="009D0949">
            <w:pPr>
              <w:spacing w:after="0" w:line="259" w:lineRule="auto"/>
              <w:ind w:left="0" w:right="0" w:firstLine="0"/>
              <w:jc w:val="left"/>
            </w:pPr>
            <w:r>
              <w:rPr>
                <w:sz w:val="20"/>
              </w:rPr>
              <w:t xml:space="preserve"> </w:t>
            </w:r>
          </w:p>
        </w:tc>
        <w:tc>
          <w:tcPr>
            <w:tcW w:w="982" w:type="dxa"/>
            <w:tcBorders>
              <w:top w:val="dashed" w:sz="4" w:space="0" w:color="000000"/>
              <w:left w:val="dashed" w:sz="4" w:space="0" w:color="000000"/>
              <w:bottom w:val="dashed" w:sz="4" w:space="0" w:color="000000"/>
              <w:right w:val="dashed" w:sz="4" w:space="0" w:color="000000"/>
            </w:tcBorders>
            <w:vAlign w:val="bottom"/>
          </w:tcPr>
          <w:p w:rsidR="00E8309B" w:rsidRDefault="009D0949">
            <w:pPr>
              <w:spacing w:after="0" w:line="259" w:lineRule="auto"/>
              <w:ind w:left="1" w:right="0" w:firstLine="0"/>
              <w:jc w:val="left"/>
            </w:pPr>
            <w:r>
              <w:rPr>
                <w:sz w:val="20"/>
              </w:rPr>
              <w:t xml:space="preserve"> </w:t>
            </w:r>
          </w:p>
        </w:tc>
        <w:tc>
          <w:tcPr>
            <w:tcW w:w="984" w:type="dxa"/>
            <w:tcBorders>
              <w:top w:val="dashed" w:sz="4" w:space="0" w:color="000000"/>
              <w:left w:val="dashed" w:sz="4" w:space="0" w:color="000000"/>
              <w:bottom w:val="dashed" w:sz="4" w:space="0" w:color="000000"/>
              <w:right w:val="dashed" w:sz="4" w:space="0" w:color="000000"/>
            </w:tcBorders>
            <w:vAlign w:val="bottom"/>
          </w:tcPr>
          <w:p w:rsidR="00E8309B" w:rsidRDefault="009D0949">
            <w:pPr>
              <w:spacing w:after="0" w:line="259" w:lineRule="auto"/>
              <w:ind w:left="2" w:right="0" w:firstLine="0"/>
              <w:jc w:val="left"/>
            </w:pPr>
            <w:r>
              <w:rPr>
                <w:sz w:val="20"/>
              </w:rPr>
              <w:t xml:space="preserve"> </w:t>
            </w:r>
          </w:p>
        </w:tc>
        <w:tc>
          <w:tcPr>
            <w:tcW w:w="984" w:type="dxa"/>
            <w:tcBorders>
              <w:top w:val="dashed" w:sz="4" w:space="0" w:color="000000"/>
              <w:left w:val="dashed" w:sz="4" w:space="0" w:color="000000"/>
              <w:bottom w:val="dashed" w:sz="4" w:space="0" w:color="000000"/>
              <w:right w:val="dashed" w:sz="4" w:space="0" w:color="000000"/>
            </w:tcBorders>
            <w:vAlign w:val="bottom"/>
          </w:tcPr>
          <w:p w:rsidR="00E8309B" w:rsidRDefault="009D0949">
            <w:pPr>
              <w:spacing w:after="0" w:line="259" w:lineRule="auto"/>
              <w:ind w:left="0" w:right="0" w:firstLine="0"/>
              <w:jc w:val="left"/>
            </w:pPr>
            <w:r>
              <w:rPr>
                <w:sz w:val="20"/>
              </w:rPr>
              <w:t xml:space="preserve"> </w:t>
            </w:r>
          </w:p>
        </w:tc>
        <w:tc>
          <w:tcPr>
            <w:tcW w:w="994" w:type="dxa"/>
            <w:tcBorders>
              <w:top w:val="dashed" w:sz="4" w:space="0" w:color="000000"/>
              <w:left w:val="dashed" w:sz="4" w:space="0" w:color="000000"/>
              <w:bottom w:val="dashed" w:sz="4" w:space="0" w:color="000000"/>
              <w:right w:val="double" w:sz="6" w:space="0" w:color="000000"/>
            </w:tcBorders>
            <w:vAlign w:val="bottom"/>
          </w:tcPr>
          <w:p w:rsidR="00E8309B" w:rsidRDefault="009D0949">
            <w:pPr>
              <w:spacing w:after="0" w:line="259" w:lineRule="auto"/>
              <w:ind w:left="0" w:right="0" w:firstLine="0"/>
              <w:jc w:val="left"/>
            </w:pPr>
            <w:r>
              <w:rPr>
                <w:sz w:val="20"/>
              </w:rPr>
              <w:t xml:space="preserve"> </w:t>
            </w:r>
          </w:p>
        </w:tc>
        <w:tc>
          <w:tcPr>
            <w:tcW w:w="0" w:type="auto"/>
            <w:vMerge/>
            <w:tcBorders>
              <w:top w:val="nil"/>
              <w:left w:val="double" w:sz="6" w:space="0" w:color="000000"/>
              <w:bottom w:val="nil"/>
              <w:right w:val="nil"/>
            </w:tcBorders>
          </w:tcPr>
          <w:p w:rsidR="00E8309B" w:rsidRDefault="00E8309B">
            <w:pPr>
              <w:spacing w:after="160" w:line="259" w:lineRule="auto"/>
              <w:ind w:left="0" w:right="0" w:firstLine="0"/>
              <w:jc w:val="left"/>
            </w:pPr>
          </w:p>
        </w:tc>
      </w:tr>
      <w:tr w:rsidR="00E8309B">
        <w:tblPrEx>
          <w:tblCellMar>
            <w:top w:w="10" w:type="dxa"/>
          </w:tblCellMar>
        </w:tblPrEx>
        <w:trPr>
          <w:trHeight w:val="260"/>
        </w:trPr>
        <w:tc>
          <w:tcPr>
            <w:tcW w:w="6750" w:type="dxa"/>
            <w:tcBorders>
              <w:top w:val="dashed" w:sz="4" w:space="0" w:color="000000"/>
              <w:left w:val="double" w:sz="6" w:space="0" w:color="000000"/>
              <w:bottom w:val="double" w:sz="6" w:space="0" w:color="000000"/>
              <w:right w:val="single" w:sz="8" w:space="0" w:color="000000"/>
            </w:tcBorders>
          </w:tcPr>
          <w:p w:rsidR="00E8309B" w:rsidRDefault="009D0949">
            <w:pPr>
              <w:spacing w:after="0" w:line="259" w:lineRule="auto"/>
              <w:ind w:left="0" w:right="0" w:firstLine="0"/>
              <w:jc w:val="left"/>
            </w:pPr>
            <w:r>
              <w:rPr>
                <w:sz w:val="20"/>
              </w:rPr>
              <w:t xml:space="preserve">26. Домаће јавне инвестиције </w:t>
            </w:r>
          </w:p>
        </w:tc>
        <w:tc>
          <w:tcPr>
            <w:tcW w:w="1604" w:type="dxa"/>
            <w:tcBorders>
              <w:top w:val="dashed" w:sz="4" w:space="0" w:color="000000"/>
              <w:left w:val="single" w:sz="8" w:space="0" w:color="000000"/>
              <w:bottom w:val="double" w:sz="6" w:space="0" w:color="000000"/>
              <w:right w:val="single" w:sz="8" w:space="0" w:color="000000"/>
            </w:tcBorders>
          </w:tcPr>
          <w:p w:rsidR="00E8309B" w:rsidRDefault="009D0949">
            <w:pPr>
              <w:spacing w:after="0" w:line="259" w:lineRule="auto"/>
              <w:ind w:left="0" w:right="50" w:firstLine="0"/>
              <w:jc w:val="center"/>
            </w:pPr>
            <w:r>
              <w:rPr>
                <w:sz w:val="20"/>
              </w:rPr>
              <w:t xml:space="preserve">млрд ЕУР </w:t>
            </w:r>
          </w:p>
        </w:tc>
        <w:tc>
          <w:tcPr>
            <w:tcW w:w="984" w:type="dxa"/>
            <w:tcBorders>
              <w:top w:val="dashed" w:sz="4" w:space="0" w:color="000000"/>
              <w:left w:val="single" w:sz="8" w:space="0" w:color="000000"/>
              <w:bottom w:val="double" w:sz="6" w:space="0" w:color="000000"/>
              <w:right w:val="dashed" w:sz="4" w:space="0" w:color="000000"/>
            </w:tcBorders>
          </w:tcPr>
          <w:p w:rsidR="00E8309B" w:rsidRDefault="00E8309B">
            <w:pPr>
              <w:spacing w:after="160" w:line="259" w:lineRule="auto"/>
              <w:ind w:left="0" w:right="0" w:firstLine="0"/>
              <w:jc w:val="left"/>
            </w:pPr>
          </w:p>
        </w:tc>
        <w:tc>
          <w:tcPr>
            <w:tcW w:w="984" w:type="dxa"/>
            <w:tcBorders>
              <w:top w:val="dashed" w:sz="4" w:space="0" w:color="000000"/>
              <w:left w:val="dashed" w:sz="4" w:space="0" w:color="000000"/>
              <w:bottom w:val="double" w:sz="6" w:space="0" w:color="000000"/>
              <w:right w:val="dashed" w:sz="4" w:space="0" w:color="000000"/>
            </w:tcBorders>
          </w:tcPr>
          <w:p w:rsidR="00E8309B" w:rsidRDefault="00E8309B">
            <w:pPr>
              <w:spacing w:after="160" w:line="259" w:lineRule="auto"/>
              <w:ind w:left="0" w:right="0" w:firstLine="0"/>
              <w:jc w:val="left"/>
            </w:pPr>
          </w:p>
        </w:tc>
        <w:tc>
          <w:tcPr>
            <w:tcW w:w="982" w:type="dxa"/>
            <w:tcBorders>
              <w:top w:val="dashed" w:sz="4" w:space="0" w:color="000000"/>
              <w:left w:val="dashed" w:sz="4" w:space="0" w:color="000000"/>
              <w:bottom w:val="double" w:sz="6" w:space="0" w:color="000000"/>
              <w:right w:val="dashed" w:sz="4" w:space="0" w:color="000000"/>
            </w:tcBorders>
          </w:tcPr>
          <w:p w:rsidR="00E8309B" w:rsidRDefault="00E8309B">
            <w:pPr>
              <w:spacing w:after="160" w:line="259" w:lineRule="auto"/>
              <w:ind w:left="0" w:right="0" w:firstLine="0"/>
              <w:jc w:val="left"/>
            </w:pPr>
          </w:p>
        </w:tc>
        <w:tc>
          <w:tcPr>
            <w:tcW w:w="984" w:type="dxa"/>
            <w:tcBorders>
              <w:top w:val="dashed" w:sz="4" w:space="0" w:color="000000"/>
              <w:left w:val="dashed" w:sz="4" w:space="0" w:color="000000"/>
              <w:bottom w:val="double" w:sz="6" w:space="0" w:color="000000"/>
              <w:right w:val="dashed" w:sz="4" w:space="0" w:color="000000"/>
            </w:tcBorders>
          </w:tcPr>
          <w:p w:rsidR="00E8309B" w:rsidRDefault="00E8309B">
            <w:pPr>
              <w:spacing w:after="160" w:line="259" w:lineRule="auto"/>
              <w:ind w:left="0" w:right="0" w:firstLine="0"/>
              <w:jc w:val="left"/>
            </w:pPr>
          </w:p>
        </w:tc>
        <w:tc>
          <w:tcPr>
            <w:tcW w:w="984" w:type="dxa"/>
            <w:tcBorders>
              <w:top w:val="dashed" w:sz="4" w:space="0" w:color="000000"/>
              <w:left w:val="dashed" w:sz="4" w:space="0" w:color="000000"/>
              <w:bottom w:val="double" w:sz="6" w:space="0" w:color="000000"/>
              <w:right w:val="dashed" w:sz="4" w:space="0" w:color="000000"/>
            </w:tcBorders>
          </w:tcPr>
          <w:p w:rsidR="00E8309B" w:rsidRDefault="00E8309B">
            <w:pPr>
              <w:spacing w:after="160" w:line="259" w:lineRule="auto"/>
              <w:ind w:left="0" w:right="0" w:firstLine="0"/>
              <w:jc w:val="left"/>
            </w:pPr>
          </w:p>
        </w:tc>
        <w:tc>
          <w:tcPr>
            <w:tcW w:w="994" w:type="dxa"/>
            <w:tcBorders>
              <w:top w:val="dashed" w:sz="4" w:space="0" w:color="000000"/>
              <w:left w:val="dashed" w:sz="4" w:space="0" w:color="000000"/>
              <w:bottom w:val="double" w:sz="6" w:space="0" w:color="000000"/>
              <w:right w:val="double" w:sz="6" w:space="0" w:color="000000"/>
            </w:tcBorders>
          </w:tcPr>
          <w:p w:rsidR="00E8309B" w:rsidRDefault="00E8309B">
            <w:pPr>
              <w:spacing w:after="160" w:line="259" w:lineRule="auto"/>
              <w:ind w:left="0" w:right="0" w:firstLine="0"/>
              <w:jc w:val="left"/>
            </w:pPr>
          </w:p>
        </w:tc>
        <w:tc>
          <w:tcPr>
            <w:tcW w:w="0" w:type="auto"/>
            <w:vMerge/>
            <w:tcBorders>
              <w:top w:val="nil"/>
              <w:left w:val="double" w:sz="6" w:space="0" w:color="000000"/>
              <w:bottom w:val="single" w:sz="18" w:space="0" w:color="FFFFFF"/>
              <w:right w:val="nil"/>
            </w:tcBorders>
          </w:tcPr>
          <w:p w:rsidR="00E8309B" w:rsidRDefault="00E8309B">
            <w:pPr>
              <w:spacing w:after="160" w:line="259" w:lineRule="auto"/>
              <w:ind w:left="0" w:right="0" w:firstLine="0"/>
              <w:jc w:val="left"/>
            </w:pPr>
          </w:p>
        </w:tc>
      </w:tr>
    </w:tbl>
    <w:p w:rsidR="00E8309B" w:rsidRDefault="009D0949">
      <w:pPr>
        <w:numPr>
          <w:ilvl w:val="0"/>
          <w:numId w:val="51"/>
        </w:numPr>
        <w:spacing w:after="136" w:line="259" w:lineRule="auto"/>
        <w:ind w:right="11553" w:hanging="228"/>
        <w:jc w:val="right"/>
      </w:pPr>
      <w:r>
        <w:rPr>
          <w:sz w:val="16"/>
        </w:rPr>
        <w:t xml:space="preserve">Узрасна група 15-64 године </w:t>
      </w:r>
      <w:r>
        <w:rPr>
          <w:sz w:val="16"/>
        </w:rPr>
        <w:tab/>
        <w:t xml:space="preserve"> </w:t>
      </w:r>
      <w:r>
        <w:rPr>
          <w:sz w:val="16"/>
        </w:rPr>
        <w:tab/>
        <w:t xml:space="preserve">  </w:t>
      </w:r>
      <w:r>
        <w:rPr>
          <w:sz w:val="16"/>
        </w:rPr>
        <w:tab/>
        <w:t xml:space="preserve">  </w:t>
      </w:r>
      <w:r>
        <w:rPr>
          <w:sz w:val="16"/>
        </w:rPr>
        <w:tab/>
        <w:t xml:space="preserve">  </w:t>
      </w:r>
      <w:r>
        <w:rPr>
          <w:sz w:val="16"/>
        </w:rPr>
        <w:tab/>
        <w:t xml:space="preserve">  </w:t>
      </w:r>
      <w:r>
        <w:rPr>
          <w:sz w:val="16"/>
        </w:rPr>
        <w:tab/>
        <w:t xml:space="preserve">  </w:t>
      </w:r>
      <w:r>
        <w:rPr>
          <w:sz w:val="16"/>
        </w:rPr>
        <w:tab/>
        <w:t xml:space="preserve">  </w:t>
      </w:r>
      <w:r>
        <w:rPr>
          <w:sz w:val="16"/>
        </w:rPr>
        <w:tab/>
        <w:t xml:space="preserve">  </w:t>
      </w:r>
    </w:p>
    <w:p w:rsidR="00E8309B" w:rsidRDefault="009D0949">
      <w:pPr>
        <w:numPr>
          <w:ilvl w:val="0"/>
          <w:numId w:val="51"/>
        </w:numPr>
        <w:spacing w:after="135" w:line="269" w:lineRule="auto"/>
        <w:ind w:right="11553" w:hanging="228"/>
        <w:jc w:val="right"/>
      </w:pPr>
      <w:r>
        <w:rPr>
          <w:sz w:val="16"/>
        </w:rPr>
        <w:t xml:space="preserve">Запослено становништво, према дефиницији из Анкете о радној снази </w:t>
      </w:r>
      <w:r>
        <w:rPr>
          <w:sz w:val="16"/>
        </w:rPr>
        <w:tab/>
        <w:t xml:space="preserve"> </w:t>
      </w:r>
      <w:r>
        <w:rPr>
          <w:sz w:val="16"/>
        </w:rPr>
        <w:tab/>
        <w:t xml:space="preserve">  </w:t>
      </w:r>
      <w:r>
        <w:rPr>
          <w:sz w:val="16"/>
        </w:rPr>
        <w:tab/>
        <w:t xml:space="preserve">  </w:t>
      </w:r>
      <w:r>
        <w:rPr>
          <w:sz w:val="16"/>
        </w:rPr>
        <w:tab/>
        <w:t xml:space="preserve">  </w:t>
      </w:r>
      <w:r>
        <w:rPr>
          <w:sz w:val="16"/>
        </w:rPr>
        <w:tab/>
        <w:t xml:space="preserve">  </w:t>
      </w:r>
      <w:r>
        <w:rPr>
          <w:sz w:val="16"/>
        </w:rPr>
        <w:tab/>
        <w:t xml:space="preserve">  </w:t>
      </w:r>
      <w:r>
        <w:rPr>
          <w:sz w:val="16"/>
        </w:rPr>
        <w:tab/>
        <w:t xml:space="preserve">  </w:t>
      </w:r>
      <w:r>
        <w:rPr>
          <w:sz w:val="16"/>
        </w:rPr>
        <w:tab/>
        <w:t xml:space="preserve">  </w:t>
      </w:r>
    </w:p>
    <w:p w:rsidR="00E8309B" w:rsidRDefault="009D0949">
      <w:pPr>
        <w:numPr>
          <w:ilvl w:val="0"/>
          <w:numId w:val="51"/>
        </w:numPr>
        <w:spacing w:after="0" w:line="259" w:lineRule="auto"/>
        <w:ind w:right="11553" w:hanging="228"/>
        <w:jc w:val="right"/>
      </w:pPr>
      <w:r>
        <w:rPr>
          <w:sz w:val="16"/>
        </w:rPr>
        <w:t xml:space="preserve">Дефиниција у националним рачунима </w:t>
      </w:r>
      <w:r>
        <w:rPr>
          <w:sz w:val="16"/>
        </w:rPr>
        <w:tab/>
        <w:t xml:space="preserve"> </w:t>
      </w:r>
      <w:r>
        <w:rPr>
          <w:sz w:val="16"/>
        </w:rPr>
        <w:tab/>
        <w:t xml:space="preserve">  </w:t>
      </w:r>
      <w:r>
        <w:rPr>
          <w:sz w:val="16"/>
        </w:rPr>
        <w:tab/>
        <w:t xml:space="preserve">  </w:t>
      </w:r>
      <w:r>
        <w:rPr>
          <w:sz w:val="16"/>
        </w:rPr>
        <w:tab/>
        <w:t xml:space="preserve">  </w:t>
      </w:r>
      <w:r>
        <w:rPr>
          <w:sz w:val="16"/>
        </w:rPr>
        <w:tab/>
        <w:t xml:space="preserve">  </w:t>
      </w:r>
      <w:r>
        <w:rPr>
          <w:sz w:val="16"/>
        </w:rPr>
        <w:tab/>
        <w:t xml:space="preserve">  </w:t>
      </w:r>
      <w:r>
        <w:rPr>
          <w:sz w:val="16"/>
        </w:rPr>
        <w:tab/>
        <w:t xml:space="preserve">  </w:t>
      </w:r>
      <w:r>
        <w:rPr>
          <w:sz w:val="16"/>
        </w:rPr>
        <w:tab/>
        <w:t xml:space="preserve">  </w:t>
      </w:r>
    </w:p>
    <w:tbl>
      <w:tblPr>
        <w:tblStyle w:val="TableGrid"/>
        <w:tblW w:w="14266" w:type="dxa"/>
        <w:tblInd w:w="24" w:type="dxa"/>
        <w:tblCellMar>
          <w:top w:w="6" w:type="dxa"/>
          <w:left w:w="214" w:type="dxa"/>
          <w:bottom w:w="0" w:type="dxa"/>
          <w:right w:w="56" w:type="dxa"/>
        </w:tblCellMar>
        <w:tblLook w:val="04A0" w:firstRow="1" w:lastRow="0" w:firstColumn="1" w:lastColumn="0" w:noHBand="0" w:noVBand="1"/>
      </w:tblPr>
      <w:tblGrid>
        <w:gridCol w:w="6750"/>
        <w:gridCol w:w="1604"/>
        <w:gridCol w:w="991"/>
        <w:gridCol w:w="994"/>
        <w:gridCol w:w="1016"/>
        <w:gridCol w:w="972"/>
        <w:gridCol w:w="967"/>
        <w:gridCol w:w="972"/>
      </w:tblGrid>
      <w:tr w:rsidR="00E8309B">
        <w:trPr>
          <w:trHeight w:val="276"/>
        </w:trPr>
        <w:tc>
          <w:tcPr>
            <w:tcW w:w="6750" w:type="dxa"/>
            <w:tcBorders>
              <w:top w:val="double" w:sz="6" w:space="0" w:color="000000"/>
              <w:left w:val="double" w:sz="6" w:space="0" w:color="000000"/>
              <w:bottom w:val="double" w:sz="6" w:space="0" w:color="000000"/>
              <w:right w:val="single" w:sz="8" w:space="0" w:color="000000"/>
            </w:tcBorders>
          </w:tcPr>
          <w:p w:rsidR="00E8309B" w:rsidRDefault="009D0949">
            <w:pPr>
              <w:spacing w:after="0" w:line="259" w:lineRule="auto"/>
              <w:ind w:left="0" w:right="160" w:firstLine="0"/>
              <w:jc w:val="center"/>
            </w:pPr>
            <w:r>
              <w:rPr>
                <w:b/>
                <w:sz w:val="20"/>
              </w:rPr>
              <w:t>Табела 1g: Индикатори одрживости</w:t>
            </w:r>
            <w:r>
              <w:rPr>
                <w:b/>
                <w:sz w:val="16"/>
              </w:rPr>
              <w:t xml:space="preserve"> </w:t>
            </w:r>
          </w:p>
        </w:tc>
        <w:tc>
          <w:tcPr>
            <w:tcW w:w="1604" w:type="dxa"/>
            <w:tcBorders>
              <w:top w:val="double" w:sz="6" w:space="0" w:color="000000"/>
              <w:left w:val="single" w:sz="8" w:space="0" w:color="000000"/>
              <w:bottom w:val="double" w:sz="6" w:space="0" w:color="000000"/>
              <w:right w:val="single" w:sz="8" w:space="0" w:color="000000"/>
            </w:tcBorders>
          </w:tcPr>
          <w:p w:rsidR="00E8309B" w:rsidRDefault="009D0949">
            <w:pPr>
              <w:spacing w:after="0" w:line="259" w:lineRule="auto"/>
              <w:ind w:left="0" w:right="156" w:firstLine="0"/>
              <w:jc w:val="center"/>
            </w:pPr>
            <w:r>
              <w:rPr>
                <w:sz w:val="20"/>
              </w:rPr>
              <w:t xml:space="preserve">Димензија </w:t>
            </w:r>
          </w:p>
        </w:tc>
        <w:tc>
          <w:tcPr>
            <w:tcW w:w="991" w:type="dxa"/>
            <w:tcBorders>
              <w:top w:val="double" w:sz="6" w:space="0" w:color="000000"/>
              <w:left w:val="single" w:sz="8" w:space="0" w:color="000000"/>
              <w:bottom w:val="double" w:sz="6" w:space="0" w:color="000000"/>
              <w:right w:val="nil"/>
            </w:tcBorders>
          </w:tcPr>
          <w:p w:rsidR="00E8309B" w:rsidRDefault="009D0949">
            <w:pPr>
              <w:spacing w:after="0" w:line="259" w:lineRule="auto"/>
              <w:ind w:left="0" w:right="51" w:firstLine="0"/>
              <w:jc w:val="right"/>
            </w:pPr>
            <w:r>
              <w:rPr>
                <w:b/>
                <w:sz w:val="20"/>
              </w:rPr>
              <w:t xml:space="preserve">2015 </w:t>
            </w:r>
          </w:p>
        </w:tc>
        <w:tc>
          <w:tcPr>
            <w:tcW w:w="994" w:type="dxa"/>
            <w:tcBorders>
              <w:top w:val="double" w:sz="6" w:space="0" w:color="000000"/>
              <w:left w:val="nil"/>
              <w:bottom w:val="double" w:sz="6" w:space="0" w:color="000000"/>
              <w:right w:val="nil"/>
            </w:tcBorders>
          </w:tcPr>
          <w:p w:rsidR="00E8309B" w:rsidRDefault="009D0949">
            <w:pPr>
              <w:spacing w:after="0" w:line="259" w:lineRule="auto"/>
              <w:ind w:left="0" w:right="51" w:firstLine="0"/>
              <w:jc w:val="right"/>
            </w:pPr>
            <w:r>
              <w:rPr>
                <w:b/>
                <w:sz w:val="20"/>
              </w:rPr>
              <w:t xml:space="preserve">2016 </w:t>
            </w:r>
          </w:p>
        </w:tc>
        <w:tc>
          <w:tcPr>
            <w:tcW w:w="1016" w:type="dxa"/>
            <w:tcBorders>
              <w:top w:val="double" w:sz="6" w:space="0" w:color="000000"/>
              <w:left w:val="nil"/>
              <w:bottom w:val="double" w:sz="6" w:space="0" w:color="000000"/>
              <w:right w:val="nil"/>
            </w:tcBorders>
          </w:tcPr>
          <w:p w:rsidR="00E8309B" w:rsidRDefault="009D0949">
            <w:pPr>
              <w:spacing w:after="0" w:line="259" w:lineRule="auto"/>
              <w:ind w:left="0" w:right="51" w:firstLine="0"/>
              <w:jc w:val="right"/>
            </w:pPr>
            <w:r>
              <w:rPr>
                <w:b/>
                <w:sz w:val="20"/>
              </w:rPr>
              <w:t xml:space="preserve">2017 </w:t>
            </w:r>
          </w:p>
        </w:tc>
        <w:tc>
          <w:tcPr>
            <w:tcW w:w="972" w:type="dxa"/>
            <w:tcBorders>
              <w:top w:val="double" w:sz="6" w:space="0" w:color="000000"/>
              <w:left w:val="nil"/>
              <w:bottom w:val="double" w:sz="6" w:space="0" w:color="000000"/>
              <w:right w:val="nil"/>
            </w:tcBorders>
          </w:tcPr>
          <w:p w:rsidR="00E8309B" w:rsidRDefault="009D0949">
            <w:pPr>
              <w:spacing w:after="0" w:line="259" w:lineRule="auto"/>
              <w:ind w:left="0" w:right="51" w:firstLine="0"/>
              <w:jc w:val="right"/>
            </w:pPr>
            <w:r>
              <w:rPr>
                <w:b/>
                <w:sz w:val="20"/>
              </w:rPr>
              <w:t xml:space="preserve">2018 </w:t>
            </w:r>
          </w:p>
        </w:tc>
        <w:tc>
          <w:tcPr>
            <w:tcW w:w="967" w:type="dxa"/>
            <w:tcBorders>
              <w:top w:val="double" w:sz="6" w:space="0" w:color="000000"/>
              <w:left w:val="nil"/>
              <w:bottom w:val="double" w:sz="6" w:space="0" w:color="000000"/>
              <w:right w:val="nil"/>
            </w:tcBorders>
          </w:tcPr>
          <w:p w:rsidR="00E8309B" w:rsidRDefault="009D0949">
            <w:pPr>
              <w:spacing w:after="0" w:line="259" w:lineRule="auto"/>
              <w:ind w:left="0" w:right="49" w:firstLine="0"/>
              <w:jc w:val="right"/>
            </w:pPr>
            <w:r>
              <w:rPr>
                <w:b/>
                <w:sz w:val="20"/>
              </w:rPr>
              <w:t xml:space="preserve">2019 </w:t>
            </w:r>
          </w:p>
        </w:tc>
        <w:tc>
          <w:tcPr>
            <w:tcW w:w="972" w:type="dxa"/>
            <w:tcBorders>
              <w:top w:val="double" w:sz="6" w:space="0" w:color="000000"/>
              <w:left w:val="nil"/>
              <w:bottom w:val="double" w:sz="6" w:space="0" w:color="000000"/>
              <w:right w:val="double" w:sz="6" w:space="0" w:color="000000"/>
            </w:tcBorders>
          </w:tcPr>
          <w:p w:rsidR="00E8309B" w:rsidRDefault="009D0949">
            <w:pPr>
              <w:spacing w:after="0" w:line="259" w:lineRule="auto"/>
              <w:ind w:left="0" w:right="49" w:firstLine="0"/>
              <w:jc w:val="right"/>
            </w:pPr>
            <w:r>
              <w:rPr>
                <w:b/>
                <w:sz w:val="20"/>
              </w:rPr>
              <w:t xml:space="preserve">2020 </w:t>
            </w:r>
          </w:p>
        </w:tc>
      </w:tr>
      <w:tr w:rsidR="00E8309B">
        <w:trPr>
          <w:trHeight w:val="257"/>
        </w:trPr>
        <w:tc>
          <w:tcPr>
            <w:tcW w:w="6750" w:type="dxa"/>
            <w:tcBorders>
              <w:top w:val="double" w:sz="6" w:space="0" w:color="000000"/>
              <w:left w:val="double" w:sz="6" w:space="0" w:color="000000"/>
              <w:bottom w:val="dashed" w:sz="4" w:space="0" w:color="000000"/>
              <w:right w:val="single" w:sz="8" w:space="0" w:color="000000"/>
            </w:tcBorders>
          </w:tcPr>
          <w:p w:rsidR="00E8309B" w:rsidRDefault="009D0949">
            <w:pPr>
              <w:spacing w:after="0" w:line="259" w:lineRule="auto"/>
              <w:ind w:left="94" w:right="0" w:firstLine="0"/>
              <w:jc w:val="left"/>
            </w:pPr>
            <w:r>
              <w:rPr>
                <w:sz w:val="20"/>
              </w:rPr>
              <w:t xml:space="preserve">1. Биланс текућих трансакција </w:t>
            </w:r>
          </w:p>
        </w:tc>
        <w:tc>
          <w:tcPr>
            <w:tcW w:w="1604" w:type="dxa"/>
            <w:tcBorders>
              <w:top w:val="double" w:sz="6" w:space="0" w:color="000000"/>
              <w:left w:val="single" w:sz="8" w:space="0" w:color="000000"/>
              <w:bottom w:val="dashed" w:sz="4" w:space="0" w:color="000000"/>
              <w:right w:val="single" w:sz="8" w:space="0" w:color="000000"/>
            </w:tcBorders>
          </w:tcPr>
          <w:p w:rsidR="00E8309B" w:rsidRDefault="009D0949">
            <w:pPr>
              <w:spacing w:after="0" w:line="259" w:lineRule="auto"/>
              <w:ind w:left="8" w:right="0" w:firstLine="0"/>
              <w:jc w:val="center"/>
            </w:pPr>
            <w:r>
              <w:rPr>
                <w:sz w:val="16"/>
              </w:rPr>
              <w:t xml:space="preserve">млрд ЕУР </w:t>
            </w:r>
          </w:p>
        </w:tc>
        <w:tc>
          <w:tcPr>
            <w:tcW w:w="991" w:type="dxa"/>
            <w:tcBorders>
              <w:top w:val="double" w:sz="6" w:space="0" w:color="000000"/>
              <w:left w:val="single" w:sz="8" w:space="0" w:color="000000"/>
              <w:bottom w:val="dashed" w:sz="4" w:space="0" w:color="000000"/>
              <w:right w:val="dashed" w:sz="4" w:space="0" w:color="000000"/>
            </w:tcBorders>
          </w:tcPr>
          <w:p w:rsidR="00E8309B" w:rsidRDefault="009D0949">
            <w:pPr>
              <w:spacing w:after="0" w:line="259" w:lineRule="auto"/>
              <w:ind w:left="0" w:right="51" w:firstLine="0"/>
              <w:jc w:val="right"/>
            </w:pPr>
            <w:r>
              <w:rPr>
                <w:sz w:val="16"/>
              </w:rPr>
              <w:t xml:space="preserve">-1,2 </w:t>
            </w:r>
          </w:p>
        </w:tc>
        <w:tc>
          <w:tcPr>
            <w:tcW w:w="994" w:type="dxa"/>
            <w:tcBorders>
              <w:top w:val="double" w:sz="6" w:space="0" w:color="000000"/>
              <w:left w:val="dashed" w:sz="4" w:space="0" w:color="000000"/>
              <w:bottom w:val="dashed" w:sz="4" w:space="0" w:color="000000"/>
              <w:right w:val="dashed" w:sz="4" w:space="0" w:color="000000"/>
            </w:tcBorders>
          </w:tcPr>
          <w:p w:rsidR="00E8309B" w:rsidRDefault="009D0949">
            <w:pPr>
              <w:spacing w:after="0" w:line="259" w:lineRule="auto"/>
              <w:ind w:left="0" w:right="51" w:firstLine="0"/>
              <w:jc w:val="right"/>
            </w:pPr>
            <w:r>
              <w:rPr>
                <w:sz w:val="16"/>
              </w:rPr>
              <w:t xml:space="preserve">-1,1 </w:t>
            </w:r>
          </w:p>
        </w:tc>
        <w:tc>
          <w:tcPr>
            <w:tcW w:w="1016" w:type="dxa"/>
            <w:tcBorders>
              <w:top w:val="double" w:sz="6" w:space="0" w:color="000000"/>
              <w:left w:val="dashed" w:sz="4" w:space="0" w:color="000000"/>
              <w:bottom w:val="dashed" w:sz="4" w:space="0" w:color="000000"/>
              <w:right w:val="dashed" w:sz="4" w:space="0" w:color="000000"/>
            </w:tcBorders>
          </w:tcPr>
          <w:p w:rsidR="00E8309B" w:rsidRDefault="009D0949">
            <w:pPr>
              <w:spacing w:after="0" w:line="259" w:lineRule="auto"/>
              <w:ind w:left="0" w:right="51" w:firstLine="0"/>
              <w:jc w:val="right"/>
            </w:pPr>
            <w:r>
              <w:rPr>
                <w:sz w:val="16"/>
              </w:rPr>
              <w:t xml:space="preserve">-2,1 </w:t>
            </w:r>
          </w:p>
        </w:tc>
        <w:tc>
          <w:tcPr>
            <w:tcW w:w="972" w:type="dxa"/>
            <w:tcBorders>
              <w:top w:val="double" w:sz="6" w:space="0" w:color="000000"/>
              <w:left w:val="dashed" w:sz="4" w:space="0" w:color="000000"/>
              <w:bottom w:val="dashed" w:sz="4" w:space="0" w:color="000000"/>
              <w:right w:val="dashed" w:sz="4" w:space="0" w:color="000000"/>
            </w:tcBorders>
          </w:tcPr>
          <w:p w:rsidR="00E8309B" w:rsidRDefault="009D0949">
            <w:pPr>
              <w:spacing w:after="0" w:line="259" w:lineRule="auto"/>
              <w:ind w:left="0" w:right="51" w:firstLine="0"/>
              <w:jc w:val="right"/>
            </w:pPr>
            <w:r>
              <w:rPr>
                <w:sz w:val="16"/>
              </w:rPr>
              <w:t xml:space="preserve">-2,1 </w:t>
            </w:r>
          </w:p>
        </w:tc>
        <w:tc>
          <w:tcPr>
            <w:tcW w:w="967" w:type="dxa"/>
            <w:tcBorders>
              <w:top w:val="double" w:sz="6" w:space="0" w:color="000000"/>
              <w:left w:val="dashed" w:sz="4" w:space="0" w:color="000000"/>
              <w:bottom w:val="dashed" w:sz="4" w:space="0" w:color="000000"/>
              <w:right w:val="dashed" w:sz="4" w:space="0" w:color="000000"/>
            </w:tcBorders>
          </w:tcPr>
          <w:p w:rsidR="00E8309B" w:rsidRDefault="009D0949">
            <w:pPr>
              <w:spacing w:after="0" w:line="259" w:lineRule="auto"/>
              <w:ind w:left="0" w:right="49" w:firstLine="0"/>
              <w:jc w:val="right"/>
            </w:pPr>
            <w:r>
              <w:rPr>
                <w:sz w:val="16"/>
              </w:rPr>
              <w:t xml:space="preserve">-3,2 </w:t>
            </w:r>
          </w:p>
        </w:tc>
        <w:tc>
          <w:tcPr>
            <w:tcW w:w="972" w:type="dxa"/>
            <w:tcBorders>
              <w:top w:val="double" w:sz="6" w:space="0" w:color="000000"/>
              <w:left w:val="dashed" w:sz="4" w:space="0" w:color="000000"/>
              <w:bottom w:val="dashed" w:sz="4" w:space="0" w:color="000000"/>
              <w:right w:val="double" w:sz="6" w:space="0" w:color="000000"/>
            </w:tcBorders>
          </w:tcPr>
          <w:p w:rsidR="00E8309B" w:rsidRDefault="009D0949">
            <w:pPr>
              <w:spacing w:after="0" w:line="259" w:lineRule="auto"/>
              <w:ind w:left="0" w:right="49" w:firstLine="0"/>
              <w:jc w:val="right"/>
            </w:pPr>
            <w:r>
              <w:rPr>
                <w:sz w:val="16"/>
              </w:rPr>
              <w:t xml:space="preserve">-2,3 </w:t>
            </w:r>
          </w:p>
        </w:tc>
      </w:tr>
      <w:tr w:rsidR="00E8309B">
        <w:trPr>
          <w:trHeight w:val="240"/>
        </w:trPr>
        <w:tc>
          <w:tcPr>
            <w:tcW w:w="6750" w:type="dxa"/>
            <w:tcBorders>
              <w:top w:val="dashed" w:sz="4" w:space="0" w:color="000000"/>
              <w:left w:val="double" w:sz="6" w:space="0" w:color="000000"/>
              <w:bottom w:val="dashed" w:sz="4" w:space="0" w:color="000000"/>
              <w:right w:val="single" w:sz="8" w:space="0" w:color="000000"/>
            </w:tcBorders>
          </w:tcPr>
          <w:p w:rsidR="00E8309B" w:rsidRDefault="009D0949">
            <w:pPr>
              <w:spacing w:after="0" w:line="259" w:lineRule="auto"/>
              <w:ind w:left="94" w:right="0" w:firstLine="0"/>
              <w:jc w:val="left"/>
            </w:pPr>
            <w:r>
              <w:rPr>
                <w:sz w:val="20"/>
              </w:rPr>
              <w:t xml:space="preserve">2. Нето међународна инвестициона позиција </w:t>
            </w:r>
          </w:p>
        </w:tc>
        <w:tc>
          <w:tcPr>
            <w:tcW w:w="1604" w:type="dxa"/>
            <w:tcBorders>
              <w:top w:val="dashed" w:sz="4" w:space="0" w:color="000000"/>
              <w:left w:val="single" w:sz="8" w:space="0" w:color="000000"/>
              <w:bottom w:val="dashed" w:sz="4" w:space="0" w:color="000000"/>
              <w:right w:val="single" w:sz="8" w:space="0" w:color="000000"/>
            </w:tcBorders>
          </w:tcPr>
          <w:p w:rsidR="00E8309B" w:rsidRDefault="009D0949">
            <w:pPr>
              <w:spacing w:after="0" w:line="259" w:lineRule="auto"/>
              <w:ind w:left="8" w:right="0" w:firstLine="0"/>
              <w:jc w:val="center"/>
            </w:pPr>
            <w:r>
              <w:rPr>
                <w:sz w:val="16"/>
              </w:rPr>
              <w:t xml:space="preserve">млрд ЕУР </w:t>
            </w:r>
          </w:p>
        </w:tc>
        <w:tc>
          <w:tcPr>
            <w:tcW w:w="991" w:type="dxa"/>
            <w:tcBorders>
              <w:top w:val="dashed" w:sz="4" w:space="0" w:color="000000"/>
              <w:left w:val="single" w:sz="8" w:space="0" w:color="000000"/>
              <w:bottom w:val="dashed" w:sz="4" w:space="0" w:color="000000"/>
              <w:right w:val="dashed" w:sz="4" w:space="0" w:color="000000"/>
            </w:tcBorders>
          </w:tcPr>
          <w:p w:rsidR="00E8309B" w:rsidRDefault="009D0949">
            <w:pPr>
              <w:spacing w:after="0" w:line="259" w:lineRule="auto"/>
              <w:ind w:left="0" w:right="51" w:firstLine="0"/>
              <w:jc w:val="right"/>
            </w:pPr>
            <w:r>
              <w:rPr>
                <w:sz w:val="16"/>
              </w:rPr>
              <w:t xml:space="preserve">-33,9 </w:t>
            </w:r>
          </w:p>
        </w:tc>
        <w:tc>
          <w:tcPr>
            <w:tcW w:w="994"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51" w:firstLine="0"/>
              <w:jc w:val="right"/>
            </w:pPr>
            <w:r>
              <w:rPr>
                <w:sz w:val="16"/>
              </w:rPr>
              <w:t xml:space="preserve">-34,7 </w:t>
            </w:r>
          </w:p>
        </w:tc>
        <w:tc>
          <w:tcPr>
            <w:tcW w:w="1016"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51" w:firstLine="0"/>
              <w:jc w:val="right"/>
            </w:pPr>
            <w:r>
              <w:rPr>
                <w:sz w:val="16"/>
              </w:rPr>
              <w:t xml:space="preserve">-35,6 </w:t>
            </w:r>
          </w:p>
        </w:tc>
        <w:tc>
          <w:tcPr>
            <w:tcW w:w="972"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51" w:firstLine="0"/>
              <w:jc w:val="right"/>
            </w:pPr>
            <w:r>
              <w:rPr>
                <w:sz w:val="16"/>
              </w:rPr>
              <w:t xml:space="preserve">-37,6 </w:t>
            </w:r>
          </w:p>
        </w:tc>
        <w:tc>
          <w:tcPr>
            <w:tcW w:w="967"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49" w:firstLine="0"/>
              <w:jc w:val="right"/>
            </w:pPr>
            <w:r>
              <w:rPr>
                <w:sz w:val="16"/>
              </w:rPr>
              <w:t xml:space="preserve">-40,5 </w:t>
            </w:r>
          </w:p>
        </w:tc>
        <w:tc>
          <w:tcPr>
            <w:tcW w:w="972" w:type="dxa"/>
            <w:tcBorders>
              <w:top w:val="dashed" w:sz="4" w:space="0" w:color="000000"/>
              <w:left w:val="dashed" w:sz="4" w:space="0" w:color="000000"/>
              <w:bottom w:val="dashed" w:sz="4" w:space="0" w:color="000000"/>
              <w:right w:val="double" w:sz="6" w:space="0" w:color="000000"/>
            </w:tcBorders>
          </w:tcPr>
          <w:p w:rsidR="00E8309B" w:rsidRDefault="009D0949">
            <w:pPr>
              <w:spacing w:after="0" w:line="259" w:lineRule="auto"/>
              <w:ind w:left="0" w:right="49" w:firstLine="0"/>
              <w:jc w:val="right"/>
            </w:pPr>
            <w:r>
              <w:rPr>
                <w:sz w:val="16"/>
              </w:rPr>
              <w:t xml:space="preserve">-42,0 </w:t>
            </w:r>
          </w:p>
        </w:tc>
      </w:tr>
      <w:tr w:rsidR="00E8309B">
        <w:trPr>
          <w:trHeight w:val="379"/>
        </w:trPr>
        <w:tc>
          <w:tcPr>
            <w:tcW w:w="6750" w:type="dxa"/>
            <w:tcBorders>
              <w:top w:val="dashed" w:sz="4" w:space="0" w:color="000000"/>
              <w:left w:val="double" w:sz="6" w:space="0" w:color="000000"/>
              <w:bottom w:val="dashed" w:sz="4" w:space="0" w:color="000000"/>
              <w:right w:val="single" w:sz="8" w:space="0" w:color="000000"/>
            </w:tcBorders>
          </w:tcPr>
          <w:p w:rsidR="00E8309B" w:rsidRDefault="009D0949">
            <w:pPr>
              <w:spacing w:after="0" w:line="259" w:lineRule="auto"/>
              <w:ind w:left="94" w:right="0" w:firstLine="0"/>
              <w:jc w:val="left"/>
            </w:pPr>
            <w:r>
              <w:rPr>
                <w:sz w:val="20"/>
              </w:rPr>
              <w:t xml:space="preserve">3. Удели на извозним тржиштима </w:t>
            </w:r>
          </w:p>
        </w:tc>
        <w:tc>
          <w:tcPr>
            <w:tcW w:w="1604" w:type="dxa"/>
            <w:tcBorders>
              <w:top w:val="dashed" w:sz="4" w:space="0" w:color="000000"/>
              <w:left w:val="single" w:sz="8" w:space="0" w:color="000000"/>
              <w:bottom w:val="dashed" w:sz="4" w:space="0" w:color="000000"/>
              <w:right w:val="single" w:sz="8" w:space="0" w:color="000000"/>
            </w:tcBorders>
          </w:tcPr>
          <w:p w:rsidR="00E8309B" w:rsidRDefault="009D0949">
            <w:pPr>
              <w:spacing w:after="0" w:line="259" w:lineRule="auto"/>
              <w:ind w:left="0" w:right="0" w:firstLine="308"/>
              <w:jc w:val="left"/>
            </w:pPr>
            <w:r>
              <w:rPr>
                <w:sz w:val="16"/>
              </w:rPr>
              <w:t xml:space="preserve">% укупног извозног ржишта </w:t>
            </w:r>
          </w:p>
        </w:tc>
        <w:tc>
          <w:tcPr>
            <w:tcW w:w="991" w:type="dxa"/>
            <w:tcBorders>
              <w:top w:val="dashed" w:sz="4" w:space="0" w:color="000000"/>
              <w:left w:val="single" w:sz="8" w:space="0" w:color="000000"/>
              <w:bottom w:val="dashed" w:sz="4" w:space="0" w:color="000000"/>
              <w:right w:val="dashed" w:sz="4" w:space="0" w:color="000000"/>
            </w:tcBorders>
          </w:tcPr>
          <w:p w:rsidR="00E8309B" w:rsidRDefault="009D0949">
            <w:pPr>
              <w:spacing w:after="0" w:line="259" w:lineRule="auto"/>
              <w:ind w:left="0" w:right="51" w:firstLine="0"/>
              <w:jc w:val="right"/>
            </w:pPr>
            <w:r>
              <w:rPr>
                <w:sz w:val="16"/>
              </w:rPr>
              <w:t xml:space="preserve">0,1% </w:t>
            </w:r>
          </w:p>
        </w:tc>
        <w:tc>
          <w:tcPr>
            <w:tcW w:w="994"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51" w:firstLine="0"/>
              <w:jc w:val="right"/>
            </w:pPr>
            <w:r>
              <w:rPr>
                <w:sz w:val="16"/>
              </w:rPr>
              <w:t xml:space="preserve">0,1% </w:t>
            </w:r>
          </w:p>
        </w:tc>
        <w:tc>
          <w:tcPr>
            <w:tcW w:w="1016"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51" w:firstLine="0"/>
              <w:jc w:val="right"/>
            </w:pPr>
            <w:r>
              <w:rPr>
                <w:sz w:val="16"/>
              </w:rPr>
              <w:t xml:space="preserve">0,1% </w:t>
            </w:r>
          </w:p>
        </w:tc>
        <w:tc>
          <w:tcPr>
            <w:tcW w:w="972"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51" w:firstLine="0"/>
              <w:jc w:val="right"/>
            </w:pPr>
            <w:r>
              <w:rPr>
                <w:sz w:val="16"/>
              </w:rPr>
              <w:t xml:space="preserve">0,1% </w:t>
            </w:r>
          </w:p>
        </w:tc>
        <w:tc>
          <w:tcPr>
            <w:tcW w:w="967"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48" w:firstLine="0"/>
              <w:jc w:val="right"/>
            </w:pPr>
            <w:r>
              <w:rPr>
                <w:sz w:val="16"/>
              </w:rPr>
              <w:t xml:space="preserve">0,1% </w:t>
            </w:r>
          </w:p>
        </w:tc>
        <w:tc>
          <w:tcPr>
            <w:tcW w:w="972" w:type="dxa"/>
            <w:tcBorders>
              <w:top w:val="dashed" w:sz="4" w:space="0" w:color="000000"/>
              <w:left w:val="dashed" w:sz="4" w:space="0" w:color="000000"/>
              <w:bottom w:val="dashed" w:sz="4" w:space="0" w:color="000000"/>
              <w:right w:val="double" w:sz="6" w:space="0" w:color="000000"/>
            </w:tcBorders>
          </w:tcPr>
          <w:p w:rsidR="00E8309B" w:rsidRDefault="009D0949">
            <w:pPr>
              <w:spacing w:after="0" w:line="259" w:lineRule="auto"/>
              <w:ind w:left="0" w:right="48" w:firstLine="0"/>
              <w:jc w:val="right"/>
            </w:pPr>
            <w:r>
              <w:rPr>
                <w:sz w:val="16"/>
              </w:rPr>
              <w:t xml:space="preserve">0,1% </w:t>
            </w:r>
          </w:p>
        </w:tc>
      </w:tr>
      <w:tr w:rsidR="00E8309B">
        <w:trPr>
          <w:trHeight w:val="240"/>
        </w:trPr>
        <w:tc>
          <w:tcPr>
            <w:tcW w:w="6750" w:type="dxa"/>
            <w:tcBorders>
              <w:top w:val="dashed" w:sz="4" w:space="0" w:color="000000"/>
              <w:left w:val="double" w:sz="6" w:space="0" w:color="000000"/>
              <w:bottom w:val="dashed" w:sz="4" w:space="0" w:color="000000"/>
              <w:right w:val="single" w:sz="8" w:space="0" w:color="000000"/>
            </w:tcBorders>
          </w:tcPr>
          <w:p w:rsidR="00E8309B" w:rsidRDefault="009D0949">
            <w:pPr>
              <w:spacing w:after="0" w:line="259" w:lineRule="auto"/>
              <w:ind w:left="94" w:right="0" w:firstLine="0"/>
              <w:jc w:val="left"/>
            </w:pPr>
            <w:r>
              <w:rPr>
                <w:sz w:val="20"/>
              </w:rPr>
              <w:t xml:space="preserve">4. Реални ефективни девизни курс [1] </w:t>
            </w:r>
          </w:p>
        </w:tc>
        <w:tc>
          <w:tcPr>
            <w:tcW w:w="1604" w:type="dxa"/>
            <w:tcBorders>
              <w:top w:val="dashed" w:sz="4" w:space="0" w:color="000000"/>
              <w:left w:val="single" w:sz="8" w:space="0" w:color="000000"/>
              <w:bottom w:val="dashed" w:sz="4" w:space="0" w:color="000000"/>
              <w:right w:val="single" w:sz="8" w:space="0" w:color="000000"/>
            </w:tcBorders>
          </w:tcPr>
          <w:p w:rsidR="00E8309B" w:rsidRDefault="009D0949">
            <w:pPr>
              <w:spacing w:after="0" w:line="259" w:lineRule="auto"/>
              <w:ind w:right="0" w:firstLine="0"/>
              <w:jc w:val="center"/>
            </w:pPr>
            <w:r>
              <w:rPr>
                <w:sz w:val="16"/>
              </w:rPr>
              <w:t xml:space="preserve">Индекс </w:t>
            </w:r>
          </w:p>
        </w:tc>
        <w:tc>
          <w:tcPr>
            <w:tcW w:w="991" w:type="dxa"/>
            <w:tcBorders>
              <w:top w:val="dashed" w:sz="4" w:space="0" w:color="000000"/>
              <w:left w:val="single" w:sz="8" w:space="0" w:color="000000"/>
              <w:bottom w:val="dashed" w:sz="4" w:space="0" w:color="000000"/>
              <w:right w:val="dashed" w:sz="4" w:space="0" w:color="000000"/>
            </w:tcBorders>
          </w:tcPr>
          <w:p w:rsidR="00E8309B" w:rsidRDefault="009D0949">
            <w:pPr>
              <w:spacing w:after="0" w:line="259" w:lineRule="auto"/>
              <w:ind w:left="0" w:right="51" w:firstLine="0"/>
              <w:jc w:val="right"/>
            </w:pPr>
            <w:r>
              <w:rPr>
                <w:sz w:val="16"/>
              </w:rPr>
              <w:t xml:space="preserve">116,3 </w:t>
            </w:r>
          </w:p>
        </w:tc>
        <w:tc>
          <w:tcPr>
            <w:tcW w:w="994"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51" w:firstLine="0"/>
              <w:jc w:val="right"/>
            </w:pPr>
            <w:r>
              <w:rPr>
                <w:sz w:val="16"/>
              </w:rPr>
              <w:t xml:space="preserve">114,8 </w:t>
            </w:r>
          </w:p>
        </w:tc>
        <w:tc>
          <w:tcPr>
            <w:tcW w:w="1016"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51" w:firstLine="0"/>
              <w:jc w:val="right"/>
            </w:pPr>
            <w:r>
              <w:rPr>
                <w:sz w:val="16"/>
              </w:rPr>
              <w:t xml:space="preserve">118,7 </w:t>
            </w:r>
          </w:p>
        </w:tc>
        <w:tc>
          <w:tcPr>
            <w:tcW w:w="972"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51" w:firstLine="0"/>
              <w:jc w:val="right"/>
            </w:pPr>
            <w:r>
              <w:rPr>
                <w:sz w:val="16"/>
              </w:rPr>
              <w:t xml:space="preserve">123,0 </w:t>
            </w:r>
          </w:p>
        </w:tc>
        <w:tc>
          <w:tcPr>
            <w:tcW w:w="967"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49" w:firstLine="0"/>
              <w:jc w:val="right"/>
            </w:pPr>
            <w:r>
              <w:rPr>
                <w:sz w:val="16"/>
              </w:rPr>
              <w:t xml:space="preserve">122,8 </w:t>
            </w:r>
          </w:p>
        </w:tc>
        <w:tc>
          <w:tcPr>
            <w:tcW w:w="972" w:type="dxa"/>
            <w:tcBorders>
              <w:top w:val="dashed" w:sz="4" w:space="0" w:color="000000"/>
              <w:left w:val="dashed" w:sz="4" w:space="0" w:color="000000"/>
              <w:bottom w:val="dashed" w:sz="4" w:space="0" w:color="000000"/>
              <w:right w:val="double" w:sz="6" w:space="0" w:color="000000"/>
            </w:tcBorders>
          </w:tcPr>
          <w:p w:rsidR="00E8309B" w:rsidRDefault="009D0949">
            <w:pPr>
              <w:spacing w:after="0" w:line="259" w:lineRule="auto"/>
              <w:ind w:left="0" w:right="49" w:firstLine="0"/>
              <w:jc w:val="right"/>
            </w:pPr>
            <w:r>
              <w:rPr>
                <w:sz w:val="16"/>
              </w:rPr>
              <w:t xml:space="preserve">124,6 </w:t>
            </w:r>
          </w:p>
        </w:tc>
      </w:tr>
      <w:tr w:rsidR="00E8309B">
        <w:trPr>
          <w:trHeight w:val="240"/>
        </w:trPr>
        <w:tc>
          <w:tcPr>
            <w:tcW w:w="6750" w:type="dxa"/>
            <w:tcBorders>
              <w:top w:val="dashed" w:sz="4" w:space="0" w:color="000000"/>
              <w:left w:val="double" w:sz="6" w:space="0" w:color="000000"/>
              <w:bottom w:val="dashed" w:sz="4" w:space="0" w:color="000000"/>
              <w:right w:val="single" w:sz="8" w:space="0" w:color="000000"/>
            </w:tcBorders>
          </w:tcPr>
          <w:p w:rsidR="00E8309B" w:rsidRDefault="009D0949">
            <w:pPr>
              <w:spacing w:after="0" w:line="259" w:lineRule="auto"/>
              <w:ind w:left="94" w:right="0" w:firstLine="0"/>
              <w:jc w:val="left"/>
            </w:pPr>
            <w:r>
              <w:rPr>
                <w:sz w:val="20"/>
              </w:rPr>
              <w:t xml:space="preserve">5. Номинални јединични трошкови рада </w:t>
            </w:r>
          </w:p>
        </w:tc>
        <w:tc>
          <w:tcPr>
            <w:tcW w:w="1604" w:type="dxa"/>
            <w:tcBorders>
              <w:top w:val="dashed" w:sz="4" w:space="0" w:color="000000"/>
              <w:left w:val="single" w:sz="8" w:space="0" w:color="000000"/>
              <w:bottom w:val="dashed" w:sz="4" w:space="0" w:color="000000"/>
              <w:right w:val="single" w:sz="8" w:space="0" w:color="000000"/>
            </w:tcBorders>
          </w:tcPr>
          <w:p w:rsidR="00E8309B" w:rsidRDefault="009D0949">
            <w:pPr>
              <w:spacing w:after="0" w:line="259" w:lineRule="auto"/>
              <w:ind w:right="0" w:firstLine="0"/>
              <w:jc w:val="center"/>
            </w:pPr>
            <w:r>
              <w:rPr>
                <w:sz w:val="16"/>
              </w:rPr>
              <w:t xml:space="preserve">Индекс </w:t>
            </w:r>
          </w:p>
        </w:tc>
        <w:tc>
          <w:tcPr>
            <w:tcW w:w="991" w:type="dxa"/>
            <w:tcBorders>
              <w:top w:val="dashed" w:sz="4" w:space="0" w:color="000000"/>
              <w:left w:val="single" w:sz="8" w:space="0" w:color="000000"/>
              <w:bottom w:val="dashed" w:sz="4" w:space="0" w:color="000000"/>
              <w:right w:val="dashed" w:sz="4" w:space="0" w:color="000000"/>
            </w:tcBorders>
          </w:tcPr>
          <w:p w:rsidR="00E8309B" w:rsidRDefault="009D0949">
            <w:pPr>
              <w:spacing w:after="0" w:line="259" w:lineRule="auto"/>
              <w:ind w:left="0" w:right="51" w:firstLine="0"/>
              <w:jc w:val="right"/>
            </w:pPr>
            <w:r>
              <w:rPr>
                <w:sz w:val="16"/>
              </w:rPr>
              <w:t xml:space="preserve">171,1 </w:t>
            </w:r>
          </w:p>
        </w:tc>
        <w:tc>
          <w:tcPr>
            <w:tcW w:w="994"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51" w:firstLine="0"/>
              <w:jc w:val="right"/>
            </w:pPr>
            <w:r>
              <w:rPr>
                <w:sz w:val="16"/>
              </w:rPr>
              <w:t xml:space="preserve">173,8 </w:t>
            </w:r>
          </w:p>
        </w:tc>
        <w:tc>
          <w:tcPr>
            <w:tcW w:w="1016"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51" w:firstLine="0"/>
              <w:jc w:val="right"/>
            </w:pPr>
            <w:r>
              <w:rPr>
                <w:sz w:val="16"/>
              </w:rPr>
              <w:t xml:space="preserve">181,8 </w:t>
            </w:r>
          </w:p>
        </w:tc>
        <w:tc>
          <w:tcPr>
            <w:tcW w:w="972"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51" w:firstLine="0"/>
              <w:jc w:val="right"/>
            </w:pPr>
            <w:r>
              <w:rPr>
                <w:sz w:val="16"/>
              </w:rPr>
              <w:t xml:space="preserve">190,7 </w:t>
            </w:r>
          </w:p>
        </w:tc>
        <w:tc>
          <w:tcPr>
            <w:tcW w:w="967"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49" w:firstLine="0"/>
              <w:jc w:val="right"/>
            </w:pPr>
            <w:r>
              <w:rPr>
                <w:sz w:val="16"/>
              </w:rPr>
              <w:t xml:space="preserve">206,3 </w:t>
            </w:r>
          </w:p>
        </w:tc>
        <w:tc>
          <w:tcPr>
            <w:tcW w:w="972" w:type="dxa"/>
            <w:tcBorders>
              <w:top w:val="dashed" w:sz="4" w:space="0" w:color="000000"/>
              <w:left w:val="dashed" w:sz="4" w:space="0" w:color="000000"/>
              <w:bottom w:val="dashed" w:sz="4" w:space="0" w:color="000000"/>
              <w:right w:val="double" w:sz="6" w:space="0" w:color="000000"/>
            </w:tcBorders>
          </w:tcPr>
          <w:p w:rsidR="00E8309B" w:rsidRDefault="009D0949">
            <w:pPr>
              <w:spacing w:after="0" w:line="259" w:lineRule="auto"/>
              <w:ind w:left="0" w:right="49" w:firstLine="0"/>
              <w:jc w:val="right"/>
            </w:pPr>
            <w:r>
              <w:rPr>
                <w:sz w:val="16"/>
              </w:rPr>
              <w:t xml:space="preserve">229,7 </w:t>
            </w:r>
          </w:p>
        </w:tc>
      </w:tr>
      <w:tr w:rsidR="00E8309B">
        <w:trPr>
          <w:trHeight w:val="240"/>
        </w:trPr>
        <w:tc>
          <w:tcPr>
            <w:tcW w:w="6750" w:type="dxa"/>
            <w:tcBorders>
              <w:top w:val="dashed" w:sz="4" w:space="0" w:color="000000"/>
              <w:left w:val="double" w:sz="6" w:space="0" w:color="000000"/>
              <w:bottom w:val="dashed" w:sz="4" w:space="0" w:color="000000"/>
              <w:right w:val="single" w:sz="8" w:space="0" w:color="000000"/>
            </w:tcBorders>
          </w:tcPr>
          <w:p w:rsidR="00E8309B" w:rsidRDefault="009D0949">
            <w:pPr>
              <w:spacing w:after="0" w:line="259" w:lineRule="auto"/>
              <w:ind w:left="94" w:right="0" w:firstLine="0"/>
              <w:jc w:val="left"/>
            </w:pPr>
            <w:r>
              <w:rPr>
                <w:sz w:val="20"/>
              </w:rPr>
              <w:t xml:space="preserve">6. Кредити приватном сектору - промена </w:t>
            </w:r>
          </w:p>
        </w:tc>
        <w:tc>
          <w:tcPr>
            <w:tcW w:w="1604" w:type="dxa"/>
            <w:tcBorders>
              <w:top w:val="dashed" w:sz="4" w:space="0" w:color="000000"/>
              <w:left w:val="single" w:sz="8" w:space="0" w:color="000000"/>
              <w:bottom w:val="dashed" w:sz="4" w:space="0" w:color="000000"/>
              <w:right w:val="single" w:sz="8" w:space="0" w:color="000000"/>
            </w:tcBorders>
          </w:tcPr>
          <w:p w:rsidR="00E8309B" w:rsidRDefault="009D0949">
            <w:pPr>
              <w:spacing w:after="0" w:line="259" w:lineRule="auto"/>
              <w:ind w:left="7" w:right="0" w:firstLine="0"/>
              <w:jc w:val="center"/>
            </w:pPr>
            <w:r>
              <w:rPr>
                <w:sz w:val="16"/>
              </w:rPr>
              <w:t xml:space="preserve">млрд РСД </w:t>
            </w:r>
          </w:p>
        </w:tc>
        <w:tc>
          <w:tcPr>
            <w:tcW w:w="991" w:type="dxa"/>
            <w:tcBorders>
              <w:top w:val="dashed" w:sz="4" w:space="0" w:color="000000"/>
              <w:left w:val="single" w:sz="8" w:space="0" w:color="000000"/>
              <w:bottom w:val="dashed" w:sz="4" w:space="0" w:color="000000"/>
              <w:right w:val="dashed" w:sz="4" w:space="0" w:color="000000"/>
            </w:tcBorders>
          </w:tcPr>
          <w:p w:rsidR="00E8309B" w:rsidRDefault="009D0949">
            <w:pPr>
              <w:spacing w:after="0" w:line="259" w:lineRule="auto"/>
              <w:ind w:left="0" w:right="51" w:firstLine="0"/>
              <w:jc w:val="right"/>
            </w:pPr>
            <w:r>
              <w:rPr>
                <w:sz w:val="16"/>
              </w:rPr>
              <w:t xml:space="preserve">59,5 </w:t>
            </w:r>
          </w:p>
        </w:tc>
        <w:tc>
          <w:tcPr>
            <w:tcW w:w="994"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51" w:firstLine="0"/>
              <w:jc w:val="right"/>
            </w:pPr>
            <w:r>
              <w:rPr>
                <w:sz w:val="16"/>
              </w:rPr>
              <w:t xml:space="preserve">110,1 </w:t>
            </w:r>
          </w:p>
        </w:tc>
        <w:tc>
          <w:tcPr>
            <w:tcW w:w="1016"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51" w:firstLine="0"/>
              <w:jc w:val="right"/>
            </w:pPr>
            <w:r>
              <w:rPr>
                <w:sz w:val="16"/>
              </w:rPr>
              <w:t xml:space="preserve">83,6 </w:t>
            </w:r>
          </w:p>
        </w:tc>
        <w:tc>
          <w:tcPr>
            <w:tcW w:w="972"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51" w:firstLine="0"/>
              <w:jc w:val="right"/>
            </w:pPr>
            <w:r>
              <w:rPr>
                <w:sz w:val="16"/>
              </w:rPr>
              <w:t xml:space="preserve">188,8 </w:t>
            </w:r>
          </w:p>
        </w:tc>
        <w:tc>
          <w:tcPr>
            <w:tcW w:w="967"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49" w:firstLine="0"/>
              <w:jc w:val="right"/>
            </w:pPr>
            <w:r>
              <w:rPr>
                <w:sz w:val="16"/>
              </w:rPr>
              <w:t xml:space="preserve">178,0 </w:t>
            </w:r>
          </w:p>
        </w:tc>
        <w:tc>
          <w:tcPr>
            <w:tcW w:w="972" w:type="dxa"/>
            <w:tcBorders>
              <w:top w:val="dashed" w:sz="4" w:space="0" w:color="000000"/>
              <w:left w:val="dashed" w:sz="4" w:space="0" w:color="000000"/>
              <w:bottom w:val="dashed" w:sz="4" w:space="0" w:color="000000"/>
              <w:right w:val="double" w:sz="6" w:space="0" w:color="000000"/>
            </w:tcBorders>
          </w:tcPr>
          <w:p w:rsidR="00E8309B" w:rsidRDefault="009D0949">
            <w:pPr>
              <w:spacing w:after="0" w:line="259" w:lineRule="auto"/>
              <w:ind w:left="0" w:right="49" w:firstLine="0"/>
              <w:jc w:val="right"/>
            </w:pPr>
            <w:r>
              <w:rPr>
                <w:sz w:val="16"/>
              </w:rPr>
              <w:t xml:space="preserve">212,7 </w:t>
            </w:r>
          </w:p>
        </w:tc>
      </w:tr>
      <w:tr w:rsidR="00E8309B">
        <w:trPr>
          <w:trHeight w:val="240"/>
        </w:trPr>
        <w:tc>
          <w:tcPr>
            <w:tcW w:w="6750" w:type="dxa"/>
            <w:tcBorders>
              <w:top w:val="dashed" w:sz="4" w:space="0" w:color="000000"/>
              <w:left w:val="double" w:sz="6" w:space="0" w:color="000000"/>
              <w:bottom w:val="dashed" w:sz="4" w:space="0" w:color="000000"/>
              <w:right w:val="single" w:sz="8" w:space="0" w:color="000000"/>
            </w:tcBorders>
          </w:tcPr>
          <w:p w:rsidR="00E8309B" w:rsidRDefault="009D0949">
            <w:pPr>
              <w:spacing w:after="0" w:line="259" w:lineRule="auto"/>
              <w:ind w:left="94" w:right="0" w:firstLine="0"/>
              <w:jc w:val="left"/>
            </w:pPr>
            <w:r>
              <w:rPr>
                <w:sz w:val="20"/>
              </w:rPr>
              <w:t xml:space="preserve">7. Дуг приватног сектора </w:t>
            </w:r>
          </w:p>
        </w:tc>
        <w:tc>
          <w:tcPr>
            <w:tcW w:w="1604" w:type="dxa"/>
            <w:tcBorders>
              <w:top w:val="dashed" w:sz="4" w:space="0" w:color="000000"/>
              <w:left w:val="single" w:sz="8" w:space="0" w:color="000000"/>
              <w:bottom w:val="dashed" w:sz="4" w:space="0" w:color="000000"/>
              <w:right w:val="single" w:sz="8" w:space="0" w:color="000000"/>
            </w:tcBorders>
          </w:tcPr>
          <w:p w:rsidR="00E8309B" w:rsidRDefault="009D0949">
            <w:pPr>
              <w:spacing w:after="0" w:line="259" w:lineRule="auto"/>
              <w:ind w:left="7" w:right="0" w:firstLine="0"/>
              <w:jc w:val="center"/>
            </w:pPr>
            <w:r>
              <w:rPr>
                <w:sz w:val="16"/>
              </w:rPr>
              <w:t xml:space="preserve">млрд РСД </w:t>
            </w:r>
          </w:p>
        </w:tc>
        <w:tc>
          <w:tcPr>
            <w:tcW w:w="991" w:type="dxa"/>
            <w:tcBorders>
              <w:top w:val="dashed" w:sz="4" w:space="0" w:color="000000"/>
              <w:left w:val="single" w:sz="8" w:space="0" w:color="000000"/>
              <w:bottom w:val="dashed" w:sz="4" w:space="0" w:color="000000"/>
              <w:right w:val="dashed" w:sz="4" w:space="0" w:color="000000"/>
            </w:tcBorders>
          </w:tcPr>
          <w:p w:rsidR="00E8309B" w:rsidRDefault="009D0949">
            <w:pPr>
              <w:spacing w:after="0" w:line="259" w:lineRule="auto"/>
              <w:ind w:left="0" w:right="52" w:firstLine="0"/>
              <w:jc w:val="right"/>
            </w:pPr>
            <w:r>
              <w:rPr>
                <w:sz w:val="16"/>
              </w:rPr>
              <w:t xml:space="preserve">1.701,2 </w:t>
            </w:r>
          </w:p>
        </w:tc>
        <w:tc>
          <w:tcPr>
            <w:tcW w:w="994"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52" w:firstLine="0"/>
              <w:jc w:val="right"/>
            </w:pPr>
            <w:r>
              <w:rPr>
                <w:sz w:val="16"/>
              </w:rPr>
              <w:t xml:space="preserve">1.811,4 </w:t>
            </w:r>
          </w:p>
        </w:tc>
        <w:tc>
          <w:tcPr>
            <w:tcW w:w="1016"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52" w:firstLine="0"/>
              <w:jc w:val="right"/>
            </w:pPr>
            <w:r>
              <w:rPr>
                <w:sz w:val="16"/>
              </w:rPr>
              <w:t xml:space="preserve">1.895,0 </w:t>
            </w:r>
          </w:p>
        </w:tc>
        <w:tc>
          <w:tcPr>
            <w:tcW w:w="972"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52" w:firstLine="0"/>
              <w:jc w:val="right"/>
            </w:pPr>
            <w:r>
              <w:rPr>
                <w:sz w:val="16"/>
              </w:rPr>
              <w:t xml:space="preserve">2.083,8 </w:t>
            </w:r>
          </w:p>
        </w:tc>
        <w:tc>
          <w:tcPr>
            <w:tcW w:w="967"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49" w:firstLine="0"/>
              <w:jc w:val="right"/>
            </w:pPr>
            <w:r>
              <w:rPr>
                <w:sz w:val="16"/>
              </w:rPr>
              <w:t xml:space="preserve">2.261,8 </w:t>
            </w:r>
          </w:p>
        </w:tc>
        <w:tc>
          <w:tcPr>
            <w:tcW w:w="972" w:type="dxa"/>
            <w:tcBorders>
              <w:top w:val="dashed" w:sz="4" w:space="0" w:color="000000"/>
              <w:left w:val="dashed" w:sz="4" w:space="0" w:color="000000"/>
              <w:bottom w:val="dashed" w:sz="4" w:space="0" w:color="000000"/>
              <w:right w:val="double" w:sz="6" w:space="0" w:color="000000"/>
            </w:tcBorders>
          </w:tcPr>
          <w:p w:rsidR="00E8309B" w:rsidRDefault="009D0949">
            <w:pPr>
              <w:spacing w:after="0" w:line="259" w:lineRule="auto"/>
              <w:ind w:left="0" w:right="49" w:firstLine="0"/>
              <w:jc w:val="right"/>
            </w:pPr>
            <w:r>
              <w:rPr>
                <w:sz w:val="16"/>
              </w:rPr>
              <w:t xml:space="preserve">2.474,5 </w:t>
            </w:r>
          </w:p>
        </w:tc>
      </w:tr>
      <w:tr w:rsidR="00E8309B">
        <w:trPr>
          <w:trHeight w:val="257"/>
        </w:trPr>
        <w:tc>
          <w:tcPr>
            <w:tcW w:w="6750" w:type="dxa"/>
            <w:tcBorders>
              <w:top w:val="dashed" w:sz="4" w:space="0" w:color="000000"/>
              <w:left w:val="double" w:sz="6" w:space="0" w:color="000000"/>
              <w:bottom w:val="double" w:sz="6" w:space="0" w:color="000000"/>
              <w:right w:val="single" w:sz="8" w:space="0" w:color="000000"/>
            </w:tcBorders>
          </w:tcPr>
          <w:p w:rsidR="00E8309B" w:rsidRDefault="009D0949">
            <w:pPr>
              <w:spacing w:after="0" w:line="259" w:lineRule="auto"/>
              <w:ind w:left="94" w:right="0" w:firstLine="0"/>
              <w:jc w:val="left"/>
            </w:pPr>
            <w:r>
              <w:rPr>
                <w:sz w:val="20"/>
              </w:rPr>
              <w:t xml:space="preserve">8. Дуг општег нивоа државе </w:t>
            </w:r>
          </w:p>
        </w:tc>
        <w:tc>
          <w:tcPr>
            <w:tcW w:w="1604" w:type="dxa"/>
            <w:tcBorders>
              <w:top w:val="dashed" w:sz="4" w:space="0" w:color="000000"/>
              <w:left w:val="single" w:sz="8" w:space="0" w:color="000000"/>
              <w:bottom w:val="double" w:sz="6" w:space="0" w:color="000000"/>
              <w:right w:val="single" w:sz="8" w:space="0" w:color="000000"/>
            </w:tcBorders>
          </w:tcPr>
          <w:p w:rsidR="00E8309B" w:rsidRDefault="009D0949">
            <w:pPr>
              <w:spacing w:after="0" w:line="259" w:lineRule="auto"/>
              <w:ind w:left="7" w:right="0" w:firstLine="0"/>
              <w:jc w:val="center"/>
            </w:pPr>
            <w:r>
              <w:rPr>
                <w:sz w:val="16"/>
              </w:rPr>
              <w:t xml:space="preserve">млрд РСД </w:t>
            </w:r>
          </w:p>
        </w:tc>
        <w:tc>
          <w:tcPr>
            <w:tcW w:w="991" w:type="dxa"/>
            <w:tcBorders>
              <w:top w:val="dashed" w:sz="4" w:space="0" w:color="000000"/>
              <w:left w:val="single" w:sz="8" w:space="0" w:color="000000"/>
              <w:bottom w:val="double" w:sz="6" w:space="0" w:color="000000"/>
              <w:right w:val="dashed" w:sz="4" w:space="0" w:color="000000"/>
            </w:tcBorders>
          </w:tcPr>
          <w:p w:rsidR="00E8309B" w:rsidRDefault="009D0949">
            <w:pPr>
              <w:spacing w:after="0" w:line="259" w:lineRule="auto"/>
              <w:ind w:left="0" w:right="52" w:firstLine="0"/>
              <w:jc w:val="right"/>
            </w:pPr>
            <w:r>
              <w:rPr>
                <w:sz w:val="16"/>
              </w:rPr>
              <w:t xml:space="preserve">3.072,3 </w:t>
            </w:r>
          </w:p>
        </w:tc>
        <w:tc>
          <w:tcPr>
            <w:tcW w:w="994" w:type="dxa"/>
            <w:tcBorders>
              <w:top w:val="dashed" w:sz="4" w:space="0" w:color="000000"/>
              <w:left w:val="dashed" w:sz="4" w:space="0" w:color="000000"/>
              <w:bottom w:val="double" w:sz="6" w:space="0" w:color="000000"/>
              <w:right w:val="dashed" w:sz="4" w:space="0" w:color="000000"/>
            </w:tcBorders>
          </w:tcPr>
          <w:p w:rsidR="00E8309B" w:rsidRDefault="009D0949">
            <w:pPr>
              <w:spacing w:after="0" w:line="259" w:lineRule="auto"/>
              <w:ind w:left="0" w:right="52" w:firstLine="0"/>
              <w:jc w:val="right"/>
            </w:pPr>
            <w:r>
              <w:rPr>
                <w:sz w:val="16"/>
              </w:rPr>
              <w:t xml:space="preserve">3.110,8 </w:t>
            </w:r>
          </w:p>
        </w:tc>
        <w:tc>
          <w:tcPr>
            <w:tcW w:w="1016" w:type="dxa"/>
            <w:tcBorders>
              <w:top w:val="dashed" w:sz="4" w:space="0" w:color="000000"/>
              <w:left w:val="dashed" w:sz="4" w:space="0" w:color="000000"/>
              <w:bottom w:val="double" w:sz="6" w:space="0" w:color="000000"/>
              <w:right w:val="dashed" w:sz="4" w:space="0" w:color="000000"/>
            </w:tcBorders>
          </w:tcPr>
          <w:p w:rsidR="00E8309B" w:rsidRDefault="009D0949">
            <w:pPr>
              <w:spacing w:after="0" w:line="259" w:lineRule="auto"/>
              <w:ind w:left="0" w:right="52" w:firstLine="0"/>
              <w:jc w:val="right"/>
            </w:pPr>
            <w:r>
              <w:rPr>
                <w:sz w:val="16"/>
              </w:rPr>
              <w:t xml:space="preserve">2.790,5 </w:t>
            </w:r>
          </w:p>
        </w:tc>
        <w:tc>
          <w:tcPr>
            <w:tcW w:w="972" w:type="dxa"/>
            <w:tcBorders>
              <w:top w:val="dashed" w:sz="4" w:space="0" w:color="000000"/>
              <w:left w:val="dashed" w:sz="4" w:space="0" w:color="000000"/>
              <w:bottom w:val="double" w:sz="6" w:space="0" w:color="000000"/>
              <w:right w:val="dashed" w:sz="4" w:space="0" w:color="000000"/>
            </w:tcBorders>
          </w:tcPr>
          <w:p w:rsidR="00E8309B" w:rsidRDefault="009D0949">
            <w:pPr>
              <w:spacing w:after="0" w:line="259" w:lineRule="auto"/>
              <w:ind w:left="0" w:right="52" w:firstLine="0"/>
              <w:jc w:val="right"/>
            </w:pPr>
            <w:r>
              <w:rPr>
                <w:sz w:val="16"/>
              </w:rPr>
              <w:t xml:space="preserve">2.757,3 </w:t>
            </w:r>
          </w:p>
        </w:tc>
        <w:tc>
          <w:tcPr>
            <w:tcW w:w="967" w:type="dxa"/>
            <w:tcBorders>
              <w:top w:val="dashed" w:sz="4" w:space="0" w:color="000000"/>
              <w:left w:val="dashed" w:sz="4" w:space="0" w:color="000000"/>
              <w:bottom w:val="double" w:sz="6" w:space="0" w:color="000000"/>
              <w:right w:val="dashed" w:sz="4" w:space="0" w:color="000000"/>
            </w:tcBorders>
          </w:tcPr>
          <w:p w:rsidR="00E8309B" w:rsidRDefault="009D0949">
            <w:pPr>
              <w:spacing w:after="0" w:line="259" w:lineRule="auto"/>
              <w:ind w:left="0" w:right="49" w:firstLine="0"/>
              <w:jc w:val="right"/>
            </w:pPr>
            <w:r>
              <w:rPr>
                <w:sz w:val="16"/>
              </w:rPr>
              <w:t xml:space="preserve">2.864,0 </w:t>
            </w:r>
          </w:p>
        </w:tc>
        <w:tc>
          <w:tcPr>
            <w:tcW w:w="972" w:type="dxa"/>
            <w:tcBorders>
              <w:top w:val="dashed" w:sz="4" w:space="0" w:color="000000"/>
              <w:left w:val="dashed" w:sz="4" w:space="0" w:color="000000"/>
              <w:bottom w:val="double" w:sz="6" w:space="0" w:color="000000"/>
              <w:right w:val="double" w:sz="6" w:space="0" w:color="000000"/>
            </w:tcBorders>
          </w:tcPr>
          <w:p w:rsidR="00E8309B" w:rsidRDefault="009D0949">
            <w:pPr>
              <w:spacing w:after="0" w:line="259" w:lineRule="auto"/>
              <w:ind w:left="0" w:right="49" w:firstLine="0"/>
              <w:jc w:val="right"/>
            </w:pPr>
            <w:r>
              <w:rPr>
                <w:sz w:val="16"/>
              </w:rPr>
              <w:t xml:space="preserve">3.255,2 </w:t>
            </w:r>
          </w:p>
        </w:tc>
      </w:tr>
      <w:tr w:rsidR="00E8309B">
        <w:trPr>
          <w:trHeight w:val="257"/>
        </w:trPr>
        <w:tc>
          <w:tcPr>
            <w:tcW w:w="6750" w:type="dxa"/>
            <w:tcBorders>
              <w:top w:val="double" w:sz="6" w:space="0" w:color="000000"/>
              <w:left w:val="double" w:sz="6" w:space="0" w:color="000000"/>
              <w:bottom w:val="dashed" w:sz="4" w:space="0" w:color="000000"/>
              <w:right w:val="single" w:sz="8" w:space="0" w:color="000000"/>
            </w:tcBorders>
          </w:tcPr>
          <w:p w:rsidR="00E8309B" w:rsidRDefault="009D0949">
            <w:pPr>
              <w:spacing w:after="0" w:line="259" w:lineRule="auto"/>
              <w:ind w:left="94" w:right="0" w:firstLine="0"/>
              <w:jc w:val="left"/>
            </w:pPr>
            <w:r>
              <w:rPr>
                <w:sz w:val="20"/>
              </w:rPr>
              <w:t xml:space="preserve">информативно: БДП у текућим тржишним ценама </w:t>
            </w:r>
          </w:p>
        </w:tc>
        <w:tc>
          <w:tcPr>
            <w:tcW w:w="1604" w:type="dxa"/>
            <w:tcBorders>
              <w:top w:val="double" w:sz="6" w:space="0" w:color="000000"/>
              <w:left w:val="single" w:sz="8" w:space="0" w:color="000000"/>
              <w:bottom w:val="dashed" w:sz="4" w:space="0" w:color="000000"/>
              <w:right w:val="single" w:sz="8" w:space="0" w:color="000000"/>
            </w:tcBorders>
          </w:tcPr>
          <w:p w:rsidR="00E8309B" w:rsidRDefault="009D0949">
            <w:pPr>
              <w:spacing w:after="0" w:line="259" w:lineRule="auto"/>
              <w:ind w:left="7" w:right="0" w:firstLine="0"/>
              <w:jc w:val="center"/>
            </w:pPr>
            <w:r>
              <w:rPr>
                <w:sz w:val="16"/>
              </w:rPr>
              <w:t xml:space="preserve">млрд РСД </w:t>
            </w:r>
          </w:p>
        </w:tc>
        <w:tc>
          <w:tcPr>
            <w:tcW w:w="991" w:type="dxa"/>
            <w:tcBorders>
              <w:top w:val="double" w:sz="6" w:space="0" w:color="000000"/>
              <w:left w:val="single" w:sz="8" w:space="0" w:color="000000"/>
              <w:bottom w:val="dashed" w:sz="4" w:space="0" w:color="000000"/>
              <w:right w:val="dashed" w:sz="4" w:space="0" w:color="000000"/>
            </w:tcBorders>
          </w:tcPr>
          <w:p w:rsidR="00E8309B" w:rsidRDefault="009D0949">
            <w:pPr>
              <w:spacing w:after="0" w:line="259" w:lineRule="auto"/>
              <w:ind w:left="0" w:right="52" w:firstLine="0"/>
              <w:jc w:val="right"/>
            </w:pPr>
            <w:r>
              <w:rPr>
                <w:sz w:val="16"/>
              </w:rPr>
              <w:t xml:space="preserve">4.315,0 </w:t>
            </w:r>
          </w:p>
        </w:tc>
        <w:tc>
          <w:tcPr>
            <w:tcW w:w="994" w:type="dxa"/>
            <w:tcBorders>
              <w:top w:val="double" w:sz="6" w:space="0" w:color="000000"/>
              <w:left w:val="dashed" w:sz="4" w:space="0" w:color="000000"/>
              <w:bottom w:val="dashed" w:sz="4" w:space="0" w:color="000000"/>
              <w:right w:val="dashed" w:sz="4" w:space="0" w:color="000000"/>
            </w:tcBorders>
          </w:tcPr>
          <w:p w:rsidR="00E8309B" w:rsidRDefault="009D0949">
            <w:pPr>
              <w:spacing w:after="0" w:line="259" w:lineRule="auto"/>
              <w:ind w:left="0" w:right="52" w:firstLine="0"/>
              <w:jc w:val="right"/>
            </w:pPr>
            <w:r>
              <w:rPr>
                <w:sz w:val="16"/>
              </w:rPr>
              <w:t xml:space="preserve">4.528,2 </w:t>
            </w:r>
          </w:p>
        </w:tc>
        <w:tc>
          <w:tcPr>
            <w:tcW w:w="1016" w:type="dxa"/>
            <w:tcBorders>
              <w:top w:val="double" w:sz="6" w:space="0" w:color="000000"/>
              <w:left w:val="dashed" w:sz="4" w:space="0" w:color="000000"/>
              <w:bottom w:val="dashed" w:sz="4" w:space="0" w:color="000000"/>
              <w:right w:val="dashed" w:sz="4" w:space="0" w:color="000000"/>
            </w:tcBorders>
          </w:tcPr>
          <w:p w:rsidR="00E8309B" w:rsidRDefault="009D0949">
            <w:pPr>
              <w:spacing w:after="0" w:line="259" w:lineRule="auto"/>
              <w:ind w:left="0" w:right="52" w:firstLine="0"/>
              <w:jc w:val="right"/>
            </w:pPr>
            <w:r>
              <w:rPr>
                <w:sz w:val="16"/>
              </w:rPr>
              <w:t xml:space="preserve">4.760,7 </w:t>
            </w:r>
          </w:p>
        </w:tc>
        <w:tc>
          <w:tcPr>
            <w:tcW w:w="972" w:type="dxa"/>
            <w:tcBorders>
              <w:top w:val="double" w:sz="6" w:space="0" w:color="000000"/>
              <w:left w:val="dashed" w:sz="4" w:space="0" w:color="000000"/>
              <w:bottom w:val="dashed" w:sz="4" w:space="0" w:color="000000"/>
              <w:right w:val="dashed" w:sz="4" w:space="0" w:color="000000"/>
            </w:tcBorders>
          </w:tcPr>
          <w:p w:rsidR="00E8309B" w:rsidRDefault="009D0949">
            <w:pPr>
              <w:spacing w:after="0" w:line="259" w:lineRule="auto"/>
              <w:ind w:left="0" w:right="51" w:firstLine="0"/>
              <w:jc w:val="right"/>
            </w:pPr>
            <w:r>
              <w:rPr>
                <w:sz w:val="16"/>
              </w:rPr>
              <w:t xml:space="preserve">5.073 </w:t>
            </w:r>
          </w:p>
        </w:tc>
        <w:tc>
          <w:tcPr>
            <w:tcW w:w="967" w:type="dxa"/>
            <w:tcBorders>
              <w:top w:val="double" w:sz="6" w:space="0" w:color="000000"/>
              <w:left w:val="dashed" w:sz="4" w:space="0" w:color="000000"/>
              <w:bottom w:val="dashed" w:sz="4" w:space="0" w:color="000000"/>
              <w:right w:val="dashed" w:sz="4" w:space="0" w:color="000000"/>
            </w:tcBorders>
          </w:tcPr>
          <w:p w:rsidR="00E8309B" w:rsidRDefault="009D0949">
            <w:pPr>
              <w:spacing w:after="0" w:line="259" w:lineRule="auto"/>
              <w:ind w:left="0" w:right="49" w:firstLine="0"/>
              <w:jc w:val="right"/>
            </w:pPr>
            <w:r>
              <w:rPr>
                <w:sz w:val="16"/>
              </w:rPr>
              <w:t xml:space="preserve">5.418 </w:t>
            </w:r>
          </w:p>
        </w:tc>
        <w:tc>
          <w:tcPr>
            <w:tcW w:w="972" w:type="dxa"/>
            <w:tcBorders>
              <w:top w:val="double" w:sz="6" w:space="0" w:color="000000"/>
              <w:left w:val="dashed" w:sz="4" w:space="0" w:color="000000"/>
              <w:bottom w:val="dashed" w:sz="4" w:space="0" w:color="000000"/>
              <w:right w:val="double" w:sz="6" w:space="0" w:color="000000"/>
            </w:tcBorders>
          </w:tcPr>
          <w:p w:rsidR="00E8309B" w:rsidRDefault="009D0949">
            <w:pPr>
              <w:spacing w:after="0" w:line="259" w:lineRule="auto"/>
              <w:ind w:left="0" w:right="49" w:firstLine="0"/>
              <w:jc w:val="right"/>
            </w:pPr>
            <w:r>
              <w:rPr>
                <w:sz w:val="16"/>
              </w:rPr>
              <w:t xml:space="preserve">5.517 </w:t>
            </w:r>
          </w:p>
        </w:tc>
      </w:tr>
      <w:tr w:rsidR="00E8309B">
        <w:trPr>
          <w:trHeight w:val="259"/>
        </w:trPr>
        <w:tc>
          <w:tcPr>
            <w:tcW w:w="6750" w:type="dxa"/>
            <w:tcBorders>
              <w:top w:val="dashed" w:sz="4" w:space="0" w:color="000000"/>
              <w:left w:val="double" w:sz="6" w:space="0" w:color="000000"/>
              <w:bottom w:val="double" w:sz="6" w:space="0" w:color="000000"/>
              <w:right w:val="single" w:sz="8" w:space="0" w:color="000000"/>
            </w:tcBorders>
          </w:tcPr>
          <w:p w:rsidR="00E8309B" w:rsidRDefault="009D0949">
            <w:pPr>
              <w:spacing w:after="0" w:line="259" w:lineRule="auto"/>
              <w:ind w:left="94" w:right="0" w:firstLine="0"/>
              <w:jc w:val="left"/>
            </w:pPr>
            <w:r>
              <w:rPr>
                <w:sz w:val="20"/>
              </w:rPr>
              <w:t xml:space="preserve">информативно: Девизни курс (годишњи просек) </w:t>
            </w:r>
          </w:p>
        </w:tc>
        <w:tc>
          <w:tcPr>
            <w:tcW w:w="1604" w:type="dxa"/>
            <w:tcBorders>
              <w:top w:val="dashed" w:sz="4" w:space="0" w:color="000000"/>
              <w:left w:val="single" w:sz="8" w:space="0" w:color="000000"/>
              <w:bottom w:val="double" w:sz="6" w:space="0" w:color="000000"/>
              <w:right w:val="single" w:sz="8" w:space="0" w:color="000000"/>
            </w:tcBorders>
          </w:tcPr>
          <w:p w:rsidR="00E8309B" w:rsidRDefault="009D0949">
            <w:pPr>
              <w:spacing w:after="0" w:line="259" w:lineRule="auto"/>
              <w:ind w:left="9" w:right="0" w:firstLine="0"/>
              <w:jc w:val="center"/>
            </w:pPr>
            <w:r>
              <w:rPr>
                <w:sz w:val="16"/>
              </w:rPr>
              <w:t xml:space="preserve">РСД/ЕУР </w:t>
            </w:r>
          </w:p>
        </w:tc>
        <w:tc>
          <w:tcPr>
            <w:tcW w:w="991" w:type="dxa"/>
            <w:tcBorders>
              <w:top w:val="dashed" w:sz="4" w:space="0" w:color="000000"/>
              <w:left w:val="single" w:sz="8" w:space="0" w:color="000000"/>
              <w:bottom w:val="double" w:sz="6" w:space="0" w:color="000000"/>
              <w:right w:val="dashed" w:sz="4" w:space="0" w:color="000000"/>
            </w:tcBorders>
          </w:tcPr>
          <w:p w:rsidR="00E8309B" w:rsidRDefault="009D0949">
            <w:pPr>
              <w:spacing w:after="0" w:line="259" w:lineRule="auto"/>
              <w:ind w:left="0" w:right="51" w:firstLine="0"/>
              <w:jc w:val="right"/>
            </w:pPr>
            <w:r>
              <w:rPr>
                <w:sz w:val="16"/>
              </w:rPr>
              <w:t xml:space="preserve">120,7 </w:t>
            </w:r>
          </w:p>
        </w:tc>
        <w:tc>
          <w:tcPr>
            <w:tcW w:w="994" w:type="dxa"/>
            <w:tcBorders>
              <w:top w:val="dashed" w:sz="4" w:space="0" w:color="000000"/>
              <w:left w:val="dashed" w:sz="4" w:space="0" w:color="000000"/>
              <w:bottom w:val="double" w:sz="6" w:space="0" w:color="000000"/>
              <w:right w:val="dashed" w:sz="4" w:space="0" w:color="000000"/>
            </w:tcBorders>
          </w:tcPr>
          <w:p w:rsidR="00E8309B" w:rsidRDefault="009D0949">
            <w:pPr>
              <w:spacing w:after="0" w:line="259" w:lineRule="auto"/>
              <w:ind w:left="0" w:right="51" w:firstLine="0"/>
              <w:jc w:val="right"/>
            </w:pPr>
            <w:r>
              <w:rPr>
                <w:sz w:val="16"/>
              </w:rPr>
              <w:t xml:space="preserve">123,1 </w:t>
            </w:r>
          </w:p>
        </w:tc>
        <w:tc>
          <w:tcPr>
            <w:tcW w:w="1016" w:type="dxa"/>
            <w:tcBorders>
              <w:top w:val="dashed" w:sz="4" w:space="0" w:color="000000"/>
              <w:left w:val="dashed" w:sz="4" w:space="0" w:color="000000"/>
              <w:bottom w:val="double" w:sz="6" w:space="0" w:color="000000"/>
              <w:right w:val="dashed" w:sz="4" w:space="0" w:color="000000"/>
            </w:tcBorders>
          </w:tcPr>
          <w:p w:rsidR="00E8309B" w:rsidRDefault="009D0949">
            <w:pPr>
              <w:spacing w:after="0" w:line="259" w:lineRule="auto"/>
              <w:ind w:left="0" w:right="51" w:firstLine="0"/>
              <w:jc w:val="right"/>
            </w:pPr>
            <w:r>
              <w:rPr>
                <w:sz w:val="16"/>
              </w:rPr>
              <w:t xml:space="preserve">121,3 </w:t>
            </w:r>
          </w:p>
        </w:tc>
        <w:tc>
          <w:tcPr>
            <w:tcW w:w="972" w:type="dxa"/>
            <w:tcBorders>
              <w:top w:val="dashed" w:sz="4" w:space="0" w:color="000000"/>
              <w:left w:val="dashed" w:sz="4" w:space="0" w:color="000000"/>
              <w:bottom w:val="double" w:sz="6" w:space="0" w:color="000000"/>
              <w:right w:val="dashed" w:sz="4" w:space="0" w:color="000000"/>
            </w:tcBorders>
          </w:tcPr>
          <w:p w:rsidR="00E8309B" w:rsidRDefault="009D0949">
            <w:pPr>
              <w:spacing w:after="0" w:line="259" w:lineRule="auto"/>
              <w:ind w:left="0" w:right="51" w:firstLine="0"/>
              <w:jc w:val="right"/>
            </w:pPr>
            <w:r>
              <w:rPr>
                <w:sz w:val="16"/>
              </w:rPr>
              <w:t xml:space="preserve">118,3 </w:t>
            </w:r>
          </w:p>
        </w:tc>
        <w:tc>
          <w:tcPr>
            <w:tcW w:w="967" w:type="dxa"/>
            <w:tcBorders>
              <w:top w:val="dashed" w:sz="4" w:space="0" w:color="000000"/>
              <w:left w:val="dashed" w:sz="4" w:space="0" w:color="000000"/>
              <w:bottom w:val="double" w:sz="6" w:space="0" w:color="000000"/>
              <w:right w:val="dashed" w:sz="4" w:space="0" w:color="000000"/>
            </w:tcBorders>
          </w:tcPr>
          <w:p w:rsidR="00E8309B" w:rsidRDefault="009D0949">
            <w:pPr>
              <w:spacing w:after="0" w:line="259" w:lineRule="auto"/>
              <w:ind w:left="0" w:right="49" w:firstLine="0"/>
              <w:jc w:val="right"/>
            </w:pPr>
            <w:r>
              <w:rPr>
                <w:sz w:val="16"/>
              </w:rPr>
              <w:t xml:space="preserve">117,9 </w:t>
            </w:r>
          </w:p>
        </w:tc>
        <w:tc>
          <w:tcPr>
            <w:tcW w:w="972" w:type="dxa"/>
            <w:tcBorders>
              <w:top w:val="dashed" w:sz="4" w:space="0" w:color="000000"/>
              <w:left w:val="dashed" w:sz="4" w:space="0" w:color="000000"/>
              <w:bottom w:val="double" w:sz="6" w:space="0" w:color="000000"/>
              <w:right w:val="double" w:sz="6" w:space="0" w:color="000000"/>
            </w:tcBorders>
          </w:tcPr>
          <w:p w:rsidR="00E8309B" w:rsidRDefault="009D0949">
            <w:pPr>
              <w:spacing w:after="0" w:line="259" w:lineRule="auto"/>
              <w:ind w:left="0" w:right="49" w:firstLine="0"/>
              <w:jc w:val="right"/>
            </w:pPr>
            <w:r>
              <w:rPr>
                <w:sz w:val="16"/>
              </w:rPr>
              <w:t xml:space="preserve">117,6 </w:t>
            </w:r>
          </w:p>
        </w:tc>
      </w:tr>
    </w:tbl>
    <w:p w:rsidR="00E8309B" w:rsidRDefault="009D0949">
      <w:pPr>
        <w:spacing w:after="0" w:line="259" w:lineRule="auto"/>
        <w:ind w:left="0" w:right="0" w:firstLine="0"/>
        <w:jc w:val="left"/>
      </w:pPr>
      <w:r>
        <w:rPr>
          <w:sz w:val="22"/>
        </w:rPr>
        <w:t xml:space="preserve"> </w:t>
      </w:r>
      <w:r>
        <w:rPr>
          <w:sz w:val="22"/>
        </w:rPr>
        <w:tab/>
        <w:t xml:space="preserve"> </w:t>
      </w:r>
    </w:p>
    <w:p w:rsidR="00E8309B" w:rsidRDefault="009D0949">
      <w:pPr>
        <w:tabs>
          <w:tab w:val="center" w:pos="5790"/>
          <w:tab w:val="center" w:pos="7278"/>
          <w:tab w:val="center" w:pos="8569"/>
          <w:tab w:val="center" w:pos="9861"/>
          <w:tab w:val="center" w:pos="11152"/>
          <w:tab w:val="center" w:pos="13271"/>
        </w:tabs>
        <w:spacing w:after="0" w:line="259" w:lineRule="auto"/>
        <w:ind w:left="0" w:right="0" w:firstLine="0"/>
        <w:jc w:val="left"/>
      </w:pPr>
      <w:r>
        <w:rPr>
          <w:b/>
          <w:sz w:val="20"/>
        </w:rPr>
        <w:t xml:space="preserve">Табела 1a: Макроекономски оквир </w:t>
      </w:r>
      <w:r>
        <w:rPr>
          <w:b/>
          <w:sz w:val="20"/>
        </w:rPr>
        <w:tab/>
      </w:r>
      <w:r>
        <w:rPr>
          <w:sz w:val="20"/>
        </w:rPr>
        <w:t xml:space="preserve">  </w:t>
      </w:r>
      <w:r>
        <w:rPr>
          <w:sz w:val="20"/>
        </w:rPr>
        <w:tab/>
        <w:t xml:space="preserve">  </w:t>
      </w:r>
      <w:r>
        <w:rPr>
          <w:sz w:val="20"/>
        </w:rPr>
        <w:tab/>
        <w:t xml:space="preserve">  </w:t>
      </w:r>
      <w:r>
        <w:rPr>
          <w:sz w:val="20"/>
        </w:rPr>
        <w:tab/>
        <w:t xml:space="preserve">  </w:t>
      </w:r>
      <w:r>
        <w:rPr>
          <w:sz w:val="20"/>
        </w:rPr>
        <w:tab/>
        <w:t xml:space="preserve">  </w:t>
      </w:r>
      <w:r>
        <w:rPr>
          <w:sz w:val="20"/>
        </w:rPr>
        <w:tab/>
      </w:r>
      <w:r>
        <w:rPr>
          <w:b/>
          <w:sz w:val="20"/>
        </w:rPr>
        <w:t>Република Србија</w:t>
      </w:r>
      <w:r>
        <w:rPr>
          <w:sz w:val="20"/>
        </w:rPr>
        <w:t xml:space="preserve"> </w:t>
      </w:r>
    </w:p>
    <w:tbl>
      <w:tblPr>
        <w:tblStyle w:val="TableGrid"/>
        <w:tblW w:w="14573" w:type="dxa"/>
        <w:tblInd w:w="0" w:type="dxa"/>
        <w:tblCellMar>
          <w:top w:w="10" w:type="dxa"/>
          <w:left w:w="5" w:type="dxa"/>
          <w:bottom w:w="0" w:type="dxa"/>
          <w:right w:w="0" w:type="dxa"/>
        </w:tblCellMar>
        <w:tblLook w:val="04A0" w:firstRow="1" w:lastRow="0" w:firstColumn="1" w:lastColumn="0" w:noHBand="0" w:noVBand="1"/>
      </w:tblPr>
      <w:tblGrid>
        <w:gridCol w:w="4371"/>
        <w:gridCol w:w="1308"/>
        <w:gridCol w:w="1485"/>
        <w:gridCol w:w="1480"/>
        <w:gridCol w:w="1483"/>
        <w:gridCol w:w="1484"/>
        <w:gridCol w:w="1483"/>
        <w:gridCol w:w="1479"/>
      </w:tblGrid>
      <w:tr w:rsidR="00E8309B">
        <w:trPr>
          <w:trHeight w:val="361"/>
        </w:trPr>
        <w:tc>
          <w:tcPr>
            <w:tcW w:w="4371" w:type="dxa"/>
            <w:vMerge w:val="restart"/>
            <w:tcBorders>
              <w:top w:val="double" w:sz="6" w:space="0" w:color="000000"/>
              <w:left w:val="double" w:sz="6" w:space="0" w:color="000000"/>
              <w:bottom w:val="double" w:sz="6" w:space="0" w:color="000000"/>
              <w:right w:val="dashed" w:sz="4" w:space="0" w:color="000000"/>
            </w:tcBorders>
            <w:vAlign w:val="center"/>
          </w:tcPr>
          <w:p w:rsidR="00E8309B" w:rsidRDefault="009D0949">
            <w:pPr>
              <w:spacing w:after="0" w:line="259" w:lineRule="auto"/>
              <w:ind w:left="120" w:right="0" w:firstLine="0"/>
              <w:jc w:val="left"/>
            </w:pPr>
            <w:r>
              <w:rPr>
                <w:sz w:val="20"/>
              </w:rPr>
              <w:t xml:space="preserve">У процентима, уколико није другачије наведено </w:t>
            </w:r>
          </w:p>
        </w:tc>
        <w:tc>
          <w:tcPr>
            <w:tcW w:w="1308" w:type="dxa"/>
            <w:vMerge w:val="restart"/>
            <w:tcBorders>
              <w:top w:val="double" w:sz="6" w:space="0" w:color="000000"/>
              <w:left w:val="dashed" w:sz="4" w:space="0" w:color="000000"/>
              <w:bottom w:val="double" w:sz="6" w:space="0" w:color="000000"/>
              <w:right w:val="single" w:sz="8" w:space="0" w:color="000000"/>
            </w:tcBorders>
            <w:vAlign w:val="bottom"/>
          </w:tcPr>
          <w:p w:rsidR="00E8309B" w:rsidRDefault="009D0949">
            <w:pPr>
              <w:spacing w:after="0" w:line="259" w:lineRule="auto"/>
              <w:ind w:left="146" w:right="0" w:firstLine="0"/>
              <w:jc w:val="left"/>
            </w:pPr>
            <w:r>
              <w:rPr>
                <w:sz w:val="20"/>
              </w:rPr>
              <w:t xml:space="preserve">ESA шифра </w:t>
            </w:r>
          </w:p>
        </w:tc>
        <w:tc>
          <w:tcPr>
            <w:tcW w:w="1485" w:type="dxa"/>
            <w:tcBorders>
              <w:top w:val="double" w:sz="6" w:space="0" w:color="000000"/>
              <w:left w:val="single" w:sz="8" w:space="0" w:color="000000"/>
              <w:bottom w:val="single" w:sz="18" w:space="0" w:color="FFFFFF"/>
              <w:right w:val="single" w:sz="8" w:space="0" w:color="000000"/>
            </w:tcBorders>
            <w:vAlign w:val="bottom"/>
          </w:tcPr>
          <w:p w:rsidR="00E8309B" w:rsidRDefault="009D0949">
            <w:pPr>
              <w:spacing w:after="0" w:line="259" w:lineRule="auto"/>
              <w:ind w:left="0" w:right="4" w:firstLine="0"/>
              <w:jc w:val="center"/>
            </w:pPr>
            <w:r>
              <w:rPr>
                <w:sz w:val="20"/>
              </w:rPr>
              <w:t xml:space="preserve">год. </w:t>
            </w:r>
          </w:p>
        </w:tc>
        <w:tc>
          <w:tcPr>
            <w:tcW w:w="1480" w:type="dxa"/>
            <w:tcBorders>
              <w:top w:val="double" w:sz="6" w:space="0" w:color="000000"/>
              <w:left w:val="single" w:sz="8" w:space="0" w:color="000000"/>
              <w:bottom w:val="single" w:sz="18" w:space="0" w:color="FFFFFF"/>
              <w:right w:val="dashed" w:sz="4" w:space="0" w:color="000000"/>
            </w:tcBorders>
            <w:vAlign w:val="bottom"/>
          </w:tcPr>
          <w:p w:rsidR="00E8309B" w:rsidRDefault="009D0949">
            <w:pPr>
              <w:spacing w:after="0" w:line="259" w:lineRule="auto"/>
              <w:ind w:left="0" w:right="11" w:firstLine="0"/>
              <w:jc w:val="center"/>
            </w:pPr>
            <w:r>
              <w:rPr>
                <w:sz w:val="20"/>
              </w:rPr>
              <w:t xml:space="preserve">год. </w:t>
            </w:r>
          </w:p>
        </w:tc>
        <w:tc>
          <w:tcPr>
            <w:tcW w:w="1483" w:type="dxa"/>
            <w:vMerge w:val="restart"/>
            <w:tcBorders>
              <w:top w:val="double" w:sz="6" w:space="0" w:color="000000"/>
              <w:left w:val="dashed" w:sz="4" w:space="0" w:color="000000"/>
              <w:bottom w:val="double" w:sz="6" w:space="0" w:color="000000"/>
              <w:right w:val="dashed" w:sz="4" w:space="0" w:color="000000"/>
            </w:tcBorders>
            <w:vAlign w:val="center"/>
          </w:tcPr>
          <w:p w:rsidR="00E8309B" w:rsidRDefault="009D0949">
            <w:pPr>
              <w:spacing w:after="27" w:line="259" w:lineRule="auto"/>
              <w:ind w:left="0" w:right="3" w:firstLine="0"/>
              <w:jc w:val="center"/>
            </w:pPr>
            <w:r>
              <w:rPr>
                <w:sz w:val="20"/>
              </w:rPr>
              <w:t xml:space="preserve">год. </w:t>
            </w:r>
          </w:p>
          <w:p w:rsidR="00E8309B" w:rsidRDefault="009D0949">
            <w:pPr>
              <w:spacing w:after="0" w:line="259" w:lineRule="auto"/>
              <w:ind w:left="0" w:right="1" w:firstLine="0"/>
              <w:jc w:val="center"/>
            </w:pPr>
            <w:r>
              <w:rPr>
                <w:sz w:val="20"/>
              </w:rPr>
              <w:t xml:space="preserve">2020 </w:t>
            </w:r>
          </w:p>
        </w:tc>
        <w:tc>
          <w:tcPr>
            <w:tcW w:w="1484" w:type="dxa"/>
            <w:vMerge w:val="restart"/>
            <w:tcBorders>
              <w:top w:val="double" w:sz="6" w:space="0" w:color="000000"/>
              <w:left w:val="dashed" w:sz="4" w:space="0" w:color="000000"/>
              <w:bottom w:val="double" w:sz="6" w:space="0" w:color="000000"/>
              <w:right w:val="dashed" w:sz="4" w:space="0" w:color="000000"/>
            </w:tcBorders>
            <w:vAlign w:val="center"/>
          </w:tcPr>
          <w:p w:rsidR="00E8309B" w:rsidRDefault="009D0949">
            <w:pPr>
              <w:spacing w:after="27" w:line="259" w:lineRule="auto"/>
              <w:ind w:left="0" w:right="2" w:firstLine="0"/>
              <w:jc w:val="center"/>
            </w:pPr>
            <w:r>
              <w:rPr>
                <w:sz w:val="20"/>
              </w:rPr>
              <w:t xml:space="preserve">год. </w:t>
            </w:r>
          </w:p>
          <w:p w:rsidR="00E8309B" w:rsidRDefault="009D0949">
            <w:pPr>
              <w:spacing w:after="0" w:line="259" w:lineRule="auto"/>
              <w:ind w:left="0" w:right="1" w:firstLine="0"/>
              <w:jc w:val="center"/>
            </w:pPr>
            <w:r>
              <w:rPr>
                <w:sz w:val="20"/>
              </w:rPr>
              <w:t xml:space="preserve">2021 </w:t>
            </w:r>
          </w:p>
        </w:tc>
        <w:tc>
          <w:tcPr>
            <w:tcW w:w="1483" w:type="dxa"/>
            <w:vMerge w:val="restart"/>
            <w:tcBorders>
              <w:top w:val="double" w:sz="6" w:space="0" w:color="000000"/>
              <w:left w:val="dashed" w:sz="4" w:space="0" w:color="000000"/>
              <w:bottom w:val="double" w:sz="6" w:space="0" w:color="000000"/>
              <w:right w:val="nil"/>
            </w:tcBorders>
            <w:vAlign w:val="center"/>
          </w:tcPr>
          <w:p w:rsidR="00E8309B" w:rsidRDefault="009D0949">
            <w:pPr>
              <w:spacing w:after="27" w:line="259" w:lineRule="auto"/>
              <w:ind w:left="0" w:right="3" w:firstLine="0"/>
              <w:jc w:val="center"/>
            </w:pPr>
            <w:r>
              <w:rPr>
                <w:sz w:val="20"/>
              </w:rPr>
              <w:t xml:space="preserve">год. </w:t>
            </w:r>
          </w:p>
          <w:p w:rsidR="00E8309B" w:rsidRDefault="009D0949">
            <w:pPr>
              <w:spacing w:after="0" w:line="259" w:lineRule="auto"/>
              <w:ind w:left="0" w:right="1" w:firstLine="0"/>
              <w:jc w:val="center"/>
            </w:pPr>
            <w:r>
              <w:rPr>
                <w:sz w:val="20"/>
              </w:rPr>
              <w:t xml:space="preserve">2022 </w:t>
            </w:r>
          </w:p>
        </w:tc>
        <w:tc>
          <w:tcPr>
            <w:tcW w:w="1479" w:type="dxa"/>
            <w:tcBorders>
              <w:top w:val="double" w:sz="6" w:space="0" w:color="000000"/>
              <w:left w:val="nil"/>
              <w:bottom w:val="single" w:sz="18" w:space="0" w:color="FFFFFF"/>
              <w:right w:val="double" w:sz="6" w:space="0" w:color="000000"/>
            </w:tcBorders>
            <w:vAlign w:val="bottom"/>
          </w:tcPr>
          <w:p w:rsidR="00E8309B" w:rsidRDefault="009D0949">
            <w:pPr>
              <w:spacing w:after="0" w:line="259" w:lineRule="auto"/>
              <w:ind w:left="0" w:right="3" w:firstLine="0"/>
              <w:jc w:val="center"/>
            </w:pPr>
            <w:r>
              <w:rPr>
                <w:sz w:val="20"/>
              </w:rPr>
              <w:t xml:space="preserve">год. </w:t>
            </w:r>
          </w:p>
        </w:tc>
      </w:tr>
      <w:tr w:rsidR="00E8309B">
        <w:trPr>
          <w:trHeight w:val="366"/>
        </w:trPr>
        <w:tc>
          <w:tcPr>
            <w:tcW w:w="0" w:type="auto"/>
            <w:vMerge/>
            <w:tcBorders>
              <w:top w:val="nil"/>
              <w:left w:val="double" w:sz="6" w:space="0" w:color="000000"/>
              <w:bottom w:val="double" w:sz="6" w:space="0" w:color="000000"/>
              <w:right w:val="dashed" w:sz="4" w:space="0" w:color="000000"/>
            </w:tcBorders>
          </w:tcPr>
          <w:p w:rsidR="00E8309B" w:rsidRDefault="00E8309B">
            <w:pPr>
              <w:spacing w:after="160" w:line="259" w:lineRule="auto"/>
              <w:ind w:left="0" w:right="0" w:firstLine="0"/>
              <w:jc w:val="left"/>
            </w:pPr>
          </w:p>
        </w:tc>
        <w:tc>
          <w:tcPr>
            <w:tcW w:w="0" w:type="auto"/>
            <w:vMerge/>
            <w:tcBorders>
              <w:top w:val="nil"/>
              <w:left w:val="dashed" w:sz="4" w:space="0" w:color="000000"/>
              <w:bottom w:val="double" w:sz="6" w:space="0" w:color="000000"/>
              <w:right w:val="single" w:sz="8" w:space="0" w:color="000000"/>
            </w:tcBorders>
          </w:tcPr>
          <w:p w:rsidR="00E8309B" w:rsidRDefault="00E8309B">
            <w:pPr>
              <w:spacing w:after="160" w:line="259" w:lineRule="auto"/>
              <w:ind w:left="0" w:right="0" w:firstLine="0"/>
              <w:jc w:val="left"/>
            </w:pPr>
          </w:p>
        </w:tc>
        <w:tc>
          <w:tcPr>
            <w:tcW w:w="1485" w:type="dxa"/>
            <w:tcBorders>
              <w:top w:val="single" w:sz="18" w:space="0" w:color="FFFFFF"/>
              <w:left w:val="single" w:sz="8" w:space="0" w:color="000000"/>
              <w:bottom w:val="double" w:sz="6" w:space="0" w:color="000000"/>
              <w:right w:val="single" w:sz="8" w:space="0" w:color="000000"/>
            </w:tcBorders>
          </w:tcPr>
          <w:p w:rsidR="00E8309B" w:rsidRDefault="009D0949">
            <w:pPr>
              <w:spacing w:after="0" w:line="259" w:lineRule="auto"/>
              <w:ind w:left="0" w:right="3" w:firstLine="0"/>
              <w:jc w:val="center"/>
            </w:pPr>
            <w:r>
              <w:rPr>
                <w:sz w:val="20"/>
              </w:rPr>
              <w:t xml:space="preserve">2019 </w:t>
            </w:r>
          </w:p>
        </w:tc>
        <w:tc>
          <w:tcPr>
            <w:tcW w:w="1480" w:type="dxa"/>
            <w:tcBorders>
              <w:top w:val="single" w:sz="18" w:space="0" w:color="FFFFFF"/>
              <w:left w:val="single" w:sz="8" w:space="0" w:color="000000"/>
              <w:bottom w:val="double" w:sz="6" w:space="0" w:color="000000"/>
              <w:right w:val="dashed" w:sz="4" w:space="0" w:color="000000"/>
            </w:tcBorders>
          </w:tcPr>
          <w:p w:rsidR="00E8309B" w:rsidRDefault="009D0949">
            <w:pPr>
              <w:spacing w:after="0" w:line="259" w:lineRule="auto"/>
              <w:ind w:left="0" w:right="10" w:firstLine="0"/>
              <w:jc w:val="center"/>
            </w:pPr>
            <w:r>
              <w:rPr>
                <w:sz w:val="20"/>
              </w:rPr>
              <w:t xml:space="preserve">2019 </w:t>
            </w:r>
          </w:p>
        </w:tc>
        <w:tc>
          <w:tcPr>
            <w:tcW w:w="0" w:type="auto"/>
            <w:vMerge/>
            <w:tcBorders>
              <w:top w:val="nil"/>
              <w:left w:val="dashed" w:sz="4" w:space="0" w:color="000000"/>
              <w:bottom w:val="double" w:sz="6" w:space="0" w:color="000000"/>
              <w:right w:val="dashed" w:sz="4" w:space="0" w:color="000000"/>
            </w:tcBorders>
          </w:tcPr>
          <w:p w:rsidR="00E8309B" w:rsidRDefault="00E8309B">
            <w:pPr>
              <w:spacing w:after="160" w:line="259" w:lineRule="auto"/>
              <w:ind w:left="0" w:right="0" w:firstLine="0"/>
              <w:jc w:val="left"/>
            </w:pPr>
          </w:p>
        </w:tc>
        <w:tc>
          <w:tcPr>
            <w:tcW w:w="0" w:type="auto"/>
            <w:vMerge/>
            <w:tcBorders>
              <w:top w:val="nil"/>
              <w:left w:val="dashed" w:sz="4" w:space="0" w:color="000000"/>
              <w:bottom w:val="double" w:sz="6" w:space="0" w:color="000000"/>
              <w:right w:val="dashed" w:sz="4" w:space="0" w:color="000000"/>
            </w:tcBorders>
          </w:tcPr>
          <w:p w:rsidR="00E8309B" w:rsidRDefault="00E8309B">
            <w:pPr>
              <w:spacing w:after="160" w:line="259" w:lineRule="auto"/>
              <w:ind w:left="0" w:right="0" w:firstLine="0"/>
              <w:jc w:val="left"/>
            </w:pPr>
          </w:p>
        </w:tc>
        <w:tc>
          <w:tcPr>
            <w:tcW w:w="0" w:type="auto"/>
            <w:vMerge/>
            <w:tcBorders>
              <w:top w:val="nil"/>
              <w:left w:val="dashed" w:sz="4" w:space="0" w:color="000000"/>
              <w:bottom w:val="double" w:sz="6" w:space="0" w:color="000000"/>
              <w:right w:val="nil"/>
            </w:tcBorders>
          </w:tcPr>
          <w:p w:rsidR="00E8309B" w:rsidRDefault="00E8309B">
            <w:pPr>
              <w:spacing w:after="160" w:line="259" w:lineRule="auto"/>
              <w:ind w:left="0" w:right="0" w:firstLine="0"/>
              <w:jc w:val="left"/>
            </w:pPr>
          </w:p>
        </w:tc>
        <w:tc>
          <w:tcPr>
            <w:tcW w:w="1479" w:type="dxa"/>
            <w:tcBorders>
              <w:top w:val="single" w:sz="18" w:space="0" w:color="FFFFFF"/>
              <w:left w:val="nil"/>
              <w:bottom w:val="double" w:sz="6" w:space="0" w:color="000000"/>
              <w:right w:val="double" w:sz="6" w:space="0" w:color="000000"/>
            </w:tcBorders>
          </w:tcPr>
          <w:p w:rsidR="00E8309B" w:rsidRDefault="009D0949">
            <w:pPr>
              <w:spacing w:after="0" w:line="259" w:lineRule="auto"/>
              <w:ind w:left="0" w:right="2" w:firstLine="0"/>
              <w:jc w:val="center"/>
            </w:pPr>
            <w:r>
              <w:rPr>
                <w:sz w:val="20"/>
              </w:rPr>
              <w:t xml:space="preserve">2023 </w:t>
            </w:r>
          </w:p>
        </w:tc>
      </w:tr>
      <w:tr w:rsidR="00E8309B">
        <w:trPr>
          <w:trHeight w:val="571"/>
        </w:trPr>
        <w:tc>
          <w:tcPr>
            <w:tcW w:w="4371" w:type="dxa"/>
            <w:tcBorders>
              <w:top w:val="double" w:sz="6" w:space="0" w:color="000000"/>
              <w:left w:val="double" w:sz="6" w:space="0" w:color="000000"/>
              <w:bottom w:val="single" w:sz="8" w:space="0" w:color="000000"/>
              <w:right w:val="dashed" w:sz="4" w:space="0" w:color="000000"/>
            </w:tcBorders>
            <w:vAlign w:val="bottom"/>
          </w:tcPr>
          <w:p w:rsidR="00E8309B" w:rsidRDefault="009D0949">
            <w:pPr>
              <w:spacing w:after="0" w:line="259" w:lineRule="auto"/>
              <w:ind w:left="106" w:right="0" w:firstLine="0"/>
              <w:jc w:val="left"/>
            </w:pPr>
            <w:r>
              <w:rPr>
                <w:sz w:val="20"/>
              </w:rPr>
              <w:t xml:space="preserve">  </w:t>
            </w:r>
          </w:p>
        </w:tc>
        <w:tc>
          <w:tcPr>
            <w:tcW w:w="1308" w:type="dxa"/>
            <w:tcBorders>
              <w:top w:val="double" w:sz="6" w:space="0" w:color="000000"/>
              <w:left w:val="dashed" w:sz="4" w:space="0" w:color="000000"/>
              <w:bottom w:val="single" w:sz="8" w:space="0" w:color="000000"/>
              <w:right w:val="single" w:sz="8" w:space="0" w:color="000000"/>
            </w:tcBorders>
            <w:vAlign w:val="bottom"/>
          </w:tcPr>
          <w:p w:rsidR="00E8309B" w:rsidRDefault="009D0949">
            <w:pPr>
              <w:spacing w:after="0" w:line="259" w:lineRule="auto"/>
              <w:ind w:left="50" w:right="0" w:firstLine="0"/>
              <w:jc w:val="center"/>
            </w:pPr>
            <w:r>
              <w:rPr>
                <w:sz w:val="20"/>
              </w:rPr>
              <w:t xml:space="preserve">  </w:t>
            </w:r>
          </w:p>
        </w:tc>
        <w:tc>
          <w:tcPr>
            <w:tcW w:w="1485" w:type="dxa"/>
            <w:tcBorders>
              <w:top w:val="double" w:sz="6" w:space="0" w:color="000000"/>
              <w:left w:val="single" w:sz="8" w:space="0" w:color="000000"/>
              <w:bottom w:val="single" w:sz="8" w:space="0" w:color="000000"/>
              <w:right w:val="single" w:sz="12" w:space="0" w:color="000000"/>
            </w:tcBorders>
            <w:vAlign w:val="bottom"/>
          </w:tcPr>
          <w:p w:rsidR="00E8309B" w:rsidRDefault="009D0949">
            <w:pPr>
              <w:spacing w:after="0" w:line="259" w:lineRule="auto"/>
              <w:ind w:left="0" w:right="0" w:firstLine="0"/>
              <w:jc w:val="center"/>
            </w:pPr>
            <w:r>
              <w:rPr>
                <w:b/>
                <w:sz w:val="20"/>
              </w:rPr>
              <w:t>Ниво (млрд ЕУР)</w:t>
            </w:r>
            <w:r>
              <w:rPr>
                <w:sz w:val="20"/>
              </w:rPr>
              <w:t xml:space="preserve"> </w:t>
            </w:r>
          </w:p>
        </w:tc>
        <w:tc>
          <w:tcPr>
            <w:tcW w:w="1480" w:type="dxa"/>
            <w:tcBorders>
              <w:top w:val="double" w:sz="6" w:space="0" w:color="000000"/>
              <w:left w:val="single" w:sz="12" w:space="0" w:color="000000"/>
              <w:bottom w:val="single" w:sz="8" w:space="0" w:color="000000"/>
              <w:right w:val="nil"/>
            </w:tcBorders>
          </w:tcPr>
          <w:p w:rsidR="00E8309B" w:rsidRDefault="00E8309B">
            <w:pPr>
              <w:spacing w:after="160" w:line="259" w:lineRule="auto"/>
              <w:ind w:left="0" w:right="0" w:firstLine="0"/>
              <w:jc w:val="left"/>
            </w:pPr>
          </w:p>
        </w:tc>
        <w:tc>
          <w:tcPr>
            <w:tcW w:w="1483" w:type="dxa"/>
            <w:tcBorders>
              <w:top w:val="double" w:sz="6" w:space="0" w:color="000000"/>
              <w:left w:val="nil"/>
              <w:bottom w:val="single" w:sz="8" w:space="0" w:color="000000"/>
              <w:right w:val="nil"/>
            </w:tcBorders>
          </w:tcPr>
          <w:p w:rsidR="00E8309B" w:rsidRDefault="00E8309B">
            <w:pPr>
              <w:spacing w:after="160" w:line="259" w:lineRule="auto"/>
              <w:ind w:left="0" w:right="0" w:firstLine="0"/>
              <w:jc w:val="left"/>
            </w:pPr>
          </w:p>
        </w:tc>
        <w:tc>
          <w:tcPr>
            <w:tcW w:w="1484" w:type="dxa"/>
            <w:tcBorders>
              <w:top w:val="double" w:sz="6" w:space="0" w:color="000000"/>
              <w:left w:val="nil"/>
              <w:bottom w:val="single" w:sz="8" w:space="0" w:color="000000"/>
              <w:right w:val="nil"/>
            </w:tcBorders>
            <w:vAlign w:val="center"/>
          </w:tcPr>
          <w:p w:rsidR="00E8309B" w:rsidRDefault="009D0949">
            <w:pPr>
              <w:spacing w:after="0" w:line="259" w:lineRule="auto"/>
              <w:ind w:left="96" w:right="0" w:firstLine="0"/>
              <w:jc w:val="left"/>
            </w:pPr>
            <w:r>
              <w:rPr>
                <w:sz w:val="20"/>
              </w:rPr>
              <w:t xml:space="preserve">Стопа промене </w:t>
            </w:r>
          </w:p>
        </w:tc>
        <w:tc>
          <w:tcPr>
            <w:tcW w:w="1483" w:type="dxa"/>
            <w:tcBorders>
              <w:top w:val="double" w:sz="6" w:space="0" w:color="000000"/>
              <w:left w:val="nil"/>
              <w:bottom w:val="single" w:sz="8" w:space="0" w:color="000000"/>
              <w:right w:val="nil"/>
            </w:tcBorders>
          </w:tcPr>
          <w:p w:rsidR="00E8309B" w:rsidRDefault="00E8309B">
            <w:pPr>
              <w:spacing w:after="160" w:line="259" w:lineRule="auto"/>
              <w:ind w:left="0" w:right="0" w:firstLine="0"/>
              <w:jc w:val="left"/>
            </w:pPr>
          </w:p>
        </w:tc>
        <w:tc>
          <w:tcPr>
            <w:tcW w:w="1479" w:type="dxa"/>
            <w:tcBorders>
              <w:top w:val="double" w:sz="6" w:space="0" w:color="000000"/>
              <w:left w:val="nil"/>
              <w:bottom w:val="single" w:sz="8" w:space="0" w:color="000000"/>
              <w:right w:val="double" w:sz="6" w:space="0" w:color="000000"/>
            </w:tcBorders>
          </w:tcPr>
          <w:p w:rsidR="00E8309B" w:rsidRDefault="00E8309B">
            <w:pPr>
              <w:spacing w:after="160" w:line="259" w:lineRule="auto"/>
              <w:ind w:left="0" w:right="0" w:firstLine="0"/>
              <w:jc w:val="left"/>
            </w:pPr>
          </w:p>
        </w:tc>
      </w:tr>
      <w:tr w:rsidR="00E8309B">
        <w:trPr>
          <w:trHeight w:val="334"/>
        </w:trPr>
        <w:tc>
          <w:tcPr>
            <w:tcW w:w="4371" w:type="dxa"/>
            <w:tcBorders>
              <w:top w:val="single" w:sz="8" w:space="0" w:color="000000"/>
              <w:left w:val="double" w:sz="6" w:space="0" w:color="000000"/>
              <w:bottom w:val="dashed" w:sz="4" w:space="0" w:color="000000"/>
              <w:right w:val="dashed" w:sz="4" w:space="0" w:color="000000"/>
            </w:tcBorders>
          </w:tcPr>
          <w:p w:rsidR="00E8309B" w:rsidRDefault="009D0949">
            <w:pPr>
              <w:spacing w:after="0" w:line="259" w:lineRule="auto"/>
              <w:ind w:left="106" w:right="0" w:firstLine="0"/>
              <w:jc w:val="left"/>
            </w:pPr>
            <w:r>
              <w:rPr>
                <w:sz w:val="20"/>
              </w:rPr>
              <w:t xml:space="preserve">1. Реални БДП према тржишним ценама  </w:t>
            </w:r>
          </w:p>
        </w:tc>
        <w:tc>
          <w:tcPr>
            <w:tcW w:w="1308" w:type="dxa"/>
            <w:tcBorders>
              <w:top w:val="single" w:sz="8" w:space="0" w:color="000000"/>
              <w:left w:val="dashed" w:sz="4" w:space="0" w:color="000000"/>
              <w:bottom w:val="dashed" w:sz="4" w:space="0" w:color="000000"/>
              <w:right w:val="single" w:sz="8" w:space="0" w:color="000000"/>
            </w:tcBorders>
          </w:tcPr>
          <w:p w:rsidR="00E8309B" w:rsidRDefault="009D0949">
            <w:pPr>
              <w:spacing w:after="0" w:line="259" w:lineRule="auto"/>
              <w:ind w:left="0" w:right="2" w:firstLine="0"/>
              <w:jc w:val="center"/>
            </w:pPr>
            <w:r>
              <w:rPr>
                <w:sz w:val="20"/>
              </w:rPr>
              <w:t xml:space="preserve">B1*g </w:t>
            </w:r>
          </w:p>
        </w:tc>
        <w:tc>
          <w:tcPr>
            <w:tcW w:w="1485" w:type="dxa"/>
            <w:tcBorders>
              <w:top w:val="single" w:sz="8" w:space="0" w:color="000000"/>
              <w:left w:val="single" w:sz="8" w:space="0" w:color="000000"/>
              <w:bottom w:val="dashed" w:sz="4" w:space="0" w:color="000000"/>
              <w:right w:val="single" w:sz="12" w:space="0" w:color="000000"/>
            </w:tcBorders>
          </w:tcPr>
          <w:p w:rsidR="00E8309B" w:rsidRDefault="009D0949">
            <w:pPr>
              <w:spacing w:after="0" w:line="259" w:lineRule="auto"/>
              <w:ind w:left="0" w:right="4" w:firstLine="0"/>
              <w:jc w:val="center"/>
            </w:pPr>
            <w:r>
              <w:rPr>
                <w:sz w:val="20"/>
              </w:rPr>
              <w:t xml:space="preserve">42,084 </w:t>
            </w:r>
          </w:p>
        </w:tc>
        <w:tc>
          <w:tcPr>
            <w:tcW w:w="1480" w:type="dxa"/>
            <w:tcBorders>
              <w:top w:val="single" w:sz="8" w:space="0" w:color="000000"/>
              <w:left w:val="single" w:sz="12" w:space="0" w:color="000000"/>
              <w:bottom w:val="dashed" w:sz="4" w:space="0" w:color="000000"/>
              <w:right w:val="dashed" w:sz="4" w:space="0" w:color="000000"/>
            </w:tcBorders>
          </w:tcPr>
          <w:p w:rsidR="00E8309B" w:rsidRDefault="009D0949">
            <w:pPr>
              <w:spacing w:after="0" w:line="259" w:lineRule="auto"/>
              <w:ind w:left="0" w:right="8" w:firstLine="0"/>
              <w:jc w:val="center"/>
            </w:pPr>
            <w:r>
              <w:rPr>
                <w:sz w:val="20"/>
              </w:rPr>
              <w:t xml:space="preserve">4,2 </w:t>
            </w:r>
          </w:p>
        </w:tc>
        <w:tc>
          <w:tcPr>
            <w:tcW w:w="1483" w:type="dxa"/>
            <w:tcBorders>
              <w:top w:val="single" w:sz="8" w:space="0" w:color="000000"/>
              <w:left w:val="dashed" w:sz="4" w:space="0" w:color="000000"/>
              <w:bottom w:val="dashed" w:sz="4" w:space="0" w:color="000000"/>
              <w:right w:val="dashed" w:sz="4" w:space="0" w:color="000000"/>
            </w:tcBorders>
          </w:tcPr>
          <w:p w:rsidR="00E8309B" w:rsidRDefault="009D0949">
            <w:pPr>
              <w:spacing w:after="0" w:line="259" w:lineRule="auto"/>
              <w:ind w:left="0" w:right="2" w:firstLine="0"/>
              <w:jc w:val="center"/>
            </w:pPr>
            <w:r>
              <w:rPr>
                <w:sz w:val="20"/>
              </w:rPr>
              <w:t xml:space="preserve">-1,0 </w:t>
            </w:r>
          </w:p>
        </w:tc>
        <w:tc>
          <w:tcPr>
            <w:tcW w:w="1484" w:type="dxa"/>
            <w:tcBorders>
              <w:top w:val="single" w:sz="8" w:space="0" w:color="000000"/>
              <w:left w:val="dashed" w:sz="4" w:space="0" w:color="000000"/>
              <w:bottom w:val="dashed" w:sz="4" w:space="0" w:color="000000"/>
              <w:right w:val="dashed" w:sz="4" w:space="0" w:color="000000"/>
            </w:tcBorders>
          </w:tcPr>
          <w:p w:rsidR="00E8309B" w:rsidRDefault="009D0949">
            <w:pPr>
              <w:spacing w:after="0" w:line="259" w:lineRule="auto"/>
              <w:ind w:left="1" w:right="0" w:firstLine="0"/>
              <w:jc w:val="center"/>
            </w:pPr>
            <w:r>
              <w:rPr>
                <w:sz w:val="20"/>
              </w:rPr>
              <w:t xml:space="preserve">6,0 </w:t>
            </w:r>
          </w:p>
        </w:tc>
        <w:tc>
          <w:tcPr>
            <w:tcW w:w="1483" w:type="dxa"/>
            <w:tcBorders>
              <w:top w:val="single" w:sz="8" w:space="0" w:color="000000"/>
              <w:left w:val="dashed" w:sz="4" w:space="0" w:color="000000"/>
              <w:bottom w:val="dashed" w:sz="4" w:space="0" w:color="000000"/>
              <w:right w:val="dashed" w:sz="4" w:space="0" w:color="000000"/>
            </w:tcBorders>
          </w:tcPr>
          <w:p w:rsidR="00E8309B" w:rsidRDefault="009D0949">
            <w:pPr>
              <w:spacing w:after="0" w:line="259" w:lineRule="auto"/>
              <w:ind w:left="1" w:right="0" w:firstLine="0"/>
              <w:jc w:val="center"/>
            </w:pPr>
            <w:r>
              <w:rPr>
                <w:sz w:val="20"/>
              </w:rPr>
              <w:t xml:space="preserve">4,0 </w:t>
            </w:r>
          </w:p>
        </w:tc>
        <w:tc>
          <w:tcPr>
            <w:tcW w:w="1479" w:type="dxa"/>
            <w:tcBorders>
              <w:top w:val="single" w:sz="8" w:space="0" w:color="000000"/>
              <w:left w:val="dashed" w:sz="4" w:space="0" w:color="000000"/>
              <w:bottom w:val="dashed" w:sz="4" w:space="0" w:color="000000"/>
              <w:right w:val="double" w:sz="6" w:space="0" w:color="000000"/>
            </w:tcBorders>
          </w:tcPr>
          <w:p w:rsidR="00E8309B" w:rsidRDefault="009D0949">
            <w:pPr>
              <w:spacing w:after="0" w:line="259" w:lineRule="auto"/>
              <w:ind w:left="0" w:right="4" w:firstLine="0"/>
              <w:jc w:val="center"/>
            </w:pPr>
            <w:r>
              <w:rPr>
                <w:sz w:val="20"/>
              </w:rPr>
              <w:t xml:space="preserve">4,0 </w:t>
            </w:r>
          </w:p>
        </w:tc>
      </w:tr>
      <w:tr w:rsidR="00E8309B">
        <w:trPr>
          <w:trHeight w:val="334"/>
        </w:trPr>
        <w:tc>
          <w:tcPr>
            <w:tcW w:w="4371" w:type="dxa"/>
            <w:tcBorders>
              <w:top w:val="dashed" w:sz="4" w:space="0" w:color="000000"/>
              <w:left w:val="double" w:sz="6" w:space="0" w:color="000000"/>
              <w:bottom w:val="single" w:sz="8" w:space="0" w:color="000000"/>
              <w:right w:val="dashed" w:sz="4" w:space="0" w:color="000000"/>
            </w:tcBorders>
          </w:tcPr>
          <w:p w:rsidR="00E8309B" w:rsidRDefault="009D0949">
            <w:pPr>
              <w:spacing w:after="0" w:line="259" w:lineRule="auto"/>
              <w:ind w:left="106" w:right="0" w:firstLine="0"/>
              <w:jc w:val="left"/>
            </w:pPr>
            <w:r>
              <w:rPr>
                <w:sz w:val="20"/>
              </w:rPr>
              <w:t xml:space="preserve">2. Текући БДП према тржишним ценама </w:t>
            </w:r>
          </w:p>
        </w:tc>
        <w:tc>
          <w:tcPr>
            <w:tcW w:w="1308" w:type="dxa"/>
            <w:tcBorders>
              <w:top w:val="dashed" w:sz="4" w:space="0" w:color="000000"/>
              <w:left w:val="dashed" w:sz="4" w:space="0" w:color="000000"/>
              <w:bottom w:val="single" w:sz="8" w:space="0" w:color="000000"/>
              <w:right w:val="single" w:sz="8" w:space="0" w:color="000000"/>
            </w:tcBorders>
          </w:tcPr>
          <w:p w:rsidR="00E8309B" w:rsidRDefault="009D0949">
            <w:pPr>
              <w:spacing w:after="0" w:line="259" w:lineRule="auto"/>
              <w:ind w:left="0" w:right="2" w:firstLine="0"/>
              <w:jc w:val="center"/>
            </w:pPr>
            <w:r>
              <w:rPr>
                <w:sz w:val="20"/>
              </w:rPr>
              <w:t xml:space="preserve">B1*g </w:t>
            </w:r>
          </w:p>
        </w:tc>
        <w:tc>
          <w:tcPr>
            <w:tcW w:w="1485" w:type="dxa"/>
            <w:tcBorders>
              <w:top w:val="dashed" w:sz="4" w:space="0" w:color="000000"/>
              <w:left w:val="single" w:sz="8" w:space="0" w:color="000000"/>
              <w:bottom w:val="single" w:sz="8" w:space="0" w:color="000000"/>
              <w:right w:val="single" w:sz="12" w:space="0" w:color="000000"/>
            </w:tcBorders>
          </w:tcPr>
          <w:p w:rsidR="00E8309B" w:rsidRDefault="009D0949">
            <w:pPr>
              <w:spacing w:after="0" w:line="259" w:lineRule="auto"/>
              <w:ind w:left="0" w:right="4" w:firstLine="0"/>
              <w:jc w:val="center"/>
            </w:pPr>
            <w:r>
              <w:rPr>
                <w:sz w:val="20"/>
              </w:rPr>
              <w:t xml:space="preserve">45,971 </w:t>
            </w:r>
          </w:p>
        </w:tc>
        <w:tc>
          <w:tcPr>
            <w:tcW w:w="1480" w:type="dxa"/>
            <w:tcBorders>
              <w:top w:val="dashed" w:sz="4" w:space="0" w:color="000000"/>
              <w:left w:val="single" w:sz="12" w:space="0" w:color="000000"/>
              <w:bottom w:val="single" w:sz="8" w:space="0" w:color="000000"/>
              <w:right w:val="dashed" w:sz="4" w:space="0" w:color="000000"/>
            </w:tcBorders>
          </w:tcPr>
          <w:p w:rsidR="00E8309B" w:rsidRDefault="009D0949">
            <w:pPr>
              <w:spacing w:after="0" w:line="259" w:lineRule="auto"/>
              <w:ind w:left="0" w:right="8" w:firstLine="0"/>
              <w:jc w:val="center"/>
            </w:pPr>
            <w:r>
              <w:rPr>
                <w:sz w:val="20"/>
              </w:rPr>
              <w:t xml:space="preserve">6,8 </w:t>
            </w:r>
          </w:p>
        </w:tc>
        <w:tc>
          <w:tcPr>
            <w:tcW w:w="1483" w:type="dxa"/>
            <w:tcBorders>
              <w:top w:val="dashed" w:sz="4" w:space="0" w:color="000000"/>
              <w:left w:val="dashed" w:sz="4" w:space="0" w:color="000000"/>
              <w:bottom w:val="single" w:sz="8" w:space="0" w:color="000000"/>
              <w:right w:val="dashed" w:sz="4" w:space="0" w:color="000000"/>
            </w:tcBorders>
          </w:tcPr>
          <w:p w:rsidR="00E8309B" w:rsidRDefault="009D0949">
            <w:pPr>
              <w:spacing w:after="0" w:line="259" w:lineRule="auto"/>
              <w:ind w:left="1" w:right="0" w:firstLine="0"/>
              <w:jc w:val="center"/>
            </w:pPr>
            <w:r>
              <w:rPr>
                <w:sz w:val="20"/>
              </w:rPr>
              <w:t xml:space="preserve">1,8 </w:t>
            </w:r>
          </w:p>
        </w:tc>
        <w:tc>
          <w:tcPr>
            <w:tcW w:w="1484" w:type="dxa"/>
            <w:tcBorders>
              <w:top w:val="dashed" w:sz="4" w:space="0" w:color="000000"/>
              <w:left w:val="dashed" w:sz="4" w:space="0" w:color="000000"/>
              <w:bottom w:val="single" w:sz="8" w:space="0" w:color="000000"/>
              <w:right w:val="dashed" w:sz="4" w:space="0" w:color="000000"/>
            </w:tcBorders>
          </w:tcPr>
          <w:p w:rsidR="00E8309B" w:rsidRDefault="009D0949">
            <w:pPr>
              <w:spacing w:after="0" w:line="259" w:lineRule="auto"/>
              <w:ind w:left="1" w:right="0" w:firstLine="0"/>
              <w:jc w:val="center"/>
            </w:pPr>
            <w:r>
              <w:rPr>
                <w:sz w:val="20"/>
              </w:rPr>
              <w:t xml:space="preserve">8,7 </w:t>
            </w:r>
          </w:p>
        </w:tc>
        <w:tc>
          <w:tcPr>
            <w:tcW w:w="1483" w:type="dxa"/>
            <w:tcBorders>
              <w:top w:val="dashed" w:sz="4" w:space="0" w:color="000000"/>
              <w:left w:val="dashed" w:sz="4" w:space="0" w:color="000000"/>
              <w:bottom w:val="single" w:sz="8" w:space="0" w:color="000000"/>
              <w:right w:val="dashed" w:sz="4" w:space="0" w:color="000000"/>
            </w:tcBorders>
          </w:tcPr>
          <w:p w:rsidR="00E8309B" w:rsidRDefault="009D0949">
            <w:pPr>
              <w:spacing w:after="0" w:line="259" w:lineRule="auto"/>
              <w:ind w:left="1" w:right="0" w:firstLine="0"/>
              <w:jc w:val="center"/>
            </w:pPr>
            <w:r>
              <w:rPr>
                <w:sz w:val="20"/>
              </w:rPr>
              <w:t xml:space="preserve">6,8 </w:t>
            </w:r>
          </w:p>
        </w:tc>
        <w:tc>
          <w:tcPr>
            <w:tcW w:w="1479" w:type="dxa"/>
            <w:tcBorders>
              <w:top w:val="dashed" w:sz="4" w:space="0" w:color="000000"/>
              <w:left w:val="dashed" w:sz="4" w:space="0" w:color="000000"/>
              <w:bottom w:val="single" w:sz="8" w:space="0" w:color="000000"/>
              <w:right w:val="double" w:sz="6" w:space="0" w:color="000000"/>
            </w:tcBorders>
          </w:tcPr>
          <w:p w:rsidR="00E8309B" w:rsidRDefault="009D0949">
            <w:pPr>
              <w:spacing w:after="0" w:line="259" w:lineRule="auto"/>
              <w:ind w:left="0" w:right="4" w:firstLine="0"/>
              <w:jc w:val="center"/>
            </w:pPr>
            <w:r>
              <w:rPr>
                <w:sz w:val="20"/>
              </w:rPr>
              <w:t xml:space="preserve">7,2 </w:t>
            </w:r>
          </w:p>
        </w:tc>
      </w:tr>
      <w:tr w:rsidR="00E8309B">
        <w:trPr>
          <w:trHeight w:val="338"/>
        </w:trPr>
        <w:tc>
          <w:tcPr>
            <w:tcW w:w="4371" w:type="dxa"/>
            <w:tcBorders>
              <w:top w:val="single" w:sz="8" w:space="0" w:color="000000"/>
              <w:left w:val="double" w:sz="6" w:space="0" w:color="000000"/>
              <w:bottom w:val="single" w:sz="8" w:space="0" w:color="000000"/>
              <w:right w:val="nil"/>
            </w:tcBorders>
          </w:tcPr>
          <w:p w:rsidR="00E8309B" w:rsidRDefault="00E8309B">
            <w:pPr>
              <w:spacing w:after="160" w:line="259" w:lineRule="auto"/>
              <w:ind w:left="0" w:right="0" w:firstLine="0"/>
              <w:jc w:val="left"/>
            </w:pPr>
          </w:p>
        </w:tc>
        <w:tc>
          <w:tcPr>
            <w:tcW w:w="1308" w:type="dxa"/>
            <w:tcBorders>
              <w:top w:val="single" w:sz="8" w:space="0" w:color="000000"/>
              <w:left w:val="nil"/>
              <w:bottom w:val="single" w:sz="8" w:space="0" w:color="000000"/>
              <w:right w:val="nil"/>
            </w:tcBorders>
          </w:tcPr>
          <w:p w:rsidR="00E8309B" w:rsidRDefault="00E8309B">
            <w:pPr>
              <w:spacing w:after="160" w:line="259" w:lineRule="auto"/>
              <w:ind w:left="0" w:right="0" w:firstLine="0"/>
              <w:jc w:val="left"/>
            </w:pPr>
          </w:p>
        </w:tc>
        <w:tc>
          <w:tcPr>
            <w:tcW w:w="2964" w:type="dxa"/>
            <w:gridSpan w:val="2"/>
            <w:tcBorders>
              <w:top w:val="single" w:sz="8" w:space="0" w:color="000000"/>
              <w:left w:val="nil"/>
              <w:bottom w:val="single" w:sz="8" w:space="0" w:color="000000"/>
              <w:right w:val="nil"/>
            </w:tcBorders>
          </w:tcPr>
          <w:p w:rsidR="00E8309B" w:rsidRDefault="009D0949">
            <w:pPr>
              <w:spacing w:after="0" w:line="259" w:lineRule="auto"/>
              <w:ind w:left="430" w:right="0" w:firstLine="0"/>
              <w:jc w:val="left"/>
            </w:pPr>
            <w:r>
              <w:rPr>
                <w:b/>
                <w:sz w:val="20"/>
              </w:rPr>
              <w:t>Компоненте реалног БДП</w:t>
            </w:r>
            <w:r>
              <w:rPr>
                <w:sz w:val="20"/>
              </w:rPr>
              <w:t xml:space="preserve"> </w:t>
            </w:r>
          </w:p>
        </w:tc>
        <w:tc>
          <w:tcPr>
            <w:tcW w:w="1483" w:type="dxa"/>
            <w:tcBorders>
              <w:top w:val="single" w:sz="8" w:space="0" w:color="000000"/>
              <w:left w:val="nil"/>
              <w:bottom w:val="single" w:sz="8" w:space="0" w:color="000000"/>
              <w:right w:val="nil"/>
            </w:tcBorders>
          </w:tcPr>
          <w:p w:rsidR="00E8309B" w:rsidRDefault="00E8309B">
            <w:pPr>
              <w:spacing w:after="160" w:line="259" w:lineRule="auto"/>
              <w:ind w:left="0" w:right="0" w:firstLine="0"/>
              <w:jc w:val="left"/>
            </w:pPr>
          </w:p>
        </w:tc>
        <w:tc>
          <w:tcPr>
            <w:tcW w:w="1484" w:type="dxa"/>
            <w:tcBorders>
              <w:top w:val="single" w:sz="8" w:space="0" w:color="000000"/>
              <w:left w:val="nil"/>
              <w:bottom w:val="single" w:sz="8" w:space="0" w:color="000000"/>
              <w:right w:val="nil"/>
            </w:tcBorders>
          </w:tcPr>
          <w:p w:rsidR="00E8309B" w:rsidRDefault="00E8309B">
            <w:pPr>
              <w:spacing w:after="160" w:line="259" w:lineRule="auto"/>
              <w:ind w:left="0" w:right="0" w:firstLine="0"/>
              <w:jc w:val="left"/>
            </w:pPr>
          </w:p>
        </w:tc>
        <w:tc>
          <w:tcPr>
            <w:tcW w:w="1483" w:type="dxa"/>
            <w:tcBorders>
              <w:top w:val="single" w:sz="8" w:space="0" w:color="000000"/>
              <w:left w:val="nil"/>
              <w:bottom w:val="single" w:sz="8" w:space="0" w:color="000000"/>
              <w:right w:val="nil"/>
            </w:tcBorders>
          </w:tcPr>
          <w:p w:rsidR="00E8309B" w:rsidRDefault="00E8309B">
            <w:pPr>
              <w:spacing w:after="160" w:line="259" w:lineRule="auto"/>
              <w:ind w:left="0" w:right="0" w:firstLine="0"/>
              <w:jc w:val="left"/>
            </w:pPr>
          </w:p>
        </w:tc>
        <w:tc>
          <w:tcPr>
            <w:tcW w:w="1479" w:type="dxa"/>
            <w:tcBorders>
              <w:top w:val="single" w:sz="8" w:space="0" w:color="000000"/>
              <w:left w:val="nil"/>
              <w:bottom w:val="single" w:sz="8" w:space="0" w:color="000000"/>
              <w:right w:val="double" w:sz="6" w:space="0" w:color="000000"/>
            </w:tcBorders>
          </w:tcPr>
          <w:p w:rsidR="00E8309B" w:rsidRDefault="00E8309B">
            <w:pPr>
              <w:spacing w:after="160" w:line="259" w:lineRule="auto"/>
              <w:ind w:left="0" w:right="0" w:firstLine="0"/>
              <w:jc w:val="left"/>
            </w:pPr>
          </w:p>
        </w:tc>
      </w:tr>
      <w:tr w:rsidR="00E8309B">
        <w:trPr>
          <w:trHeight w:val="475"/>
        </w:trPr>
        <w:tc>
          <w:tcPr>
            <w:tcW w:w="4371" w:type="dxa"/>
            <w:tcBorders>
              <w:top w:val="single" w:sz="8" w:space="0" w:color="000000"/>
              <w:left w:val="double" w:sz="6" w:space="0" w:color="000000"/>
              <w:bottom w:val="dashed" w:sz="4" w:space="0" w:color="000000"/>
              <w:right w:val="dashed" w:sz="4" w:space="0" w:color="000000"/>
            </w:tcBorders>
          </w:tcPr>
          <w:p w:rsidR="00E8309B" w:rsidRDefault="009D0949">
            <w:pPr>
              <w:spacing w:after="0" w:line="259" w:lineRule="auto"/>
              <w:ind w:left="106" w:right="0" w:firstLine="0"/>
              <w:jc w:val="left"/>
            </w:pPr>
            <w:r>
              <w:rPr>
                <w:sz w:val="20"/>
              </w:rPr>
              <w:t xml:space="preserve">3. Приватна потрошња </w:t>
            </w:r>
          </w:p>
        </w:tc>
        <w:tc>
          <w:tcPr>
            <w:tcW w:w="1308" w:type="dxa"/>
            <w:tcBorders>
              <w:top w:val="single" w:sz="8" w:space="0" w:color="000000"/>
              <w:left w:val="dashed" w:sz="4" w:space="0" w:color="000000"/>
              <w:bottom w:val="dashed" w:sz="4" w:space="0" w:color="000000"/>
              <w:right w:val="single" w:sz="8" w:space="0" w:color="000000"/>
            </w:tcBorders>
          </w:tcPr>
          <w:p w:rsidR="00E8309B" w:rsidRDefault="009D0949">
            <w:pPr>
              <w:spacing w:after="0" w:line="259" w:lineRule="auto"/>
              <w:ind w:left="0" w:right="1" w:firstLine="0"/>
              <w:jc w:val="center"/>
            </w:pPr>
            <w:r>
              <w:rPr>
                <w:sz w:val="20"/>
              </w:rPr>
              <w:t xml:space="preserve">P3 </w:t>
            </w:r>
          </w:p>
        </w:tc>
        <w:tc>
          <w:tcPr>
            <w:tcW w:w="1485" w:type="dxa"/>
            <w:tcBorders>
              <w:top w:val="single" w:sz="8" w:space="0" w:color="000000"/>
              <w:left w:val="single" w:sz="8" w:space="0" w:color="000000"/>
              <w:bottom w:val="dashed" w:sz="4" w:space="0" w:color="000000"/>
              <w:right w:val="single" w:sz="8" w:space="0" w:color="000000"/>
            </w:tcBorders>
          </w:tcPr>
          <w:p w:rsidR="00E8309B" w:rsidRDefault="009D0949">
            <w:pPr>
              <w:spacing w:after="0" w:line="259" w:lineRule="auto"/>
              <w:ind w:left="0" w:right="4" w:firstLine="0"/>
              <w:jc w:val="center"/>
            </w:pPr>
            <w:r>
              <w:rPr>
                <w:sz w:val="20"/>
              </w:rPr>
              <w:t xml:space="preserve">29,296 </w:t>
            </w:r>
          </w:p>
        </w:tc>
        <w:tc>
          <w:tcPr>
            <w:tcW w:w="1480" w:type="dxa"/>
            <w:tcBorders>
              <w:top w:val="single" w:sz="8" w:space="0" w:color="000000"/>
              <w:left w:val="single" w:sz="8" w:space="0" w:color="000000"/>
              <w:bottom w:val="dashed" w:sz="4" w:space="0" w:color="000000"/>
              <w:right w:val="dashed" w:sz="4" w:space="0" w:color="000000"/>
            </w:tcBorders>
          </w:tcPr>
          <w:p w:rsidR="00E8309B" w:rsidRDefault="009D0949">
            <w:pPr>
              <w:spacing w:after="0" w:line="259" w:lineRule="auto"/>
              <w:ind w:left="0" w:right="8" w:firstLine="0"/>
              <w:jc w:val="center"/>
            </w:pPr>
            <w:r>
              <w:rPr>
                <w:sz w:val="20"/>
              </w:rPr>
              <w:t xml:space="preserve">3,6 </w:t>
            </w:r>
          </w:p>
        </w:tc>
        <w:tc>
          <w:tcPr>
            <w:tcW w:w="1483" w:type="dxa"/>
            <w:tcBorders>
              <w:top w:val="single" w:sz="8" w:space="0" w:color="000000"/>
              <w:left w:val="dashed" w:sz="4" w:space="0" w:color="000000"/>
              <w:bottom w:val="dashed" w:sz="4" w:space="0" w:color="000000"/>
              <w:right w:val="dashed" w:sz="4" w:space="0" w:color="000000"/>
            </w:tcBorders>
          </w:tcPr>
          <w:p w:rsidR="00E8309B" w:rsidRDefault="009D0949">
            <w:pPr>
              <w:spacing w:after="0" w:line="259" w:lineRule="auto"/>
              <w:ind w:left="0" w:right="2" w:firstLine="0"/>
              <w:jc w:val="center"/>
            </w:pPr>
            <w:r>
              <w:rPr>
                <w:sz w:val="20"/>
              </w:rPr>
              <w:t xml:space="preserve">-1,9 </w:t>
            </w:r>
          </w:p>
        </w:tc>
        <w:tc>
          <w:tcPr>
            <w:tcW w:w="1484" w:type="dxa"/>
            <w:tcBorders>
              <w:top w:val="single" w:sz="8" w:space="0" w:color="000000"/>
              <w:left w:val="dashed" w:sz="4" w:space="0" w:color="000000"/>
              <w:bottom w:val="dashed" w:sz="4" w:space="0" w:color="000000"/>
              <w:right w:val="dashed" w:sz="4" w:space="0" w:color="000000"/>
            </w:tcBorders>
          </w:tcPr>
          <w:p w:rsidR="00E8309B" w:rsidRDefault="009D0949">
            <w:pPr>
              <w:spacing w:after="0" w:line="259" w:lineRule="auto"/>
              <w:ind w:left="1" w:right="0" w:firstLine="0"/>
              <w:jc w:val="center"/>
            </w:pPr>
            <w:r>
              <w:rPr>
                <w:sz w:val="20"/>
              </w:rPr>
              <w:t xml:space="preserve">5,4 </w:t>
            </w:r>
          </w:p>
        </w:tc>
        <w:tc>
          <w:tcPr>
            <w:tcW w:w="1483" w:type="dxa"/>
            <w:tcBorders>
              <w:top w:val="single" w:sz="8" w:space="0" w:color="000000"/>
              <w:left w:val="dashed" w:sz="4" w:space="0" w:color="000000"/>
              <w:bottom w:val="dashed" w:sz="4" w:space="0" w:color="000000"/>
              <w:right w:val="dashed" w:sz="4" w:space="0" w:color="000000"/>
            </w:tcBorders>
          </w:tcPr>
          <w:p w:rsidR="00E8309B" w:rsidRDefault="009D0949">
            <w:pPr>
              <w:spacing w:after="0" w:line="259" w:lineRule="auto"/>
              <w:ind w:left="1" w:right="0" w:firstLine="0"/>
              <w:jc w:val="center"/>
            </w:pPr>
            <w:r>
              <w:rPr>
                <w:sz w:val="20"/>
              </w:rPr>
              <w:t xml:space="preserve">2,8 </w:t>
            </w:r>
          </w:p>
        </w:tc>
        <w:tc>
          <w:tcPr>
            <w:tcW w:w="1479" w:type="dxa"/>
            <w:tcBorders>
              <w:top w:val="single" w:sz="8" w:space="0" w:color="000000"/>
              <w:left w:val="dashed" w:sz="4" w:space="0" w:color="000000"/>
              <w:bottom w:val="dashed" w:sz="4" w:space="0" w:color="000000"/>
              <w:right w:val="double" w:sz="6" w:space="0" w:color="000000"/>
            </w:tcBorders>
          </w:tcPr>
          <w:p w:rsidR="00E8309B" w:rsidRDefault="009D0949">
            <w:pPr>
              <w:spacing w:after="0" w:line="259" w:lineRule="auto"/>
              <w:ind w:left="0" w:right="4" w:firstLine="0"/>
              <w:jc w:val="center"/>
            </w:pPr>
            <w:r>
              <w:rPr>
                <w:sz w:val="20"/>
              </w:rPr>
              <w:t xml:space="preserve">2,9 </w:t>
            </w:r>
          </w:p>
        </w:tc>
      </w:tr>
      <w:tr w:rsidR="00E8309B">
        <w:trPr>
          <w:trHeight w:val="470"/>
        </w:trPr>
        <w:tc>
          <w:tcPr>
            <w:tcW w:w="4371" w:type="dxa"/>
            <w:tcBorders>
              <w:top w:val="dashed" w:sz="4" w:space="0" w:color="000000"/>
              <w:left w:val="double" w:sz="6" w:space="0" w:color="000000"/>
              <w:bottom w:val="dashed" w:sz="4" w:space="0" w:color="000000"/>
              <w:right w:val="dashed" w:sz="4" w:space="0" w:color="000000"/>
            </w:tcBorders>
          </w:tcPr>
          <w:p w:rsidR="00E8309B" w:rsidRDefault="009D0949">
            <w:pPr>
              <w:spacing w:after="0" w:line="259" w:lineRule="auto"/>
              <w:ind w:left="106" w:right="0" w:firstLine="0"/>
              <w:jc w:val="left"/>
            </w:pPr>
            <w:r>
              <w:rPr>
                <w:sz w:val="20"/>
              </w:rPr>
              <w:t xml:space="preserve">4. Државна потрошња </w:t>
            </w:r>
          </w:p>
        </w:tc>
        <w:tc>
          <w:tcPr>
            <w:tcW w:w="1308" w:type="dxa"/>
            <w:tcBorders>
              <w:top w:val="dashed" w:sz="4" w:space="0" w:color="000000"/>
              <w:left w:val="dashed" w:sz="4" w:space="0" w:color="000000"/>
              <w:bottom w:val="dashed" w:sz="4" w:space="0" w:color="000000"/>
              <w:right w:val="single" w:sz="8" w:space="0" w:color="000000"/>
            </w:tcBorders>
          </w:tcPr>
          <w:p w:rsidR="00E8309B" w:rsidRDefault="009D0949">
            <w:pPr>
              <w:spacing w:after="0" w:line="259" w:lineRule="auto"/>
              <w:ind w:left="0" w:right="1" w:firstLine="0"/>
              <w:jc w:val="center"/>
            </w:pPr>
            <w:r>
              <w:rPr>
                <w:sz w:val="20"/>
              </w:rPr>
              <w:t xml:space="preserve">P3 </w:t>
            </w:r>
          </w:p>
        </w:tc>
        <w:tc>
          <w:tcPr>
            <w:tcW w:w="1485" w:type="dxa"/>
            <w:tcBorders>
              <w:top w:val="dashed" w:sz="4" w:space="0" w:color="000000"/>
              <w:left w:val="single" w:sz="8" w:space="0" w:color="000000"/>
              <w:bottom w:val="dashed" w:sz="4" w:space="0" w:color="000000"/>
              <w:right w:val="single" w:sz="8" w:space="0" w:color="000000"/>
            </w:tcBorders>
          </w:tcPr>
          <w:p w:rsidR="00E8309B" w:rsidRDefault="009D0949">
            <w:pPr>
              <w:spacing w:after="0" w:line="259" w:lineRule="auto"/>
              <w:ind w:left="0" w:right="6" w:firstLine="0"/>
              <w:jc w:val="center"/>
            </w:pPr>
            <w:r>
              <w:rPr>
                <w:sz w:val="20"/>
              </w:rPr>
              <w:t xml:space="preserve">6,549 </w:t>
            </w:r>
          </w:p>
        </w:tc>
        <w:tc>
          <w:tcPr>
            <w:tcW w:w="1480" w:type="dxa"/>
            <w:tcBorders>
              <w:top w:val="dashed" w:sz="4" w:space="0" w:color="000000"/>
              <w:left w:val="single" w:sz="8" w:space="0" w:color="000000"/>
              <w:bottom w:val="dashed" w:sz="4" w:space="0" w:color="000000"/>
              <w:right w:val="dashed" w:sz="4" w:space="0" w:color="000000"/>
            </w:tcBorders>
          </w:tcPr>
          <w:p w:rsidR="00E8309B" w:rsidRDefault="009D0949">
            <w:pPr>
              <w:spacing w:after="0" w:line="259" w:lineRule="auto"/>
              <w:ind w:left="0" w:right="8" w:firstLine="0"/>
              <w:jc w:val="center"/>
            </w:pPr>
            <w:r>
              <w:rPr>
                <w:sz w:val="20"/>
              </w:rPr>
              <w:t xml:space="preserve">2,0 </w:t>
            </w:r>
          </w:p>
        </w:tc>
        <w:tc>
          <w:tcPr>
            <w:tcW w:w="1483"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1" w:right="0" w:firstLine="0"/>
              <w:jc w:val="center"/>
            </w:pPr>
            <w:r>
              <w:rPr>
                <w:sz w:val="20"/>
              </w:rPr>
              <w:t xml:space="preserve">5,8 </w:t>
            </w:r>
          </w:p>
        </w:tc>
        <w:tc>
          <w:tcPr>
            <w:tcW w:w="1484"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1" w:right="0" w:firstLine="0"/>
              <w:jc w:val="center"/>
            </w:pPr>
            <w:r>
              <w:rPr>
                <w:sz w:val="20"/>
              </w:rPr>
              <w:t xml:space="preserve">0,4 </w:t>
            </w:r>
          </w:p>
        </w:tc>
        <w:tc>
          <w:tcPr>
            <w:tcW w:w="1483"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1" w:right="0" w:firstLine="0"/>
              <w:jc w:val="center"/>
            </w:pPr>
            <w:r>
              <w:rPr>
                <w:sz w:val="20"/>
              </w:rPr>
              <w:t xml:space="preserve">2,5 </w:t>
            </w:r>
          </w:p>
        </w:tc>
        <w:tc>
          <w:tcPr>
            <w:tcW w:w="1479" w:type="dxa"/>
            <w:tcBorders>
              <w:top w:val="dashed" w:sz="4" w:space="0" w:color="000000"/>
              <w:left w:val="dashed" w:sz="4" w:space="0" w:color="000000"/>
              <w:bottom w:val="dashed" w:sz="4" w:space="0" w:color="000000"/>
              <w:right w:val="double" w:sz="6" w:space="0" w:color="000000"/>
            </w:tcBorders>
          </w:tcPr>
          <w:p w:rsidR="00E8309B" w:rsidRDefault="009D0949">
            <w:pPr>
              <w:spacing w:after="0" w:line="259" w:lineRule="auto"/>
              <w:ind w:left="0" w:right="4" w:firstLine="0"/>
              <w:jc w:val="center"/>
            </w:pPr>
            <w:r>
              <w:rPr>
                <w:sz w:val="20"/>
              </w:rPr>
              <w:t xml:space="preserve">1,8 </w:t>
            </w:r>
          </w:p>
        </w:tc>
      </w:tr>
      <w:tr w:rsidR="00E8309B">
        <w:trPr>
          <w:trHeight w:val="470"/>
        </w:trPr>
        <w:tc>
          <w:tcPr>
            <w:tcW w:w="4371" w:type="dxa"/>
            <w:tcBorders>
              <w:top w:val="dashed" w:sz="4" w:space="0" w:color="000000"/>
              <w:left w:val="double" w:sz="6" w:space="0" w:color="000000"/>
              <w:bottom w:val="dashed" w:sz="4" w:space="0" w:color="000000"/>
              <w:right w:val="dashed" w:sz="4" w:space="0" w:color="000000"/>
            </w:tcBorders>
          </w:tcPr>
          <w:p w:rsidR="00E8309B" w:rsidRDefault="009D0949">
            <w:pPr>
              <w:spacing w:after="0" w:line="259" w:lineRule="auto"/>
              <w:ind w:left="106" w:right="0" w:firstLine="0"/>
              <w:jc w:val="left"/>
            </w:pPr>
            <w:r>
              <w:rPr>
                <w:sz w:val="20"/>
              </w:rPr>
              <w:t xml:space="preserve">5. Бруто инвестиције у основна средства </w:t>
            </w:r>
          </w:p>
        </w:tc>
        <w:tc>
          <w:tcPr>
            <w:tcW w:w="1308" w:type="dxa"/>
            <w:tcBorders>
              <w:top w:val="dashed" w:sz="4" w:space="0" w:color="000000"/>
              <w:left w:val="dashed" w:sz="4" w:space="0" w:color="000000"/>
              <w:bottom w:val="dashed" w:sz="4" w:space="0" w:color="000000"/>
              <w:right w:val="single" w:sz="8" w:space="0" w:color="000000"/>
            </w:tcBorders>
          </w:tcPr>
          <w:p w:rsidR="00E8309B" w:rsidRDefault="009D0949">
            <w:pPr>
              <w:spacing w:after="0" w:line="259" w:lineRule="auto"/>
              <w:ind w:left="0" w:right="2" w:firstLine="0"/>
              <w:jc w:val="center"/>
            </w:pPr>
            <w:r>
              <w:rPr>
                <w:sz w:val="20"/>
              </w:rPr>
              <w:t xml:space="preserve">P51 </w:t>
            </w:r>
          </w:p>
        </w:tc>
        <w:tc>
          <w:tcPr>
            <w:tcW w:w="1485" w:type="dxa"/>
            <w:tcBorders>
              <w:top w:val="dashed" w:sz="4" w:space="0" w:color="000000"/>
              <w:left w:val="single" w:sz="8" w:space="0" w:color="000000"/>
              <w:bottom w:val="dashed" w:sz="4" w:space="0" w:color="000000"/>
              <w:right w:val="single" w:sz="8" w:space="0" w:color="000000"/>
            </w:tcBorders>
          </w:tcPr>
          <w:p w:rsidR="00E8309B" w:rsidRDefault="009D0949">
            <w:pPr>
              <w:spacing w:after="0" w:line="259" w:lineRule="auto"/>
              <w:ind w:left="0" w:right="6" w:firstLine="0"/>
              <w:jc w:val="center"/>
            </w:pPr>
            <w:r>
              <w:rPr>
                <w:sz w:val="20"/>
              </w:rPr>
              <w:t xml:space="preserve">9,586 </w:t>
            </w:r>
          </w:p>
        </w:tc>
        <w:tc>
          <w:tcPr>
            <w:tcW w:w="1480" w:type="dxa"/>
            <w:tcBorders>
              <w:top w:val="dashed" w:sz="4" w:space="0" w:color="000000"/>
              <w:left w:val="single" w:sz="8" w:space="0" w:color="000000"/>
              <w:bottom w:val="dashed" w:sz="4" w:space="0" w:color="000000"/>
              <w:right w:val="dashed" w:sz="4" w:space="0" w:color="000000"/>
            </w:tcBorders>
          </w:tcPr>
          <w:p w:rsidR="00E8309B" w:rsidRDefault="009D0949">
            <w:pPr>
              <w:spacing w:after="0" w:line="259" w:lineRule="auto"/>
              <w:ind w:left="0" w:right="8" w:firstLine="0"/>
              <w:jc w:val="center"/>
            </w:pPr>
            <w:r>
              <w:rPr>
                <w:sz w:val="20"/>
              </w:rPr>
              <w:t xml:space="preserve">17,2 </w:t>
            </w:r>
          </w:p>
        </w:tc>
        <w:tc>
          <w:tcPr>
            <w:tcW w:w="1483"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2" w:firstLine="0"/>
              <w:jc w:val="center"/>
            </w:pPr>
            <w:r>
              <w:rPr>
                <w:sz w:val="20"/>
              </w:rPr>
              <w:t xml:space="preserve">-4,8 </w:t>
            </w:r>
          </w:p>
        </w:tc>
        <w:tc>
          <w:tcPr>
            <w:tcW w:w="1484"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1" w:right="0" w:firstLine="0"/>
              <w:jc w:val="center"/>
            </w:pPr>
            <w:r>
              <w:rPr>
                <w:sz w:val="20"/>
              </w:rPr>
              <w:t xml:space="preserve">13,3 </w:t>
            </w:r>
          </w:p>
        </w:tc>
        <w:tc>
          <w:tcPr>
            <w:tcW w:w="1483"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1" w:right="0" w:firstLine="0"/>
              <w:jc w:val="center"/>
            </w:pPr>
            <w:r>
              <w:rPr>
                <w:sz w:val="20"/>
              </w:rPr>
              <w:t xml:space="preserve">7,1 </w:t>
            </w:r>
          </w:p>
        </w:tc>
        <w:tc>
          <w:tcPr>
            <w:tcW w:w="1479" w:type="dxa"/>
            <w:tcBorders>
              <w:top w:val="dashed" w:sz="4" w:space="0" w:color="000000"/>
              <w:left w:val="dashed" w:sz="4" w:space="0" w:color="000000"/>
              <w:bottom w:val="dashed" w:sz="4" w:space="0" w:color="000000"/>
              <w:right w:val="double" w:sz="6" w:space="0" w:color="000000"/>
            </w:tcBorders>
          </w:tcPr>
          <w:p w:rsidR="00E8309B" w:rsidRDefault="009D0949">
            <w:pPr>
              <w:spacing w:after="0" w:line="259" w:lineRule="auto"/>
              <w:ind w:left="0" w:right="4" w:firstLine="0"/>
              <w:jc w:val="center"/>
            </w:pPr>
            <w:r>
              <w:rPr>
                <w:sz w:val="20"/>
              </w:rPr>
              <w:t xml:space="preserve">7,8 </w:t>
            </w:r>
          </w:p>
        </w:tc>
      </w:tr>
      <w:tr w:rsidR="00E8309B">
        <w:trPr>
          <w:trHeight w:val="470"/>
        </w:trPr>
        <w:tc>
          <w:tcPr>
            <w:tcW w:w="4371" w:type="dxa"/>
            <w:tcBorders>
              <w:top w:val="dashed" w:sz="4" w:space="0" w:color="000000"/>
              <w:left w:val="double" w:sz="6" w:space="0" w:color="000000"/>
              <w:bottom w:val="dashed" w:sz="4" w:space="0" w:color="000000"/>
              <w:right w:val="dashed" w:sz="4" w:space="0" w:color="000000"/>
            </w:tcBorders>
          </w:tcPr>
          <w:p w:rsidR="00E8309B" w:rsidRDefault="009D0949">
            <w:pPr>
              <w:spacing w:after="0" w:line="259" w:lineRule="auto"/>
              <w:ind w:left="106" w:right="0" w:firstLine="0"/>
              <w:jc w:val="left"/>
            </w:pPr>
            <w:r>
              <w:rPr>
                <w:sz w:val="20"/>
              </w:rPr>
              <w:t xml:space="preserve">6. Промене у залихама и нето набавка драгоцености (% БДП-а) </w:t>
            </w:r>
          </w:p>
        </w:tc>
        <w:tc>
          <w:tcPr>
            <w:tcW w:w="1308" w:type="dxa"/>
            <w:tcBorders>
              <w:top w:val="dashed" w:sz="4" w:space="0" w:color="000000"/>
              <w:left w:val="dashed" w:sz="4" w:space="0" w:color="000000"/>
              <w:bottom w:val="dashed" w:sz="4" w:space="0" w:color="000000"/>
              <w:right w:val="single" w:sz="8" w:space="0" w:color="000000"/>
            </w:tcBorders>
          </w:tcPr>
          <w:p w:rsidR="00E8309B" w:rsidRDefault="009D0949">
            <w:pPr>
              <w:spacing w:after="0" w:line="259" w:lineRule="auto"/>
              <w:ind w:left="0" w:right="2" w:firstLine="0"/>
              <w:jc w:val="center"/>
            </w:pPr>
            <w:r>
              <w:rPr>
                <w:sz w:val="20"/>
              </w:rPr>
              <w:t xml:space="preserve">P52+P53 </w:t>
            </w:r>
          </w:p>
        </w:tc>
        <w:tc>
          <w:tcPr>
            <w:tcW w:w="1485" w:type="dxa"/>
            <w:tcBorders>
              <w:top w:val="dashed" w:sz="4" w:space="0" w:color="000000"/>
              <w:left w:val="single" w:sz="8" w:space="0" w:color="000000"/>
              <w:bottom w:val="dashed" w:sz="4" w:space="0" w:color="000000"/>
              <w:right w:val="single" w:sz="8" w:space="0" w:color="000000"/>
            </w:tcBorders>
          </w:tcPr>
          <w:p w:rsidR="00E8309B" w:rsidRDefault="009D0949">
            <w:pPr>
              <w:spacing w:after="0" w:line="259" w:lineRule="auto"/>
              <w:ind w:left="0" w:right="6" w:firstLine="0"/>
              <w:jc w:val="center"/>
            </w:pPr>
            <w:r>
              <w:rPr>
                <w:sz w:val="20"/>
              </w:rPr>
              <w:t xml:space="preserve">1,314 </w:t>
            </w:r>
          </w:p>
        </w:tc>
        <w:tc>
          <w:tcPr>
            <w:tcW w:w="1480" w:type="dxa"/>
            <w:tcBorders>
              <w:top w:val="dashed" w:sz="4" w:space="0" w:color="000000"/>
              <w:left w:val="single" w:sz="8" w:space="0" w:color="000000"/>
              <w:bottom w:val="dashed" w:sz="4" w:space="0" w:color="000000"/>
              <w:right w:val="dashed" w:sz="4" w:space="0" w:color="000000"/>
            </w:tcBorders>
          </w:tcPr>
          <w:p w:rsidR="00E8309B" w:rsidRDefault="009D0949">
            <w:pPr>
              <w:spacing w:after="0" w:line="259" w:lineRule="auto"/>
              <w:ind w:left="0" w:right="8" w:firstLine="0"/>
              <w:jc w:val="center"/>
            </w:pPr>
            <w:r>
              <w:rPr>
                <w:sz w:val="20"/>
              </w:rPr>
              <w:t xml:space="preserve">3,1 </w:t>
            </w:r>
          </w:p>
        </w:tc>
        <w:tc>
          <w:tcPr>
            <w:tcW w:w="1483"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1" w:right="0" w:firstLine="0"/>
              <w:jc w:val="center"/>
            </w:pPr>
            <w:r>
              <w:rPr>
                <w:sz w:val="20"/>
              </w:rPr>
              <w:t xml:space="preserve">3,1 </w:t>
            </w:r>
          </w:p>
        </w:tc>
        <w:tc>
          <w:tcPr>
            <w:tcW w:w="1484"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1" w:right="0" w:firstLine="0"/>
              <w:jc w:val="center"/>
            </w:pPr>
            <w:r>
              <w:rPr>
                <w:sz w:val="20"/>
              </w:rPr>
              <w:t xml:space="preserve">3,0 </w:t>
            </w:r>
          </w:p>
        </w:tc>
        <w:tc>
          <w:tcPr>
            <w:tcW w:w="1483"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1" w:right="0" w:firstLine="0"/>
              <w:jc w:val="center"/>
            </w:pPr>
            <w:r>
              <w:rPr>
                <w:sz w:val="20"/>
              </w:rPr>
              <w:t xml:space="preserve">2,9 </w:t>
            </w:r>
          </w:p>
        </w:tc>
        <w:tc>
          <w:tcPr>
            <w:tcW w:w="1479" w:type="dxa"/>
            <w:tcBorders>
              <w:top w:val="dashed" w:sz="4" w:space="0" w:color="000000"/>
              <w:left w:val="dashed" w:sz="4" w:space="0" w:color="000000"/>
              <w:bottom w:val="dashed" w:sz="4" w:space="0" w:color="000000"/>
              <w:right w:val="double" w:sz="6" w:space="0" w:color="000000"/>
            </w:tcBorders>
          </w:tcPr>
          <w:p w:rsidR="00E8309B" w:rsidRDefault="009D0949">
            <w:pPr>
              <w:spacing w:after="0" w:line="259" w:lineRule="auto"/>
              <w:ind w:left="0" w:right="4" w:firstLine="0"/>
              <w:jc w:val="center"/>
            </w:pPr>
            <w:r>
              <w:rPr>
                <w:sz w:val="20"/>
              </w:rPr>
              <w:t xml:space="preserve">2,8 </w:t>
            </w:r>
          </w:p>
        </w:tc>
      </w:tr>
      <w:tr w:rsidR="00E8309B">
        <w:trPr>
          <w:trHeight w:val="471"/>
        </w:trPr>
        <w:tc>
          <w:tcPr>
            <w:tcW w:w="4371" w:type="dxa"/>
            <w:tcBorders>
              <w:top w:val="dashed" w:sz="4" w:space="0" w:color="000000"/>
              <w:left w:val="double" w:sz="6" w:space="0" w:color="000000"/>
              <w:bottom w:val="dashed" w:sz="4" w:space="0" w:color="000000"/>
              <w:right w:val="dashed" w:sz="4" w:space="0" w:color="000000"/>
            </w:tcBorders>
          </w:tcPr>
          <w:p w:rsidR="00E8309B" w:rsidRDefault="009D0949">
            <w:pPr>
              <w:spacing w:after="0" w:line="259" w:lineRule="auto"/>
              <w:ind w:left="106" w:right="0" w:firstLine="0"/>
              <w:jc w:val="left"/>
            </w:pPr>
            <w:r>
              <w:rPr>
                <w:sz w:val="20"/>
              </w:rPr>
              <w:t xml:space="preserve">7. Извоз робе и услуга </w:t>
            </w:r>
          </w:p>
        </w:tc>
        <w:tc>
          <w:tcPr>
            <w:tcW w:w="1308" w:type="dxa"/>
            <w:tcBorders>
              <w:top w:val="dashed" w:sz="4" w:space="0" w:color="000000"/>
              <w:left w:val="dashed" w:sz="4" w:space="0" w:color="000000"/>
              <w:bottom w:val="dashed" w:sz="4" w:space="0" w:color="000000"/>
              <w:right w:val="single" w:sz="8" w:space="0" w:color="000000"/>
            </w:tcBorders>
          </w:tcPr>
          <w:p w:rsidR="00E8309B" w:rsidRDefault="009D0949">
            <w:pPr>
              <w:spacing w:after="0" w:line="259" w:lineRule="auto"/>
              <w:ind w:left="0" w:right="1" w:firstLine="0"/>
              <w:jc w:val="center"/>
            </w:pPr>
            <w:r>
              <w:rPr>
                <w:sz w:val="20"/>
              </w:rPr>
              <w:t xml:space="preserve">P6 </w:t>
            </w:r>
          </w:p>
        </w:tc>
        <w:tc>
          <w:tcPr>
            <w:tcW w:w="1485" w:type="dxa"/>
            <w:tcBorders>
              <w:top w:val="dashed" w:sz="4" w:space="0" w:color="000000"/>
              <w:left w:val="single" w:sz="8" w:space="0" w:color="000000"/>
              <w:bottom w:val="dashed" w:sz="4" w:space="0" w:color="000000"/>
              <w:right w:val="single" w:sz="8" w:space="0" w:color="000000"/>
            </w:tcBorders>
          </w:tcPr>
          <w:p w:rsidR="00E8309B" w:rsidRDefault="009D0949">
            <w:pPr>
              <w:spacing w:after="0" w:line="259" w:lineRule="auto"/>
              <w:ind w:left="0" w:right="4" w:firstLine="0"/>
              <w:jc w:val="center"/>
            </w:pPr>
            <w:r>
              <w:rPr>
                <w:sz w:val="20"/>
              </w:rPr>
              <w:t xml:space="preserve">23,210 </w:t>
            </w:r>
          </w:p>
        </w:tc>
        <w:tc>
          <w:tcPr>
            <w:tcW w:w="1480" w:type="dxa"/>
            <w:tcBorders>
              <w:top w:val="dashed" w:sz="4" w:space="0" w:color="000000"/>
              <w:left w:val="single" w:sz="8" w:space="0" w:color="000000"/>
              <w:bottom w:val="dashed" w:sz="4" w:space="0" w:color="000000"/>
              <w:right w:val="dashed" w:sz="4" w:space="0" w:color="000000"/>
            </w:tcBorders>
          </w:tcPr>
          <w:p w:rsidR="00E8309B" w:rsidRDefault="009D0949">
            <w:pPr>
              <w:spacing w:after="0" w:line="259" w:lineRule="auto"/>
              <w:ind w:left="0" w:right="8" w:firstLine="0"/>
              <w:jc w:val="center"/>
            </w:pPr>
            <w:r>
              <w:rPr>
                <w:sz w:val="20"/>
              </w:rPr>
              <w:t xml:space="preserve">7,7 </w:t>
            </w:r>
          </w:p>
        </w:tc>
        <w:tc>
          <w:tcPr>
            <w:tcW w:w="1483"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2" w:firstLine="0"/>
              <w:jc w:val="center"/>
            </w:pPr>
            <w:r>
              <w:rPr>
                <w:sz w:val="20"/>
              </w:rPr>
              <w:t xml:space="preserve">-6,9 </w:t>
            </w:r>
          </w:p>
        </w:tc>
        <w:tc>
          <w:tcPr>
            <w:tcW w:w="1484"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1" w:right="0" w:firstLine="0"/>
              <w:jc w:val="center"/>
            </w:pPr>
            <w:r>
              <w:rPr>
                <w:sz w:val="20"/>
              </w:rPr>
              <w:t xml:space="preserve">9,6 </w:t>
            </w:r>
          </w:p>
        </w:tc>
        <w:tc>
          <w:tcPr>
            <w:tcW w:w="1483"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1" w:right="0" w:firstLine="0"/>
              <w:jc w:val="center"/>
            </w:pPr>
            <w:r>
              <w:rPr>
                <w:sz w:val="20"/>
              </w:rPr>
              <w:t xml:space="preserve">9,1 </w:t>
            </w:r>
          </w:p>
        </w:tc>
        <w:tc>
          <w:tcPr>
            <w:tcW w:w="1479" w:type="dxa"/>
            <w:tcBorders>
              <w:top w:val="dashed" w:sz="4" w:space="0" w:color="000000"/>
              <w:left w:val="dashed" w:sz="4" w:space="0" w:color="000000"/>
              <w:bottom w:val="dashed" w:sz="4" w:space="0" w:color="000000"/>
              <w:right w:val="double" w:sz="6" w:space="0" w:color="000000"/>
            </w:tcBorders>
          </w:tcPr>
          <w:p w:rsidR="00E8309B" w:rsidRDefault="009D0949">
            <w:pPr>
              <w:spacing w:after="0" w:line="259" w:lineRule="auto"/>
              <w:ind w:left="0" w:right="4" w:firstLine="0"/>
              <w:jc w:val="center"/>
            </w:pPr>
            <w:r>
              <w:rPr>
                <w:sz w:val="20"/>
              </w:rPr>
              <w:t xml:space="preserve">9,3 </w:t>
            </w:r>
          </w:p>
        </w:tc>
      </w:tr>
      <w:tr w:rsidR="00E8309B">
        <w:trPr>
          <w:trHeight w:val="475"/>
        </w:trPr>
        <w:tc>
          <w:tcPr>
            <w:tcW w:w="4371" w:type="dxa"/>
            <w:tcBorders>
              <w:top w:val="dashed" w:sz="4" w:space="0" w:color="000000"/>
              <w:left w:val="double" w:sz="6" w:space="0" w:color="000000"/>
              <w:bottom w:val="single" w:sz="8" w:space="0" w:color="000000"/>
              <w:right w:val="dashed" w:sz="4" w:space="0" w:color="000000"/>
            </w:tcBorders>
          </w:tcPr>
          <w:p w:rsidR="00E8309B" w:rsidRDefault="009D0949">
            <w:pPr>
              <w:spacing w:after="0" w:line="259" w:lineRule="auto"/>
              <w:ind w:left="106" w:right="0" w:firstLine="0"/>
              <w:jc w:val="left"/>
            </w:pPr>
            <w:r>
              <w:rPr>
                <w:sz w:val="20"/>
              </w:rPr>
              <w:t xml:space="preserve">8. Увоз робе и услуга </w:t>
            </w:r>
          </w:p>
        </w:tc>
        <w:tc>
          <w:tcPr>
            <w:tcW w:w="1308" w:type="dxa"/>
            <w:tcBorders>
              <w:top w:val="dashed" w:sz="4" w:space="0" w:color="000000"/>
              <w:left w:val="dashed" w:sz="4" w:space="0" w:color="000000"/>
              <w:bottom w:val="single" w:sz="8" w:space="0" w:color="000000"/>
              <w:right w:val="single" w:sz="8" w:space="0" w:color="000000"/>
            </w:tcBorders>
          </w:tcPr>
          <w:p w:rsidR="00E8309B" w:rsidRDefault="009D0949">
            <w:pPr>
              <w:spacing w:after="0" w:line="259" w:lineRule="auto"/>
              <w:ind w:left="0" w:right="1" w:firstLine="0"/>
              <w:jc w:val="center"/>
            </w:pPr>
            <w:r>
              <w:rPr>
                <w:sz w:val="20"/>
              </w:rPr>
              <w:t xml:space="preserve">P7 </w:t>
            </w:r>
          </w:p>
        </w:tc>
        <w:tc>
          <w:tcPr>
            <w:tcW w:w="1485" w:type="dxa"/>
            <w:tcBorders>
              <w:top w:val="dashed" w:sz="4" w:space="0" w:color="000000"/>
              <w:left w:val="single" w:sz="8" w:space="0" w:color="000000"/>
              <w:bottom w:val="single" w:sz="8" w:space="0" w:color="000000"/>
              <w:right w:val="single" w:sz="8" w:space="0" w:color="000000"/>
            </w:tcBorders>
          </w:tcPr>
          <w:p w:rsidR="00E8309B" w:rsidRDefault="009D0949">
            <w:pPr>
              <w:spacing w:after="0" w:line="259" w:lineRule="auto"/>
              <w:ind w:left="0" w:right="4" w:firstLine="0"/>
              <w:jc w:val="center"/>
            </w:pPr>
            <w:r>
              <w:rPr>
                <w:sz w:val="20"/>
              </w:rPr>
              <w:t xml:space="preserve">27,871 </w:t>
            </w:r>
          </w:p>
        </w:tc>
        <w:tc>
          <w:tcPr>
            <w:tcW w:w="1480" w:type="dxa"/>
            <w:tcBorders>
              <w:top w:val="dashed" w:sz="4" w:space="0" w:color="000000"/>
              <w:left w:val="single" w:sz="8" w:space="0" w:color="000000"/>
              <w:bottom w:val="single" w:sz="8" w:space="0" w:color="000000"/>
              <w:right w:val="dashed" w:sz="4" w:space="0" w:color="000000"/>
            </w:tcBorders>
          </w:tcPr>
          <w:p w:rsidR="00E8309B" w:rsidRDefault="009D0949">
            <w:pPr>
              <w:spacing w:after="0" w:line="259" w:lineRule="auto"/>
              <w:ind w:left="0" w:right="8" w:firstLine="0"/>
              <w:jc w:val="center"/>
            </w:pPr>
            <w:r>
              <w:rPr>
                <w:sz w:val="20"/>
              </w:rPr>
              <w:t xml:space="preserve">10,7 </w:t>
            </w:r>
          </w:p>
        </w:tc>
        <w:tc>
          <w:tcPr>
            <w:tcW w:w="1483" w:type="dxa"/>
            <w:tcBorders>
              <w:top w:val="dashed" w:sz="4" w:space="0" w:color="000000"/>
              <w:left w:val="dashed" w:sz="4" w:space="0" w:color="000000"/>
              <w:bottom w:val="single" w:sz="8" w:space="0" w:color="000000"/>
              <w:right w:val="dashed" w:sz="4" w:space="0" w:color="000000"/>
            </w:tcBorders>
          </w:tcPr>
          <w:p w:rsidR="00E8309B" w:rsidRDefault="009D0949">
            <w:pPr>
              <w:spacing w:after="0" w:line="259" w:lineRule="auto"/>
              <w:ind w:left="0" w:right="2" w:firstLine="0"/>
              <w:jc w:val="center"/>
            </w:pPr>
            <w:r>
              <w:rPr>
                <w:sz w:val="20"/>
              </w:rPr>
              <w:t xml:space="preserve">-6,5 </w:t>
            </w:r>
          </w:p>
        </w:tc>
        <w:tc>
          <w:tcPr>
            <w:tcW w:w="1484" w:type="dxa"/>
            <w:tcBorders>
              <w:top w:val="dashed" w:sz="4" w:space="0" w:color="000000"/>
              <w:left w:val="dashed" w:sz="4" w:space="0" w:color="000000"/>
              <w:bottom w:val="single" w:sz="8" w:space="0" w:color="000000"/>
              <w:right w:val="dashed" w:sz="4" w:space="0" w:color="000000"/>
            </w:tcBorders>
          </w:tcPr>
          <w:p w:rsidR="00E8309B" w:rsidRDefault="009D0949">
            <w:pPr>
              <w:spacing w:after="0" w:line="259" w:lineRule="auto"/>
              <w:ind w:left="1" w:right="0" w:firstLine="0"/>
              <w:jc w:val="center"/>
            </w:pPr>
            <w:r>
              <w:rPr>
                <w:sz w:val="20"/>
              </w:rPr>
              <w:t xml:space="preserve">9,3 </w:t>
            </w:r>
          </w:p>
        </w:tc>
        <w:tc>
          <w:tcPr>
            <w:tcW w:w="1483" w:type="dxa"/>
            <w:tcBorders>
              <w:top w:val="dashed" w:sz="4" w:space="0" w:color="000000"/>
              <w:left w:val="dashed" w:sz="4" w:space="0" w:color="000000"/>
              <w:bottom w:val="single" w:sz="8" w:space="0" w:color="000000"/>
              <w:right w:val="dashed" w:sz="4" w:space="0" w:color="000000"/>
            </w:tcBorders>
          </w:tcPr>
          <w:p w:rsidR="00E8309B" w:rsidRDefault="009D0949">
            <w:pPr>
              <w:spacing w:after="0" w:line="259" w:lineRule="auto"/>
              <w:ind w:left="1" w:right="0" w:firstLine="0"/>
              <w:jc w:val="center"/>
            </w:pPr>
            <w:r>
              <w:rPr>
                <w:sz w:val="20"/>
              </w:rPr>
              <w:t xml:space="preserve">7,7 </w:t>
            </w:r>
          </w:p>
        </w:tc>
        <w:tc>
          <w:tcPr>
            <w:tcW w:w="1479" w:type="dxa"/>
            <w:tcBorders>
              <w:top w:val="dashed" w:sz="4" w:space="0" w:color="000000"/>
              <w:left w:val="dashed" w:sz="4" w:space="0" w:color="000000"/>
              <w:bottom w:val="single" w:sz="8" w:space="0" w:color="000000"/>
              <w:right w:val="double" w:sz="6" w:space="0" w:color="000000"/>
            </w:tcBorders>
          </w:tcPr>
          <w:p w:rsidR="00E8309B" w:rsidRDefault="009D0949">
            <w:pPr>
              <w:spacing w:after="0" w:line="259" w:lineRule="auto"/>
              <w:ind w:left="0" w:right="4" w:firstLine="0"/>
              <w:jc w:val="center"/>
            </w:pPr>
            <w:r>
              <w:rPr>
                <w:sz w:val="20"/>
              </w:rPr>
              <w:t xml:space="preserve">7,8 </w:t>
            </w:r>
          </w:p>
        </w:tc>
      </w:tr>
      <w:tr w:rsidR="00E8309B">
        <w:trPr>
          <w:trHeight w:val="338"/>
        </w:trPr>
        <w:tc>
          <w:tcPr>
            <w:tcW w:w="4371" w:type="dxa"/>
            <w:tcBorders>
              <w:top w:val="single" w:sz="8" w:space="0" w:color="000000"/>
              <w:left w:val="double" w:sz="6" w:space="0" w:color="000000"/>
              <w:bottom w:val="single" w:sz="8" w:space="0" w:color="000000"/>
              <w:right w:val="nil"/>
            </w:tcBorders>
          </w:tcPr>
          <w:p w:rsidR="00E8309B" w:rsidRDefault="00E8309B">
            <w:pPr>
              <w:spacing w:after="160" w:line="259" w:lineRule="auto"/>
              <w:ind w:left="0" w:right="0" w:firstLine="0"/>
              <w:jc w:val="left"/>
            </w:pPr>
          </w:p>
        </w:tc>
        <w:tc>
          <w:tcPr>
            <w:tcW w:w="1308" w:type="dxa"/>
            <w:tcBorders>
              <w:top w:val="single" w:sz="8" w:space="0" w:color="000000"/>
              <w:left w:val="nil"/>
              <w:bottom w:val="single" w:sz="8" w:space="0" w:color="000000"/>
              <w:right w:val="nil"/>
            </w:tcBorders>
            <w:vAlign w:val="bottom"/>
          </w:tcPr>
          <w:p w:rsidR="00E8309B" w:rsidRDefault="009D0949">
            <w:pPr>
              <w:spacing w:after="0" w:line="259" w:lineRule="auto"/>
              <w:ind w:left="47" w:right="0" w:firstLine="0"/>
              <w:jc w:val="center"/>
            </w:pPr>
            <w:r>
              <w:rPr>
                <w:sz w:val="20"/>
              </w:rPr>
              <w:t xml:space="preserve"> </w:t>
            </w:r>
          </w:p>
        </w:tc>
        <w:tc>
          <w:tcPr>
            <w:tcW w:w="2964" w:type="dxa"/>
            <w:gridSpan w:val="2"/>
            <w:tcBorders>
              <w:top w:val="single" w:sz="8" w:space="0" w:color="000000"/>
              <w:left w:val="nil"/>
              <w:bottom w:val="single" w:sz="8" w:space="0" w:color="000000"/>
              <w:right w:val="nil"/>
            </w:tcBorders>
          </w:tcPr>
          <w:p w:rsidR="00E8309B" w:rsidRDefault="009D0949">
            <w:pPr>
              <w:spacing w:after="0" w:line="259" w:lineRule="auto"/>
              <w:ind w:left="0" w:right="-1" w:firstLine="0"/>
              <w:jc w:val="right"/>
            </w:pPr>
            <w:r>
              <w:rPr>
                <w:b/>
                <w:sz w:val="20"/>
              </w:rPr>
              <w:t>Допринос реалном расту БДП</w:t>
            </w:r>
          </w:p>
        </w:tc>
        <w:tc>
          <w:tcPr>
            <w:tcW w:w="1483" w:type="dxa"/>
            <w:tcBorders>
              <w:top w:val="single" w:sz="8" w:space="0" w:color="000000"/>
              <w:left w:val="nil"/>
              <w:bottom w:val="single" w:sz="8" w:space="0" w:color="000000"/>
              <w:right w:val="nil"/>
            </w:tcBorders>
          </w:tcPr>
          <w:p w:rsidR="00E8309B" w:rsidRDefault="009D0949">
            <w:pPr>
              <w:spacing w:after="0" w:line="259" w:lineRule="auto"/>
              <w:ind w:left="0" w:right="0" w:firstLine="0"/>
              <w:jc w:val="left"/>
            </w:pPr>
            <w:r>
              <w:rPr>
                <w:sz w:val="20"/>
              </w:rPr>
              <w:t xml:space="preserve"> </w:t>
            </w:r>
          </w:p>
        </w:tc>
        <w:tc>
          <w:tcPr>
            <w:tcW w:w="1484" w:type="dxa"/>
            <w:tcBorders>
              <w:top w:val="single" w:sz="8" w:space="0" w:color="000000"/>
              <w:left w:val="nil"/>
              <w:bottom w:val="single" w:sz="8" w:space="0" w:color="000000"/>
              <w:right w:val="nil"/>
            </w:tcBorders>
          </w:tcPr>
          <w:p w:rsidR="00E8309B" w:rsidRDefault="00E8309B">
            <w:pPr>
              <w:spacing w:after="160" w:line="259" w:lineRule="auto"/>
              <w:ind w:left="0" w:right="0" w:firstLine="0"/>
              <w:jc w:val="left"/>
            </w:pPr>
          </w:p>
        </w:tc>
        <w:tc>
          <w:tcPr>
            <w:tcW w:w="1483" w:type="dxa"/>
            <w:tcBorders>
              <w:top w:val="single" w:sz="8" w:space="0" w:color="000000"/>
              <w:left w:val="nil"/>
              <w:bottom w:val="single" w:sz="8" w:space="0" w:color="000000"/>
              <w:right w:val="nil"/>
            </w:tcBorders>
          </w:tcPr>
          <w:p w:rsidR="00E8309B" w:rsidRDefault="00E8309B">
            <w:pPr>
              <w:spacing w:after="160" w:line="259" w:lineRule="auto"/>
              <w:ind w:left="0" w:right="0" w:firstLine="0"/>
              <w:jc w:val="left"/>
            </w:pPr>
          </w:p>
        </w:tc>
        <w:tc>
          <w:tcPr>
            <w:tcW w:w="1479" w:type="dxa"/>
            <w:tcBorders>
              <w:top w:val="single" w:sz="8" w:space="0" w:color="000000"/>
              <w:left w:val="nil"/>
              <w:bottom w:val="single" w:sz="8" w:space="0" w:color="000000"/>
              <w:right w:val="double" w:sz="6" w:space="0" w:color="000000"/>
            </w:tcBorders>
          </w:tcPr>
          <w:p w:rsidR="00E8309B" w:rsidRDefault="00E8309B">
            <w:pPr>
              <w:spacing w:after="160" w:line="259" w:lineRule="auto"/>
              <w:ind w:left="0" w:right="0" w:firstLine="0"/>
              <w:jc w:val="left"/>
            </w:pPr>
          </w:p>
        </w:tc>
      </w:tr>
      <w:tr w:rsidR="00E8309B">
        <w:trPr>
          <w:trHeight w:val="497"/>
        </w:trPr>
        <w:tc>
          <w:tcPr>
            <w:tcW w:w="4371" w:type="dxa"/>
            <w:tcBorders>
              <w:top w:val="single" w:sz="8" w:space="0" w:color="000000"/>
              <w:left w:val="double" w:sz="6" w:space="0" w:color="000000"/>
              <w:bottom w:val="dashed" w:sz="4" w:space="0" w:color="000000"/>
              <w:right w:val="dashed" w:sz="4" w:space="0" w:color="000000"/>
            </w:tcBorders>
          </w:tcPr>
          <w:p w:rsidR="00E8309B" w:rsidRDefault="009D0949">
            <w:pPr>
              <w:spacing w:after="0" w:line="259" w:lineRule="auto"/>
              <w:ind w:left="106" w:right="0" w:firstLine="0"/>
              <w:jc w:val="left"/>
            </w:pPr>
            <w:r>
              <w:rPr>
                <w:sz w:val="20"/>
              </w:rPr>
              <w:t xml:space="preserve">9. Финална домаћа тражња </w:t>
            </w:r>
          </w:p>
        </w:tc>
        <w:tc>
          <w:tcPr>
            <w:tcW w:w="1308" w:type="dxa"/>
            <w:tcBorders>
              <w:top w:val="single" w:sz="8" w:space="0" w:color="000000"/>
              <w:left w:val="dashed" w:sz="4" w:space="0" w:color="000000"/>
              <w:bottom w:val="dashed" w:sz="4" w:space="0" w:color="000000"/>
              <w:right w:val="single" w:sz="8" w:space="0" w:color="000000"/>
            </w:tcBorders>
          </w:tcPr>
          <w:p w:rsidR="00E8309B" w:rsidRDefault="00E8309B">
            <w:pPr>
              <w:spacing w:after="160" w:line="259" w:lineRule="auto"/>
              <w:ind w:left="0" w:right="0" w:firstLine="0"/>
              <w:jc w:val="left"/>
            </w:pPr>
          </w:p>
        </w:tc>
        <w:tc>
          <w:tcPr>
            <w:tcW w:w="1485" w:type="dxa"/>
            <w:tcBorders>
              <w:top w:val="single" w:sz="8" w:space="0" w:color="000000"/>
              <w:left w:val="single" w:sz="8" w:space="0" w:color="000000"/>
              <w:bottom w:val="dashed" w:sz="4" w:space="0" w:color="000000"/>
              <w:right w:val="single" w:sz="8" w:space="0" w:color="000000"/>
            </w:tcBorders>
          </w:tcPr>
          <w:p w:rsidR="00E8309B" w:rsidRDefault="009D0949">
            <w:pPr>
              <w:spacing w:after="0" w:line="259" w:lineRule="auto"/>
              <w:ind w:left="0" w:right="6" w:firstLine="0"/>
              <w:jc w:val="center"/>
            </w:pPr>
            <w:r>
              <w:rPr>
                <w:sz w:val="20"/>
              </w:rPr>
              <w:t xml:space="preserve">45,4 </w:t>
            </w:r>
          </w:p>
        </w:tc>
        <w:tc>
          <w:tcPr>
            <w:tcW w:w="1480" w:type="dxa"/>
            <w:tcBorders>
              <w:top w:val="single" w:sz="8" w:space="0" w:color="000000"/>
              <w:left w:val="single" w:sz="8" w:space="0" w:color="000000"/>
              <w:bottom w:val="dashed" w:sz="4" w:space="0" w:color="000000"/>
              <w:right w:val="dashed" w:sz="4" w:space="0" w:color="000000"/>
            </w:tcBorders>
          </w:tcPr>
          <w:p w:rsidR="00E8309B" w:rsidRDefault="009D0949">
            <w:pPr>
              <w:spacing w:after="0" w:line="259" w:lineRule="auto"/>
              <w:ind w:left="0" w:right="8" w:firstLine="0"/>
              <w:jc w:val="center"/>
            </w:pPr>
            <w:r>
              <w:rPr>
                <w:sz w:val="20"/>
              </w:rPr>
              <w:t xml:space="preserve">6,3 </w:t>
            </w:r>
          </w:p>
        </w:tc>
        <w:tc>
          <w:tcPr>
            <w:tcW w:w="1483" w:type="dxa"/>
            <w:tcBorders>
              <w:top w:val="single" w:sz="8" w:space="0" w:color="000000"/>
              <w:left w:val="dashed" w:sz="4" w:space="0" w:color="000000"/>
              <w:bottom w:val="dashed" w:sz="4" w:space="0" w:color="000000"/>
              <w:right w:val="dashed" w:sz="4" w:space="0" w:color="000000"/>
            </w:tcBorders>
          </w:tcPr>
          <w:p w:rsidR="00E8309B" w:rsidRDefault="009D0949">
            <w:pPr>
              <w:spacing w:after="0" w:line="259" w:lineRule="auto"/>
              <w:ind w:left="0" w:right="2" w:firstLine="0"/>
              <w:jc w:val="center"/>
            </w:pPr>
            <w:r>
              <w:rPr>
                <w:sz w:val="20"/>
              </w:rPr>
              <w:t xml:space="preserve">-1,5 </w:t>
            </w:r>
          </w:p>
        </w:tc>
        <w:tc>
          <w:tcPr>
            <w:tcW w:w="1484" w:type="dxa"/>
            <w:tcBorders>
              <w:top w:val="single" w:sz="8" w:space="0" w:color="000000"/>
              <w:left w:val="dashed" w:sz="4" w:space="0" w:color="000000"/>
              <w:bottom w:val="dashed" w:sz="4" w:space="0" w:color="000000"/>
              <w:right w:val="dashed" w:sz="4" w:space="0" w:color="000000"/>
            </w:tcBorders>
          </w:tcPr>
          <w:p w:rsidR="00E8309B" w:rsidRDefault="009D0949">
            <w:pPr>
              <w:spacing w:after="0" w:line="259" w:lineRule="auto"/>
              <w:ind w:left="1" w:right="0" w:firstLine="0"/>
              <w:jc w:val="center"/>
            </w:pPr>
            <w:r>
              <w:rPr>
                <w:sz w:val="20"/>
              </w:rPr>
              <w:t xml:space="preserve">6,7 </w:t>
            </w:r>
          </w:p>
        </w:tc>
        <w:tc>
          <w:tcPr>
            <w:tcW w:w="1483" w:type="dxa"/>
            <w:tcBorders>
              <w:top w:val="single" w:sz="8" w:space="0" w:color="000000"/>
              <w:left w:val="dashed" w:sz="4" w:space="0" w:color="000000"/>
              <w:bottom w:val="dashed" w:sz="4" w:space="0" w:color="000000"/>
              <w:right w:val="dashed" w:sz="4" w:space="0" w:color="000000"/>
            </w:tcBorders>
          </w:tcPr>
          <w:p w:rsidR="00E8309B" w:rsidRDefault="009D0949">
            <w:pPr>
              <w:spacing w:after="0" w:line="259" w:lineRule="auto"/>
              <w:ind w:left="1" w:right="0" w:firstLine="0"/>
              <w:jc w:val="center"/>
            </w:pPr>
            <w:r>
              <w:rPr>
                <w:sz w:val="20"/>
              </w:rPr>
              <w:t xml:space="preserve">4,0 </w:t>
            </w:r>
          </w:p>
        </w:tc>
        <w:tc>
          <w:tcPr>
            <w:tcW w:w="1479" w:type="dxa"/>
            <w:tcBorders>
              <w:top w:val="single" w:sz="8" w:space="0" w:color="000000"/>
              <w:left w:val="dashed" w:sz="4" w:space="0" w:color="000000"/>
              <w:bottom w:val="dashed" w:sz="4" w:space="0" w:color="000000"/>
              <w:right w:val="double" w:sz="6" w:space="0" w:color="000000"/>
            </w:tcBorders>
          </w:tcPr>
          <w:p w:rsidR="00E8309B" w:rsidRDefault="009D0949">
            <w:pPr>
              <w:spacing w:after="0" w:line="259" w:lineRule="auto"/>
              <w:ind w:left="0" w:right="4" w:firstLine="0"/>
              <w:jc w:val="center"/>
            </w:pPr>
            <w:r>
              <w:rPr>
                <w:sz w:val="20"/>
              </w:rPr>
              <w:t xml:space="preserve">4,1 </w:t>
            </w:r>
          </w:p>
        </w:tc>
      </w:tr>
      <w:tr w:rsidR="00E8309B">
        <w:trPr>
          <w:trHeight w:val="490"/>
        </w:trPr>
        <w:tc>
          <w:tcPr>
            <w:tcW w:w="4371" w:type="dxa"/>
            <w:tcBorders>
              <w:top w:val="dashed" w:sz="4" w:space="0" w:color="000000"/>
              <w:left w:val="double" w:sz="6" w:space="0" w:color="000000"/>
              <w:bottom w:val="dashed" w:sz="4" w:space="0" w:color="000000"/>
              <w:right w:val="dashed" w:sz="4" w:space="0" w:color="000000"/>
            </w:tcBorders>
          </w:tcPr>
          <w:p w:rsidR="00E8309B" w:rsidRDefault="009D0949">
            <w:pPr>
              <w:spacing w:after="0" w:line="259" w:lineRule="auto"/>
              <w:ind w:left="106" w:right="0" w:firstLine="0"/>
              <w:jc w:val="left"/>
            </w:pPr>
            <w:r>
              <w:rPr>
                <w:sz w:val="20"/>
              </w:rPr>
              <w:t xml:space="preserve">10. Промене у залихама и нето набавка драгоцености  </w:t>
            </w:r>
          </w:p>
        </w:tc>
        <w:tc>
          <w:tcPr>
            <w:tcW w:w="1308" w:type="dxa"/>
            <w:tcBorders>
              <w:top w:val="dashed" w:sz="4" w:space="0" w:color="000000"/>
              <w:left w:val="dashed" w:sz="4" w:space="0" w:color="000000"/>
              <w:bottom w:val="dashed" w:sz="4" w:space="0" w:color="000000"/>
              <w:right w:val="single" w:sz="8" w:space="0" w:color="000000"/>
            </w:tcBorders>
          </w:tcPr>
          <w:p w:rsidR="00E8309B" w:rsidRDefault="009D0949">
            <w:pPr>
              <w:spacing w:after="0" w:line="259" w:lineRule="auto"/>
              <w:ind w:left="0" w:right="2" w:firstLine="0"/>
              <w:jc w:val="center"/>
            </w:pPr>
            <w:r>
              <w:rPr>
                <w:sz w:val="20"/>
              </w:rPr>
              <w:t xml:space="preserve">P52+P53 </w:t>
            </w:r>
          </w:p>
        </w:tc>
        <w:tc>
          <w:tcPr>
            <w:tcW w:w="1485" w:type="dxa"/>
            <w:tcBorders>
              <w:top w:val="dashed" w:sz="4" w:space="0" w:color="000000"/>
              <w:left w:val="single" w:sz="8" w:space="0" w:color="000000"/>
              <w:bottom w:val="dashed" w:sz="4" w:space="0" w:color="000000"/>
              <w:right w:val="single" w:sz="8" w:space="0" w:color="000000"/>
            </w:tcBorders>
          </w:tcPr>
          <w:p w:rsidR="00E8309B" w:rsidRDefault="009D0949">
            <w:pPr>
              <w:spacing w:after="0" w:line="259" w:lineRule="auto"/>
              <w:ind w:left="0" w:right="6" w:firstLine="0"/>
              <w:jc w:val="center"/>
            </w:pPr>
            <w:r>
              <w:rPr>
                <w:sz w:val="20"/>
              </w:rPr>
              <w:t xml:space="preserve">1,3 </w:t>
            </w:r>
          </w:p>
        </w:tc>
        <w:tc>
          <w:tcPr>
            <w:tcW w:w="1480" w:type="dxa"/>
            <w:tcBorders>
              <w:top w:val="dashed" w:sz="4" w:space="0" w:color="000000"/>
              <w:left w:val="single" w:sz="8" w:space="0" w:color="000000"/>
              <w:bottom w:val="dashed" w:sz="4" w:space="0" w:color="000000"/>
              <w:right w:val="dashed" w:sz="4" w:space="0" w:color="000000"/>
            </w:tcBorders>
          </w:tcPr>
          <w:p w:rsidR="00E8309B" w:rsidRDefault="009D0949">
            <w:pPr>
              <w:spacing w:after="0" w:line="259" w:lineRule="auto"/>
              <w:ind w:left="0" w:right="8" w:firstLine="0"/>
              <w:jc w:val="center"/>
            </w:pPr>
            <w:r>
              <w:rPr>
                <w:sz w:val="20"/>
              </w:rPr>
              <w:t xml:space="preserve">0,5 </w:t>
            </w:r>
          </w:p>
        </w:tc>
        <w:tc>
          <w:tcPr>
            <w:tcW w:w="1483"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1" w:right="0" w:firstLine="0"/>
              <w:jc w:val="center"/>
            </w:pPr>
            <w:r>
              <w:rPr>
                <w:sz w:val="20"/>
              </w:rPr>
              <w:t xml:space="preserve">0,0 </w:t>
            </w:r>
          </w:p>
        </w:tc>
        <w:tc>
          <w:tcPr>
            <w:tcW w:w="1484"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1" w:right="0" w:firstLine="0"/>
              <w:jc w:val="center"/>
            </w:pPr>
            <w:r>
              <w:rPr>
                <w:sz w:val="20"/>
              </w:rPr>
              <w:t xml:space="preserve">0,0 </w:t>
            </w:r>
          </w:p>
        </w:tc>
        <w:tc>
          <w:tcPr>
            <w:tcW w:w="1483"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1" w:right="0" w:firstLine="0"/>
              <w:jc w:val="center"/>
            </w:pPr>
            <w:r>
              <w:rPr>
                <w:sz w:val="20"/>
              </w:rPr>
              <w:t xml:space="preserve">0,0 </w:t>
            </w:r>
          </w:p>
        </w:tc>
        <w:tc>
          <w:tcPr>
            <w:tcW w:w="1479" w:type="dxa"/>
            <w:tcBorders>
              <w:top w:val="dashed" w:sz="4" w:space="0" w:color="000000"/>
              <w:left w:val="dashed" w:sz="4" w:space="0" w:color="000000"/>
              <w:bottom w:val="dashed" w:sz="4" w:space="0" w:color="000000"/>
              <w:right w:val="double" w:sz="6" w:space="0" w:color="000000"/>
            </w:tcBorders>
          </w:tcPr>
          <w:p w:rsidR="00E8309B" w:rsidRDefault="009D0949">
            <w:pPr>
              <w:spacing w:after="0" w:line="259" w:lineRule="auto"/>
              <w:ind w:left="0" w:right="4" w:firstLine="0"/>
              <w:jc w:val="center"/>
            </w:pPr>
            <w:r>
              <w:rPr>
                <w:sz w:val="20"/>
              </w:rPr>
              <w:t xml:space="preserve">0,0 </w:t>
            </w:r>
          </w:p>
        </w:tc>
      </w:tr>
      <w:tr w:rsidR="00E8309B">
        <w:trPr>
          <w:trHeight w:val="565"/>
        </w:trPr>
        <w:tc>
          <w:tcPr>
            <w:tcW w:w="4371" w:type="dxa"/>
            <w:tcBorders>
              <w:top w:val="dashed" w:sz="4" w:space="0" w:color="000000"/>
              <w:left w:val="double" w:sz="6" w:space="0" w:color="000000"/>
              <w:bottom w:val="double" w:sz="6" w:space="0" w:color="000000"/>
              <w:right w:val="dashed" w:sz="4" w:space="0" w:color="000000"/>
            </w:tcBorders>
          </w:tcPr>
          <w:p w:rsidR="00E8309B" w:rsidRDefault="009D0949">
            <w:pPr>
              <w:spacing w:after="0" w:line="259" w:lineRule="auto"/>
              <w:ind w:left="106" w:right="0" w:firstLine="0"/>
              <w:jc w:val="left"/>
            </w:pPr>
            <w:r>
              <w:rPr>
                <w:sz w:val="20"/>
              </w:rPr>
              <w:t xml:space="preserve">11. Спољнотрговински биланс робе и услуга </w:t>
            </w:r>
          </w:p>
        </w:tc>
        <w:tc>
          <w:tcPr>
            <w:tcW w:w="1308" w:type="dxa"/>
            <w:tcBorders>
              <w:top w:val="dashed" w:sz="4" w:space="0" w:color="000000"/>
              <w:left w:val="dashed" w:sz="4" w:space="0" w:color="000000"/>
              <w:bottom w:val="double" w:sz="6" w:space="0" w:color="000000"/>
              <w:right w:val="single" w:sz="8" w:space="0" w:color="000000"/>
            </w:tcBorders>
          </w:tcPr>
          <w:p w:rsidR="00E8309B" w:rsidRDefault="009D0949">
            <w:pPr>
              <w:spacing w:after="0" w:line="259" w:lineRule="auto"/>
              <w:ind w:left="1" w:right="0" w:firstLine="0"/>
              <w:jc w:val="center"/>
            </w:pPr>
            <w:r>
              <w:rPr>
                <w:sz w:val="20"/>
              </w:rPr>
              <w:t xml:space="preserve">B11 </w:t>
            </w:r>
          </w:p>
        </w:tc>
        <w:tc>
          <w:tcPr>
            <w:tcW w:w="1485" w:type="dxa"/>
            <w:tcBorders>
              <w:top w:val="dashed" w:sz="4" w:space="0" w:color="000000"/>
              <w:left w:val="single" w:sz="8" w:space="0" w:color="000000"/>
              <w:bottom w:val="double" w:sz="6" w:space="0" w:color="000000"/>
              <w:right w:val="single" w:sz="8" w:space="0" w:color="000000"/>
            </w:tcBorders>
          </w:tcPr>
          <w:p w:rsidR="00E8309B" w:rsidRDefault="009D0949">
            <w:pPr>
              <w:spacing w:after="0" w:line="259" w:lineRule="auto"/>
              <w:ind w:left="0" w:right="8" w:firstLine="0"/>
              <w:jc w:val="center"/>
            </w:pPr>
            <w:r>
              <w:rPr>
                <w:sz w:val="20"/>
              </w:rPr>
              <w:t xml:space="preserve">-4,7 </w:t>
            </w:r>
          </w:p>
        </w:tc>
        <w:tc>
          <w:tcPr>
            <w:tcW w:w="1480" w:type="dxa"/>
            <w:tcBorders>
              <w:top w:val="dashed" w:sz="4" w:space="0" w:color="000000"/>
              <w:left w:val="single" w:sz="8" w:space="0" w:color="000000"/>
              <w:bottom w:val="double" w:sz="6" w:space="0" w:color="000000"/>
              <w:right w:val="dashed" w:sz="4" w:space="0" w:color="000000"/>
            </w:tcBorders>
          </w:tcPr>
          <w:p w:rsidR="00E8309B" w:rsidRDefault="009D0949">
            <w:pPr>
              <w:spacing w:after="0" w:line="259" w:lineRule="auto"/>
              <w:ind w:left="0" w:right="10" w:firstLine="0"/>
              <w:jc w:val="center"/>
            </w:pPr>
            <w:r>
              <w:rPr>
                <w:sz w:val="20"/>
              </w:rPr>
              <w:t xml:space="preserve">-2,6 </w:t>
            </w:r>
          </w:p>
        </w:tc>
        <w:tc>
          <w:tcPr>
            <w:tcW w:w="1483" w:type="dxa"/>
            <w:tcBorders>
              <w:top w:val="dashed" w:sz="4" w:space="0" w:color="000000"/>
              <w:left w:val="dashed" w:sz="4" w:space="0" w:color="000000"/>
              <w:bottom w:val="double" w:sz="6" w:space="0" w:color="000000"/>
              <w:right w:val="dashed" w:sz="4" w:space="0" w:color="000000"/>
            </w:tcBorders>
          </w:tcPr>
          <w:p w:rsidR="00E8309B" w:rsidRDefault="009D0949">
            <w:pPr>
              <w:spacing w:after="0" w:line="259" w:lineRule="auto"/>
              <w:ind w:left="1" w:right="0" w:firstLine="0"/>
              <w:jc w:val="center"/>
            </w:pPr>
            <w:r>
              <w:rPr>
                <w:sz w:val="20"/>
              </w:rPr>
              <w:t xml:space="preserve">0,5 </w:t>
            </w:r>
          </w:p>
        </w:tc>
        <w:tc>
          <w:tcPr>
            <w:tcW w:w="1484" w:type="dxa"/>
            <w:tcBorders>
              <w:top w:val="dashed" w:sz="4" w:space="0" w:color="000000"/>
              <w:left w:val="dashed" w:sz="4" w:space="0" w:color="000000"/>
              <w:bottom w:val="double" w:sz="6" w:space="0" w:color="000000"/>
              <w:right w:val="dashed" w:sz="4" w:space="0" w:color="000000"/>
            </w:tcBorders>
          </w:tcPr>
          <w:p w:rsidR="00E8309B" w:rsidRDefault="009D0949">
            <w:pPr>
              <w:spacing w:after="0" w:line="259" w:lineRule="auto"/>
              <w:ind w:left="0" w:right="1" w:firstLine="0"/>
              <w:jc w:val="center"/>
            </w:pPr>
            <w:r>
              <w:rPr>
                <w:sz w:val="20"/>
              </w:rPr>
              <w:t xml:space="preserve">-0,8 </w:t>
            </w:r>
          </w:p>
        </w:tc>
        <w:tc>
          <w:tcPr>
            <w:tcW w:w="1483" w:type="dxa"/>
            <w:tcBorders>
              <w:top w:val="dashed" w:sz="4" w:space="0" w:color="000000"/>
              <w:left w:val="dashed" w:sz="4" w:space="0" w:color="000000"/>
              <w:bottom w:val="double" w:sz="6" w:space="0" w:color="000000"/>
              <w:right w:val="dashed" w:sz="4" w:space="0" w:color="000000"/>
            </w:tcBorders>
          </w:tcPr>
          <w:p w:rsidR="00E8309B" w:rsidRDefault="009D0949">
            <w:pPr>
              <w:spacing w:after="0" w:line="259" w:lineRule="auto"/>
              <w:ind w:left="0" w:right="2" w:firstLine="0"/>
              <w:jc w:val="center"/>
            </w:pPr>
            <w:r>
              <w:rPr>
                <w:sz w:val="20"/>
              </w:rPr>
              <w:t xml:space="preserve">-0,1 </w:t>
            </w:r>
          </w:p>
        </w:tc>
        <w:tc>
          <w:tcPr>
            <w:tcW w:w="1479" w:type="dxa"/>
            <w:tcBorders>
              <w:top w:val="dashed" w:sz="4" w:space="0" w:color="000000"/>
              <w:left w:val="dashed" w:sz="4" w:space="0" w:color="000000"/>
              <w:bottom w:val="double" w:sz="6" w:space="0" w:color="000000"/>
              <w:right w:val="double" w:sz="6" w:space="0" w:color="000000"/>
            </w:tcBorders>
          </w:tcPr>
          <w:p w:rsidR="00E8309B" w:rsidRDefault="009D0949">
            <w:pPr>
              <w:spacing w:after="0" w:line="259" w:lineRule="auto"/>
              <w:ind w:left="0" w:right="4" w:firstLine="0"/>
              <w:jc w:val="center"/>
            </w:pPr>
            <w:r>
              <w:rPr>
                <w:sz w:val="20"/>
              </w:rPr>
              <w:t xml:space="preserve">0,0 </w:t>
            </w:r>
          </w:p>
        </w:tc>
      </w:tr>
    </w:tbl>
    <w:p w:rsidR="00E8309B" w:rsidRDefault="009D0949">
      <w:pPr>
        <w:spacing w:after="96" w:line="259" w:lineRule="auto"/>
        <w:ind w:left="0" w:right="0" w:firstLine="0"/>
        <w:jc w:val="left"/>
      </w:pPr>
      <w:r>
        <w:rPr>
          <w:sz w:val="22"/>
        </w:rPr>
        <w:t xml:space="preserve"> </w:t>
      </w:r>
    </w:p>
    <w:p w:rsidR="00E8309B" w:rsidRDefault="009D0949">
      <w:pPr>
        <w:spacing w:after="0" w:line="259" w:lineRule="auto"/>
        <w:ind w:left="0" w:right="0" w:firstLine="0"/>
        <w:jc w:val="left"/>
      </w:pPr>
      <w:r>
        <w:rPr>
          <w:sz w:val="22"/>
        </w:rPr>
        <w:t xml:space="preserve"> </w:t>
      </w:r>
      <w:r>
        <w:rPr>
          <w:sz w:val="22"/>
        </w:rPr>
        <w:tab/>
        <w:t xml:space="preserve"> </w:t>
      </w:r>
    </w:p>
    <w:p w:rsidR="00E8309B" w:rsidRDefault="009D0949">
      <w:pPr>
        <w:spacing w:after="168" w:line="259" w:lineRule="auto"/>
        <w:ind w:left="0" w:right="0" w:firstLine="0"/>
        <w:jc w:val="left"/>
      </w:pPr>
      <w:r>
        <w:rPr>
          <w:sz w:val="22"/>
        </w:rPr>
        <w:t xml:space="preserve"> </w:t>
      </w:r>
    </w:p>
    <w:p w:rsidR="00E8309B" w:rsidRDefault="009D0949">
      <w:pPr>
        <w:tabs>
          <w:tab w:val="center" w:pos="5190"/>
          <w:tab w:val="center" w:pos="6627"/>
          <w:tab w:val="center" w:pos="8008"/>
          <w:tab w:val="center" w:pos="9385"/>
          <w:tab w:val="center" w:pos="10764"/>
          <w:tab w:val="right" w:pos="14522"/>
        </w:tabs>
        <w:spacing w:after="0" w:line="259" w:lineRule="auto"/>
        <w:ind w:left="0" w:right="0" w:firstLine="0"/>
        <w:jc w:val="left"/>
      </w:pPr>
      <w:r>
        <w:rPr>
          <w:b/>
          <w:sz w:val="20"/>
        </w:rPr>
        <w:t xml:space="preserve">Табела 1b: Кретање цена </w:t>
      </w:r>
      <w:r>
        <w:rPr>
          <w:b/>
          <w:sz w:val="20"/>
        </w:rPr>
        <w:tab/>
        <w:t xml:space="preserve">  </w:t>
      </w:r>
      <w:r>
        <w:rPr>
          <w:b/>
          <w:sz w:val="20"/>
        </w:rPr>
        <w:tab/>
      </w:r>
      <w:r>
        <w:rPr>
          <w:sz w:val="20"/>
        </w:rPr>
        <w:t xml:space="preserve">  </w:t>
      </w:r>
      <w:r>
        <w:rPr>
          <w:sz w:val="20"/>
        </w:rPr>
        <w:tab/>
        <w:t xml:space="preserve">  </w:t>
      </w:r>
      <w:r>
        <w:rPr>
          <w:sz w:val="20"/>
        </w:rPr>
        <w:tab/>
        <w:t xml:space="preserve">  </w:t>
      </w:r>
      <w:r>
        <w:rPr>
          <w:sz w:val="20"/>
        </w:rPr>
        <w:tab/>
        <w:t xml:space="preserve">  </w:t>
      </w:r>
      <w:r>
        <w:rPr>
          <w:sz w:val="20"/>
        </w:rPr>
        <w:tab/>
      </w:r>
      <w:r>
        <w:rPr>
          <w:b/>
          <w:sz w:val="20"/>
        </w:rPr>
        <w:t>Република Србија</w:t>
      </w:r>
      <w:r>
        <w:rPr>
          <w:sz w:val="20"/>
        </w:rPr>
        <w:t xml:space="preserve"> </w:t>
      </w:r>
    </w:p>
    <w:tbl>
      <w:tblPr>
        <w:tblStyle w:val="TableGrid"/>
        <w:tblW w:w="14573" w:type="dxa"/>
        <w:tblInd w:w="0" w:type="dxa"/>
        <w:tblCellMar>
          <w:top w:w="10" w:type="dxa"/>
          <w:left w:w="108" w:type="dxa"/>
          <w:bottom w:w="0" w:type="dxa"/>
          <w:right w:w="115" w:type="dxa"/>
        </w:tblCellMar>
        <w:tblLook w:val="04A0" w:firstRow="1" w:lastRow="0" w:firstColumn="1" w:lastColumn="0" w:noHBand="0" w:noVBand="1"/>
      </w:tblPr>
      <w:tblGrid>
        <w:gridCol w:w="5082"/>
        <w:gridCol w:w="1438"/>
        <w:gridCol w:w="1608"/>
        <w:gridCol w:w="1613"/>
        <w:gridCol w:w="1609"/>
        <w:gridCol w:w="1613"/>
        <w:gridCol w:w="1611"/>
      </w:tblGrid>
      <w:tr w:rsidR="00E8309B">
        <w:trPr>
          <w:trHeight w:val="433"/>
        </w:trPr>
        <w:tc>
          <w:tcPr>
            <w:tcW w:w="5082" w:type="dxa"/>
            <w:vMerge w:val="restart"/>
            <w:tcBorders>
              <w:top w:val="double" w:sz="6" w:space="0" w:color="000000"/>
              <w:left w:val="double" w:sz="6" w:space="0" w:color="000000"/>
              <w:bottom w:val="single" w:sz="8" w:space="0" w:color="000000"/>
              <w:right w:val="dashed" w:sz="4" w:space="0" w:color="000000"/>
            </w:tcBorders>
            <w:vAlign w:val="center"/>
          </w:tcPr>
          <w:p w:rsidR="00E8309B" w:rsidRDefault="009D0949">
            <w:pPr>
              <w:spacing w:after="0" w:line="259" w:lineRule="auto"/>
              <w:ind w:left="2" w:right="0" w:firstLine="0"/>
              <w:jc w:val="left"/>
            </w:pPr>
            <w:r>
              <w:rPr>
                <w:sz w:val="20"/>
              </w:rPr>
              <w:t xml:space="preserve">Процентуалне промене, годишњи просек </w:t>
            </w:r>
          </w:p>
        </w:tc>
        <w:tc>
          <w:tcPr>
            <w:tcW w:w="1438" w:type="dxa"/>
            <w:vMerge w:val="restart"/>
            <w:tcBorders>
              <w:top w:val="double" w:sz="6" w:space="0" w:color="000000"/>
              <w:left w:val="dashed" w:sz="4" w:space="0" w:color="000000"/>
              <w:bottom w:val="single" w:sz="8" w:space="0" w:color="000000"/>
              <w:right w:val="single" w:sz="8" w:space="0" w:color="000000"/>
            </w:tcBorders>
            <w:vAlign w:val="bottom"/>
          </w:tcPr>
          <w:p w:rsidR="00E8309B" w:rsidRDefault="009D0949">
            <w:pPr>
              <w:spacing w:after="80" w:line="259" w:lineRule="auto"/>
              <w:ind w:left="1" w:right="0" w:firstLine="0"/>
              <w:jc w:val="center"/>
            </w:pPr>
            <w:r>
              <w:rPr>
                <w:sz w:val="20"/>
              </w:rPr>
              <w:t xml:space="preserve">ESA шифра </w:t>
            </w:r>
          </w:p>
          <w:p w:rsidR="00E8309B" w:rsidRDefault="009D0949">
            <w:pPr>
              <w:spacing w:after="0" w:line="259" w:lineRule="auto"/>
              <w:ind w:left="0" w:right="0" w:firstLine="0"/>
              <w:jc w:val="left"/>
            </w:pPr>
            <w:r>
              <w:rPr>
                <w:sz w:val="20"/>
              </w:rPr>
              <w:t xml:space="preserve"> </w:t>
            </w:r>
          </w:p>
        </w:tc>
        <w:tc>
          <w:tcPr>
            <w:tcW w:w="1608" w:type="dxa"/>
            <w:tcBorders>
              <w:top w:val="double" w:sz="6" w:space="0" w:color="000000"/>
              <w:left w:val="single" w:sz="8" w:space="0" w:color="000000"/>
              <w:bottom w:val="single" w:sz="18" w:space="0" w:color="FFFFFF"/>
              <w:right w:val="dashed" w:sz="4" w:space="0" w:color="000000"/>
            </w:tcBorders>
            <w:vAlign w:val="bottom"/>
          </w:tcPr>
          <w:p w:rsidR="00E8309B" w:rsidRDefault="009D0949">
            <w:pPr>
              <w:spacing w:after="0" w:line="259" w:lineRule="auto"/>
              <w:ind w:left="5" w:right="0" w:firstLine="0"/>
              <w:jc w:val="center"/>
            </w:pPr>
            <w:r>
              <w:rPr>
                <w:sz w:val="20"/>
              </w:rPr>
              <w:t xml:space="preserve">год. </w:t>
            </w:r>
          </w:p>
        </w:tc>
        <w:tc>
          <w:tcPr>
            <w:tcW w:w="1613" w:type="dxa"/>
            <w:vMerge w:val="restart"/>
            <w:tcBorders>
              <w:top w:val="double" w:sz="6" w:space="0" w:color="000000"/>
              <w:left w:val="dashed" w:sz="4" w:space="0" w:color="000000"/>
              <w:bottom w:val="single" w:sz="4" w:space="0" w:color="FFFFFF"/>
              <w:right w:val="dashed" w:sz="4" w:space="0" w:color="000000"/>
            </w:tcBorders>
            <w:vAlign w:val="bottom"/>
          </w:tcPr>
          <w:p w:rsidR="00E8309B" w:rsidRDefault="009D0949">
            <w:pPr>
              <w:spacing w:after="27" w:line="259" w:lineRule="auto"/>
              <w:ind w:left="9" w:right="0" w:firstLine="0"/>
              <w:jc w:val="center"/>
            </w:pPr>
            <w:r>
              <w:rPr>
                <w:sz w:val="20"/>
              </w:rPr>
              <w:t xml:space="preserve">год. </w:t>
            </w:r>
          </w:p>
          <w:p w:rsidR="00E8309B" w:rsidRDefault="009D0949">
            <w:pPr>
              <w:spacing w:after="0" w:line="259" w:lineRule="auto"/>
              <w:ind w:left="11" w:right="0" w:firstLine="0"/>
              <w:jc w:val="center"/>
            </w:pPr>
            <w:r>
              <w:rPr>
                <w:sz w:val="20"/>
              </w:rPr>
              <w:t xml:space="preserve">2020 </w:t>
            </w:r>
          </w:p>
        </w:tc>
        <w:tc>
          <w:tcPr>
            <w:tcW w:w="1609" w:type="dxa"/>
            <w:vMerge w:val="restart"/>
            <w:tcBorders>
              <w:top w:val="double" w:sz="6" w:space="0" w:color="000000"/>
              <w:left w:val="dashed" w:sz="4" w:space="0" w:color="000000"/>
              <w:bottom w:val="single" w:sz="4" w:space="0" w:color="FFFFFF"/>
              <w:right w:val="dashed" w:sz="4" w:space="0" w:color="000000"/>
            </w:tcBorders>
            <w:vAlign w:val="bottom"/>
          </w:tcPr>
          <w:p w:rsidR="00E8309B" w:rsidRDefault="009D0949">
            <w:pPr>
              <w:spacing w:after="27" w:line="259" w:lineRule="auto"/>
              <w:ind w:left="5" w:right="0" w:firstLine="0"/>
              <w:jc w:val="center"/>
            </w:pPr>
            <w:r>
              <w:rPr>
                <w:sz w:val="20"/>
              </w:rPr>
              <w:t xml:space="preserve">год. </w:t>
            </w:r>
          </w:p>
          <w:p w:rsidR="00E8309B" w:rsidRDefault="009D0949">
            <w:pPr>
              <w:spacing w:after="0" w:line="259" w:lineRule="auto"/>
              <w:ind w:left="5" w:right="0" w:firstLine="0"/>
              <w:jc w:val="center"/>
            </w:pPr>
            <w:r>
              <w:rPr>
                <w:sz w:val="20"/>
              </w:rPr>
              <w:t xml:space="preserve">2021 </w:t>
            </w:r>
          </w:p>
        </w:tc>
        <w:tc>
          <w:tcPr>
            <w:tcW w:w="1613" w:type="dxa"/>
            <w:vMerge w:val="restart"/>
            <w:tcBorders>
              <w:top w:val="double" w:sz="6" w:space="0" w:color="000000"/>
              <w:left w:val="dashed" w:sz="4" w:space="0" w:color="000000"/>
              <w:bottom w:val="single" w:sz="4" w:space="0" w:color="FFFFFF"/>
              <w:right w:val="dashed" w:sz="4" w:space="0" w:color="000000"/>
            </w:tcBorders>
            <w:vAlign w:val="bottom"/>
          </w:tcPr>
          <w:p w:rsidR="00E8309B" w:rsidRDefault="009D0949">
            <w:pPr>
              <w:spacing w:after="27" w:line="259" w:lineRule="auto"/>
              <w:ind w:left="5" w:right="0" w:firstLine="0"/>
              <w:jc w:val="center"/>
            </w:pPr>
            <w:r>
              <w:rPr>
                <w:sz w:val="20"/>
              </w:rPr>
              <w:t xml:space="preserve">год. </w:t>
            </w:r>
          </w:p>
          <w:p w:rsidR="00E8309B" w:rsidRDefault="009D0949">
            <w:pPr>
              <w:spacing w:after="0" w:line="259" w:lineRule="auto"/>
              <w:ind w:left="6" w:right="0" w:firstLine="0"/>
              <w:jc w:val="center"/>
            </w:pPr>
            <w:r>
              <w:rPr>
                <w:sz w:val="20"/>
              </w:rPr>
              <w:t xml:space="preserve">2022 </w:t>
            </w:r>
          </w:p>
        </w:tc>
        <w:tc>
          <w:tcPr>
            <w:tcW w:w="1611" w:type="dxa"/>
            <w:tcBorders>
              <w:top w:val="double" w:sz="6" w:space="0" w:color="000000"/>
              <w:left w:val="dashed" w:sz="4" w:space="0" w:color="000000"/>
              <w:bottom w:val="single" w:sz="18" w:space="0" w:color="FFFFFF"/>
              <w:right w:val="double" w:sz="6" w:space="0" w:color="000000"/>
            </w:tcBorders>
            <w:vAlign w:val="bottom"/>
          </w:tcPr>
          <w:p w:rsidR="00E8309B" w:rsidRDefault="009D0949">
            <w:pPr>
              <w:spacing w:after="0" w:line="259" w:lineRule="auto"/>
              <w:ind w:left="7" w:right="0" w:firstLine="0"/>
              <w:jc w:val="center"/>
            </w:pPr>
            <w:r>
              <w:rPr>
                <w:sz w:val="20"/>
              </w:rPr>
              <w:t xml:space="preserve">год. </w:t>
            </w:r>
          </w:p>
        </w:tc>
      </w:tr>
      <w:tr w:rsidR="00E8309B">
        <w:trPr>
          <w:trHeight w:val="352"/>
        </w:trPr>
        <w:tc>
          <w:tcPr>
            <w:tcW w:w="0" w:type="auto"/>
            <w:vMerge/>
            <w:tcBorders>
              <w:top w:val="nil"/>
              <w:left w:val="double" w:sz="6" w:space="0" w:color="000000"/>
              <w:bottom w:val="single" w:sz="8" w:space="0" w:color="000000"/>
              <w:right w:val="dashed" w:sz="4" w:space="0" w:color="000000"/>
            </w:tcBorders>
          </w:tcPr>
          <w:p w:rsidR="00E8309B" w:rsidRDefault="00E8309B">
            <w:pPr>
              <w:spacing w:after="160" w:line="259" w:lineRule="auto"/>
              <w:ind w:left="0" w:right="0" w:firstLine="0"/>
              <w:jc w:val="left"/>
            </w:pPr>
          </w:p>
        </w:tc>
        <w:tc>
          <w:tcPr>
            <w:tcW w:w="0" w:type="auto"/>
            <w:vMerge/>
            <w:tcBorders>
              <w:top w:val="nil"/>
              <w:left w:val="dashed" w:sz="4" w:space="0" w:color="000000"/>
              <w:bottom w:val="single" w:sz="8" w:space="0" w:color="000000"/>
              <w:right w:val="single" w:sz="8" w:space="0" w:color="000000"/>
            </w:tcBorders>
          </w:tcPr>
          <w:p w:rsidR="00E8309B" w:rsidRDefault="00E8309B">
            <w:pPr>
              <w:spacing w:after="160" w:line="259" w:lineRule="auto"/>
              <w:ind w:left="0" w:right="0" w:firstLine="0"/>
              <w:jc w:val="left"/>
            </w:pPr>
          </w:p>
        </w:tc>
        <w:tc>
          <w:tcPr>
            <w:tcW w:w="1608" w:type="dxa"/>
            <w:tcBorders>
              <w:top w:val="single" w:sz="18" w:space="0" w:color="FFFFFF"/>
              <w:left w:val="single" w:sz="8" w:space="0" w:color="000000"/>
              <w:bottom w:val="single" w:sz="4" w:space="0" w:color="FFFFFF"/>
              <w:right w:val="dashed" w:sz="4" w:space="0" w:color="000000"/>
            </w:tcBorders>
          </w:tcPr>
          <w:p w:rsidR="00E8309B" w:rsidRDefault="009D0949">
            <w:pPr>
              <w:spacing w:after="0" w:line="259" w:lineRule="auto"/>
              <w:ind w:left="6" w:right="0" w:firstLine="0"/>
              <w:jc w:val="center"/>
            </w:pPr>
            <w:r>
              <w:rPr>
                <w:sz w:val="20"/>
              </w:rPr>
              <w:t xml:space="preserve">2019 </w:t>
            </w:r>
          </w:p>
        </w:tc>
        <w:tc>
          <w:tcPr>
            <w:tcW w:w="0" w:type="auto"/>
            <w:vMerge/>
            <w:tcBorders>
              <w:top w:val="nil"/>
              <w:left w:val="dashed" w:sz="4" w:space="0" w:color="000000"/>
              <w:bottom w:val="single" w:sz="4" w:space="0" w:color="FFFFFF"/>
              <w:right w:val="dashed" w:sz="4" w:space="0" w:color="000000"/>
            </w:tcBorders>
          </w:tcPr>
          <w:p w:rsidR="00E8309B" w:rsidRDefault="00E8309B">
            <w:pPr>
              <w:spacing w:after="160" w:line="259" w:lineRule="auto"/>
              <w:ind w:left="0" w:right="0" w:firstLine="0"/>
              <w:jc w:val="left"/>
            </w:pPr>
          </w:p>
        </w:tc>
        <w:tc>
          <w:tcPr>
            <w:tcW w:w="0" w:type="auto"/>
            <w:vMerge/>
            <w:tcBorders>
              <w:top w:val="nil"/>
              <w:left w:val="dashed" w:sz="4" w:space="0" w:color="000000"/>
              <w:bottom w:val="single" w:sz="4" w:space="0" w:color="FFFFFF"/>
              <w:right w:val="dashed" w:sz="4" w:space="0" w:color="000000"/>
            </w:tcBorders>
          </w:tcPr>
          <w:p w:rsidR="00E8309B" w:rsidRDefault="00E8309B">
            <w:pPr>
              <w:spacing w:after="160" w:line="259" w:lineRule="auto"/>
              <w:ind w:left="0" w:right="0" w:firstLine="0"/>
              <w:jc w:val="left"/>
            </w:pPr>
          </w:p>
        </w:tc>
        <w:tc>
          <w:tcPr>
            <w:tcW w:w="0" w:type="auto"/>
            <w:vMerge/>
            <w:tcBorders>
              <w:top w:val="nil"/>
              <w:left w:val="dashed" w:sz="4" w:space="0" w:color="000000"/>
              <w:bottom w:val="single" w:sz="4" w:space="0" w:color="FFFFFF"/>
              <w:right w:val="dashed" w:sz="4" w:space="0" w:color="000000"/>
            </w:tcBorders>
          </w:tcPr>
          <w:p w:rsidR="00E8309B" w:rsidRDefault="00E8309B">
            <w:pPr>
              <w:spacing w:after="160" w:line="259" w:lineRule="auto"/>
              <w:ind w:left="0" w:right="0" w:firstLine="0"/>
              <w:jc w:val="left"/>
            </w:pPr>
          </w:p>
        </w:tc>
        <w:tc>
          <w:tcPr>
            <w:tcW w:w="1611" w:type="dxa"/>
            <w:tcBorders>
              <w:top w:val="single" w:sz="18" w:space="0" w:color="FFFFFF"/>
              <w:left w:val="dashed" w:sz="4" w:space="0" w:color="000000"/>
              <w:bottom w:val="single" w:sz="4" w:space="0" w:color="FFFFFF"/>
              <w:right w:val="double" w:sz="6" w:space="0" w:color="000000"/>
            </w:tcBorders>
          </w:tcPr>
          <w:p w:rsidR="00E8309B" w:rsidRDefault="009D0949">
            <w:pPr>
              <w:spacing w:after="0" w:line="259" w:lineRule="auto"/>
              <w:ind w:left="8" w:right="0" w:firstLine="0"/>
              <w:jc w:val="center"/>
            </w:pPr>
            <w:r>
              <w:rPr>
                <w:sz w:val="20"/>
              </w:rPr>
              <w:t xml:space="preserve">2023 </w:t>
            </w:r>
          </w:p>
        </w:tc>
      </w:tr>
      <w:tr w:rsidR="00E8309B">
        <w:trPr>
          <w:trHeight w:val="475"/>
        </w:trPr>
        <w:tc>
          <w:tcPr>
            <w:tcW w:w="5082" w:type="dxa"/>
            <w:tcBorders>
              <w:top w:val="single" w:sz="8" w:space="0" w:color="000000"/>
              <w:left w:val="double" w:sz="6" w:space="0" w:color="000000"/>
              <w:bottom w:val="dashed" w:sz="4" w:space="0" w:color="000000"/>
              <w:right w:val="dashed" w:sz="4" w:space="0" w:color="000000"/>
            </w:tcBorders>
          </w:tcPr>
          <w:p w:rsidR="00E8309B" w:rsidRDefault="009D0949">
            <w:pPr>
              <w:spacing w:after="0" w:line="259" w:lineRule="auto"/>
              <w:ind w:left="2" w:right="0" w:firstLine="0"/>
              <w:jc w:val="left"/>
            </w:pPr>
            <w:r>
              <w:rPr>
                <w:sz w:val="20"/>
              </w:rPr>
              <w:t xml:space="preserve">1. Дефлатор БДП-а </w:t>
            </w:r>
          </w:p>
        </w:tc>
        <w:tc>
          <w:tcPr>
            <w:tcW w:w="1438" w:type="dxa"/>
            <w:tcBorders>
              <w:top w:val="single" w:sz="8" w:space="0" w:color="000000"/>
              <w:left w:val="dashed" w:sz="4" w:space="0" w:color="000000"/>
              <w:bottom w:val="dashed" w:sz="4" w:space="0" w:color="000000"/>
              <w:right w:val="single" w:sz="8" w:space="0" w:color="000000"/>
            </w:tcBorders>
            <w:vAlign w:val="bottom"/>
          </w:tcPr>
          <w:p w:rsidR="00E8309B" w:rsidRDefault="009D0949">
            <w:pPr>
              <w:spacing w:after="0" w:line="259" w:lineRule="auto"/>
              <w:ind w:left="0" w:right="0" w:firstLine="0"/>
              <w:jc w:val="left"/>
            </w:pPr>
            <w:r>
              <w:rPr>
                <w:sz w:val="20"/>
              </w:rPr>
              <w:t xml:space="preserve"> </w:t>
            </w:r>
          </w:p>
        </w:tc>
        <w:tc>
          <w:tcPr>
            <w:tcW w:w="1608" w:type="dxa"/>
            <w:tcBorders>
              <w:top w:val="single" w:sz="4" w:space="0" w:color="FFFFFF"/>
              <w:left w:val="single" w:sz="8" w:space="0" w:color="000000"/>
              <w:bottom w:val="dashed" w:sz="4" w:space="0" w:color="000000"/>
              <w:right w:val="dashed" w:sz="4" w:space="0" w:color="000000"/>
            </w:tcBorders>
          </w:tcPr>
          <w:p w:rsidR="00E8309B" w:rsidRDefault="009D0949">
            <w:pPr>
              <w:spacing w:after="0" w:line="259" w:lineRule="auto"/>
              <w:ind w:left="8" w:right="0" w:firstLine="0"/>
              <w:jc w:val="center"/>
            </w:pPr>
            <w:r>
              <w:rPr>
                <w:sz w:val="20"/>
              </w:rPr>
              <w:t xml:space="preserve">2,4 </w:t>
            </w:r>
          </w:p>
        </w:tc>
        <w:tc>
          <w:tcPr>
            <w:tcW w:w="1613" w:type="dxa"/>
            <w:tcBorders>
              <w:top w:val="single" w:sz="4" w:space="0" w:color="FFFFFF"/>
              <w:left w:val="dashed" w:sz="4" w:space="0" w:color="000000"/>
              <w:bottom w:val="dashed" w:sz="4" w:space="0" w:color="000000"/>
              <w:right w:val="dashed" w:sz="4" w:space="0" w:color="000000"/>
            </w:tcBorders>
          </w:tcPr>
          <w:p w:rsidR="00E8309B" w:rsidRDefault="009D0949">
            <w:pPr>
              <w:spacing w:after="0" w:line="259" w:lineRule="auto"/>
              <w:ind w:left="8" w:right="0" w:firstLine="0"/>
              <w:jc w:val="center"/>
            </w:pPr>
            <w:r>
              <w:rPr>
                <w:sz w:val="20"/>
              </w:rPr>
              <w:t xml:space="preserve">2,9 </w:t>
            </w:r>
          </w:p>
        </w:tc>
        <w:tc>
          <w:tcPr>
            <w:tcW w:w="1609" w:type="dxa"/>
            <w:tcBorders>
              <w:top w:val="single" w:sz="4" w:space="0" w:color="FFFFFF"/>
              <w:left w:val="dashed" w:sz="4" w:space="0" w:color="000000"/>
              <w:bottom w:val="dashed" w:sz="4" w:space="0" w:color="000000"/>
              <w:right w:val="dashed" w:sz="4" w:space="0" w:color="000000"/>
            </w:tcBorders>
          </w:tcPr>
          <w:p w:rsidR="00E8309B" w:rsidRDefault="009D0949">
            <w:pPr>
              <w:spacing w:after="0" w:line="259" w:lineRule="auto"/>
              <w:ind w:left="9" w:right="0" w:firstLine="0"/>
              <w:jc w:val="center"/>
            </w:pPr>
            <w:r>
              <w:rPr>
                <w:sz w:val="20"/>
              </w:rPr>
              <w:t xml:space="preserve">2,6 </w:t>
            </w:r>
          </w:p>
        </w:tc>
        <w:tc>
          <w:tcPr>
            <w:tcW w:w="1613" w:type="dxa"/>
            <w:tcBorders>
              <w:top w:val="single" w:sz="4" w:space="0" w:color="FFFFFF"/>
              <w:left w:val="dashed" w:sz="4" w:space="0" w:color="000000"/>
              <w:bottom w:val="dashed" w:sz="4" w:space="0" w:color="000000"/>
              <w:right w:val="dashed" w:sz="4" w:space="0" w:color="000000"/>
            </w:tcBorders>
          </w:tcPr>
          <w:p w:rsidR="00E8309B" w:rsidRDefault="009D0949">
            <w:pPr>
              <w:spacing w:after="0" w:line="259" w:lineRule="auto"/>
              <w:ind w:left="8" w:right="0" w:firstLine="0"/>
              <w:jc w:val="center"/>
            </w:pPr>
            <w:r>
              <w:rPr>
                <w:sz w:val="20"/>
              </w:rPr>
              <w:t xml:space="preserve">2,7 </w:t>
            </w:r>
          </w:p>
        </w:tc>
        <w:tc>
          <w:tcPr>
            <w:tcW w:w="1611" w:type="dxa"/>
            <w:tcBorders>
              <w:top w:val="single" w:sz="4" w:space="0" w:color="FFFFFF"/>
              <w:left w:val="dashed" w:sz="4" w:space="0" w:color="000000"/>
              <w:bottom w:val="dashed" w:sz="4" w:space="0" w:color="000000"/>
              <w:right w:val="double" w:sz="6" w:space="0" w:color="000000"/>
            </w:tcBorders>
          </w:tcPr>
          <w:p w:rsidR="00E8309B" w:rsidRDefault="009D0949">
            <w:pPr>
              <w:spacing w:after="0" w:line="259" w:lineRule="auto"/>
              <w:ind w:left="5" w:right="0" w:firstLine="0"/>
              <w:jc w:val="center"/>
            </w:pPr>
            <w:r>
              <w:rPr>
                <w:sz w:val="20"/>
              </w:rPr>
              <w:t xml:space="preserve">3,1 </w:t>
            </w:r>
          </w:p>
        </w:tc>
      </w:tr>
      <w:tr w:rsidR="00E8309B">
        <w:trPr>
          <w:trHeight w:val="471"/>
        </w:trPr>
        <w:tc>
          <w:tcPr>
            <w:tcW w:w="5082" w:type="dxa"/>
            <w:tcBorders>
              <w:top w:val="dashed" w:sz="4" w:space="0" w:color="000000"/>
              <w:left w:val="double" w:sz="6" w:space="0" w:color="000000"/>
              <w:bottom w:val="dashed" w:sz="4" w:space="0" w:color="000000"/>
              <w:right w:val="dashed" w:sz="4" w:space="0" w:color="000000"/>
            </w:tcBorders>
          </w:tcPr>
          <w:p w:rsidR="00E8309B" w:rsidRDefault="009D0949">
            <w:pPr>
              <w:spacing w:after="0" w:line="259" w:lineRule="auto"/>
              <w:ind w:left="2" w:right="0" w:firstLine="0"/>
              <w:jc w:val="left"/>
            </w:pPr>
            <w:r>
              <w:rPr>
                <w:sz w:val="20"/>
              </w:rPr>
              <w:t xml:space="preserve">2. Дефлатор приватне потрошње </w:t>
            </w:r>
          </w:p>
        </w:tc>
        <w:tc>
          <w:tcPr>
            <w:tcW w:w="1438" w:type="dxa"/>
            <w:tcBorders>
              <w:top w:val="dashed" w:sz="4" w:space="0" w:color="000000"/>
              <w:left w:val="dashed" w:sz="4" w:space="0" w:color="000000"/>
              <w:bottom w:val="dashed" w:sz="4" w:space="0" w:color="000000"/>
              <w:right w:val="single" w:sz="8" w:space="0" w:color="000000"/>
            </w:tcBorders>
            <w:vAlign w:val="bottom"/>
          </w:tcPr>
          <w:p w:rsidR="00E8309B" w:rsidRDefault="009D0949">
            <w:pPr>
              <w:spacing w:after="0" w:line="259" w:lineRule="auto"/>
              <w:ind w:left="0" w:right="0" w:firstLine="0"/>
              <w:jc w:val="left"/>
            </w:pPr>
            <w:r>
              <w:rPr>
                <w:sz w:val="20"/>
              </w:rPr>
              <w:t xml:space="preserve"> </w:t>
            </w:r>
          </w:p>
        </w:tc>
        <w:tc>
          <w:tcPr>
            <w:tcW w:w="1608" w:type="dxa"/>
            <w:tcBorders>
              <w:top w:val="dashed" w:sz="4" w:space="0" w:color="000000"/>
              <w:left w:val="single" w:sz="8" w:space="0" w:color="000000"/>
              <w:bottom w:val="dashed" w:sz="4" w:space="0" w:color="000000"/>
              <w:right w:val="dashed" w:sz="4" w:space="0" w:color="000000"/>
            </w:tcBorders>
          </w:tcPr>
          <w:p w:rsidR="00E8309B" w:rsidRDefault="009D0949">
            <w:pPr>
              <w:spacing w:after="0" w:line="259" w:lineRule="auto"/>
              <w:ind w:left="8" w:right="0" w:firstLine="0"/>
              <w:jc w:val="center"/>
            </w:pPr>
            <w:r>
              <w:rPr>
                <w:sz w:val="20"/>
              </w:rPr>
              <w:t xml:space="preserve">1,3 </w:t>
            </w:r>
          </w:p>
        </w:tc>
        <w:tc>
          <w:tcPr>
            <w:tcW w:w="1613"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8" w:right="0" w:firstLine="0"/>
              <w:jc w:val="center"/>
            </w:pPr>
            <w:r>
              <w:rPr>
                <w:sz w:val="20"/>
              </w:rPr>
              <w:t xml:space="preserve">1,5 </w:t>
            </w:r>
          </w:p>
        </w:tc>
        <w:tc>
          <w:tcPr>
            <w:tcW w:w="1609"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9" w:right="0" w:firstLine="0"/>
              <w:jc w:val="center"/>
            </w:pPr>
            <w:r>
              <w:rPr>
                <w:sz w:val="20"/>
              </w:rPr>
              <w:t xml:space="preserve">2,0 </w:t>
            </w:r>
          </w:p>
        </w:tc>
        <w:tc>
          <w:tcPr>
            <w:tcW w:w="1613"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8" w:right="0" w:firstLine="0"/>
              <w:jc w:val="center"/>
            </w:pPr>
            <w:r>
              <w:rPr>
                <w:sz w:val="20"/>
              </w:rPr>
              <w:t xml:space="preserve">2,2 </w:t>
            </w:r>
          </w:p>
        </w:tc>
        <w:tc>
          <w:tcPr>
            <w:tcW w:w="1611" w:type="dxa"/>
            <w:tcBorders>
              <w:top w:val="dashed" w:sz="4" w:space="0" w:color="000000"/>
              <w:left w:val="dashed" w:sz="4" w:space="0" w:color="000000"/>
              <w:bottom w:val="dashed" w:sz="4" w:space="0" w:color="000000"/>
              <w:right w:val="double" w:sz="6" w:space="0" w:color="000000"/>
            </w:tcBorders>
          </w:tcPr>
          <w:p w:rsidR="00E8309B" w:rsidRDefault="009D0949">
            <w:pPr>
              <w:spacing w:after="0" w:line="259" w:lineRule="auto"/>
              <w:ind w:left="5" w:right="0" w:firstLine="0"/>
              <w:jc w:val="center"/>
            </w:pPr>
            <w:r>
              <w:rPr>
                <w:sz w:val="20"/>
              </w:rPr>
              <w:t xml:space="preserve">3,0 </w:t>
            </w:r>
          </w:p>
        </w:tc>
      </w:tr>
      <w:tr w:rsidR="00E8309B">
        <w:trPr>
          <w:trHeight w:val="468"/>
        </w:trPr>
        <w:tc>
          <w:tcPr>
            <w:tcW w:w="5082" w:type="dxa"/>
            <w:tcBorders>
              <w:top w:val="dashed" w:sz="4" w:space="0" w:color="000000"/>
              <w:left w:val="double" w:sz="6" w:space="0" w:color="000000"/>
              <w:bottom w:val="dashed" w:sz="4" w:space="0" w:color="000000"/>
              <w:right w:val="dashed" w:sz="4" w:space="0" w:color="000000"/>
            </w:tcBorders>
          </w:tcPr>
          <w:p w:rsidR="00E8309B" w:rsidRDefault="009D0949">
            <w:pPr>
              <w:spacing w:after="0" w:line="259" w:lineRule="auto"/>
              <w:ind w:left="2" w:right="0" w:firstLine="0"/>
              <w:jc w:val="left"/>
            </w:pPr>
            <w:r>
              <w:rPr>
                <w:sz w:val="20"/>
              </w:rPr>
              <w:t xml:space="preserve">3. Хармонизовани индекс потрошачких цена (HICP) </w:t>
            </w:r>
          </w:p>
        </w:tc>
        <w:tc>
          <w:tcPr>
            <w:tcW w:w="1438" w:type="dxa"/>
            <w:tcBorders>
              <w:top w:val="dashed" w:sz="4" w:space="0" w:color="000000"/>
              <w:left w:val="dashed" w:sz="4" w:space="0" w:color="000000"/>
              <w:bottom w:val="dashed" w:sz="4" w:space="0" w:color="000000"/>
              <w:right w:val="single" w:sz="8" w:space="0" w:color="000000"/>
            </w:tcBorders>
            <w:vAlign w:val="bottom"/>
          </w:tcPr>
          <w:p w:rsidR="00E8309B" w:rsidRDefault="009D0949">
            <w:pPr>
              <w:spacing w:after="0" w:line="259" w:lineRule="auto"/>
              <w:ind w:left="0" w:right="0" w:firstLine="0"/>
              <w:jc w:val="left"/>
            </w:pPr>
            <w:r>
              <w:rPr>
                <w:sz w:val="20"/>
              </w:rPr>
              <w:t xml:space="preserve"> </w:t>
            </w:r>
          </w:p>
        </w:tc>
        <w:tc>
          <w:tcPr>
            <w:tcW w:w="1608" w:type="dxa"/>
            <w:tcBorders>
              <w:top w:val="dashed" w:sz="4" w:space="0" w:color="000000"/>
              <w:left w:val="single" w:sz="8" w:space="0" w:color="000000"/>
              <w:bottom w:val="dashed" w:sz="4" w:space="0" w:color="000000"/>
              <w:right w:val="dashed" w:sz="4" w:space="0" w:color="000000"/>
            </w:tcBorders>
          </w:tcPr>
          <w:p w:rsidR="00E8309B" w:rsidRDefault="009D0949">
            <w:pPr>
              <w:spacing w:after="0" w:line="259" w:lineRule="auto"/>
              <w:ind w:left="8" w:right="0" w:firstLine="0"/>
              <w:jc w:val="center"/>
            </w:pPr>
            <w:r>
              <w:rPr>
                <w:sz w:val="20"/>
              </w:rPr>
              <w:t xml:space="preserve">2,1 </w:t>
            </w:r>
          </w:p>
        </w:tc>
        <w:tc>
          <w:tcPr>
            <w:tcW w:w="1613"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right="0" w:firstLine="0"/>
              <w:jc w:val="center"/>
            </w:pPr>
            <w:r>
              <w:rPr>
                <w:sz w:val="20"/>
              </w:rPr>
              <w:t xml:space="preserve">: </w:t>
            </w:r>
          </w:p>
        </w:tc>
        <w:tc>
          <w:tcPr>
            <w:tcW w:w="1609"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6" w:right="0" w:firstLine="0"/>
              <w:jc w:val="center"/>
            </w:pPr>
            <w:r>
              <w:rPr>
                <w:sz w:val="20"/>
              </w:rPr>
              <w:t xml:space="preserve">: </w:t>
            </w:r>
          </w:p>
        </w:tc>
        <w:tc>
          <w:tcPr>
            <w:tcW w:w="1613"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5" w:right="0" w:firstLine="0"/>
              <w:jc w:val="center"/>
            </w:pPr>
            <w:r>
              <w:rPr>
                <w:sz w:val="20"/>
              </w:rPr>
              <w:t xml:space="preserve">: </w:t>
            </w:r>
          </w:p>
        </w:tc>
        <w:tc>
          <w:tcPr>
            <w:tcW w:w="1611" w:type="dxa"/>
            <w:tcBorders>
              <w:top w:val="dashed" w:sz="4" w:space="0" w:color="000000"/>
              <w:left w:val="dashed" w:sz="4" w:space="0" w:color="000000"/>
              <w:bottom w:val="dashed" w:sz="4" w:space="0" w:color="000000"/>
              <w:right w:val="double" w:sz="6" w:space="0" w:color="000000"/>
            </w:tcBorders>
          </w:tcPr>
          <w:p w:rsidR="00E8309B" w:rsidRDefault="009D0949">
            <w:pPr>
              <w:spacing w:after="0" w:line="259" w:lineRule="auto"/>
              <w:ind w:left="8" w:right="0" w:firstLine="0"/>
              <w:jc w:val="center"/>
            </w:pPr>
            <w:r>
              <w:rPr>
                <w:sz w:val="20"/>
              </w:rPr>
              <w:t xml:space="preserve">: </w:t>
            </w:r>
          </w:p>
        </w:tc>
      </w:tr>
      <w:tr w:rsidR="00E8309B">
        <w:trPr>
          <w:trHeight w:val="470"/>
        </w:trPr>
        <w:tc>
          <w:tcPr>
            <w:tcW w:w="5082" w:type="dxa"/>
            <w:tcBorders>
              <w:top w:val="dashed" w:sz="4" w:space="0" w:color="000000"/>
              <w:left w:val="double" w:sz="6" w:space="0" w:color="000000"/>
              <w:bottom w:val="dashed" w:sz="4" w:space="0" w:color="000000"/>
              <w:right w:val="dashed" w:sz="4" w:space="0" w:color="000000"/>
            </w:tcBorders>
          </w:tcPr>
          <w:p w:rsidR="00E8309B" w:rsidRDefault="009D0949">
            <w:pPr>
              <w:spacing w:after="0" w:line="259" w:lineRule="auto"/>
              <w:ind w:left="2" w:right="0" w:firstLine="0"/>
              <w:jc w:val="left"/>
            </w:pPr>
            <w:r>
              <w:rPr>
                <w:sz w:val="20"/>
              </w:rPr>
              <w:t xml:space="preserve">4. Промена индекса потрошачких цена (CPI) </w:t>
            </w:r>
          </w:p>
        </w:tc>
        <w:tc>
          <w:tcPr>
            <w:tcW w:w="1438" w:type="dxa"/>
            <w:tcBorders>
              <w:top w:val="dashed" w:sz="4" w:space="0" w:color="000000"/>
              <w:left w:val="dashed" w:sz="4" w:space="0" w:color="000000"/>
              <w:bottom w:val="dashed" w:sz="4" w:space="0" w:color="000000"/>
              <w:right w:val="single" w:sz="8" w:space="0" w:color="000000"/>
            </w:tcBorders>
            <w:vAlign w:val="bottom"/>
          </w:tcPr>
          <w:p w:rsidR="00E8309B" w:rsidRDefault="009D0949">
            <w:pPr>
              <w:spacing w:after="0" w:line="259" w:lineRule="auto"/>
              <w:ind w:left="0" w:right="0" w:firstLine="0"/>
              <w:jc w:val="left"/>
            </w:pPr>
            <w:r>
              <w:rPr>
                <w:sz w:val="20"/>
              </w:rPr>
              <w:t xml:space="preserve"> </w:t>
            </w:r>
          </w:p>
        </w:tc>
        <w:tc>
          <w:tcPr>
            <w:tcW w:w="1608" w:type="dxa"/>
            <w:tcBorders>
              <w:top w:val="dashed" w:sz="4" w:space="0" w:color="000000"/>
              <w:left w:val="single" w:sz="8" w:space="0" w:color="000000"/>
              <w:bottom w:val="dashed" w:sz="4" w:space="0" w:color="000000"/>
              <w:right w:val="dashed" w:sz="4" w:space="0" w:color="000000"/>
            </w:tcBorders>
          </w:tcPr>
          <w:p w:rsidR="00E8309B" w:rsidRDefault="009D0949">
            <w:pPr>
              <w:spacing w:after="0" w:line="259" w:lineRule="auto"/>
              <w:ind w:left="8" w:right="0" w:firstLine="0"/>
              <w:jc w:val="center"/>
            </w:pPr>
            <w:r>
              <w:rPr>
                <w:sz w:val="20"/>
              </w:rPr>
              <w:t xml:space="preserve">1,9 </w:t>
            </w:r>
          </w:p>
        </w:tc>
        <w:tc>
          <w:tcPr>
            <w:tcW w:w="1613"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8" w:right="0" w:firstLine="0"/>
              <w:jc w:val="center"/>
            </w:pPr>
            <w:r>
              <w:rPr>
                <w:sz w:val="20"/>
              </w:rPr>
              <w:t xml:space="preserve">1,6 </w:t>
            </w:r>
          </w:p>
        </w:tc>
        <w:tc>
          <w:tcPr>
            <w:tcW w:w="1609"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9" w:right="0" w:firstLine="0"/>
              <w:jc w:val="center"/>
            </w:pPr>
            <w:r>
              <w:rPr>
                <w:sz w:val="20"/>
              </w:rPr>
              <w:t xml:space="preserve">1,9 </w:t>
            </w:r>
          </w:p>
        </w:tc>
        <w:tc>
          <w:tcPr>
            <w:tcW w:w="1613"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8" w:right="0" w:firstLine="0"/>
              <w:jc w:val="center"/>
            </w:pPr>
            <w:r>
              <w:rPr>
                <w:sz w:val="20"/>
              </w:rPr>
              <w:t xml:space="preserve">2,3 </w:t>
            </w:r>
          </w:p>
        </w:tc>
        <w:tc>
          <w:tcPr>
            <w:tcW w:w="1611" w:type="dxa"/>
            <w:tcBorders>
              <w:top w:val="dashed" w:sz="4" w:space="0" w:color="000000"/>
              <w:left w:val="dashed" w:sz="4" w:space="0" w:color="000000"/>
              <w:bottom w:val="dashed" w:sz="4" w:space="0" w:color="000000"/>
              <w:right w:val="double" w:sz="6" w:space="0" w:color="000000"/>
            </w:tcBorders>
          </w:tcPr>
          <w:p w:rsidR="00E8309B" w:rsidRDefault="009D0949">
            <w:pPr>
              <w:spacing w:after="0" w:line="259" w:lineRule="auto"/>
              <w:ind w:left="5" w:right="0" w:firstLine="0"/>
              <w:jc w:val="center"/>
            </w:pPr>
            <w:r>
              <w:rPr>
                <w:sz w:val="20"/>
              </w:rPr>
              <w:t xml:space="preserve">2,5 </w:t>
            </w:r>
          </w:p>
        </w:tc>
      </w:tr>
      <w:tr w:rsidR="00E8309B">
        <w:trPr>
          <w:trHeight w:val="470"/>
        </w:trPr>
        <w:tc>
          <w:tcPr>
            <w:tcW w:w="5082" w:type="dxa"/>
            <w:tcBorders>
              <w:top w:val="dashed" w:sz="4" w:space="0" w:color="000000"/>
              <w:left w:val="double" w:sz="6" w:space="0" w:color="000000"/>
              <w:bottom w:val="dashed" w:sz="4" w:space="0" w:color="000000"/>
              <w:right w:val="dashed" w:sz="4" w:space="0" w:color="000000"/>
            </w:tcBorders>
          </w:tcPr>
          <w:p w:rsidR="00E8309B" w:rsidRDefault="009D0949">
            <w:pPr>
              <w:spacing w:after="0" w:line="259" w:lineRule="auto"/>
              <w:ind w:left="2" w:right="0" w:firstLine="0"/>
              <w:jc w:val="left"/>
            </w:pPr>
            <w:r>
              <w:rPr>
                <w:sz w:val="20"/>
              </w:rPr>
              <w:t xml:space="preserve">5. Дефлатор јавне потрошње </w:t>
            </w:r>
          </w:p>
        </w:tc>
        <w:tc>
          <w:tcPr>
            <w:tcW w:w="1438" w:type="dxa"/>
            <w:tcBorders>
              <w:top w:val="dashed" w:sz="4" w:space="0" w:color="000000"/>
              <w:left w:val="dashed" w:sz="4" w:space="0" w:color="000000"/>
              <w:bottom w:val="dashed" w:sz="4" w:space="0" w:color="000000"/>
              <w:right w:val="single" w:sz="8" w:space="0" w:color="000000"/>
            </w:tcBorders>
            <w:vAlign w:val="bottom"/>
          </w:tcPr>
          <w:p w:rsidR="00E8309B" w:rsidRDefault="009D0949">
            <w:pPr>
              <w:spacing w:after="0" w:line="259" w:lineRule="auto"/>
              <w:ind w:left="0" w:right="0" w:firstLine="0"/>
              <w:jc w:val="left"/>
            </w:pPr>
            <w:r>
              <w:rPr>
                <w:sz w:val="20"/>
              </w:rPr>
              <w:t xml:space="preserve"> </w:t>
            </w:r>
          </w:p>
        </w:tc>
        <w:tc>
          <w:tcPr>
            <w:tcW w:w="1608" w:type="dxa"/>
            <w:tcBorders>
              <w:top w:val="dashed" w:sz="4" w:space="0" w:color="000000"/>
              <w:left w:val="single" w:sz="8" w:space="0" w:color="000000"/>
              <w:bottom w:val="dashed" w:sz="4" w:space="0" w:color="000000"/>
              <w:right w:val="dashed" w:sz="4" w:space="0" w:color="000000"/>
            </w:tcBorders>
          </w:tcPr>
          <w:p w:rsidR="00E8309B" w:rsidRDefault="009D0949">
            <w:pPr>
              <w:spacing w:after="0" w:line="259" w:lineRule="auto"/>
              <w:ind w:left="8" w:right="0" w:firstLine="0"/>
              <w:jc w:val="center"/>
            </w:pPr>
            <w:r>
              <w:rPr>
                <w:sz w:val="20"/>
              </w:rPr>
              <w:t xml:space="preserve">5,4 </w:t>
            </w:r>
          </w:p>
        </w:tc>
        <w:tc>
          <w:tcPr>
            <w:tcW w:w="1613"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8" w:right="0" w:firstLine="0"/>
              <w:jc w:val="center"/>
            </w:pPr>
            <w:r>
              <w:rPr>
                <w:sz w:val="20"/>
              </w:rPr>
              <w:t xml:space="preserve">6,3 </w:t>
            </w:r>
          </w:p>
        </w:tc>
        <w:tc>
          <w:tcPr>
            <w:tcW w:w="1609"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9" w:right="0" w:firstLine="0"/>
              <w:jc w:val="center"/>
            </w:pPr>
            <w:r>
              <w:rPr>
                <w:sz w:val="20"/>
              </w:rPr>
              <w:t xml:space="preserve">3,6 </w:t>
            </w:r>
          </w:p>
        </w:tc>
        <w:tc>
          <w:tcPr>
            <w:tcW w:w="1613"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8" w:right="0" w:firstLine="0"/>
              <w:jc w:val="center"/>
            </w:pPr>
            <w:r>
              <w:rPr>
                <w:sz w:val="20"/>
              </w:rPr>
              <w:t xml:space="preserve">3,5 </w:t>
            </w:r>
          </w:p>
        </w:tc>
        <w:tc>
          <w:tcPr>
            <w:tcW w:w="1611" w:type="dxa"/>
            <w:tcBorders>
              <w:top w:val="dashed" w:sz="4" w:space="0" w:color="000000"/>
              <w:left w:val="dashed" w:sz="4" w:space="0" w:color="000000"/>
              <w:bottom w:val="dashed" w:sz="4" w:space="0" w:color="000000"/>
              <w:right w:val="double" w:sz="6" w:space="0" w:color="000000"/>
            </w:tcBorders>
          </w:tcPr>
          <w:p w:rsidR="00E8309B" w:rsidRDefault="009D0949">
            <w:pPr>
              <w:spacing w:after="0" w:line="259" w:lineRule="auto"/>
              <w:ind w:left="5" w:right="0" w:firstLine="0"/>
              <w:jc w:val="center"/>
            </w:pPr>
            <w:r>
              <w:rPr>
                <w:sz w:val="20"/>
              </w:rPr>
              <w:t xml:space="preserve">2,0 </w:t>
            </w:r>
          </w:p>
        </w:tc>
      </w:tr>
      <w:tr w:rsidR="00E8309B">
        <w:trPr>
          <w:trHeight w:val="470"/>
        </w:trPr>
        <w:tc>
          <w:tcPr>
            <w:tcW w:w="5082" w:type="dxa"/>
            <w:tcBorders>
              <w:top w:val="dashed" w:sz="4" w:space="0" w:color="000000"/>
              <w:left w:val="double" w:sz="6" w:space="0" w:color="000000"/>
              <w:bottom w:val="dashed" w:sz="4" w:space="0" w:color="000000"/>
              <w:right w:val="dashed" w:sz="4" w:space="0" w:color="000000"/>
            </w:tcBorders>
          </w:tcPr>
          <w:p w:rsidR="00E8309B" w:rsidRDefault="009D0949">
            <w:pPr>
              <w:spacing w:after="0" w:line="259" w:lineRule="auto"/>
              <w:ind w:left="2" w:right="0" w:firstLine="0"/>
              <w:jc w:val="left"/>
            </w:pPr>
            <w:r>
              <w:rPr>
                <w:sz w:val="20"/>
              </w:rPr>
              <w:t xml:space="preserve">6. Дефлатор инвестиција </w:t>
            </w:r>
          </w:p>
        </w:tc>
        <w:tc>
          <w:tcPr>
            <w:tcW w:w="1438" w:type="dxa"/>
            <w:tcBorders>
              <w:top w:val="dashed" w:sz="4" w:space="0" w:color="000000"/>
              <w:left w:val="dashed" w:sz="4" w:space="0" w:color="000000"/>
              <w:bottom w:val="dashed" w:sz="4" w:space="0" w:color="000000"/>
              <w:right w:val="single" w:sz="8" w:space="0" w:color="000000"/>
            </w:tcBorders>
            <w:vAlign w:val="bottom"/>
          </w:tcPr>
          <w:p w:rsidR="00E8309B" w:rsidRDefault="009D0949">
            <w:pPr>
              <w:spacing w:after="0" w:line="259" w:lineRule="auto"/>
              <w:ind w:left="0" w:right="0" w:firstLine="0"/>
              <w:jc w:val="left"/>
            </w:pPr>
            <w:r>
              <w:rPr>
                <w:sz w:val="20"/>
              </w:rPr>
              <w:t xml:space="preserve"> </w:t>
            </w:r>
          </w:p>
        </w:tc>
        <w:tc>
          <w:tcPr>
            <w:tcW w:w="1608" w:type="dxa"/>
            <w:tcBorders>
              <w:top w:val="dashed" w:sz="4" w:space="0" w:color="000000"/>
              <w:left w:val="single" w:sz="8" w:space="0" w:color="000000"/>
              <w:bottom w:val="dashed" w:sz="4" w:space="0" w:color="000000"/>
              <w:right w:val="dashed" w:sz="4" w:space="0" w:color="000000"/>
            </w:tcBorders>
          </w:tcPr>
          <w:p w:rsidR="00E8309B" w:rsidRDefault="009D0949">
            <w:pPr>
              <w:spacing w:after="0" w:line="259" w:lineRule="auto"/>
              <w:ind w:left="8" w:right="0" w:firstLine="0"/>
              <w:jc w:val="center"/>
            </w:pPr>
            <w:r>
              <w:rPr>
                <w:sz w:val="20"/>
              </w:rPr>
              <w:t xml:space="preserve">2,3 </w:t>
            </w:r>
          </w:p>
        </w:tc>
        <w:tc>
          <w:tcPr>
            <w:tcW w:w="1613"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8" w:right="0" w:firstLine="0"/>
              <w:jc w:val="center"/>
            </w:pPr>
            <w:r>
              <w:rPr>
                <w:sz w:val="20"/>
              </w:rPr>
              <w:t xml:space="preserve">0,8 </w:t>
            </w:r>
          </w:p>
        </w:tc>
        <w:tc>
          <w:tcPr>
            <w:tcW w:w="1609"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9" w:right="0" w:firstLine="0"/>
              <w:jc w:val="center"/>
            </w:pPr>
            <w:r>
              <w:rPr>
                <w:sz w:val="20"/>
              </w:rPr>
              <w:t xml:space="preserve">3,1 </w:t>
            </w:r>
          </w:p>
        </w:tc>
        <w:tc>
          <w:tcPr>
            <w:tcW w:w="1613"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8" w:right="0" w:firstLine="0"/>
              <w:jc w:val="center"/>
            </w:pPr>
            <w:r>
              <w:rPr>
                <w:sz w:val="20"/>
              </w:rPr>
              <w:t xml:space="preserve">3,4 </w:t>
            </w:r>
          </w:p>
        </w:tc>
        <w:tc>
          <w:tcPr>
            <w:tcW w:w="1611" w:type="dxa"/>
            <w:tcBorders>
              <w:top w:val="dashed" w:sz="4" w:space="0" w:color="000000"/>
              <w:left w:val="dashed" w:sz="4" w:space="0" w:color="000000"/>
              <w:bottom w:val="dashed" w:sz="4" w:space="0" w:color="000000"/>
              <w:right w:val="double" w:sz="6" w:space="0" w:color="000000"/>
            </w:tcBorders>
          </w:tcPr>
          <w:p w:rsidR="00E8309B" w:rsidRDefault="009D0949">
            <w:pPr>
              <w:spacing w:after="0" w:line="259" w:lineRule="auto"/>
              <w:ind w:left="5" w:right="0" w:firstLine="0"/>
              <w:jc w:val="center"/>
            </w:pPr>
            <w:r>
              <w:rPr>
                <w:sz w:val="20"/>
              </w:rPr>
              <w:t xml:space="preserve">3,7 </w:t>
            </w:r>
          </w:p>
        </w:tc>
      </w:tr>
      <w:tr w:rsidR="00E8309B">
        <w:trPr>
          <w:trHeight w:val="470"/>
        </w:trPr>
        <w:tc>
          <w:tcPr>
            <w:tcW w:w="5082" w:type="dxa"/>
            <w:tcBorders>
              <w:top w:val="dashed" w:sz="4" w:space="0" w:color="000000"/>
              <w:left w:val="double" w:sz="6" w:space="0" w:color="000000"/>
              <w:bottom w:val="dashed" w:sz="4" w:space="0" w:color="000000"/>
              <w:right w:val="dashed" w:sz="4" w:space="0" w:color="000000"/>
            </w:tcBorders>
          </w:tcPr>
          <w:p w:rsidR="00E8309B" w:rsidRDefault="009D0949">
            <w:pPr>
              <w:spacing w:after="0" w:line="259" w:lineRule="auto"/>
              <w:ind w:left="2" w:right="0" w:firstLine="0"/>
              <w:jc w:val="left"/>
            </w:pPr>
            <w:r>
              <w:rPr>
                <w:sz w:val="20"/>
              </w:rPr>
              <w:t xml:space="preserve">7. Дефлатор извозних цена (роба и услуге) </w:t>
            </w:r>
          </w:p>
        </w:tc>
        <w:tc>
          <w:tcPr>
            <w:tcW w:w="1438" w:type="dxa"/>
            <w:tcBorders>
              <w:top w:val="dashed" w:sz="4" w:space="0" w:color="000000"/>
              <w:left w:val="dashed" w:sz="4" w:space="0" w:color="000000"/>
              <w:bottom w:val="dashed" w:sz="4" w:space="0" w:color="000000"/>
              <w:right w:val="single" w:sz="8" w:space="0" w:color="000000"/>
            </w:tcBorders>
            <w:vAlign w:val="bottom"/>
          </w:tcPr>
          <w:p w:rsidR="00E8309B" w:rsidRDefault="009D0949">
            <w:pPr>
              <w:spacing w:after="0" w:line="259" w:lineRule="auto"/>
              <w:ind w:left="0" w:right="0" w:firstLine="0"/>
              <w:jc w:val="left"/>
            </w:pPr>
            <w:r>
              <w:rPr>
                <w:sz w:val="20"/>
              </w:rPr>
              <w:t xml:space="preserve"> </w:t>
            </w:r>
          </w:p>
        </w:tc>
        <w:tc>
          <w:tcPr>
            <w:tcW w:w="1608" w:type="dxa"/>
            <w:tcBorders>
              <w:top w:val="dashed" w:sz="4" w:space="0" w:color="000000"/>
              <w:left w:val="single" w:sz="8" w:space="0" w:color="000000"/>
              <w:bottom w:val="dashed" w:sz="4" w:space="0" w:color="000000"/>
              <w:right w:val="dashed" w:sz="4" w:space="0" w:color="000000"/>
            </w:tcBorders>
          </w:tcPr>
          <w:p w:rsidR="00E8309B" w:rsidRDefault="009D0949">
            <w:pPr>
              <w:spacing w:after="0" w:line="259" w:lineRule="auto"/>
              <w:ind w:left="8" w:right="0" w:firstLine="0"/>
              <w:jc w:val="center"/>
            </w:pPr>
            <w:r>
              <w:rPr>
                <w:sz w:val="20"/>
              </w:rPr>
              <w:t xml:space="preserve">0,4 </w:t>
            </w:r>
          </w:p>
        </w:tc>
        <w:tc>
          <w:tcPr>
            <w:tcW w:w="1613"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8" w:right="0" w:firstLine="0"/>
              <w:jc w:val="center"/>
            </w:pPr>
            <w:r>
              <w:rPr>
                <w:sz w:val="20"/>
              </w:rPr>
              <w:t xml:space="preserve">0,4 </w:t>
            </w:r>
          </w:p>
        </w:tc>
        <w:tc>
          <w:tcPr>
            <w:tcW w:w="1609"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9" w:right="0" w:firstLine="0"/>
              <w:jc w:val="center"/>
            </w:pPr>
            <w:r>
              <w:rPr>
                <w:sz w:val="20"/>
              </w:rPr>
              <w:t xml:space="preserve">2,1 </w:t>
            </w:r>
          </w:p>
        </w:tc>
        <w:tc>
          <w:tcPr>
            <w:tcW w:w="1613"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8" w:right="0" w:firstLine="0"/>
              <w:jc w:val="center"/>
            </w:pPr>
            <w:r>
              <w:rPr>
                <w:sz w:val="20"/>
              </w:rPr>
              <w:t xml:space="preserve">2,5 </w:t>
            </w:r>
          </w:p>
        </w:tc>
        <w:tc>
          <w:tcPr>
            <w:tcW w:w="1611" w:type="dxa"/>
            <w:tcBorders>
              <w:top w:val="dashed" w:sz="4" w:space="0" w:color="000000"/>
              <w:left w:val="dashed" w:sz="4" w:space="0" w:color="000000"/>
              <w:bottom w:val="dashed" w:sz="4" w:space="0" w:color="000000"/>
              <w:right w:val="double" w:sz="6" w:space="0" w:color="000000"/>
            </w:tcBorders>
          </w:tcPr>
          <w:p w:rsidR="00E8309B" w:rsidRDefault="009D0949">
            <w:pPr>
              <w:spacing w:after="0" w:line="259" w:lineRule="auto"/>
              <w:ind w:left="5" w:right="0" w:firstLine="0"/>
              <w:jc w:val="center"/>
            </w:pPr>
            <w:r>
              <w:rPr>
                <w:sz w:val="20"/>
              </w:rPr>
              <w:t xml:space="preserve">2,8 </w:t>
            </w:r>
          </w:p>
        </w:tc>
      </w:tr>
      <w:tr w:rsidR="00E8309B">
        <w:trPr>
          <w:trHeight w:val="488"/>
        </w:trPr>
        <w:tc>
          <w:tcPr>
            <w:tcW w:w="5082" w:type="dxa"/>
            <w:tcBorders>
              <w:top w:val="dashed" w:sz="4" w:space="0" w:color="000000"/>
              <w:left w:val="double" w:sz="6" w:space="0" w:color="000000"/>
              <w:bottom w:val="double" w:sz="6" w:space="0" w:color="000000"/>
              <w:right w:val="dashed" w:sz="4" w:space="0" w:color="000000"/>
            </w:tcBorders>
          </w:tcPr>
          <w:p w:rsidR="00E8309B" w:rsidRDefault="009D0949">
            <w:pPr>
              <w:spacing w:after="0" w:line="259" w:lineRule="auto"/>
              <w:ind w:left="2" w:right="0" w:firstLine="0"/>
              <w:jc w:val="left"/>
            </w:pPr>
            <w:r>
              <w:rPr>
                <w:sz w:val="20"/>
              </w:rPr>
              <w:t xml:space="preserve">8. Дефлатор увозних цена (роба и услуге) </w:t>
            </w:r>
          </w:p>
        </w:tc>
        <w:tc>
          <w:tcPr>
            <w:tcW w:w="1438" w:type="dxa"/>
            <w:tcBorders>
              <w:top w:val="dashed" w:sz="4" w:space="0" w:color="000000"/>
              <w:left w:val="dashed" w:sz="4" w:space="0" w:color="000000"/>
              <w:bottom w:val="double" w:sz="6" w:space="0" w:color="000000"/>
              <w:right w:val="single" w:sz="8" w:space="0" w:color="000000"/>
            </w:tcBorders>
          </w:tcPr>
          <w:p w:rsidR="00E8309B" w:rsidRDefault="00E8309B">
            <w:pPr>
              <w:spacing w:after="160" w:line="259" w:lineRule="auto"/>
              <w:ind w:left="0" w:right="0" w:firstLine="0"/>
              <w:jc w:val="left"/>
            </w:pPr>
          </w:p>
        </w:tc>
        <w:tc>
          <w:tcPr>
            <w:tcW w:w="1608" w:type="dxa"/>
            <w:tcBorders>
              <w:top w:val="dashed" w:sz="4" w:space="0" w:color="000000"/>
              <w:left w:val="single" w:sz="8" w:space="0" w:color="000000"/>
              <w:bottom w:val="double" w:sz="6" w:space="0" w:color="000000"/>
              <w:right w:val="dashed" w:sz="4" w:space="0" w:color="000000"/>
            </w:tcBorders>
          </w:tcPr>
          <w:p w:rsidR="00E8309B" w:rsidRDefault="009D0949">
            <w:pPr>
              <w:spacing w:after="0" w:line="259" w:lineRule="auto"/>
              <w:ind w:left="6" w:right="0" w:firstLine="0"/>
              <w:jc w:val="center"/>
            </w:pPr>
            <w:r>
              <w:rPr>
                <w:sz w:val="20"/>
              </w:rPr>
              <w:t xml:space="preserve">-0,3 </w:t>
            </w:r>
          </w:p>
        </w:tc>
        <w:tc>
          <w:tcPr>
            <w:tcW w:w="1613" w:type="dxa"/>
            <w:tcBorders>
              <w:top w:val="dashed" w:sz="4" w:space="0" w:color="000000"/>
              <w:left w:val="dashed" w:sz="4" w:space="0" w:color="000000"/>
              <w:bottom w:val="double" w:sz="6" w:space="0" w:color="000000"/>
              <w:right w:val="dashed" w:sz="4" w:space="0" w:color="000000"/>
            </w:tcBorders>
          </w:tcPr>
          <w:p w:rsidR="00E8309B" w:rsidRDefault="009D0949">
            <w:pPr>
              <w:spacing w:after="0" w:line="259" w:lineRule="auto"/>
              <w:ind w:left="6" w:right="0" w:firstLine="0"/>
              <w:jc w:val="center"/>
            </w:pPr>
            <w:r>
              <w:rPr>
                <w:sz w:val="20"/>
              </w:rPr>
              <w:t xml:space="preserve">-0,9 </w:t>
            </w:r>
          </w:p>
        </w:tc>
        <w:tc>
          <w:tcPr>
            <w:tcW w:w="1609" w:type="dxa"/>
            <w:tcBorders>
              <w:top w:val="dashed" w:sz="4" w:space="0" w:color="000000"/>
              <w:left w:val="dashed" w:sz="4" w:space="0" w:color="000000"/>
              <w:bottom w:val="double" w:sz="6" w:space="0" w:color="000000"/>
              <w:right w:val="dashed" w:sz="4" w:space="0" w:color="000000"/>
            </w:tcBorders>
          </w:tcPr>
          <w:p w:rsidR="00E8309B" w:rsidRDefault="009D0949">
            <w:pPr>
              <w:spacing w:after="0" w:line="259" w:lineRule="auto"/>
              <w:ind w:left="9" w:right="0" w:firstLine="0"/>
              <w:jc w:val="center"/>
            </w:pPr>
            <w:r>
              <w:rPr>
                <w:sz w:val="20"/>
              </w:rPr>
              <w:t xml:space="preserve">2,8 </w:t>
            </w:r>
          </w:p>
        </w:tc>
        <w:tc>
          <w:tcPr>
            <w:tcW w:w="1613" w:type="dxa"/>
            <w:tcBorders>
              <w:top w:val="dashed" w:sz="4" w:space="0" w:color="000000"/>
              <w:left w:val="dashed" w:sz="4" w:space="0" w:color="000000"/>
              <w:bottom w:val="double" w:sz="6" w:space="0" w:color="000000"/>
              <w:right w:val="dashed" w:sz="4" w:space="0" w:color="000000"/>
            </w:tcBorders>
          </w:tcPr>
          <w:p w:rsidR="00E8309B" w:rsidRDefault="009D0949">
            <w:pPr>
              <w:spacing w:after="0" w:line="259" w:lineRule="auto"/>
              <w:ind w:left="8" w:right="0" w:firstLine="0"/>
              <w:jc w:val="center"/>
            </w:pPr>
            <w:r>
              <w:rPr>
                <w:sz w:val="20"/>
              </w:rPr>
              <w:t xml:space="preserve">2,6 </w:t>
            </w:r>
          </w:p>
        </w:tc>
        <w:tc>
          <w:tcPr>
            <w:tcW w:w="1611" w:type="dxa"/>
            <w:tcBorders>
              <w:top w:val="dashed" w:sz="4" w:space="0" w:color="000000"/>
              <w:left w:val="dashed" w:sz="4" w:space="0" w:color="000000"/>
              <w:bottom w:val="double" w:sz="6" w:space="0" w:color="000000"/>
              <w:right w:val="double" w:sz="6" w:space="0" w:color="000000"/>
            </w:tcBorders>
          </w:tcPr>
          <w:p w:rsidR="00E8309B" w:rsidRDefault="009D0949">
            <w:pPr>
              <w:spacing w:after="0" w:line="259" w:lineRule="auto"/>
              <w:ind w:left="5" w:right="0" w:firstLine="0"/>
              <w:jc w:val="center"/>
            </w:pPr>
            <w:r>
              <w:rPr>
                <w:sz w:val="20"/>
              </w:rPr>
              <w:t xml:space="preserve">2,8 </w:t>
            </w:r>
          </w:p>
        </w:tc>
      </w:tr>
    </w:tbl>
    <w:p w:rsidR="00E8309B" w:rsidRDefault="009D0949">
      <w:pPr>
        <w:spacing w:after="0" w:line="259" w:lineRule="auto"/>
        <w:ind w:left="0" w:right="0" w:firstLine="0"/>
        <w:jc w:val="left"/>
      </w:pPr>
      <w:r>
        <w:rPr>
          <w:sz w:val="22"/>
        </w:rPr>
        <w:t xml:space="preserve"> </w:t>
      </w:r>
      <w:r>
        <w:rPr>
          <w:sz w:val="22"/>
        </w:rPr>
        <w:tab/>
        <w:t xml:space="preserve"> </w:t>
      </w:r>
    </w:p>
    <w:p w:rsidR="00E8309B" w:rsidRDefault="009D0949">
      <w:pPr>
        <w:tabs>
          <w:tab w:val="center" w:pos="7110"/>
          <w:tab w:val="center" w:pos="8449"/>
          <w:tab w:val="center" w:pos="9793"/>
          <w:tab w:val="center" w:pos="10725"/>
          <w:tab w:val="center" w:pos="11654"/>
          <w:tab w:val="center" w:pos="13410"/>
        </w:tabs>
        <w:spacing w:after="0" w:line="259" w:lineRule="auto"/>
        <w:ind w:left="0" w:right="0" w:firstLine="0"/>
        <w:jc w:val="left"/>
      </w:pPr>
      <w:r>
        <w:rPr>
          <w:b/>
          <w:sz w:val="20"/>
        </w:rPr>
        <w:t xml:space="preserve">Табела 1c: Кретања на тржишту рада </w:t>
      </w:r>
      <w:r>
        <w:rPr>
          <w:b/>
          <w:sz w:val="20"/>
        </w:rPr>
        <w:tab/>
      </w:r>
      <w:r>
        <w:rPr>
          <w:sz w:val="20"/>
        </w:rPr>
        <w:t xml:space="preserve">  </w:t>
      </w:r>
      <w:r>
        <w:rPr>
          <w:sz w:val="20"/>
        </w:rPr>
        <w:tab/>
        <w:t xml:space="preserve">  </w:t>
      </w:r>
      <w:r>
        <w:rPr>
          <w:sz w:val="20"/>
        </w:rPr>
        <w:tab/>
        <w:t xml:space="preserve">  </w:t>
      </w:r>
      <w:r>
        <w:rPr>
          <w:sz w:val="20"/>
        </w:rPr>
        <w:tab/>
        <w:t xml:space="preserve">  </w:t>
      </w:r>
      <w:r>
        <w:rPr>
          <w:sz w:val="20"/>
        </w:rPr>
        <w:tab/>
        <w:t xml:space="preserve">  </w:t>
      </w:r>
      <w:r>
        <w:rPr>
          <w:sz w:val="20"/>
        </w:rPr>
        <w:tab/>
      </w:r>
      <w:r>
        <w:rPr>
          <w:b/>
          <w:sz w:val="20"/>
        </w:rPr>
        <w:t>Република Србија</w:t>
      </w:r>
      <w:r>
        <w:rPr>
          <w:sz w:val="20"/>
        </w:rPr>
        <w:t xml:space="preserve"> </w:t>
      </w:r>
    </w:p>
    <w:tbl>
      <w:tblPr>
        <w:tblStyle w:val="TableGrid"/>
        <w:tblW w:w="14573" w:type="dxa"/>
        <w:tblInd w:w="0" w:type="dxa"/>
        <w:tblCellMar>
          <w:top w:w="10" w:type="dxa"/>
          <w:left w:w="110" w:type="dxa"/>
          <w:bottom w:w="0" w:type="dxa"/>
          <w:right w:w="56" w:type="dxa"/>
        </w:tblCellMar>
        <w:tblLook w:val="04A0" w:firstRow="1" w:lastRow="0" w:firstColumn="1" w:lastColumn="0" w:noHBand="0" w:noVBand="1"/>
      </w:tblPr>
      <w:tblGrid>
        <w:gridCol w:w="5723"/>
        <w:gridCol w:w="1279"/>
        <w:gridCol w:w="1340"/>
        <w:gridCol w:w="1243"/>
        <w:gridCol w:w="1244"/>
        <w:gridCol w:w="1243"/>
        <w:gridCol w:w="1246"/>
        <w:gridCol w:w="1256"/>
      </w:tblGrid>
      <w:tr w:rsidR="00E8309B">
        <w:trPr>
          <w:trHeight w:val="366"/>
        </w:trPr>
        <w:tc>
          <w:tcPr>
            <w:tcW w:w="5723" w:type="dxa"/>
            <w:vMerge w:val="restart"/>
            <w:tcBorders>
              <w:top w:val="double" w:sz="6" w:space="0" w:color="000000"/>
              <w:left w:val="double" w:sz="6" w:space="0" w:color="000000"/>
              <w:bottom w:val="single" w:sz="4" w:space="0" w:color="FFFFFF"/>
              <w:right w:val="single" w:sz="4" w:space="0" w:color="000000"/>
            </w:tcBorders>
            <w:vAlign w:val="center"/>
          </w:tcPr>
          <w:p w:rsidR="00E8309B" w:rsidRDefault="009D0949">
            <w:pPr>
              <w:spacing w:after="0" w:line="259" w:lineRule="auto"/>
              <w:ind w:left="0" w:right="3" w:firstLine="0"/>
              <w:jc w:val="center"/>
            </w:pPr>
            <w:r>
              <w:rPr>
                <w:sz w:val="20"/>
              </w:rPr>
              <w:t xml:space="preserve">  </w:t>
            </w:r>
          </w:p>
        </w:tc>
        <w:tc>
          <w:tcPr>
            <w:tcW w:w="1279" w:type="dxa"/>
            <w:vMerge w:val="restart"/>
            <w:tcBorders>
              <w:top w:val="double" w:sz="6" w:space="0" w:color="000000"/>
              <w:left w:val="single" w:sz="4" w:space="0" w:color="000000"/>
              <w:bottom w:val="single" w:sz="8" w:space="0" w:color="000000"/>
              <w:right w:val="single" w:sz="4" w:space="0" w:color="000000"/>
            </w:tcBorders>
            <w:vAlign w:val="bottom"/>
          </w:tcPr>
          <w:p w:rsidR="00E8309B" w:rsidRDefault="009D0949">
            <w:pPr>
              <w:spacing w:after="117" w:line="277" w:lineRule="auto"/>
              <w:ind w:left="52" w:right="57" w:firstLine="0"/>
              <w:jc w:val="center"/>
            </w:pPr>
            <w:r>
              <w:rPr>
                <w:sz w:val="20"/>
              </w:rPr>
              <w:t xml:space="preserve">ESA шифра </w:t>
            </w:r>
          </w:p>
          <w:p w:rsidR="00E8309B" w:rsidRDefault="009D0949">
            <w:pPr>
              <w:spacing w:after="0" w:line="259" w:lineRule="auto"/>
              <w:ind w:left="0" w:right="7" w:firstLine="0"/>
              <w:jc w:val="center"/>
            </w:pPr>
            <w:r>
              <w:rPr>
                <w:sz w:val="20"/>
              </w:rPr>
              <w:t xml:space="preserve"> </w:t>
            </w:r>
          </w:p>
        </w:tc>
        <w:tc>
          <w:tcPr>
            <w:tcW w:w="1340" w:type="dxa"/>
            <w:tcBorders>
              <w:top w:val="double" w:sz="6" w:space="0" w:color="000000"/>
              <w:left w:val="single" w:sz="4" w:space="0" w:color="000000"/>
              <w:bottom w:val="single" w:sz="18" w:space="0" w:color="FFFFFF"/>
              <w:right w:val="single" w:sz="8" w:space="0" w:color="000000"/>
            </w:tcBorders>
            <w:vAlign w:val="bottom"/>
          </w:tcPr>
          <w:p w:rsidR="00E8309B" w:rsidRDefault="009D0949">
            <w:pPr>
              <w:spacing w:after="0" w:line="259" w:lineRule="auto"/>
              <w:ind w:left="0" w:right="57" w:firstLine="0"/>
              <w:jc w:val="center"/>
            </w:pPr>
            <w:r>
              <w:rPr>
                <w:sz w:val="20"/>
              </w:rPr>
              <w:t xml:space="preserve">год. </w:t>
            </w:r>
          </w:p>
        </w:tc>
        <w:tc>
          <w:tcPr>
            <w:tcW w:w="1243" w:type="dxa"/>
            <w:tcBorders>
              <w:top w:val="double" w:sz="6" w:space="0" w:color="000000"/>
              <w:left w:val="single" w:sz="8" w:space="0" w:color="000000"/>
              <w:bottom w:val="single" w:sz="18" w:space="0" w:color="FFFFFF"/>
              <w:right w:val="dashed" w:sz="4" w:space="0" w:color="000000"/>
            </w:tcBorders>
            <w:vAlign w:val="bottom"/>
          </w:tcPr>
          <w:p w:rsidR="00E8309B" w:rsidRDefault="009D0949">
            <w:pPr>
              <w:spacing w:after="0" w:line="259" w:lineRule="auto"/>
              <w:ind w:left="0" w:right="57" w:firstLine="0"/>
              <w:jc w:val="center"/>
            </w:pPr>
            <w:r>
              <w:rPr>
                <w:sz w:val="20"/>
              </w:rPr>
              <w:t xml:space="preserve">год. </w:t>
            </w:r>
          </w:p>
        </w:tc>
        <w:tc>
          <w:tcPr>
            <w:tcW w:w="1244" w:type="dxa"/>
            <w:vMerge w:val="restart"/>
            <w:tcBorders>
              <w:top w:val="double" w:sz="6" w:space="0" w:color="000000"/>
              <w:left w:val="dashed" w:sz="4" w:space="0" w:color="000000"/>
              <w:bottom w:val="dashed" w:sz="4" w:space="0" w:color="000000"/>
              <w:right w:val="dashed" w:sz="4" w:space="0" w:color="000000"/>
            </w:tcBorders>
            <w:vAlign w:val="center"/>
          </w:tcPr>
          <w:p w:rsidR="00E8309B" w:rsidRDefault="009D0949">
            <w:pPr>
              <w:spacing w:after="24" w:line="259" w:lineRule="auto"/>
              <w:ind w:left="0" w:right="53" w:firstLine="0"/>
              <w:jc w:val="center"/>
            </w:pPr>
            <w:r>
              <w:rPr>
                <w:sz w:val="20"/>
              </w:rPr>
              <w:t xml:space="preserve">год. </w:t>
            </w:r>
          </w:p>
          <w:p w:rsidR="00E8309B" w:rsidRDefault="009D0949">
            <w:pPr>
              <w:spacing w:after="0" w:line="259" w:lineRule="auto"/>
              <w:ind w:left="0" w:right="52" w:firstLine="0"/>
              <w:jc w:val="center"/>
            </w:pPr>
            <w:r>
              <w:rPr>
                <w:sz w:val="20"/>
              </w:rPr>
              <w:t xml:space="preserve">2020 </w:t>
            </w:r>
          </w:p>
        </w:tc>
        <w:tc>
          <w:tcPr>
            <w:tcW w:w="1243" w:type="dxa"/>
            <w:vMerge w:val="restart"/>
            <w:tcBorders>
              <w:top w:val="double" w:sz="6" w:space="0" w:color="000000"/>
              <w:left w:val="dashed" w:sz="4" w:space="0" w:color="000000"/>
              <w:bottom w:val="dashed" w:sz="4" w:space="0" w:color="000000"/>
              <w:right w:val="dashed" w:sz="4" w:space="0" w:color="000000"/>
            </w:tcBorders>
            <w:vAlign w:val="center"/>
          </w:tcPr>
          <w:p w:rsidR="00E8309B" w:rsidRDefault="009D0949">
            <w:pPr>
              <w:spacing w:after="24" w:line="259" w:lineRule="auto"/>
              <w:ind w:left="0" w:right="57" w:firstLine="0"/>
              <w:jc w:val="center"/>
            </w:pPr>
            <w:r>
              <w:rPr>
                <w:sz w:val="20"/>
              </w:rPr>
              <w:t xml:space="preserve">год. </w:t>
            </w:r>
          </w:p>
          <w:p w:rsidR="00E8309B" w:rsidRDefault="009D0949">
            <w:pPr>
              <w:spacing w:after="0" w:line="259" w:lineRule="auto"/>
              <w:ind w:left="0" w:right="56" w:firstLine="0"/>
              <w:jc w:val="center"/>
            </w:pPr>
            <w:r>
              <w:rPr>
                <w:sz w:val="20"/>
              </w:rPr>
              <w:t xml:space="preserve">2021 </w:t>
            </w:r>
          </w:p>
        </w:tc>
        <w:tc>
          <w:tcPr>
            <w:tcW w:w="1246" w:type="dxa"/>
            <w:vMerge w:val="restart"/>
            <w:tcBorders>
              <w:top w:val="double" w:sz="6" w:space="0" w:color="000000"/>
              <w:left w:val="dashed" w:sz="4" w:space="0" w:color="000000"/>
              <w:bottom w:val="dashed" w:sz="4" w:space="0" w:color="000000"/>
              <w:right w:val="nil"/>
            </w:tcBorders>
            <w:vAlign w:val="center"/>
          </w:tcPr>
          <w:p w:rsidR="00E8309B" w:rsidRDefault="009D0949">
            <w:pPr>
              <w:spacing w:after="24" w:line="259" w:lineRule="auto"/>
              <w:ind w:left="0" w:right="55" w:firstLine="0"/>
              <w:jc w:val="center"/>
            </w:pPr>
            <w:r>
              <w:rPr>
                <w:sz w:val="20"/>
              </w:rPr>
              <w:t xml:space="preserve">год. </w:t>
            </w:r>
          </w:p>
          <w:p w:rsidR="00E8309B" w:rsidRDefault="009D0949">
            <w:pPr>
              <w:spacing w:after="0" w:line="259" w:lineRule="auto"/>
              <w:ind w:left="0" w:right="53" w:firstLine="0"/>
              <w:jc w:val="center"/>
            </w:pPr>
            <w:r>
              <w:rPr>
                <w:sz w:val="20"/>
              </w:rPr>
              <w:t xml:space="preserve">2022 </w:t>
            </w:r>
          </w:p>
        </w:tc>
        <w:tc>
          <w:tcPr>
            <w:tcW w:w="1256" w:type="dxa"/>
            <w:tcBorders>
              <w:top w:val="double" w:sz="6" w:space="0" w:color="000000"/>
              <w:left w:val="nil"/>
              <w:bottom w:val="single" w:sz="18" w:space="0" w:color="FFFFFF"/>
              <w:right w:val="double" w:sz="6" w:space="0" w:color="000000"/>
            </w:tcBorders>
            <w:vAlign w:val="bottom"/>
          </w:tcPr>
          <w:p w:rsidR="00E8309B" w:rsidRDefault="009D0949">
            <w:pPr>
              <w:spacing w:after="0" w:line="259" w:lineRule="auto"/>
              <w:ind w:left="0" w:right="54" w:firstLine="0"/>
              <w:jc w:val="center"/>
            </w:pPr>
            <w:r>
              <w:rPr>
                <w:sz w:val="20"/>
              </w:rPr>
              <w:t xml:space="preserve">год. </w:t>
            </w:r>
          </w:p>
        </w:tc>
      </w:tr>
      <w:tr w:rsidR="00E8309B">
        <w:trPr>
          <w:trHeight w:val="349"/>
        </w:trPr>
        <w:tc>
          <w:tcPr>
            <w:tcW w:w="0" w:type="auto"/>
            <w:vMerge/>
            <w:tcBorders>
              <w:top w:val="nil"/>
              <w:left w:val="double" w:sz="6" w:space="0" w:color="000000"/>
              <w:bottom w:val="single" w:sz="4" w:space="0" w:color="FFFFFF"/>
              <w:right w:val="single" w:sz="4" w:space="0" w:color="000000"/>
            </w:tcBorders>
          </w:tcPr>
          <w:p w:rsidR="00E8309B" w:rsidRDefault="00E8309B">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E8309B" w:rsidRDefault="00E8309B">
            <w:pPr>
              <w:spacing w:after="160" w:line="259" w:lineRule="auto"/>
              <w:ind w:left="0" w:right="0" w:firstLine="0"/>
              <w:jc w:val="left"/>
            </w:pPr>
          </w:p>
        </w:tc>
        <w:tc>
          <w:tcPr>
            <w:tcW w:w="1340" w:type="dxa"/>
            <w:tcBorders>
              <w:top w:val="single" w:sz="18" w:space="0" w:color="FFFFFF"/>
              <w:left w:val="single" w:sz="4" w:space="0" w:color="000000"/>
              <w:bottom w:val="dashed" w:sz="4" w:space="0" w:color="000000"/>
              <w:right w:val="single" w:sz="8" w:space="0" w:color="000000"/>
            </w:tcBorders>
            <w:vAlign w:val="bottom"/>
          </w:tcPr>
          <w:p w:rsidR="00E8309B" w:rsidRDefault="009D0949">
            <w:pPr>
              <w:spacing w:after="0" w:line="259" w:lineRule="auto"/>
              <w:ind w:left="0" w:right="55" w:firstLine="0"/>
              <w:jc w:val="center"/>
            </w:pPr>
            <w:r>
              <w:rPr>
                <w:sz w:val="20"/>
              </w:rPr>
              <w:t xml:space="preserve">2019 </w:t>
            </w:r>
          </w:p>
        </w:tc>
        <w:tc>
          <w:tcPr>
            <w:tcW w:w="1243" w:type="dxa"/>
            <w:tcBorders>
              <w:top w:val="single" w:sz="18" w:space="0" w:color="FFFFFF"/>
              <w:left w:val="single" w:sz="8" w:space="0" w:color="000000"/>
              <w:bottom w:val="dashed" w:sz="4" w:space="0" w:color="000000"/>
              <w:right w:val="dashed" w:sz="4" w:space="0" w:color="000000"/>
            </w:tcBorders>
          </w:tcPr>
          <w:p w:rsidR="00E8309B" w:rsidRDefault="009D0949">
            <w:pPr>
              <w:spacing w:after="0" w:line="259" w:lineRule="auto"/>
              <w:ind w:left="0" w:right="56" w:firstLine="0"/>
              <w:jc w:val="center"/>
            </w:pPr>
            <w:r>
              <w:rPr>
                <w:sz w:val="20"/>
              </w:rPr>
              <w:t xml:space="preserve">2019 </w:t>
            </w:r>
          </w:p>
        </w:tc>
        <w:tc>
          <w:tcPr>
            <w:tcW w:w="0" w:type="auto"/>
            <w:vMerge/>
            <w:tcBorders>
              <w:top w:val="nil"/>
              <w:left w:val="dashed" w:sz="4" w:space="0" w:color="000000"/>
              <w:bottom w:val="dashed" w:sz="4" w:space="0" w:color="000000"/>
              <w:right w:val="dashed" w:sz="4" w:space="0" w:color="000000"/>
            </w:tcBorders>
          </w:tcPr>
          <w:p w:rsidR="00E8309B" w:rsidRDefault="00E8309B">
            <w:pPr>
              <w:spacing w:after="160" w:line="259" w:lineRule="auto"/>
              <w:ind w:left="0" w:right="0" w:firstLine="0"/>
              <w:jc w:val="left"/>
            </w:pPr>
          </w:p>
        </w:tc>
        <w:tc>
          <w:tcPr>
            <w:tcW w:w="0" w:type="auto"/>
            <w:vMerge/>
            <w:tcBorders>
              <w:top w:val="nil"/>
              <w:left w:val="dashed" w:sz="4" w:space="0" w:color="000000"/>
              <w:bottom w:val="dashed" w:sz="4" w:space="0" w:color="000000"/>
              <w:right w:val="dashed" w:sz="4" w:space="0" w:color="000000"/>
            </w:tcBorders>
          </w:tcPr>
          <w:p w:rsidR="00E8309B" w:rsidRDefault="00E8309B">
            <w:pPr>
              <w:spacing w:after="160" w:line="259" w:lineRule="auto"/>
              <w:ind w:left="0" w:right="0" w:firstLine="0"/>
              <w:jc w:val="left"/>
            </w:pPr>
          </w:p>
        </w:tc>
        <w:tc>
          <w:tcPr>
            <w:tcW w:w="0" w:type="auto"/>
            <w:vMerge/>
            <w:tcBorders>
              <w:top w:val="nil"/>
              <w:left w:val="dashed" w:sz="4" w:space="0" w:color="000000"/>
              <w:bottom w:val="dashed" w:sz="4" w:space="0" w:color="000000"/>
              <w:right w:val="nil"/>
            </w:tcBorders>
          </w:tcPr>
          <w:p w:rsidR="00E8309B" w:rsidRDefault="00E8309B">
            <w:pPr>
              <w:spacing w:after="160" w:line="259" w:lineRule="auto"/>
              <w:ind w:left="0" w:right="0" w:firstLine="0"/>
              <w:jc w:val="left"/>
            </w:pPr>
          </w:p>
        </w:tc>
        <w:tc>
          <w:tcPr>
            <w:tcW w:w="1256" w:type="dxa"/>
            <w:tcBorders>
              <w:top w:val="single" w:sz="18" w:space="0" w:color="FFFFFF"/>
              <w:left w:val="nil"/>
              <w:bottom w:val="dashed" w:sz="4" w:space="0" w:color="000000"/>
              <w:right w:val="double" w:sz="6" w:space="0" w:color="000000"/>
            </w:tcBorders>
          </w:tcPr>
          <w:p w:rsidR="00E8309B" w:rsidRDefault="009D0949">
            <w:pPr>
              <w:spacing w:after="0" w:line="259" w:lineRule="auto"/>
              <w:ind w:left="0" w:right="53" w:firstLine="0"/>
              <w:jc w:val="center"/>
            </w:pPr>
            <w:r>
              <w:rPr>
                <w:sz w:val="20"/>
              </w:rPr>
              <w:t xml:space="preserve">2023 </w:t>
            </w:r>
          </w:p>
        </w:tc>
      </w:tr>
      <w:tr w:rsidR="00E8309B">
        <w:trPr>
          <w:trHeight w:val="403"/>
        </w:trPr>
        <w:tc>
          <w:tcPr>
            <w:tcW w:w="5723" w:type="dxa"/>
            <w:tcBorders>
              <w:top w:val="single" w:sz="4" w:space="0" w:color="FFFFFF"/>
              <w:left w:val="double" w:sz="6" w:space="0" w:color="000000"/>
              <w:bottom w:val="single" w:sz="8" w:space="0" w:color="000000"/>
              <w:right w:val="single" w:sz="4" w:space="0" w:color="000000"/>
            </w:tcBorders>
          </w:tcPr>
          <w:p w:rsidR="00E8309B" w:rsidRDefault="009D0949">
            <w:pPr>
              <w:spacing w:after="0" w:line="259" w:lineRule="auto"/>
              <w:ind w:left="0" w:right="3" w:firstLine="0"/>
              <w:jc w:val="center"/>
            </w:pPr>
            <w:r>
              <w:rPr>
                <w:sz w:val="20"/>
              </w:rPr>
              <w:t xml:space="preserve">  </w:t>
            </w:r>
          </w:p>
        </w:tc>
        <w:tc>
          <w:tcPr>
            <w:tcW w:w="0" w:type="auto"/>
            <w:vMerge/>
            <w:tcBorders>
              <w:top w:val="nil"/>
              <w:left w:val="single" w:sz="4" w:space="0" w:color="000000"/>
              <w:bottom w:val="single" w:sz="8" w:space="0" w:color="000000"/>
              <w:right w:val="single" w:sz="4" w:space="0" w:color="000000"/>
            </w:tcBorders>
          </w:tcPr>
          <w:p w:rsidR="00E8309B" w:rsidRDefault="00E8309B">
            <w:pPr>
              <w:spacing w:after="160" w:line="259" w:lineRule="auto"/>
              <w:ind w:left="0" w:right="0" w:firstLine="0"/>
              <w:jc w:val="left"/>
            </w:pPr>
          </w:p>
        </w:tc>
        <w:tc>
          <w:tcPr>
            <w:tcW w:w="1340" w:type="dxa"/>
            <w:tcBorders>
              <w:top w:val="dashed" w:sz="4" w:space="0" w:color="000000"/>
              <w:left w:val="single" w:sz="4" w:space="0" w:color="000000"/>
              <w:bottom w:val="single" w:sz="8" w:space="0" w:color="000000"/>
              <w:right w:val="single" w:sz="4" w:space="0" w:color="000000"/>
            </w:tcBorders>
            <w:vAlign w:val="bottom"/>
          </w:tcPr>
          <w:p w:rsidR="00E8309B" w:rsidRDefault="009D0949">
            <w:pPr>
              <w:spacing w:after="0" w:line="259" w:lineRule="auto"/>
              <w:ind w:left="0" w:right="57" w:firstLine="0"/>
              <w:jc w:val="center"/>
            </w:pPr>
            <w:r>
              <w:rPr>
                <w:sz w:val="20"/>
              </w:rPr>
              <w:t xml:space="preserve">Ниво </w:t>
            </w:r>
          </w:p>
          <w:p w:rsidR="00E8309B" w:rsidRDefault="009D0949">
            <w:pPr>
              <w:spacing w:after="0" w:line="259" w:lineRule="auto"/>
              <w:ind w:left="0" w:right="4" w:firstLine="0"/>
              <w:jc w:val="center"/>
            </w:pPr>
            <w:r>
              <w:rPr>
                <w:sz w:val="20"/>
              </w:rPr>
              <w:t xml:space="preserve"> </w:t>
            </w:r>
          </w:p>
        </w:tc>
        <w:tc>
          <w:tcPr>
            <w:tcW w:w="1243" w:type="dxa"/>
            <w:tcBorders>
              <w:top w:val="dashed" w:sz="4" w:space="0" w:color="000000"/>
              <w:left w:val="single" w:sz="4" w:space="0" w:color="000000"/>
              <w:bottom w:val="single" w:sz="8" w:space="0" w:color="000000"/>
              <w:right w:val="nil"/>
            </w:tcBorders>
          </w:tcPr>
          <w:p w:rsidR="00E8309B" w:rsidRDefault="00E8309B">
            <w:pPr>
              <w:spacing w:after="160" w:line="259" w:lineRule="auto"/>
              <w:ind w:left="0" w:right="0" w:firstLine="0"/>
              <w:jc w:val="left"/>
            </w:pPr>
          </w:p>
        </w:tc>
        <w:tc>
          <w:tcPr>
            <w:tcW w:w="3733" w:type="dxa"/>
            <w:gridSpan w:val="3"/>
            <w:tcBorders>
              <w:top w:val="dashed" w:sz="4" w:space="0" w:color="000000"/>
              <w:left w:val="nil"/>
              <w:bottom w:val="single" w:sz="8" w:space="0" w:color="000000"/>
              <w:right w:val="nil"/>
            </w:tcBorders>
          </w:tcPr>
          <w:p w:rsidR="00E8309B" w:rsidRDefault="009D0949">
            <w:pPr>
              <w:spacing w:after="0" w:line="259" w:lineRule="auto"/>
              <w:ind w:left="0" w:right="44" w:firstLine="0"/>
              <w:jc w:val="center"/>
            </w:pPr>
            <w:r>
              <w:rPr>
                <w:sz w:val="20"/>
              </w:rPr>
              <w:t xml:space="preserve">Ниво/Стопа промене </w:t>
            </w:r>
          </w:p>
        </w:tc>
        <w:tc>
          <w:tcPr>
            <w:tcW w:w="1256" w:type="dxa"/>
            <w:tcBorders>
              <w:top w:val="dashed" w:sz="4" w:space="0" w:color="000000"/>
              <w:left w:val="nil"/>
              <w:bottom w:val="single" w:sz="8" w:space="0" w:color="000000"/>
              <w:right w:val="double" w:sz="6" w:space="0" w:color="000000"/>
            </w:tcBorders>
          </w:tcPr>
          <w:p w:rsidR="00E8309B" w:rsidRDefault="00E8309B">
            <w:pPr>
              <w:spacing w:after="160" w:line="259" w:lineRule="auto"/>
              <w:ind w:left="0" w:right="0" w:firstLine="0"/>
              <w:jc w:val="left"/>
            </w:pPr>
          </w:p>
        </w:tc>
      </w:tr>
      <w:tr w:rsidR="00E8309B">
        <w:trPr>
          <w:trHeight w:val="398"/>
        </w:trPr>
        <w:tc>
          <w:tcPr>
            <w:tcW w:w="5723" w:type="dxa"/>
            <w:tcBorders>
              <w:top w:val="single" w:sz="8" w:space="0" w:color="000000"/>
              <w:left w:val="double" w:sz="6" w:space="0" w:color="000000"/>
              <w:bottom w:val="dashed" w:sz="4" w:space="0" w:color="000000"/>
              <w:right w:val="single" w:sz="4" w:space="0" w:color="000000"/>
            </w:tcBorders>
          </w:tcPr>
          <w:p w:rsidR="00E8309B" w:rsidRDefault="009D0949">
            <w:pPr>
              <w:spacing w:after="0" w:line="259" w:lineRule="auto"/>
              <w:ind w:left="0" w:right="0" w:firstLine="0"/>
              <w:jc w:val="left"/>
            </w:pPr>
            <w:r>
              <w:rPr>
                <w:sz w:val="20"/>
              </w:rPr>
              <w:t xml:space="preserve">1. Становништво (у хиљадама) </w:t>
            </w:r>
          </w:p>
        </w:tc>
        <w:tc>
          <w:tcPr>
            <w:tcW w:w="1279" w:type="dxa"/>
            <w:tcBorders>
              <w:top w:val="single" w:sz="8" w:space="0" w:color="000000"/>
              <w:left w:val="single" w:sz="4" w:space="0" w:color="000000"/>
              <w:bottom w:val="dashed" w:sz="4" w:space="0" w:color="000000"/>
              <w:right w:val="single" w:sz="4" w:space="0" w:color="000000"/>
            </w:tcBorders>
            <w:vAlign w:val="bottom"/>
          </w:tcPr>
          <w:p w:rsidR="00E8309B" w:rsidRDefault="009D0949">
            <w:pPr>
              <w:spacing w:after="0" w:line="259" w:lineRule="auto"/>
              <w:ind w:left="0" w:right="7" w:firstLine="0"/>
              <w:jc w:val="center"/>
            </w:pPr>
            <w:r>
              <w:rPr>
                <w:sz w:val="20"/>
              </w:rPr>
              <w:t xml:space="preserve"> </w:t>
            </w:r>
          </w:p>
        </w:tc>
        <w:tc>
          <w:tcPr>
            <w:tcW w:w="1340" w:type="dxa"/>
            <w:tcBorders>
              <w:top w:val="single" w:sz="8" w:space="0" w:color="000000"/>
              <w:left w:val="single" w:sz="4" w:space="0" w:color="000000"/>
              <w:bottom w:val="dashed" w:sz="4" w:space="0" w:color="000000"/>
              <w:right w:val="single" w:sz="4" w:space="0" w:color="000000"/>
            </w:tcBorders>
            <w:vAlign w:val="bottom"/>
          </w:tcPr>
          <w:p w:rsidR="00E8309B" w:rsidRDefault="009D0949">
            <w:pPr>
              <w:spacing w:after="0" w:line="259" w:lineRule="auto"/>
              <w:ind w:left="0" w:right="4" w:firstLine="0"/>
              <w:jc w:val="center"/>
            </w:pPr>
            <w:r>
              <w:rPr>
                <w:sz w:val="20"/>
              </w:rPr>
              <w:t xml:space="preserve"> </w:t>
            </w:r>
          </w:p>
        </w:tc>
        <w:tc>
          <w:tcPr>
            <w:tcW w:w="1243" w:type="dxa"/>
            <w:tcBorders>
              <w:top w:val="single" w:sz="8" w:space="0" w:color="000000"/>
              <w:left w:val="single" w:sz="4" w:space="0" w:color="000000"/>
              <w:bottom w:val="dashed" w:sz="4" w:space="0" w:color="000000"/>
              <w:right w:val="dashed" w:sz="4" w:space="0" w:color="000000"/>
            </w:tcBorders>
          </w:tcPr>
          <w:p w:rsidR="00E8309B" w:rsidRDefault="009D0949">
            <w:pPr>
              <w:spacing w:after="0" w:line="259" w:lineRule="auto"/>
              <w:ind w:left="0" w:right="52" w:firstLine="0"/>
              <w:jc w:val="right"/>
            </w:pPr>
            <w:r>
              <w:rPr>
                <w:sz w:val="20"/>
              </w:rPr>
              <w:t xml:space="preserve">6.945,2 </w:t>
            </w:r>
          </w:p>
        </w:tc>
        <w:tc>
          <w:tcPr>
            <w:tcW w:w="1244" w:type="dxa"/>
            <w:tcBorders>
              <w:top w:val="single" w:sz="8" w:space="0" w:color="000000"/>
              <w:left w:val="dashed" w:sz="4" w:space="0" w:color="000000"/>
              <w:bottom w:val="dashed" w:sz="4" w:space="0" w:color="000000"/>
              <w:right w:val="dashed" w:sz="4" w:space="0" w:color="000000"/>
            </w:tcBorders>
          </w:tcPr>
          <w:p w:rsidR="00E8309B" w:rsidRDefault="009D0949">
            <w:pPr>
              <w:spacing w:after="0" w:line="259" w:lineRule="auto"/>
              <w:ind w:left="0" w:right="50" w:firstLine="0"/>
              <w:jc w:val="right"/>
            </w:pPr>
            <w:r>
              <w:rPr>
                <w:sz w:val="20"/>
              </w:rPr>
              <w:t xml:space="preserve">6.917,5 </w:t>
            </w:r>
          </w:p>
        </w:tc>
        <w:tc>
          <w:tcPr>
            <w:tcW w:w="1243" w:type="dxa"/>
            <w:tcBorders>
              <w:top w:val="single" w:sz="8" w:space="0" w:color="000000"/>
              <w:left w:val="dashed" w:sz="4" w:space="0" w:color="000000"/>
              <w:bottom w:val="dashed" w:sz="4" w:space="0" w:color="000000"/>
              <w:right w:val="dashed" w:sz="4" w:space="0" w:color="000000"/>
            </w:tcBorders>
          </w:tcPr>
          <w:p w:rsidR="00E8309B" w:rsidRDefault="009D0949">
            <w:pPr>
              <w:spacing w:after="0" w:line="259" w:lineRule="auto"/>
              <w:ind w:left="0" w:right="52" w:firstLine="0"/>
              <w:jc w:val="right"/>
            </w:pPr>
            <w:r>
              <w:rPr>
                <w:sz w:val="20"/>
              </w:rPr>
              <w:t xml:space="preserve">6.889,8 </w:t>
            </w:r>
          </w:p>
        </w:tc>
        <w:tc>
          <w:tcPr>
            <w:tcW w:w="1246" w:type="dxa"/>
            <w:tcBorders>
              <w:top w:val="single" w:sz="8" w:space="0" w:color="000000"/>
              <w:left w:val="dashed" w:sz="4" w:space="0" w:color="000000"/>
              <w:bottom w:val="dashed" w:sz="4" w:space="0" w:color="000000"/>
              <w:right w:val="dashed" w:sz="4" w:space="0" w:color="000000"/>
            </w:tcBorders>
          </w:tcPr>
          <w:p w:rsidR="00E8309B" w:rsidRDefault="009D0949">
            <w:pPr>
              <w:spacing w:after="0" w:line="259" w:lineRule="auto"/>
              <w:ind w:left="0" w:right="52" w:firstLine="0"/>
              <w:jc w:val="right"/>
            </w:pPr>
            <w:r>
              <w:rPr>
                <w:sz w:val="20"/>
              </w:rPr>
              <w:t xml:space="preserve">6.862,2 </w:t>
            </w:r>
          </w:p>
        </w:tc>
        <w:tc>
          <w:tcPr>
            <w:tcW w:w="1256" w:type="dxa"/>
            <w:tcBorders>
              <w:top w:val="single" w:sz="8" w:space="0" w:color="000000"/>
              <w:left w:val="dashed" w:sz="4" w:space="0" w:color="000000"/>
              <w:bottom w:val="dashed" w:sz="4" w:space="0" w:color="000000"/>
              <w:right w:val="double" w:sz="6" w:space="0" w:color="000000"/>
            </w:tcBorders>
          </w:tcPr>
          <w:p w:rsidR="00E8309B" w:rsidRDefault="009D0949">
            <w:pPr>
              <w:spacing w:after="0" w:line="259" w:lineRule="auto"/>
              <w:ind w:left="0" w:right="52" w:firstLine="0"/>
              <w:jc w:val="right"/>
            </w:pPr>
            <w:r>
              <w:rPr>
                <w:sz w:val="20"/>
              </w:rPr>
              <w:t xml:space="preserve">6.834,8 </w:t>
            </w:r>
          </w:p>
        </w:tc>
      </w:tr>
      <w:tr w:rsidR="00E8309B">
        <w:trPr>
          <w:trHeight w:val="394"/>
        </w:trPr>
        <w:tc>
          <w:tcPr>
            <w:tcW w:w="5723" w:type="dxa"/>
            <w:tcBorders>
              <w:top w:val="dashed" w:sz="4" w:space="0" w:color="000000"/>
              <w:left w:val="double" w:sz="6" w:space="0" w:color="000000"/>
              <w:bottom w:val="dashed" w:sz="4" w:space="0" w:color="000000"/>
              <w:right w:val="single" w:sz="4" w:space="0" w:color="000000"/>
            </w:tcBorders>
          </w:tcPr>
          <w:p w:rsidR="00E8309B" w:rsidRDefault="009D0949">
            <w:pPr>
              <w:spacing w:after="0" w:line="259" w:lineRule="auto"/>
              <w:ind w:left="0" w:right="0" w:firstLine="0"/>
              <w:jc w:val="left"/>
            </w:pPr>
            <w:r>
              <w:rPr>
                <w:sz w:val="20"/>
              </w:rPr>
              <w:t xml:space="preserve">2. Становништво (стопа раста у %) </w:t>
            </w:r>
          </w:p>
        </w:tc>
        <w:tc>
          <w:tcPr>
            <w:tcW w:w="1279" w:type="dxa"/>
            <w:tcBorders>
              <w:top w:val="dashed" w:sz="4" w:space="0" w:color="000000"/>
              <w:left w:val="single" w:sz="4" w:space="0" w:color="000000"/>
              <w:bottom w:val="dashed" w:sz="4" w:space="0" w:color="000000"/>
              <w:right w:val="single" w:sz="4" w:space="0" w:color="000000"/>
            </w:tcBorders>
            <w:vAlign w:val="bottom"/>
          </w:tcPr>
          <w:p w:rsidR="00E8309B" w:rsidRDefault="009D0949">
            <w:pPr>
              <w:spacing w:after="0" w:line="259" w:lineRule="auto"/>
              <w:ind w:left="0" w:right="7" w:firstLine="0"/>
              <w:jc w:val="center"/>
            </w:pPr>
            <w:r>
              <w:rPr>
                <w:sz w:val="20"/>
              </w:rPr>
              <w:t xml:space="preserve"> </w:t>
            </w:r>
          </w:p>
        </w:tc>
        <w:tc>
          <w:tcPr>
            <w:tcW w:w="1340" w:type="dxa"/>
            <w:tcBorders>
              <w:top w:val="dashed" w:sz="4" w:space="0" w:color="000000"/>
              <w:left w:val="single" w:sz="4" w:space="0" w:color="000000"/>
              <w:bottom w:val="dashed" w:sz="4" w:space="0" w:color="000000"/>
              <w:right w:val="single" w:sz="4" w:space="0" w:color="000000"/>
            </w:tcBorders>
            <w:vAlign w:val="bottom"/>
          </w:tcPr>
          <w:p w:rsidR="00E8309B" w:rsidRDefault="009D0949">
            <w:pPr>
              <w:spacing w:after="0" w:line="259" w:lineRule="auto"/>
              <w:ind w:left="0" w:right="4" w:firstLine="0"/>
              <w:jc w:val="center"/>
            </w:pPr>
            <w:r>
              <w:rPr>
                <w:sz w:val="20"/>
              </w:rPr>
              <w:t xml:space="preserve"> </w:t>
            </w:r>
          </w:p>
        </w:tc>
        <w:tc>
          <w:tcPr>
            <w:tcW w:w="1243" w:type="dxa"/>
            <w:tcBorders>
              <w:top w:val="dashed" w:sz="4" w:space="0" w:color="000000"/>
              <w:left w:val="single" w:sz="4" w:space="0" w:color="000000"/>
              <w:bottom w:val="dashed" w:sz="4" w:space="0" w:color="000000"/>
              <w:right w:val="dashed" w:sz="4" w:space="0" w:color="000000"/>
            </w:tcBorders>
          </w:tcPr>
          <w:p w:rsidR="00E8309B" w:rsidRDefault="009D0949">
            <w:pPr>
              <w:spacing w:after="0" w:line="259" w:lineRule="auto"/>
              <w:ind w:left="0" w:right="54" w:firstLine="0"/>
              <w:jc w:val="right"/>
            </w:pPr>
            <w:r>
              <w:rPr>
                <w:sz w:val="20"/>
              </w:rPr>
              <w:t xml:space="preserve">-0,5 </w:t>
            </w:r>
          </w:p>
        </w:tc>
        <w:tc>
          <w:tcPr>
            <w:tcW w:w="1244"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51" w:firstLine="0"/>
              <w:jc w:val="right"/>
            </w:pPr>
            <w:r>
              <w:rPr>
                <w:sz w:val="20"/>
              </w:rPr>
              <w:t xml:space="preserve">-0,4 </w:t>
            </w:r>
          </w:p>
        </w:tc>
        <w:tc>
          <w:tcPr>
            <w:tcW w:w="1243"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54" w:firstLine="0"/>
              <w:jc w:val="right"/>
            </w:pPr>
            <w:r>
              <w:rPr>
                <w:sz w:val="20"/>
              </w:rPr>
              <w:t xml:space="preserve">-0,4 </w:t>
            </w:r>
          </w:p>
        </w:tc>
        <w:tc>
          <w:tcPr>
            <w:tcW w:w="1246"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54" w:firstLine="0"/>
              <w:jc w:val="right"/>
            </w:pPr>
            <w:r>
              <w:rPr>
                <w:sz w:val="20"/>
              </w:rPr>
              <w:t xml:space="preserve">-0,4 </w:t>
            </w:r>
          </w:p>
        </w:tc>
        <w:tc>
          <w:tcPr>
            <w:tcW w:w="1256" w:type="dxa"/>
            <w:tcBorders>
              <w:top w:val="dashed" w:sz="4" w:space="0" w:color="000000"/>
              <w:left w:val="dashed" w:sz="4" w:space="0" w:color="000000"/>
              <w:bottom w:val="dashed" w:sz="4" w:space="0" w:color="000000"/>
              <w:right w:val="double" w:sz="6" w:space="0" w:color="000000"/>
            </w:tcBorders>
          </w:tcPr>
          <w:p w:rsidR="00E8309B" w:rsidRDefault="009D0949">
            <w:pPr>
              <w:spacing w:after="0" w:line="259" w:lineRule="auto"/>
              <w:ind w:left="0" w:right="54" w:firstLine="0"/>
              <w:jc w:val="right"/>
            </w:pPr>
            <w:r>
              <w:rPr>
                <w:sz w:val="20"/>
              </w:rPr>
              <w:t xml:space="preserve">-0,4 </w:t>
            </w:r>
          </w:p>
        </w:tc>
      </w:tr>
      <w:tr w:rsidR="00E8309B">
        <w:trPr>
          <w:trHeight w:val="394"/>
        </w:trPr>
        <w:tc>
          <w:tcPr>
            <w:tcW w:w="5723" w:type="dxa"/>
            <w:tcBorders>
              <w:top w:val="dashed" w:sz="4" w:space="0" w:color="000000"/>
              <w:left w:val="double" w:sz="6" w:space="0" w:color="000000"/>
              <w:bottom w:val="dashed" w:sz="4" w:space="0" w:color="000000"/>
              <w:right w:val="single" w:sz="4" w:space="0" w:color="000000"/>
            </w:tcBorders>
          </w:tcPr>
          <w:p w:rsidR="00E8309B" w:rsidRDefault="009D0949">
            <w:pPr>
              <w:spacing w:after="0" w:line="259" w:lineRule="auto"/>
              <w:ind w:left="0" w:right="0" w:firstLine="0"/>
              <w:jc w:val="left"/>
            </w:pPr>
            <w:r>
              <w:rPr>
                <w:sz w:val="20"/>
              </w:rPr>
              <w:t xml:space="preserve">3. Становништво радног узраста (број лица)[1] </w:t>
            </w:r>
          </w:p>
        </w:tc>
        <w:tc>
          <w:tcPr>
            <w:tcW w:w="1279" w:type="dxa"/>
            <w:tcBorders>
              <w:top w:val="dashed" w:sz="4" w:space="0" w:color="000000"/>
              <w:left w:val="single" w:sz="4" w:space="0" w:color="000000"/>
              <w:bottom w:val="dashed" w:sz="4" w:space="0" w:color="000000"/>
              <w:right w:val="single" w:sz="4" w:space="0" w:color="000000"/>
            </w:tcBorders>
            <w:vAlign w:val="bottom"/>
          </w:tcPr>
          <w:p w:rsidR="00E8309B" w:rsidRDefault="009D0949">
            <w:pPr>
              <w:spacing w:after="0" w:line="259" w:lineRule="auto"/>
              <w:ind w:left="0" w:right="7" w:firstLine="0"/>
              <w:jc w:val="center"/>
            </w:pPr>
            <w:r>
              <w:rPr>
                <w:sz w:val="20"/>
              </w:rPr>
              <w:t xml:space="preserve"> </w:t>
            </w:r>
          </w:p>
        </w:tc>
        <w:tc>
          <w:tcPr>
            <w:tcW w:w="1340" w:type="dxa"/>
            <w:tcBorders>
              <w:top w:val="dashed" w:sz="4" w:space="0" w:color="000000"/>
              <w:left w:val="single" w:sz="4" w:space="0" w:color="000000"/>
              <w:bottom w:val="dashed" w:sz="4" w:space="0" w:color="000000"/>
              <w:right w:val="single" w:sz="4" w:space="0" w:color="000000"/>
            </w:tcBorders>
            <w:vAlign w:val="bottom"/>
          </w:tcPr>
          <w:p w:rsidR="00E8309B" w:rsidRDefault="009D0949">
            <w:pPr>
              <w:spacing w:after="0" w:line="259" w:lineRule="auto"/>
              <w:ind w:left="0" w:right="4" w:firstLine="0"/>
              <w:jc w:val="center"/>
            </w:pPr>
            <w:r>
              <w:rPr>
                <w:sz w:val="20"/>
              </w:rPr>
              <w:t xml:space="preserve"> </w:t>
            </w:r>
          </w:p>
        </w:tc>
        <w:tc>
          <w:tcPr>
            <w:tcW w:w="1243" w:type="dxa"/>
            <w:tcBorders>
              <w:top w:val="dashed" w:sz="4" w:space="0" w:color="000000"/>
              <w:left w:val="single" w:sz="4" w:space="0" w:color="000000"/>
              <w:bottom w:val="dashed" w:sz="4" w:space="0" w:color="000000"/>
              <w:right w:val="dashed" w:sz="4" w:space="0" w:color="000000"/>
            </w:tcBorders>
          </w:tcPr>
          <w:p w:rsidR="00E8309B" w:rsidRDefault="009D0949">
            <w:pPr>
              <w:spacing w:after="0" w:line="259" w:lineRule="auto"/>
              <w:ind w:left="0" w:right="52" w:firstLine="0"/>
              <w:jc w:val="right"/>
            </w:pPr>
            <w:r>
              <w:rPr>
                <w:sz w:val="20"/>
              </w:rPr>
              <w:t xml:space="preserve">4.504 </w:t>
            </w:r>
          </w:p>
        </w:tc>
        <w:tc>
          <w:tcPr>
            <w:tcW w:w="1244"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50" w:firstLine="0"/>
              <w:jc w:val="right"/>
            </w:pPr>
            <w:r>
              <w:rPr>
                <w:sz w:val="20"/>
              </w:rPr>
              <w:t xml:space="preserve">4.566 </w:t>
            </w:r>
          </w:p>
        </w:tc>
        <w:tc>
          <w:tcPr>
            <w:tcW w:w="1243"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52" w:firstLine="0"/>
              <w:jc w:val="right"/>
            </w:pPr>
            <w:r>
              <w:rPr>
                <w:sz w:val="20"/>
              </w:rPr>
              <w:t xml:space="preserve">4.547 </w:t>
            </w:r>
          </w:p>
        </w:tc>
        <w:tc>
          <w:tcPr>
            <w:tcW w:w="1246"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52" w:firstLine="0"/>
              <w:jc w:val="right"/>
            </w:pPr>
            <w:r>
              <w:rPr>
                <w:sz w:val="20"/>
              </w:rPr>
              <w:t xml:space="preserve">4.536 </w:t>
            </w:r>
          </w:p>
        </w:tc>
        <w:tc>
          <w:tcPr>
            <w:tcW w:w="1256" w:type="dxa"/>
            <w:tcBorders>
              <w:top w:val="dashed" w:sz="4" w:space="0" w:color="000000"/>
              <w:left w:val="dashed" w:sz="4" w:space="0" w:color="000000"/>
              <w:bottom w:val="dashed" w:sz="4" w:space="0" w:color="000000"/>
              <w:right w:val="double" w:sz="6" w:space="0" w:color="000000"/>
            </w:tcBorders>
          </w:tcPr>
          <w:p w:rsidR="00E8309B" w:rsidRDefault="009D0949">
            <w:pPr>
              <w:spacing w:after="0" w:line="259" w:lineRule="auto"/>
              <w:ind w:left="0" w:right="52" w:firstLine="0"/>
              <w:jc w:val="right"/>
            </w:pPr>
            <w:r>
              <w:rPr>
                <w:sz w:val="20"/>
              </w:rPr>
              <w:t xml:space="preserve">4.525 </w:t>
            </w:r>
          </w:p>
        </w:tc>
      </w:tr>
      <w:tr w:rsidR="00E8309B">
        <w:trPr>
          <w:trHeight w:val="391"/>
        </w:trPr>
        <w:tc>
          <w:tcPr>
            <w:tcW w:w="5723" w:type="dxa"/>
            <w:tcBorders>
              <w:top w:val="dashed" w:sz="4" w:space="0" w:color="000000"/>
              <w:left w:val="double" w:sz="6" w:space="0" w:color="000000"/>
              <w:bottom w:val="dashed" w:sz="4" w:space="0" w:color="000000"/>
              <w:right w:val="single" w:sz="4" w:space="0" w:color="000000"/>
            </w:tcBorders>
          </w:tcPr>
          <w:p w:rsidR="00E8309B" w:rsidRDefault="009D0949">
            <w:pPr>
              <w:spacing w:after="0" w:line="259" w:lineRule="auto"/>
              <w:ind w:left="0" w:right="0" w:firstLine="0"/>
              <w:jc w:val="left"/>
            </w:pPr>
            <w:r>
              <w:rPr>
                <w:sz w:val="20"/>
              </w:rPr>
              <w:t xml:space="preserve">4. Стопа активности </w:t>
            </w:r>
          </w:p>
        </w:tc>
        <w:tc>
          <w:tcPr>
            <w:tcW w:w="1279" w:type="dxa"/>
            <w:tcBorders>
              <w:top w:val="dashed" w:sz="4" w:space="0" w:color="000000"/>
              <w:left w:val="single" w:sz="4" w:space="0" w:color="000000"/>
              <w:bottom w:val="dashed" w:sz="4" w:space="0" w:color="000000"/>
              <w:right w:val="single" w:sz="4" w:space="0" w:color="000000"/>
            </w:tcBorders>
            <w:vAlign w:val="bottom"/>
          </w:tcPr>
          <w:p w:rsidR="00E8309B" w:rsidRDefault="009D0949">
            <w:pPr>
              <w:spacing w:after="0" w:line="259" w:lineRule="auto"/>
              <w:ind w:left="0" w:right="7" w:firstLine="0"/>
              <w:jc w:val="center"/>
            </w:pPr>
            <w:r>
              <w:rPr>
                <w:sz w:val="20"/>
              </w:rPr>
              <w:t xml:space="preserve"> </w:t>
            </w:r>
          </w:p>
        </w:tc>
        <w:tc>
          <w:tcPr>
            <w:tcW w:w="1340" w:type="dxa"/>
            <w:tcBorders>
              <w:top w:val="dashed" w:sz="4" w:space="0" w:color="000000"/>
              <w:left w:val="single" w:sz="4" w:space="0" w:color="000000"/>
              <w:bottom w:val="dashed" w:sz="4" w:space="0" w:color="000000"/>
              <w:right w:val="single" w:sz="4" w:space="0" w:color="000000"/>
            </w:tcBorders>
            <w:vAlign w:val="bottom"/>
          </w:tcPr>
          <w:p w:rsidR="00E8309B" w:rsidRDefault="009D0949">
            <w:pPr>
              <w:spacing w:after="0" w:line="259" w:lineRule="auto"/>
              <w:ind w:left="0" w:right="4" w:firstLine="0"/>
              <w:jc w:val="center"/>
            </w:pPr>
            <w:r>
              <w:rPr>
                <w:sz w:val="20"/>
              </w:rPr>
              <w:t xml:space="preserve"> </w:t>
            </w:r>
          </w:p>
        </w:tc>
        <w:tc>
          <w:tcPr>
            <w:tcW w:w="1243" w:type="dxa"/>
            <w:tcBorders>
              <w:top w:val="dashed" w:sz="4" w:space="0" w:color="000000"/>
              <w:left w:val="single" w:sz="4" w:space="0" w:color="000000"/>
              <w:bottom w:val="dashed" w:sz="4" w:space="0" w:color="000000"/>
              <w:right w:val="dashed" w:sz="4" w:space="0" w:color="000000"/>
            </w:tcBorders>
          </w:tcPr>
          <w:p w:rsidR="00E8309B" w:rsidRDefault="009D0949">
            <w:pPr>
              <w:spacing w:after="0" w:line="259" w:lineRule="auto"/>
              <w:ind w:left="0" w:right="52" w:firstLine="0"/>
              <w:jc w:val="right"/>
            </w:pPr>
            <w:r>
              <w:rPr>
                <w:sz w:val="20"/>
              </w:rPr>
              <w:t xml:space="preserve">68,1 </w:t>
            </w:r>
          </w:p>
        </w:tc>
        <w:tc>
          <w:tcPr>
            <w:tcW w:w="1244"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49" w:firstLine="0"/>
              <w:jc w:val="right"/>
            </w:pPr>
            <w:r>
              <w:rPr>
                <w:sz w:val="20"/>
              </w:rPr>
              <w:t xml:space="preserve">67,0 </w:t>
            </w:r>
          </w:p>
        </w:tc>
        <w:tc>
          <w:tcPr>
            <w:tcW w:w="1243"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52" w:firstLine="0"/>
              <w:jc w:val="right"/>
            </w:pPr>
            <w:r>
              <w:rPr>
                <w:sz w:val="20"/>
              </w:rPr>
              <w:t xml:space="preserve">68,0 </w:t>
            </w:r>
          </w:p>
        </w:tc>
        <w:tc>
          <w:tcPr>
            <w:tcW w:w="1246"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52" w:firstLine="0"/>
              <w:jc w:val="right"/>
            </w:pPr>
            <w:r>
              <w:rPr>
                <w:sz w:val="20"/>
              </w:rPr>
              <w:t xml:space="preserve">68,2 </w:t>
            </w:r>
          </w:p>
        </w:tc>
        <w:tc>
          <w:tcPr>
            <w:tcW w:w="1256" w:type="dxa"/>
            <w:tcBorders>
              <w:top w:val="dashed" w:sz="4" w:space="0" w:color="000000"/>
              <w:left w:val="dashed" w:sz="4" w:space="0" w:color="000000"/>
              <w:bottom w:val="dashed" w:sz="4" w:space="0" w:color="000000"/>
              <w:right w:val="double" w:sz="6" w:space="0" w:color="000000"/>
            </w:tcBorders>
          </w:tcPr>
          <w:p w:rsidR="00E8309B" w:rsidRDefault="009D0949">
            <w:pPr>
              <w:spacing w:after="0" w:line="259" w:lineRule="auto"/>
              <w:ind w:left="0" w:right="52" w:firstLine="0"/>
              <w:jc w:val="right"/>
            </w:pPr>
            <w:r>
              <w:rPr>
                <w:sz w:val="20"/>
              </w:rPr>
              <w:t xml:space="preserve">68,5 </w:t>
            </w:r>
          </w:p>
        </w:tc>
      </w:tr>
      <w:tr w:rsidR="00E8309B">
        <w:trPr>
          <w:trHeight w:val="394"/>
        </w:trPr>
        <w:tc>
          <w:tcPr>
            <w:tcW w:w="5723" w:type="dxa"/>
            <w:tcBorders>
              <w:top w:val="dashed" w:sz="4" w:space="0" w:color="000000"/>
              <w:left w:val="double" w:sz="6" w:space="0" w:color="000000"/>
              <w:bottom w:val="dashed" w:sz="4" w:space="0" w:color="000000"/>
              <w:right w:val="single" w:sz="4" w:space="0" w:color="000000"/>
            </w:tcBorders>
          </w:tcPr>
          <w:p w:rsidR="00E8309B" w:rsidRDefault="009D0949">
            <w:pPr>
              <w:spacing w:after="0" w:line="259" w:lineRule="auto"/>
              <w:ind w:left="0" w:right="0" w:firstLine="0"/>
              <w:jc w:val="left"/>
            </w:pPr>
            <w:r>
              <w:rPr>
                <w:sz w:val="20"/>
              </w:rPr>
              <w:t xml:space="preserve">5. Запосленост, број лица [2] </w:t>
            </w:r>
          </w:p>
        </w:tc>
        <w:tc>
          <w:tcPr>
            <w:tcW w:w="1279" w:type="dxa"/>
            <w:tcBorders>
              <w:top w:val="dashed" w:sz="4" w:space="0" w:color="000000"/>
              <w:left w:val="single" w:sz="4" w:space="0" w:color="000000"/>
              <w:bottom w:val="dashed" w:sz="4" w:space="0" w:color="000000"/>
              <w:right w:val="single" w:sz="4" w:space="0" w:color="000000"/>
            </w:tcBorders>
            <w:vAlign w:val="bottom"/>
          </w:tcPr>
          <w:p w:rsidR="00E8309B" w:rsidRDefault="009D0949">
            <w:pPr>
              <w:spacing w:after="0" w:line="259" w:lineRule="auto"/>
              <w:ind w:left="0" w:right="7" w:firstLine="0"/>
              <w:jc w:val="center"/>
            </w:pPr>
            <w:r>
              <w:rPr>
                <w:sz w:val="20"/>
              </w:rPr>
              <w:t xml:space="preserve"> </w:t>
            </w:r>
          </w:p>
        </w:tc>
        <w:tc>
          <w:tcPr>
            <w:tcW w:w="1340" w:type="dxa"/>
            <w:tcBorders>
              <w:top w:val="dashed" w:sz="4" w:space="0" w:color="000000"/>
              <w:left w:val="single" w:sz="4" w:space="0" w:color="000000"/>
              <w:bottom w:val="dashed" w:sz="4" w:space="0" w:color="000000"/>
              <w:right w:val="single" w:sz="4" w:space="0" w:color="000000"/>
            </w:tcBorders>
            <w:vAlign w:val="bottom"/>
          </w:tcPr>
          <w:p w:rsidR="00E8309B" w:rsidRDefault="009D0949">
            <w:pPr>
              <w:spacing w:after="0" w:line="259" w:lineRule="auto"/>
              <w:ind w:left="0" w:right="4" w:firstLine="0"/>
              <w:jc w:val="center"/>
            </w:pPr>
            <w:r>
              <w:rPr>
                <w:sz w:val="20"/>
              </w:rPr>
              <w:t xml:space="preserve"> </w:t>
            </w:r>
          </w:p>
        </w:tc>
        <w:tc>
          <w:tcPr>
            <w:tcW w:w="1243" w:type="dxa"/>
            <w:tcBorders>
              <w:top w:val="dashed" w:sz="4" w:space="0" w:color="000000"/>
              <w:left w:val="single" w:sz="4" w:space="0" w:color="000000"/>
              <w:bottom w:val="dashed" w:sz="4" w:space="0" w:color="000000"/>
              <w:right w:val="dashed" w:sz="4" w:space="0" w:color="000000"/>
            </w:tcBorders>
          </w:tcPr>
          <w:p w:rsidR="00E8309B" w:rsidRDefault="009D0949">
            <w:pPr>
              <w:spacing w:after="0" w:line="259" w:lineRule="auto"/>
              <w:ind w:left="0" w:right="52" w:firstLine="0"/>
              <w:jc w:val="right"/>
            </w:pPr>
            <w:r>
              <w:rPr>
                <w:sz w:val="20"/>
              </w:rPr>
              <w:t xml:space="preserve">2.734 </w:t>
            </w:r>
          </w:p>
        </w:tc>
        <w:tc>
          <w:tcPr>
            <w:tcW w:w="1244"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50" w:firstLine="0"/>
              <w:jc w:val="right"/>
            </w:pPr>
            <w:r>
              <w:rPr>
                <w:sz w:val="20"/>
              </w:rPr>
              <w:t xml:space="preserve">2.747 </w:t>
            </w:r>
          </w:p>
        </w:tc>
        <w:tc>
          <w:tcPr>
            <w:tcW w:w="1243"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52" w:firstLine="0"/>
              <w:jc w:val="right"/>
            </w:pPr>
            <w:r>
              <w:rPr>
                <w:sz w:val="20"/>
              </w:rPr>
              <w:t xml:space="preserve">2.780 </w:t>
            </w:r>
          </w:p>
        </w:tc>
        <w:tc>
          <w:tcPr>
            <w:tcW w:w="1246"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52" w:firstLine="0"/>
              <w:jc w:val="right"/>
            </w:pPr>
            <w:r>
              <w:rPr>
                <w:sz w:val="20"/>
              </w:rPr>
              <w:t xml:space="preserve">2.808 </w:t>
            </w:r>
          </w:p>
        </w:tc>
        <w:tc>
          <w:tcPr>
            <w:tcW w:w="1256" w:type="dxa"/>
            <w:tcBorders>
              <w:top w:val="dashed" w:sz="4" w:space="0" w:color="000000"/>
              <w:left w:val="dashed" w:sz="4" w:space="0" w:color="000000"/>
              <w:bottom w:val="dashed" w:sz="4" w:space="0" w:color="000000"/>
              <w:right w:val="double" w:sz="6" w:space="0" w:color="000000"/>
            </w:tcBorders>
          </w:tcPr>
          <w:p w:rsidR="00E8309B" w:rsidRDefault="009D0949">
            <w:pPr>
              <w:spacing w:after="0" w:line="259" w:lineRule="auto"/>
              <w:ind w:left="0" w:right="52" w:firstLine="0"/>
              <w:jc w:val="right"/>
            </w:pPr>
            <w:r>
              <w:rPr>
                <w:sz w:val="20"/>
              </w:rPr>
              <w:t xml:space="preserve">2.836 </w:t>
            </w:r>
          </w:p>
        </w:tc>
      </w:tr>
      <w:tr w:rsidR="00E8309B">
        <w:trPr>
          <w:trHeight w:val="394"/>
        </w:trPr>
        <w:tc>
          <w:tcPr>
            <w:tcW w:w="5723" w:type="dxa"/>
            <w:tcBorders>
              <w:top w:val="dashed" w:sz="4" w:space="0" w:color="000000"/>
              <w:left w:val="double" w:sz="6" w:space="0" w:color="000000"/>
              <w:bottom w:val="dashed" w:sz="4" w:space="0" w:color="000000"/>
              <w:right w:val="single" w:sz="4" w:space="0" w:color="000000"/>
            </w:tcBorders>
          </w:tcPr>
          <w:p w:rsidR="00E8309B" w:rsidRDefault="009D0949">
            <w:pPr>
              <w:spacing w:after="0" w:line="259" w:lineRule="auto"/>
              <w:ind w:left="0" w:right="0" w:firstLine="0"/>
              <w:jc w:val="left"/>
            </w:pPr>
            <w:r>
              <w:rPr>
                <w:sz w:val="20"/>
              </w:rPr>
              <w:t xml:space="preserve">6. Запосленост, часови рада[3] </w:t>
            </w:r>
          </w:p>
        </w:tc>
        <w:tc>
          <w:tcPr>
            <w:tcW w:w="1279" w:type="dxa"/>
            <w:tcBorders>
              <w:top w:val="dashed" w:sz="4" w:space="0" w:color="000000"/>
              <w:left w:val="single" w:sz="4" w:space="0" w:color="000000"/>
              <w:bottom w:val="dashed" w:sz="4" w:space="0" w:color="000000"/>
              <w:right w:val="single" w:sz="4" w:space="0" w:color="000000"/>
            </w:tcBorders>
            <w:vAlign w:val="bottom"/>
          </w:tcPr>
          <w:p w:rsidR="00E8309B" w:rsidRDefault="009D0949">
            <w:pPr>
              <w:spacing w:after="0" w:line="259" w:lineRule="auto"/>
              <w:ind w:left="0" w:right="7" w:firstLine="0"/>
              <w:jc w:val="center"/>
            </w:pPr>
            <w:r>
              <w:rPr>
                <w:sz w:val="20"/>
              </w:rPr>
              <w:t xml:space="preserve"> </w:t>
            </w:r>
          </w:p>
        </w:tc>
        <w:tc>
          <w:tcPr>
            <w:tcW w:w="1340" w:type="dxa"/>
            <w:tcBorders>
              <w:top w:val="dashed" w:sz="4" w:space="0" w:color="000000"/>
              <w:left w:val="single" w:sz="4" w:space="0" w:color="000000"/>
              <w:bottom w:val="dashed" w:sz="4" w:space="0" w:color="000000"/>
              <w:right w:val="single" w:sz="4" w:space="0" w:color="000000"/>
            </w:tcBorders>
            <w:vAlign w:val="bottom"/>
          </w:tcPr>
          <w:p w:rsidR="00E8309B" w:rsidRDefault="009D0949">
            <w:pPr>
              <w:spacing w:after="0" w:line="259" w:lineRule="auto"/>
              <w:ind w:left="0" w:right="4" w:firstLine="0"/>
              <w:jc w:val="center"/>
            </w:pPr>
            <w:r>
              <w:rPr>
                <w:sz w:val="20"/>
              </w:rPr>
              <w:t xml:space="preserve"> </w:t>
            </w:r>
          </w:p>
        </w:tc>
        <w:tc>
          <w:tcPr>
            <w:tcW w:w="1243" w:type="dxa"/>
            <w:tcBorders>
              <w:top w:val="dashed" w:sz="4" w:space="0" w:color="000000"/>
              <w:left w:val="single" w:sz="4" w:space="0" w:color="000000"/>
              <w:bottom w:val="dashed" w:sz="4" w:space="0" w:color="000000"/>
              <w:right w:val="dashed" w:sz="4" w:space="0" w:color="000000"/>
            </w:tcBorders>
          </w:tcPr>
          <w:p w:rsidR="00E8309B" w:rsidRDefault="009D0949">
            <w:pPr>
              <w:spacing w:after="0" w:line="259" w:lineRule="auto"/>
              <w:ind w:left="0" w:right="52" w:firstLine="0"/>
              <w:jc w:val="right"/>
            </w:pPr>
            <w:r>
              <w:rPr>
                <w:sz w:val="20"/>
              </w:rPr>
              <w:t xml:space="preserve">: </w:t>
            </w:r>
          </w:p>
        </w:tc>
        <w:tc>
          <w:tcPr>
            <w:tcW w:w="1244"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50" w:firstLine="0"/>
              <w:jc w:val="right"/>
            </w:pPr>
            <w:r>
              <w:rPr>
                <w:sz w:val="20"/>
              </w:rPr>
              <w:t xml:space="preserve">: </w:t>
            </w:r>
          </w:p>
        </w:tc>
        <w:tc>
          <w:tcPr>
            <w:tcW w:w="1243"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52" w:firstLine="0"/>
              <w:jc w:val="right"/>
            </w:pPr>
            <w:r>
              <w:rPr>
                <w:sz w:val="20"/>
              </w:rPr>
              <w:t xml:space="preserve">: </w:t>
            </w:r>
          </w:p>
        </w:tc>
        <w:tc>
          <w:tcPr>
            <w:tcW w:w="1246"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52" w:firstLine="0"/>
              <w:jc w:val="right"/>
            </w:pPr>
            <w:r>
              <w:rPr>
                <w:sz w:val="20"/>
              </w:rPr>
              <w:t xml:space="preserve">: </w:t>
            </w:r>
          </w:p>
        </w:tc>
        <w:tc>
          <w:tcPr>
            <w:tcW w:w="1256" w:type="dxa"/>
            <w:tcBorders>
              <w:top w:val="dashed" w:sz="4" w:space="0" w:color="000000"/>
              <w:left w:val="dashed" w:sz="4" w:space="0" w:color="000000"/>
              <w:bottom w:val="dashed" w:sz="4" w:space="0" w:color="000000"/>
              <w:right w:val="double" w:sz="6" w:space="0" w:color="000000"/>
            </w:tcBorders>
          </w:tcPr>
          <w:p w:rsidR="00E8309B" w:rsidRDefault="009D0949">
            <w:pPr>
              <w:spacing w:after="0" w:line="259" w:lineRule="auto"/>
              <w:ind w:left="0" w:right="52" w:firstLine="0"/>
              <w:jc w:val="right"/>
            </w:pPr>
            <w:r>
              <w:rPr>
                <w:sz w:val="20"/>
              </w:rPr>
              <w:t xml:space="preserve">: </w:t>
            </w:r>
          </w:p>
        </w:tc>
      </w:tr>
      <w:tr w:rsidR="00E8309B">
        <w:trPr>
          <w:trHeight w:val="394"/>
        </w:trPr>
        <w:tc>
          <w:tcPr>
            <w:tcW w:w="5723" w:type="dxa"/>
            <w:tcBorders>
              <w:top w:val="dashed" w:sz="4" w:space="0" w:color="000000"/>
              <w:left w:val="double" w:sz="6" w:space="0" w:color="000000"/>
              <w:bottom w:val="dashed" w:sz="4" w:space="0" w:color="000000"/>
              <w:right w:val="single" w:sz="4" w:space="0" w:color="000000"/>
            </w:tcBorders>
          </w:tcPr>
          <w:p w:rsidR="00E8309B" w:rsidRDefault="009D0949">
            <w:pPr>
              <w:spacing w:after="0" w:line="259" w:lineRule="auto"/>
              <w:ind w:left="0" w:right="0" w:firstLine="0"/>
              <w:jc w:val="left"/>
            </w:pPr>
            <w:r>
              <w:rPr>
                <w:sz w:val="20"/>
              </w:rPr>
              <w:t xml:space="preserve">7. Запосленост (стопа раста у %) </w:t>
            </w:r>
          </w:p>
        </w:tc>
        <w:tc>
          <w:tcPr>
            <w:tcW w:w="1279" w:type="dxa"/>
            <w:tcBorders>
              <w:top w:val="dashed" w:sz="4" w:space="0" w:color="000000"/>
              <w:left w:val="single" w:sz="4" w:space="0" w:color="000000"/>
              <w:bottom w:val="dashed" w:sz="4" w:space="0" w:color="000000"/>
              <w:right w:val="single" w:sz="4" w:space="0" w:color="000000"/>
            </w:tcBorders>
            <w:vAlign w:val="bottom"/>
          </w:tcPr>
          <w:p w:rsidR="00E8309B" w:rsidRDefault="009D0949">
            <w:pPr>
              <w:spacing w:after="0" w:line="259" w:lineRule="auto"/>
              <w:ind w:left="0" w:right="7" w:firstLine="0"/>
              <w:jc w:val="center"/>
            </w:pPr>
            <w:r>
              <w:rPr>
                <w:sz w:val="20"/>
              </w:rPr>
              <w:t xml:space="preserve"> </w:t>
            </w:r>
          </w:p>
        </w:tc>
        <w:tc>
          <w:tcPr>
            <w:tcW w:w="1340" w:type="dxa"/>
            <w:tcBorders>
              <w:top w:val="dashed" w:sz="4" w:space="0" w:color="000000"/>
              <w:left w:val="single" w:sz="4" w:space="0" w:color="000000"/>
              <w:bottom w:val="dashed" w:sz="4" w:space="0" w:color="000000"/>
              <w:right w:val="single" w:sz="4" w:space="0" w:color="000000"/>
            </w:tcBorders>
            <w:vAlign w:val="bottom"/>
          </w:tcPr>
          <w:p w:rsidR="00E8309B" w:rsidRDefault="009D0949">
            <w:pPr>
              <w:spacing w:after="0" w:line="259" w:lineRule="auto"/>
              <w:ind w:left="0" w:right="4" w:firstLine="0"/>
              <w:jc w:val="center"/>
            </w:pPr>
            <w:r>
              <w:rPr>
                <w:sz w:val="20"/>
              </w:rPr>
              <w:t xml:space="preserve"> </w:t>
            </w:r>
          </w:p>
        </w:tc>
        <w:tc>
          <w:tcPr>
            <w:tcW w:w="1243" w:type="dxa"/>
            <w:tcBorders>
              <w:top w:val="dashed" w:sz="4" w:space="0" w:color="000000"/>
              <w:left w:val="single" w:sz="4" w:space="0" w:color="000000"/>
              <w:bottom w:val="dashed" w:sz="4" w:space="0" w:color="000000"/>
              <w:right w:val="dashed" w:sz="4" w:space="0" w:color="000000"/>
            </w:tcBorders>
          </w:tcPr>
          <w:p w:rsidR="00E8309B" w:rsidRDefault="009D0949">
            <w:pPr>
              <w:spacing w:after="0" w:line="259" w:lineRule="auto"/>
              <w:ind w:left="0" w:right="51" w:firstLine="0"/>
              <w:jc w:val="right"/>
            </w:pPr>
            <w:r>
              <w:rPr>
                <w:sz w:val="20"/>
              </w:rPr>
              <w:t xml:space="preserve">1,8 </w:t>
            </w:r>
          </w:p>
        </w:tc>
        <w:tc>
          <w:tcPr>
            <w:tcW w:w="1244"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49" w:firstLine="0"/>
              <w:jc w:val="right"/>
            </w:pPr>
            <w:r>
              <w:rPr>
                <w:sz w:val="20"/>
              </w:rPr>
              <w:t xml:space="preserve">0,5 </w:t>
            </w:r>
          </w:p>
        </w:tc>
        <w:tc>
          <w:tcPr>
            <w:tcW w:w="1243"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51" w:firstLine="0"/>
              <w:jc w:val="right"/>
            </w:pPr>
            <w:r>
              <w:rPr>
                <w:sz w:val="20"/>
              </w:rPr>
              <w:t xml:space="preserve">1,2 </w:t>
            </w:r>
          </w:p>
        </w:tc>
        <w:tc>
          <w:tcPr>
            <w:tcW w:w="1246"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51" w:firstLine="0"/>
              <w:jc w:val="right"/>
            </w:pPr>
            <w:r>
              <w:rPr>
                <w:sz w:val="20"/>
              </w:rPr>
              <w:t xml:space="preserve">1,0 </w:t>
            </w:r>
          </w:p>
        </w:tc>
        <w:tc>
          <w:tcPr>
            <w:tcW w:w="1256" w:type="dxa"/>
            <w:tcBorders>
              <w:top w:val="dashed" w:sz="4" w:space="0" w:color="000000"/>
              <w:left w:val="dashed" w:sz="4" w:space="0" w:color="000000"/>
              <w:bottom w:val="dashed" w:sz="4" w:space="0" w:color="000000"/>
              <w:right w:val="double" w:sz="6" w:space="0" w:color="000000"/>
            </w:tcBorders>
          </w:tcPr>
          <w:p w:rsidR="00E8309B" w:rsidRDefault="009D0949">
            <w:pPr>
              <w:spacing w:after="0" w:line="259" w:lineRule="auto"/>
              <w:ind w:left="0" w:right="51" w:firstLine="0"/>
              <w:jc w:val="right"/>
            </w:pPr>
            <w:r>
              <w:rPr>
                <w:sz w:val="20"/>
              </w:rPr>
              <w:t xml:space="preserve">1,0 </w:t>
            </w:r>
          </w:p>
        </w:tc>
      </w:tr>
      <w:tr w:rsidR="00E8309B">
        <w:trPr>
          <w:trHeight w:val="391"/>
        </w:trPr>
        <w:tc>
          <w:tcPr>
            <w:tcW w:w="5723" w:type="dxa"/>
            <w:tcBorders>
              <w:top w:val="dashed" w:sz="4" w:space="0" w:color="000000"/>
              <w:left w:val="double" w:sz="6" w:space="0" w:color="000000"/>
              <w:bottom w:val="dashed" w:sz="4" w:space="0" w:color="000000"/>
              <w:right w:val="single" w:sz="4" w:space="0" w:color="000000"/>
            </w:tcBorders>
          </w:tcPr>
          <w:p w:rsidR="00E8309B" w:rsidRDefault="009D0949">
            <w:pPr>
              <w:spacing w:after="0" w:line="259" w:lineRule="auto"/>
              <w:ind w:left="0" w:right="0" w:firstLine="0"/>
              <w:jc w:val="left"/>
            </w:pPr>
            <w:r>
              <w:rPr>
                <w:sz w:val="20"/>
              </w:rPr>
              <w:t xml:space="preserve">8. Запосленост у јавном сектору (број лица) </w:t>
            </w:r>
          </w:p>
        </w:tc>
        <w:tc>
          <w:tcPr>
            <w:tcW w:w="1279" w:type="dxa"/>
            <w:tcBorders>
              <w:top w:val="dashed" w:sz="4" w:space="0" w:color="000000"/>
              <w:left w:val="single" w:sz="4" w:space="0" w:color="000000"/>
              <w:bottom w:val="dashed" w:sz="4" w:space="0" w:color="000000"/>
              <w:right w:val="single" w:sz="4" w:space="0" w:color="000000"/>
            </w:tcBorders>
            <w:vAlign w:val="bottom"/>
          </w:tcPr>
          <w:p w:rsidR="00E8309B" w:rsidRDefault="009D0949">
            <w:pPr>
              <w:spacing w:after="0" w:line="259" w:lineRule="auto"/>
              <w:ind w:left="0" w:right="7" w:firstLine="0"/>
              <w:jc w:val="center"/>
            </w:pPr>
            <w:r>
              <w:rPr>
                <w:sz w:val="20"/>
              </w:rPr>
              <w:t xml:space="preserve"> </w:t>
            </w:r>
          </w:p>
        </w:tc>
        <w:tc>
          <w:tcPr>
            <w:tcW w:w="1340" w:type="dxa"/>
            <w:tcBorders>
              <w:top w:val="dashed" w:sz="4" w:space="0" w:color="000000"/>
              <w:left w:val="single" w:sz="4" w:space="0" w:color="000000"/>
              <w:bottom w:val="dashed" w:sz="4" w:space="0" w:color="000000"/>
              <w:right w:val="single" w:sz="4" w:space="0" w:color="000000"/>
            </w:tcBorders>
            <w:vAlign w:val="bottom"/>
          </w:tcPr>
          <w:p w:rsidR="00E8309B" w:rsidRDefault="009D0949">
            <w:pPr>
              <w:spacing w:after="0" w:line="259" w:lineRule="auto"/>
              <w:ind w:left="0" w:right="4" w:firstLine="0"/>
              <w:jc w:val="center"/>
            </w:pPr>
            <w:r>
              <w:rPr>
                <w:sz w:val="20"/>
              </w:rPr>
              <w:t xml:space="preserve"> </w:t>
            </w:r>
          </w:p>
        </w:tc>
        <w:tc>
          <w:tcPr>
            <w:tcW w:w="1243" w:type="dxa"/>
            <w:tcBorders>
              <w:top w:val="dashed" w:sz="4" w:space="0" w:color="000000"/>
              <w:left w:val="single" w:sz="4" w:space="0" w:color="000000"/>
              <w:bottom w:val="dashed" w:sz="4" w:space="0" w:color="000000"/>
              <w:right w:val="dashed" w:sz="4" w:space="0" w:color="000000"/>
            </w:tcBorders>
          </w:tcPr>
          <w:p w:rsidR="00E8309B" w:rsidRDefault="009D0949">
            <w:pPr>
              <w:spacing w:after="0" w:line="259" w:lineRule="auto"/>
              <w:ind w:left="0" w:right="52" w:firstLine="0"/>
              <w:jc w:val="right"/>
            </w:pPr>
            <w:r>
              <w:rPr>
                <w:sz w:val="20"/>
              </w:rPr>
              <w:t xml:space="preserve">: </w:t>
            </w:r>
          </w:p>
        </w:tc>
        <w:tc>
          <w:tcPr>
            <w:tcW w:w="1244"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50" w:firstLine="0"/>
              <w:jc w:val="right"/>
            </w:pPr>
            <w:r>
              <w:rPr>
                <w:sz w:val="20"/>
              </w:rPr>
              <w:t xml:space="preserve">: </w:t>
            </w:r>
          </w:p>
        </w:tc>
        <w:tc>
          <w:tcPr>
            <w:tcW w:w="1243"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52" w:firstLine="0"/>
              <w:jc w:val="right"/>
            </w:pPr>
            <w:r>
              <w:rPr>
                <w:sz w:val="20"/>
              </w:rPr>
              <w:t xml:space="preserve">: </w:t>
            </w:r>
          </w:p>
        </w:tc>
        <w:tc>
          <w:tcPr>
            <w:tcW w:w="1246"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52" w:firstLine="0"/>
              <w:jc w:val="right"/>
            </w:pPr>
            <w:r>
              <w:rPr>
                <w:sz w:val="20"/>
              </w:rPr>
              <w:t xml:space="preserve">: </w:t>
            </w:r>
          </w:p>
        </w:tc>
        <w:tc>
          <w:tcPr>
            <w:tcW w:w="1256" w:type="dxa"/>
            <w:tcBorders>
              <w:top w:val="dashed" w:sz="4" w:space="0" w:color="000000"/>
              <w:left w:val="dashed" w:sz="4" w:space="0" w:color="000000"/>
              <w:bottom w:val="dashed" w:sz="4" w:space="0" w:color="000000"/>
              <w:right w:val="double" w:sz="6" w:space="0" w:color="000000"/>
            </w:tcBorders>
          </w:tcPr>
          <w:p w:rsidR="00E8309B" w:rsidRDefault="009D0949">
            <w:pPr>
              <w:spacing w:after="0" w:line="259" w:lineRule="auto"/>
              <w:ind w:left="0" w:right="52" w:firstLine="0"/>
              <w:jc w:val="right"/>
            </w:pPr>
            <w:r>
              <w:rPr>
                <w:sz w:val="20"/>
              </w:rPr>
              <w:t xml:space="preserve">: </w:t>
            </w:r>
          </w:p>
        </w:tc>
      </w:tr>
      <w:tr w:rsidR="00E8309B">
        <w:trPr>
          <w:trHeight w:val="394"/>
        </w:trPr>
        <w:tc>
          <w:tcPr>
            <w:tcW w:w="5723" w:type="dxa"/>
            <w:tcBorders>
              <w:top w:val="dashed" w:sz="4" w:space="0" w:color="000000"/>
              <w:left w:val="double" w:sz="6" w:space="0" w:color="000000"/>
              <w:bottom w:val="dashed" w:sz="4" w:space="0" w:color="000000"/>
              <w:right w:val="single" w:sz="4" w:space="0" w:color="000000"/>
            </w:tcBorders>
          </w:tcPr>
          <w:p w:rsidR="00E8309B" w:rsidRDefault="009D0949">
            <w:pPr>
              <w:spacing w:after="0" w:line="259" w:lineRule="auto"/>
              <w:ind w:left="0" w:right="0" w:firstLine="0"/>
              <w:jc w:val="left"/>
            </w:pPr>
            <w:r>
              <w:rPr>
                <w:sz w:val="20"/>
              </w:rPr>
              <w:t xml:space="preserve">9. Запосленост у јавном сектору (раст у %) </w:t>
            </w:r>
          </w:p>
        </w:tc>
        <w:tc>
          <w:tcPr>
            <w:tcW w:w="1279" w:type="dxa"/>
            <w:tcBorders>
              <w:top w:val="dashed" w:sz="4" w:space="0" w:color="000000"/>
              <w:left w:val="single" w:sz="4" w:space="0" w:color="000000"/>
              <w:bottom w:val="dashed" w:sz="4" w:space="0" w:color="000000"/>
              <w:right w:val="single" w:sz="4" w:space="0" w:color="000000"/>
            </w:tcBorders>
            <w:vAlign w:val="bottom"/>
          </w:tcPr>
          <w:p w:rsidR="00E8309B" w:rsidRDefault="009D0949">
            <w:pPr>
              <w:spacing w:after="0" w:line="259" w:lineRule="auto"/>
              <w:ind w:left="0" w:right="7" w:firstLine="0"/>
              <w:jc w:val="center"/>
            </w:pPr>
            <w:r>
              <w:rPr>
                <w:sz w:val="20"/>
              </w:rPr>
              <w:t xml:space="preserve"> </w:t>
            </w:r>
          </w:p>
        </w:tc>
        <w:tc>
          <w:tcPr>
            <w:tcW w:w="1340" w:type="dxa"/>
            <w:tcBorders>
              <w:top w:val="dashed" w:sz="4" w:space="0" w:color="000000"/>
              <w:left w:val="single" w:sz="4" w:space="0" w:color="000000"/>
              <w:bottom w:val="dashed" w:sz="4" w:space="0" w:color="000000"/>
              <w:right w:val="single" w:sz="4" w:space="0" w:color="000000"/>
            </w:tcBorders>
            <w:vAlign w:val="bottom"/>
          </w:tcPr>
          <w:p w:rsidR="00E8309B" w:rsidRDefault="009D0949">
            <w:pPr>
              <w:spacing w:after="0" w:line="259" w:lineRule="auto"/>
              <w:ind w:left="0" w:right="4" w:firstLine="0"/>
              <w:jc w:val="center"/>
            </w:pPr>
            <w:r>
              <w:rPr>
                <w:sz w:val="20"/>
              </w:rPr>
              <w:t xml:space="preserve"> </w:t>
            </w:r>
          </w:p>
        </w:tc>
        <w:tc>
          <w:tcPr>
            <w:tcW w:w="1243" w:type="dxa"/>
            <w:tcBorders>
              <w:top w:val="dashed" w:sz="4" w:space="0" w:color="000000"/>
              <w:left w:val="single" w:sz="4" w:space="0" w:color="000000"/>
              <w:bottom w:val="dashed" w:sz="4" w:space="0" w:color="000000"/>
              <w:right w:val="dashed" w:sz="4" w:space="0" w:color="000000"/>
            </w:tcBorders>
          </w:tcPr>
          <w:p w:rsidR="00E8309B" w:rsidRDefault="009D0949">
            <w:pPr>
              <w:spacing w:after="0" w:line="259" w:lineRule="auto"/>
              <w:ind w:left="0" w:right="52" w:firstLine="0"/>
              <w:jc w:val="right"/>
            </w:pPr>
            <w:r>
              <w:rPr>
                <w:sz w:val="20"/>
              </w:rPr>
              <w:t xml:space="preserve">: </w:t>
            </w:r>
          </w:p>
        </w:tc>
        <w:tc>
          <w:tcPr>
            <w:tcW w:w="1244"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50" w:firstLine="0"/>
              <w:jc w:val="right"/>
            </w:pPr>
            <w:r>
              <w:rPr>
                <w:sz w:val="20"/>
              </w:rPr>
              <w:t xml:space="preserve">: </w:t>
            </w:r>
          </w:p>
        </w:tc>
        <w:tc>
          <w:tcPr>
            <w:tcW w:w="1243"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52" w:firstLine="0"/>
              <w:jc w:val="right"/>
            </w:pPr>
            <w:r>
              <w:rPr>
                <w:sz w:val="20"/>
              </w:rPr>
              <w:t xml:space="preserve">: </w:t>
            </w:r>
          </w:p>
        </w:tc>
        <w:tc>
          <w:tcPr>
            <w:tcW w:w="1246"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52" w:firstLine="0"/>
              <w:jc w:val="right"/>
            </w:pPr>
            <w:r>
              <w:rPr>
                <w:sz w:val="20"/>
              </w:rPr>
              <w:t xml:space="preserve">: </w:t>
            </w:r>
          </w:p>
        </w:tc>
        <w:tc>
          <w:tcPr>
            <w:tcW w:w="1256" w:type="dxa"/>
            <w:tcBorders>
              <w:top w:val="dashed" w:sz="4" w:space="0" w:color="000000"/>
              <w:left w:val="dashed" w:sz="4" w:space="0" w:color="000000"/>
              <w:bottom w:val="dashed" w:sz="4" w:space="0" w:color="000000"/>
              <w:right w:val="double" w:sz="6" w:space="0" w:color="000000"/>
            </w:tcBorders>
          </w:tcPr>
          <w:p w:rsidR="00E8309B" w:rsidRDefault="009D0949">
            <w:pPr>
              <w:spacing w:after="0" w:line="259" w:lineRule="auto"/>
              <w:ind w:left="0" w:right="52" w:firstLine="0"/>
              <w:jc w:val="right"/>
            </w:pPr>
            <w:r>
              <w:rPr>
                <w:sz w:val="20"/>
              </w:rPr>
              <w:t xml:space="preserve">: </w:t>
            </w:r>
          </w:p>
        </w:tc>
      </w:tr>
      <w:tr w:rsidR="00E8309B">
        <w:trPr>
          <w:trHeight w:val="394"/>
        </w:trPr>
        <w:tc>
          <w:tcPr>
            <w:tcW w:w="5723" w:type="dxa"/>
            <w:tcBorders>
              <w:top w:val="dashed" w:sz="4" w:space="0" w:color="000000"/>
              <w:left w:val="double" w:sz="6" w:space="0" w:color="000000"/>
              <w:bottom w:val="dashed" w:sz="4" w:space="0" w:color="000000"/>
              <w:right w:val="single" w:sz="4" w:space="0" w:color="000000"/>
            </w:tcBorders>
          </w:tcPr>
          <w:p w:rsidR="00E8309B" w:rsidRDefault="009D0949">
            <w:pPr>
              <w:spacing w:after="0" w:line="259" w:lineRule="auto"/>
              <w:ind w:left="0" w:right="0" w:firstLine="0"/>
              <w:jc w:val="left"/>
            </w:pPr>
            <w:r>
              <w:rPr>
                <w:sz w:val="20"/>
              </w:rPr>
              <w:t xml:space="preserve">10. Стопа незапослености [4] </w:t>
            </w:r>
          </w:p>
        </w:tc>
        <w:tc>
          <w:tcPr>
            <w:tcW w:w="1279" w:type="dxa"/>
            <w:tcBorders>
              <w:top w:val="dashed" w:sz="4" w:space="0" w:color="000000"/>
              <w:left w:val="single" w:sz="4" w:space="0" w:color="000000"/>
              <w:bottom w:val="dashed" w:sz="4" w:space="0" w:color="000000"/>
              <w:right w:val="single" w:sz="4" w:space="0" w:color="000000"/>
            </w:tcBorders>
            <w:vAlign w:val="bottom"/>
          </w:tcPr>
          <w:p w:rsidR="00E8309B" w:rsidRDefault="009D0949">
            <w:pPr>
              <w:spacing w:after="0" w:line="259" w:lineRule="auto"/>
              <w:ind w:left="0" w:right="7" w:firstLine="0"/>
              <w:jc w:val="center"/>
            </w:pPr>
            <w:r>
              <w:rPr>
                <w:sz w:val="20"/>
              </w:rPr>
              <w:t xml:space="preserve"> </w:t>
            </w:r>
          </w:p>
        </w:tc>
        <w:tc>
          <w:tcPr>
            <w:tcW w:w="1340" w:type="dxa"/>
            <w:tcBorders>
              <w:top w:val="dashed" w:sz="4" w:space="0" w:color="000000"/>
              <w:left w:val="single" w:sz="4" w:space="0" w:color="000000"/>
              <w:bottom w:val="dashed" w:sz="4" w:space="0" w:color="000000"/>
              <w:right w:val="single" w:sz="4" w:space="0" w:color="000000"/>
            </w:tcBorders>
          </w:tcPr>
          <w:p w:rsidR="00E8309B" w:rsidRDefault="00E8309B">
            <w:pPr>
              <w:spacing w:after="160" w:line="259" w:lineRule="auto"/>
              <w:ind w:left="0" w:right="0" w:firstLine="0"/>
              <w:jc w:val="left"/>
            </w:pPr>
          </w:p>
        </w:tc>
        <w:tc>
          <w:tcPr>
            <w:tcW w:w="1243" w:type="dxa"/>
            <w:tcBorders>
              <w:top w:val="dashed" w:sz="4" w:space="0" w:color="000000"/>
              <w:left w:val="single" w:sz="4" w:space="0" w:color="000000"/>
              <w:bottom w:val="dashed" w:sz="4" w:space="0" w:color="000000"/>
              <w:right w:val="dashed" w:sz="4" w:space="0" w:color="000000"/>
            </w:tcBorders>
          </w:tcPr>
          <w:p w:rsidR="00E8309B" w:rsidRDefault="009D0949">
            <w:pPr>
              <w:spacing w:after="0" w:line="259" w:lineRule="auto"/>
              <w:ind w:left="0" w:right="52" w:firstLine="0"/>
              <w:jc w:val="right"/>
            </w:pPr>
            <w:r>
              <w:rPr>
                <w:sz w:val="20"/>
              </w:rPr>
              <w:t xml:space="preserve">10,9 </w:t>
            </w:r>
          </w:p>
        </w:tc>
        <w:tc>
          <w:tcPr>
            <w:tcW w:w="1244"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49" w:firstLine="0"/>
              <w:jc w:val="right"/>
            </w:pPr>
            <w:r>
              <w:rPr>
                <w:sz w:val="20"/>
              </w:rPr>
              <w:t xml:space="preserve">10,2 </w:t>
            </w:r>
          </w:p>
        </w:tc>
        <w:tc>
          <w:tcPr>
            <w:tcW w:w="1243"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52" w:firstLine="0"/>
              <w:jc w:val="right"/>
            </w:pPr>
            <w:r>
              <w:rPr>
                <w:sz w:val="20"/>
              </w:rPr>
              <w:t xml:space="preserve">10,1 </w:t>
            </w:r>
          </w:p>
        </w:tc>
        <w:tc>
          <w:tcPr>
            <w:tcW w:w="1246"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51" w:firstLine="0"/>
              <w:jc w:val="right"/>
            </w:pPr>
            <w:r>
              <w:rPr>
                <w:sz w:val="20"/>
              </w:rPr>
              <w:t xml:space="preserve">9,2 </w:t>
            </w:r>
          </w:p>
        </w:tc>
        <w:tc>
          <w:tcPr>
            <w:tcW w:w="1256" w:type="dxa"/>
            <w:tcBorders>
              <w:top w:val="dashed" w:sz="4" w:space="0" w:color="000000"/>
              <w:left w:val="dashed" w:sz="4" w:space="0" w:color="000000"/>
              <w:bottom w:val="dashed" w:sz="4" w:space="0" w:color="000000"/>
              <w:right w:val="double" w:sz="6" w:space="0" w:color="000000"/>
            </w:tcBorders>
          </w:tcPr>
          <w:p w:rsidR="00E8309B" w:rsidRDefault="009D0949">
            <w:pPr>
              <w:spacing w:after="0" w:line="259" w:lineRule="auto"/>
              <w:ind w:left="0" w:right="51" w:firstLine="0"/>
              <w:jc w:val="right"/>
            </w:pPr>
            <w:r>
              <w:rPr>
                <w:sz w:val="20"/>
              </w:rPr>
              <w:t xml:space="preserve">8,5 </w:t>
            </w:r>
          </w:p>
        </w:tc>
      </w:tr>
      <w:tr w:rsidR="00E8309B">
        <w:trPr>
          <w:trHeight w:val="394"/>
        </w:trPr>
        <w:tc>
          <w:tcPr>
            <w:tcW w:w="5723" w:type="dxa"/>
            <w:tcBorders>
              <w:top w:val="dashed" w:sz="4" w:space="0" w:color="000000"/>
              <w:left w:val="double" w:sz="6" w:space="0" w:color="000000"/>
              <w:bottom w:val="dashed" w:sz="4" w:space="0" w:color="000000"/>
              <w:right w:val="single" w:sz="4" w:space="0" w:color="000000"/>
            </w:tcBorders>
          </w:tcPr>
          <w:p w:rsidR="00E8309B" w:rsidRDefault="009D0949">
            <w:pPr>
              <w:spacing w:after="0" w:line="259" w:lineRule="auto"/>
              <w:ind w:left="0" w:right="0" w:firstLine="0"/>
              <w:jc w:val="left"/>
            </w:pPr>
            <w:r>
              <w:rPr>
                <w:sz w:val="20"/>
              </w:rPr>
              <w:t xml:space="preserve">11. Продуктивност рада, према броју запослених лица[5]  </w:t>
            </w:r>
          </w:p>
        </w:tc>
        <w:tc>
          <w:tcPr>
            <w:tcW w:w="1279" w:type="dxa"/>
            <w:tcBorders>
              <w:top w:val="dashed" w:sz="4" w:space="0" w:color="000000"/>
              <w:left w:val="single" w:sz="4" w:space="0" w:color="000000"/>
              <w:bottom w:val="dashed" w:sz="4" w:space="0" w:color="000000"/>
              <w:right w:val="single" w:sz="4" w:space="0" w:color="000000"/>
            </w:tcBorders>
            <w:vAlign w:val="bottom"/>
          </w:tcPr>
          <w:p w:rsidR="00E8309B" w:rsidRDefault="009D0949">
            <w:pPr>
              <w:spacing w:after="0" w:line="259" w:lineRule="auto"/>
              <w:ind w:left="0" w:right="7" w:firstLine="0"/>
              <w:jc w:val="center"/>
            </w:pPr>
            <w:r>
              <w:rPr>
                <w:sz w:val="20"/>
              </w:rPr>
              <w:t xml:space="preserve"> </w:t>
            </w:r>
          </w:p>
        </w:tc>
        <w:tc>
          <w:tcPr>
            <w:tcW w:w="1340" w:type="dxa"/>
            <w:tcBorders>
              <w:top w:val="dashed" w:sz="4" w:space="0" w:color="000000"/>
              <w:left w:val="single" w:sz="4" w:space="0" w:color="000000"/>
              <w:bottom w:val="dashed" w:sz="4" w:space="0" w:color="000000"/>
              <w:right w:val="single" w:sz="4" w:space="0" w:color="000000"/>
            </w:tcBorders>
          </w:tcPr>
          <w:p w:rsidR="00E8309B" w:rsidRDefault="009D0949">
            <w:pPr>
              <w:spacing w:after="0" w:line="259" w:lineRule="auto"/>
              <w:ind w:left="0" w:right="54" w:firstLine="0"/>
              <w:jc w:val="center"/>
            </w:pPr>
            <w:r>
              <w:rPr>
                <w:sz w:val="20"/>
              </w:rPr>
              <w:t xml:space="preserve">1.814,4 </w:t>
            </w:r>
          </w:p>
          <w:p w:rsidR="00E8309B" w:rsidRDefault="009D0949">
            <w:pPr>
              <w:spacing w:after="0" w:line="259" w:lineRule="auto"/>
              <w:ind w:left="0" w:right="4" w:firstLine="0"/>
              <w:jc w:val="center"/>
            </w:pPr>
            <w:r>
              <w:rPr>
                <w:sz w:val="20"/>
              </w:rPr>
              <w:t xml:space="preserve"> </w:t>
            </w:r>
          </w:p>
        </w:tc>
        <w:tc>
          <w:tcPr>
            <w:tcW w:w="1243" w:type="dxa"/>
            <w:tcBorders>
              <w:top w:val="dashed" w:sz="4" w:space="0" w:color="000000"/>
              <w:left w:val="single" w:sz="4" w:space="0" w:color="000000"/>
              <w:bottom w:val="dashed" w:sz="4" w:space="0" w:color="000000"/>
              <w:right w:val="dashed" w:sz="4" w:space="0" w:color="000000"/>
            </w:tcBorders>
          </w:tcPr>
          <w:p w:rsidR="00E8309B" w:rsidRDefault="009D0949">
            <w:pPr>
              <w:spacing w:after="0" w:line="259" w:lineRule="auto"/>
              <w:ind w:left="0" w:right="51" w:firstLine="0"/>
              <w:jc w:val="right"/>
            </w:pPr>
            <w:r>
              <w:rPr>
                <w:sz w:val="20"/>
              </w:rPr>
              <w:t xml:space="preserve">2,4 </w:t>
            </w:r>
          </w:p>
        </w:tc>
        <w:tc>
          <w:tcPr>
            <w:tcW w:w="1244"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51" w:firstLine="0"/>
              <w:jc w:val="right"/>
            </w:pPr>
            <w:r>
              <w:rPr>
                <w:sz w:val="20"/>
              </w:rPr>
              <w:t xml:space="preserve">-1,5 </w:t>
            </w:r>
          </w:p>
        </w:tc>
        <w:tc>
          <w:tcPr>
            <w:tcW w:w="1243"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51" w:firstLine="0"/>
              <w:jc w:val="right"/>
            </w:pPr>
            <w:r>
              <w:rPr>
                <w:sz w:val="20"/>
              </w:rPr>
              <w:t xml:space="preserve">4,7 </w:t>
            </w:r>
          </w:p>
        </w:tc>
        <w:tc>
          <w:tcPr>
            <w:tcW w:w="1246"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51" w:firstLine="0"/>
              <w:jc w:val="right"/>
            </w:pPr>
            <w:r>
              <w:rPr>
                <w:sz w:val="20"/>
              </w:rPr>
              <w:t xml:space="preserve">3,0 </w:t>
            </w:r>
          </w:p>
        </w:tc>
        <w:tc>
          <w:tcPr>
            <w:tcW w:w="1256" w:type="dxa"/>
            <w:tcBorders>
              <w:top w:val="dashed" w:sz="4" w:space="0" w:color="000000"/>
              <w:left w:val="dashed" w:sz="4" w:space="0" w:color="000000"/>
              <w:bottom w:val="dashed" w:sz="4" w:space="0" w:color="000000"/>
              <w:right w:val="double" w:sz="6" w:space="0" w:color="000000"/>
            </w:tcBorders>
          </w:tcPr>
          <w:p w:rsidR="00E8309B" w:rsidRDefault="009D0949">
            <w:pPr>
              <w:spacing w:after="0" w:line="259" w:lineRule="auto"/>
              <w:ind w:left="0" w:right="51" w:firstLine="0"/>
              <w:jc w:val="right"/>
            </w:pPr>
            <w:r>
              <w:rPr>
                <w:sz w:val="20"/>
              </w:rPr>
              <w:t xml:space="preserve">3,0 </w:t>
            </w:r>
          </w:p>
        </w:tc>
      </w:tr>
      <w:tr w:rsidR="00E8309B">
        <w:trPr>
          <w:trHeight w:val="391"/>
        </w:trPr>
        <w:tc>
          <w:tcPr>
            <w:tcW w:w="5723" w:type="dxa"/>
            <w:tcBorders>
              <w:top w:val="dashed" w:sz="4" w:space="0" w:color="000000"/>
              <w:left w:val="double" w:sz="6" w:space="0" w:color="000000"/>
              <w:bottom w:val="dashed" w:sz="4" w:space="0" w:color="000000"/>
              <w:right w:val="single" w:sz="4" w:space="0" w:color="000000"/>
            </w:tcBorders>
          </w:tcPr>
          <w:p w:rsidR="00E8309B" w:rsidRDefault="009D0949">
            <w:pPr>
              <w:spacing w:after="0" w:line="259" w:lineRule="auto"/>
              <w:ind w:left="0" w:right="0" w:firstLine="0"/>
              <w:jc w:val="left"/>
            </w:pPr>
            <w:r>
              <w:rPr>
                <w:sz w:val="20"/>
              </w:rPr>
              <w:t xml:space="preserve">12. Продуктивност рада, према часовима рада[6] </w:t>
            </w:r>
          </w:p>
        </w:tc>
        <w:tc>
          <w:tcPr>
            <w:tcW w:w="1279" w:type="dxa"/>
            <w:tcBorders>
              <w:top w:val="dashed" w:sz="4" w:space="0" w:color="000000"/>
              <w:left w:val="single" w:sz="4" w:space="0" w:color="000000"/>
              <w:bottom w:val="dashed" w:sz="4" w:space="0" w:color="000000"/>
              <w:right w:val="single" w:sz="4" w:space="0" w:color="000000"/>
            </w:tcBorders>
          </w:tcPr>
          <w:p w:rsidR="00E8309B" w:rsidRDefault="00E8309B">
            <w:pPr>
              <w:spacing w:after="160" w:line="259" w:lineRule="auto"/>
              <w:ind w:left="0" w:right="0" w:firstLine="0"/>
              <w:jc w:val="left"/>
            </w:pPr>
          </w:p>
        </w:tc>
        <w:tc>
          <w:tcPr>
            <w:tcW w:w="1340" w:type="dxa"/>
            <w:tcBorders>
              <w:top w:val="dashed" w:sz="4" w:space="0" w:color="000000"/>
              <w:left w:val="single" w:sz="4" w:space="0" w:color="000000"/>
              <w:bottom w:val="dashed" w:sz="4" w:space="0" w:color="000000"/>
              <w:right w:val="single" w:sz="4" w:space="0" w:color="000000"/>
            </w:tcBorders>
          </w:tcPr>
          <w:p w:rsidR="00E8309B" w:rsidRDefault="00E8309B">
            <w:pPr>
              <w:spacing w:after="160" w:line="259" w:lineRule="auto"/>
              <w:ind w:left="0" w:right="0" w:firstLine="0"/>
              <w:jc w:val="left"/>
            </w:pPr>
          </w:p>
        </w:tc>
        <w:tc>
          <w:tcPr>
            <w:tcW w:w="1243" w:type="dxa"/>
            <w:tcBorders>
              <w:top w:val="dashed" w:sz="4" w:space="0" w:color="000000"/>
              <w:left w:val="single" w:sz="4" w:space="0" w:color="000000"/>
              <w:bottom w:val="dashed" w:sz="4" w:space="0" w:color="000000"/>
              <w:right w:val="dashed" w:sz="4" w:space="0" w:color="000000"/>
            </w:tcBorders>
          </w:tcPr>
          <w:p w:rsidR="00E8309B" w:rsidRDefault="009D0949">
            <w:pPr>
              <w:spacing w:after="0" w:line="259" w:lineRule="auto"/>
              <w:ind w:left="0" w:right="52" w:firstLine="0"/>
              <w:jc w:val="right"/>
            </w:pPr>
            <w:r>
              <w:rPr>
                <w:sz w:val="20"/>
              </w:rPr>
              <w:t xml:space="preserve">: </w:t>
            </w:r>
          </w:p>
        </w:tc>
        <w:tc>
          <w:tcPr>
            <w:tcW w:w="1244"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50" w:firstLine="0"/>
              <w:jc w:val="right"/>
            </w:pPr>
            <w:r>
              <w:rPr>
                <w:sz w:val="20"/>
              </w:rPr>
              <w:t xml:space="preserve">: </w:t>
            </w:r>
          </w:p>
        </w:tc>
        <w:tc>
          <w:tcPr>
            <w:tcW w:w="1243"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52" w:firstLine="0"/>
              <w:jc w:val="right"/>
            </w:pPr>
            <w:r>
              <w:rPr>
                <w:sz w:val="20"/>
              </w:rPr>
              <w:t xml:space="preserve">: </w:t>
            </w:r>
          </w:p>
        </w:tc>
        <w:tc>
          <w:tcPr>
            <w:tcW w:w="1246"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52" w:firstLine="0"/>
              <w:jc w:val="right"/>
            </w:pPr>
            <w:r>
              <w:rPr>
                <w:sz w:val="20"/>
              </w:rPr>
              <w:t xml:space="preserve">: </w:t>
            </w:r>
          </w:p>
        </w:tc>
        <w:tc>
          <w:tcPr>
            <w:tcW w:w="1256" w:type="dxa"/>
            <w:tcBorders>
              <w:top w:val="dashed" w:sz="4" w:space="0" w:color="000000"/>
              <w:left w:val="dashed" w:sz="4" w:space="0" w:color="000000"/>
              <w:bottom w:val="dashed" w:sz="4" w:space="0" w:color="000000"/>
              <w:right w:val="double" w:sz="6" w:space="0" w:color="000000"/>
            </w:tcBorders>
          </w:tcPr>
          <w:p w:rsidR="00E8309B" w:rsidRDefault="009D0949">
            <w:pPr>
              <w:spacing w:after="0" w:line="259" w:lineRule="auto"/>
              <w:ind w:left="0" w:right="52" w:firstLine="0"/>
              <w:jc w:val="right"/>
            </w:pPr>
            <w:r>
              <w:rPr>
                <w:sz w:val="20"/>
              </w:rPr>
              <w:t xml:space="preserve">: </w:t>
            </w:r>
          </w:p>
        </w:tc>
      </w:tr>
      <w:tr w:rsidR="00E8309B">
        <w:trPr>
          <w:trHeight w:val="413"/>
        </w:trPr>
        <w:tc>
          <w:tcPr>
            <w:tcW w:w="5723" w:type="dxa"/>
            <w:tcBorders>
              <w:top w:val="dashed" w:sz="4" w:space="0" w:color="000000"/>
              <w:left w:val="double" w:sz="6" w:space="0" w:color="000000"/>
              <w:bottom w:val="double" w:sz="6" w:space="0" w:color="000000"/>
              <w:right w:val="single" w:sz="4" w:space="0" w:color="000000"/>
            </w:tcBorders>
          </w:tcPr>
          <w:p w:rsidR="00E8309B" w:rsidRDefault="009D0949">
            <w:pPr>
              <w:spacing w:after="0" w:line="259" w:lineRule="auto"/>
              <w:ind w:left="0" w:right="0" w:firstLine="0"/>
              <w:jc w:val="left"/>
            </w:pPr>
            <w:r>
              <w:rPr>
                <w:sz w:val="20"/>
              </w:rPr>
              <w:t xml:space="preserve">13. Зараде и накнаде запосленима </w:t>
            </w:r>
          </w:p>
        </w:tc>
        <w:tc>
          <w:tcPr>
            <w:tcW w:w="1279" w:type="dxa"/>
            <w:tcBorders>
              <w:top w:val="dashed" w:sz="4" w:space="0" w:color="000000"/>
              <w:left w:val="single" w:sz="4" w:space="0" w:color="000000"/>
              <w:bottom w:val="double" w:sz="6" w:space="0" w:color="000000"/>
              <w:right w:val="single" w:sz="4" w:space="0" w:color="000000"/>
            </w:tcBorders>
          </w:tcPr>
          <w:p w:rsidR="00E8309B" w:rsidRDefault="009D0949">
            <w:pPr>
              <w:spacing w:after="0" w:line="259" w:lineRule="auto"/>
              <w:ind w:left="0" w:right="58" w:firstLine="0"/>
              <w:jc w:val="center"/>
            </w:pPr>
            <w:r>
              <w:rPr>
                <w:sz w:val="20"/>
              </w:rPr>
              <w:t xml:space="preserve">D1 </w:t>
            </w:r>
          </w:p>
        </w:tc>
        <w:tc>
          <w:tcPr>
            <w:tcW w:w="1340" w:type="dxa"/>
            <w:tcBorders>
              <w:top w:val="dashed" w:sz="4" w:space="0" w:color="000000"/>
              <w:left w:val="single" w:sz="4" w:space="0" w:color="000000"/>
              <w:bottom w:val="double" w:sz="6" w:space="0" w:color="000000"/>
              <w:right w:val="single" w:sz="4" w:space="0" w:color="000000"/>
            </w:tcBorders>
          </w:tcPr>
          <w:p w:rsidR="00E8309B" w:rsidRDefault="009D0949">
            <w:pPr>
              <w:spacing w:after="0" w:line="259" w:lineRule="auto"/>
              <w:ind w:left="0" w:right="56" w:firstLine="0"/>
              <w:jc w:val="center"/>
            </w:pPr>
            <w:r>
              <w:rPr>
                <w:sz w:val="20"/>
              </w:rPr>
              <w:t xml:space="preserve">: </w:t>
            </w:r>
          </w:p>
        </w:tc>
        <w:tc>
          <w:tcPr>
            <w:tcW w:w="1243" w:type="dxa"/>
            <w:tcBorders>
              <w:top w:val="dashed" w:sz="4" w:space="0" w:color="000000"/>
              <w:left w:val="single" w:sz="4" w:space="0" w:color="000000"/>
              <w:bottom w:val="double" w:sz="6" w:space="0" w:color="000000"/>
              <w:right w:val="dashed" w:sz="4" w:space="0" w:color="000000"/>
            </w:tcBorders>
          </w:tcPr>
          <w:p w:rsidR="00E8309B" w:rsidRDefault="009D0949">
            <w:pPr>
              <w:spacing w:after="0" w:line="259" w:lineRule="auto"/>
              <w:ind w:left="0" w:right="52" w:firstLine="0"/>
              <w:jc w:val="right"/>
            </w:pPr>
            <w:r>
              <w:rPr>
                <w:sz w:val="20"/>
              </w:rPr>
              <w:t xml:space="preserve">: </w:t>
            </w:r>
          </w:p>
        </w:tc>
        <w:tc>
          <w:tcPr>
            <w:tcW w:w="1244" w:type="dxa"/>
            <w:tcBorders>
              <w:top w:val="dashed" w:sz="4" w:space="0" w:color="000000"/>
              <w:left w:val="dashed" w:sz="4" w:space="0" w:color="000000"/>
              <w:bottom w:val="double" w:sz="6" w:space="0" w:color="000000"/>
              <w:right w:val="dashed" w:sz="4" w:space="0" w:color="000000"/>
            </w:tcBorders>
          </w:tcPr>
          <w:p w:rsidR="00E8309B" w:rsidRDefault="009D0949">
            <w:pPr>
              <w:spacing w:after="0" w:line="259" w:lineRule="auto"/>
              <w:ind w:left="0" w:right="50" w:firstLine="0"/>
              <w:jc w:val="right"/>
            </w:pPr>
            <w:r>
              <w:rPr>
                <w:sz w:val="20"/>
              </w:rPr>
              <w:t xml:space="preserve">: </w:t>
            </w:r>
          </w:p>
        </w:tc>
        <w:tc>
          <w:tcPr>
            <w:tcW w:w="1243" w:type="dxa"/>
            <w:tcBorders>
              <w:top w:val="dashed" w:sz="4" w:space="0" w:color="000000"/>
              <w:left w:val="dashed" w:sz="4" w:space="0" w:color="000000"/>
              <w:bottom w:val="double" w:sz="6" w:space="0" w:color="000000"/>
              <w:right w:val="dashed" w:sz="4" w:space="0" w:color="000000"/>
            </w:tcBorders>
          </w:tcPr>
          <w:p w:rsidR="00E8309B" w:rsidRDefault="009D0949">
            <w:pPr>
              <w:spacing w:after="0" w:line="259" w:lineRule="auto"/>
              <w:ind w:left="0" w:right="52" w:firstLine="0"/>
              <w:jc w:val="right"/>
            </w:pPr>
            <w:r>
              <w:rPr>
                <w:sz w:val="20"/>
              </w:rPr>
              <w:t xml:space="preserve">: </w:t>
            </w:r>
          </w:p>
        </w:tc>
        <w:tc>
          <w:tcPr>
            <w:tcW w:w="1246" w:type="dxa"/>
            <w:tcBorders>
              <w:top w:val="dashed" w:sz="4" w:space="0" w:color="000000"/>
              <w:left w:val="dashed" w:sz="4" w:space="0" w:color="000000"/>
              <w:bottom w:val="double" w:sz="6" w:space="0" w:color="000000"/>
              <w:right w:val="dashed" w:sz="4" w:space="0" w:color="000000"/>
            </w:tcBorders>
          </w:tcPr>
          <w:p w:rsidR="00E8309B" w:rsidRDefault="009D0949">
            <w:pPr>
              <w:spacing w:after="0" w:line="259" w:lineRule="auto"/>
              <w:ind w:left="0" w:right="52" w:firstLine="0"/>
              <w:jc w:val="right"/>
            </w:pPr>
            <w:r>
              <w:rPr>
                <w:sz w:val="20"/>
              </w:rPr>
              <w:t xml:space="preserve">: </w:t>
            </w:r>
          </w:p>
        </w:tc>
        <w:tc>
          <w:tcPr>
            <w:tcW w:w="1256" w:type="dxa"/>
            <w:tcBorders>
              <w:top w:val="dashed" w:sz="4" w:space="0" w:color="000000"/>
              <w:left w:val="dashed" w:sz="4" w:space="0" w:color="000000"/>
              <w:bottom w:val="double" w:sz="6" w:space="0" w:color="000000"/>
              <w:right w:val="double" w:sz="6" w:space="0" w:color="000000"/>
            </w:tcBorders>
          </w:tcPr>
          <w:p w:rsidR="00E8309B" w:rsidRDefault="009D0949">
            <w:pPr>
              <w:spacing w:after="0" w:line="259" w:lineRule="auto"/>
              <w:ind w:left="0" w:right="52" w:firstLine="0"/>
              <w:jc w:val="right"/>
            </w:pPr>
            <w:r>
              <w:rPr>
                <w:sz w:val="20"/>
              </w:rPr>
              <w:t xml:space="preserve">: </w:t>
            </w:r>
          </w:p>
        </w:tc>
      </w:tr>
    </w:tbl>
    <w:p w:rsidR="00E8309B" w:rsidRDefault="009D0949">
      <w:pPr>
        <w:numPr>
          <w:ilvl w:val="0"/>
          <w:numId w:val="52"/>
        </w:numPr>
        <w:spacing w:after="64" w:line="269" w:lineRule="auto"/>
        <w:ind w:right="53" w:hanging="242"/>
        <w:jc w:val="left"/>
      </w:pPr>
      <w:r>
        <w:rPr>
          <w:sz w:val="16"/>
        </w:rPr>
        <w:t xml:space="preserve">Узрасна група 15-64 године </w:t>
      </w:r>
      <w:r>
        <w:rPr>
          <w:sz w:val="16"/>
        </w:rPr>
        <w:tab/>
      </w:r>
      <w:r>
        <w:rPr>
          <w:sz w:val="20"/>
        </w:rPr>
        <w:t xml:space="preserve">  </w:t>
      </w:r>
      <w:r>
        <w:rPr>
          <w:sz w:val="20"/>
        </w:rPr>
        <w:tab/>
        <w:t xml:space="preserve">  </w:t>
      </w:r>
      <w:r>
        <w:rPr>
          <w:sz w:val="20"/>
        </w:rPr>
        <w:tab/>
        <w:t xml:space="preserve">  </w:t>
      </w:r>
      <w:r>
        <w:rPr>
          <w:sz w:val="20"/>
        </w:rPr>
        <w:tab/>
        <w:t xml:space="preserve">  </w:t>
      </w:r>
      <w:r>
        <w:rPr>
          <w:sz w:val="20"/>
        </w:rPr>
        <w:tab/>
        <w:t xml:space="preserve">  </w:t>
      </w:r>
      <w:r>
        <w:rPr>
          <w:sz w:val="20"/>
        </w:rPr>
        <w:tab/>
        <w:t xml:space="preserve">  </w:t>
      </w:r>
      <w:r>
        <w:rPr>
          <w:sz w:val="20"/>
        </w:rPr>
        <w:tab/>
        <w:t xml:space="preserve">  </w:t>
      </w:r>
    </w:p>
    <w:p w:rsidR="00E8309B" w:rsidRDefault="009D0949">
      <w:pPr>
        <w:numPr>
          <w:ilvl w:val="0"/>
          <w:numId w:val="52"/>
        </w:numPr>
        <w:spacing w:after="73" w:line="259" w:lineRule="auto"/>
        <w:ind w:right="53" w:hanging="242"/>
        <w:jc w:val="left"/>
      </w:pPr>
      <w:r>
        <w:rPr>
          <w:sz w:val="17"/>
        </w:rPr>
        <w:t xml:space="preserve">Запослено становништво, према дефиницији из Анкете о радној снази </w:t>
      </w:r>
      <w:r>
        <w:rPr>
          <w:sz w:val="17"/>
        </w:rPr>
        <w:tab/>
      </w:r>
      <w:r>
        <w:rPr>
          <w:sz w:val="20"/>
        </w:rPr>
        <w:t xml:space="preserve">  </w:t>
      </w:r>
      <w:r>
        <w:rPr>
          <w:sz w:val="20"/>
        </w:rPr>
        <w:tab/>
        <w:t xml:space="preserve">  </w:t>
      </w:r>
      <w:r>
        <w:rPr>
          <w:sz w:val="20"/>
        </w:rPr>
        <w:tab/>
        <w:t xml:space="preserve">  </w:t>
      </w:r>
      <w:r>
        <w:rPr>
          <w:sz w:val="20"/>
        </w:rPr>
        <w:tab/>
        <w:t xml:space="preserve">  </w:t>
      </w:r>
    </w:p>
    <w:p w:rsidR="00E8309B" w:rsidRDefault="009D0949">
      <w:pPr>
        <w:numPr>
          <w:ilvl w:val="0"/>
          <w:numId w:val="52"/>
        </w:numPr>
        <w:spacing w:after="65" w:line="269" w:lineRule="auto"/>
        <w:ind w:right="53" w:hanging="242"/>
        <w:jc w:val="left"/>
      </w:pPr>
      <w:r>
        <w:rPr>
          <w:sz w:val="16"/>
        </w:rPr>
        <w:t xml:space="preserve">Дефиниција у националним рачунима </w:t>
      </w:r>
      <w:r>
        <w:rPr>
          <w:sz w:val="16"/>
        </w:rPr>
        <w:tab/>
      </w:r>
      <w:r>
        <w:rPr>
          <w:sz w:val="20"/>
        </w:rPr>
        <w:t xml:space="preserve">  </w:t>
      </w:r>
      <w:r>
        <w:rPr>
          <w:sz w:val="20"/>
        </w:rPr>
        <w:tab/>
        <w:t xml:space="preserve">  </w:t>
      </w:r>
      <w:r>
        <w:rPr>
          <w:sz w:val="20"/>
        </w:rPr>
        <w:tab/>
        <w:t xml:space="preserve">  </w:t>
      </w:r>
      <w:r>
        <w:rPr>
          <w:sz w:val="20"/>
        </w:rPr>
        <w:tab/>
        <w:t xml:space="preserve">  </w:t>
      </w:r>
      <w:r>
        <w:rPr>
          <w:sz w:val="20"/>
        </w:rPr>
        <w:tab/>
        <w:t xml:space="preserve">  </w:t>
      </w:r>
      <w:r>
        <w:rPr>
          <w:sz w:val="20"/>
        </w:rPr>
        <w:tab/>
        <w:t xml:space="preserve">  </w:t>
      </w:r>
      <w:r>
        <w:rPr>
          <w:sz w:val="20"/>
        </w:rPr>
        <w:tab/>
        <w:t xml:space="preserve">  </w:t>
      </w:r>
    </w:p>
    <w:p w:rsidR="00E8309B" w:rsidRDefault="009D0949">
      <w:pPr>
        <w:numPr>
          <w:ilvl w:val="0"/>
          <w:numId w:val="52"/>
        </w:numPr>
        <w:spacing w:after="62" w:line="269" w:lineRule="auto"/>
        <w:ind w:right="53" w:hanging="242"/>
        <w:jc w:val="left"/>
      </w:pPr>
      <w:r>
        <w:rPr>
          <w:sz w:val="16"/>
        </w:rPr>
        <w:t xml:space="preserve">Хармонизована дефиниција, Еуростат; нивои </w:t>
      </w:r>
      <w:r>
        <w:rPr>
          <w:sz w:val="16"/>
        </w:rPr>
        <w:tab/>
      </w:r>
      <w:r>
        <w:rPr>
          <w:sz w:val="20"/>
        </w:rPr>
        <w:t xml:space="preserve">  </w:t>
      </w:r>
      <w:r>
        <w:rPr>
          <w:sz w:val="20"/>
        </w:rPr>
        <w:tab/>
        <w:t xml:space="preserve">  </w:t>
      </w:r>
      <w:r>
        <w:rPr>
          <w:sz w:val="20"/>
        </w:rPr>
        <w:tab/>
        <w:t xml:space="preserve">  </w:t>
      </w:r>
      <w:r>
        <w:rPr>
          <w:sz w:val="20"/>
        </w:rPr>
        <w:tab/>
        <w:t xml:space="preserve">  </w:t>
      </w:r>
      <w:r>
        <w:rPr>
          <w:sz w:val="20"/>
        </w:rPr>
        <w:tab/>
        <w:t xml:space="preserve">  </w:t>
      </w:r>
      <w:r>
        <w:rPr>
          <w:sz w:val="20"/>
        </w:rPr>
        <w:tab/>
        <w:t xml:space="preserve">  </w:t>
      </w:r>
      <w:r>
        <w:rPr>
          <w:sz w:val="20"/>
        </w:rPr>
        <w:tab/>
        <w:t xml:space="preserve">  </w:t>
      </w:r>
    </w:p>
    <w:p w:rsidR="00E8309B" w:rsidRDefault="009D0949">
      <w:pPr>
        <w:numPr>
          <w:ilvl w:val="0"/>
          <w:numId w:val="52"/>
        </w:numPr>
        <w:spacing w:after="58" w:line="269" w:lineRule="auto"/>
        <w:ind w:right="53" w:hanging="242"/>
        <w:jc w:val="left"/>
      </w:pPr>
      <w:r>
        <w:rPr>
          <w:sz w:val="16"/>
        </w:rPr>
        <w:t xml:space="preserve">Реални БДП по запосленом лицу </w:t>
      </w:r>
      <w:r>
        <w:rPr>
          <w:sz w:val="16"/>
        </w:rPr>
        <w:tab/>
      </w:r>
      <w:r>
        <w:rPr>
          <w:sz w:val="20"/>
        </w:rPr>
        <w:t xml:space="preserve">  </w:t>
      </w:r>
      <w:r>
        <w:rPr>
          <w:sz w:val="20"/>
        </w:rPr>
        <w:tab/>
        <w:t xml:space="preserve">  </w:t>
      </w:r>
      <w:r>
        <w:rPr>
          <w:sz w:val="20"/>
        </w:rPr>
        <w:tab/>
        <w:t xml:space="preserve">  </w:t>
      </w:r>
      <w:r>
        <w:rPr>
          <w:sz w:val="20"/>
        </w:rPr>
        <w:tab/>
        <w:t xml:space="preserve">  </w:t>
      </w:r>
      <w:r>
        <w:rPr>
          <w:sz w:val="20"/>
        </w:rPr>
        <w:tab/>
        <w:t xml:space="preserve">  </w:t>
      </w:r>
      <w:r>
        <w:rPr>
          <w:sz w:val="20"/>
        </w:rPr>
        <w:tab/>
        <w:t xml:space="preserve">  </w:t>
      </w:r>
      <w:r>
        <w:rPr>
          <w:sz w:val="20"/>
        </w:rPr>
        <w:tab/>
        <w:t xml:space="preserve">  </w:t>
      </w:r>
    </w:p>
    <w:p w:rsidR="00E8309B" w:rsidRDefault="009D0949">
      <w:pPr>
        <w:numPr>
          <w:ilvl w:val="0"/>
          <w:numId w:val="52"/>
        </w:numPr>
        <w:spacing w:after="0" w:line="269" w:lineRule="auto"/>
        <w:ind w:right="53" w:hanging="242"/>
        <w:jc w:val="left"/>
      </w:pPr>
      <w:r>
        <w:rPr>
          <w:sz w:val="16"/>
        </w:rPr>
        <w:t xml:space="preserve">Реални БДП по часу рада </w:t>
      </w:r>
      <w:r>
        <w:rPr>
          <w:sz w:val="16"/>
        </w:rPr>
        <w:tab/>
      </w:r>
      <w:r>
        <w:rPr>
          <w:sz w:val="20"/>
        </w:rPr>
        <w:t xml:space="preserve">  </w:t>
      </w:r>
      <w:r>
        <w:rPr>
          <w:sz w:val="20"/>
        </w:rPr>
        <w:tab/>
        <w:t xml:space="preserve">  </w:t>
      </w:r>
      <w:r>
        <w:rPr>
          <w:sz w:val="20"/>
        </w:rPr>
        <w:tab/>
        <w:t xml:space="preserve">  </w:t>
      </w:r>
      <w:r>
        <w:rPr>
          <w:sz w:val="20"/>
        </w:rPr>
        <w:tab/>
        <w:t xml:space="preserve">  </w:t>
      </w:r>
      <w:r>
        <w:rPr>
          <w:sz w:val="20"/>
        </w:rPr>
        <w:tab/>
        <w:t xml:space="preserve">  </w:t>
      </w:r>
      <w:r>
        <w:rPr>
          <w:sz w:val="20"/>
        </w:rPr>
        <w:tab/>
        <w:t xml:space="preserve">  </w:t>
      </w:r>
      <w:r>
        <w:rPr>
          <w:sz w:val="20"/>
        </w:rPr>
        <w:tab/>
        <w:t xml:space="preserve">  </w:t>
      </w:r>
    </w:p>
    <w:p w:rsidR="00E8309B" w:rsidRDefault="009D0949">
      <w:pPr>
        <w:spacing w:after="98" w:line="259" w:lineRule="auto"/>
        <w:ind w:left="0" w:right="0" w:firstLine="0"/>
        <w:jc w:val="left"/>
      </w:pPr>
      <w:r>
        <w:rPr>
          <w:sz w:val="22"/>
        </w:rPr>
        <w:t xml:space="preserve"> </w:t>
      </w:r>
    </w:p>
    <w:p w:rsidR="00E8309B" w:rsidRDefault="009D0949">
      <w:pPr>
        <w:spacing w:after="0" w:line="259" w:lineRule="auto"/>
        <w:ind w:left="0" w:right="0" w:firstLine="0"/>
        <w:jc w:val="left"/>
      </w:pPr>
      <w:r>
        <w:rPr>
          <w:sz w:val="22"/>
        </w:rPr>
        <w:t xml:space="preserve"> </w:t>
      </w:r>
      <w:r>
        <w:rPr>
          <w:sz w:val="22"/>
        </w:rPr>
        <w:tab/>
        <w:t xml:space="preserve"> </w:t>
      </w:r>
    </w:p>
    <w:p w:rsidR="00E8309B" w:rsidRDefault="009D0949">
      <w:pPr>
        <w:tabs>
          <w:tab w:val="center" w:pos="6620"/>
          <w:tab w:val="center" w:pos="8449"/>
          <w:tab w:val="center" w:pos="9791"/>
          <w:tab w:val="center" w:pos="10720"/>
          <w:tab w:val="center" w:pos="11652"/>
          <w:tab w:val="center" w:pos="13408"/>
        </w:tabs>
        <w:spacing w:after="0" w:line="259" w:lineRule="auto"/>
        <w:ind w:left="0" w:right="0" w:firstLine="0"/>
        <w:jc w:val="left"/>
      </w:pPr>
      <w:r>
        <w:rPr>
          <w:b/>
          <w:sz w:val="20"/>
        </w:rPr>
        <w:t xml:space="preserve">Табела 1d: Секторски биланси </w:t>
      </w:r>
      <w:r>
        <w:rPr>
          <w:b/>
          <w:sz w:val="20"/>
        </w:rPr>
        <w:tab/>
      </w:r>
      <w:r>
        <w:rPr>
          <w:sz w:val="20"/>
        </w:rPr>
        <w:t xml:space="preserve">  </w:t>
      </w:r>
      <w:r>
        <w:rPr>
          <w:sz w:val="20"/>
        </w:rPr>
        <w:tab/>
        <w:t xml:space="preserve">  </w:t>
      </w:r>
      <w:r>
        <w:rPr>
          <w:sz w:val="20"/>
        </w:rPr>
        <w:tab/>
        <w:t xml:space="preserve">  </w:t>
      </w:r>
      <w:r>
        <w:rPr>
          <w:sz w:val="20"/>
        </w:rPr>
        <w:tab/>
        <w:t xml:space="preserve">  </w:t>
      </w:r>
      <w:r>
        <w:rPr>
          <w:sz w:val="20"/>
        </w:rPr>
        <w:tab/>
        <w:t xml:space="preserve">  </w:t>
      </w:r>
      <w:r>
        <w:rPr>
          <w:sz w:val="20"/>
        </w:rPr>
        <w:tab/>
      </w:r>
      <w:r>
        <w:rPr>
          <w:b/>
          <w:sz w:val="20"/>
        </w:rPr>
        <w:t>Република Србија</w:t>
      </w:r>
      <w:r>
        <w:rPr>
          <w:sz w:val="20"/>
        </w:rPr>
        <w:t xml:space="preserve"> </w:t>
      </w:r>
    </w:p>
    <w:tbl>
      <w:tblPr>
        <w:tblStyle w:val="TableGrid"/>
        <w:tblW w:w="14573" w:type="dxa"/>
        <w:tblInd w:w="0" w:type="dxa"/>
        <w:tblCellMar>
          <w:top w:w="25" w:type="dxa"/>
          <w:left w:w="108" w:type="dxa"/>
          <w:bottom w:w="28" w:type="dxa"/>
          <w:right w:w="56" w:type="dxa"/>
        </w:tblCellMar>
        <w:tblLook w:val="04A0" w:firstRow="1" w:lastRow="0" w:firstColumn="1" w:lastColumn="0" w:noHBand="0" w:noVBand="1"/>
      </w:tblPr>
      <w:tblGrid>
        <w:gridCol w:w="6512"/>
        <w:gridCol w:w="1829"/>
        <w:gridCol w:w="1243"/>
        <w:gridCol w:w="1246"/>
        <w:gridCol w:w="1248"/>
        <w:gridCol w:w="1243"/>
        <w:gridCol w:w="1251"/>
      </w:tblGrid>
      <w:tr w:rsidR="00E8309B">
        <w:trPr>
          <w:trHeight w:val="373"/>
        </w:trPr>
        <w:tc>
          <w:tcPr>
            <w:tcW w:w="6512" w:type="dxa"/>
            <w:vMerge w:val="restart"/>
            <w:tcBorders>
              <w:top w:val="double" w:sz="6" w:space="0" w:color="000000"/>
              <w:left w:val="double" w:sz="6" w:space="0" w:color="000000"/>
              <w:bottom w:val="single" w:sz="11" w:space="0" w:color="FFFFFF"/>
              <w:right w:val="dashed" w:sz="4" w:space="0" w:color="000000"/>
            </w:tcBorders>
            <w:vAlign w:val="center"/>
          </w:tcPr>
          <w:p w:rsidR="00E8309B" w:rsidRDefault="009D0949">
            <w:pPr>
              <w:spacing w:after="0" w:line="259" w:lineRule="auto"/>
              <w:ind w:left="2" w:right="0" w:firstLine="0"/>
              <w:jc w:val="left"/>
            </w:pPr>
            <w:r>
              <w:rPr>
                <w:sz w:val="20"/>
              </w:rPr>
              <w:t xml:space="preserve">% БДП </w:t>
            </w:r>
          </w:p>
        </w:tc>
        <w:tc>
          <w:tcPr>
            <w:tcW w:w="1829" w:type="dxa"/>
            <w:vMerge w:val="restart"/>
            <w:tcBorders>
              <w:top w:val="double" w:sz="6" w:space="0" w:color="000000"/>
              <w:left w:val="dashed" w:sz="4" w:space="0" w:color="000000"/>
              <w:bottom w:val="single" w:sz="11" w:space="0" w:color="FFFFFF"/>
              <w:right w:val="single" w:sz="8" w:space="0" w:color="000000"/>
            </w:tcBorders>
            <w:vAlign w:val="center"/>
          </w:tcPr>
          <w:p w:rsidR="00E8309B" w:rsidRDefault="009D0949">
            <w:pPr>
              <w:spacing w:after="0" w:line="259" w:lineRule="auto"/>
              <w:ind w:left="0" w:right="56" w:firstLine="0"/>
              <w:jc w:val="center"/>
            </w:pPr>
            <w:r>
              <w:rPr>
                <w:sz w:val="20"/>
              </w:rPr>
              <w:t xml:space="preserve">ESA шифра </w:t>
            </w:r>
          </w:p>
        </w:tc>
        <w:tc>
          <w:tcPr>
            <w:tcW w:w="1243" w:type="dxa"/>
            <w:tcBorders>
              <w:top w:val="double" w:sz="6" w:space="0" w:color="000000"/>
              <w:left w:val="single" w:sz="8" w:space="0" w:color="000000"/>
              <w:bottom w:val="single" w:sz="18" w:space="0" w:color="FFFFFF"/>
              <w:right w:val="dashed" w:sz="4" w:space="0" w:color="000000"/>
            </w:tcBorders>
            <w:vAlign w:val="bottom"/>
          </w:tcPr>
          <w:p w:rsidR="00E8309B" w:rsidRDefault="009D0949">
            <w:pPr>
              <w:spacing w:after="0" w:line="259" w:lineRule="auto"/>
              <w:ind w:left="0" w:right="50" w:firstLine="0"/>
              <w:jc w:val="center"/>
            </w:pPr>
            <w:r>
              <w:rPr>
                <w:sz w:val="20"/>
              </w:rPr>
              <w:t xml:space="preserve">год. </w:t>
            </w:r>
          </w:p>
        </w:tc>
        <w:tc>
          <w:tcPr>
            <w:tcW w:w="1246" w:type="dxa"/>
            <w:vMerge w:val="restart"/>
            <w:tcBorders>
              <w:top w:val="double" w:sz="6" w:space="0" w:color="000000"/>
              <w:left w:val="dashed" w:sz="4" w:space="0" w:color="000000"/>
              <w:bottom w:val="double" w:sz="6" w:space="0" w:color="000000"/>
              <w:right w:val="dashed" w:sz="4" w:space="0" w:color="000000"/>
            </w:tcBorders>
            <w:vAlign w:val="center"/>
          </w:tcPr>
          <w:p w:rsidR="00E8309B" w:rsidRDefault="009D0949">
            <w:pPr>
              <w:spacing w:after="27" w:line="259" w:lineRule="auto"/>
              <w:ind w:left="0" w:right="48" w:firstLine="0"/>
              <w:jc w:val="center"/>
            </w:pPr>
            <w:r>
              <w:rPr>
                <w:sz w:val="20"/>
              </w:rPr>
              <w:t xml:space="preserve">год. </w:t>
            </w:r>
          </w:p>
          <w:p w:rsidR="00E8309B" w:rsidRDefault="009D0949">
            <w:pPr>
              <w:spacing w:after="0" w:line="259" w:lineRule="auto"/>
              <w:ind w:left="0" w:right="47" w:firstLine="0"/>
              <w:jc w:val="center"/>
            </w:pPr>
            <w:r>
              <w:rPr>
                <w:sz w:val="20"/>
              </w:rPr>
              <w:t xml:space="preserve">2020 </w:t>
            </w:r>
          </w:p>
        </w:tc>
        <w:tc>
          <w:tcPr>
            <w:tcW w:w="1248" w:type="dxa"/>
            <w:vMerge w:val="restart"/>
            <w:tcBorders>
              <w:top w:val="double" w:sz="6" w:space="0" w:color="000000"/>
              <w:left w:val="dashed" w:sz="4" w:space="0" w:color="000000"/>
              <w:bottom w:val="double" w:sz="6" w:space="0" w:color="000000"/>
              <w:right w:val="dashed" w:sz="4" w:space="0" w:color="000000"/>
            </w:tcBorders>
            <w:vAlign w:val="center"/>
          </w:tcPr>
          <w:p w:rsidR="00E8309B" w:rsidRDefault="009D0949">
            <w:pPr>
              <w:spacing w:after="27" w:line="259" w:lineRule="auto"/>
              <w:ind w:left="0" w:right="50" w:firstLine="0"/>
              <w:jc w:val="center"/>
            </w:pPr>
            <w:r>
              <w:rPr>
                <w:sz w:val="20"/>
              </w:rPr>
              <w:t xml:space="preserve">год. </w:t>
            </w:r>
          </w:p>
          <w:p w:rsidR="00E8309B" w:rsidRDefault="009D0949">
            <w:pPr>
              <w:spacing w:after="0" w:line="259" w:lineRule="auto"/>
              <w:ind w:left="0" w:right="49" w:firstLine="0"/>
              <w:jc w:val="center"/>
            </w:pPr>
            <w:r>
              <w:rPr>
                <w:sz w:val="20"/>
              </w:rPr>
              <w:t xml:space="preserve">2021 </w:t>
            </w:r>
          </w:p>
        </w:tc>
        <w:tc>
          <w:tcPr>
            <w:tcW w:w="1243" w:type="dxa"/>
            <w:vMerge w:val="restart"/>
            <w:tcBorders>
              <w:top w:val="double" w:sz="6" w:space="0" w:color="000000"/>
              <w:left w:val="dashed" w:sz="4" w:space="0" w:color="000000"/>
              <w:bottom w:val="double" w:sz="6" w:space="0" w:color="000000"/>
              <w:right w:val="nil"/>
            </w:tcBorders>
            <w:vAlign w:val="center"/>
          </w:tcPr>
          <w:p w:rsidR="00E8309B" w:rsidRDefault="009D0949">
            <w:pPr>
              <w:spacing w:after="27" w:line="259" w:lineRule="auto"/>
              <w:ind w:left="0" w:right="55" w:firstLine="0"/>
              <w:jc w:val="center"/>
            </w:pPr>
            <w:r>
              <w:rPr>
                <w:sz w:val="20"/>
              </w:rPr>
              <w:t xml:space="preserve">год. </w:t>
            </w:r>
          </w:p>
          <w:p w:rsidR="00E8309B" w:rsidRDefault="009D0949">
            <w:pPr>
              <w:spacing w:after="0" w:line="259" w:lineRule="auto"/>
              <w:ind w:left="0" w:right="53" w:firstLine="0"/>
              <w:jc w:val="center"/>
            </w:pPr>
            <w:r>
              <w:rPr>
                <w:sz w:val="20"/>
              </w:rPr>
              <w:t xml:space="preserve">2022 </w:t>
            </w:r>
          </w:p>
        </w:tc>
        <w:tc>
          <w:tcPr>
            <w:tcW w:w="1251" w:type="dxa"/>
            <w:tcBorders>
              <w:top w:val="double" w:sz="6" w:space="0" w:color="000000"/>
              <w:left w:val="nil"/>
              <w:bottom w:val="single" w:sz="18" w:space="0" w:color="FFFFFF"/>
              <w:right w:val="double" w:sz="6" w:space="0" w:color="000000"/>
            </w:tcBorders>
            <w:vAlign w:val="bottom"/>
          </w:tcPr>
          <w:p w:rsidR="00E8309B" w:rsidRDefault="009D0949">
            <w:pPr>
              <w:spacing w:after="0" w:line="259" w:lineRule="auto"/>
              <w:ind w:left="0" w:right="52" w:firstLine="0"/>
              <w:jc w:val="center"/>
            </w:pPr>
            <w:r>
              <w:rPr>
                <w:sz w:val="20"/>
              </w:rPr>
              <w:t xml:space="preserve">год. </w:t>
            </w:r>
          </w:p>
        </w:tc>
      </w:tr>
      <w:tr w:rsidR="00E8309B">
        <w:trPr>
          <w:trHeight w:val="376"/>
        </w:trPr>
        <w:tc>
          <w:tcPr>
            <w:tcW w:w="0" w:type="auto"/>
            <w:vMerge/>
            <w:tcBorders>
              <w:top w:val="nil"/>
              <w:left w:val="double" w:sz="6" w:space="0" w:color="000000"/>
              <w:bottom w:val="single" w:sz="11" w:space="0" w:color="FFFFFF"/>
              <w:right w:val="dashed" w:sz="4" w:space="0" w:color="000000"/>
            </w:tcBorders>
          </w:tcPr>
          <w:p w:rsidR="00E8309B" w:rsidRDefault="00E8309B">
            <w:pPr>
              <w:spacing w:after="160" w:line="259" w:lineRule="auto"/>
              <w:ind w:left="0" w:right="0" w:firstLine="0"/>
              <w:jc w:val="left"/>
            </w:pPr>
          </w:p>
        </w:tc>
        <w:tc>
          <w:tcPr>
            <w:tcW w:w="0" w:type="auto"/>
            <w:vMerge/>
            <w:tcBorders>
              <w:top w:val="nil"/>
              <w:left w:val="dashed" w:sz="4" w:space="0" w:color="000000"/>
              <w:bottom w:val="single" w:sz="11" w:space="0" w:color="FFFFFF"/>
              <w:right w:val="single" w:sz="8" w:space="0" w:color="000000"/>
            </w:tcBorders>
          </w:tcPr>
          <w:p w:rsidR="00E8309B" w:rsidRDefault="00E8309B">
            <w:pPr>
              <w:spacing w:after="160" w:line="259" w:lineRule="auto"/>
              <w:ind w:left="0" w:right="0" w:firstLine="0"/>
              <w:jc w:val="left"/>
            </w:pPr>
          </w:p>
        </w:tc>
        <w:tc>
          <w:tcPr>
            <w:tcW w:w="1243" w:type="dxa"/>
            <w:tcBorders>
              <w:top w:val="single" w:sz="18" w:space="0" w:color="FFFFFF"/>
              <w:left w:val="single" w:sz="8" w:space="0" w:color="000000"/>
              <w:bottom w:val="double" w:sz="6" w:space="0" w:color="000000"/>
              <w:right w:val="dashed" w:sz="4" w:space="0" w:color="000000"/>
            </w:tcBorders>
          </w:tcPr>
          <w:p w:rsidR="00E8309B" w:rsidRDefault="009D0949">
            <w:pPr>
              <w:spacing w:after="0" w:line="259" w:lineRule="auto"/>
              <w:ind w:left="0" w:right="49" w:firstLine="0"/>
              <w:jc w:val="center"/>
            </w:pPr>
            <w:r>
              <w:rPr>
                <w:sz w:val="20"/>
              </w:rPr>
              <w:t xml:space="preserve">2019 </w:t>
            </w:r>
          </w:p>
        </w:tc>
        <w:tc>
          <w:tcPr>
            <w:tcW w:w="0" w:type="auto"/>
            <w:vMerge/>
            <w:tcBorders>
              <w:top w:val="nil"/>
              <w:left w:val="dashed" w:sz="4" w:space="0" w:color="000000"/>
              <w:bottom w:val="double" w:sz="6" w:space="0" w:color="000000"/>
              <w:right w:val="dashed" w:sz="4" w:space="0" w:color="000000"/>
            </w:tcBorders>
          </w:tcPr>
          <w:p w:rsidR="00E8309B" w:rsidRDefault="00E8309B">
            <w:pPr>
              <w:spacing w:after="160" w:line="259" w:lineRule="auto"/>
              <w:ind w:left="0" w:right="0" w:firstLine="0"/>
              <w:jc w:val="left"/>
            </w:pPr>
          </w:p>
        </w:tc>
        <w:tc>
          <w:tcPr>
            <w:tcW w:w="0" w:type="auto"/>
            <w:vMerge/>
            <w:tcBorders>
              <w:top w:val="nil"/>
              <w:left w:val="dashed" w:sz="4" w:space="0" w:color="000000"/>
              <w:bottom w:val="double" w:sz="6" w:space="0" w:color="000000"/>
              <w:right w:val="dashed" w:sz="4" w:space="0" w:color="000000"/>
            </w:tcBorders>
          </w:tcPr>
          <w:p w:rsidR="00E8309B" w:rsidRDefault="00E8309B">
            <w:pPr>
              <w:spacing w:after="160" w:line="259" w:lineRule="auto"/>
              <w:ind w:left="0" w:right="0" w:firstLine="0"/>
              <w:jc w:val="left"/>
            </w:pPr>
          </w:p>
        </w:tc>
        <w:tc>
          <w:tcPr>
            <w:tcW w:w="0" w:type="auto"/>
            <w:vMerge/>
            <w:tcBorders>
              <w:top w:val="nil"/>
              <w:left w:val="dashed" w:sz="4" w:space="0" w:color="000000"/>
              <w:bottom w:val="double" w:sz="6" w:space="0" w:color="000000"/>
              <w:right w:val="nil"/>
            </w:tcBorders>
          </w:tcPr>
          <w:p w:rsidR="00E8309B" w:rsidRDefault="00E8309B">
            <w:pPr>
              <w:spacing w:after="160" w:line="259" w:lineRule="auto"/>
              <w:ind w:left="0" w:right="0" w:firstLine="0"/>
              <w:jc w:val="left"/>
            </w:pPr>
          </w:p>
        </w:tc>
        <w:tc>
          <w:tcPr>
            <w:tcW w:w="1251" w:type="dxa"/>
            <w:tcBorders>
              <w:top w:val="single" w:sz="18" w:space="0" w:color="FFFFFF"/>
              <w:left w:val="nil"/>
              <w:bottom w:val="double" w:sz="6" w:space="0" w:color="000000"/>
              <w:right w:val="double" w:sz="6" w:space="0" w:color="000000"/>
            </w:tcBorders>
          </w:tcPr>
          <w:p w:rsidR="00E8309B" w:rsidRDefault="009D0949">
            <w:pPr>
              <w:spacing w:after="0" w:line="259" w:lineRule="auto"/>
              <w:ind w:left="0" w:right="51" w:firstLine="0"/>
              <w:jc w:val="center"/>
            </w:pPr>
            <w:r>
              <w:rPr>
                <w:sz w:val="20"/>
              </w:rPr>
              <w:t xml:space="preserve">2023 </w:t>
            </w:r>
          </w:p>
        </w:tc>
      </w:tr>
      <w:tr w:rsidR="00E8309B">
        <w:trPr>
          <w:trHeight w:val="422"/>
        </w:trPr>
        <w:tc>
          <w:tcPr>
            <w:tcW w:w="6512" w:type="dxa"/>
            <w:tcBorders>
              <w:top w:val="single" w:sz="11" w:space="0" w:color="FFFFFF"/>
              <w:left w:val="double" w:sz="6" w:space="0" w:color="000000"/>
              <w:bottom w:val="single" w:sz="4" w:space="0" w:color="000000"/>
              <w:right w:val="dashed" w:sz="4" w:space="0" w:color="000000"/>
            </w:tcBorders>
          </w:tcPr>
          <w:p w:rsidR="00E8309B" w:rsidRDefault="009D0949">
            <w:pPr>
              <w:spacing w:after="0" w:line="259" w:lineRule="auto"/>
              <w:ind w:left="2" w:right="0" w:firstLine="0"/>
              <w:jc w:val="left"/>
            </w:pPr>
            <w:r>
              <w:rPr>
                <w:sz w:val="20"/>
              </w:rPr>
              <w:t xml:space="preserve">1. Нето дате/узете позајмице у односу на остатак света </w:t>
            </w:r>
          </w:p>
        </w:tc>
        <w:tc>
          <w:tcPr>
            <w:tcW w:w="1829" w:type="dxa"/>
            <w:tcBorders>
              <w:top w:val="single" w:sz="11" w:space="0" w:color="FFFFFF"/>
              <w:left w:val="dashed" w:sz="4" w:space="0" w:color="000000"/>
              <w:bottom w:val="single" w:sz="4" w:space="0" w:color="000000"/>
              <w:right w:val="single" w:sz="8" w:space="0" w:color="000000"/>
            </w:tcBorders>
          </w:tcPr>
          <w:p w:rsidR="00E8309B" w:rsidRDefault="009D0949">
            <w:pPr>
              <w:spacing w:after="0" w:line="259" w:lineRule="auto"/>
              <w:ind w:left="0" w:right="51" w:firstLine="0"/>
              <w:jc w:val="center"/>
            </w:pPr>
            <w:r>
              <w:rPr>
                <w:sz w:val="20"/>
              </w:rPr>
              <w:t xml:space="preserve">B.9 </w:t>
            </w:r>
          </w:p>
        </w:tc>
        <w:tc>
          <w:tcPr>
            <w:tcW w:w="1243" w:type="dxa"/>
            <w:tcBorders>
              <w:top w:val="double" w:sz="6" w:space="0" w:color="000000"/>
              <w:left w:val="single" w:sz="8" w:space="0" w:color="000000"/>
              <w:bottom w:val="single" w:sz="4" w:space="0" w:color="000000"/>
              <w:right w:val="dashed" w:sz="4" w:space="0" w:color="000000"/>
            </w:tcBorders>
          </w:tcPr>
          <w:p w:rsidR="00E8309B" w:rsidRDefault="009D0949">
            <w:pPr>
              <w:spacing w:after="0" w:line="259" w:lineRule="auto"/>
              <w:ind w:left="0" w:right="51" w:firstLine="0"/>
              <w:jc w:val="right"/>
            </w:pPr>
            <w:r>
              <w:rPr>
                <w:sz w:val="20"/>
              </w:rPr>
              <w:t xml:space="preserve">-7,1 </w:t>
            </w:r>
          </w:p>
        </w:tc>
        <w:tc>
          <w:tcPr>
            <w:tcW w:w="1246" w:type="dxa"/>
            <w:tcBorders>
              <w:top w:val="double" w:sz="6" w:space="0" w:color="000000"/>
              <w:left w:val="dashed" w:sz="4" w:space="0" w:color="000000"/>
              <w:bottom w:val="single" w:sz="4" w:space="0" w:color="000000"/>
              <w:right w:val="dashed" w:sz="4" w:space="0" w:color="000000"/>
            </w:tcBorders>
          </w:tcPr>
          <w:p w:rsidR="00E8309B" w:rsidRDefault="009D0949">
            <w:pPr>
              <w:spacing w:after="0" w:line="259" w:lineRule="auto"/>
              <w:ind w:left="0" w:right="51" w:firstLine="0"/>
              <w:jc w:val="right"/>
            </w:pPr>
            <w:r>
              <w:rPr>
                <w:sz w:val="20"/>
              </w:rPr>
              <w:t xml:space="preserve">-5,0 </w:t>
            </w:r>
          </w:p>
        </w:tc>
        <w:tc>
          <w:tcPr>
            <w:tcW w:w="1248" w:type="dxa"/>
            <w:tcBorders>
              <w:top w:val="double" w:sz="6" w:space="0" w:color="000000"/>
              <w:left w:val="dashed" w:sz="4" w:space="0" w:color="000000"/>
              <w:bottom w:val="single" w:sz="4" w:space="0" w:color="000000"/>
              <w:right w:val="dashed" w:sz="4" w:space="0" w:color="000000"/>
            </w:tcBorders>
          </w:tcPr>
          <w:p w:rsidR="00E8309B" w:rsidRDefault="009D0949">
            <w:pPr>
              <w:spacing w:after="0" w:line="259" w:lineRule="auto"/>
              <w:ind w:left="0" w:right="51" w:firstLine="0"/>
              <w:jc w:val="right"/>
            </w:pPr>
            <w:r>
              <w:rPr>
                <w:sz w:val="20"/>
              </w:rPr>
              <w:t xml:space="preserve">-5,5 </w:t>
            </w:r>
          </w:p>
        </w:tc>
        <w:tc>
          <w:tcPr>
            <w:tcW w:w="1243" w:type="dxa"/>
            <w:tcBorders>
              <w:top w:val="double" w:sz="6" w:space="0" w:color="000000"/>
              <w:left w:val="dashed" w:sz="4" w:space="0" w:color="000000"/>
              <w:bottom w:val="single" w:sz="4" w:space="0" w:color="000000"/>
              <w:right w:val="dashed" w:sz="4" w:space="0" w:color="000000"/>
            </w:tcBorders>
          </w:tcPr>
          <w:p w:rsidR="00E8309B" w:rsidRDefault="009D0949">
            <w:pPr>
              <w:spacing w:after="0" w:line="259" w:lineRule="auto"/>
              <w:ind w:left="0" w:right="54" w:firstLine="0"/>
              <w:jc w:val="right"/>
            </w:pPr>
            <w:r>
              <w:rPr>
                <w:sz w:val="20"/>
              </w:rPr>
              <w:t xml:space="preserve">-5,1 </w:t>
            </w:r>
          </w:p>
        </w:tc>
        <w:tc>
          <w:tcPr>
            <w:tcW w:w="1251" w:type="dxa"/>
            <w:tcBorders>
              <w:top w:val="double" w:sz="6" w:space="0" w:color="000000"/>
              <w:left w:val="dashed" w:sz="4" w:space="0" w:color="000000"/>
              <w:bottom w:val="single" w:sz="4" w:space="0" w:color="000000"/>
              <w:right w:val="double" w:sz="6" w:space="0" w:color="000000"/>
            </w:tcBorders>
          </w:tcPr>
          <w:p w:rsidR="00E8309B" w:rsidRDefault="009D0949">
            <w:pPr>
              <w:spacing w:after="0" w:line="259" w:lineRule="auto"/>
              <w:ind w:left="0" w:right="54" w:firstLine="0"/>
              <w:jc w:val="right"/>
            </w:pPr>
            <w:r>
              <w:rPr>
                <w:sz w:val="20"/>
              </w:rPr>
              <w:t xml:space="preserve">-4,8 </w:t>
            </w:r>
          </w:p>
        </w:tc>
      </w:tr>
      <w:tr w:rsidR="00E8309B">
        <w:trPr>
          <w:trHeight w:val="408"/>
        </w:trPr>
        <w:tc>
          <w:tcPr>
            <w:tcW w:w="6512" w:type="dxa"/>
            <w:tcBorders>
              <w:top w:val="single" w:sz="4" w:space="0" w:color="000000"/>
              <w:left w:val="double" w:sz="6" w:space="0" w:color="000000"/>
              <w:bottom w:val="dashed" w:sz="4" w:space="0" w:color="000000"/>
              <w:right w:val="dashed" w:sz="4" w:space="0" w:color="000000"/>
            </w:tcBorders>
          </w:tcPr>
          <w:p w:rsidR="00E8309B" w:rsidRDefault="009D0949">
            <w:pPr>
              <w:spacing w:after="0" w:line="259" w:lineRule="auto"/>
              <w:ind w:left="2" w:right="0" w:firstLine="0"/>
              <w:jc w:val="left"/>
            </w:pPr>
            <w:r>
              <w:rPr>
                <w:i/>
                <w:sz w:val="20"/>
              </w:rPr>
              <w:t xml:space="preserve">од чега: </w:t>
            </w:r>
          </w:p>
        </w:tc>
        <w:tc>
          <w:tcPr>
            <w:tcW w:w="1829" w:type="dxa"/>
            <w:tcBorders>
              <w:top w:val="single" w:sz="4" w:space="0" w:color="000000"/>
              <w:left w:val="dashed" w:sz="4" w:space="0" w:color="000000"/>
              <w:bottom w:val="dashed" w:sz="4" w:space="0" w:color="000000"/>
              <w:right w:val="single" w:sz="8" w:space="0" w:color="000000"/>
            </w:tcBorders>
          </w:tcPr>
          <w:p w:rsidR="00E8309B" w:rsidRDefault="009D0949">
            <w:pPr>
              <w:spacing w:after="0" w:line="259" w:lineRule="auto"/>
              <w:ind w:left="0" w:right="2" w:firstLine="0"/>
              <w:jc w:val="center"/>
            </w:pPr>
            <w:r>
              <w:rPr>
                <w:sz w:val="20"/>
              </w:rPr>
              <w:t xml:space="preserve"> </w:t>
            </w:r>
          </w:p>
        </w:tc>
        <w:tc>
          <w:tcPr>
            <w:tcW w:w="1243" w:type="dxa"/>
            <w:tcBorders>
              <w:top w:val="single" w:sz="4" w:space="0" w:color="000000"/>
              <w:left w:val="single" w:sz="8" w:space="0" w:color="000000"/>
              <w:bottom w:val="dashed" w:sz="4" w:space="0" w:color="000000"/>
              <w:right w:val="dashed" w:sz="4" w:space="0" w:color="000000"/>
            </w:tcBorders>
          </w:tcPr>
          <w:p w:rsidR="00E8309B" w:rsidRDefault="009D0949">
            <w:pPr>
              <w:spacing w:after="0" w:line="259" w:lineRule="auto"/>
              <w:ind w:left="0" w:right="0" w:firstLine="0"/>
              <w:jc w:val="right"/>
            </w:pPr>
            <w:r>
              <w:rPr>
                <w:sz w:val="20"/>
              </w:rPr>
              <w:t xml:space="preserve">  </w:t>
            </w:r>
          </w:p>
        </w:tc>
        <w:tc>
          <w:tcPr>
            <w:tcW w:w="1246" w:type="dxa"/>
            <w:tcBorders>
              <w:top w:val="single" w:sz="4" w:space="0" w:color="000000"/>
              <w:left w:val="dashed" w:sz="4" w:space="0" w:color="000000"/>
              <w:bottom w:val="dashed" w:sz="4" w:space="0" w:color="000000"/>
              <w:right w:val="dashed" w:sz="4" w:space="0" w:color="000000"/>
            </w:tcBorders>
          </w:tcPr>
          <w:p w:rsidR="00E8309B" w:rsidRDefault="009D0949">
            <w:pPr>
              <w:spacing w:after="0" w:line="259" w:lineRule="auto"/>
              <w:ind w:left="2" w:right="0" w:firstLine="0"/>
              <w:jc w:val="left"/>
            </w:pPr>
            <w:r>
              <w:rPr>
                <w:sz w:val="20"/>
              </w:rPr>
              <w:t xml:space="preserve">  </w:t>
            </w:r>
          </w:p>
        </w:tc>
        <w:tc>
          <w:tcPr>
            <w:tcW w:w="1248" w:type="dxa"/>
            <w:tcBorders>
              <w:top w:val="single" w:sz="4" w:space="0" w:color="000000"/>
              <w:left w:val="dashed" w:sz="4" w:space="0" w:color="000000"/>
              <w:bottom w:val="dashed" w:sz="4" w:space="0" w:color="000000"/>
              <w:right w:val="dashed" w:sz="4" w:space="0" w:color="000000"/>
            </w:tcBorders>
          </w:tcPr>
          <w:p w:rsidR="00E8309B" w:rsidRDefault="009D0949">
            <w:pPr>
              <w:spacing w:after="0" w:line="259" w:lineRule="auto"/>
              <w:ind w:left="2" w:right="0" w:firstLine="0"/>
              <w:jc w:val="left"/>
            </w:pPr>
            <w:r>
              <w:rPr>
                <w:sz w:val="20"/>
              </w:rPr>
              <w:t xml:space="preserve">  </w:t>
            </w:r>
          </w:p>
        </w:tc>
        <w:tc>
          <w:tcPr>
            <w:tcW w:w="1243" w:type="dxa"/>
            <w:tcBorders>
              <w:top w:val="single" w:sz="4" w:space="0" w:color="000000"/>
              <w:left w:val="dashed" w:sz="4" w:space="0" w:color="000000"/>
              <w:bottom w:val="dashed" w:sz="4" w:space="0" w:color="000000"/>
              <w:right w:val="dashed" w:sz="4" w:space="0" w:color="000000"/>
            </w:tcBorders>
          </w:tcPr>
          <w:p w:rsidR="00E8309B" w:rsidRDefault="009D0949">
            <w:pPr>
              <w:spacing w:after="0" w:line="259" w:lineRule="auto"/>
              <w:ind w:left="0" w:right="0" w:firstLine="0"/>
              <w:jc w:val="left"/>
            </w:pPr>
            <w:r>
              <w:rPr>
                <w:sz w:val="20"/>
              </w:rPr>
              <w:t xml:space="preserve">  </w:t>
            </w:r>
          </w:p>
        </w:tc>
        <w:tc>
          <w:tcPr>
            <w:tcW w:w="1251" w:type="dxa"/>
            <w:tcBorders>
              <w:top w:val="single" w:sz="4" w:space="0" w:color="000000"/>
              <w:left w:val="dashed" w:sz="4" w:space="0" w:color="000000"/>
              <w:bottom w:val="dashed" w:sz="4" w:space="0" w:color="000000"/>
              <w:right w:val="double" w:sz="6" w:space="0" w:color="000000"/>
            </w:tcBorders>
          </w:tcPr>
          <w:p w:rsidR="00E8309B" w:rsidRDefault="009D0949">
            <w:pPr>
              <w:spacing w:after="0" w:line="259" w:lineRule="auto"/>
              <w:ind w:left="0" w:right="2" w:firstLine="0"/>
              <w:jc w:val="right"/>
            </w:pPr>
            <w:r>
              <w:rPr>
                <w:sz w:val="20"/>
              </w:rPr>
              <w:t xml:space="preserve">  </w:t>
            </w:r>
          </w:p>
        </w:tc>
      </w:tr>
      <w:tr w:rsidR="00E8309B">
        <w:trPr>
          <w:trHeight w:val="408"/>
        </w:trPr>
        <w:tc>
          <w:tcPr>
            <w:tcW w:w="6512" w:type="dxa"/>
            <w:tcBorders>
              <w:top w:val="dashed" w:sz="4" w:space="0" w:color="000000"/>
              <w:left w:val="double" w:sz="6" w:space="0" w:color="000000"/>
              <w:bottom w:val="dashed" w:sz="4" w:space="0" w:color="000000"/>
              <w:right w:val="dashed" w:sz="4" w:space="0" w:color="000000"/>
            </w:tcBorders>
          </w:tcPr>
          <w:p w:rsidR="00E8309B" w:rsidRDefault="009D0949">
            <w:pPr>
              <w:spacing w:after="0" w:line="259" w:lineRule="auto"/>
              <w:ind w:left="2" w:right="0" w:firstLine="0"/>
              <w:jc w:val="left"/>
            </w:pPr>
            <w:r>
              <w:rPr>
                <w:i/>
                <w:sz w:val="20"/>
              </w:rPr>
              <w:t xml:space="preserve">- Биланс робе и услуга </w:t>
            </w:r>
          </w:p>
        </w:tc>
        <w:tc>
          <w:tcPr>
            <w:tcW w:w="1829" w:type="dxa"/>
            <w:tcBorders>
              <w:top w:val="dashed" w:sz="4" w:space="0" w:color="000000"/>
              <w:left w:val="dashed" w:sz="4" w:space="0" w:color="000000"/>
              <w:bottom w:val="dashed" w:sz="4" w:space="0" w:color="000000"/>
              <w:right w:val="single" w:sz="8" w:space="0" w:color="000000"/>
            </w:tcBorders>
          </w:tcPr>
          <w:p w:rsidR="00E8309B" w:rsidRDefault="009D0949">
            <w:pPr>
              <w:spacing w:after="0" w:line="259" w:lineRule="auto"/>
              <w:ind w:left="0" w:right="2" w:firstLine="0"/>
              <w:jc w:val="center"/>
            </w:pPr>
            <w:r>
              <w:rPr>
                <w:sz w:val="20"/>
              </w:rPr>
              <w:t xml:space="preserve"> </w:t>
            </w:r>
          </w:p>
        </w:tc>
        <w:tc>
          <w:tcPr>
            <w:tcW w:w="1243" w:type="dxa"/>
            <w:tcBorders>
              <w:top w:val="dashed" w:sz="4" w:space="0" w:color="000000"/>
              <w:left w:val="single" w:sz="8" w:space="0" w:color="000000"/>
              <w:bottom w:val="dashed" w:sz="4" w:space="0" w:color="000000"/>
              <w:right w:val="dashed" w:sz="4" w:space="0" w:color="000000"/>
            </w:tcBorders>
          </w:tcPr>
          <w:p w:rsidR="00E8309B" w:rsidRDefault="009D0949">
            <w:pPr>
              <w:spacing w:after="0" w:line="259" w:lineRule="auto"/>
              <w:ind w:left="0" w:right="52" w:firstLine="0"/>
              <w:jc w:val="right"/>
            </w:pPr>
            <w:r>
              <w:rPr>
                <w:sz w:val="20"/>
              </w:rPr>
              <w:t xml:space="preserve">-10,0 </w:t>
            </w:r>
          </w:p>
        </w:tc>
        <w:tc>
          <w:tcPr>
            <w:tcW w:w="1246"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51" w:firstLine="0"/>
              <w:jc w:val="right"/>
            </w:pPr>
            <w:r>
              <w:rPr>
                <w:sz w:val="20"/>
              </w:rPr>
              <w:t xml:space="preserve">-8,5 </w:t>
            </w:r>
          </w:p>
        </w:tc>
        <w:tc>
          <w:tcPr>
            <w:tcW w:w="1248"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51" w:firstLine="0"/>
              <w:jc w:val="right"/>
            </w:pPr>
            <w:r>
              <w:rPr>
                <w:sz w:val="20"/>
              </w:rPr>
              <w:t xml:space="preserve">-8,6 </w:t>
            </w:r>
          </w:p>
        </w:tc>
        <w:tc>
          <w:tcPr>
            <w:tcW w:w="1243"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54" w:firstLine="0"/>
              <w:jc w:val="right"/>
            </w:pPr>
            <w:r>
              <w:rPr>
                <w:sz w:val="20"/>
              </w:rPr>
              <w:t xml:space="preserve">-8,0 </w:t>
            </w:r>
          </w:p>
        </w:tc>
        <w:tc>
          <w:tcPr>
            <w:tcW w:w="1251" w:type="dxa"/>
            <w:tcBorders>
              <w:top w:val="dashed" w:sz="4" w:space="0" w:color="000000"/>
              <w:left w:val="dashed" w:sz="4" w:space="0" w:color="000000"/>
              <w:bottom w:val="dashed" w:sz="4" w:space="0" w:color="000000"/>
              <w:right w:val="double" w:sz="6" w:space="0" w:color="000000"/>
            </w:tcBorders>
          </w:tcPr>
          <w:p w:rsidR="00E8309B" w:rsidRDefault="009D0949">
            <w:pPr>
              <w:spacing w:after="0" w:line="259" w:lineRule="auto"/>
              <w:ind w:left="0" w:right="54" w:firstLine="0"/>
              <w:jc w:val="right"/>
            </w:pPr>
            <w:r>
              <w:rPr>
                <w:sz w:val="20"/>
              </w:rPr>
              <w:t xml:space="preserve">-7,4 </w:t>
            </w:r>
          </w:p>
        </w:tc>
      </w:tr>
      <w:tr w:rsidR="00E8309B">
        <w:trPr>
          <w:trHeight w:val="406"/>
        </w:trPr>
        <w:tc>
          <w:tcPr>
            <w:tcW w:w="6512" w:type="dxa"/>
            <w:tcBorders>
              <w:top w:val="dashed" w:sz="4" w:space="0" w:color="000000"/>
              <w:left w:val="double" w:sz="6" w:space="0" w:color="000000"/>
              <w:bottom w:val="dashed" w:sz="4" w:space="0" w:color="000000"/>
              <w:right w:val="dashed" w:sz="4" w:space="0" w:color="000000"/>
            </w:tcBorders>
          </w:tcPr>
          <w:p w:rsidR="00E8309B" w:rsidRDefault="009D0949">
            <w:pPr>
              <w:spacing w:after="0" w:line="259" w:lineRule="auto"/>
              <w:ind w:left="2" w:right="0" w:firstLine="0"/>
              <w:jc w:val="left"/>
            </w:pPr>
            <w:r>
              <w:rPr>
                <w:i/>
                <w:sz w:val="20"/>
              </w:rPr>
              <w:t xml:space="preserve">- Биланс примарног дохотка и трансфера </w:t>
            </w:r>
          </w:p>
        </w:tc>
        <w:tc>
          <w:tcPr>
            <w:tcW w:w="1829" w:type="dxa"/>
            <w:tcBorders>
              <w:top w:val="dashed" w:sz="4" w:space="0" w:color="000000"/>
              <w:left w:val="dashed" w:sz="4" w:space="0" w:color="000000"/>
              <w:bottom w:val="dashed" w:sz="4" w:space="0" w:color="000000"/>
              <w:right w:val="single" w:sz="8" w:space="0" w:color="000000"/>
            </w:tcBorders>
          </w:tcPr>
          <w:p w:rsidR="00E8309B" w:rsidRDefault="009D0949">
            <w:pPr>
              <w:spacing w:after="0" w:line="259" w:lineRule="auto"/>
              <w:ind w:left="0" w:right="2" w:firstLine="0"/>
              <w:jc w:val="center"/>
            </w:pPr>
            <w:r>
              <w:rPr>
                <w:sz w:val="20"/>
              </w:rPr>
              <w:t xml:space="preserve"> </w:t>
            </w:r>
          </w:p>
        </w:tc>
        <w:tc>
          <w:tcPr>
            <w:tcW w:w="1243" w:type="dxa"/>
            <w:tcBorders>
              <w:top w:val="dashed" w:sz="4" w:space="0" w:color="000000"/>
              <w:left w:val="single" w:sz="8" w:space="0" w:color="000000"/>
              <w:bottom w:val="dashed" w:sz="4" w:space="0" w:color="000000"/>
              <w:right w:val="dashed" w:sz="4" w:space="0" w:color="000000"/>
            </w:tcBorders>
          </w:tcPr>
          <w:p w:rsidR="00E8309B" w:rsidRDefault="009D0949">
            <w:pPr>
              <w:spacing w:after="0" w:line="259" w:lineRule="auto"/>
              <w:ind w:left="0" w:right="49" w:firstLine="0"/>
              <w:jc w:val="right"/>
            </w:pPr>
            <w:r>
              <w:rPr>
                <w:sz w:val="20"/>
              </w:rPr>
              <w:t xml:space="preserve">3,2 </w:t>
            </w:r>
          </w:p>
        </w:tc>
        <w:tc>
          <w:tcPr>
            <w:tcW w:w="1246"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49" w:firstLine="0"/>
              <w:jc w:val="right"/>
            </w:pPr>
            <w:r>
              <w:rPr>
                <w:sz w:val="20"/>
              </w:rPr>
              <w:t xml:space="preserve">3,5 </w:t>
            </w:r>
          </w:p>
        </w:tc>
        <w:tc>
          <w:tcPr>
            <w:tcW w:w="1248"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49" w:firstLine="0"/>
              <w:jc w:val="right"/>
            </w:pPr>
            <w:r>
              <w:rPr>
                <w:sz w:val="20"/>
              </w:rPr>
              <w:t xml:space="preserve">3,1 </w:t>
            </w:r>
          </w:p>
        </w:tc>
        <w:tc>
          <w:tcPr>
            <w:tcW w:w="1243"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51" w:firstLine="0"/>
              <w:jc w:val="right"/>
            </w:pPr>
            <w:r>
              <w:rPr>
                <w:sz w:val="20"/>
              </w:rPr>
              <w:t xml:space="preserve">2,9 </w:t>
            </w:r>
          </w:p>
        </w:tc>
        <w:tc>
          <w:tcPr>
            <w:tcW w:w="1251" w:type="dxa"/>
            <w:tcBorders>
              <w:top w:val="dashed" w:sz="4" w:space="0" w:color="000000"/>
              <w:left w:val="dashed" w:sz="4" w:space="0" w:color="000000"/>
              <w:bottom w:val="dashed" w:sz="4" w:space="0" w:color="000000"/>
              <w:right w:val="double" w:sz="6" w:space="0" w:color="000000"/>
            </w:tcBorders>
          </w:tcPr>
          <w:p w:rsidR="00E8309B" w:rsidRDefault="009D0949">
            <w:pPr>
              <w:spacing w:after="0" w:line="259" w:lineRule="auto"/>
              <w:ind w:left="0" w:right="51" w:firstLine="0"/>
              <w:jc w:val="right"/>
            </w:pPr>
            <w:r>
              <w:rPr>
                <w:sz w:val="20"/>
              </w:rPr>
              <w:t xml:space="preserve">2,6 </w:t>
            </w:r>
          </w:p>
        </w:tc>
      </w:tr>
      <w:tr w:rsidR="00E8309B">
        <w:trPr>
          <w:trHeight w:val="408"/>
        </w:trPr>
        <w:tc>
          <w:tcPr>
            <w:tcW w:w="6512" w:type="dxa"/>
            <w:tcBorders>
              <w:top w:val="dashed" w:sz="4" w:space="0" w:color="000000"/>
              <w:left w:val="double" w:sz="6" w:space="0" w:color="000000"/>
              <w:bottom w:val="single" w:sz="4" w:space="0" w:color="000000"/>
              <w:right w:val="dashed" w:sz="4" w:space="0" w:color="000000"/>
            </w:tcBorders>
          </w:tcPr>
          <w:p w:rsidR="00E8309B" w:rsidRDefault="009D0949">
            <w:pPr>
              <w:spacing w:after="0" w:line="259" w:lineRule="auto"/>
              <w:ind w:left="2" w:right="0" w:firstLine="0"/>
              <w:jc w:val="left"/>
            </w:pPr>
            <w:r>
              <w:rPr>
                <w:i/>
                <w:sz w:val="20"/>
              </w:rPr>
              <w:t xml:space="preserve">- </w:t>
            </w:r>
            <w:r>
              <w:rPr>
                <w:i/>
                <w:sz w:val="20"/>
              </w:rPr>
              <w:t xml:space="preserve">Биланс капиталних трансакција </w:t>
            </w:r>
          </w:p>
        </w:tc>
        <w:tc>
          <w:tcPr>
            <w:tcW w:w="1829" w:type="dxa"/>
            <w:tcBorders>
              <w:top w:val="dashed" w:sz="4" w:space="0" w:color="000000"/>
              <w:left w:val="dashed" w:sz="4" w:space="0" w:color="000000"/>
              <w:bottom w:val="single" w:sz="4" w:space="0" w:color="000000"/>
              <w:right w:val="single" w:sz="8" w:space="0" w:color="000000"/>
            </w:tcBorders>
          </w:tcPr>
          <w:p w:rsidR="00E8309B" w:rsidRDefault="009D0949">
            <w:pPr>
              <w:spacing w:after="0" w:line="259" w:lineRule="auto"/>
              <w:ind w:left="0" w:right="2" w:firstLine="0"/>
              <w:jc w:val="center"/>
            </w:pPr>
            <w:r>
              <w:rPr>
                <w:sz w:val="20"/>
              </w:rPr>
              <w:t xml:space="preserve"> </w:t>
            </w:r>
          </w:p>
        </w:tc>
        <w:tc>
          <w:tcPr>
            <w:tcW w:w="1243" w:type="dxa"/>
            <w:tcBorders>
              <w:top w:val="dashed" w:sz="4" w:space="0" w:color="000000"/>
              <w:left w:val="single" w:sz="8" w:space="0" w:color="000000"/>
              <w:bottom w:val="single" w:sz="4" w:space="0" w:color="000000"/>
              <w:right w:val="dashed" w:sz="4" w:space="0" w:color="000000"/>
            </w:tcBorders>
          </w:tcPr>
          <w:p w:rsidR="00E8309B" w:rsidRDefault="009D0949">
            <w:pPr>
              <w:spacing w:after="0" w:line="259" w:lineRule="auto"/>
              <w:ind w:left="0" w:right="51" w:firstLine="0"/>
              <w:jc w:val="right"/>
            </w:pPr>
            <w:r>
              <w:rPr>
                <w:sz w:val="20"/>
              </w:rPr>
              <w:t xml:space="preserve">-0,2 </w:t>
            </w:r>
          </w:p>
        </w:tc>
        <w:tc>
          <w:tcPr>
            <w:tcW w:w="1246" w:type="dxa"/>
            <w:tcBorders>
              <w:top w:val="dashed" w:sz="4" w:space="0" w:color="000000"/>
              <w:left w:val="dashed" w:sz="4" w:space="0" w:color="000000"/>
              <w:bottom w:val="single" w:sz="4" w:space="0" w:color="000000"/>
              <w:right w:val="dashed" w:sz="4" w:space="0" w:color="000000"/>
            </w:tcBorders>
          </w:tcPr>
          <w:p w:rsidR="00E8309B" w:rsidRDefault="009D0949">
            <w:pPr>
              <w:spacing w:after="0" w:line="259" w:lineRule="auto"/>
              <w:ind w:left="0" w:right="49" w:firstLine="0"/>
              <w:jc w:val="right"/>
            </w:pPr>
            <w:r>
              <w:rPr>
                <w:sz w:val="20"/>
              </w:rPr>
              <w:t xml:space="preserve">0,0 </w:t>
            </w:r>
          </w:p>
        </w:tc>
        <w:tc>
          <w:tcPr>
            <w:tcW w:w="1248" w:type="dxa"/>
            <w:tcBorders>
              <w:top w:val="dashed" w:sz="4" w:space="0" w:color="000000"/>
              <w:left w:val="dashed" w:sz="4" w:space="0" w:color="000000"/>
              <w:bottom w:val="single" w:sz="4" w:space="0" w:color="000000"/>
              <w:right w:val="dashed" w:sz="4" w:space="0" w:color="000000"/>
            </w:tcBorders>
          </w:tcPr>
          <w:p w:rsidR="00E8309B" w:rsidRDefault="009D0949">
            <w:pPr>
              <w:spacing w:after="0" w:line="259" w:lineRule="auto"/>
              <w:ind w:left="0" w:right="49" w:firstLine="0"/>
              <w:jc w:val="right"/>
            </w:pPr>
            <w:r>
              <w:rPr>
                <w:sz w:val="20"/>
              </w:rPr>
              <w:t xml:space="preserve">0,0 </w:t>
            </w:r>
          </w:p>
        </w:tc>
        <w:tc>
          <w:tcPr>
            <w:tcW w:w="1243" w:type="dxa"/>
            <w:tcBorders>
              <w:top w:val="dashed" w:sz="4" w:space="0" w:color="000000"/>
              <w:left w:val="dashed" w:sz="4" w:space="0" w:color="000000"/>
              <w:bottom w:val="single" w:sz="4" w:space="0" w:color="000000"/>
              <w:right w:val="dashed" w:sz="4" w:space="0" w:color="000000"/>
            </w:tcBorders>
          </w:tcPr>
          <w:p w:rsidR="00E8309B" w:rsidRDefault="009D0949">
            <w:pPr>
              <w:spacing w:after="0" w:line="259" w:lineRule="auto"/>
              <w:ind w:left="0" w:right="51" w:firstLine="0"/>
              <w:jc w:val="right"/>
            </w:pPr>
            <w:r>
              <w:rPr>
                <w:sz w:val="20"/>
              </w:rPr>
              <w:t xml:space="preserve">0,0 </w:t>
            </w:r>
          </w:p>
        </w:tc>
        <w:tc>
          <w:tcPr>
            <w:tcW w:w="1251" w:type="dxa"/>
            <w:tcBorders>
              <w:top w:val="dashed" w:sz="4" w:space="0" w:color="000000"/>
              <w:left w:val="dashed" w:sz="4" w:space="0" w:color="000000"/>
              <w:bottom w:val="single" w:sz="4" w:space="0" w:color="000000"/>
              <w:right w:val="double" w:sz="6" w:space="0" w:color="000000"/>
            </w:tcBorders>
          </w:tcPr>
          <w:p w:rsidR="00E8309B" w:rsidRDefault="009D0949">
            <w:pPr>
              <w:spacing w:after="0" w:line="259" w:lineRule="auto"/>
              <w:ind w:left="0" w:right="51" w:firstLine="0"/>
              <w:jc w:val="right"/>
            </w:pPr>
            <w:r>
              <w:rPr>
                <w:sz w:val="20"/>
              </w:rPr>
              <w:t xml:space="preserve">0,0 </w:t>
            </w:r>
          </w:p>
        </w:tc>
      </w:tr>
      <w:tr w:rsidR="00E8309B">
        <w:trPr>
          <w:trHeight w:val="406"/>
        </w:trPr>
        <w:tc>
          <w:tcPr>
            <w:tcW w:w="6512" w:type="dxa"/>
            <w:tcBorders>
              <w:top w:val="single" w:sz="4" w:space="0" w:color="000000"/>
              <w:left w:val="double" w:sz="6" w:space="0" w:color="000000"/>
              <w:bottom w:val="dashed" w:sz="4" w:space="0" w:color="000000"/>
              <w:right w:val="dashed" w:sz="4" w:space="0" w:color="000000"/>
            </w:tcBorders>
          </w:tcPr>
          <w:p w:rsidR="00E8309B" w:rsidRDefault="009D0949">
            <w:pPr>
              <w:spacing w:after="0" w:line="259" w:lineRule="auto"/>
              <w:ind w:left="2" w:right="0" w:firstLine="0"/>
              <w:jc w:val="left"/>
            </w:pPr>
            <w:r>
              <w:rPr>
                <w:sz w:val="20"/>
              </w:rPr>
              <w:t xml:space="preserve">2. Нето дате/узете позајмице приватног сектора  </w:t>
            </w:r>
          </w:p>
        </w:tc>
        <w:tc>
          <w:tcPr>
            <w:tcW w:w="1829" w:type="dxa"/>
            <w:tcBorders>
              <w:top w:val="single" w:sz="4" w:space="0" w:color="000000"/>
              <w:left w:val="dashed" w:sz="4" w:space="0" w:color="000000"/>
              <w:bottom w:val="dashed" w:sz="4" w:space="0" w:color="000000"/>
              <w:right w:val="single" w:sz="8" w:space="0" w:color="000000"/>
            </w:tcBorders>
          </w:tcPr>
          <w:p w:rsidR="00E8309B" w:rsidRDefault="009D0949">
            <w:pPr>
              <w:spacing w:after="0" w:line="259" w:lineRule="auto"/>
              <w:ind w:left="0" w:right="52" w:firstLine="0"/>
              <w:jc w:val="center"/>
            </w:pPr>
            <w:r>
              <w:rPr>
                <w:sz w:val="20"/>
              </w:rPr>
              <w:t xml:space="preserve">B.9/ EDP B.9 </w:t>
            </w:r>
          </w:p>
        </w:tc>
        <w:tc>
          <w:tcPr>
            <w:tcW w:w="1243" w:type="dxa"/>
            <w:tcBorders>
              <w:top w:val="single" w:sz="4" w:space="0" w:color="000000"/>
              <w:left w:val="single" w:sz="8" w:space="0" w:color="000000"/>
              <w:bottom w:val="dashed" w:sz="4" w:space="0" w:color="000000"/>
              <w:right w:val="dashed" w:sz="4" w:space="0" w:color="000000"/>
            </w:tcBorders>
          </w:tcPr>
          <w:p w:rsidR="00E8309B" w:rsidRDefault="009D0949">
            <w:pPr>
              <w:spacing w:after="0" w:line="259" w:lineRule="auto"/>
              <w:ind w:left="0" w:right="51" w:firstLine="0"/>
              <w:jc w:val="right"/>
            </w:pPr>
            <w:r>
              <w:rPr>
                <w:sz w:val="20"/>
              </w:rPr>
              <w:t xml:space="preserve">-5,1 </w:t>
            </w:r>
          </w:p>
        </w:tc>
        <w:tc>
          <w:tcPr>
            <w:tcW w:w="1246" w:type="dxa"/>
            <w:tcBorders>
              <w:top w:val="single" w:sz="4" w:space="0" w:color="000000"/>
              <w:left w:val="dashed" w:sz="4" w:space="0" w:color="000000"/>
              <w:bottom w:val="dashed" w:sz="4" w:space="0" w:color="000000"/>
              <w:right w:val="dashed" w:sz="4" w:space="0" w:color="000000"/>
            </w:tcBorders>
          </w:tcPr>
          <w:p w:rsidR="00E8309B" w:rsidRDefault="009D0949">
            <w:pPr>
              <w:spacing w:after="0" w:line="259" w:lineRule="auto"/>
              <w:ind w:left="0" w:right="51" w:firstLine="0"/>
              <w:jc w:val="right"/>
            </w:pPr>
            <w:r>
              <w:rPr>
                <w:sz w:val="20"/>
              </w:rPr>
              <w:t xml:space="preserve">-3,5 </w:t>
            </w:r>
          </w:p>
        </w:tc>
        <w:tc>
          <w:tcPr>
            <w:tcW w:w="1248" w:type="dxa"/>
            <w:tcBorders>
              <w:top w:val="single" w:sz="4" w:space="0" w:color="000000"/>
              <w:left w:val="dashed" w:sz="4" w:space="0" w:color="000000"/>
              <w:bottom w:val="dashed" w:sz="4" w:space="0" w:color="000000"/>
              <w:right w:val="dashed" w:sz="4" w:space="0" w:color="000000"/>
            </w:tcBorders>
          </w:tcPr>
          <w:p w:rsidR="00E8309B" w:rsidRDefault="009D0949">
            <w:pPr>
              <w:spacing w:after="0" w:line="259" w:lineRule="auto"/>
              <w:ind w:left="0" w:right="51" w:firstLine="0"/>
              <w:jc w:val="right"/>
            </w:pPr>
            <w:r>
              <w:rPr>
                <w:sz w:val="20"/>
              </w:rPr>
              <w:t xml:space="preserve">-4,3 </w:t>
            </w:r>
          </w:p>
        </w:tc>
        <w:tc>
          <w:tcPr>
            <w:tcW w:w="1243" w:type="dxa"/>
            <w:tcBorders>
              <w:top w:val="single" w:sz="4" w:space="0" w:color="000000"/>
              <w:left w:val="dashed" w:sz="4" w:space="0" w:color="000000"/>
              <w:bottom w:val="dashed" w:sz="4" w:space="0" w:color="000000"/>
              <w:right w:val="dashed" w:sz="4" w:space="0" w:color="000000"/>
            </w:tcBorders>
          </w:tcPr>
          <w:p w:rsidR="00E8309B" w:rsidRDefault="009D0949">
            <w:pPr>
              <w:spacing w:after="0" w:line="259" w:lineRule="auto"/>
              <w:ind w:left="0" w:right="53" w:firstLine="0"/>
              <w:jc w:val="right"/>
            </w:pPr>
            <w:r>
              <w:rPr>
                <w:sz w:val="20"/>
              </w:rPr>
              <w:t xml:space="preserve">-3,9 </w:t>
            </w:r>
          </w:p>
        </w:tc>
        <w:tc>
          <w:tcPr>
            <w:tcW w:w="1251" w:type="dxa"/>
            <w:tcBorders>
              <w:top w:val="single" w:sz="4" w:space="0" w:color="000000"/>
              <w:left w:val="dashed" w:sz="4" w:space="0" w:color="000000"/>
              <w:bottom w:val="dashed" w:sz="4" w:space="0" w:color="000000"/>
              <w:right w:val="double" w:sz="6" w:space="0" w:color="000000"/>
            </w:tcBorders>
          </w:tcPr>
          <w:p w:rsidR="00E8309B" w:rsidRDefault="009D0949">
            <w:pPr>
              <w:spacing w:after="0" w:line="259" w:lineRule="auto"/>
              <w:ind w:left="0" w:right="53" w:firstLine="0"/>
              <w:jc w:val="right"/>
            </w:pPr>
            <w:r>
              <w:rPr>
                <w:sz w:val="20"/>
              </w:rPr>
              <w:t xml:space="preserve">-3,9 </w:t>
            </w:r>
          </w:p>
        </w:tc>
      </w:tr>
      <w:tr w:rsidR="00E8309B">
        <w:trPr>
          <w:trHeight w:val="408"/>
        </w:trPr>
        <w:tc>
          <w:tcPr>
            <w:tcW w:w="6512" w:type="dxa"/>
            <w:tcBorders>
              <w:top w:val="dashed" w:sz="4" w:space="0" w:color="000000"/>
              <w:left w:val="double" w:sz="6" w:space="0" w:color="000000"/>
              <w:bottom w:val="single" w:sz="4" w:space="0" w:color="000000"/>
              <w:right w:val="dashed" w:sz="4" w:space="0" w:color="000000"/>
            </w:tcBorders>
          </w:tcPr>
          <w:p w:rsidR="00E8309B" w:rsidRDefault="009D0949">
            <w:pPr>
              <w:spacing w:after="0" w:line="259" w:lineRule="auto"/>
              <w:ind w:left="2" w:right="0" w:firstLine="0"/>
              <w:jc w:val="left"/>
            </w:pPr>
            <w:r>
              <w:rPr>
                <w:sz w:val="20"/>
              </w:rPr>
              <w:t xml:space="preserve">3. Нето дате/узете позајмице општег нивоа државе  </w:t>
            </w:r>
          </w:p>
        </w:tc>
        <w:tc>
          <w:tcPr>
            <w:tcW w:w="1829" w:type="dxa"/>
            <w:tcBorders>
              <w:top w:val="dashed" w:sz="4" w:space="0" w:color="000000"/>
              <w:left w:val="dashed" w:sz="4" w:space="0" w:color="000000"/>
              <w:bottom w:val="single" w:sz="4" w:space="0" w:color="000000"/>
              <w:right w:val="single" w:sz="8" w:space="0" w:color="000000"/>
            </w:tcBorders>
          </w:tcPr>
          <w:p w:rsidR="00E8309B" w:rsidRDefault="009D0949">
            <w:pPr>
              <w:spacing w:after="0" w:line="259" w:lineRule="auto"/>
              <w:ind w:left="0" w:right="2" w:firstLine="0"/>
              <w:jc w:val="center"/>
            </w:pPr>
            <w:r>
              <w:rPr>
                <w:sz w:val="20"/>
              </w:rPr>
              <w:t xml:space="preserve"> </w:t>
            </w:r>
          </w:p>
        </w:tc>
        <w:tc>
          <w:tcPr>
            <w:tcW w:w="1243" w:type="dxa"/>
            <w:tcBorders>
              <w:top w:val="dashed" w:sz="4" w:space="0" w:color="000000"/>
              <w:left w:val="single" w:sz="8" w:space="0" w:color="000000"/>
              <w:bottom w:val="single" w:sz="4" w:space="0" w:color="000000"/>
              <w:right w:val="dashed" w:sz="4" w:space="0" w:color="000000"/>
            </w:tcBorders>
          </w:tcPr>
          <w:p w:rsidR="00E8309B" w:rsidRDefault="009D0949">
            <w:pPr>
              <w:spacing w:after="0" w:line="259" w:lineRule="auto"/>
              <w:ind w:left="0" w:right="51" w:firstLine="0"/>
              <w:jc w:val="right"/>
            </w:pPr>
            <w:r>
              <w:rPr>
                <w:sz w:val="20"/>
              </w:rPr>
              <w:t xml:space="preserve">-1,8 </w:t>
            </w:r>
          </w:p>
        </w:tc>
        <w:tc>
          <w:tcPr>
            <w:tcW w:w="1246" w:type="dxa"/>
            <w:tcBorders>
              <w:top w:val="dashed" w:sz="4" w:space="0" w:color="000000"/>
              <w:left w:val="dashed" w:sz="4" w:space="0" w:color="000000"/>
              <w:bottom w:val="single" w:sz="4" w:space="0" w:color="000000"/>
              <w:right w:val="dashed" w:sz="4" w:space="0" w:color="000000"/>
            </w:tcBorders>
          </w:tcPr>
          <w:p w:rsidR="00E8309B" w:rsidRDefault="009D0949">
            <w:pPr>
              <w:spacing w:after="0" w:line="259" w:lineRule="auto"/>
              <w:ind w:left="0" w:right="51" w:firstLine="0"/>
              <w:jc w:val="right"/>
            </w:pPr>
            <w:r>
              <w:rPr>
                <w:sz w:val="20"/>
              </w:rPr>
              <w:t xml:space="preserve">-1,5 </w:t>
            </w:r>
          </w:p>
        </w:tc>
        <w:tc>
          <w:tcPr>
            <w:tcW w:w="1248" w:type="dxa"/>
            <w:tcBorders>
              <w:top w:val="dashed" w:sz="4" w:space="0" w:color="000000"/>
              <w:left w:val="dashed" w:sz="4" w:space="0" w:color="000000"/>
              <w:bottom w:val="single" w:sz="4" w:space="0" w:color="000000"/>
              <w:right w:val="dashed" w:sz="4" w:space="0" w:color="000000"/>
            </w:tcBorders>
          </w:tcPr>
          <w:p w:rsidR="00E8309B" w:rsidRDefault="009D0949">
            <w:pPr>
              <w:spacing w:after="0" w:line="259" w:lineRule="auto"/>
              <w:ind w:left="0" w:right="51" w:firstLine="0"/>
              <w:jc w:val="right"/>
            </w:pPr>
            <w:r>
              <w:rPr>
                <w:sz w:val="20"/>
              </w:rPr>
              <w:t xml:space="preserve">-1,3 </w:t>
            </w:r>
          </w:p>
        </w:tc>
        <w:tc>
          <w:tcPr>
            <w:tcW w:w="1243" w:type="dxa"/>
            <w:tcBorders>
              <w:top w:val="dashed" w:sz="4" w:space="0" w:color="000000"/>
              <w:left w:val="dashed" w:sz="4" w:space="0" w:color="000000"/>
              <w:bottom w:val="single" w:sz="4" w:space="0" w:color="000000"/>
              <w:right w:val="dashed" w:sz="4" w:space="0" w:color="000000"/>
            </w:tcBorders>
          </w:tcPr>
          <w:p w:rsidR="00E8309B" w:rsidRDefault="009D0949">
            <w:pPr>
              <w:spacing w:after="0" w:line="259" w:lineRule="auto"/>
              <w:ind w:left="0" w:right="53" w:firstLine="0"/>
              <w:jc w:val="right"/>
            </w:pPr>
            <w:r>
              <w:rPr>
                <w:sz w:val="20"/>
              </w:rPr>
              <w:t xml:space="preserve">-1,2 </w:t>
            </w:r>
          </w:p>
        </w:tc>
        <w:tc>
          <w:tcPr>
            <w:tcW w:w="1251" w:type="dxa"/>
            <w:tcBorders>
              <w:top w:val="dashed" w:sz="4" w:space="0" w:color="000000"/>
              <w:left w:val="dashed" w:sz="4" w:space="0" w:color="000000"/>
              <w:bottom w:val="single" w:sz="4" w:space="0" w:color="000000"/>
              <w:right w:val="double" w:sz="6" w:space="0" w:color="000000"/>
            </w:tcBorders>
          </w:tcPr>
          <w:p w:rsidR="00E8309B" w:rsidRDefault="009D0949">
            <w:pPr>
              <w:spacing w:after="0" w:line="259" w:lineRule="auto"/>
              <w:ind w:left="0" w:right="54" w:firstLine="0"/>
              <w:jc w:val="right"/>
            </w:pPr>
            <w:r>
              <w:rPr>
                <w:sz w:val="20"/>
              </w:rPr>
              <w:t xml:space="preserve">-1,0 </w:t>
            </w:r>
          </w:p>
        </w:tc>
      </w:tr>
      <w:tr w:rsidR="00E8309B">
        <w:trPr>
          <w:trHeight w:val="425"/>
        </w:trPr>
        <w:tc>
          <w:tcPr>
            <w:tcW w:w="6512" w:type="dxa"/>
            <w:tcBorders>
              <w:top w:val="single" w:sz="4" w:space="0" w:color="000000"/>
              <w:left w:val="double" w:sz="6" w:space="0" w:color="000000"/>
              <w:bottom w:val="double" w:sz="6" w:space="0" w:color="000000"/>
              <w:right w:val="dashed" w:sz="4" w:space="0" w:color="000000"/>
            </w:tcBorders>
            <w:vAlign w:val="center"/>
          </w:tcPr>
          <w:p w:rsidR="00E8309B" w:rsidRDefault="009D0949">
            <w:pPr>
              <w:spacing w:after="0" w:line="259" w:lineRule="auto"/>
              <w:ind w:left="2" w:right="0" w:firstLine="0"/>
              <w:jc w:val="left"/>
            </w:pPr>
            <w:r>
              <w:rPr>
                <w:sz w:val="20"/>
              </w:rPr>
              <w:t xml:space="preserve">4. Статистичкo одступање </w:t>
            </w:r>
          </w:p>
        </w:tc>
        <w:tc>
          <w:tcPr>
            <w:tcW w:w="1829" w:type="dxa"/>
            <w:tcBorders>
              <w:top w:val="single" w:sz="4" w:space="0" w:color="000000"/>
              <w:left w:val="dashed" w:sz="4" w:space="0" w:color="000000"/>
              <w:bottom w:val="double" w:sz="6" w:space="0" w:color="000000"/>
              <w:right w:val="single" w:sz="8" w:space="0" w:color="000000"/>
            </w:tcBorders>
          </w:tcPr>
          <w:p w:rsidR="00E8309B" w:rsidRDefault="009D0949">
            <w:pPr>
              <w:spacing w:after="0" w:line="259" w:lineRule="auto"/>
              <w:ind w:left="0" w:right="2" w:firstLine="0"/>
              <w:jc w:val="center"/>
            </w:pPr>
            <w:r>
              <w:rPr>
                <w:sz w:val="20"/>
              </w:rPr>
              <w:t xml:space="preserve"> </w:t>
            </w:r>
          </w:p>
        </w:tc>
        <w:tc>
          <w:tcPr>
            <w:tcW w:w="1243" w:type="dxa"/>
            <w:tcBorders>
              <w:top w:val="single" w:sz="4" w:space="0" w:color="000000"/>
              <w:left w:val="single" w:sz="8" w:space="0" w:color="000000"/>
              <w:bottom w:val="double" w:sz="6" w:space="0" w:color="000000"/>
              <w:right w:val="dashed" w:sz="4" w:space="0" w:color="000000"/>
            </w:tcBorders>
          </w:tcPr>
          <w:p w:rsidR="00E8309B" w:rsidRDefault="009D0949">
            <w:pPr>
              <w:spacing w:after="0" w:line="259" w:lineRule="auto"/>
              <w:ind w:left="0" w:right="49" w:firstLine="0"/>
              <w:jc w:val="right"/>
            </w:pPr>
            <w:r>
              <w:rPr>
                <w:sz w:val="20"/>
              </w:rPr>
              <w:t xml:space="preserve">0,0 </w:t>
            </w:r>
          </w:p>
        </w:tc>
        <w:tc>
          <w:tcPr>
            <w:tcW w:w="1246" w:type="dxa"/>
            <w:tcBorders>
              <w:top w:val="single" w:sz="4" w:space="0" w:color="000000"/>
              <w:left w:val="dashed" w:sz="4" w:space="0" w:color="000000"/>
              <w:bottom w:val="double" w:sz="6" w:space="0" w:color="000000"/>
              <w:right w:val="dashed" w:sz="4" w:space="0" w:color="000000"/>
            </w:tcBorders>
          </w:tcPr>
          <w:p w:rsidR="00E8309B" w:rsidRDefault="009D0949">
            <w:pPr>
              <w:spacing w:after="0" w:line="259" w:lineRule="auto"/>
              <w:ind w:left="0" w:right="49" w:firstLine="0"/>
              <w:jc w:val="right"/>
            </w:pPr>
            <w:r>
              <w:rPr>
                <w:sz w:val="20"/>
              </w:rPr>
              <w:t xml:space="preserve">0,0 </w:t>
            </w:r>
          </w:p>
        </w:tc>
        <w:tc>
          <w:tcPr>
            <w:tcW w:w="1248" w:type="dxa"/>
            <w:tcBorders>
              <w:top w:val="single" w:sz="4" w:space="0" w:color="000000"/>
              <w:left w:val="dashed" w:sz="4" w:space="0" w:color="000000"/>
              <w:bottom w:val="double" w:sz="6" w:space="0" w:color="000000"/>
              <w:right w:val="dashed" w:sz="4" w:space="0" w:color="000000"/>
            </w:tcBorders>
          </w:tcPr>
          <w:p w:rsidR="00E8309B" w:rsidRDefault="009D0949">
            <w:pPr>
              <w:spacing w:after="0" w:line="259" w:lineRule="auto"/>
              <w:ind w:left="0" w:right="49" w:firstLine="0"/>
              <w:jc w:val="right"/>
            </w:pPr>
            <w:r>
              <w:rPr>
                <w:sz w:val="20"/>
              </w:rPr>
              <w:t xml:space="preserve">0,0 </w:t>
            </w:r>
          </w:p>
        </w:tc>
        <w:tc>
          <w:tcPr>
            <w:tcW w:w="1243" w:type="dxa"/>
            <w:tcBorders>
              <w:top w:val="single" w:sz="4" w:space="0" w:color="000000"/>
              <w:left w:val="dashed" w:sz="4" w:space="0" w:color="000000"/>
              <w:bottom w:val="double" w:sz="6" w:space="0" w:color="000000"/>
              <w:right w:val="dashed" w:sz="4" w:space="0" w:color="000000"/>
            </w:tcBorders>
          </w:tcPr>
          <w:p w:rsidR="00E8309B" w:rsidRDefault="009D0949">
            <w:pPr>
              <w:spacing w:after="0" w:line="259" w:lineRule="auto"/>
              <w:ind w:left="0" w:right="51" w:firstLine="0"/>
              <w:jc w:val="right"/>
            </w:pPr>
            <w:r>
              <w:rPr>
                <w:sz w:val="20"/>
              </w:rPr>
              <w:t xml:space="preserve">0,0 </w:t>
            </w:r>
          </w:p>
        </w:tc>
        <w:tc>
          <w:tcPr>
            <w:tcW w:w="1251" w:type="dxa"/>
            <w:tcBorders>
              <w:top w:val="single" w:sz="4" w:space="0" w:color="000000"/>
              <w:left w:val="dashed" w:sz="4" w:space="0" w:color="000000"/>
              <w:bottom w:val="double" w:sz="6" w:space="0" w:color="000000"/>
              <w:right w:val="double" w:sz="6" w:space="0" w:color="000000"/>
            </w:tcBorders>
          </w:tcPr>
          <w:p w:rsidR="00E8309B" w:rsidRDefault="009D0949">
            <w:pPr>
              <w:spacing w:after="0" w:line="259" w:lineRule="auto"/>
              <w:ind w:left="0" w:right="51" w:firstLine="0"/>
              <w:jc w:val="right"/>
            </w:pPr>
            <w:r>
              <w:rPr>
                <w:sz w:val="20"/>
              </w:rPr>
              <w:t xml:space="preserve">0,0 </w:t>
            </w:r>
          </w:p>
        </w:tc>
      </w:tr>
    </w:tbl>
    <w:p w:rsidR="00E8309B" w:rsidRDefault="009D0949">
      <w:pPr>
        <w:spacing w:after="99" w:line="259" w:lineRule="auto"/>
        <w:ind w:left="0" w:right="0" w:firstLine="0"/>
        <w:jc w:val="left"/>
      </w:pPr>
      <w:r>
        <w:rPr>
          <w:sz w:val="22"/>
        </w:rPr>
        <w:t xml:space="preserve"> </w:t>
      </w:r>
    </w:p>
    <w:p w:rsidR="00E8309B" w:rsidRDefault="009D0949">
      <w:pPr>
        <w:spacing w:after="209" w:line="259" w:lineRule="auto"/>
        <w:ind w:left="0" w:right="0" w:firstLine="0"/>
        <w:jc w:val="left"/>
      </w:pPr>
      <w:r>
        <w:rPr>
          <w:sz w:val="22"/>
        </w:rPr>
        <w:t xml:space="preserve"> </w:t>
      </w:r>
    </w:p>
    <w:p w:rsidR="00E8309B" w:rsidRDefault="009D0949">
      <w:pPr>
        <w:tabs>
          <w:tab w:val="center" w:pos="7624"/>
          <w:tab w:val="center" w:pos="8932"/>
          <w:tab w:val="center" w:pos="10117"/>
          <w:tab w:val="center" w:pos="11304"/>
          <w:tab w:val="center" w:pos="13317"/>
        </w:tabs>
        <w:spacing w:after="0" w:line="259" w:lineRule="auto"/>
        <w:ind w:left="0" w:right="0" w:firstLine="0"/>
        <w:jc w:val="left"/>
      </w:pPr>
      <w:r>
        <w:rPr>
          <w:b/>
          <w:sz w:val="20"/>
        </w:rPr>
        <w:t xml:space="preserve">Табела 1e: БДП, инвестиције и бруто додата вредност </w:t>
      </w:r>
      <w:r>
        <w:rPr>
          <w:b/>
          <w:sz w:val="20"/>
        </w:rPr>
        <w:tab/>
      </w:r>
      <w:r>
        <w:rPr>
          <w:sz w:val="20"/>
        </w:rPr>
        <w:t xml:space="preserve">  </w:t>
      </w:r>
      <w:r>
        <w:rPr>
          <w:sz w:val="20"/>
        </w:rPr>
        <w:tab/>
        <w:t xml:space="preserve">  </w:t>
      </w:r>
      <w:r>
        <w:rPr>
          <w:sz w:val="20"/>
        </w:rPr>
        <w:tab/>
        <w:t xml:space="preserve">  </w:t>
      </w:r>
      <w:r>
        <w:rPr>
          <w:sz w:val="20"/>
        </w:rPr>
        <w:tab/>
        <w:t xml:space="preserve">  </w:t>
      </w:r>
      <w:r>
        <w:rPr>
          <w:sz w:val="20"/>
        </w:rPr>
        <w:tab/>
      </w:r>
      <w:r>
        <w:rPr>
          <w:b/>
          <w:sz w:val="20"/>
        </w:rPr>
        <w:t>Република Србија</w:t>
      </w:r>
      <w:r>
        <w:rPr>
          <w:sz w:val="20"/>
        </w:rPr>
        <w:t xml:space="preserve"> </w:t>
      </w:r>
    </w:p>
    <w:tbl>
      <w:tblPr>
        <w:tblStyle w:val="TableGrid"/>
        <w:tblW w:w="14571" w:type="dxa"/>
        <w:tblInd w:w="0" w:type="dxa"/>
        <w:tblCellMar>
          <w:top w:w="5" w:type="dxa"/>
          <w:left w:w="0" w:type="dxa"/>
          <w:bottom w:w="0" w:type="dxa"/>
          <w:right w:w="56" w:type="dxa"/>
        </w:tblCellMar>
        <w:tblLook w:val="04A0" w:firstRow="1" w:lastRow="0" w:firstColumn="1" w:lastColumn="0" w:noHBand="0" w:noVBand="1"/>
      </w:tblPr>
      <w:tblGrid>
        <w:gridCol w:w="6073"/>
        <w:gridCol w:w="1440"/>
        <w:gridCol w:w="1411"/>
        <w:gridCol w:w="1410"/>
        <w:gridCol w:w="507"/>
        <w:gridCol w:w="905"/>
        <w:gridCol w:w="1411"/>
        <w:gridCol w:w="1415"/>
      </w:tblGrid>
      <w:tr w:rsidR="00E8309B">
        <w:trPr>
          <w:trHeight w:val="369"/>
        </w:trPr>
        <w:tc>
          <w:tcPr>
            <w:tcW w:w="6073" w:type="dxa"/>
            <w:vMerge w:val="restart"/>
            <w:tcBorders>
              <w:top w:val="double" w:sz="6" w:space="0" w:color="000000"/>
              <w:left w:val="double" w:sz="6" w:space="0" w:color="000000"/>
              <w:bottom w:val="single" w:sz="4" w:space="0" w:color="000000"/>
              <w:right w:val="dashed" w:sz="4" w:space="0" w:color="000000"/>
            </w:tcBorders>
            <w:vAlign w:val="bottom"/>
          </w:tcPr>
          <w:p w:rsidR="00E8309B" w:rsidRDefault="009D0949">
            <w:pPr>
              <w:spacing w:after="8" w:line="259" w:lineRule="auto"/>
              <w:ind w:left="110" w:right="0" w:firstLine="0"/>
              <w:jc w:val="left"/>
            </w:pPr>
            <w:r>
              <w:rPr>
                <w:sz w:val="20"/>
              </w:rPr>
              <w:t xml:space="preserve">  </w:t>
            </w:r>
          </w:p>
          <w:p w:rsidR="00E8309B" w:rsidRDefault="009D0949">
            <w:pPr>
              <w:spacing w:after="0" w:line="259" w:lineRule="auto"/>
              <w:ind w:left="110" w:right="0" w:firstLine="0"/>
              <w:jc w:val="left"/>
            </w:pPr>
            <w:r>
              <w:rPr>
                <w:sz w:val="20"/>
              </w:rPr>
              <w:t xml:space="preserve">  </w:t>
            </w:r>
          </w:p>
        </w:tc>
        <w:tc>
          <w:tcPr>
            <w:tcW w:w="1440" w:type="dxa"/>
            <w:tcBorders>
              <w:top w:val="double" w:sz="6" w:space="0" w:color="000000"/>
              <w:left w:val="dashed" w:sz="4" w:space="0" w:color="000000"/>
              <w:bottom w:val="nil"/>
              <w:right w:val="double" w:sz="6" w:space="0" w:color="000000"/>
            </w:tcBorders>
            <w:vAlign w:val="bottom"/>
          </w:tcPr>
          <w:p w:rsidR="00E8309B" w:rsidRDefault="009D0949">
            <w:pPr>
              <w:spacing w:after="0" w:line="259" w:lineRule="auto"/>
              <w:ind w:left="110" w:right="0" w:firstLine="0"/>
              <w:jc w:val="left"/>
            </w:pPr>
            <w:r>
              <w:rPr>
                <w:sz w:val="20"/>
              </w:rPr>
              <w:t xml:space="preserve">ESA шифра </w:t>
            </w:r>
          </w:p>
        </w:tc>
        <w:tc>
          <w:tcPr>
            <w:tcW w:w="1411" w:type="dxa"/>
            <w:tcBorders>
              <w:top w:val="double" w:sz="6" w:space="0" w:color="000000"/>
              <w:left w:val="double" w:sz="6" w:space="0" w:color="000000"/>
              <w:bottom w:val="nil"/>
              <w:right w:val="dashed" w:sz="4" w:space="0" w:color="000000"/>
            </w:tcBorders>
          </w:tcPr>
          <w:p w:rsidR="00E8309B" w:rsidRDefault="009D0949">
            <w:pPr>
              <w:spacing w:after="0" w:line="259" w:lineRule="auto"/>
              <w:ind w:left="60" w:right="0" w:firstLine="0"/>
              <w:jc w:val="center"/>
            </w:pPr>
            <w:r>
              <w:rPr>
                <w:sz w:val="20"/>
              </w:rPr>
              <w:t xml:space="preserve">год. </w:t>
            </w:r>
          </w:p>
        </w:tc>
        <w:tc>
          <w:tcPr>
            <w:tcW w:w="1410" w:type="dxa"/>
            <w:tcBorders>
              <w:top w:val="double" w:sz="6" w:space="0" w:color="000000"/>
              <w:left w:val="dashed" w:sz="4" w:space="0" w:color="000000"/>
              <w:bottom w:val="nil"/>
              <w:right w:val="dashed" w:sz="4" w:space="0" w:color="000000"/>
            </w:tcBorders>
          </w:tcPr>
          <w:p w:rsidR="00E8309B" w:rsidRDefault="009D0949">
            <w:pPr>
              <w:spacing w:after="0" w:line="259" w:lineRule="auto"/>
              <w:ind w:left="57" w:right="0" w:firstLine="0"/>
              <w:jc w:val="center"/>
            </w:pPr>
            <w:r>
              <w:rPr>
                <w:sz w:val="20"/>
              </w:rPr>
              <w:t xml:space="preserve">год. </w:t>
            </w:r>
          </w:p>
        </w:tc>
        <w:tc>
          <w:tcPr>
            <w:tcW w:w="507" w:type="dxa"/>
            <w:vMerge w:val="restart"/>
            <w:tcBorders>
              <w:top w:val="double" w:sz="6" w:space="0" w:color="000000"/>
              <w:left w:val="dashed" w:sz="4" w:space="0" w:color="000000"/>
              <w:bottom w:val="single" w:sz="4" w:space="0" w:color="000000"/>
              <w:right w:val="nil"/>
            </w:tcBorders>
          </w:tcPr>
          <w:p w:rsidR="00E8309B" w:rsidRDefault="00E8309B">
            <w:pPr>
              <w:spacing w:after="160" w:line="259" w:lineRule="auto"/>
              <w:ind w:left="0" w:right="0" w:firstLine="0"/>
              <w:jc w:val="left"/>
            </w:pPr>
          </w:p>
        </w:tc>
        <w:tc>
          <w:tcPr>
            <w:tcW w:w="905" w:type="dxa"/>
            <w:vMerge w:val="restart"/>
            <w:tcBorders>
              <w:top w:val="double" w:sz="6" w:space="0" w:color="000000"/>
              <w:left w:val="nil"/>
              <w:bottom w:val="single" w:sz="4" w:space="0" w:color="000000"/>
              <w:right w:val="dashed" w:sz="4" w:space="0" w:color="000000"/>
            </w:tcBorders>
          </w:tcPr>
          <w:p w:rsidR="00E8309B" w:rsidRDefault="009D0949">
            <w:pPr>
              <w:spacing w:after="99" w:line="259" w:lineRule="auto"/>
              <w:ind w:left="34" w:right="0" w:firstLine="0"/>
              <w:jc w:val="left"/>
            </w:pPr>
            <w:r>
              <w:rPr>
                <w:sz w:val="20"/>
              </w:rPr>
              <w:t xml:space="preserve">год. </w:t>
            </w:r>
          </w:p>
          <w:p w:rsidR="00E8309B" w:rsidRDefault="009D0949">
            <w:pPr>
              <w:spacing w:after="0" w:line="259" w:lineRule="auto"/>
              <w:ind w:left="0" w:right="0" w:firstLine="0"/>
              <w:jc w:val="left"/>
            </w:pPr>
            <w:r>
              <w:rPr>
                <w:sz w:val="20"/>
              </w:rPr>
              <w:t xml:space="preserve">2021 </w:t>
            </w:r>
          </w:p>
        </w:tc>
        <w:tc>
          <w:tcPr>
            <w:tcW w:w="1411" w:type="dxa"/>
            <w:vMerge w:val="restart"/>
            <w:tcBorders>
              <w:top w:val="double" w:sz="6" w:space="0" w:color="000000"/>
              <w:left w:val="dashed" w:sz="4" w:space="0" w:color="000000"/>
              <w:bottom w:val="single" w:sz="4" w:space="0" w:color="000000"/>
              <w:right w:val="dashed" w:sz="4" w:space="0" w:color="000000"/>
            </w:tcBorders>
          </w:tcPr>
          <w:p w:rsidR="00E8309B" w:rsidRDefault="009D0949">
            <w:pPr>
              <w:spacing w:after="99" w:line="259" w:lineRule="auto"/>
              <w:ind w:left="58" w:right="0" w:firstLine="0"/>
              <w:jc w:val="center"/>
            </w:pPr>
            <w:r>
              <w:rPr>
                <w:sz w:val="20"/>
              </w:rPr>
              <w:t xml:space="preserve">год. </w:t>
            </w:r>
          </w:p>
          <w:p w:rsidR="00E8309B" w:rsidRDefault="009D0949">
            <w:pPr>
              <w:spacing w:after="0" w:line="259" w:lineRule="auto"/>
              <w:ind w:left="59" w:right="0" w:firstLine="0"/>
              <w:jc w:val="center"/>
            </w:pPr>
            <w:r>
              <w:rPr>
                <w:sz w:val="20"/>
              </w:rPr>
              <w:t xml:space="preserve">2022 </w:t>
            </w:r>
          </w:p>
        </w:tc>
        <w:tc>
          <w:tcPr>
            <w:tcW w:w="1415" w:type="dxa"/>
            <w:tcBorders>
              <w:top w:val="double" w:sz="6" w:space="0" w:color="000000"/>
              <w:left w:val="dashed" w:sz="4" w:space="0" w:color="000000"/>
              <w:bottom w:val="nil"/>
              <w:right w:val="double" w:sz="6" w:space="0" w:color="000000"/>
            </w:tcBorders>
          </w:tcPr>
          <w:p w:rsidR="00E8309B" w:rsidRDefault="009D0949">
            <w:pPr>
              <w:spacing w:after="0" w:line="259" w:lineRule="auto"/>
              <w:ind w:left="55" w:right="0" w:firstLine="0"/>
              <w:jc w:val="center"/>
            </w:pPr>
            <w:r>
              <w:rPr>
                <w:sz w:val="20"/>
              </w:rPr>
              <w:t xml:space="preserve">год. </w:t>
            </w:r>
          </w:p>
        </w:tc>
      </w:tr>
      <w:tr w:rsidR="00E8309B">
        <w:trPr>
          <w:trHeight w:val="260"/>
        </w:trPr>
        <w:tc>
          <w:tcPr>
            <w:tcW w:w="0" w:type="auto"/>
            <w:vMerge/>
            <w:tcBorders>
              <w:top w:val="nil"/>
              <w:left w:val="double" w:sz="6" w:space="0" w:color="000000"/>
              <w:bottom w:val="single" w:sz="4" w:space="0" w:color="000000"/>
              <w:right w:val="dashed" w:sz="4" w:space="0" w:color="000000"/>
            </w:tcBorders>
          </w:tcPr>
          <w:p w:rsidR="00E8309B" w:rsidRDefault="00E8309B">
            <w:pPr>
              <w:spacing w:after="160" w:line="259" w:lineRule="auto"/>
              <w:ind w:left="0" w:right="0" w:firstLine="0"/>
              <w:jc w:val="left"/>
            </w:pPr>
          </w:p>
        </w:tc>
        <w:tc>
          <w:tcPr>
            <w:tcW w:w="1440" w:type="dxa"/>
            <w:tcBorders>
              <w:top w:val="nil"/>
              <w:left w:val="dashed" w:sz="4" w:space="0" w:color="000000"/>
              <w:bottom w:val="single" w:sz="4" w:space="0" w:color="000000"/>
              <w:right w:val="double" w:sz="6" w:space="0" w:color="000000"/>
            </w:tcBorders>
            <w:shd w:val="clear" w:color="auto" w:fill="FFFFFF"/>
            <w:vAlign w:val="bottom"/>
          </w:tcPr>
          <w:p w:rsidR="00E8309B" w:rsidRDefault="009D0949">
            <w:pPr>
              <w:spacing w:after="0" w:line="259" w:lineRule="auto"/>
              <w:ind w:left="110" w:right="0" w:firstLine="0"/>
              <w:jc w:val="left"/>
            </w:pPr>
            <w:r>
              <w:rPr>
                <w:sz w:val="20"/>
              </w:rPr>
              <w:t xml:space="preserve"> </w:t>
            </w:r>
          </w:p>
        </w:tc>
        <w:tc>
          <w:tcPr>
            <w:tcW w:w="1411" w:type="dxa"/>
            <w:tcBorders>
              <w:top w:val="nil"/>
              <w:left w:val="double" w:sz="6" w:space="0" w:color="000000"/>
              <w:bottom w:val="single" w:sz="4" w:space="0" w:color="000000"/>
              <w:right w:val="dashed" w:sz="4" w:space="0" w:color="000000"/>
            </w:tcBorders>
            <w:shd w:val="clear" w:color="auto" w:fill="FFFFFF"/>
          </w:tcPr>
          <w:p w:rsidR="00E8309B" w:rsidRDefault="009D0949">
            <w:pPr>
              <w:spacing w:after="0" w:line="259" w:lineRule="auto"/>
              <w:ind w:left="61" w:right="0" w:firstLine="0"/>
              <w:jc w:val="center"/>
            </w:pPr>
            <w:r>
              <w:rPr>
                <w:sz w:val="20"/>
              </w:rPr>
              <w:t xml:space="preserve">2019 </w:t>
            </w:r>
          </w:p>
        </w:tc>
        <w:tc>
          <w:tcPr>
            <w:tcW w:w="1410" w:type="dxa"/>
            <w:tcBorders>
              <w:top w:val="nil"/>
              <w:left w:val="dashed" w:sz="4" w:space="0" w:color="000000"/>
              <w:bottom w:val="single" w:sz="4" w:space="0" w:color="000000"/>
              <w:right w:val="dashed" w:sz="4" w:space="0" w:color="000000"/>
            </w:tcBorders>
            <w:shd w:val="clear" w:color="auto" w:fill="FFFFFF"/>
          </w:tcPr>
          <w:p w:rsidR="00E8309B" w:rsidRDefault="009D0949">
            <w:pPr>
              <w:spacing w:after="0" w:line="259" w:lineRule="auto"/>
              <w:ind w:left="58" w:right="0" w:firstLine="0"/>
              <w:jc w:val="center"/>
            </w:pPr>
            <w:r>
              <w:rPr>
                <w:sz w:val="20"/>
              </w:rPr>
              <w:t xml:space="preserve">2020 </w:t>
            </w:r>
          </w:p>
        </w:tc>
        <w:tc>
          <w:tcPr>
            <w:tcW w:w="0" w:type="auto"/>
            <w:vMerge/>
            <w:tcBorders>
              <w:top w:val="nil"/>
              <w:left w:val="dashed" w:sz="4" w:space="0" w:color="000000"/>
              <w:bottom w:val="single" w:sz="4" w:space="0" w:color="000000"/>
              <w:right w:val="nil"/>
            </w:tcBorders>
          </w:tcPr>
          <w:p w:rsidR="00E8309B" w:rsidRDefault="00E8309B">
            <w:pPr>
              <w:spacing w:after="160" w:line="259" w:lineRule="auto"/>
              <w:ind w:left="0" w:right="0" w:firstLine="0"/>
              <w:jc w:val="left"/>
            </w:pPr>
          </w:p>
        </w:tc>
        <w:tc>
          <w:tcPr>
            <w:tcW w:w="0" w:type="auto"/>
            <w:vMerge/>
            <w:tcBorders>
              <w:top w:val="nil"/>
              <w:left w:val="nil"/>
              <w:bottom w:val="single" w:sz="4" w:space="0" w:color="000000"/>
              <w:right w:val="dashed" w:sz="4" w:space="0" w:color="000000"/>
            </w:tcBorders>
          </w:tcPr>
          <w:p w:rsidR="00E8309B" w:rsidRDefault="00E8309B">
            <w:pPr>
              <w:spacing w:after="160" w:line="259" w:lineRule="auto"/>
              <w:ind w:left="0" w:right="0" w:firstLine="0"/>
              <w:jc w:val="left"/>
            </w:pPr>
          </w:p>
        </w:tc>
        <w:tc>
          <w:tcPr>
            <w:tcW w:w="0" w:type="auto"/>
            <w:vMerge/>
            <w:tcBorders>
              <w:top w:val="nil"/>
              <w:left w:val="dashed" w:sz="4" w:space="0" w:color="000000"/>
              <w:bottom w:val="single" w:sz="4" w:space="0" w:color="000000"/>
              <w:right w:val="dashed" w:sz="4" w:space="0" w:color="000000"/>
            </w:tcBorders>
          </w:tcPr>
          <w:p w:rsidR="00E8309B" w:rsidRDefault="00E8309B">
            <w:pPr>
              <w:spacing w:after="160" w:line="259" w:lineRule="auto"/>
              <w:ind w:left="0" w:right="0" w:firstLine="0"/>
              <w:jc w:val="left"/>
            </w:pPr>
          </w:p>
        </w:tc>
        <w:tc>
          <w:tcPr>
            <w:tcW w:w="1415" w:type="dxa"/>
            <w:tcBorders>
              <w:top w:val="nil"/>
              <w:left w:val="dashed" w:sz="4" w:space="0" w:color="000000"/>
              <w:bottom w:val="single" w:sz="4" w:space="0" w:color="000000"/>
              <w:right w:val="double" w:sz="6" w:space="0" w:color="000000"/>
            </w:tcBorders>
            <w:shd w:val="clear" w:color="auto" w:fill="FFFFFF"/>
          </w:tcPr>
          <w:p w:rsidR="00E8309B" w:rsidRDefault="009D0949">
            <w:pPr>
              <w:spacing w:after="0" w:line="259" w:lineRule="auto"/>
              <w:ind w:left="56" w:right="0" w:firstLine="0"/>
              <w:jc w:val="center"/>
            </w:pPr>
            <w:r>
              <w:rPr>
                <w:sz w:val="20"/>
              </w:rPr>
              <w:t xml:space="preserve">2023 </w:t>
            </w:r>
          </w:p>
        </w:tc>
      </w:tr>
      <w:tr w:rsidR="00E8309B">
        <w:trPr>
          <w:trHeight w:val="265"/>
        </w:trPr>
        <w:tc>
          <w:tcPr>
            <w:tcW w:w="10840" w:type="dxa"/>
            <w:gridSpan w:val="5"/>
            <w:tcBorders>
              <w:top w:val="single" w:sz="4" w:space="0" w:color="000000"/>
              <w:left w:val="double" w:sz="6" w:space="0" w:color="000000"/>
              <w:bottom w:val="single" w:sz="4" w:space="0" w:color="000000"/>
              <w:right w:val="nil"/>
            </w:tcBorders>
          </w:tcPr>
          <w:p w:rsidR="00E8309B" w:rsidRDefault="009D0949">
            <w:pPr>
              <w:spacing w:after="0" w:line="259" w:lineRule="auto"/>
              <w:ind w:left="3791" w:right="0" w:firstLine="0"/>
              <w:jc w:val="center"/>
            </w:pPr>
            <w:r>
              <w:rPr>
                <w:b/>
                <w:sz w:val="20"/>
              </w:rPr>
              <w:t xml:space="preserve">БДП и инвестиције </w:t>
            </w:r>
          </w:p>
        </w:tc>
        <w:tc>
          <w:tcPr>
            <w:tcW w:w="905" w:type="dxa"/>
            <w:tcBorders>
              <w:top w:val="single" w:sz="4" w:space="0" w:color="000000"/>
              <w:left w:val="nil"/>
              <w:bottom w:val="single" w:sz="4" w:space="0" w:color="000000"/>
              <w:right w:val="nil"/>
            </w:tcBorders>
          </w:tcPr>
          <w:p w:rsidR="00E8309B" w:rsidRDefault="00E8309B">
            <w:pPr>
              <w:spacing w:after="160" w:line="259" w:lineRule="auto"/>
              <w:ind w:left="0" w:right="0" w:firstLine="0"/>
              <w:jc w:val="left"/>
            </w:pPr>
          </w:p>
        </w:tc>
        <w:tc>
          <w:tcPr>
            <w:tcW w:w="1411" w:type="dxa"/>
            <w:tcBorders>
              <w:top w:val="single" w:sz="4" w:space="0" w:color="000000"/>
              <w:left w:val="nil"/>
              <w:bottom w:val="single" w:sz="4" w:space="0" w:color="000000"/>
              <w:right w:val="nil"/>
            </w:tcBorders>
          </w:tcPr>
          <w:p w:rsidR="00E8309B" w:rsidRDefault="00E8309B">
            <w:pPr>
              <w:spacing w:after="160" w:line="259" w:lineRule="auto"/>
              <w:ind w:left="0" w:right="0" w:firstLine="0"/>
              <w:jc w:val="left"/>
            </w:pPr>
          </w:p>
        </w:tc>
        <w:tc>
          <w:tcPr>
            <w:tcW w:w="1415" w:type="dxa"/>
            <w:tcBorders>
              <w:top w:val="single" w:sz="4" w:space="0" w:color="000000"/>
              <w:left w:val="nil"/>
              <w:bottom w:val="single" w:sz="4" w:space="0" w:color="000000"/>
              <w:right w:val="double" w:sz="6" w:space="0" w:color="000000"/>
            </w:tcBorders>
          </w:tcPr>
          <w:p w:rsidR="00E8309B" w:rsidRDefault="00E8309B">
            <w:pPr>
              <w:spacing w:after="160" w:line="259" w:lineRule="auto"/>
              <w:ind w:left="0" w:right="0" w:firstLine="0"/>
              <w:jc w:val="left"/>
            </w:pPr>
          </w:p>
        </w:tc>
      </w:tr>
      <w:tr w:rsidR="00E8309B">
        <w:trPr>
          <w:trHeight w:val="506"/>
        </w:trPr>
        <w:tc>
          <w:tcPr>
            <w:tcW w:w="6073" w:type="dxa"/>
            <w:tcBorders>
              <w:top w:val="single" w:sz="4" w:space="0" w:color="000000"/>
              <w:left w:val="double" w:sz="6" w:space="0" w:color="000000"/>
              <w:bottom w:val="dashed" w:sz="4" w:space="0" w:color="000000"/>
              <w:right w:val="dashed" w:sz="4" w:space="0" w:color="000000"/>
            </w:tcBorders>
          </w:tcPr>
          <w:p w:rsidR="00E8309B" w:rsidRDefault="009D0949">
            <w:pPr>
              <w:spacing w:after="0" w:line="259" w:lineRule="auto"/>
              <w:ind w:left="110" w:right="0" w:firstLine="0"/>
              <w:jc w:val="left"/>
            </w:pPr>
            <w:r>
              <w:rPr>
                <w:sz w:val="20"/>
              </w:rPr>
              <w:t xml:space="preserve">Висина БДП-а по текућим тржишним ценама (у домаћој валути) </w:t>
            </w:r>
          </w:p>
        </w:tc>
        <w:tc>
          <w:tcPr>
            <w:tcW w:w="1440" w:type="dxa"/>
            <w:tcBorders>
              <w:top w:val="single" w:sz="4" w:space="0" w:color="000000"/>
              <w:left w:val="dashed" w:sz="4" w:space="0" w:color="000000"/>
              <w:bottom w:val="dashed" w:sz="4" w:space="0" w:color="000000"/>
              <w:right w:val="double" w:sz="6" w:space="0" w:color="000000"/>
            </w:tcBorders>
          </w:tcPr>
          <w:p w:rsidR="00E8309B" w:rsidRDefault="009D0949">
            <w:pPr>
              <w:spacing w:after="75" w:line="259" w:lineRule="auto"/>
              <w:ind w:left="59" w:right="0" w:firstLine="0"/>
              <w:jc w:val="center"/>
            </w:pPr>
            <w:r>
              <w:rPr>
                <w:sz w:val="20"/>
              </w:rPr>
              <w:t xml:space="preserve">B1g </w:t>
            </w:r>
          </w:p>
          <w:p w:rsidR="00E8309B" w:rsidRDefault="009D0949">
            <w:pPr>
              <w:spacing w:after="0" w:line="259" w:lineRule="auto"/>
              <w:ind w:left="111" w:right="0" w:firstLine="0"/>
              <w:jc w:val="center"/>
            </w:pPr>
            <w:r>
              <w:rPr>
                <w:sz w:val="20"/>
              </w:rPr>
              <w:t xml:space="preserve"> </w:t>
            </w:r>
          </w:p>
        </w:tc>
        <w:tc>
          <w:tcPr>
            <w:tcW w:w="1411" w:type="dxa"/>
            <w:tcBorders>
              <w:top w:val="single" w:sz="4" w:space="0" w:color="000000"/>
              <w:left w:val="double" w:sz="6" w:space="0" w:color="000000"/>
              <w:bottom w:val="dashed" w:sz="4" w:space="0" w:color="000000"/>
              <w:right w:val="dashed" w:sz="4" w:space="0" w:color="000000"/>
            </w:tcBorders>
          </w:tcPr>
          <w:p w:rsidR="00E8309B" w:rsidRDefault="009D0949">
            <w:pPr>
              <w:spacing w:after="0" w:line="259" w:lineRule="auto"/>
              <w:ind w:left="0" w:right="51" w:firstLine="0"/>
              <w:jc w:val="right"/>
            </w:pPr>
            <w:r>
              <w:rPr>
                <w:sz w:val="20"/>
              </w:rPr>
              <w:t xml:space="preserve">5.417,7 </w:t>
            </w:r>
          </w:p>
        </w:tc>
        <w:tc>
          <w:tcPr>
            <w:tcW w:w="1410" w:type="dxa"/>
            <w:tcBorders>
              <w:top w:val="single" w:sz="4" w:space="0" w:color="000000"/>
              <w:left w:val="dashed" w:sz="4" w:space="0" w:color="000000"/>
              <w:bottom w:val="dashed" w:sz="4" w:space="0" w:color="000000"/>
              <w:right w:val="dashed" w:sz="4" w:space="0" w:color="000000"/>
            </w:tcBorders>
          </w:tcPr>
          <w:p w:rsidR="00E8309B" w:rsidRDefault="009D0949">
            <w:pPr>
              <w:spacing w:after="0" w:line="259" w:lineRule="auto"/>
              <w:ind w:left="0" w:right="52" w:firstLine="0"/>
              <w:jc w:val="right"/>
            </w:pPr>
            <w:r>
              <w:rPr>
                <w:sz w:val="20"/>
              </w:rPr>
              <w:t xml:space="preserve">5.517,3 </w:t>
            </w:r>
          </w:p>
        </w:tc>
        <w:tc>
          <w:tcPr>
            <w:tcW w:w="507" w:type="dxa"/>
            <w:tcBorders>
              <w:top w:val="single" w:sz="4" w:space="0" w:color="000000"/>
              <w:left w:val="dashed" w:sz="4" w:space="0" w:color="000000"/>
              <w:bottom w:val="dashed" w:sz="4" w:space="0" w:color="000000"/>
              <w:right w:val="nil"/>
            </w:tcBorders>
          </w:tcPr>
          <w:p w:rsidR="00E8309B" w:rsidRDefault="00E8309B">
            <w:pPr>
              <w:spacing w:after="160" w:line="259" w:lineRule="auto"/>
              <w:ind w:left="0" w:right="0" w:firstLine="0"/>
              <w:jc w:val="left"/>
            </w:pPr>
          </w:p>
        </w:tc>
        <w:tc>
          <w:tcPr>
            <w:tcW w:w="905" w:type="dxa"/>
            <w:tcBorders>
              <w:top w:val="single" w:sz="4" w:space="0" w:color="000000"/>
              <w:left w:val="nil"/>
              <w:bottom w:val="dashed" w:sz="4" w:space="0" w:color="000000"/>
              <w:right w:val="dashed" w:sz="4" w:space="0" w:color="000000"/>
            </w:tcBorders>
          </w:tcPr>
          <w:p w:rsidR="00E8309B" w:rsidRDefault="009D0949">
            <w:pPr>
              <w:spacing w:after="0" w:line="259" w:lineRule="auto"/>
              <w:ind w:left="0" w:right="50" w:firstLine="0"/>
              <w:jc w:val="right"/>
            </w:pPr>
            <w:r>
              <w:rPr>
                <w:sz w:val="20"/>
              </w:rPr>
              <w:t xml:space="preserve">5.997,7 </w:t>
            </w:r>
          </w:p>
        </w:tc>
        <w:tc>
          <w:tcPr>
            <w:tcW w:w="1411" w:type="dxa"/>
            <w:tcBorders>
              <w:top w:val="single" w:sz="4" w:space="0" w:color="000000"/>
              <w:left w:val="dashed" w:sz="4" w:space="0" w:color="000000"/>
              <w:bottom w:val="dashed" w:sz="4" w:space="0" w:color="000000"/>
              <w:right w:val="dashed" w:sz="4" w:space="0" w:color="000000"/>
            </w:tcBorders>
          </w:tcPr>
          <w:p w:rsidR="00E8309B" w:rsidRDefault="009D0949">
            <w:pPr>
              <w:spacing w:after="0" w:line="259" w:lineRule="auto"/>
              <w:ind w:left="0" w:right="52" w:firstLine="0"/>
              <w:jc w:val="right"/>
            </w:pPr>
            <w:r>
              <w:rPr>
                <w:sz w:val="20"/>
              </w:rPr>
              <w:t xml:space="preserve">6.408,1 </w:t>
            </w:r>
          </w:p>
        </w:tc>
        <w:tc>
          <w:tcPr>
            <w:tcW w:w="1415" w:type="dxa"/>
            <w:tcBorders>
              <w:top w:val="single" w:sz="4" w:space="0" w:color="000000"/>
              <w:left w:val="dashed" w:sz="4" w:space="0" w:color="000000"/>
              <w:bottom w:val="dashed" w:sz="4" w:space="0" w:color="000000"/>
              <w:right w:val="double" w:sz="6" w:space="0" w:color="000000"/>
            </w:tcBorders>
          </w:tcPr>
          <w:p w:rsidR="00E8309B" w:rsidRDefault="009D0949">
            <w:pPr>
              <w:spacing w:after="0" w:line="259" w:lineRule="auto"/>
              <w:ind w:left="0" w:right="50" w:firstLine="0"/>
              <w:jc w:val="right"/>
            </w:pPr>
            <w:r>
              <w:rPr>
                <w:sz w:val="20"/>
              </w:rPr>
              <w:t xml:space="preserve">6.871,3 </w:t>
            </w:r>
          </w:p>
        </w:tc>
      </w:tr>
      <w:tr w:rsidR="00E8309B">
        <w:trPr>
          <w:trHeight w:val="310"/>
        </w:trPr>
        <w:tc>
          <w:tcPr>
            <w:tcW w:w="6073" w:type="dxa"/>
            <w:tcBorders>
              <w:top w:val="dashed" w:sz="4" w:space="0" w:color="000000"/>
              <w:left w:val="double" w:sz="6" w:space="0" w:color="000000"/>
              <w:bottom w:val="single" w:sz="4" w:space="0" w:color="000000"/>
              <w:right w:val="dashed" w:sz="4" w:space="0" w:color="000000"/>
            </w:tcBorders>
          </w:tcPr>
          <w:p w:rsidR="00E8309B" w:rsidRDefault="009D0949">
            <w:pPr>
              <w:spacing w:after="0" w:line="259" w:lineRule="auto"/>
              <w:ind w:left="110" w:right="0" w:firstLine="0"/>
              <w:jc w:val="left"/>
            </w:pPr>
            <w:r>
              <w:rPr>
                <w:sz w:val="20"/>
              </w:rPr>
              <w:t xml:space="preserve">Учешће инвестиција (% БДП-а) </w:t>
            </w:r>
          </w:p>
        </w:tc>
        <w:tc>
          <w:tcPr>
            <w:tcW w:w="1440" w:type="dxa"/>
            <w:tcBorders>
              <w:top w:val="dashed" w:sz="4" w:space="0" w:color="000000"/>
              <w:left w:val="dashed" w:sz="4" w:space="0" w:color="000000"/>
              <w:bottom w:val="single" w:sz="4" w:space="0" w:color="000000"/>
              <w:right w:val="double" w:sz="6" w:space="0" w:color="000000"/>
            </w:tcBorders>
          </w:tcPr>
          <w:p w:rsidR="00E8309B" w:rsidRDefault="00E8309B">
            <w:pPr>
              <w:spacing w:after="160" w:line="259" w:lineRule="auto"/>
              <w:ind w:left="0" w:right="0" w:firstLine="0"/>
              <w:jc w:val="left"/>
            </w:pPr>
          </w:p>
        </w:tc>
        <w:tc>
          <w:tcPr>
            <w:tcW w:w="1411" w:type="dxa"/>
            <w:tcBorders>
              <w:top w:val="dashed" w:sz="4" w:space="0" w:color="000000"/>
              <w:left w:val="double" w:sz="6" w:space="0" w:color="000000"/>
              <w:bottom w:val="single" w:sz="4" w:space="0" w:color="000000"/>
              <w:right w:val="dashed" w:sz="4" w:space="0" w:color="000000"/>
            </w:tcBorders>
          </w:tcPr>
          <w:p w:rsidR="00E8309B" w:rsidRDefault="009D0949">
            <w:pPr>
              <w:spacing w:after="0" w:line="259" w:lineRule="auto"/>
              <w:ind w:left="0" w:right="50" w:firstLine="0"/>
              <w:jc w:val="right"/>
            </w:pPr>
            <w:r>
              <w:rPr>
                <w:sz w:val="20"/>
              </w:rPr>
              <w:t xml:space="preserve">22,5 </w:t>
            </w:r>
          </w:p>
        </w:tc>
        <w:tc>
          <w:tcPr>
            <w:tcW w:w="1410" w:type="dxa"/>
            <w:tcBorders>
              <w:top w:val="dashed" w:sz="4" w:space="0" w:color="000000"/>
              <w:left w:val="dashed" w:sz="4" w:space="0" w:color="000000"/>
              <w:bottom w:val="single" w:sz="4" w:space="0" w:color="000000"/>
              <w:right w:val="dashed" w:sz="4" w:space="0" w:color="000000"/>
            </w:tcBorders>
          </w:tcPr>
          <w:p w:rsidR="00E8309B" w:rsidRDefault="009D0949">
            <w:pPr>
              <w:spacing w:after="0" w:line="259" w:lineRule="auto"/>
              <w:ind w:left="0" w:right="52" w:firstLine="0"/>
              <w:jc w:val="right"/>
            </w:pPr>
            <w:r>
              <w:rPr>
                <w:sz w:val="20"/>
              </w:rPr>
              <w:t xml:space="preserve">21,2 </w:t>
            </w:r>
          </w:p>
        </w:tc>
        <w:tc>
          <w:tcPr>
            <w:tcW w:w="507" w:type="dxa"/>
            <w:tcBorders>
              <w:top w:val="dashed" w:sz="4" w:space="0" w:color="000000"/>
              <w:left w:val="dashed" w:sz="4" w:space="0" w:color="000000"/>
              <w:bottom w:val="single" w:sz="4" w:space="0" w:color="000000"/>
              <w:right w:val="nil"/>
            </w:tcBorders>
          </w:tcPr>
          <w:p w:rsidR="00E8309B" w:rsidRDefault="00E8309B">
            <w:pPr>
              <w:spacing w:after="160" w:line="259" w:lineRule="auto"/>
              <w:ind w:left="0" w:right="0" w:firstLine="0"/>
              <w:jc w:val="left"/>
            </w:pPr>
          </w:p>
        </w:tc>
        <w:tc>
          <w:tcPr>
            <w:tcW w:w="905" w:type="dxa"/>
            <w:tcBorders>
              <w:top w:val="dashed" w:sz="4" w:space="0" w:color="000000"/>
              <w:left w:val="nil"/>
              <w:bottom w:val="single" w:sz="4" w:space="0" w:color="000000"/>
              <w:right w:val="dashed" w:sz="4" w:space="0" w:color="000000"/>
            </w:tcBorders>
          </w:tcPr>
          <w:p w:rsidR="00E8309B" w:rsidRDefault="009D0949">
            <w:pPr>
              <w:spacing w:after="0" w:line="259" w:lineRule="auto"/>
              <w:ind w:left="0" w:right="49" w:firstLine="0"/>
              <w:jc w:val="right"/>
            </w:pPr>
            <w:r>
              <w:rPr>
                <w:sz w:val="20"/>
              </w:rPr>
              <w:t xml:space="preserve">22,8 </w:t>
            </w:r>
          </w:p>
        </w:tc>
        <w:tc>
          <w:tcPr>
            <w:tcW w:w="1411" w:type="dxa"/>
            <w:tcBorders>
              <w:top w:val="dashed" w:sz="4" w:space="0" w:color="000000"/>
              <w:left w:val="dashed" w:sz="4" w:space="0" w:color="000000"/>
              <w:bottom w:val="single" w:sz="4" w:space="0" w:color="000000"/>
              <w:right w:val="dashed" w:sz="4" w:space="0" w:color="000000"/>
            </w:tcBorders>
          </w:tcPr>
          <w:p w:rsidR="00E8309B" w:rsidRDefault="009D0949">
            <w:pPr>
              <w:spacing w:after="0" w:line="259" w:lineRule="auto"/>
              <w:ind w:left="0" w:right="52" w:firstLine="0"/>
              <w:jc w:val="right"/>
            </w:pPr>
            <w:r>
              <w:rPr>
                <w:sz w:val="20"/>
              </w:rPr>
              <w:t xml:space="preserve">23,6 </w:t>
            </w:r>
          </w:p>
        </w:tc>
        <w:tc>
          <w:tcPr>
            <w:tcW w:w="1415" w:type="dxa"/>
            <w:tcBorders>
              <w:top w:val="dashed" w:sz="4" w:space="0" w:color="000000"/>
              <w:left w:val="dashed" w:sz="4" w:space="0" w:color="000000"/>
              <w:bottom w:val="single" w:sz="4" w:space="0" w:color="000000"/>
              <w:right w:val="double" w:sz="6" w:space="0" w:color="000000"/>
            </w:tcBorders>
          </w:tcPr>
          <w:p w:rsidR="00E8309B" w:rsidRDefault="009D0949">
            <w:pPr>
              <w:spacing w:after="0" w:line="259" w:lineRule="auto"/>
              <w:ind w:left="0" w:right="50" w:firstLine="0"/>
              <w:jc w:val="right"/>
            </w:pPr>
            <w:r>
              <w:rPr>
                <w:sz w:val="20"/>
              </w:rPr>
              <w:t xml:space="preserve">24,6 </w:t>
            </w:r>
          </w:p>
        </w:tc>
      </w:tr>
      <w:tr w:rsidR="00E8309B">
        <w:trPr>
          <w:trHeight w:val="310"/>
        </w:trPr>
        <w:tc>
          <w:tcPr>
            <w:tcW w:w="10840" w:type="dxa"/>
            <w:gridSpan w:val="5"/>
            <w:tcBorders>
              <w:top w:val="single" w:sz="4" w:space="0" w:color="000000"/>
              <w:left w:val="double" w:sz="6" w:space="0" w:color="000000"/>
              <w:bottom w:val="single" w:sz="4" w:space="0" w:color="000000"/>
              <w:right w:val="nil"/>
            </w:tcBorders>
            <w:vAlign w:val="bottom"/>
          </w:tcPr>
          <w:p w:rsidR="00E8309B" w:rsidRDefault="009D0949">
            <w:pPr>
              <w:spacing w:after="0" w:line="259" w:lineRule="auto"/>
              <w:ind w:left="6183" w:right="230" w:hanging="2107"/>
              <w:jc w:val="left"/>
            </w:pPr>
            <w:r>
              <w:rPr>
                <w:b/>
                <w:sz w:val="20"/>
              </w:rPr>
              <w:t>Раст бруто додате вредности, процентуалне промене у сталним ценама</w:t>
            </w:r>
            <w:r>
              <w:rPr>
                <w:sz w:val="22"/>
              </w:rPr>
              <w:t xml:space="preserve"> </w:t>
            </w:r>
            <w:r>
              <w:rPr>
                <w:sz w:val="20"/>
              </w:rPr>
              <w:t xml:space="preserve"> </w:t>
            </w:r>
          </w:p>
        </w:tc>
        <w:tc>
          <w:tcPr>
            <w:tcW w:w="905" w:type="dxa"/>
            <w:tcBorders>
              <w:top w:val="single" w:sz="4" w:space="0" w:color="000000"/>
              <w:left w:val="nil"/>
              <w:bottom w:val="single" w:sz="4" w:space="0" w:color="000000"/>
              <w:right w:val="nil"/>
            </w:tcBorders>
          </w:tcPr>
          <w:p w:rsidR="00E8309B" w:rsidRDefault="00E8309B">
            <w:pPr>
              <w:spacing w:after="160" w:line="259" w:lineRule="auto"/>
              <w:ind w:left="0" w:right="0" w:firstLine="0"/>
              <w:jc w:val="left"/>
            </w:pPr>
          </w:p>
        </w:tc>
        <w:tc>
          <w:tcPr>
            <w:tcW w:w="1411" w:type="dxa"/>
            <w:tcBorders>
              <w:top w:val="single" w:sz="4" w:space="0" w:color="000000"/>
              <w:left w:val="nil"/>
              <w:bottom w:val="single" w:sz="4" w:space="0" w:color="000000"/>
              <w:right w:val="nil"/>
            </w:tcBorders>
          </w:tcPr>
          <w:p w:rsidR="00E8309B" w:rsidRDefault="00E8309B">
            <w:pPr>
              <w:spacing w:after="160" w:line="259" w:lineRule="auto"/>
              <w:ind w:left="0" w:right="0" w:firstLine="0"/>
              <w:jc w:val="left"/>
            </w:pPr>
          </w:p>
        </w:tc>
        <w:tc>
          <w:tcPr>
            <w:tcW w:w="1415" w:type="dxa"/>
            <w:tcBorders>
              <w:top w:val="single" w:sz="4" w:space="0" w:color="000000"/>
              <w:left w:val="nil"/>
              <w:bottom w:val="single" w:sz="4" w:space="0" w:color="000000"/>
              <w:right w:val="double" w:sz="6" w:space="0" w:color="000000"/>
            </w:tcBorders>
          </w:tcPr>
          <w:p w:rsidR="00E8309B" w:rsidRDefault="00E8309B">
            <w:pPr>
              <w:spacing w:after="160" w:line="259" w:lineRule="auto"/>
              <w:ind w:left="0" w:right="0" w:firstLine="0"/>
              <w:jc w:val="left"/>
            </w:pPr>
          </w:p>
        </w:tc>
      </w:tr>
      <w:tr w:rsidR="00E8309B">
        <w:trPr>
          <w:trHeight w:val="310"/>
        </w:trPr>
        <w:tc>
          <w:tcPr>
            <w:tcW w:w="6073" w:type="dxa"/>
            <w:tcBorders>
              <w:top w:val="single" w:sz="4" w:space="0" w:color="000000"/>
              <w:left w:val="double" w:sz="6" w:space="0" w:color="000000"/>
              <w:bottom w:val="dashed" w:sz="4" w:space="0" w:color="000000"/>
              <w:right w:val="dashed" w:sz="4" w:space="0" w:color="000000"/>
            </w:tcBorders>
          </w:tcPr>
          <w:p w:rsidR="00E8309B" w:rsidRDefault="009D0949">
            <w:pPr>
              <w:spacing w:after="0" w:line="259" w:lineRule="auto"/>
              <w:ind w:left="110" w:right="0" w:firstLine="0"/>
              <w:jc w:val="left"/>
            </w:pPr>
            <w:r>
              <w:rPr>
                <w:sz w:val="20"/>
              </w:rPr>
              <w:t xml:space="preserve">1. Пољопривреда </w:t>
            </w:r>
          </w:p>
        </w:tc>
        <w:tc>
          <w:tcPr>
            <w:tcW w:w="1440" w:type="dxa"/>
            <w:tcBorders>
              <w:top w:val="single" w:sz="4" w:space="0" w:color="000000"/>
              <w:left w:val="dashed" w:sz="4" w:space="0" w:color="000000"/>
              <w:bottom w:val="dashed" w:sz="4" w:space="0" w:color="000000"/>
              <w:right w:val="double" w:sz="6" w:space="0" w:color="000000"/>
            </w:tcBorders>
            <w:vAlign w:val="bottom"/>
          </w:tcPr>
          <w:p w:rsidR="00E8309B" w:rsidRDefault="009D0949">
            <w:pPr>
              <w:spacing w:after="0" w:line="259" w:lineRule="auto"/>
              <w:ind w:left="110" w:right="0" w:firstLine="0"/>
              <w:jc w:val="left"/>
            </w:pPr>
            <w:r>
              <w:rPr>
                <w:sz w:val="20"/>
              </w:rPr>
              <w:t xml:space="preserve"> </w:t>
            </w:r>
          </w:p>
        </w:tc>
        <w:tc>
          <w:tcPr>
            <w:tcW w:w="1411" w:type="dxa"/>
            <w:tcBorders>
              <w:top w:val="single" w:sz="4" w:space="0" w:color="000000"/>
              <w:left w:val="double" w:sz="6" w:space="0" w:color="000000"/>
              <w:bottom w:val="dashed" w:sz="4" w:space="0" w:color="000000"/>
              <w:right w:val="dashed" w:sz="4" w:space="0" w:color="000000"/>
            </w:tcBorders>
          </w:tcPr>
          <w:p w:rsidR="00E8309B" w:rsidRDefault="009D0949">
            <w:pPr>
              <w:spacing w:after="0" w:line="259" w:lineRule="auto"/>
              <w:ind w:left="0" w:right="53" w:firstLine="0"/>
              <w:jc w:val="right"/>
            </w:pPr>
            <w:r>
              <w:rPr>
                <w:sz w:val="20"/>
              </w:rPr>
              <w:t xml:space="preserve">-1,6 </w:t>
            </w:r>
          </w:p>
        </w:tc>
        <w:tc>
          <w:tcPr>
            <w:tcW w:w="1410" w:type="dxa"/>
            <w:tcBorders>
              <w:top w:val="single" w:sz="4" w:space="0" w:color="000000"/>
              <w:left w:val="dashed" w:sz="4" w:space="0" w:color="000000"/>
              <w:bottom w:val="dashed" w:sz="4" w:space="0" w:color="000000"/>
              <w:right w:val="dashed" w:sz="4" w:space="0" w:color="000000"/>
            </w:tcBorders>
          </w:tcPr>
          <w:p w:rsidR="00E8309B" w:rsidRDefault="009D0949">
            <w:pPr>
              <w:spacing w:after="0" w:line="259" w:lineRule="auto"/>
              <w:ind w:left="0" w:right="51" w:firstLine="0"/>
              <w:jc w:val="right"/>
            </w:pPr>
            <w:r>
              <w:rPr>
                <w:sz w:val="20"/>
              </w:rPr>
              <w:t xml:space="preserve">4,9 </w:t>
            </w:r>
          </w:p>
        </w:tc>
        <w:tc>
          <w:tcPr>
            <w:tcW w:w="507" w:type="dxa"/>
            <w:tcBorders>
              <w:top w:val="single" w:sz="4" w:space="0" w:color="000000"/>
              <w:left w:val="dashed" w:sz="4" w:space="0" w:color="000000"/>
              <w:bottom w:val="dashed" w:sz="4" w:space="0" w:color="000000"/>
              <w:right w:val="nil"/>
            </w:tcBorders>
          </w:tcPr>
          <w:p w:rsidR="00E8309B" w:rsidRDefault="00E8309B">
            <w:pPr>
              <w:spacing w:after="160" w:line="259" w:lineRule="auto"/>
              <w:ind w:left="0" w:right="0" w:firstLine="0"/>
              <w:jc w:val="left"/>
            </w:pPr>
          </w:p>
        </w:tc>
        <w:tc>
          <w:tcPr>
            <w:tcW w:w="905" w:type="dxa"/>
            <w:tcBorders>
              <w:top w:val="single" w:sz="4" w:space="0" w:color="000000"/>
              <w:left w:val="nil"/>
              <w:bottom w:val="dashed" w:sz="4" w:space="0" w:color="000000"/>
              <w:right w:val="dashed" w:sz="4" w:space="0" w:color="000000"/>
            </w:tcBorders>
          </w:tcPr>
          <w:p w:rsidR="00E8309B" w:rsidRDefault="009D0949">
            <w:pPr>
              <w:spacing w:after="0" w:line="259" w:lineRule="auto"/>
              <w:ind w:left="0" w:right="51" w:firstLine="0"/>
              <w:jc w:val="right"/>
            </w:pPr>
            <w:r>
              <w:rPr>
                <w:sz w:val="20"/>
              </w:rPr>
              <w:t xml:space="preserve">-4,0 </w:t>
            </w:r>
          </w:p>
        </w:tc>
        <w:tc>
          <w:tcPr>
            <w:tcW w:w="1411" w:type="dxa"/>
            <w:tcBorders>
              <w:top w:val="single" w:sz="4" w:space="0" w:color="000000"/>
              <w:left w:val="dashed" w:sz="4" w:space="0" w:color="000000"/>
              <w:bottom w:val="dashed" w:sz="4" w:space="0" w:color="000000"/>
              <w:right w:val="dashed" w:sz="4" w:space="0" w:color="000000"/>
            </w:tcBorders>
          </w:tcPr>
          <w:p w:rsidR="00E8309B" w:rsidRDefault="009D0949">
            <w:pPr>
              <w:spacing w:after="0" w:line="259" w:lineRule="auto"/>
              <w:ind w:left="0" w:right="51" w:firstLine="0"/>
              <w:jc w:val="right"/>
            </w:pPr>
            <w:r>
              <w:rPr>
                <w:sz w:val="20"/>
              </w:rPr>
              <w:t xml:space="preserve">0,6 </w:t>
            </w:r>
          </w:p>
        </w:tc>
        <w:tc>
          <w:tcPr>
            <w:tcW w:w="1415" w:type="dxa"/>
            <w:tcBorders>
              <w:top w:val="single" w:sz="4" w:space="0" w:color="000000"/>
              <w:left w:val="dashed" w:sz="4" w:space="0" w:color="000000"/>
              <w:bottom w:val="dashed" w:sz="4" w:space="0" w:color="000000"/>
              <w:right w:val="double" w:sz="6" w:space="0" w:color="000000"/>
            </w:tcBorders>
          </w:tcPr>
          <w:p w:rsidR="00E8309B" w:rsidRDefault="009D0949">
            <w:pPr>
              <w:spacing w:after="0" w:line="259" w:lineRule="auto"/>
              <w:ind w:left="0" w:right="50" w:firstLine="0"/>
              <w:jc w:val="right"/>
            </w:pPr>
            <w:r>
              <w:rPr>
                <w:sz w:val="20"/>
              </w:rPr>
              <w:t xml:space="preserve">0,0 </w:t>
            </w:r>
          </w:p>
        </w:tc>
      </w:tr>
      <w:tr w:rsidR="00E8309B">
        <w:trPr>
          <w:trHeight w:val="360"/>
        </w:trPr>
        <w:tc>
          <w:tcPr>
            <w:tcW w:w="6073" w:type="dxa"/>
            <w:tcBorders>
              <w:top w:val="dashed" w:sz="4" w:space="0" w:color="000000"/>
              <w:left w:val="double" w:sz="6" w:space="0" w:color="000000"/>
              <w:bottom w:val="dashed" w:sz="4" w:space="0" w:color="000000"/>
              <w:right w:val="dashed" w:sz="4" w:space="0" w:color="000000"/>
            </w:tcBorders>
          </w:tcPr>
          <w:p w:rsidR="00E8309B" w:rsidRDefault="009D0949">
            <w:pPr>
              <w:spacing w:after="0" w:line="259" w:lineRule="auto"/>
              <w:ind w:left="110" w:right="0" w:firstLine="0"/>
              <w:jc w:val="left"/>
            </w:pPr>
            <w:r>
              <w:rPr>
                <w:sz w:val="20"/>
              </w:rPr>
              <w:t xml:space="preserve">2. Индустрија (осим грађевинарства) </w:t>
            </w:r>
          </w:p>
        </w:tc>
        <w:tc>
          <w:tcPr>
            <w:tcW w:w="1440" w:type="dxa"/>
            <w:tcBorders>
              <w:top w:val="dashed" w:sz="4" w:space="0" w:color="000000"/>
              <w:left w:val="dashed" w:sz="4" w:space="0" w:color="000000"/>
              <w:bottom w:val="dashed" w:sz="4" w:space="0" w:color="000000"/>
              <w:right w:val="double" w:sz="6" w:space="0" w:color="000000"/>
            </w:tcBorders>
            <w:vAlign w:val="bottom"/>
          </w:tcPr>
          <w:p w:rsidR="00E8309B" w:rsidRDefault="009D0949">
            <w:pPr>
              <w:spacing w:after="0" w:line="259" w:lineRule="auto"/>
              <w:ind w:left="110" w:right="0" w:firstLine="0"/>
              <w:jc w:val="left"/>
            </w:pPr>
            <w:r>
              <w:rPr>
                <w:sz w:val="20"/>
              </w:rPr>
              <w:t xml:space="preserve"> </w:t>
            </w:r>
          </w:p>
        </w:tc>
        <w:tc>
          <w:tcPr>
            <w:tcW w:w="1411" w:type="dxa"/>
            <w:tcBorders>
              <w:top w:val="dashed" w:sz="4" w:space="0" w:color="000000"/>
              <w:left w:val="double" w:sz="6" w:space="0" w:color="000000"/>
              <w:bottom w:val="dashed" w:sz="4" w:space="0" w:color="000000"/>
              <w:right w:val="dashed" w:sz="4" w:space="0" w:color="000000"/>
            </w:tcBorders>
          </w:tcPr>
          <w:p w:rsidR="00E8309B" w:rsidRDefault="009D0949">
            <w:pPr>
              <w:spacing w:after="0" w:line="259" w:lineRule="auto"/>
              <w:ind w:left="0" w:right="50" w:firstLine="0"/>
              <w:jc w:val="right"/>
            </w:pPr>
            <w:r>
              <w:rPr>
                <w:sz w:val="20"/>
              </w:rPr>
              <w:t xml:space="preserve">0,4 </w:t>
            </w:r>
          </w:p>
        </w:tc>
        <w:tc>
          <w:tcPr>
            <w:tcW w:w="1410"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51" w:firstLine="0"/>
              <w:jc w:val="right"/>
            </w:pPr>
            <w:r>
              <w:rPr>
                <w:sz w:val="20"/>
              </w:rPr>
              <w:t xml:space="preserve">0,0 </w:t>
            </w:r>
          </w:p>
        </w:tc>
        <w:tc>
          <w:tcPr>
            <w:tcW w:w="507" w:type="dxa"/>
            <w:tcBorders>
              <w:top w:val="dashed" w:sz="4" w:space="0" w:color="000000"/>
              <w:left w:val="dashed" w:sz="4" w:space="0" w:color="000000"/>
              <w:bottom w:val="dashed" w:sz="4" w:space="0" w:color="000000"/>
              <w:right w:val="nil"/>
            </w:tcBorders>
          </w:tcPr>
          <w:p w:rsidR="00E8309B" w:rsidRDefault="00E8309B">
            <w:pPr>
              <w:spacing w:after="160" w:line="259" w:lineRule="auto"/>
              <w:ind w:left="0" w:right="0" w:firstLine="0"/>
              <w:jc w:val="left"/>
            </w:pPr>
          </w:p>
        </w:tc>
        <w:tc>
          <w:tcPr>
            <w:tcW w:w="905" w:type="dxa"/>
            <w:tcBorders>
              <w:top w:val="dashed" w:sz="4" w:space="0" w:color="000000"/>
              <w:left w:val="nil"/>
              <w:bottom w:val="dashed" w:sz="4" w:space="0" w:color="000000"/>
              <w:right w:val="dashed" w:sz="4" w:space="0" w:color="000000"/>
            </w:tcBorders>
          </w:tcPr>
          <w:p w:rsidR="00E8309B" w:rsidRDefault="009D0949">
            <w:pPr>
              <w:spacing w:after="0" w:line="259" w:lineRule="auto"/>
              <w:ind w:left="0" w:right="49" w:firstLine="0"/>
              <w:jc w:val="right"/>
            </w:pPr>
            <w:r>
              <w:rPr>
                <w:sz w:val="20"/>
              </w:rPr>
              <w:t xml:space="preserve">5,7 </w:t>
            </w:r>
          </w:p>
        </w:tc>
        <w:tc>
          <w:tcPr>
            <w:tcW w:w="1411"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51" w:firstLine="0"/>
              <w:jc w:val="right"/>
            </w:pPr>
            <w:r>
              <w:rPr>
                <w:sz w:val="20"/>
              </w:rPr>
              <w:t xml:space="preserve">4,9 </w:t>
            </w:r>
          </w:p>
        </w:tc>
        <w:tc>
          <w:tcPr>
            <w:tcW w:w="1415" w:type="dxa"/>
            <w:tcBorders>
              <w:top w:val="dashed" w:sz="4" w:space="0" w:color="000000"/>
              <w:left w:val="dashed" w:sz="4" w:space="0" w:color="000000"/>
              <w:bottom w:val="dashed" w:sz="4" w:space="0" w:color="000000"/>
              <w:right w:val="double" w:sz="6" w:space="0" w:color="000000"/>
            </w:tcBorders>
          </w:tcPr>
          <w:p w:rsidR="00E8309B" w:rsidRDefault="009D0949">
            <w:pPr>
              <w:spacing w:after="0" w:line="259" w:lineRule="auto"/>
              <w:ind w:left="0" w:right="50" w:firstLine="0"/>
              <w:jc w:val="right"/>
            </w:pPr>
            <w:r>
              <w:rPr>
                <w:sz w:val="20"/>
              </w:rPr>
              <w:t xml:space="preserve">5,0 </w:t>
            </w:r>
          </w:p>
        </w:tc>
      </w:tr>
      <w:tr w:rsidR="00E8309B">
        <w:trPr>
          <w:trHeight w:val="310"/>
        </w:trPr>
        <w:tc>
          <w:tcPr>
            <w:tcW w:w="6073" w:type="dxa"/>
            <w:tcBorders>
              <w:top w:val="dashed" w:sz="4" w:space="0" w:color="000000"/>
              <w:left w:val="double" w:sz="6" w:space="0" w:color="000000"/>
              <w:bottom w:val="dashed" w:sz="4" w:space="0" w:color="000000"/>
              <w:right w:val="dashed" w:sz="4" w:space="0" w:color="000000"/>
            </w:tcBorders>
          </w:tcPr>
          <w:p w:rsidR="00E8309B" w:rsidRDefault="009D0949">
            <w:pPr>
              <w:spacing w:after="0" w:line="259" w:lineRule="auto"/>
              <w:ind w:left="110" w:right="0" w:firstLine="0"/>
              <w:jc w:val="left"/>
            </w:pPr>
            <w:r>
              <w:rPr>
                <w:sz w:val="20"/>
              </w:rPr>
              <w:t xml:space="preserve">3. Грађевинарство </w:t>
            </w:r>
          </w:p>
        </w:tc>
        <w:tc>
          <w:tcPr>
            <w:tcW w:w="1440" w:type="dxa"/>
            <w:tcBorders>
              <w:top w:val="dashed" w:sz="4" w:space="0" w:color="000000"/>
              <w:left w:val="dashed" w:sz="4" w:space="0" w:color="000000"/>
              <w:bottom w:val="dashed" w:sz="4" w:space="0" w:color="000000"/>
              <w:right w:val="double" w:sz="6" w:space="0" w:color="000000"/>
            </w:tcBorders>
            <w:vAlign w:val="bottom"/>
          </w:tcPr>
          <w:p w:rsidR="00E8309B" w:rsidRDefault="009D0949">
            <w:pPr>
              <w:spacing w:after="0" w:line="259" w:lineRule="auto"/>
              <w:ind w:left="110" w:right="0" w:firstLine="0"/>
              <w:jc w:val="left"/>
            </w:pPr>
            <w:r>
              <w:rPr>
                <w:sz w:val="20"/>
              </w:rPr>
              <w:t xml:space="preserve"> </w:t>
            </w:r>
          </w:p>
        </w:tc>
        <w:tc>
          <w:tcPr>
            <w:tcW w:w="1411" w:type="dxa"/>
            <w:tcBorders>
              <w:top w:val="dashed" w:sz="4" w:space="0" w:color="000000"/>
              <w:left w:val="double" w:sz="6" w:space="0" w:color="000000"/>
              <w:bottom w:val="dashed" w:sz="4" w:space="0" w:color="000000"/>
              <w:right w:val="dashed" w:sz="4" w:space="0" w:color="000000"/>
            </w:tcBorders>
          </w:tcPr>
          <w:p w:rsidR="00E8309B" w:rsidRDefault="009D0949">
            <w:pPr>
              <w:spacing w:after="0" w:line="259" w:lineRule="auto"/>
              <w:ind w:left="0" w:right="50" w:firstLine="0"/>
              <w:jc w:val="right"/>
            </w:pPr>
            <w:r>
              <w:rPr>
                <w:sz w:val="20"/>
              </w:rPr>
              <w:t xml:space="preserve">33,7 </w:t>
            </w:r>
          </w:p>
        </w:tc>
        <w:tc>
          <w:tcPr>
            <w:tcW w:w="1410"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54" w:firstLine="0"/>
              <w:jc w:val="right"/>
            </w:pPr>
            <w:r>
              <w:rPr>
                <w:sz w:val="20"/>
              </w:rPr>
              <w:t xml:space="preserve">-6,0 </w:t>
            </w:r>
          </w:p>
        </w:tc>
        <w:tc>
          <w:tcPr>
            <w:tcW w:w="507" w:type="dxa"/>
            <w:tcBorders>
              <w:top w:val="dashed" w:sz="4" w:space="0" w:color="000000"/>
              <w:left w:val="dashed" w:sz="4" w:space="0" w:color="000000"/>
              <w:bottom w:val="dashed" w:sz="4" w:space="0" w:color="000000"/>
              <w:right w:val="nil"/>
            </w:tcBorders>
          </w:tcPr>
          <w:p w:rsidR="00E8309B" w:rsidRDefault="00E8309B">
            <w:pPr>
              <w:spacing w:after="160" w:line="259" w:lineRule="auto"/>
              <w:ind w:left="0" w:right="0" w:firstLine="0"/>
              <w:jc w:val="left"/>
            </w:pPr>
          </w:p>
        </w:tc>
        <w:tc>
          <w:tcPr>
            <w:tcW w:w="905" w:type="dxa"/>
            <w:tcBorders>
              <w:top w:val="dashed" w:sz="4" w:space="0" w:color="000000"/>
              <w:left w:val="nil"/>
              <w:bottom w:val="dashed" w:sz="4" w:space="0" w:color="000000"/>
              <w:right w:val="dashed" w:sz="4" w:space="0" w:color="000000"/>
            </w:tcBorders>
          </w:tcPr>
          <w:p w:rsidR="00E8309B" w:rsidRDefault="009D0949">
            <w:pPr>
              <w:spacing w:after="0" w:line="259" w:lineRule="auto"/>
              <w:ind w:left="0" w:right="49" w:firstLine="0"/>
              <w:jc w:val="right"/>
            </w:pPr>
            <w:r>
              <w:rPr>
                <w:sz w:val="20"/>
              </w:rPr>
              <w:t xml:space="preserve">14,6 </w:t>
            </w:r>
          </w:p>
        </w:tc>
        <w:tc>
          <w:tcPr>
            <w:tcW w:w="1411"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51" w:firstLine="0"/>
              <w:jc w:val="right"/>
            </w:pPr>
            <w:r>
              <w:rPr>
                <w:sz w:val="20"/>
              </w:rPr>
              <w:t xml:space="preserve">6,2 </w:t>
            </w:r>
          </w:p>
        </w:tc>
        <w:tc>
          <w:tcPr>
            <w:tcW w:w="1415" w:type="dxa"/>
            <w:tcBorders>
              <w:top w:val="dashed" w:sz="4" w:space="0" w:color="000000"/>
              <w:left w:val="dashed" w:sz="4" w:space="0" w:color="000000"/>
              <w:bottom w:val="dashed" w:sz="4" w:space="0" w:color="000000"/>
              <w:right w:val="double" w:sz="6" w:space="0" w:color="000000"/>
            </w:tcBorders>
          </w:tcPr>
          <w:p w:rsidR="00E8309B" w:rsidRDefault="009D0949">
            <w:pPr>
              <w:spacing w:after="0" w:line="259" w:lineRule="auto"/>
              <w:ind w:left="0" w:right="50" w:firstLine="0"/>
              <w:jc w:val="right"/>
            </w:pPr>
            <w:r>
              <w:rPr>
                <w:sz w:val="20"/>
              </w:rPr>
              <w:t xml:space="preserve">7,9 </w:t>
            </w:r>
          </w:p>
        </w:tc>
      </w:tr>
      <w:tr w:rsidR="00E8309B">
        <w:trPr>
          <w:trHeight w:val="329"/>
        </w:trPr>
        <w:tc>
          <w:tcPr>
            <w:tcW w:w="6073" w:type="dxa"/>
            <w:tcBorders>
              <w:top w:val="dashed" w:sz="4" w:space="0" w:color="000000"/>
              <w:left w:val="double" w:sz="6" w:space="0" w:color="000000"/>
              <w:bottom w:val="double" w:sz="6" w:space="0" w:color="000000"/>
              <w:right w:val="dashed" w:sz="4" w:space="0" w:color="000000"/>
            </w:tcBorders>
          </w:tcPr>
          <w:p w:rsidR="00E8309B" w:rsidRDefault="009D0949">
            <w:pPr>
              <w:spacing w:after="0" w:line="259" w:lineRule="auto"/>
              <w:ind w:left="110" w:right="0" w:firstLine="0"/>
              <w:jc w:val="left"/>
            </w:pPr>
            <w:r>
              <w:rPr>
                <w:sz w:val="20"/>
              </w:rPr>
              <w:t xml:space="preserve">4. Услуге </w:t>
            </w:r>
          </w:p>
        </w:tc>
        <w:tc>
          <w:tcPr>
            <w:tcW w:w="1440" w:type="dxa"/>
            <w:tcBorders>
              <w:top w:val="dashed" w:sz="4" w:space="0" w:color="000000"/>
              <w:left w:val="dashed" w:sz="4" w:space="0" w:color="000000"/>
              <w:bottom w:val="double" w:sz="6" w:space="0" w:color="000000"/>
              <w:right w:val="double" w:sz="6" w:space="0" w:color="000000"/>
            </w:tcBorders>
          </w:tcPr>
          <w:p w:rsidR="00E8309B" w:rsidRDefault="00E8309B">
            <w:pPr>
              <w:spacing w:after="160" w:line="259" w:lineRule="auto"/>
              <w:ind w:left="0" w:right="0" w:firstLine="0"/>
              <w:jc w:val="left"/>
            </w:pPr>
          </w:p>
        </w:tc>
        <w:tc>
          <w:tcPr>
            <w:tcW w:w="1411" w:type="dxa"/>
            <w:tcBorders>
              <w:top w:val="dashed" w:sz="4" w:space="0" w:color="000000"/>
              <w:left w:val="double" w:sz="6" w:space="0" w:color="000000"/>
              <w:bottom w:val="double" w:sz="6" w:space="0" w:color="000000"/>
              <w:right w:val="dashed" w:sz="4" w:space="0" w:color="000000"/>
            </w:tcBorders>
          </w:tcPr>
          <w:p w:rsidR="00E8309B" w:rsidRDefault="009D0949">
            <w:pPr>
              <w:spacing w:after="0" w:line="259" w:lineRule="auto"/>
              <w:ind w:left="0" w:right="50" w:firstLine="0"/>
              <w:jc w:val="right"/>
            </w:pPr>
            <w:r>
              <w:rPr>
                <w:sz w:val="20"/>
              </w:rPr>
              <w:t xml:space="preserve">4,2 </w:t>
            </w:r>
          </w:p>
        </w:tc>
        <w:tc>
          <w:tcPr>
            <w:tcW w:w="1410" w:type="dxa"/>
            <w:tcBorders>
              <w:top w:val="dashed" w:sz="4" w:space="0" w:color="000000"/>
              <w:left w:val="dashed" w:sz="4" w:space="0" w:color="000000"/>
              <w:bottom w:val="double" w:sz="6" w:space="0" w:color="000000"/>
              <w:right w:val="dashed" w:sz="4" w:space="0" w:color="000000"/>
            </w:tcBorders>
          </w:tcPr>
          <w:p w:rsidR="00E8309B" w:rsidRDefault="009D0949">
            <w:pPr>
              <w:spacing w:after="0" w:line="259" w:lineRule="auto"/>
              <w:ind w:left="0" w:right="54" w:firstLine="0"/>
              <w:jc w:val="right"/>
            </w:pPr>
            <w:r>
              <w:rPr>
                <w:sz w:val="20"/>
              </w:rPr>
              <w:t>-</w:t>
            </w:r>
            <w:r>
              <w:rPr>
                <w:sz w:val="20"/>
              </w:rPr>
              <w:t xml:space="preserve">1,5 </w:t>
            </w:r>
          </w:p>
        </w:tc>
        <w:tc>
          <w:tcPr>
            <w:tcW w:w="507" w:type="dxa"/>
            <w:tcBorders>
              <w:top w:val="dashed" w:sz="4" w:space="0" w:color="000000"/>
              <w:left w:val="dashed" w:sz="4" w:space="0" w:color="000000"/>
              <w:bottom w:val="double" w:sz="6" w:space="0" w:color="000000"/>
              <w:right w:val="nil"/>
            </w:tcBorders>
          </w:tcPr>
          <w:p w:rsidR="00E8309B" w:rsidRDefault="00E8309B">
            <w:pPr>
              <w:spacing w:after="160" w:line="259" w:lineRule="auto"/>
              <w:ind w:left="0" w:right="0" w:firstLine="0"/>
              <w:jc w:val="left"/>
            </w:pPr>
          </w:p>
        </w:tc>
        <w:tc>
          <w:tcPr>
            <w:tcW w:w="905" w:type="dxa"/>
            <w:tcBorders>
              <w:top w:val="dashed" w:sz="4" w:space="0" w:color="000000"/>
              <w:left w:val="nil"/>
              <w:bottom w:val="double" w:sz="6" w:space="0" w:color="000000"/>
              <w:right w:val="dashed" w:sz="4" w:space="0" w:color="000000"/>
            </w:tcBorders>
          </w:tcPr>
          <w:p w:rsidR="00E8309B" w:rsidRDefault="009D0949">
            <w:pPr>
              <w:spacing w:after="0" w:line="259" w:lineRule="auto"/>
              <w:ind w:left="0" w:right="49" w:firstLine="0"/>
              <w:jc w:val="right"/>
            </w:pPr>
            <w:r>
              <w:rPr>
                <w:sz w:val="20"/>
              </w:rPr>
              <w:t xml:space="preserve">6,9 </w:t>
            </w:r>
          </w:p>
        </w:tc>
        <w:tc>
          <w:tcPr>
            <w:tcW w:w="1411" w:type="dxa"/>
            <w:tcBorders>
              <w:top w:val="dashed" w:sz="4" w:space="0" w:color="000000"/>
              <w:left w:val="dashed" w:sz="4" w:space="0" w:color="000000"/>
              <w:bottom w:val="double" w:sz="6" w:space="0" w:color="000000"/>
              <w:right w:val="dashed" w:sz="4" w:space="0" w:color="000000"/>
            </w:tcBorders>
          </w:tcPr>
          <w:p w:rsidR="00E8309B" w:rsidRDefault="009D0949">
            <w:pPr>
              <w:spacing w:after="0" w:line="259" w:lineRule="auto"/>
              <w:ind w:left="0" w:right="51" w:firstLine="0"/>
              <w:jc w:val="right"/>
            </w:pPr>
            <w:r>
              <w:rPr>
                <w:sz w:val="20"/>
              </w:rPr>
              <w:t xml:space="preserve">4,0 </w:t>
            </w:r>
          </w:p>
        </w:tc>
        <w:tc>
          <w:tcPr>
            <w:tcW w:w="1415" w:type="dxa"/>
            <w:tcBorders>
              <w:top w:val="dashed" w:sz="4" w:space="0" w:color="000000"/>
              <w:left w:val="dashed" w:sz="4" w:space="0" w:color="000000"/>
              <w:bottom w:val="double" w:sz="6" w:space="0" w:color="000000"/>
              <w:right w:val="double" w:sz="6" w:space="0" w:color="000000"/>
            </w:tcBorders>
          </w:tcPr>
          <w:p w:rsidR="00E8309B" w:rsidRDefault="009D0949">
            <w:pPr>
              <w:spacing w:after="0" w:line="259" w:lineRule="auto"/>
              <w:ind w:left="0" w:right="50" w:firstLine="0"/>
              <w:jc w:val="right"/>
            </w:pPr>
            <w:r>
              <w:rPr>
                <w:sz w:val="20"/>
              </w:rPr>
              <w:t xml:space="preserve">4,1 </w:t>
            </w:r>
          </w:p>
        </w:tc>
      </w:tr>
    </w:tbl>
    <w:p w:rsidR="00E8309B" w:rsidRDefault="009D0949">
      <w:pPr>
        <w:spacing w:after="0" w:line="259" w:lineRule="auto"/>
        <w:ind w:left="0" w:right="0" w:firstLine="0"/>
        <w:jc w:val="left"/>
      </w:pPr>
      <w:r>
        <w:rPr>
          <w:sz w:val="22"/>
        </w:rPr>
        <w:t xml:space="preserve"> </w:t>
      </w:r>
      <w:r>
        <w:rPr>
          <w:sz w:val="22"/>
        </w:rPr>
        <w:tab/>
        <w:t xml:space="preserve"> </w:t>
      </w:r>
    </w:p>
    <w:p w:rsidR="00E8309B" w:rsidRDefault="009D0949">
      <w:pPr>
        <w:tabs>
          <w:tab w:val="center" w:pos="6577"/>
          <w:tab w:val="center" w:pos="7559"/>
          <w:tab w:val="center" w:pos="8939"/>
          <w:tab w:val="center" w:pos="10125"/>
          <w:tab w:val="center" w:pos="11313"/>
          <w:tab w:val="right" w:pos="14522"/>
        </w:tabs>
        <w:spacing w:after="0" w:line="259" w:lineRule="auto"/>
        <w:ind w:left="0" w:right="0" w:firstLine="0"/>
        <w:jc w:val="left"/>
      </w:pPr>
      <w:r>
        <w:rPr>
          <w:b/>
          <w:sz w:val="20"/>
        </w:rPr>
        <w:t xml:space="preserve">Табела 1f: Кретања у екстерном сектору </w:t>
      </w:r>
      <w:r>
        <w:rPr>
          <w:b/>
          <w:sz w:val="20"/>
        </w:rPr>
        <w:tab/>
        <w:t xml:space="preserve">  </w:t>
      </w:r>
      <w:r>
        <w:rPr>
          <w:b/>
          <w:sz w:val="20"/>
        </w:rPr>
        <w:tab/>
      </w:r>
      <w:r>
        <w:rPr>
          <w:sz w:val="20"/>
        </w:rPr>
        <w:t xml:space="preserve">  </w:t>
      </w:r>
      <w:r>
        <w:rPr>
          <w:sz w:val="20"/>
        </w:rPr>
        <w:tab/>
        <w:t xml:space="preserve">  </w:t>
      </w:r>
      <w:r>
        <w:rPr>
          <w:sz w:val="20"/>
        </w:rPr>
        <w:tab/>
        <w:t xml:space="preserve">  </w:t>
      </w:r>
      <w:r>
        <w:rPr>
          <w:sz w:val="20"/>
        </w:rPr>
        <w:tab/>
        <w:t xml:space="preserve">  </w:t>
      </w:r>
      <w:r>
        <w:rPr>
          <w:sz w:val="20"/>
        </w:rPr>
        <w:tab/>
      </w:r>
      <w:r>
        <w:rPr>
          <w:b/>
          <w:sz w:val="20"/>
        </w:rPr>
        <w:t>Репу</w:t>
      </w:r>
      <w:r>
        <w:rPr>
          <w:b/>
          <w:sz w:val="20"/>
          <w:u w:val="single" w:color="000000"/>
        </w:rPr>
        <w:t xml:space="preserve">блика Србија </w:t>
      </w:r>
    </w:p>
    <w:tbl>
      <w:tblPr>
        <w:tblStyle w:val="TableGrid"/>
        <w:tblW w:w="14573" w:type="dxa"/>
        <w:tblInd w:w="0" w:type="dxa"/>
        <w:tblCellMar>
          <w:top w:w="7" w:type="dxa"/>
          <w:left w:w="108" w:type="dxa"/>
          <w:bottom w:w="0" w:type="dxa"/>
          <w:right w:w="115" w:type="dxa"/>
        </w:tblCellMar>
        <w:tblLook w:val="04A0" w:firstRow="1" w:lastRow="0" w:firstColumn="1" w:lastColumn="0" w:noHBand="0" w:noVBand="1"/>
      </w:tblPr>
      <w:tblGrid>
        <w:gridCol w:w="5754"/>
        <w:gridCol w:w="1695"/>
        <w:gridCol w:w="1426"/>
        <w:gridCol w:w="1426"/>
        <w:gridCol w:w="1426"/>
        <w:gridCol w:w="1423"/>
        <w:gridCol w:w="1424"/>
      </w:tblGrid>
      <w:tr w:rsidR="00E8309B">
        <w:trPr>
          <w:trHeight w:val="542"/>
        </w:trPr>
        <w:tc>
          <w:tcPr>
            <w:tcW w:w="5754" w:type="dxa"/>
            <w:tcBorders>
              <w:top w:val="double" w:sz="6" w:space="0" w:color="000000"/>
              <w:left w:val="double" w:sz="6" w:space="0" w:color="000000"/>
              <w:bottom w:val="double" w:sz="6" w:space="0" w:color="000000"/>
              <w:right w:val="single" w:sz="8" w:space="0" w:color="000000"/>
            </w:tcBorders>
            <w:vAlign w:val="center"/>
          </w:tcPr>
          <w:p w:rsidR="00E8309B" w:rsidRDefault="009D0949">
            <w:pPr>
              <w:spacing w:after="0" w:line="259" w:lineRule="auto"/>
              <w:ind w:left="2" w:right="0" w:firstLine="0"/>
              <w:jc w:val="left"/>
            </w:pPr>
            <w:r>
              <w:rPr>
                <w:sz w:val="20"/>
              </w:rPr>
              <w:t xml:space="preserve">У милијардама евра, уколико није другачије наведено </w:t>
            </w:r>
          </w:p>
        </w:tc>
        <w:tc>
          <w:tcPr>
            <w:tcW w:w="1695" w:type="dxa"/>
            <w:tcBorders>
              <w:top w:val="double" w:sz="6" w:space="0" w:color="000000"/>
              <w:left w:val="single" w:sz="8" w:space="0" w:color="000000"/>
              <w:bottom w:val="double" w:sz="6" w:space="0" w:color="000000"/>
              <w:right w:val="single" w:sz="8" w:space="0" w:color="000000"/>
            </w:tcBorders>
            <w:vAlign w:val="bottom"/>
          </w:tcPr>
          <w:p w:rsidR="00E8309B" w:rsidRDefault="009D0949">
            <w:pPr>
              <w:spacing w:after="0" w:line="259" w:lineRule="auto"/>
              <w:ind w:left="0" w:right="0" w:firstLine="0"/>
              <w:jc w:val="left"/>
            </w:pPr>
            <w:r>
              <w:rPr>
                <w:sz w:val="20"/>
              </w:rPr>
              <w:t xml:space="preserve"> </w:t>
            </w:r>
          </w:p>
        </w:tc>
        <w:tc>
          <w:tcPr>
            <w:tcW w:w="1426" w:type="dxa"/>
            <w:tcBorders>
              <w:top w:val="double" w:sz="6" w:space="0" w:color="000000"/>
              <w:left w:val="single" w:sz="8" w:space="0" w:color="000000"/>
              <w:bottom w:val="double" w:sz="6" w:space="0" w:color="000000"/>
              <w:right w:val="dashed" w:sz="4" w:space="0" w:color="000000"/>
            </w:tcBorders>
          </w:tcPr>
          <w:p w:rsidR="00E8309B" w:rsidRDefault="009D0949">
            <w:pPr>
              <w:spacing w:after="0" w:line="259" w:lineRule="auto"/>
              <w:ind w:left="9" w:right="0" w:firstLine="0"/>
              <w:jc w:val="center"/>
            </w:pPr>
            <w:r>
              <w:rPr>
                <w:sz w:val="20"/>
              </w:rPr>
              <w:t xml:space="preserve">год. </w:t>
            </w:r>
          </w:p>
          <w:p w:rsidR="00E8309B" w:rsidRDefault="009D0949">
            <w:pPr>
              <w:spacing w:after="0" w:line="259" w:lineRule="auto"/>
              <w:ind w:left="11" w:right="0" w:firstLine="0"/>
              <w:jc w:val="center"/>
            </w:pPr>
            <w:r>
              <w:rPr>
                <w:sz w:val="20"/>
              </w:rPr>
              <w:t xml:space="preserve">2019 </w:t>
            </w:r>
          </w:p>
        </w:tc>
        <w:tc>
          <w:tcPr>
            <w:tcW w:w="1426" w:type="dxa"/>
            <w:tcBorders>
              <w:top w:val="double" w:sz="6" w:space="0" w:color="000000"/>
              <w:left w:val="dashed" w:sz="4" w:space="0" w:color="000000"/>
              <w:bottom w:val="double" w:sz="6" w:space="0" w:color="000000"/>
              <w:right w:val="dashed" w:sz="4" w:space="0" w:color="000000"/>
            </w:tcBorders>
          </w:tcPr>
          <w:p w:rsidR="00E8309B" w:rsidRDefault="009D0949">
            <w:pPr>
              <w:spacing w:after="0" w:line="259" w:lineRule="auto"/>
              <w:ind w:left="9" w:right="0" w:firstLine="0"/>
              <w:jc w:val="center"/>
            </w:pPr>
            <w:r>
              <w:rPr>
                <w:sz w:val="20"/>
              </w:rPr>
              <w:t xml:space="preserve">год. </w:t>
            </w:r>
          </w:p>
          <w:p w:rsidR="00E8309B" w:rsidRDefault="009D0949">
            <w:pPr>
              <w:spacing w:after="0" w:line="259" w:lineRule="auto"/>
              <w:ind w:left="11" w:right="0" w:firstLine="0"/>
              <w:jc w:val="center"/>
            </w:pPr>
            <w:r>
              <w:rPr>
                <w:sz w:val="20"/>
              </w:rPr>
              <w:t xml:space="preserve">2020 </w:t>
            </w:r>
          </w:p>
        </w:tc>
        <w:tc>
          <w:tcPr>
            <w:tcW w:w="1426" w:type="dxa"/>
            <w:tcBorders>
              <w:top w:val="double" w:sz="6" w:space="0" w:color="000000"/>
              <w:left w:val="dashed" w:sz="4" w:space="0" w:color="000000"/>
              <w:bottom w:val="double" w:sz="6" w:space="0" w:color="000000"/>
              <w:right w:val="dashed" w:sz="4" w:space="0" w:color="000000"/>
            </w:tcBorders>
          </w:tcPr>
          <w:p w:rsidR="00E8309B" w:rsidRDefault="009D0949">
            <w:pPr>
              <w:spacing w:after="0" w:line="259" w:lineRule="auto"/>
              <w:ind w:left="5" w:right="0" w:firstLine="0"/>
              <w:jc w:val="center"/>
            </w:pPr>
            <w:r>
              <w:rPr>
                <w:sz w:val="20"/>
              </w:rPr>
              <w:t xml:space="preserve">год. </w:t>
            </w:r>
          </w:p>
          <w:p w:rsidR="00E8309B" w:rsidRDefault="009D0949">
            <w:pPr>
              <w:spacing w:after="0" w:line="259" w:lineRule="auto"/>
              <w:ind w:left="7" w:right="0" w:firstLine="0"/>
              <w:jc w:val="center"/>
            </w:pPr>
            <w:r>
              <w:rPr>
                <w:sz w:val="20"/>
              </w:rPr>
              <w:t xml:space="preserve">2021 </w:t>
            </w:r>
          </w:p>
        </w:tc>
        <w:tc>
          <w:tcPr>
            <w:tcW w:w="1423" w:type="dxa"/>
            <w:tcBorders>
              <w:top w:val="double" w:sz="6" w:space="0" w:color="000000"/>
              <w:left w:val="dashed" w:sz="4" w:space="0" w:color="000000"/>
              <w:bottom w:val="double" w:sz="6" w:space="0" w:color="000000"/>
              <w:right w:val="dashed" w:sz="4" w:space="0" w:color="000000"/>
            </w:tcBorders>
          </w:tcPr>
          <w:p w:rsidR="00E8309B" w:rsidRDefault="009D0949">
            <w:pPr>
              <w:spacing w:after="0" w:line="259" w:lineRule="auto"/>
              <w:ind w:left="7" w:right="0" w:firstLine="0"/>
              <w:jc w:val="center"/>
            </w:pPr>
            <w:r>
              <w:rPr>
                <w:sz w:val="20"/>
              </w:rPr>
              <w:t xml:space="preserve">год. </w:t>
            </w:r>
          </w:p>
          <w:p w:rsidR="00E8309B" w:rsidRDefault="009D0949">
            <w:pPr>
              <w:spacing w:after="0" w:line="259" w:lineRule="auto"/>
              <w:ind w:left="8" w:right="0" w:firstLine="0"/>
              <w:jc w:val="center"/>
            </w:pPr>
            <w:r>
              <w:rPr>
                <w:sz w:val="20"/>
              </w:rPr>
              <w:t xml:space="preserve">2022 </w:t>
            </w:r>
          </w:p>
        </w:tc>
        <w:tc>
          <w:tcPr>
            <w:tcW w:w="1424" w:type="dxa"/>
            <w:tcBorders>
              <w:top w:val="single" w:sz="6" w:space="0" w:color="000000"/>
              <w:left w:val="dashed" w:sz="4" w:space="0" w:color="000000"/>
              <w:bottom w:val="double" w:sz="6" w:space="0" w:color="000000"/>
              <w:right w:val="double" w:sz="6" w:space="0" w:color="000000"/>
            </w:tcBorders>
          </w:tcPr>
          <w:p w:rsidR="00E8309B" w:rsidRDefault="009D0949">
            <w:pPr>
              <w:spacing w:after="0" w:line="259" w:lineRule="auto"/>
              <w:ind w:left="12" w:right="0" w:firstLine="0"/>
              <w:jc w:val="center"/>
            </w:pPr>
            <w:r>
              <w:rPr>
                <w:sz w:val="20"/>
              </w:rPr>
              <w:t xml:space="preserve">год. </w:t>
            </w:r>
          </w:p>
          <w:p w:rsidR="00E8309B" w:rsidRDefault="009D0949">
            <w:pPr>
              <w:spacing w:after="0" w:line="259" w:lineRule="auto"/>
              <w:ind w:left="13" w:right="0" w:firstLine="0"/>
              <w:jc w:val="center"/>
            </w:pPr>
            <w:r>
              <w:rPr>
                <w:sz w:val="20"/>
              </w:rPr>
              <w:t xml:space="preserve">2023 </w:t>
            </w:r>
          </w:p>
        </w:tc>
      </w:tr>
      <w:tr w:rsidR="00E8309B">
        <w:trPr>
          <w:trHeight w:val="324"/>
        </w:trPr>
        <w:tc>
          <w:tcPr>
            <w:tcW w:w="5754" w:type="dxa"/>
            <w:tcBorders>
              <w:top w:val="double" w:sz="6" w:space="0" w:color="000000"/>
              <w:left w:val="double" w:sz="6" w:space="0" w:color="000000"/>
              <w:bottom w:val="dashed" w:sz="4" w:space="0" w:color="000000"/>
              <w:right w:val="single" w:sz="8" w:space="0" w:color="000000"/>
            </w:tcBorders>
          </w:tcPr>
          <w:p w:rsidR="00E8309B" w:rsidRDefault="009D0949">
            <w:pPr>
              <w:spacing w:after="0" w:line="259" w:lineRule="auto"/>
              <w:ind w:left="2" w:right="0" w:firstLine="0"/>
              <w:jc w:val="left"/>
            </w:pPr>
            <w:r>
              <w:rPr>
                <w:sz w:val="20"/>
              </w:rPr>
              <w:t xml:space="preserve">1. Биланс текућих трансакција (% БДП-а) </w:t>
            </w:r>
          </w:p>
        </w:tc>
        <w:tc>
          <w:tcPr>
            <w:tcW w:w="1695" w:type="dxa"/>
            <w:tcBorders>
              <w:top w:val="double" w:sz="6" w:space="0" w:color="000000"/>
              <w:left w:val="single" w:sz="8" w:space="0" w:color="000000"/>
              <w:bottom w:val="dashed" w:sz="4" w:space="0" w:color="000000"/>
              <w:right w:val="single" w:sz="8" w:space="0" w:color="000000"/>
            </w:tcBorders>
          </w:tcPr>
          <w:p w:rsidR="00E8309B" w:rsidRDefault="009D0949">
            <w:pPr>
              <w:spacing w:after="0" w:line="259" w:lineRule="auto"/>
              <w:ind w:left="9" w:right="0" w:firstLine="0"/>
              <w:jc w:val="center"/>
            </w:pPr>
            <w:r>
              <w:rPr>
                <w:sz w:val="20"/>
              </w:rPr>
              <w:t xml:space="preserve">% БДП </w:t>
            </w:r>
          </w:p>
        </w:tc>
        <w:tc>
          <w:tcPr>
            <w:tcW w:w="1426" w:type="dxa"/>
            <w:tcBorders>
              <w:top w:val="double" w:sz="6" w:space="0" w:color="000000"/>
              <w:left w:val="single" w:sz="8" w:space="0" w:color="000000"/>
              <w:bottom w:val="dashed" w:sz="4" w:space="0" w:color="000000"/>
              <w:right w:val="dashed" w:sz="4" w:space="0" w:color="000000"/>
            </w:tcBorders>
          </w:tcPr>
          <w:p w:rsidR="00E8309B" w:rsidRDefault="009D0949">
            <w:pPr>
              <w:spacing w:after="0" w:line="259" w:lineRule="auto"/>
              <w:ind w:right="0" w:firstLine="0"/>
              <w:jc w:val="center"/>
            </w:pPr>
            <w:r>
              <w:rPr>
                <w:sz w:val="20"/>
              </w:rPr>
              <w:t xml:space="preserve">-6,9 </w:t>
            </w:r>
          </w:p>
        </w:tc>
        <w:tc>
          <w:tcPr>
            <w:tcW w:w="1426" w:type="dxa"/>
            <w:tcBorders>
              <w:top w:val="double" w:sz="6" w:space="0" w:color="000000"/>
              <w:left w:val="dashed" w:sz="4" w:space="0" w:color="000000"/>
              <w:bottom w:val="dashed" w:sz="4" w:space="0" w:color="000000"/>
              <w:right w:val="dashed" w:sz="4" w:space="0" w:color="000000"/>
            </w:tcBorders>
          </w:tcPr>
          <w:p w:rsidR="00E8309B" w:rsidRDefault="009D0949">
            <w:pPr>
              <w:spacing w:after="0" w:line="259" w:lineRule="auto"/>
              <w:ind w:right="0" w:firstLine="0"/>
              <w:jc w:val="center"/>
            </w:pPr>
            <w:r>
              <w:rPr>
                <w:sz w:val="20"/>
              </w:rPr>
              <w:t xml:space="preserve">-5,0 </w:t>
            </w:r>
          </w:p>
        </w:tc>
        <w:tc>
          <w:tcPr>
            <w:tcW w:w="1426" w:type="dxa"/>
            <w:tcBorders>
              <w:top w:val="double" w:sz="6" w:space="0" w:color="000000"/>
              <w:left w:val="dashed" w:sz="4" w:space="0" w:color="000000"/>
              <w:bottom w:val="dashed" w:sz="4" w:space="0" w:color="000000"/>
              <w:right w:val="dashed" w:sz="4" w:space="0" w:color="000000"/>
            </w:tcBorders>
          </w:tcPr>
          <w:p w:rsidR="00E8309B" w:rsidRDefault="009D0949">
            <w:pPr>
              <w:spacing w:after="0" w:line="259" w:lineRule="auto"/>
              <w:ind w:left="6" w:right="0" w:firstLine="0"/>
              <w:jc w:val="center"/>
            </w:pPr>
            <w:r>
              <w:rPr>
                <w:sz w:val="20"/>
              </w:rPr>
              <w:t xml:space="preserve">-5,5 </w:t>
            </w:r>
          </w:p>
        </w:tc>
        <w:tc>
          <w:tcPr>
            <w:tcW w:w="1423" w:type="dxa"/>
            <w:tcBorders>
              <w:top w:val="double" w:sz="6" w:space="0" w:color="000000"/>
              <w:left w:val="dashed" w:sz="4" w:space="0" w:color="000000"/>
              <w:bottom w:val="dashed" w:sz="4" w:space="0" w:color="000000"/>
              <w:right w:val="dashed" w:sz="4" w:space="0" w:color="000000"/>
            </w:tcBorders>
          </w:tcPr>
          <w:p w:rsidR="00E8309B" w:rsidRDefault="009D0949">
            <w:pPr>
              <w:spacing w:after="0" w:line="259" w:lineRule="auto"/>
              <w:ind w:left="8" w:right="0" w:firstLine="0"/>
              <w:jc w:val="center"/>
            </w:pPr>
            <w:r>
              <w:rPr>
                <w:sz w:val="20"/>
              </w:rPr>
              <w:t xml:space="preserve">-5,1 </w:t>
            </w:r>
          </w:p>
        </w:tc>
        <w:tc>
          <w:tcPr>
            <w:tcW w:w="1424" w:type="dxa"/>
            <w:tcBorders>
              <w:top w:val="double" w:sz="6" w:space="0" w:color="000000"/>
              <w:left w:val="dashed" w:sz="4" w:space="0" w:color="000000"/>
              <w:bottom w:val="dashed" w:sz="4" w:space="0" w:color="000000"/>
              <w:right w:val="double" w:sz="6" w:space="0" w:color="000000"/>
            </w:tcBorders>
          </w:tcPr>
          <w:p w:rsidR="00E8309B" w:rsidRDefault="009D0949">
            <w:pPr>
              <w:spacing w:after="0" w:line="259" w:lineRule="auto"/>
              <w:ind w:left="8" w:right="0" w:firstLine="0"/>
              <w:jc w:val="center"/>
            </w:pPr>
            <w:r>
              <w:rPr>
                <w:sz w:val="20"/>
              </w:rPr>
              <w:t xml:space="preserve">-4,6 </w:t>
            </w:r>
          </w:p>
        </w:tc>
      </w:tr>
      <w:tr w:rsidR="00E8309B">
        <w:trPr>
          <w:trHeight w:val="312"/>
        </w:trPr>
        <w:tc>
          <w:tcPr>
            <w:tcW w:w="5754" w:type="dxa"/>
            <w:tcBorders>
              <w:top w:val="dashed" w:sz="4" w:space="0" w:color="000000"/>
              <w:left w:val="double" w:sz="6" w:space="0" w:color="000000"/>
              <w:bottom w:val="dashed" w:sz="4" w:space="0" w:color="000000"/>
              <w:right w:val="single" w:sz="8" w:space="0" w:color="000000"/>
            </w:tcBorders>
          </w:tcPr>
          <w:p w:rsidR="00E8309B" w:rsidRDefault="009D0949">
            <w:pPr>
              <w:spacing w:after="0" w:line="259" w:lineRule="auto"/>
              <w:ind w:left="2" w:right="0" w:firstLine="0"/>
              <w:jc w:val="left"/>
            </w:pPr>
            <w:r>
              <w:rPr>
                <w:sz w:val="20"/>
              </w:rPr>
              <w:t xml:space="preserve">2. Извоз робе </w:t>
            </w:r>
          </w:p>
        </w:tc>
        <w:tc>
          <w:tcPr>
            <w:tcW w:w="1695" w:type="dxa"/>
            <w:tcBorders>
              <w:top w:val="dashed" w:sz="4" w:space="0" w:color="000000"/>
              <w:left w:val="single" w:sz="8" w:space="0" w:color="000000"/>
              <w:bottom w:val="dashed" w:sz="4" w:space="0" w:color="000000"/>
              <w:right w:val="single" w:sz="8" w:space="0" w:color="000000"/>
            </w:tcBorders>
          </w:tcPr>
          <w:p w:rsidR="00E8309B" w:rsidRDefault="009D0949">
            <w:pPr>
              <w:spacing w:after="0" w:line="259" w:lineRule="auto"/>
              <w:ind w:left="8" w:right="0" w:firstLine="0"/>
              <w:jc w:val="center"/>
            </w:pPr>
            <w:r>
              <w:rPr>
                <w:sz w:val="20"/>
              </w:rPr>
              <w:t xml:space="preserve">млрд ЕУР </w:t>
            </w:r>
          </w:p>
        </w:tc>
        <w:tc>
          <w:tcPr>
            <w:tcW w:w="1426" w:type="dxa"/>
            <w:tcBorders>
              <w:top w:val="dashed" w:sz="4" w:space="0" w:color="000000"/>
              <w:left w:val="single" w:sz="8" w:space="0" w:color="000000"/>
              <w:bottom w:val="dashed" w:sz="4" w:space="0" w:color="000000"/>
              <w:right w:val="dashed" w:sz="4" w:space="0" w:color="000000"/>
            </w:tcBorders>
          </w:tcPr>
          <w:p w:rsidR="00E8309B" w:rsidRDefault="009D0949">
            <w:pPr>
              <w:spacing w:after="0" w:line="259" w:lineRule="auto"/>
              <w:ind w:left="13" w:right="0" w:firstLine="0"/>
              <w:jc w:val="center"/>
            </w:pPr>
            <w:r>
              <w:rPr>
                <w:sz w:val="20"/>
              </w:rPr>
              <w:t xml:space="preserve">16,4 </w:t>
            </w:r>
          </w:p>
        </w:tc>
        <w:tc>
          <w:tcPr>
            <w:tcW w:w="1426"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13" w:right="0" w:firstLine="0"/>
              <w:jc w:val="center"/>
            </w:pPr>
            <w:r>
              <w:rPr>
                <w:sz w:val="20"/>
              </w:rPr>
              <w:t xml:space="preserve">15,6 </w:t>
            </w:r>
          </w:p>
        </w:tc>
        <w:tc>
          <w:tcPr>
            <w:tcW w:w="1426"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8" w:right="0" w:firstLine="0"/>
              <w:jc w:val="center"/>
            </w:pPr>
            <w:r>
              <w:rPr>
                <w:sz w:val="20"/>
              </w:rPr>
              <w:t xml:space="preserve">17,6 </w:t>
            </w:r>
          </w:p>
        </w:tc>
        <w:tc>
          <w:tcPr>
            <w:tcW w:w="1423"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right="0" w:firstLine="0"/>
              <w:jc w:val="center"/>
            </w:pPr>
            <w:r>
              <w:rPr>
                <w:sz w:val="20"/>
              </w:rPr>
              <w:t xml:space="preserve">19,3 </w:t>
            </w:r>
          </w:p>
        </w:tc>
        <w:tc>
          <w:tcPr>
            <w:tcW w:w="1424" w:type="dxa"/>
            <w:tcBorders>
              <w:top w:val="dashed" w:sz="4" w:space="0" w:color="000000"/>
              <w:left w:val="dashed" w:sz="4" w:space="0" w:color="000000"/>
              <w:bottom w:val="dashed" w:sz="4" w:space="0" w:color="000000"/>
              <w:right w:val="double" w:sz="6" w:space="0" w:color="000000"/>
            </w:tcBorders>
          </w:tcPr>
          <w:p w:rsidR="00E8309B" w:rsidRDefault="009D0949">
            <w:pPr>
              <w:spacing w:after="0" w:line="259" w:lineRule="auto"/>
              <w:ind w:left="11" w:right="0" w:firstLine="0"/>
              <w:jc w:val="center"/>
            </w:pPr>
            <w:r>
              <w:rPr>
                <w:sz w:val="20"/>
              </w:rPr>
              <w:t xml:space="preserve">21,3 </w:t>
            </w:r>
          </w:p>
        </w:tc>
      </w:tr>
      <w:tr w:rsidR="00E8309B">
        <w:trPr>
          <w:trHeight w:val="310"/>
        </w:trPr>
        <w:tc>
          <w:tcPr>
            <w:tcW w:w="5754" w:type="dxa"/>
            <w:tcBorders>
              <w:top w:val="dashed" w:sz="4" w:space="0" w:color="000000"/>
              <w:left w:val="double" w:sz="6" w:space="0" w:color="000000"/>
              <w:bottom w:val="dashed" w:sz="4" w:space="0" w:color="000000"/>
              <w:right w:val="single" w:sz="8" w:space="0" w:color="000000"/>
            </w:tcBorders>
          </w:tcPr>
          <w:p w:rsidR="00E8309B" w:rsidRDefault="009D0949">
            <w:pPr>
              <w:spacing w:after="0" w:line="259" w:lineRule="auto"/>
              <w:ind w:left="2" w:right="0" w:firstLine="0"/>
              <w:jc w:val="left"/>
            </w:pPr>
            <w:r>
              <w:rPr>
                <w:sz w:val="20"/>
              </w:rPr>
              <w:t xml:space="preserve">3. Увоз робе </w:t>
            </w:r>
          </w:p>
        </w:tc>
        <w:tc>
          <w:tcPr>
            <w:tcW w:w="1695" w:type="dxa"/>
            <w:tcBorders>
              <w:top w:val="dashed" w:sz="4" w:space="0" w:color="000000"/>
              <w:left w:val="single" w:sz="8" w:space="0" w:color="000000"/>
              <w:bottom w:val="dashed" w:sz="4" w:space="0" w:color="000000"/>
              <w:right w:val="single" w:sz="8" w:space="0" w:color="000000"/>
            </w:tcBorders>
          </w:tcPr>
          <w:p w:rsidR="00E8309B" w:rsidRDefault="009D0949">
            <w:pPr>
              <w:spacing w:after="0" w:line="259" w:lineRule="auto"/>
              <w:ind w:left="8" w:right="0" w:firstLine="0"/>
              <w:jc w:val="center"/>
            </w:pPr>
            <w:r>
              <w:rPr>
                <w:sz w:val="20"/>
              </w:rPr>
              <w:t xml:space="preserve">млрд ЕУР </w:t>
            </w:r>
          </w:p>
        </w:tc>
        <w:tc>
          <w:tcPr>
            <w:tcW w:w="1426" w:type="dxa"/>
            <w:tcBorders>
              <w:top w:val="dashed" w:sz="4" w:space="0" w:color="000000"/>
              <w:left w:val="single" w:sz="8" w:space="0" w:color="000000"/>
              <w:bottom w:val="dashed" w:sz="4" w:space="0" w:color="000000"/>
              <w:right w:val="dashed" w:sz="4" w:space="0" w:color="000000"/>
            </w:tcBorders>
          </w:tcPr>
          <w:p w:rsidR="00E8309B" w:rsidRDefault="009D0949">
            <w:pPr>
              <w:spacing w:after="0" w:line="259" w:lineRule="auto"/>
              <w:ind w:left="13" w:right="0" w:firstLine="0"/>
              <w:jc w:val="center"/>
            </w:pPr>
            <w:r>
              <w:rPr>
                <w:sz w:val="20"/>
              </w:rPr>
              <w:t xml:space="preserve">22,0 </w:t>
            </w:r>
          </w:p>
        </w:tc>
        <w:tc>
          <w:tcPr>
            <w:tcW w:w="1426"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13" w:right="0" w:firstLine="0"/>
              <w:jc w:val="center"/>
            </w:pPr>
            <w:r>
              <w:rPr>
                <w:sz w:val="20"/>
              </w:rPr>
              <w:t xml:space="preserve">20,7 </w:t>
            </w:r>
          </w:p>
        </w:tc>
        <w:tc>
          <w:tcPr>
            <w:tcW w:w="1426"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8" w:right="0" w:firstLine="0"/>
              <w:jc w:val="center"/>
            </w:pPr>
            <w:r>
              <w:rPr>
                <w:sz w:val="20"/>
              </w:rPr>
              <w:t xml:space="preserve">23,3 </w:t>
            </w:r>
          </w:p>
        </w:tc>
        <w:tc>
          <w:tcPr>
            <w:tcW w:w="1423"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right="0" w:firstLine="0"/>
              <w:jc w:val="center"/>
            </w:pPr>
            <w:r>
              <w:rPr>
                <w:sz w:val="20"/>
              </w:rPr>
              <w:t xml:space="preserve">25,2 </w:t>
            </w:r>
          </w:p>
        </w:tc>
        <w:tc>
          <w:tcPr>
            <w:tcW w:w="1424" w:type="dxa"/>
            <w:tcBorders>
              <w:top w:val="dashed" w:sz="4" w:space="0" w:color="000000"/>
              <w:left w:val="dashed" w:sz="4" w:space="0" w:color="000000"/>
              <w:bottom w:val="dashed" w:sz="4" w:space="0" w:color="000000"/>
              <w:right w:val="double" w:sz="6" w:space="0" w:color="000000"/>
            </w:tcBorders>
          </w:tcPr>
          <w:p w:rsidR="00E8309B" w:rsidRDefault="009D0949">
            <w:pPr>
              <w:spacing w:after="0" w:line="259" w:lineRule="auto"/>
              <w:ind w:left="11" w:right="0" w:firstLine="0"/>
              <w:jc w:val="center"/>
            </w:pPr>
            <w:r>
              <w:rPr>
                <w:sz w:val="20"/>
              </w:rPr>
              <w:t xml:space="preserve">27,3 </w:t>
            </w:r>
          </w:p>
        </w:tc>
      </w:tr>
      <w:tr w:rsidR="00E8309B">
        <w:trPr>
          <w:trHeight w:val="310"/>
        </w:trPr>
        <w:tc>
          <w:tcPr>
            <w:tcW w:w="5754" w:type="dxa"/>
            <w:tcBorders>
              <w:top w:val="dashed" w:sz="4" w:space="0" w:color="000000"/>
              <w:left w:val="double" w:sz="6" w:space="0" w:color="000000"/>
              <w:bottom w:val="dashed" w:sz="4" w:space="0" w:color="000000"/>
              <w:right w:val="single" w:sz="8" w:space="0" w:color="000000"/>
            </w:tcBorders>
          </w:tcPr>
          <w:p w:rsidR="00E8309B" w:rsidRDefault="009D0949">
            <w:pPr>
              <w:spacing w:after="0" w:line="259" w:lineRule="auto"/>
              <w:ind w:left="2" w:right="0" w:firstLine="0"/>
              <w:jc w:val="left"/>
            </w:pPr>
            <w:r>
              <w:rPr>
                <w:sz w:val="20"/>
              </w:rPr>
              <w:t xml:space="preserve">4. Спољнотрговински биланс </w:t>
            </w:r>
          </w:p>
        </w:tc>
        <w:tc>
          <w:tcPr>
            <w:tcW w:w="1695" w:type="dxa"/>
            <w:tcBorders>
              <w:top w:val="dashed" w:sz="4" w:space="0" w:color="000000"/>
              <w:left w:val="single" w:sz="8" w:space="0" w:color="000000"/>
              <w:bottom w:val="dashed" w:sz="4" w:space="0" w:color="000000"/>
              <w:right w:val="single" w:sz="8" w:space="0" w:color="000000"/>
            </w:tcBorders>
          </w:tcPr>
          <w:p w:rsidR="00E8309B" w:rsidRDefault="009D0949">
            <w:pPr>
              <w:spacing w:after="0" w:line="259" w:lineRule="auto"/>
              <w:ind w:left="8" w:right="0" w:firstLine="0"/>
              <w:jc w:val="center"/>
            </w:pPr>
            <w:r>
              <w:rPr>
                <w:sz w:val="20"/>
              </w:rPr>
              <w:t xml:space="preserve">млрд ЕУР </w:t>
            </w:r>
          </w:p>
        </w:tc>
        <w:tc>
          <w:tcPr>
            <w:tcW w:w="1426" w:type="dxa"/>
            <w:tcBorders>
              <w:top w:val="dashed" w:sz="4" w:space="0" w:color="000000"/>
              <w:left w:val="single" w:sz="8" w:space="0" w:color="000000"/>
              <w:bottom w:val="dashed" w:sz="4" w:space="0" w:color="000000"/>
              <w:right w:val="dashed" w:sz="4" w:space="0" w:color="000000"/>
            </w:tcBorders>
          </w:tcPr>
          <w:p w:rsidR="00E8309B" w:rsidRDefault="009D0949">
            <w:pPr>
              <w:spacing w:after="0" w:line="259" w:lineRule="auto"/>
              <w:ind w:right="0" w:firstLine="0"/>
              <w:jc w:val="center"/>
            </w:pPr>
            <w:r>
              <w:rPr>
                <w:sz w:val="20"/>
              </w:rPr>
              <w:t xml:space="preserve">-5,6 </w:t>
            </w:r>
          </w:p>
        </w:tc>
        <w:tc>
          <w:tcPr>
            <w:tcW w:w="1426"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right="0" w:firstLine="0"/>
              <w:jc w:val="center"/>
            </w:pPr>
            <w:r>
              <w:rPr>
                <w:sz w:val="20"/>
              </w:rPr>
              <w:t xml:space="preserve">-5,1 </w:t>
            </w:r>
          </w:p>
        </w:tc>
        <w:tc>
          <w:tcPr>
            <w:tcW w:w="1426"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6" w:right="0" w:firstLine="0"/>
              <w:jc w:val="center"/>
            </w:pPr>
            <w:r>
              <w:rPr>
                <w:sz w:val="20"/>
              </w:rPr>
              <w:t xml:space="preserve">-5,7 </w:t>
            </w:r>
          </w:p>
        </w:tc>
        <w:tc>
          <w:tcPr>
            <w:tcW w:w="1423"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8" w:right="0" w:firstLine="0"/>
              <w:jc w:val="center"/>
            </w:pPr>
            <w:r>
              <w:rPr>
                <w:sz w:val="20"/>
              </w:rPr>
              <w:t xml:space="preserve">-5,9 </w:t>
            </w:r>
          </w:p>
        </w:tc>
        <w:tc>
          <w:tcPr>
            <w:tcW w:w="1424" w:type="dxa"/>
            <w:tcBorders>
              <w:top w:val="dashed" w:sz="4" w:space="0" w:color="000000"/>
              <w:left w:val="dashed" w:sz="4" w:space="0" w:color="000000"/>
              <w:bottom w:val="dashed" w:sz="4" w:space="0" w:color="000000"/>
              <w:right w:val="double" w:sz="6" w:space="0" w:color="000000"/>
            </w:tcBorders>
          </w:tcPr>
          <w:p w:rsidR="00E8309B" w:rsidRDefault="009D0949">
            <w:pPr>
              <w:spacing w:after="0" w:line="259" w:lineRule="auto"/>
              <w:ind w:left="8" w:right="0" w:firstLine="0"/>
              <w:jc w:val="center"/>
            </w:pPr>
            <w:r>
              <w:rPr>
                <w:sz w:val="20"/>
              </w:rPr>
              <w:t xml:space="preserve">-6,1 </w:t>
            </w:r>
          </w:p>
        </w:tc>
      </w:tr>
      <w:tr w:rsidR="00E8309B">
        <w:trPr>
          <w:trHeight w:val="310"/>
        </w:trPr>
        <w:tc>
          <w:tcPr>
            <w:tcW w:w="5754" w:type="dxa"/>
            <w:tcBorders>
              <w:top w:val="dashed" w:sz="4" w:space="0" w:color="000000"/>
              <w:left w:val="double" w:sz="6" w:space="0" w:color="000000"/>
              <w:bottom w:val="dashed" w:sz="4" w:space="0" w:color="000000"/>
              <w:right w:val="single" w:sz="8" w:space="0" w:color="000000"/>
            </w:tcBorders>
          </w:tcPr>
          <w:p w:rsidR="00E8309B" w:rsidRDefault="009D0949">
            <w:pPr>
              <w:spacing w:after="0" w:line="259" w:lineRule="auto"/>
              <w:ind w:left="2" w:right="0" w:firstLine="0"/>
              <w:jc w:val="left"/>
            </w:pPr>
            <w:r>
              <w:rPr>
                <w:sz w:val="20"/>
              </w:rPr>
              <w:t xml:space="preserve">5. Извоз услуга </w:t>
            </w:r>
          </w:p>
        </w:tc>
        <w:tc>
          <w:tcPr>
            <w:tcW w:w="1695" w:type="dxa"/>
            <w:tcBorders>
              <w:top w:val="dashed" w:sz="4" w:space="0" w:color="000000"/>
              <w:left w:val="single" w:sz="8" w:space="0" w:color="000000"/>
              <w:bottom w:val="dashed" w:sz="4" w:space="0" w:color="000000"/>
              <w:right w:val="single" w:sz="8" w:space="0" w:color="000000"/>
            </w:tcBorders>
          </w:tcPr>
          <w:p w:rsidR="00E8309B" w:rsidRDefault="009D0949">
            <w:pPr>
              <w:spacing w:after="0" w:line="259" w:lineRule="auto"/>
              <w:ind w:left="8" w:right="0" w:firstLine="0"/>
              <w:jc w:val="center"/>
            </w:pPr>
            <w:r>
              <w:rPr>
                <w:sz w:val="20"/>
              </w:rPr>
              <w:t xml:space="preserve">млрд ЕУР </w:t>
            </w:r>
          </w:p>
        </w:tc>
        <w:tc>
          <w:tcPr>
            <w:tcW w:w="1426" w:type="dxa"/>
            <w:tcBorders>
              <w:top w:val="dashed" w:sz="4" w:space="0" w:color="000000"/>
              <w:left w:val="single" w:sz="8" w:space="0" w:color="000000"/>
              <w:bottom w:val="dashed" w:sz="4" w:space="0" w:color="000000"/>
              <w:right w:val="dashed" w:sz="4" w:space="0" w:color="000000"/>
            </w:tcBorders>
          </w:tcPr>
          <w:p w:rsidR="00E8309B" w:rsidRDefault="009D0949">
            <w:pPr>
              <w:spacing w:after="0" w:line="259" w:lineRule="auto"/>
              <w:ind w:left="13" w:right="0" w:firstLine="0"/>
              <w:jc w:val="center"/>
            </w:pPr>
            <w:r>
              <w:rPr>
                <w:sz w:val="20"/>
              </w:rPr>
              <w:t xml:space="preserve">6,9 </w:t>
            </w:r>
          </w:p>
        </w:tc>
        <w:tc>
          <w:tcPr>
            <w:tcW w:w="1426"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13" w:right="0" w:firstLine="0"/>
              <w:jc w:val="center"/>
            </w:pPr>
            <w:r>
              <w:rPr>
                <w:sz w:val="20"/>
              </w:rPr>
              <w:t xml:space="preserve">5,9 </w:t>
            </w:r>
          </w:p>
        </w:tc>
        <w:tc>
          <w:tcPr>
            <w:tcW w:w="1426"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9" w:right="0" w:firstLine="0"/>
              <w:jc w:val="center"/>
            </w:pPr>
            <w:r>
              <w:rPr>
                <w:sz w:val="20"/>
              </w:rPr>
              <w:t xml:space="preserve">6,6 </w:t>
            </w:r>
          </w:p>
        </w:tc>
        <w:tc>
          <w:tcPr>
            <w:tcW w:w="1423"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right="0" w:firstLine="0"/>
              <w:jc w:val="center"/>
            </w:pPr>
            <w:r>
              <w:rPr>
                <w:sz w:val="20"/>
              </w:rPr>
              <w:t xml:space="preserve">7,4 </w:t>
            </w:r>
          </w:p>
        </w:tc>
        <w:tc>
          <w:tcPr>
            <w:tcW w:w="1424" w:type="dxa"/>
            <w:tcBorders>
              <w:top w:val="dashed" w:sz="4" w:space="0" w:color="000000"/>
              <w:left w:val="dashed" w:sz="4" w:space="0" w:color="000000"/>
              <w:bottom w:val="dashed" w:sz="4" w:space="0" w:color="000000"/>
              <w:right w:val="double" w:sz="6" w:space="0" w:color="000000"/>
            </w:tcBorders>
          </w:tcPr>
          <w:p w:rsidR="00E8309B" w:rsidRDefault="009D0949">
            <w:pPr>
              <w:spacing w:after="0" w:line="259" w:lineRule="auto"/>
              <w:ind w:left="11" w:right="0" w:firstLine="0"/>
              <w:jc w:val="center"/>
            </w:pPr>
            <w:r>
              <w:rPr>
                <w:sz w:val="20"/>
              </w:rPr>
              <w:t xml:space="preserve">8,1 </w:t>
            </w:r>
          </w:p>
        </w:tc>
      </w:tr>
      <w:tr w:rsidR="00E8309B">
        <w:trPr>
          <w:trHeight w:val="310"/>
        </w:trPr>
        <w:tc>
          <w:tcPr>
            <w:tcW w:w="5754" w:type="dxa"/>
            <w:tcBorders>
              <w:top w:val="dashed" w:sz="4" w:space="0" w:color="000000"/>
              <w:left w:val="double" w:sz="6" w:space="0" w:color="000000"/>
              <w:bottom w:val="dashed" w:sz="4" w:space="0" w:color="000000"/>
              <w:right w:val="single" w:sz="8" w:space="0" w:color="000000"/>
            </w:tcBorders>
          </w:tcPr>
          <w:p w:rsidR="00E8309B" w:rsidRDefault="009D0949">
            <w:pPr>
              <w:spacing w:after="0" w:line="259" w:lineRule="auto"/>
              <w:ind w:left="2" w:right="0" w:firstLine="0"/>
              <w:jc w:val="left"/>
            </w:pPr>
            <w:r>
              <w:rPr>
                <w:sz w:val="20"/>
              </w:rPr>
              <w:t xml:space="preserve">6. Увоз услуга </w:t>
            </w:r>
          </w:p>
        </w:tc>
        <w:tc>
          <w:tcPr>
            <w:tcW w:w="1695" w:type="dxa"/>
            <w:tcBorders>
              <w:top w:val="dashed" w:sz="4" w:space="0" w:color="000000"/>
              <w:left w:val="single" w:sz="8" w:space="0" w:color="000000"/>
              <w:bottom w:val="dashed" w:sz="4" w:space="0" w:color="000000"/>
              <w:right w:val="single" w:sz="8" w:space="0" w:color="000000"/>
            </w:tcBorders>
          </w:tcPr>
          <w:p w:rsidR="00E8309B" w:rsidRDefault="009D0949">
            <w:pPr>
              <w:spacing w:after="0" w:line="259" w:lineRule="auto"/>
              <w:ind w:left="8" w:right="0" w:firstLine="0"/>
              <w:jc w:val="center"/>
            </w:pPr>
            <w:r>
              <w:rPr>
                <w:sz w:val="20"/>
              </w:rPr>
              <w:t xml:space="preserve">млрд ЕУР </w:t>
            </w:r>
          </w:p>
        </w:tc>
        <w:tc>
          <w:tcPr>
            <w:tcW w:w="1426" w:type="dxa"/>
            <w:tcBorders>
              <w:top w:val="dashed" w:sz="4" w:space="0" w:color="000000"/>
              <w:left w:val="single" w:sz="8" w:space="0" w:color="000000"/>
              <w:bottom w:val="dashed" w:sz="4" w:space="0" w:color="000000"/>
              <w:right w:val="dashed" w:sz="4" w:space="0" w:color="000000"/>
            </w:tcBorders>
          </w:tcPr>
          <w:p w:rsidR="00E8309B" w:rsidRDefault="009D0949">
            <w:pPr>
              <w:spacing w:after="0" w:line="259" w:lineRule="auto"/>
              <w:ind w:left="13" w:right="0" w:firstLine="0"/>
              <w:jc w:val="center"/>
            </w:pPr>
            <w:r>
              <w:rPr>
                <w:sz w:val="20"/>
              </w:rPr>
              <w:t xml:space="preserve">5,9 </w:t>
            </w:r>
          </w:p>
        </w:tc>
        <w:tc>
          <w:tcPr>
            <w:tcW w:w="1426"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13" w:right="0" w:firstLine="0"/>
              <w:jc w:val="center"/>
            </w:pPr>
            <w:r>
              <w:rPr>
                <w:sz w:val="20"/>
              </w:rPr>
              <w:t xml:space="preserve">4,8 </w:t>
            </w:r>
          </w:p>
        </w:tc>
        <w:tc>
          <w:tcPr>
            <w:tcW w:w="1426"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9" w:right="0" w:firstLine="0"/>
              <w:jc w:val="center"/>
            </w:pPr>
            <w:r>
              <w:rPr>
                <w:sz w:val="20"/>
              </w:rPr>
              <w:t xml:space="preserve">5,3 </w:t>
            </w:r>
          </w:p>
        </w:tc>
        <w:tc>
          <w:tcPr>
            <w:tcW w:w="1423"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right="0" w:firstLine="0"/>
              <w:jc w:val="center"/>
            </w:pPr>
            <w:r>
              <w:rPr>
                <w:sz w:val="20"/>
              </w:rPr>
              <w:t xml:space="preserve">5,8 </w:t>
            </w:r>
          </w:p>
        </w:tc>
        <w:tc>
          <w:tcPr>
            <w:tcW w:w="1424" w:type="dxa"/>
            <w:tcBorders>
              <w:top w:val="dashed" w:sz="4" w:space="0" w:color="000000"/>
              <w:left w:val="dashed" w:sz="4" w:space="0" w:color="000000"/>
              <w:bottom w:val="dashed" w:sz="4" w:space="0" w:color="000000"/>
              <w:right w:val="double" w:sz="6" w:space="0" w:color="000000"/>
            </w:tcBorders>
          </w:tcPr>
          <w:p w:rsidR="00E8309B" w:rsidRDefault="009D0949">
            <w:pPr>
              <w:spacing w:after="0" w:line="259" w:lineRule="auto"/>
              <w:ind w:left="11" w:right="0" w:firstLine="0"/>
              <w:jc w:val="center"/>
            </w:pPr>
            <w:r>
              <w:rPr>
                <w:sz w:val="20"/>
              </w:rPr>
              <w:t xml:space="preserve">6,3 </w:t>
            </w:r>
          </w:p>
        </w:tc>
      </w:tr>
      <w:tr w:rsidR="00E8309B">
        <w:trPr>
          <w:trHeight w:val="310"/>
        </w:trPr>
        <w:tc>
          <w:tcPr>
            <w:tcW w:w="5754" w:type="dxa"/>
            <w:tcBorders>
              <w:top w:val="dashed" w:sz="4" w:space="0" w:color="000000"/>
              <w:left w:val="double" w:sz="6" w:space="0" w:color="000000"/>
              <w:bottom w:val="dashed" w:sz="4" w:space="0" w:color="000000"/>
              <w:right w:val="single" w:sz="8" w:space="0" w:color="000000"/>
            </w:tcBorders>
          </w:tcPr>
          <w:p w:rsidR="00E8309B" w:rsidRDefault="009D0949">
            <w:pPr>
              <w:spacing w:after="0" w:line="259" w:lineRule="auto"/>
              <w:ind w:left="2" w:right="0" w:firstLine="0"/>
              <w:jc w:val="left"/>
            </w:pPr>
            <w:r>
              <w:rPr>
                <w:sz w:val="20"/>
              </w:rPr>
              <w:t xml:space="preserve">7. Биланс услуга </w:t>
            </w:r>
          </w:p>
        </w:tc>
        <w:tc>
          <w:tcPr>
            <w:tcW w:w="1695" w:type="dxa"/>
            <w:tcBorders>
              <w:top w:val="dashed" w:sz="4" w:space="0" w:color="000000"/>
              <w:left w:val="single" w:sz="8" w:space="0" w:color="000000"/>
              <w:bottom w:val="dashed" w:sz="4" w:space="0" w:color="000000"/>
              <w:right w:val="single" w:sz="8" w:space="0" w:color="000000"/>
            </w:tcBorders>
          </w:tcPr>
          <w:p w:rsidR="00E8309B" w:rsidRDefault="009D0949">
            <w:pPr>
              <w:spacing w:after="0" w:line="259" w:lineRule="auto"/>
              <w:ind w:left="8" w:right="0" w:firstLine="0"/>
              <w:jc w:val="center"/>
            </w:pPr>
            <w:r>
              <w:rPr>
                <w:sz w:val="20"/>
              </w:rPr>
              <w:t xml:space="preserve">млрд ЕУР </w:t>
            </w:r>
          </w:p>
        </w:tc>
        <w:tc>
          <w:tcPr>
            <w:tcW w:w="1426" w:type="dxa"/>
            <w:tcBorders>
              <w:top w:val="dashed" w:sz="4" w:space="0" w:color="000000"/>
              <w:left w:val="single" w:sz="8" w:space="0" w:color="000000"/>
              <w:bottom w:val="dashed" w:sz="4" w:space="0" w:color="000000"/>
              <w:right w:val="dashed" w:sz="4" w:space="0" w:color="000000"/>
            </w:tcBorders>
          </w:tcPr>
          <w:p w:rsidR="00E8309B" w:rsidRDefault="009D0949">
            <w:pPr>
              <w:spacing w:after="0" w:line="259" w:lineRule="auto"/>
              <w:ind w:left="13" w:right="0" w:firstLine="0"/>
              <w:jc w:val="center"/>
            </w:pPr>
            <w:r>
              <w:rPr>
                <w:sz w:val="20"/>
              </w:rPr>
              <w:t xml:space="preserve">1,0 </w:t>
            </w:r>
          </w:p>
        </w:tc>
        <w:tc>
          <w:tcPr>
            <w:tcW w:w="1426"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13" w:right="0" w:firstLine="0"/>
              <w:jc w:val="center"/>
            </w:pPr>
            <w:r>
              <w:rPr>
                <w:sz w:val="20"/>
              </w:rPr>
              <w:t xml:space="preserve">1,1 </w:t>
            </w:r>
          </w:p>
        </w:tc>
        <w:tc>
          <w:tcPr>
            <w:tcW w:w="1426"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9" w:right="0" w:firstLine="0"/>
              <w:jc w:val="center"/>
            </w:pPr>
            <w:r>
              <w:rPr>
                <w:sz w:val="20"/>
              </w:rPr>
              <w:t xml:space="preserve">1,3 </w:t>
            </w:r>
          </w:p>
        </w:tc>
        <w:tc>
          <w:tcPr>
            <w:tcW w:w="1423"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right="0" w:firstLine="0"/>
              <w:jc w:val="center"/>
            </w:pPr>
            <w:r>
              <w:rPr>
                <w:sz w:val="20"/>
              </w:rPr>
              <w:t xml:space="preserve">1,6 </w:t>
            </w:r>
          </w:p>
        </w:tc>
        <w:tc>
          <w:tcPr>
            <w:tcW w:w="1424" w:type="dxa"/>
            <w:tcBorders>
              <w:top w:val="dashed" w:sz="4" w:space="0" w:color="000000"/>
              <w:left w:val="dashed" w:sz="4" w:space="0" w:color="000000"/>
              <w:bottom w:val="dashed" w:sz="4" w:space="0" w:color="000000"/>
              <w:right w:val="double" w:sz="6" w:space="0" w:color="000000"/>
            </w:tcBorders>
          </w:tcPr>
          <w:p w:rsidR="00E8309B" w:rsidRDefault="009D0949">
            <w:pPr>
              <w:spacing w:after="0" w:line="259" w:lineRule="auto"/>
              <w:ind w:left="11" w:right="0" w:firstLine="0"/>
              <w:jc w:val="center"/>
            </w:pPr>
            <w:r>
              <w:rPr>
                <w:sz w:val="20"/>
              </w:rPr>
              <w:t xml:space="preserve">1,8 </w:t>
            </w:r>
          </w:p>
        </w:tc>
      </w:tr>
      <w:tr w:rsidR="00E8309B">
        <w:trPr>
          <w:trHeight w:val="312"/>
        </w:trPr>
        <w:tc>
          <w:tcPr>
            <w:tcW w:w="5754" w:type="dxa"/>
            <w:tcBorders>
              <w:top w:val="dashed" w:sz="4" w:space="0" w:color="000000"/>
              <w:left w:val="double" w:sz="6" w:space="0" w:color="000000"/>
              <w:bottom w:val="dashed" w:sz="4" w:space="0" w:color="000000"/>
              <w:right w:val="single" w:sz="8" w:space="0" w:color="000000"/>
            </w:tcBorders>
          </w:tcPr>
          <w:p w:rsidR="00E8309B" w:rsidRDefault="009D0949">
            <w:pPr>
              <w:spacing w:after="0" w:line="259" w:lineRule="auto"/>
              <w:ind w:left="2" w:right="0" w:firstLine="0"/>
              <w:jc w:val="left"/>
            </w:pPr>
            <w:r>
              <w:rPr>
                <w:sz w:val="20"/>
              </w:rPr>
              <w:t xml:space="preserve">8. Нето примљене камате из иностранства </w:t>
            </w:r>
          </w:p>
        </w:tc>
        <w:tc>
          <w:tcPr>
            <w:tcW w:w="1695" w:type="dxa"/>
            <w:tcBorders>
              <w:top w:val="dashed" w:sz="4" w:space="0" w:color="000000"/>
              <w:left w:val="single" w:sz="8" w:space="0" w:color="000000"/>
              <w:bottom w:val="dashed" w:sz="4" w:space="0" w:color="000000"/>
              <w:right w:val="single" w:sz="8" w:space="0" w:color="000000"/>
            </w:tcBorders>
          </w:tcPr>
          <w:p w:rsidR="00E8309B" w:rsidRDefault="009D0949">
            <w:pPr>
              <w:spacing w:after="0" w:line="259" w:lineRule="auto"/>
              <w:ind w:left="8" w:right="0" w:firstLine="0"/>
              <w:jc w:val="center"/>
            </w:pPr>
            <w:r>
              <w:rPr>
                <w:sz w:val="20"/>
              </w:rPr>
              <w:t xml:space="preserve">млрд ЕУР </w:t>
            </w:r>
          </w:p>
        </w:tc>
        <w:tc>
          <w:tcPr>
            <w:tcW w:w="1426" w:type="dxa"/>
            <w:tcBorders>
              <w:top w:val="dashed" w:sz="4" w:space="0" w:color="000000"/>
              <w:left w:val="single" w:sz="8" w:space="0" w:color="000000"/>
              <w:bottom w:val="dashed" w:sz="4" w:space="0" w:color="000000"/>
              <w:right w:val="dashed" w:sz="4" w:space="0" w:color="000000"/>
            </w:tcBorders>
          </w:tcPr>
          <w:p w:rsidR="00E8309B" w:rsidRDefault="009D0949">
            <w:pPr>
              <w:spacing w:after="0" w:line="259" w:lineRule="auto"/>
              <w:ind w:right="0" w:firstLine="0"/>
              <w:jc w:val="center"/>
            </w:pPr>
            <w:r>
              <w:rPr>
                <w:sz w:val="20"/>
              </w:rPr>
              <w:t xml:space="preserve">-0,6 </w:t>
            </w:r>
          </w:p>
        </w:tc>
        <w:tc>
          <w:tcPr>
            <w:tcW w:w="1426"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right="0" w:firstLine="0"/>
              <w:jc w:val="center"/>
            </w:pPr>
            <w:r>
              <w:rPr>
                <w:sz w:val="20"/>
              </w:rPr>
              <w:t xml:space="preserve">-0,8 </w:t>
            </w:r>
          </w:p>
        </w:tc>
        <w:tc>
          <w:tcPr>
            <w:tcW w:w="1426"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6" w:right="0" w:firstLine="0"/>
              <w:jc w:val="center"/>
            </w:pPr>
            <w:r>
              <w:rPr>
                <w:sz w:val="20"/>
              </w:rPr>
              <w:t xml:space="preserve">-0,8 </w:t>
            </w:r>
          </w:p>
        </w:tc>
        <w:tc>
          <w:tcPr>
            <w:tcW w:w="1423"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8" w:right="0" w:firstLine="0"/>
              <w:jc w:val="center"/>
            </w:pPr>
            <w:r>
              <w:rPr>
                <w:sz w:val="20"/>
              </w:rPr>
              <w:t xml:space="preserve">-0,7 </w:t>
            </w:r>
          </w:p>
        </w:tc>
        <w:tc>
          <w:tcPr>
            <w:tcW w:w="1424" w:type="dxa"/>
            <w:tcBorders>
              <w:top w:val="dashed" w:sz="4" w:space="0" w:color="000000"/>
              <w:left w:val="dashed" w:sz="4" w:space="0" w:color="000000"/>
              <w:bottom w:val="dashed" w:sz="4" w:space="0" w:color="000000"/>
              <w:right w:val="double" w:sz="6" w:space="0" w:color="000000"/>
            </w:tcBorders>
          </w:tcPr>
          <w:p w:rsidR="00E8309B" w:rsidRDefault="009D0949">
            <w:pPr>
              <w:spacing w:after="0" w:line="259" w:lineRule="auto"/>
              <w:ind w:left="8" w:right="0" w:firstLine="0"/>
              <w:jc w:val="center"/>
            </w:pPr>
            <w:r>
              <w:rPr>
                <w:sz w:val="20"/>
              </w:rPr>
              <w:t xml:space="preserve">-0,8 </w:t>
            </w:r>
          </w:p>
        </w:tc>
      </w:tr>
      <w:tr w:rsidR="00E8309B">
        <w:trPr>
          <w:trHeight w:val="310"/>
        </w:trPr>
        <w:tc>
          <w:tcPr>
            <w:tcW w:w="5754" w:type="dxa"/>
            <w:tcBorders>
              <w:top w:val="dashed" w:sz="4" w:space="0" w:color="000000"/>
              <w:left w:val="double" w:sz="6" w:space="0" w:color="000000"/>
              <w:bottom w:val="dashed" w:sz="4" w:space="0" w:color="000000"/>
              <w:right w:val="single" w:sz="8" w:space="0" w:color="000000"/>
            </w:tcBorders>
          </w:tcPr>
          <w:p w:rsidR="00E8309B" w:rsidRDefault="009D0949">
            <w:pPr>
              <w:spacing w:after="0" w:line="259" w:lineRule="auto"/>
              <w:ind w:left="2" w:right="0" w:firstLine="0"/>
              <w:jc w:val="left"/>
            </w:pPr>
            <w:r>
              <w:rPr>
                <w:sz w:val="20"/>
              </w:rPr>
              <w:t xml:space="preserve">9. Остали нето факторски приход из иностранства  </w:t>
            </w:r>
          </w:p>
        </w:tc>
        <w:tc>
          <w:tcPr>
            <w:tcW w:w="1695" w:type="dxa"/>
            <w:tcBorders>
              <w:top w:val="dashed" w:sz="4" w:space="0" w:color="000000"/>
              <w:left w:val="single" w:sz="8" w:space="0" w:color="000000"/>
              <w:bottom w:val="dashed" w:sz="4" w:space="0" w:color="000000"/>
              <w:right w:val="single" w:sz="8" w:space="0" w:color="000000"/>
            </w:tcBorders>
          </w:tcPr>
          <w:p w:rsidR="00E8309B" w:rsidRDefault="009D0949">
            <w:pPr>
              <w:spacing w:after="0" w:line="259" w:lineRule="auto"/>
              <w:ind w:left="8" w:right="0" w:firstLine="0"/>
              <w:jc w:val="center"/>
            </w:pPr>
            <w:r>
              <w:rPr>
                <w:sz w:val="20"/>
              </w:rPr>
              <w:t xml:space="preserve">млрд ЕУР </w:t>
            </w:r>
          </w:p>
        </w:tc>
        <w:tc>
          <w:tcPr>
            <w:tcW w:w="1426" w:type="dxa"/>
            <w:tcBorders>
              <w:top w:val="dashed" w:sz="4" w:space="0" w:color="000000"/>
              <w:left w:val="single" w:sz="8" w:space="0" w:color="000000"/>
              <w:bottom w:val="dashed" w:sz="4" w:space="0" w:color="000000"/>
              <w:right w:val="dashed" w:sz="4" w:space="0" w:color="000000"/>
            </w:tcBorders>
          </w:tcPr>
          <w:p w:rsidR="00E8309B" w:rsidRDefault="009D0949">
            <w:pPr>
              <w:spacing w:after="0" w:line="259" w:lineRule="auto"/>
              <w:ind w:right="0" w:firstLine="0"/>
              <w:jc w:val="center"/>
            </w:pPr>
            <w:r>
              <w:rPr>
                <w:sz w:val="20"/>
              </w:rPr>
              <w:t xml:space="preserve">-1,8 </w:t>
            </w:r>
          </w:p>
        </w:tc>
        <w:tc>
          <w:tcPr>
            <w:tcW w:w="1426"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right="0" w:firstLine="0"/>
              <w:jc w:val="center"/>
            </w:pPr>
            <w:r>
              <w:rPr>
                <w:sz w:val="20"/>
              </w:rPr>
              <w:t xml:space="preserve">-0,8 </w:t>
            </w:r>
          </w:p>
        </w:tc>
        <w:tc>
          <w:tcPr>
            <w:tcW w:w="1426"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6" w:right="0" w:firstLine="0"/>
              <w:jc w:val="center"/>
            </w:pPr>
            <w:r>
              <w:rPr>
                <w:sz w:val="20"/>
              </w:rPr>
              <w:t xml:space="preserve">-1,6 </w:t>
            </w:r>
          </w:p>
        </w:tc>
        <w:tc>
          <w:tcPr>
            <w:tcW w:w="1423"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8" w:right="0" w:firstLine="0"/>
              <w:jc w:val="center"/>
            </w:pPr>
            <w:r>
              <w:rPr>
                <w:sz w:val="20"/>
              </w:rPr>
              <w:t xml:space="preserve">-1,8 </w:t>
            </w:r>
          </w:p>
        </w:tc>
        <w:tc>
          <w:tcPr>
            <w:tcW w:w="1424" w:type="dxa"/>
            <w:tcBorders>
              <w:top w:val="dashed" w:sz="4" w:space="0" w:color="000000"/>
              <w:left w:val="dashed" w:sz="4" w:space="0" w:color="000000"/>
              <w:bottom w:val="dashed" w:sz="4" w:space="0" w:color="000000"/>
              <w:right w:val="double" w:sz="6" w:space="0" w:color="000000"/>
            </w:tcBorders>
          </w:tcPr>
          <w:p w:rsidR="00E8309B" w:rsidRDefault="009D0949">
            <w:pPr>
              <w:spacing w:after="0" w:line="259" w:lineRule="auto"/>
              <w:ind w:left="8" w:right="0" w:firstLine="0"/>
              <w:jc w:val="center"/>
            </w:pPr>
            <w:r>
              <w:rPr>
                <w:sz w:val="20"/>
              </w:rPr>
              <w:t xml:space="preserve">-1,9 </w:t>
            </w:r>
          </w:p>
        </w:tc>
      </w:tr>
      <w:tr w:rsidR="00E8309B">
        <w:trPr>
          <w:trHeight w:val="310"/>
        </w:trPr>
        <w:tc>
          <w:tcPr>
            <w:tcW w:w="5754" w:type="dxa"/>
            <w:tcBorders>
              <w:top w:val="dashed" w:sz="4" w:space="0" w:color="000000"/>
              <w:left w:val="double" w:sz="6" w:space="0" w:color="000000"/>
              <w:bottom w:val="dashed" w:sz="4" w:space="0" w:color="000000"/>
              <w:right w:val="single" w:sz="8" w:space="0" w:color="000000"/>
            </w:tcBorders>
          </w:tcPr>
          <w:p w:rsidR="00E8309B" w:rsidRDefault="009D0949">
            <w:pPr>
              <w:spacing w:after="0" w:line="259" w:lineRule="auto"/>
              <w:ind w:left="2" w:right="0" w:firstLine="0"/>
              <w:jc w:val="left"/>
            </w:pPr>
            <w:r>
              <w:rPr>
                <w:sz w:val="20"/>
              </w:rPr>
              <w:t xml:space="preserve">10. Текући трансфери </w:t>
            </w:r>
          </w:p>
        </w:tc>
        <w:tc>
          <w:tcPr>
            <w:tcW w:w="1695" w:type="dxa"/>
            <w:tcBorders>
              <w:top w:val="dashed" w:sz="4" w:space="0" w:color="000000"/>
              <w:left w:val="single" w:sz="8" w:space="0" w:color="000000"/>
              <w:bottom w:val="dashed" w:sz="4" w:space="0" w:color="000000"/>
              <w:right w:val="single" w:sz="8" w:space="0" w:color="000000"/>
            </w:tcBorders>
          </w:tcPr>
          <w:p w:rsidR="00E8309B" w:rsidRDefault="009D0949">
            <w:pPr>
              <w:spacing w:after="0" w:line="259" w:lineRule="auto"/>
              <w:ind w:left="8" w:right="0" w:firstLine="0"/>
              <w:jc w:val="center"/>
            </w:pPr>
            <w:r>
              <w:rPr>
                <w:sz w:val="20"/>
              </w:rPr>
              <w:t xml:space="preserve">млрд ЕУР </w:t>
            </w:r>
          </w:p>
        </w:tc>
        <w:tc>
          <w:tcPr>
            <w:tcW w:w="1426" w:type="dxa"/>
            <w:tcBorders>
              <w:top w:val="dashed" w:sz="4" w:space="0" w:color="000000"/>
              <w:left w:val="single" w:sz="8" w:space="0" w:color="000000"/>
              <w:bottom w:val="dashed" w:sz="4" w:space="0" w:color="000000"/>
              <w:right w:val="dashed" w:sz="4" w:space="0" w:color="000000"/>
            </w:tcBorders>
          </w:tcPr>
          <w:p w:rsidR="00E8309B" w:rsidRDefault="009D0949">
            <w:pPr>
              <w:spacing w:after="0" w:line="259" w:lineRule="auto"/>
              <w:ind w:left="13" w:right="0" w:firstLine="0"/>
              <w:jc w:val="center"/>
            </w:pPr>
            <w:r>
              <w:rPr>
                <w:sz w:val="20"/>
              </w:rPr>
              <w:t xml:space="preserve">3,9 </w:t>
            </w:r>
          </w:p>
        </w:tc>
        <w:tc>
          <w:tcPr>
            <w:tcW w:w="1426"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13" w:right="0" w:firstLine="0"/>
              <w:jc w:val="center"/>
            </w:pPr>
            <w:r>
              <w:rPr>
                <w:sz w:val="20"/>
              </w:rPr>
              <w:t xml:space="preserve">3,3 </w:t>
            </w:r>
          </w:p>
        </w:tc>
        <w:tc>
          <w:tcPr>
            <w:tcW w:w="1426"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9" w:right="0" w:firstLine="0"/>
              <w:jc w:val="center"/>
            </w:pPr>
            <w:r>
              <w:rPr>
                <w:sz w:val="20"/>
              </w:rPr>
              <w:t xml:space="preserve">3,9 </w:t>
            </w:r>
          </w:p>
        </w:tc>
        <w:tc>
          <w:tcPr>
            <w:tcW w:w="1423"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right="0" w:firstLine="0"/>
              <w:jc w:val="center"/>
            </w:pPr>
            <w:r>
              <w:rPr>
                <w:sz w:val="20"/>
              </w:rPr>
              <w:t xml:space="preserve">4,2 </w:t>
            </w:r>
          </w:p>
        </w:tc>
        <w:tc>
          <w:tcPr>
            <w:tcW w:w="1424" w:type="dxa"/>
            <w:tcBorders>
              <w:top w:val="dashed" w:sz="4" w:space="0" w:color="000000"/>
              <w:left w:val="dashed" w:sz="4" w:space="0" w:color="000000"/>
              <w:bottom w:val="dashed" w:sz="4" w:space="0" w:color="000000"/>
              <w:right w:val="double" w:sz="6" w:space="0" w:color="000000"/>
            </w:tcBorders>
          </w:tcPr>
          <w:p w:rsidR="00E8309B" w:rsidRDefault="009D0949">
            <w:pPr>
              <w:spacing w:after="0" w:line="259" w:lineRule="auto"/>
              <w:ind w:left="11" w:right="0" w:firstLine="0"/>
              <w:jc w:val="center"/>
            </w:pPr>
            <w:r>
              <w:rPr>
                <w:sz w:val="20"/>
              </w:rPr>
              <w:t xml:space="preserve">4,3 </w:t>
            </w:r>
          </w:p>
        </w:tc>
      </w:tr>
      <w:tr w:rsidR="00E8309B">
        <w:trPr>
          <w:trHeight w:val="310"/>
        </w:trPr>
        <w:tc>
          <w:tcPr>
            <w:tcW w:w="5754" w:type="dxa"/>
            <w:tcBorders>
              <w:top w:val="dashed" w:sz="4" w:space="0" w:color="000000"/>
              <w:left w:val="double" w:sz="6" w:space="0" w:color="000000"/>
              <w:bottom w:val="dashed" w:sz="4" w:space="0" w:color="000000"/>
              <w:right w:val="single" w:sz="8" w:space="0" w:color="000000"/>
            </w:tcBorders>
          </w:tcPr>
          <w:p w:rsidR="00E8309B" w:rsidRDefault="009D0949">
            <w:pPr>
              <w:spacing w:after="0" w:line="259" w:lineRule="auto"/>
              <w:ind w:left="2" w:right="0" w:firstLine="0"/>
              <w:jc w:val="left"/>
            </w:pPr>
            <w:r>
              <w:rPr>
                <w:i/>
                <w:sz w:val="20"/>
              </w:rPr>
              <w:t xml:space="preserve">11. Од чега из ЕУ </w:t>
            </w:r>
          </w:p>
        </w:tc>
        <w:tc>
          <w:tcPr>
            <w:tcW w:w="1695" w:type="dxa"/>
            <w:tcBorders>
              <w:top w:val="dashed" w:sz="4" w:space="0" w:color="000000"/>
              <w:left w:val="single" w:sz="8" w:space="0" w:color="000000"/>
              <w:bottom w:val="dashed" w:sz="4" w:space="0" w:color="000000"/>
              <w:right w:val="single" w:sz="8" w:space="0" w:color="000000"/>
            </w:tcBorders>
          </w:tcPr>
          <w:p w:rsidR="00E8309B" w:rsidRDefault="009D0949">
            <w:pPr>
              <w:spacing w:after="0" w:line="259" w:lineRule="auto"/>
              <w:ind w:left="8" w:right="0" w:firstLine="0"/>
              <w:jc w:val="center"/>
            </w:pPr>
            <w:r>
              <w:rPr>
                <w:sz w:val="20"/>
              </w:rPr>
              <w:t xml:space="preserve">млрд ЕУР </w:t>
            </w:r>
          </w:p>
        </w:tc>
        <w:tc>
          <w:tcPr>
            <w:tcW w:w="1426" w:type="dxa"/>
            <w:tcBorders>
              <w:top w:val="dashed" w:sz="4" w:space="0" w:color="000000"/>
              <w:left w:val="single" w:sz="8" w:space="0" w:color="000000"/>
              <w:bottom w:val="dashed" w:sz="4" w:space="0" w:color="000000"/>
              <w:right w:val="dashed" w:sz="4" w:space="0" w:color="000000"/>
            </w:tcBorders>
          </w:tcPr>
          <w:p w:rsidR="00E8309B" w:rsidRDefault="009D0949">
            <w:pPr>
              <w:spacing w:after="0" w:line="259" w:lineRule="auto"/>
              <w:ind w:left="13" w:right="0" w:firstLine="0"/>
              <w:jc w:val="center"/>
            </w:pPr>
            <w:r>
              <w:rPr>
                <w:sz w:val="20"/>
              </w:rPr>
              <w:t xml:space="preserve">2,9 </w:t>
            </w:r>
          </w:p>
        </w:tc>
        <w:tc>
          <w:tcPr>
            <w:tcW w:w="1426"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13" w:right="0" w:firstLine="0"/>
              <w:jc w:val="center"/>
            </w:pPr>
            <w:r>
              <w:rPr>
                <w:sz w:val="20"/>
              </w:rPr>
              <w:t xml:space="preserve">3,0 </w:t>
            </w:r>
          </w:p>
        </w:tc>
        <w:tc>
          <w:tcPr>
            <w:tcW w:w="1426"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9" w:right="0" w:firstLine="0"/>
              <w:jc w:val="center"/>
            </w:pPr>
            <w:r>
              <w:rPr>
                <w:sz w:val="20"/>
              </w:rPr>
              <w:t xml:space="preserve">3,0 </w:t>
            </w:r>
          </w:p>
        </w:tc>
        <w:tc>
          <w:tcPr>
            <w:tcW w:w="1423"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right="0" w:firstLine="0"/>
              <w:jc w:val="center"/>
            </w:pPr>
            <w:r>
              <w:rPr>
                <w:sz w:val="20"/>
              </w:rPr>
              <w:t xml:space="preserve">2,9 </w:t>
            </w:r>
          </w:p>
        </w:tc>
        <w:tc>
          <w:tcPr>
            <w:tcW w:w="1424" w:type="dxa"/>
            <w:tcBorders>
              <w:top w:val="dashed" w:sz="4" w:space="0" w:color="000000"/>
              <w:left w:val="dashed" w:sz="4" w:space="0" w:color="000000"/>
              <w:bottom w:val="dashed" w:sz="4" w:space="0" w:color="000000"/>
              <w:right w:val="double" w:sz="6" w:space="0" w:color="000000"/>
            </w:tcBorders>
          </w:tcPr>
          <w:p w:rsidR="00E8309B" w:rsidRDefault="009D0949">
            <w:pPr>
              <w:spacing w:after="0" w:line="259" w:lineRule="auto"/>
              <w:ind w:left="11" w:right="0" w:firstLine="0"/>
              <w:jc w:val="center"/>
            </w:pPr>
            <w:r>
              <w:rPr>
                <w:sz w:val="20"/>
              </w:rPr>
              <w:t xml:space="preserve">3,1 </w:t>
            </w:r>
          </w:p>
        </w:tc>
      </w:tr>
      <w:tr w:rsidR="00E8309B">
        <w:trPr>
          <w:trHeight w:val="310"/>
        </w:trPr>
        <w:tc>
          <w:tcPr>
            <w:tcW w:w="5754" w:type="dxa"/>
            <w:tcBorders>
              <w:top w:val="dashed" w:sz="4" w:space="0" w:color="000000"/>
              <w:left w:val="double" w:sz="6" w:space="0" w:color="000000"/>
              <w:bottom w:val="dashed" w:sz="4" w:space="0" w:color="000000"/>
              <w:right w:val="single" w:sz="8" w:space="0" w:color="000000"/>
            </w:tcBorders>
          </w:tcPr>
          <w:p w:rsidR="00E8309B" w:rsidRDefault="009D0949">
            <w:pPr>
              <w:spacing w:after="0" w:line="259" w:lineRule="auto"/>
              <w:ind w:left="2" w:right="0" w:firstLine="0"/>
              <w:jc w:val="left"/>
            </w:pPr>
            <w:r>
              <w:rPr>
                <w:sz w:val="20"/>
              </w:rPr>
              <w:t xml:space="preserve">12. Биланс текућих трансакција </w:t>
            </w:r>
          </w:p>
        </w:tc>
        <w:tc>
          <w:tcPr>
            <w:tcW w:w="1695" w:type="dxa"/>
            <w:tcBorders>
              <w:top w:val="dashed" w:sz="4" w:space="0" w:color="000000"/>
              <w:left w:val="single" w:sz="8" w:space="0" w:color="000000"/>
              <w:bottom w:val="dashed" w:sz="4" w:space="0" w:color="000000"/>
              <w:right w:val="single" w:sz="8" w:space="0" w:color="000000"/>
            </w:tcBorders>
          </w:tcPr>
          <w:p w:rsidR="00E8309B" w:rsidRDefault="009D0949">
            <w:pPr>
              <w:spacing w:after="0" w:line="259" w:lineRule="auto"/>
              <w:ind w:left="8" w:right="0" w:firstLine="0"/>
              <w:jc w:val="center"/>
            </w:pPr>
            <w:r>
              <w:rPr>
                <w:sz w:val="20"/>
              </w:rPr>
              <w:t xml:space="preserve">млрд ЕУР </w:t>
            </w:r>
          </w:p>
        </w:tc>
        <w:tc>
          <w:tcPr>
            <w:tcW w:w="1426" w:type="dxa"/>
            <w:tcBorders>
              <w:top w:val="dashed" w:sz="4" w:space="0" w:color="000000"/>
              <w:left w:val="single" w:sz="8" w:space="0" w:color="000000"/>
              <w:bottom w:val="dashed" w:sz="4" w:space="0" w:color="000000"/>
              <w:right w:val="dashed" w:sz="4" w:space="0" w:color="000000"/>
            </w:tcBorders>
          </w:tcPr>
          <w:p w:rsidR="00E8309B" w:rsidRDefault="009D0949">
            <w:pPr>
              <w:spacing w:after="0" w:line="259" w:lineRule="auto"/>
              <w:ind w:right="0" w:firstLine="0"/>
              <w:jc w:val="center"/>
            </w:pPr>
            <w:r>
              <w:rPr>
                <w:sz w:val="20"/>
              </w:rPr>
              <w:t xml:space="preserve">-3,2 </w:t>
            </w:r>
          </w:p>
        </w:tc>
        <w:tc>
          <w:tcPr>
            <w:tcW w:w="1426"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right="0" w:firstLine="0"/>
              <w:jc w:val="center"/>
            </w:pPr>
            <w:r>
              <w:rPr>
                <w:sz w:val="20"/>
              </w:rPr>
              <w:t xml:space="preserve">-2,3 </w:t>
            </w:r>
          </w:p>
        </w:tc>
        <w:tc>
          <w:tcPr>
            <w:tcW w:w="1426"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6" w:right="0" w:firstLine="0"/>
              <w:jc w:val="center"/>
            </w:pPr>
            <w:r>
              <w:rPr>
                <w:sz w:val="20"/>
              </w:rPr>
              <w:t xml:space="preserve">-2,8 </w:t>
            </w:r>
          </w:p>
        </w:tc>
        <w:tc>
          <w:tcPr>
            <w:tcW w:w="1423"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8" w:right="0" w:firstLine="0"/>
              <w:jc w:val="center"/>
            </w:pPr>
            <w:r>
              <w:rPr>
                <w:sz w:val="20"/>
              </w:rPr>
              <w:t xml:space="preserve">-2,7 </w:t>
            </w:r>
          </w:p>
        </w:tc>
        <w:tc>
          <w:tcPr>
            <w:tcW w:w="1424" w:type="dxa"/>
            <w:tcBorders>
              <w:top w:val="dashed" w:sz="4" w:space="0" w:color="000000"/>
              <w:left w:val="dashed" w:sz="4" w:space="0" w:color="000000"/>
              <w:bottom w:val="dashed" w:sz="4" w:space="0" w:color="000000"/>
              <w:right w:val="double" w:sz="6" w:space="0" w:color="000000"/>
            </w:tcBorders>
          </w:tcPr>
          <w:p w:rsidR="00E8309B" w:rsidRDefault="009D0949">
            <w:pPr>
              <w:spacing w:after="0" w:line="259" w:lineRule="auto"/>
              <w:ind w:left="8" w:right="0" w:firstLine="0"/>
              <w:jc w:val="center"/>
            </w:pPr>
            <w:r>
              <w:rPr>
                <w:sz w:val="20"/>
              </w:rPr>
              <w:t xml:space="preserve">-2,6 </w:t>
            </w:r>
          </w:p>
        </w:tc>
      </w:tr>
      <w:tr w:rsidR="00E8309B">
        <w:trPr>
          <w:trHeight w:val="310"/>
        </w:trPr>
        <w:tc>
          <w:tcPr>
            <w:tcW w:w="5754" w:type="dxa"/>
            <w:tcBorders>
              <w:top w:val="dashed" w:sz="4" w:space="0" w:color="000000"/>
              <w:left w:val="double" w:sz="6" w:space="0" w:color="000000"/>
              <w:bottom w:val="dashed" w:sz="4" w:space="0" w:color="000000"/>
              <w:right w:val="single" w:sz="8" w:space="0" w:color="000000"/>
            </w:tcBorders>
          </w:tcPr>
          <w:p w:rsidR="00E8309B" w:rsidRDefault="009D0949">
            <w:pPr>
              <w:spacing w:after="0" w:line="259" w:lineRule="auto"/>
              <w:ind w:left="2" w:right="0" w:firstLine="0"/>
              <w:jc w:val="left"/>
            </w:pPr>
            <w:r>
              <w:rPr>
                <w:sz w:val="20"/>
              </w:rPr>
              <w:t xml:space="preserve">13. Капитални и финансијски рачун </w:t>
            </w:r>
          </w:p>
        </w:tc>
        <w:tc>
          <w:tcPr>
            <w:tcW w:w="1695" w:type="dxa"/>
            <w:tcBorders>
              <w:top w:val="dashed" w:sz="4" w:space="0" w:color="000000"/>
              <w:left w:val="single" w:sz="8" w:space="0" w:color="000000"/>
              <w:bottom w:val="dashed" w:sz="4" w:space="0" w:color="000000"/>
              <w:right w:val="single" w:sz="8" w:space="0" w:color="000000"/>
            </w:tcBorders>
          </w:tcPr>
          <w:p w:rsidR="00E8309B" w:rsidRDefault="009D0949">
            <w:pPr>
              <w:spacing w:after="0" w:line="259" w:lineRule="auto"/>
              <w:ind w:left="8" w:right="0" w:firstLine="0"/>
              <w:jc w:val="center"/>
            </w:pPr>
            <w:r>
              <w:rPr>
                <w:sz w:val="20"/>
              </w:rPr>
              <w:t xml:space="preserve">млрд ЕУР </w:t>
            </w:r>
          </w:p>
        </w:tc>
        <w:tc>
          <w:tcPr>
            <w:tcW w:w="1426" w:type="dxa"/>
            <w:tcBorders>
              <w:top w:val="dashed" w:sz="4" w:space="0" w:color="000000"/>
              <w:left w:val="single" w:sz="8" w:space="0" w:color="000000"/>
              <w:bottom w:val="dashed" w:sz="4" w:space="0" w:color="000000"/>
              <w:right w:val="dashed" w:sz="4" w:space="0" w:color="000000"/>
            </w:tcBorders>
          </w:tcPr>
          <w:p w:rsidR="00E8309B" w:rsidRDefault="009D0949">
            <w:pPr>
              <w:spacing w:after="0" w:line="259" w:lineRule="auto"/>
              <w:ind w:left="13" w:right="0" w:firstLine="0"/>
              <w:jc w:val="center"/>
            </w:pPr>
            <w:r>
              <w:rPr>
                <w:sz w:val="20"/>
              </w:rPr>
              <w:t xml:space="preserve">3,2 </w:t>
            </w:r>
          </w:p>
        </w:tc>
        <w:tc>
          <w:tcPr>
            <w:tcW w:w="1426"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13" w:right="0" w:firstLine="0"/>
              <w:jc w:val="center"/>
            </w:pPr>
            <w:r>
              <w:rPr>
                <w:sz w:val="20"/>
              </w:rPr>
              <w:t xml:space="preserve">2,3 </w:t>
            </w:r>
          </w:p>
        </w:tc>
        <w:tc>
          <w:tcPr>
            <w:tcW w:w="1426"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9" w:right="0" w:firstLine="0"/>
              <w:jc w:val="center"/>
            </w:pPr>
            <w:r>
              <w:rPr>
                <w:sz w:val="20"/>
              </w:rPr>
              <w:t xml:space="preserve">2,8 </w:t>
            </w:r>
          </w:p>
        </w:tc>
        <w:tc>
          <w:tcPr>
            <w:tcW w:w="1423"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right="0" w:firstLine="0"/>
              <w:jc w:val="center"/>
            </w:pPr>
            <w:r>
              <w:rPr>
                <w:sz w:val="20"/>
              </w:rPr>
              <w:t xml:space="preserve">2,7 </w:t>
            </w:r>
          </w:p>
        </w:tc>
        <w:tc>
          <w:tcPr>
            <w:tcW w:w="1424" w:type="dxa"/>
            <w:tcBorders>
              <w:top w:val="dashed" w:sz="4" w:space="0" w:color="000000"/>
              <w:left w:val="dashed" w:sz="4" w:space="0" w:color="000000"/>
              <w:bottom w:val="dashed" w:sz="4" w:space="0" w:color="000000"/>
              <w:right w:val="double" w:sz="6" w:space="0" w:color="000000"/>
            </w:tcBorders>
          </w:tcPr>
          <w:p w:rsidR="00E8309B" w:rsidRDefault="009D0949">
            <w:pPr>
              <w:spacing w:after="0" w:line="259" w:lineRule="auto"/>
              <w:ind w:left="11" w:right="0" w:firstLine="0"/>
              <w:jc w:val="center"/>
            </w:pPr>
            <w:r>
              <w:rPr>
                <w:sz w:val="20"/>
              </w:rPr>
              <w:t xml:space="preserve">4,7 </w:t>
            </w:r>
          </w:p>
        </w:tc>
      </w:tr>
      <w:tr w:rsidR="00E8309B">
        <w:trPr>
          <w:trHeight w:val="312"/>
        </w:trPr>
        <w:tc>
          <w:tcPr>
            <w:tcW w:w="5754" w:type="dxa"/>
            <w:tcBorders>
              <w:top w:val="dashed" w:sz="4" w:space="0" w:color="000000"/>
              <w:left w:val="double" w:sz="6" w:space="0" w:color="000000"/>
              <w:bottom w:val="dashed" w:sz="4" w:space="0" w:color="000000"/>
              <w:right w:val="single" w:sz="8" w:space="0" w:color="000000"/>
            </w:tcBorders>
          </w:tcPr>
          <w:p w:rsidR="00E8309B" w:rsidRDefault="009D0949">
            <w:pPr>
              <w:spacing w:after="0" w:line="259" w:lineRule="auto"/>
              <w:ind w:left="2" w:right="0" w:firstLine="0"/>
              <w:jc w:val="left"/>
            </w:pPr>
            <w:r>
              <w:rPr>
                <w:sz w:val="20"/>
              </w:rPr>
              <w:t xml:space="preserve">14. Стране директне инвестиције </w:t>
            </w:r>
          </w:p>
        </w:tc>
        <w:tc>
          <w:tcPr>
            <w:tcW w:w="1695" w:type="dxa"/>
            <w:tcBorders>
              <w:top w:val="dashed" w:sz="4" w:space="0" w:color="000000"/>
              <w:left w:val="single" w:sz="8" w:space="0" w:color="000000"/>
              <w:bottom w:val="dashed" w:sz="4" w:space="0" w:color="000000"/>
              <w:right w:val="single" w:sz="8" w:space="0" w:color="000000"/>
            </w:tcBorders>
          </w:tcPr>
          <w:p w:rsidR="00E8309B" w:rsidRDefault="009D0949">
            <w:pPr>
              <w:spacing w:after="0" w:line="259" w:lineRule="auto"/>
              <w:ind w:left="8" w:right="0" w:firstLine="0"/>
              <w:jc w:val="center"/>
            </w:pPr>
            <w:r>
              <w:rPr>
                <w:sz w:val="20"/>
              </w:rPr>
              <w:t xml:space="preserve">млрд ЕУР </w:t>
            </w:r>
          </w:p>
        </w:tc>
        <w:tc>
          <w:tcPr>
            <w:tcW w:w="1426" w:type="dxa"/>
            <w:tcBorders>
              <w:top w:val="dashed" w:sz="4" w:space="0" w:color="000000"/>
              <w:left w:val="single" w:sz="8" w:space="0" w:color="000000"/>
              <w:bottom w:val="dashed" w:sz="4" w:space="0" w:color="000000"/>
              <w:right w:val="dashed" w:sz="4" w:space="0" w:color="000000"/>
            </w:tcBorders>
          </w:tcPr>
          <w:p w:rsidR="00E8309B" w:rsidRDefault="009D0949">
            <w:pPr>
              <w:spacing w:after="0" w:line="259" w:lineRule="auto"/>
              <w:ind w:left="13" w:right="0" w:firstLine="0"/>
              <w:jc w:val="center"/>
            </w:pPr>
            <w:r>
              <w:rPr>
                <w:sz w:val="20"/>
              </w:rPr>
              <w:t xml:space="preserve">3,6 </w:t>
            </w:r>
          </w:p>
        </w:tc>
        <w:tc>
          <w:tcPr>
            <w:tcW w:w="1426"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13" w:right="0" w:firstLine="0"/>
              <w:jc w:val="center"/>
            </w:pPr>
            <w:r>
              <w:rPr>
                <w:sz w:val="20"/>
              </w:rPr>
              <w:t xml:space="preserve">2,3 </w:t>
            </w:r>
          </w:p>
        </w:tc>
        <w:tc>
          <w:tcPr>
            <w:tcW w:w="1426"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9" w:right="0" w:firstLine="0"/>
              <w:jc w:val="center"/>
            </w:pPr>
            <w:r>
              <w:rPr>
                <w:sz w:val="20"/>
              </w:rPr>
              <w:t xml:space="preserve">2,8 </w:t>
            </w:r>
          </w:p>
        </w:tc>
        <w:tc>
          <w:tcPr>
            <w:tcW w:w="1423"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right="0" w:firstLine="0"/>
              <w:jc w:val="center"/>
            </w:pPr>
            <w:r>
              <w:rPr>
                <w:sz w:val="20"/>
              </w:rPr>
              <w:t xml:space="preserve">2,7 </w:t>
            </w:r>
          </w:p>
        </w:tc>
        <w:tc>
          <w:tcPr>
            <w:tcW w:w="1424" w:type="dxa"/>
            <w:tcBorders>
              <w:top w:val="dashed" w:sz="4" w:space="0" w:color="000000"/>
              <w:left w:val="dashed" w:sz="4" w:space="0" w:color="000000"/>
              <w:bottom w:val="dashed" w:sz="4" w:space="0" w:color="000000"/>
              <w:right w:val="double" w:sz="6" w:space="0" w:color="000000"/>
            </w:tcBorders>
          </w:tcPr>
          <w:p w:rsidR="00E8309B" w:rsidRDefault="009D0949">
            <w:pPr>
              <w:spacing w:after="0" w:line="259" w:lineRule="auto"/>
              <w:ind w:left="11" w:right="0" w:firstLine="0"/>
              <w:jc w:val="center"/>
            </w:pPr>
            <w:r>
              <w:rPr>
                <w:sz w:val="20"/>
              </w:rPr>
              <w:t xml:space="preserve">2,7 </w:t>
            </w:r>
          </w:p>
        </w:tc>
      </w:tr>
      <w:tr w:rsidR="00E8309B">
        <w:trPr>
          <w:trHeight w:val="310"/>
        </w:trPr>
        <w:tc>
          <w:tcPr>
            <w:tcW w:w="5754" w:type="dxa"/>
            <w:tcBorders>
              <w:top w:val="dashed" w:sz="4" w:space="0" w:color="000000"/>
              <w:left w:val="double" w:sz="6" w:space="0" w:color="000000"/>
              <w:bottom w:val="dashed" w:sz="4" w:space="0" w:color="000000"/>
              <w:right w:val="single" w:sz="8" w:space="0" w:color="000000"/>
            </w:tcBorders>
          </w:tcPr>
          <w:p w:rsidR="00E8309B" w:rsidRDefault="009D0949">
            <w:pPr>
              <w:spacing w:after="0" w:line="259" w:lineRule="auto"/>
              <w:ind w:left="2" w:right="0" w:firstLine="0"/>
              <w:jc w:val="left"/>
            </w:pPr>
            <w:r>
              <w:rPr>
                <w:sz w:val="20"/>
              </w:rPr>
              <w:t xml:space="preserve">15. Девизне резерве </w:t>
            </w:r>
          </w:p>
        </w:tc>
        <w:tc>
          <w:tcPr>
            <w:tcW w:w="1695" w:type="dxa"/>
            <w:tcBorders>
              <w:top w:val="dashed" w:sz="4" w:space="0" w:color="000000"/>
              <w:left w:val="single" w:sz="8" w:space="0" w:color="000000"/>
              <w:bottom w:val="dashed" w:sz="4" w:space="0" w:color="000000"/>
              <w:right w:val="single" w:sz="8" w:space="0" w:color="000000"/>
            </w:tcBorders>
          </w:tcPr>
          <w:p w:rsidR="00E8309B" w:rsidRDefault="009D0949">
            <w:pPr>
              <w:spacing w:after="0" w:line="259" w:lineRule="auto"/>
              <w:ind w:left="8" w:right="0" w:firstLine="0"/>
              <w:jc w:val="center"/>
            </w:pPr>
            <w:r>
              <w:rPr>
                <w:sz w:val="20"/>
              </w:rPr>
              <w:t xml:space="preserve">млрд ЕУР </w:t>
            </w:r>
          </w:p>
        </w:tc>
        <w:tc>
          <w:tcPr>
            <w:tcW w:w="1426" w:type="dxa"/>
            <w:tcBorders>
              <w:top w:val="dashed" w:sz="4" w:space="0" w:color="000000"/>
              <w:left w:val="single" w:sz="8" w:space="0" w:color="000000"/>
              <w:bottom w:val="dashed" w:sz="4" w:space="0" w:color="000000"/>
              <w:right w:val="dashed" w:sz="4" w:space="0" w:color="000000"/>
            </w:tcBorders>
          </w:tcPr>
          <w:p w:rsidR="00E8309B" w:rsidRDefault="009D0949">
            <w:pPr>
              <w:spacing w:after="0" w:line="259" w:lineRule="auto"/>
              <w:ind w:left="13" w:right="0" w:firstLine="0"/>
              <w:jc w:val="center"/>
            </w:pPr>
            <w:r>
              <w:rPr>
                <w:sz w:val="20"/>
              </w:rPr>
              <w:t xml:space="preserve">13,5 </w:t>
            </w:r>
          </w:p>
        </w:tc>
        <w:tc>
          <w:tcPr>
            <w:tcW w:w="1426"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13" w:right="0" w:firstLine="0"/>
              <w:jc w:val="center"/>
            </w:pPr>
            <w:r>
              <w:rPr>
                <w:sz w:val="20"/>
              </w:rPr>
              <w:t xml:space="preserve">13,8 </w:t>
            </w:r>
          </w:p>
        </w:tc>
        <w:tc>
          <w:tcPr>
            <w:tcW w:w="1426"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8" w:right="0" w:firstLine="0"/>
              <w:jc w:val="center"/>
            </w:pPr>
            <w:r>
              <w:rPr>
                <w:sz w:val="20"/>
              </w:rPr>
              <w:t xml:space="preserve">14,3 </w:t>
            </w:r>
          </w:p>
        </w:tc>
        <w:tc>
          <w:tcPr>
            <w:tcW w:w="1423"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right="0" w:firstLine="0"/>
              <w:jc w:val="center"/>
            </w:pPr>
            <w:r>
              <w:rPr>
                <w:sz w:val="20"/>
              </w:rPr>
              <w:t xml:space="preserve">14,6 </w:t>
            </w:r>
          </w:p>
        </w:tc>
        <w:tc>
          <w:tcPr>
            <w:tcW w:w="1424" w:type="dxa"/>
            <w:tcBorders>
              <w:top w:val="dashed" w:sz="4" w:space="0" w:color="000000"/>
              <w:left w:val="dashed" w:sz="4" w:space="0" w:color="000000"/>
              <w:bottom w:val="dashed" w:sz="4" w:space="0" w:color="000000"/>
              <w:right w:val="double" w:sz="6" w:space="0" w:color="000000"/>
            </w:tcBorders>
          </w:tcPr>
          <w:p w:rsidR="00E8309B" w:rsidRDefault="009D0949">
            <w:pPr>
              <w:spacing w:after="0" w:line="259" w:lineRule="auto"/>
              <w:ind w:left="11" w:right="0" w:firstLine="0"/>
              <w:jc w:val="center"/>
            </w:pPr>
            <w:r>
              <w:rPr>
                <w:sz w:val="20"/>
              </w:rPr>
              <w:t xml:space="preserve">15,0 </w:t>
            </w:r>
          </w:p>
        </w:tc>
      </w:tr>
      <w:tr w:rsidR="00E8309B">
        <w:trPr>
          <w:trHeight w:val="310"/>
        </w:trPr>
        <w:tc>
          <w:tcPr>
            <w:tcW w:w="5754" w:type="dxa"/>
            <w:tcBorders>
              <w:top w:val="dashed" w:sz="4" w:space="0" w:color="000000"/>
              <w:left w:val="double" w:sz="6" w:space="0" w:color="000000"/>
              <w:bottom w:val="dashed" w:sz="4" w:space="0" w:color="000000"/>
              <w:right w:val="single" w:sz="8" w:space="0" w:color="000000"/>
            </w:tcBorders>
          </w:tcPr>
          <w:p w:rsidR="00E8309B" w:rsidRDefault="009D0949">
            <w:pPr>
              <w:spacing w:after="0" w:line="259" w:lineRule="auto"/>
              <w:ind w:left="2" w:right="0" w:firstLine="0"/>
              <w:jc w:val="left"/>
            </w:pPr>
            <w:r>
              <w:rPr>
                <w:sz w:val="20"/>
              </w:rPr>
              <w:t xml:space="preserve">16. Нето спољни дуг </w:t>
            </w:r>
          </w:p>
        </w:tc>
        <w:tc>
          <w:tcPr>
            <w:tcW w:w="1695" w:type="dxa"/>
            <w:tcBorders>
              <w:top w:val="dashed" w:sz="4" w:space="0" w:color="000000"/>
              <w:left w:val="single" w:sz="8" w:space="0" w:color="000000"/>
              <w:bottom w:val="dashed" w:sz="4" w:space="0" w:color="000000"/>
              <w:right w:val="single" w:sz="8" w:space="0" w:color="000000"/>
            </w:tcBorders>
          </w:tcPr>
          <w:p w:rsidR="00E8309B" w:rsidRDefault="009D0949">
            <w:pPr>
              <w:spacing w:after="0" w:line="259" w:lineRule="auto"/>
              <w:ind w:left="8" w:right="0" w:firstLine="0"/>
              <w:jc w:val="center"/>
            </w:pPr>
            <w:r>
              <w:rPr>
                <w:sz w:val="20"/>
              </w:rPr>
              <w:t xml:space="preserve">млрд ЕУР </w:t>
            </w:r>
          </w:p>
        </w:tc>
        <w:tc>
          <w:tcPr>
            <w:tcW w:w="1426" w:type="dxa"/>
            <w:tcBorders>
              <w:top w:val="dashed" w:sz="4" w:space="0" w:color="000000"/>
              <w:left w:val="single" w:sz="8" w:space="0" w:color="000000"/>
              <w:bottom w:val="dashed" w:sz="4" w:space="0" w:color="000000"/>
              <w:right w:val="dashed" w:sz="4" w:space="0" w:color="000000"/>
            </w:tcBorders>
          </w:tcPr>
          <w:p w:rsidR="00E8309B" w:rsidRDefault="009D0949">
            <w:pPr>
              <w:spacing w:after="0" w:line="259" w:lineRule="auto"/>
              <w:ind w:left="13" w:right="0" w:firstLine="0"/>
              <w:jc w:val="center"/>
            </w:pPr>
            <w:r>
              <w:rPr>
                <w:sz w:val="20"/>
              </w:rPr>
              <w:t xml:space="preserve">17,8 </w:t>
            </w:r>
          </w:p>
        </w:tc>
        <w:tc>
          <w:tcPr>
            <w:tcW w:w="1426"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13" w:right="0" w:firstLine="0"/>
              <w:jc w:val="center"/>
            </w:pPr>
            <w:r>
              <w:rPr>
                <w:sz w:val="20"/>
              </w:rPr>
              <w:t xml:space="preserve">18,8 </w:t>
            </w:r>
          </w:p>
        </w:tc>
        <w:tc>
          <w:tcPr>
            <w:tcW w:w="1426"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8" w:right="0" w:firstLine="0"/>
              <w:jc w:val="center"/>
            </w:pPr>
            <w:r>
              <w:rPr>
                <w:sz w:val="20"/>
              </w:rPr>
              <w:t xml:space="preserve">17,5 </w:t>
            </w:r>
          </w:p>
        </w:tc>
        <w:tc>
          <w:tcPr>
            <w:tcW w:w="1423"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right="0" w:firstLine="0"/>
              <w:jc w:val="center"/>
            </w:pPr>
            <w:r>
              <w:rPr>
                <w:sz w:val="20"/>
              </w:rPr>
              <w:t xml:space="preserve">16,9 </w:t>
            </w:r>
          </w:p>
        </w:tc>
        <w:tc>
          <w:tcPr>
            <w:tcW w:w="1424" w:type="dxa"/>
            <w:tcBorders>
              <w:top w:val="dashed" w:sz="4" w:space="0" w:color="000000"/>
              <w:left w:val="dashed" w:sz="4" w:space="0" w:color="000000"/>
              <w:bottom w:val="dashed" w:sz="4" w:space="0" w:color="000000"/>
              <w:right w:val="double" w:sz="6" w:space="0" w:color="000000"/>
            </w:tcBorders>
          </w:tcPr>
          <w:p w:rsidR="00E8309B" w:rsidRDefault="009D0949">
            <w:pPr>
              <w:spacing w:after="0" w:line="259" w:lineRule="auto"/>
              <w:ind w:left="11" w:right="0" w:firstLine="0"/>
              <w:jc w:val="center"/>
            </w:pPr>
            <w:r>
              <w:rPr>
                <w:sz w:val="20"/>
              </w:rPr>
              <w:t xml:space="preserve">16,6 </w:t>
            </w:r>
          </w:p>
        </w:tc>
      </w:tr>
      <w:tr w:rsidR="00E8309B">
        <w:trPr>
          <w:trHeight w:val="310"/>
        </w:trPr>
        <w:tc>
          <w:tcPr>
            <w:tcW w:w="5754" w:type="dxa"/>
            <w:tcBorders>
              <w:top w:val="dashed" w:sz="4" w:space="0" w:color="000000"/>
              <w:left w:val="double" w:sz="6" w:space="0" w:color="000000"/>
              <w:bottom w:val="dashed" w:sz="4" w:space="0" w:color="000000"/>
              <w:right w:val="single" w:sz="8" w:space="0" w:color="000000"/>
            </w:tcBorders>
          </w:tcPr>
          <w:p w:rsidR="00E8309B" w:rsidRDefault="009D0949">
            <w:pPr>
              <w:spacing w:after="0" w:line="259" w:lineRule="auto"/>
              <w:ind w:left="2" w:right="0" w:firstLine="0"/>
              <w:jc w:val="left"/>
            </w:pPr>
            <w:r>
              <w:rPr>
                <w:sz w:val="20"/>
              </w:rPr>
              <w:t xml:space="preserve">17. Од чега: јавни </w:t>
            </w:r>
          </w:p>
        </w:tc>
        <w:tc>
          <w:tcPr>
            <w:tcW w:w="1695" w:type="dxa"/>
            <w:tcBorders>
              <w:top w:val="dashed" w:sz="4" w:space="0" w:color="000000"/>
              <w:left w:val="single" w:sz="8" w:space="0" w:color="000000"/>
              <w:bottom w:val="dashed" w:sz="4" w:space="0" w:color="000000"/>
              <w:right w:val="single" w:sz="8" w:space="0" w:color="000000"/>
            </w:tcBorders>
          </w:tcPr>
          <w:p w:rsidR="00E8309B" w:rsidRDefault="009D0949">
            <w:pPr>
              <w:spacing w:after="0" w:line="259" w:lineRule="auto"/>
              <w:ind w:left="8" w:right="0" w:firstLine="0"/>
              <w:jc w:val="center"/>
            </w:pPr>
            <w:r>
              <w:rPr>
                <w:sz w:val="20"/>
              </w:rPr>
              <w:t xml:space="preserve">млрд ЕУР </w:t>
            </w:r>
          </w:p>
        </w:tc>
        <w:tc>
          <w:tcPr>
            <w:tcW w:w="1426" w:type="dxa"/>
            <w:tcBorders>
              <w:top w:val="dashed" w:sz="4" w:space="0" w:color="000000"/>
              <w:left w:val="single" w:sz="8" w:space="0" w:color="000000"/>
              <w:bottom w:val="dashed" w:sz="4" w:space="0" w:color="000000"/>
              <w:right w:val="dashed" w:sz="4" w:space="0" w:color="000000"/>
            </w:tcBorders>
          </w:tcPr>
          <w:p w:rsidR="00E8309B" w:rsidRDefault="009D0949">
            <w:pPr>
              <w:spacing w:after="0" w:line="259" w:lineRule="auto"/>
              <w:ind w:left="13" w:right="0" w:firstLine="0"/>
              <w:jc w:val="center"/>
            </w:pPr>
            <w:r>
              <w:rPr>
                <w:sz w:val="20"/>
              </w:rPr>
              <w:t xml:space="preserve">6,4 </w:t>
            </w:r>
          </w:p>
        </w:tc>
        <w:tc>
          <w:tcPr>
            <w:tcW w:w="1426"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13" w:right="0" w:firstLine="0"/>
              <w:jc w:val="center"/>
            </w:pPr>
            <w:r>
              <w:rPr>
                <w:sz w:val="20"/>
              </w:rPr>
              <w:t xml:space="preserve">7,9 </w:t>
            </w:r>
          </w:p>
        </w:tc>
        <w:tc>
          <w:tcPr>
            <w:tcW w:w="1426"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9" w:right="0" w:firstLine="0"/>
              <w:jc w:val="center"/>
            </w:pPr>
            <w:r>
              <w:rPr>
                <w:sz w:val="20"/>
              </w:rPr>
              <w:t xml:space="preserve">5,3 </w:t>
            </w:r>
          </w:p>
        </w:tc>
        <w:tc>
          <w:tcPr>
            <w:tcW w:w="1423"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right="0" w:firstLine="0"/>
              <w:jc w:val="center"/>
            </w:pPr>
            <w:r>
              <w:rPr>
                <w:sz w:val="20"/>
              </w:rPr>
              <w:t xml:space="preserve">4,6 </w:t>
            </w:r>
          </w:p>
        </w:tc>
        <w:tc>
          <w:tcPr>
            <w:tcW w:w="1424" w:type="dxa"/>
            <w:tcBorders>
              <w:top w:val="dashed" w:sz="4" w:space="0" w:color="000000"/>
              <w:left w:val="dashed" w:sz="4" w:space="0" w:color="000000"/>
              <w:bottom w:val="dashed" w:sz="4" w:space="0" w:color="000000"/>
              <w:right w:val="double" w:sz="6" w:space="0" w:color="000000"/>
            </w:tcBorders>
          </w:tcPr>
          <w:p w:rsidR="00E8309B" w:rsidRDefault="009D0949">
            <w:pPr>
              <w:spacing w:after="0" w:line="259" w:lineRule="auto"/>
              <w:ind w:left="11" w:right="0" w:firstLine="0"/>
              <w:jc w:val="center"/>
            </w:pPr>
            <w:r>
              <w:rPr>
                <w:sz w:val="20"/>
              </w:rPr>
              <w:t xml:space="preserve">4,4 </w:t>
            </w:r>
          </w:p>
        </w:tc>
      </w:tr>
      <w:tr w:rsidR="00E8309B">
        <w:trPr>
          <w:trHeight w:val="310"/>
        </w:trPr>
        <w:tc>
          <w:tcPr>
            <w:tcW w:w="5754" w:type="dxa"/>
            <w:tcBorders>
              <w:top w:val="dashed" w:sz="4" w:space="0" w:color="000000"/>
              <w:left w:val="double" w:sz="6" w:space="0" w:color="000000"/>
              <w:bottom w:val="dashed" w:sz="4" w:space="0" w:color="000000"/>
              <w:right w:val="single" w:sz="8" w:space="0" w:color="000000"/>
            </w:tcBorders>
          </w:tcPr>
          <w:p w:rsidR="00E8309B" w:rsidRDefault="009D0949">
            <w:pPr>
              <w:spacing w:after="0" w:line="259" w:lineRule="auto"/>
              <w:ind w:left="2" w:right="0" w:firstLine="0"/>
              <w:jc w:val="left"/>
            </w:pPr>
            <w:r>
              <w:rPr>
                <w:sz w:val="20"/>
              </w:rPr>
              <w:t xml:space="preserve">18. Од чега: деноминовано у страним валутама </w:t>
            </w:r>
          </w:p>
        </w:tc>
        <w:tc>
          <w:tcPr>
            <w:tcW w:w="1695" w:type="dxa"/>
            <w:tcBorders>
              <w:top w:val="dashed" w:sz="4" w:space="0" w:color="000000"/>
              <w:left w:val="single" w:sz="8" w:space="0" w:color="000000"/>
              <w:bottom w:val="dashed" w:sz="4" w:space="0" w:color="000000"/>
              <w:right w:val="single" w:sz="8" w:space="0" w:color="000000"/>
            </w:tcBorders>
          </w:tcPr>
          <w:p w:rsidR="00E8309B" w:rsidRDefault="009D0949">
            <w:pPr>
              <w:spacing w:after="0" w:line="259" w:lineRule="auto"/>
              <w:ind w:left="8" w:right="0" w:firstLine="0"/>
              <w:jc w:val="center"/>
            </w:pPr>
            <w:r>
              <w:rPr>
                <w:sz w:val="20"/>
              </w:rPr>
              <w:t xml:space="preserve">млрд ЕУР </w:t>
            </w:r>
          </w:p>
        </w:tc>
        <w:tc>
          <w:tcPr>
            <w:tcW w:w="1426" w:type="dxa"/>
            <w:tcBorders>
              <w:top w:val="dashed" w:sz="4" w:space="0" w:color="000000"/>
              <w:left w:val="single" w:sz="8" w:space="0" w:color="000000"/>
              <w:bottom w:val="dashed" w:sz="4" w:space="0" w:color="000000"/>
              <w:right w:val="dashed" w:sz="4" w:space="0" w:color="000000"/>
            </w:tcBorders>
          </w:tcPr>
          <w:p w:rsidR="00E8309B" w:rsidRDefault="009D0949">
            <w:pPr>
              <w:spacing w:after="0" w:line="259" w:lineRule="auto"/>
              <w:ind w:left="13" w:right="0" w:firstLine="0"/>
              <w:jc w:val="center"/>
            </w:pPr>
            <w:r>
              <w:rPr>
                <w:sz w:val="20"/>
              </w:rPr>
              <w:t xml:space="preserve">15,8 </w:t>
            </w:r>
          </w:p>
        </w:tc>
        <w:tc>
          <w:tcPr>
            <w:tcW w:w="1426"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13" w:right="0" w:firstLine="0"/>
              <w:jc w:val="center"/>
            </w:pPr>
            <w:r>
              <w:rPr>
                <w:sz w:val="20"/>
              </w:rPr>
              <w:t xml:space="preserve">16,7 </w:t>
            </w:r>
          </w:p>
        </w:tc>
        <w:tc>
          <w:tcPr>
            <w:tcW w:w="1426"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8" w:right="0" w:firstLine="0"/>
              <w:jc w:val="center"/>
            </w:pPr>
            <w:r>
              <w:rPr>
                <w:sz w:val="20"/>
              </w:rPr>
              <w:t xml:space="preserve">15,3 </w:t>
            </w:r>
          </w:p>
        </w:tc>
        <w:tc>
          <w:tcPr>
            <w:tcW w:w="1423"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right="0" w:firstLine="0"/>
              <w:jc w:val="center"/>
            </w:pPr>
            <w:r>
              <w:rPr>
                <w:sz w:val="20"/>
              </w:rPr>
              <w:t xml:space="preserve">14,6 </w:t>
            </w:r>
          </w:p>
        </w:tc>
        <w:tc>
          <w:tcPr>
            <w:tcW w:w="1424" w:type="dxa"/>
            <w:tcBorders>
              <w:top w:val="dashed" w:sz="4" w:space="0" w:color="000000"/>
              <w:left w:val="dashed" w:sz="4" w:space="0" w:color="000000"/>
              <w:bottom w:val="dashed" w:sz="4" w:space="0" w:color="000000"/>
              <w:right w:val="double" w:sz="6" w:space="0" w:color="000000"/>
            </w:tcBorders>
          </w:tcPr>
          <w:p w:rsidR="00E8309B" w:rsidRDefault="009D0949">
            <w:pPr>
              <w:spacing w:after="0" w:line="259" w:lineRule="auto"/>
              <w:ind w:left="11" w:right="0" w:firstLine="0"/>
              <w:jc w:val="center"/>
            </w:pPr>
            <w:r>
              <w:rPr>
                <w:sz w:val="20"/>
              </w:rPr>
              <w:t xml:space="preserve">14,1 </w:t>
            </w:r>
          </w:p>
        </w:tc>
      </w:tr>
      <w:tr w:rsidR="00E8309B">
        <w:trPr>
          <w:trHeight w:val="310"/>
        </w:trPr>
        <w:tc>
          <w:tcPr>
            <w:tcW w:w="5754" w:type="dxa"/>
            <w:tcBorders>
              <w:top w:val="dashed" w:sz="4" w:space="0" w:color="000000"/>
              <w:left w:val="double" w:sz="6" w:space="0" w:color="000000"/>
              <w:bottom w:val="single" w:sz="4" w:space="0" w:color="000000"/>
              <w:right w:val="single" w:sz="8" w:space="0" w:color="000000"/>
            </w:tcBorders>
          </w:tcPr>
          <w:p w:rsidR="00E8309B" w:rsidRDefault="009D0949">
            <w:pPr>
              <w:spacing w:after="0" w:line="259" w:lineRule="auto"/>
              <w:ind w:left="2" w:right="0" w:firstLine="0"/>
              <w:jc w:val="left"/>
            </w:pPr>
            <w:r>
              <w:rPr>
                <w:sz w:val="20"/>
              </w:rPr>
              <w:t xml:space="preserve">19.Од чега: доспело за отплату </w:t>
            </w:r>
          </w:p>
        </w:tc>
        <w:tc>
          <w:tcPr>
            <w:tcW w:w="1695" w:type="dxa"/>
            <w:tcBorders>
              <w:top w:val="dashed" w:sz="4" w:space="0" w:color="000000"/>
              <w:left w:val="single" w:sz="8" w:space="0" w:color="000000"/>
              <w:bottom w:val="single" w:sz="4" w:space="0" w:color="000000"/>
              <w:right w:val="single" w:sz="8" w:space="0" w:color="000000"/>
            </w:tcBorders>
          </w:tcPr>
          <w:p w:rsidR="00E8309B" w:rsidRDefault="009D0949">
            <w:pPr>
              <w:spacing w:after="0" w:line="259" w:lineRule="auto"/>
              <w:ind w:left="8" w:right="0" w:firstLine="0"/>
              <w:jc w:val="center"/>
            </w:pPr>
            <w:r>
              <w:rPr>
                <w:sz w:val="20"/>
              </w:rPr>
              <w:t xml:space="preserve">млрд ЕУР </w:t>
            </w:r>
          </w:p>
        </w:tc>
        <w:tc>
          <w:tcPr>
            <w:tcW w:w="1426" w:type="dxa"/>
            <w:tcBorders>
              <w:top w:val="dashed" w:sz="4" w:space="0" w:color="000000"/>
              <w:left w:val="single" w:sz="8" w:space="0" w:color="000000"/>
              <w:bottom w:val="single" w:sz="4" w:space="0" w:color="000000"/>
              <w:right w:val="dashed" w:sz="4" w:space="0" w:color="000000"/>
            </w:tcBorders>
          </w:tcPr>
          <w:p w:rsidR="00E8309B" w:rsidRDefault="009D0949">
            <w:pPr>
              <w:spacing w:after="0" w:line="259" w:lineRule="auto"/>
              <w:ind w:left="13" w:right="0" w:firstLine="0"/>
              <w:jc w:val="center"/>
            </w:pPr>
            <w:r>
              <w:rPr>
                <w:sz w:val="20"/>
              </w:rPr>
              <w:t xml:space="preserve">5,4 </w:t>
            </w:r>
          </w:p>
        </w:tc>
        <w:tc>
          <w:tcPr>
            <w:tcW w:w="1426" w:type="dxa"/>
            <w:tcBorders>
              <w:top w:val="dashed" w:sz="4" w:space="0" w:color="000000"/>
              <w:left w:val="dashed" w:sz="4" w:space="0" w:color="000000"/>
              <w:bottom w:val="single" w:sz="4" w:space="0" w:color="000000"/>
              <w:right w:val="dashed" w:sz="4" w:space="0" w:color="000000"/>
            </w:tcBorders>
          </w:tcPr>
          <w:p w:rsidR="00E8309B" w:rsidRDefault="009D0949">
            <w:pPr>
              <w:spacing w:after="0" w:line="259" w:lineRule="auto"/>
              <w:ind w:left="13" w:right="0" w:firstLine="0"/>
              <w:jc w:val="center"/>
            </w:pPr>
            <w:r>
              <w:rPr>
                <w:sz w:val="20"/>
              </w:rPr>
              <w:t xml:space="preserve">4,5 </w:t>
            </w:r>
          </w:p>
        </w:tc>
        <w:tc>
          <w:tcPr>
            <w:tcW w:w="1426" w:type="dxa"/>
            <w:tcBorders>
              <w:top w:val="dashed" w:sz="4" w:space="0" w:color="000000"/>
              <w:left w:val="dashed" w:sz="4" w:space="0" w:color="000000"/>
              <w:bottom w:val="single" w:sz="4" w:space="0" w:color="000000"/>
              <w:right w:val="dashed" w:sz="4" w:space="0" w:color="000000"/>
            </w:tcBorders>
          </w:tcPr>
          <w:p w:rsidR="00E8309B" w:rsidRDefault="009D0949">
            <w:pPr>
              <w:spacing w:after="0" w:line="259" w:lineRule="auto"/>
              <w:ind w:left="9" w:right="0" w:firstLine="0"/>
              <w:jc w:val="center"/>
            </w:pPr>
            <w:r>
              <w:rPr>
                <w:sz w:val="20"/>
              </w:rPr>
              <w:t xml:space="preserve">4,1 </w:t>
            </w:r>
          </w:p>
        </w:tc>
        <w:tc>
          <w:tcPr>
            <w:tcW w:w="1423" w:type="dxa"/>
            <w:tcBorders>
              <w:top w:val="dashed" w:sz="4" w:space="0" w:color="000000"/>
              <w:left w:val="dashed" w:sz="4" w:space="0" w:color="000000"/>
              <w:bottom w:val="single" w:sz="4" w:space="0" w:color="000000"/>
              <w:right w:val="dashed" w:sz="4" w:space="0" w:color="000000"/>
            </w:tcBorders>
          </w:tcPr>
          <w:p w:rsidR="00E8309B" w:rsidRDefault="009D0949">
            <w:pPr>
              <w:spacing w:after="0" w:line="259" w:lineRule="auto"/>
              <w:ind w:right="0" w:firstLine="0"/>
              <w:jc w:val="center"/>
            </w:pPr>
            <w:r>
              <w:rPr>
                <w:sz w:val="20"/>
              </w:rPr>
              <w:t xml:space="preserve">4,0 </w:t>
            </w:r>
          </w:p>
        </w:tc>
        <w:tc>
          <w:tcPr>
            <w:tcW w:w="1424" w:type="dxa"/>
            <w:tcBorders>
              <w:top w:val="dashed" w:sz="4" w:space="0" w:color="000000"/>
              <w:left w:val="dashed" w:sz="4" w:space="0" w:color="000000"/>
              <w:bottom w:val="single" w:sz="4" w:space="0" w:color="000000"/>
              <w:right w:val="double" w:sz="6" w:space="0" w:color="000000"/>
            </w:tcBorders>
          </w:tcPr>
          <w:p w:rsidR="00E8309B" w:rsidRDefault="009D0949">
            <w:pPr>
              <w:spacing w:after="0" w:line="259" w:lineRule="auto"/>
              <w:ind w:left="11" w:right="0" w:firstLine="0"/>
              <w:jc w:val="center"/>
            </w:pPr>
            <w:r>
              <w:rPr>
                <w:sz w:val="20"/>
              </w:rPr>
              <w:t xml:space="preserve">4,0 </w:t>
            </w:r>
          </w:p>
        </w:tc>
      </w:tr>
      <w:tr w:rsidR="00E8309B">
        <w:trPr>
          <w:trHeight w:val="312"/>
        </w:trPr>
        <w:tc>
          <w:tcPr>
            <w:tcW w:w="5754" w:type="dxa"/>
            <w:tcBorders>
              <w:top w:val="single" w:sz="4" w:space="0" w:color="000000"/>
              <w:left w:val="double" w:sz="6" w:space="0" w:color="000000"/>
              <w:bottom w:val="dashed" w:sz="4" w:space="0" w:color="000000"/>
              <w:right w:val="single" w:sz="8" w:space="0" w:color="000000"/>
            </w:tcBorders>
          </w:tcPr>
          <w:p w:rsidR="00E8309B" w:rsidRDefault="009D0949">
            <w:pPr>
              <w:spacing w:after="0" w:line="259" w:lineRule="auto"/>
              <w:ind w:left="2" w:right="0" w:firstLine="0"/>
              <w:jc w:val="left"/>
            </w:pPr>
            <w:r>
              <w:rPr>
                <w:sz w:val="20"/>
              </w:rPr>
              <w:t>2</w:t>
            </w:r>
            <w:r>
              <w:rPr>
                <w:sz w:val="20"/>
              </w:rPr>
              <w:t xml:space="preserve">1. Девизни курс у односу на ЕУР (годишњи просек) </w:t>
            </w:r>
          </w:p>
        </w:tc>
        <w:tc>
          <w:tcPr>
            <w:tcW w:w="1695" w:type="dxa"/>
            <w:tcBorders>
              <w:top w:val="single" w:sz="4" w:space="0" w:color="000000"/>
              <w:left w:val="single" w:sz="8" w:space="0" w:color="000000"/>
              <w:bottom w:val="dashed" w:sz="4" w:space="0" w:color="000000"/>
              <w:right w:val="single" w:sz="8" w:space="0" w:color="000000"/>
            </w:tcBorders>
          </w:tcPr>
          <w:p w:rsidR="00E8309B" w:rsidRDefault="009D0949">
            <w:pPr>
              <w:spacing w:after="0" w:line="259" w:lineRule="auto"/>
              <w:ind w:left="7" w:right="0" w:firstLine="0"/>
              <w:jc w:val="center"/>
            </w:pPr>
            <w:r>
              <w:rPr>
                <w:sz w:val="20"/>
              </w:rPr>
              <w:t xml:space="preserve">РСД/EUR </w:t>
            </w:r>
          </w:p>
        </w:tc>
        <w:tc>
          <w:tcPr>
            <w:tcW w:w="1426" w:type="dxa"/>
            <w:tcBorders>
              <w:top w:val="single" w:sz="4" w:space="0" w:color="000000"/>
              <w:left w:val="single" w:sz="8" w:space="0" w:color="000000"/>
              <w:bottom w:val="dashed" w:sz="4" w:space="0" w:color="000000"/>
              <w:right w:val="dashed" w:sz="4" w:space="0" w:color="000000"/>
            </w:tcBorders>
          </w:tcPr>
          <w:p w:rsidR="00E8309B" w:rsidRDefault="009D0949">
            <w:pPr>
              <w:spacing w:after="0" w:line="259" w:lineRule="auto"/>
              <w:ind w:left="12" w:right="0" w:firstLine="0"/>
              <w:jc w:val="center"/>
            </w:pPr>
            <w:r>
              <w:rPr>
                <w:sz w:val="20"/>
              </w:rPr>
              <w:t xml:space="preserve">117,9 </w:t>
            </w:r>
          </w:p>
        </w:tc>
        <w:tc>
          <w:tcPr>
            <w:tcW w:w="1426" w:type="dxa"/>
            <w:tcBorders>
              <w:top w:val="single" w:sz="4" w:space="0" w:color="000000"/>
              <w:left w:val="dashed" w:sz="4" w:space="0" w:color="000000"/>
              <w:bottom w:val="dashed" w:sz="4" w:space="0" w:color="000000"/>
              <w:right w:val="dashed" w:sz="4" w:space="0" w:color="000000"/>
            </w:tcBorders>
          </w:tcPr>
          <w:p w:rsidR="00E8309B" w:rsidRDefault="009D0949">
            <w:pPr>
              <w:spacing w:after="0" w:line="259" w:lineRule="auto"/>
              <w:ind w:left="12" w:right="0" w:firstLine="0"/>
              <w:jc w:val="center"/>
            </w:pPr>
            <w:r>
              <w:rPr>
                <w:sz w:val="20"/>
              </w:rPr>
              <w:t xml:space="preserve">117,6 </w:t>
            </w:r>
          </w:p>
        </w:tc>
        <w:tc>
          <w:tcPr>
            <w:tcW w:w="1426" w:type="dxa"/>
            <w:tcBorders>
              <w:top w:val="single" w:sz="4" w:space="0" w:color="000000"/>
              <w:left w:val="dashed" w:sz="4" w:space="0" w:color="000000"/>
              <w:bottom w:val="dashed" w:sz="4" w:space="0" w:color="000000"/>
              <w:right w:val="dashed" w:sz="4" w:space="0" w:color="000000"/>
            </w:tcBorders>
          </w:tcPr>
          <w:p w:rsidR="00E8309B" w:rsidRDefault="009D0949">
            <w:pPr>
              <w:spacing w:after="0" w:line="259" w:lineRule="auto"/>
              <w:ind w:left="6" w:right="0" w:firstLine="0"/>
              <w:jc w:val="center"/>
            </w:pPr>
            <w:r>
              <w:rPr>
                <w:sz w:val="20"/>
              </w:rPr>
              <w:t xml:space="preserve">: </w:t>
            </w:r>
          </w:p>
        </w:tc>
        <w:tc>
          <w:tcPr>
            <w:tcW w:w="1423" w:type="dxa"/>
            <w:tcBorders>
              <w:top w:val="single" w:sz="4" w:space="0" w:color="000000"/>
              <w:left w:val="dashed" w:sz="4" w:space="0" w:color="000000"/>
              <w:bottom w:val="dashed" w:sz="4" w:space="0" w:color="000000"/>
              <w:right w:val="dashed" w:sz="4" w:space="0" w:color="000000"/>
            </w:tcBorders>
          </w:tcPr>
          <w:p w:rsidR="00E8309B" w:rsidRDefault="009D0949">
            <w:pPr>
              <w:spacing w:after="0" w:line="259" w:lineRule="auto"/>
              <w:ind w:left="7" w:right="0" w:firstLine="0"/>
              <w:jc w:val="center"/>
            </w:pPr>
            <w:r>
              <w:rPr>
                <w:sz w:val="20"/>
              </w:rPr>
              <w:t xml:space="preserve">: </w:t>
            </w:r>
          </w:p>
        </w:tc>
        <w:tc>
          <w:tcPr>
            <w:tcW w:w="1424" w:type="dxa"/>
            <w:tcBorders>
              <w:top w:val="single" w:sz="4" w:space="0" w:color="000000"/>
              <w:left w:val="dashed" w:sz="4" w:space="0" w:color="000000"/>
              <w:bottom w:val="dashed" w:sz="4" w:space="0" w:color="000000"/>
              <w:right w:val="double" w:sz="6" w:space="0" w:color="000000"/>
            </w:tcBorders>
          </w:tcPr>
          <w:p w:rsidR="00E8309B" w:rsidRDefault="009D0949">
            <w:pPr>
              <w:spacing w:after="0" w:line="259" w:lineRule="auto"/>
              <w:ind w:left="13" w:right="0" w:firstLine="0"/>
              <w:jc w:val="center"/>
            </w:pPr>
            <w:r>
              <w:rPr>
                <w:sz w:val="20"/>
              </w:rPr>
              <w:t xml:space="preserve">: </w:t>
            </w:r>
          </w:p>
        </w:tc>
      </w:tr>
      <w:tr w:rsidR="00E8309B">
        <w:trPr>
          <w:trHeight w:val="310"/>
        </w:trPr>
        <w:tc>
          <w:tcPr>
            <w:tcW w:w="5754" w:type="dxa"/>
            <w:tcBorders>
              <w:top w:val="dashed" w:sz="4" w:space="0" w:color="000000"/>
              <w:left w:val="double" w:sz="6" w:space="0" w:color="000000"/>
              <w:bottom w:val="dashed" w:sz="4" w:space="0" w:color="000000"/>
              <w:right w:val="single" w:sz="8" w:space="0" w:color="000000"/>
            </w:tcBorders>
          </w:tcPr>
          <w:p w:rsidR="00E8309B" w:rsidRDefault="009D0949">
            <w:pPr>
              <w:spacing w:after="0" w:line="259" w:lineRule="auto"/>
              <w:ind w:left="2" w:right="0" w:firstLine="0"/>
              <w:jc w:val="left"/>
            </w:pPr>
            <w:r>
              <w:rPr>
                <w:sz w:val="20"/>
              </w:rPr>
              <w:t xml:space="preserve">      </w:t>
            </w:r>
            <w:r>
              <w:rPr>
                <w:i/>
                <w:sz w:val="20"/>
              </w:rPr>
              <w:t xml:space="preserve">Девизни курс у односу на ЕУР (годишњи просек) </w:t>
            </w:r>
          </w:p>
        </w:tc>
        <w:tc>
          <w:tcPr>
            <w:tcW w:w="1695" w:type="dxa"/>
            <w:tcBorders>
              <w:top w:val="dashed" w:sz="4" w:space="0" w:color="000000"/>
              <w:left w:val="single" w:sz="8" w:space="0" w:color="000000"/>
              <w:bottom w:val="dashed" w:sz="4" w:space="0" w:color="000000"/>
              <w:right w:val="single" w:sz="8" w:space="0" w:color="000000"/>
            </w:tcBorders>
          </w:tcPr>
          <w:p w:rsidR="00E8309B" w:rsidRDefault="009D0949">
            <w:pPr>
              <w:spacing w:after="0" w:line="259" w:lineRule="auto"/>
              <w:ind w:left="6" w:right="0" w:firstLine="0"/>
              <w:jc w:val="center"/>
            </w:pPr>
            <w:r>
              <w:rPr>
                <w:sz w:val="20"/>
              </w:rPr>
              <w:t xml:space="preserve">%, мг </w:t>
            </w:r>
          </w:p>
        </w:tc>
        <w:tc>
          <w:tcPr>
            <w:tcW w:w="1426" w:type="dxa"/>
            <w:tcBorders>
              <w:top w:val="dashed" w:sz="4" w:space="0" w:color="000000"/>
              <w:left w:val="single" w:sz="8" w:space="0" w:color="000000"/>
              <w:bottom w:val="dashed" w:sz="4" w:space="0" w:color="000000"/>
              <w:right w:val="dashed" w:sz="4" w:space="0" w:color="000000"/>
            </w:tcBorders>
          </w:tcPr>
          <w:p w:rsidR="00E8309B" w:rsidRDefault="009D0949">
            <w:pPr>
              <w:spacing w:after="0" w:line="259" w:lineRule="auto"/>
              <w:ind w:right="0" w:firstLine="0"/>
              <w:jc w:val="center"/>
            </w:pPr>
            <w:r>
              <w:rPr>
                <w:sz w:val="20"/>
              </w:rPr>
              <w:t xml:space="preserve">-0,4 </w:t>
            </w:r>
          </w:p>
        </w:tc>
        <w:tc>
          <w:tcPr>
            <w:tcW w:w="1426"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right="0" w:firstLine="0"/>
              <w:jc w:val="center"/>
            </w:pPr>
            <w:r>
              <w:rPr>
                <w:sz w:val="20"/>
              </w:rPr>
              <w:t xml:space="preserve">-0,2 </w:t>
            </w:r>
          </w:p>
        </w:tc>
        <w:tc>
          <w:tcPr>
            <w:tcW w:w="1426"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6" w:right="0" w:firstLine="0"/>
              <w:jc w:val="center"/>
            </w:pPr>
            <w:r>
              <w:rPr>
                <w:sz w:val="20"/>
              </w:rPr>
              <w:t xml:space="preserve">: </w:t>
            </w:r>
          </w:p>
        </w:tc>
        <w:tc>
          <w:tcPr>
            <w:tcW w:w="1423"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7" w:right="0" w:firstLine="0"/>
              <w:jc w:val="center"/>
            </w:pPr>
            <w:r>
              <w:rPr>
                <w:sz w:val="20"/>
              </w:rPr>
              <w:t xml:space="preserve">: </w:t>
            </w:r>
          </w:p>
        </w:tc>
        <w:tc>
          <w:tcPr>
            <w:tcW w:w="1424" w:type="dxa"/>
            <w:tcBorders>
              <w:top w:val="dashed" w:sz="4" w:space="0" w:color="000000"/>
              <w:left w:val="dashed" w:sz="4" w:space="0" w:color="000000"/>
              <w:bottom w:val="dashed" w:sz="4" w:space="0" w:color="000000"/>
              <w:right w:val="double" w:sz="6" w:space="0" w:color="000000"/>
            </w:tcBorders>
          </w:tcPr>
          <w:p w:rsidR="00E8309B" w:rsidRDefault="009D0949">
            <w:pPr>
              <w:spacing w:after="0" w:line="259" w:lineRule="auto"/>
              <w:ind w:left="13" w:right="0" w:firstLine="0"/>
              <w:jc w:val="center"/>
            </w:pPr>
            <w:r>
              <w:rPr>
                <w:sz w:val="20"/>
              </w:rPr>
              <w:t xml:space="preserve">: </w:t>
            </w:r>
          </w:p>
        </w:tc>
      </w:tr>
      <w:tr w:rsidR="00E8309B">
        <w:trPr>
          <w:trHeight w:val="310"/>
        </w:trPr>
        <w:tc>
          <w:tcPr>
            <w:tcW w:w="5754" w:type="dxa"/>
            <w:tcBorders>
              <w:top w:val="dashed" w:sz="4" w:space="0" w:color="000000"/>
              <w:left w:val="double" w:sz="6" w:space="0" w:color="000000"/>
              <w:bottom w:val="dashed" w:sz="4" w:space="0" w:color="000000"/>
              <w:right w:val="single" w:sz="8" w:space="0" w:color="000000"/>
            </w:tcBorders>
          </w:tcPr>
          <w:p w:rsidR="00E8309B" w:rsidRDefault="009D0949">
            <w:pPr>
              <w:spacing w:after="0" w:line="259" w:lineRule="auto"/>
              <w:ind w:left="2" w:right="0" w:firstLine="0"/>
              <w:jc w:val="left"/>
            </w:pPr>
            <w:r>
              <w:rPr>
                <w:sz w:val="20"/>
              </w:rPr>
              <w:t xml:space="preserve">20. Девизни курс у односу на ЕУР (крај године) </w:t>
            </w:r>
          </w:p>
        </w:tc>
        <w:tc>
          <w:tcPr>
            <w:tcW w:w="1695" w:type="dxa"/>
            <w:tcBorders>
              <w:top w:val="dashed" w:sz="4" w:space="0" w:color="000000"/>
              <w:left w:val="single" w:sz="8" w:space="0" w:color="000000"/>
              <w:bottom w:val="dashed" w:sz="4" w:space="0" w:color="000000"/>
              <w:right w:val="single" w:sz="8" w:space="0" w:color="000000"/>
            </w:tcBorders>
          </w:tcPr>
          <w:p w:rsidR="00E8309B" w:rsidRDefault="009D0949">
            <w:pPr>
              <w:spacing w:after="0" w:line="259" w:lineRule="auto"/>
              <w:ind w:left="7" w:right="0" w:firstLine="0"/>
              <w:jc w:val="center"/>
            </w:pPr>
            <w:r>
              <w:rPr>
                <w:sz w:val="20"/>
              </w:rPr>
              <w:t xml:space="preserve">РСД/EUR </w:t>
            </w:r>
          </w:p>
        </w:tc>
        <w:tc>
          <w:tcPr>
            <w:tcW w:w="1426" w:type="dxa"/>
            <w:tcBorders>
              <w:top w:val="dashed" w:sz="4" w:space="0" w:color="000000"/>
              <w:left w:val="single" w:sz="8" w:space="0" w:color="000000"/>
              <w:bottom w:val="dashed" w:sz="4" w:space="0" w:color="000000"/>
              <w:right w:val="dashed" w:sz="4" w:space="0" w:color="000000"/>
            </w:tcBorders>
          </w:tcPr>
          <w:p w:rsidR="00E8309B" w:rsidRDefault="009D0949">
            <w:pPr>
              <w:spacing w:after="0" w:line="259" w:lineRule="auto"/>
              <w:ind w:left="12" w:right="0" w:firstLine="0"/>
              <w:jc w:val="center"/>
            </w:pPr>
            <w:r>
              <w:rPr>
                <w:sz w:val="20"/>
              </w:rPr>
              <w:t xml:space="preserve">117,6 </w:t>
            </w:r>
          </w:p>
        </w:tc>
        <w:tc>
          <w:tcPr>
            <w:tcW w:w="1426"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12" w:right="0" w:firstLine="0"/>
              <w:jc w:val="center"/>
            </w:pPr>
            <w:r>
              <w:rPr>
                <w:sz w:val="20"/>
              </w:rPr>
              <w:t xml:space="preserve">117,6 </w:t>
            </w:r>
          </w:p>
        </w:tc>
        <w:tc>
          <w:tcPr>
            <w:tcW w:w="1426"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6" w:right="0" w:firstLine="0"/>
              <w:jc w:val="center"/>
            </w:pPr>
            <w:r>
              <w:rPr>
                <w:sz w:val="20"/>
              </w:rPr>
              <w:t xml:space="preserve">: </w:t>
            </w:r>
          </w:p>
        </w:tc>
        <w:tc>
          <w:tcPr>
            <w:tcW w:w="1423"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7" w:right="0" w:firstLine="0"/>
              <w:jc w:val="center"/>
            </w:pPr>
            <w:r>
              <w:rPr>
                <w:sz w:val="20"/>
              </w:rPr>
              <w:t xml:space="preserve">: </w:t>
            </w:r>
          </w:p>
        </w:tc>
        <w:tc>
          <w:tcPr>
            <w:tcW w:w="1424" w:type="dxa"/>
            <w:tcBorders>
              <w:top w:val="dashed" w:sz="4" w:space="0" w:color="000000"/>
              <w:left w:val="dashed" w:sz="4" w:space="0" w:color="000000"/>
              <w:bottom w:val="dashed" w:sz="4" w:space="0" w:color="000000"/>
              <w:right w:val="double" w:sz="6" w:space="0" w:color="000000"/>
            </w:tcBorders>
          </w:tcPr>
          <w:p w:rsidR="00E8309B" w:rsidRDefault="009D0949">
            <w:pPr>
              <w:spacing w:after="0" w:line="259" w:lineRule="auto"/>
              <w:ind w:left="13" w:right="0" w:firstLine="0"/>
              <w:jc w:val="center"/>
            </w:pPr>
            <w:r>
              <w:rPr>
                <w:sz w:val="20"/>
              </w:rPr>
              <w:t xml:space="preserve">: </w:t>
            </w:r>
          </w:p>
        </w:tc>
      </w:tr>
      <w:tr w:rsidR="00E8309B">
        <w:trPr>
          <w:trHeight w:val="314"/>
        </w:trPr>
        <w:tc>
          <w:tcPr>
            <w:tcW w:w="5754" w:type="dxa"/>
            <w:tcBorders>
              <w:top w:val="dashed" w:sz="4" w:space="0" w:color="000000"/>
              <w:left w:val="double" w:sz="6" w:space="0" w:color="000000"/>
              <w:bottom w:val="single" w:sz="4" w:space="0" w:color="FFFFFF"/>
              <w:right w:val="single" w:sz="8" w:space="0" w:color="000000"/>
            </w:tcBorders>
          </w:tcPr>
          <w:p w:rsidR="00E8309B" w:rsidRDefault="009D0949">
            <w:pPr>
              <w:spacing w:after="0" w:line="259" w:lineRule="auto"/>
              <w:ind w:left="2" w:right="0" w:firstLine="0"/>
              <w:jc w:val="left"/>
            </w:pPr>
            <w:r>
              <w:rPr>
                <w:sz w:val="20"/>
              </w:rPr>
              <w:t xml:space="preserve">      </w:t>
            </w:r>
            <w:r>
              <w:rPr>
                <w:i/>
                <w:sz w:val="20"/>
              </w:rPr>
              <w:t xml:space="preserve">Девизни курс у односу на ЕУР (крај године) </w:t>
            </w:r>
          </w:p>
        </w:tc>
        <w:tc>
          <w:tcPr>
            <w:tcW w:w="1695" w:type="dxa"/>
            <w:tcBorders>
              <w:top w:val="dashed" w:sz="4" w:space="0" w:color="000000"/>
              <w:left w:val="single" w:sz="8" w:space="0" w:color="000000"/>
              <w:bottom w:val="single" w:sz="8" w:space="0" w:color="000000"/>
              <w:right w:val="single" w:sz="8" w:space="0" w:color="000000"/>
            </w:tcBorders>
          </w:tcPr>
          <w:p w:rsidR="00E8309B" w:rsidRDefault="009D0949">
            <w:pPr>
              <w:spacing w:after="0" w:line="259" w:lineRule="auto"/>
              <w:ind w:left="6" w:right="0" w:firstLine="0"/>
              <w:jc w:val="center"/>
            </w:pPr>
            <w:r>
              <w:rPr>
                <w:sz w:val="20"/>
              </w:rPr>
              <w:t xml:space="preserve">%, мг </w:t>
            </w:r>
          </w:p>
        </w:tc>
        <w:tc>
          <w:tcPr>
            <w:tcW w:w="1426" w:type="dxa"/>
            <w:tcBorders>
              <w:top w:val="dashed" w:sz="4" w:space="0" w:color="000000"/>
              <w:left w:val="single" w:sz="8" w:space="0" w:color="000000"/>
              <w:bottom w:val="single" w:sz="4" w:space="0" w:color="FFFFFF"/>
              <w:right w:val="dashed" w:sz="4" w:space="0" w:color="000000"/>
            </w:tcBorders>
          </w:tcPr>
          <w:p w:rsidR="00E8309B" w:rsidRDefault="009D0949">
            <w:pPr>
              <w:spacing w:after="0" w:line="259" w:lineRule="auto"/>
              <w:ind w:right="0" w:firstLine="0"/>
              <w:jc w:val="center"/>
            </w:pPr>
            <w:r>
              <w:rPr>
                <w:sz w:val="20"/>
              </w:rPr>
              <w:t xml:space="preserve">-0,5 </w:t>
            </w:r>
          </w:p>
        </w:tc>
        <w:tc>
          <w:tcPr>
            <w:tcW w:w="1426" w:type="dxa"/>
            <w:tcBorders>
              <w:top w:val="dashed" w:sz="4" w:space="0" w:color="000000"/>
              <w:left w:val="dashed" w:sz="4" w:space="0" w:color="000000"/>
              <w:bottom w:val="single" w:sz="4" w:space="0" w:color="FFFFFF"/>
              <w:right w:val="dashed" w:sz="4" w:space="0" w:color="000000"/>
            </w:tcBorders>
          </w:tcPr>
          <w:p w:rsidR="00E8309B" w:rsidRDefault="009D0949">
            <w:pPr>
              <w:spacing w:after="0" w:line="259" w:lineRule="auto"/>
              <w:ind w:left="13" w:right="0" w:firstLine="0"/>
              <w:jc w:val="center"/>
            </w:pPr>
            <w:r>
              <w:rPr>
                <w:sz w:val="20"/>
              </w:rPr>
              <w:t xml:space="preserve">0,0 </w:t>
            </w:r>
          </w:p>
        </w:tc>
        <w:tc>
          <w:tcPr>
            <w:tcW w:w="1426" w:type="dxa"/>
            <w:tcBorders>
              <w:top w:val="dashed" w:sz="4" w:space="0" w:color="000000"/>
              <w:left w:val="dashed" w:sz="4" w:space="0" w:color="000000"/>
              <w:bottom w:val="single" w:sz="4" w:space="0" w:color="FFFFFF"/>
              <w:right w:val="dashed" w:sz="4" w:space="0" w:color="000000"/>
            </w:tcBorders>
          </w:tcPr>
          <w:p w:rsidR="00E8309B" w:rsidRDefault="009D0949">
            <w:pPr>
              <w:spacing w:after="0" w:line="259" w:lineRule="auto"/>
              <w:ind w:left="6" w:right="0" w:firstLine="0"/>
              <w:jc w:val="center"/>
            </w:pPr>
            <w:r>
              <w:rPr>
                <w:sz w:val="20"/>
              </w:rPr>
              <w:t xml:space="preserve">: </w:t>
            </w:r>
          </w:p>
        </w:tc>
        <w:tc>
          <w:tcPr>
            <w:tcW w:w="1423" w:type="dxa"/>
            <w:tcBorders>
              <w:top w:val="dashed" w:sz="4" w:space="0" w:color="000000"/>
              <w:left w:val="dashed" w:sz="4" w:space="0" w:color="000000"/>
              <w:bottom w:val="single" w:sz="4" w:space="0" w:color="FFFFFF"/>
              <w:right w:val="dashed" w:sz="4" w:space="0" w:color="000000"/>
            </w:tcBorders>
          </w:tcPr>
          <w:p w:rsidR="00E8309B" w:rsidRDefault="009D0949">
            <w:pPr>
              <w:spacing w:after="0" w:line="259" w:lineRule="auto"/>
              <w:ind w:left="7" w:right="0" w:firstLine="0"/>
              <w:jc w:val="center"/>
            </w:pPr>
            <w:r>
              <w:rPr>
                <w:sz w:val="20"/>
              </w:rPr>
              <w:t xml:space="preserve">: </w:t>
            </w:r>
          </w:p>
        </w:tc>
        <w:tc>
          <w:tcPr>
            <w:tcW w:w="1424" w:type="dxa"/>
            <w:tcBorders>
              <w:top w:val="dashed" w:sz="4" w:space="0" w:color="000000"/>
              <w:left w:val="dashed" w:sz="4" w:space="0" w:color="000000"/>
              <w:bottom w:val="single" w:sz="4" w:space="0" w:color="FFFFFF"/>
              <w:right w:val="double" w:sz="6" w:space="0" w:color="000000"/>
            </w:tcBorders>
          </w:tcPr>
          <w:p w:rsidR="00E8309B" w:rsidRDefault="009D0949">
            <w:pPr>
              <w:spacing w:after="0" w:line="259" w:lineRule="auto"/>
              <w:ind w:left="13" w:right="0" w:firstLine="0"/>
              <w:jc w:val="center"/>
            </w:pPr>
            <w:r>
              <w:rPr>
                <w:sz w:val="20"/>
              </w:rPr>
              <w:t xml:space="preserve">: </w:t>
            </w:r>
          </w:p>
        </w:tc>
      </w:tr>
      <w:tr w:rsidR="00E8309B">
        <w:trPr>
          <w:trHeight w:val="314"/>
        </w:trPr>
        <w:tc>
          <w:tcPr>
            <w:tcW w:w="5754" w:type="dxa"/>
            <w:tcBorders>
              <w:top w:val="single" w:sz="4" w:space="0" w:color="FFFFFF"/>
              <w:left w:val="double" w:sz="6" w:space="0" w:color="000000"/>
              <w:bottom w:val="dashed" w:sz="4" w:space="0" w:color="000000"/>
              <w:right w:val="single" w:sz="8" w:space="0" w:color="000000"/>
            </w:tcBorders>
          </w:tcPr>
          <w:p w:rsidR="00E8309B" w:rsidRDefault="009D0949">
            <w:pPr>
              <w:spacing w:after="0" w:line="259" w:lineRule="auto"/>
              <w:ind w:left="2" w:right="0" w:firstLine="0"/>
              <w:jc w:val="left"/>
            </w:pPr>
            <w:r>
              <w:rPr>
                <w:sz w:val="20"/>
              </w:rPr>
              <w:t xml:space="preserve">22. Нето страна штедња </w:t>
            </w:r>
          </w:p>
        </w:tc>
        <w:tc>
          <w:tcPr>
            <w:tcW w:w="1695" w:type="dxa"/>
            <w:tcBorders>
              <w:top w:val="single" w:sz="8" w:space="0" w:color="000000"/>
              <w:left w:val="single" w:sz="8" w:space="0" w:color="000000"/>
              <w:bottom w:val="dashed" w:sz="4" w:space="0" w:color="000000"/>
              <w:right w:val="single" w:sz="8" w:space="0" w:color="000000"/>
            </w:tcBorders>
          </w:tcPr>
          <w:p w:rsidR="00E8309B" w:rsidRDefault="009D0949">
            <w:pPr>
              <w:spacing w:after="0" w:line="259" w:lineRule="auto"/>
              <w:ind w:left="9" w:right="0" w:firstLine="0"/>
              <w:jc w:val="center"/>
            </w:pPr>
            <w:r>
              <w:rPr>
                <w:sz w:val="20"/>
              </w:rPr>
              <w:t xml:space="preserve">% БДП </w:t>
            </w:r>
          </w:p>
        </w:tc>
        <w:tc>
          <w:tcPr>
            <w:tcW w:w="1426" w:type="dxa"/>
            <w:tcBorders>
              <w:top w:val="single" w:sz="4" w:space="0" w:color="FFFFFF"/>
              <w:left w:val="single" w:sz="8" w:space="0" w:color="000000"/>
              <w:bottom w:val="dashed" w:sz="4" w:space="0" w:color="000000"/>
              <w:right w:val="dashed" w:sz="4" w:space="0" w:color="000000"/>
            </w:tcBorders>
          </w:tcPr>
          <w:p w:rsidR="00E8309B" w:rsidRDefault="009D0949">
            <w:pPr>
              <w:spacing w:after="0" w:line="259" w:lineRule="auto"/>
              <w:ind w:right="0" w:firstLine="0"/>
              <w:jc w:val="center"/>
            </w:pPr>
            <w:r>
              <w:rPr>
                <w:sz w:val="20"/>
              </w:rPr>
              <w:t xml:space="preserve">: </w:t>
            </w:r>
          </w:p>
        </w:tc>
        <w:tc>
          <w:tcPr>
            <w:tcW w:w="1426" w:type="dxa"/>
            <w:tcBorders>
              <w:top w:val="single" w:sz="4" w:space="0" w:color="FFFFFF"/>
              <w:left w:val="dashed" w:sz="4" w:space="0" w:color="000000"/>
              <w:bottom w:val="dashed" w:sz="4" w:space="0" w:color="000000"/>
              <w:right w:val="dashed" w:sz="4" w:space="0" w:color="000000"/>
            </w:tcBorders>
          </w:tcPr>
          <w:p w:rsidR="00E8309B" w:rsidRDefault="009D0949">
            <w:pPr>
              <w:spacing w:after="0" w:line="259" w:lineRule="auto"/>
              <w:ind w:right="0" w:firstLine="0"/>
              <w:jc w:val="center"/>
            </w:pPr>
            <w:r>
              <w:rPr>
                <w:sz w:val="20"/>
              </w:rPr>
              <w:t xml:space="preserve">: </w:t>
            </w:r>
          </w:p>
        </w:tc>
        <w:tc>
          <w:tcPr>
            <w:tcW w:w="1426" w:type="dxa"/>
            <w:tcBorders>
              <w:top w:val="single" w:sz="4" w:space="0" w:color="FFFFFF"/>
              <w:left w:val="dashed" w:sz="4" w:space="0" w:color="000000"/>
              <w:bottom w:val="dashed" w:sz="4" w:space="0" w:color="000000"/>
              <w:right w:val="dashed" w:sz="4" w:space="0" w:color="000000"/>
            </w:tcBorders>
          </w:tcPr>
          <w:p w:rsidR="00E8309B" w:rsidRDefault="009D0949">
            <w:pPr>
              <w:spacing w:after="0" w:line="259" w:lineRule="auto"/>
              <w:ind w:left="6" w:right="0" w:firstLine="0"/>
              <w:jc w:val="center"/>
            </w:pPr>
            <w:r>
              <w:rPr>
                <w:sz w:val="20"/>
              </w:rPr>
              <w:t xml:space="preserve">: </w:t>
            </w:r>
          </w:p>
        </w:tc>
        <w:tc>
          <w:tcPr>
            <w:tcW w:w="1423" w:type="dxa"/>
            <w:tcBorders>
              <w:top w:val="single" w:sz="4" w:space="0" w:color="FFFFFF"/>
              <w:left w:val="dashed" w:sz="4" w:space="0" w:color="000000"/>
              <w:bottom w:val="dashed" w:sz="4" w:space="0" w:color="000000"/>
              <w:right w:val="dashed" w:sz="4" w:space="0" w:color="000000"/>
            </w:tcBorders>
          </w:tcPr>
          <w:p w:rsidR="00E8309B" w:rsidRDefault="009D0949">
            <w:pPr>
              <w:spacing w:after="0" w:line="259" w:lineRule="auto"/>
              <w:ind w:left="7" w:right="0" w:firstLine="0"/>
              <w:jc w:val="center"/>
            </w:pPr>
            <w:r>
              <w:rPr>
                <w:sz w:val="20"/>
              </w:rPr>
              <w:t xml:space="preserve">: </w:t>
            </w:r>
          </w:p>
        </w:tc>
        <w:tc>
          <w:tcPr>
            <w:tcW w:w="1424" w:type="dxa"/>
            <w:tcBorders>
              <w:top w:val="single" w:sz="4" w:space="0" w:color="FFFFFF"/>
              <w:left w:val="dashed" w:sz="4" w:space="0" w:color="000000"/>
              <w:bottom w:val="dashed" w:sz="4" w:space="0" w:color="000000"/>
              <w:right w:val="double" w:sz="6" w:space="0" w:color="000000"/>
            </w:tcBorders>
          </w:tcPr>
          <w:p w:rsidR="00E8309B" w:rsidRDefault="009D0949">
            <w:pPr>
              <w:spacing w:after="0" w:line="259" w:lineRule="auto"/>
              <w:ind w:left="13" w:right="0" w:firstLine="0"/>
              <w:jc w:val="center"/>
            </w:pPr>
            <w:r>
              <w:rPr>
                <w:sz w:val="20"/>
              </w:rPr>
              <w:t xml:space="preserve">: </w:t>
            </w:r>
          </w:p>
        </w:tc>
      </w:tr>
      <w:tr w:rsidR="00E8309B">
        <w:trPr>
          <w:trHeight w:val="312"/>
        </w:trPr>
        <w:tc>
          <w:tcPr>
            <w:tcW w:w="5754" w:type="dxa"/>
            <w:tcBorders>
              <w:top w:val="dashed" w:sz="4" w:space="0" w:color="000000"/>
              <w:left w:val="double" w:sz="6" w:space="0" w:color="000000"/>
              <w:bottom w:val="dashed" w:sz="4" w:space="0" w:color="000000"/>
              <w:right w:val="single" w:sz="8" w:space="0" w:color="000000"/>
            </w:tcBorders>
          </w:tcPr>
          <w:p w:rsidR="00E8309B" w:rsidRDefault="009D0949">
            <w:pPr>
              <w:spacing w:after="0" w:line="259" w:lineRule="auto"/>
              <w:ind w:left="2" w:right="0" w:firstLine="0"/>
              <w:jc w:val="left"/>
            </w:pPr>
            <w:r>
              <w:rPr>
                <w:sz w:val="20"/>
              </w:rPr>
              <w:t xml:space="preserve">23. Домаћа приватна штедња </w:t>
            </w:r>
          </w:p>
        </w:tc>
        <w:tc>
          <w:tcPr>
            <w:tcW w:w="1695" w:type="dxa"/>
            <w:tcBorders>
              <w:top w:val="dashed" w:sz="4" w:space="0" w:color="000000"/>
              <w:left w:val="single" w:sz="8" w:space="0" w:color="000000"/>
              <w:bottom w:val="dashed" w:sz="4" w:space="0" w:color="000000"/>
              <w:right w:val="single" w:sz="8" w:space="0" w:color="000000"/>
            </w:tcBorders>
          </w:tcPr>
          <w:p w:rsidR="00E8309B" w:rsidRDefault="009D0949">
            <w:pPr>
              <w:spacing w:after="0" w:line="259" w:lineRule="auto"/>
              <w:ind w:left="9" w:right="0" w:firstLine="0"/>
              <w:jc w:val="center"/>
            </w:pPr>
            <w:r>
              <w:rPr>
                <w:sz w:val="20"/>
              </w:rPr>
              <w:t xml:space="preserve">% БДП </w:t>
            </w:r>
          </w:p>
        </w:tc>
        <w:tc>
          <w:tcPr>
            <w:tcW w:w="1426" w:type="dxa"/>
            <w:tcBorders>
              <w:top w:val="dashed" w:sz="4" w:space="0" w:color="000000"/>
              <w:left w:val="single" w:sz="8" w:space="0" w:color="000000"/>
              <w:bottom w:val="dashed" w:sz="4" w:space="0" w:color="000000"/>
              <w:right w:val="dashed" w:sz="4" w:space="0" w:color="000000"/>
            </w:tcBorders>
          </w:tcPr>
          <w:p w:rsidR="00E8309B" w:rsidRDefault="009D0949">
            <w:pPr>
              <w:spacing w:after="0" w:line="259" w:lineRule="auto"/>
              <w:ind w:right="0" w:firstLine="0"/>
              <w:jc w:val="center"/>
            </w:pPr>
            <w:r>
              <w:rPr>
                <w:sz w:val="20"/>
              </w:rPr>
              <w:t xml:space="preserve">: </w:t>
            </w:r>
          </w:p>
        </w:tc>
        <w:tc>
          <w:tcPr>
            <w:tcW w:w="1426"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right="0" w:firstLine="0"/>
              <w:jc w:val="center"/>
            </w:pPr>
            <w:r>
              <w:rPr>
                <w:sz w:val="20"/>
              </w:rPr>
              <w:t xml:space="preserve">: </w:t>
            </w:r>
          </w:p>
        </w:tc>
        <w:tc>
          <w:tcPr>
            <w:tcW w:w="1426"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6" w:right="0" w:firstLine="0"/>
              <w:jc w:val="center"/>
            </w:pPr>
            <w:r>
              <w:rPr>
                <w:sz w:val="20"/>
              </w:rPr>
              <w:t xml:space="preserve">: </w:t>
            </w:r>
          </w:p>
        </w:tc>
        <w:tc>
          <w:tcPr>
            <w:tcW w:w="1423"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7" w:right="0" w:firstLine="0"/>
              <w:jc w:val="center"/>
            </w:pPr>
            <w:r>
              <w:rPr>
                <w:sz w:val="20"/>
              </w:rPr>
              <w:t xml:space="preserve">: </w:t>
            </w:r>
          </w:p>
        </w:tc>
        <w:tc>
          <w:tcPr>
            <w:tcW w:w="1424" w:type="dxa"/>
            <w:tcBorders>
              <w:top w:val="dashed" w:sz="4" w:space="0" w:color="000000"/>
              <w:left w:val="dashed" w:sz="4" w:space="0" w:color="000000"/>
              <w:bottom w:val="dashed" w:sz="4" w:space="0" w:color="000000"/>
              <w:right w:val="double" w:sz="6" w:space="0" w:color="000000"/>
            </w:tcBorders>
          </w:tcPr>
          <w:p w:rsidR="00E8309B" w:rsidRDefault="009D0949">
            <w:pPr>
              <w:spacing w:after="0" w:line="259" w:lineRule="auto"/>
              <w:ind w:left="13" w:right="0" w:firstLine="0"/>
              <w:jc w:val="center"/>
            </w:pPr>
            <w:r>
              <w:rPr>
                <w:sz w:val="20"/>
              </w:rPr>
              <w:t xml:space="preserve">: </w:t>
            </w:r>
          </w:p>
        </w:tc>
      </w:tr>
      <w:tr w:rsidR="00E8309B">
        <w:trPr>
          <w:trHeight w:val="310"/>
        </w:trPr>
        <w:tc>
          <w:tcPr>
            <w:tcW w:w="5754" w:type="dxa"/>
            <w:tcBorders>
              <w:top w:val="dashed" w:sz="4" w:space="0" w:color="000000"/>
              <w:left w:val="double" w:sz="6" w:space="0" w:color="000000"/>
              <w:bottom w:val="dashed" w:sz="4" w:space="0" w:color="000000"/>
              <w:right w:val="single" w:sz="8" w:space="0" w:color="000000"/>
            </w:tcBorders>
          </w:tcPr>
          <w:p w:rsidR="00E8309B" w:rsidRDefault="009D0949">
            <w:pPr>
              <w:spacing w:after="0" w:line="259" w:lineRule="auto"/>
              <w:ind w:left="2" w:right="0" w:firstLine="0"/>
              <w:jc w:val="left"/>
            </w:pPr>
            <w:r>
              <w:rPr>
                <w:sz w:val="20"/>
              </w:rPr>
              <w:t xml:space="preserve">24. Домаће приватне инвестиције  </w:t>
            </w:r>
          </w:p>
        </w:tc>
        <w:tc>
          <w:tcPr>
            <w:tcW w:w="1695" w:type="dxa"/>
            <w:tcBorders>
              <w:top w:val="dashed" w:sz="4" w:space="0" w:color="000000"/>
              <w:left w:val="single" w:sz="8" w:space="0" w:color="000000"/>
              <w:bottom w:val="dashed" w:sz="4" w:space="0" w:color="000000"/>
              <w:right w:val="single" w:sz="8" w:space="0" w:color="000000"/>
            </w:tcBorders>
          </w:tcPr>
          <w:p w:rsidR="00E8309B" w:rsidRDefault="009D0949">
            <w:pPr>
              <w:spacing w:after="0" w:line="259" w:lineRule="auto"/>
              <w:ind w:left="9" w:right="0" w:firstLine="0"/>
              <w:jc w:val="center"/>
            </w:pPr>
            <w:r>
              <w:rPr>
                <w:sz w:val="20"/>
              </w:rPr>
              <w:t xml:space="preserve">% БДП </w:t>
            </w:r>
          </w:p>
        </w:tc>
        <w:tc>
          <w:tcPr>
            <w:tcW w:w="1426" w:type="dxa"/>
            <w:tcBorders>
              <w:top w:val="dashed" w:sz="4" w:space="0" w:color="000000"/>
              <w:left w:val="single" w:sz="8" w:space="0" w:color="000000"/>
              <w:bottom w:val="dashed" w:sz="4" w:space="0" w:color="000000"/>
              <w:right w:val="dashed" w:sz="4" w:space="0" w:color="000000"/>
            </w:tcBorders>
          </w:tcPr>
          <w:p w:rsidR="00E8309B" w:rsidRDefault="009D0949">
            <w:pPr>
              <w:spacing w:after="0" w:line="259" w:lineRule="auto"/>
              <w:ind w:right="0" w:firstLine="0"/>
              <w:jc w:val="center"/>
            </w:pPr>
            <w:r>
              <w:rPr>
                <w:sz w:val="20"/>
              </w:rPr>
              <w:t xml:space="preserve">: </w:t>
            </w:r>
          </w:p>
        </w:tc>
        <w:tc>
          <w:tcPr>
            <w:tcW w:w="1426"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right="0" w:firstLine="0"/>
              <w:jc w:val="center"/>
            </w:pPr>
            <w:r>
              <w:rPr>
                <w:sz w:val="20"/>
              </w:rPr>
              <w:t xml:space="preserve">: </w:t>
            </w:r>
          </w:p>
        </w:tc>
        <w:tc>
          <w:tcPr>
            <w:tcW w:w="1426"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6" w:right="0" w:firstLine="0"/>
              <w:jc w:val="center"/>
            </w:pPr>
            <w:r>
              <w:rPr>
                <w:sz w:val="20"/>
              </w:rPr>
              <w:t xml:space="preserve">: </w:t>
            </w:r>
          </w:p>
        </w:tc>
        <w:tc>
          <w:tcPr>
            <w:tcW w:w="1423"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7" w:right="0" w:firstLine="0"/>
              <w:jc w:val="center"/>
            </w:pPr>
            <w:r>
              <w:rPr>
                <w:sz w:val="20"/>
              </w:rPr>
              <w:t xml:space="preserve">: </w:t>
            </w:r>
          </w:p>
        </w:tc>
        <w:tc>
          <w:tcPr>
            <w:tcW w:w="1424" w:type="dxa"/>
            <w:tcBorders>
              <w:top w:val="dashed" w:sz="4" w:space="0" w:color="000000"/>
              <w:left w:val="dashed" w:sz="4" w:space="0" w:color="000000"/>
              <w:bottom w:val="dashed" w:sz="4" w:space="0" w:color="000000"/>
              <w:right w:val="double" w:sz="6" w:space="0" w:color="000000"/>
            </w:tcBorders>
          </w:tcPr>
          <w:p w:rsidR="00E8309B" w:rsidRDefault="009D0949">
            <w:pPr>
              <w:spacing w:after="0" w:line="259" w:lineRule="auto"/>
              <w:ind w:left="13" w:right="0" w:firstLine="0"/>
              <w:jc w:val="center"/>
            </w:pPr>
            <w:r>
              <w:rPr>
                <w:sz w:val="20"/>
              </w:rPr>
              <w:t xml:space="preserve">: </w:t>
            </w:r>
          </w:p>
        </w:tc>
      </w:tr>
      <w:tr w:rsidR="00E8309B">
        <w:trPr>
          <w:trHeight w:val="310"/>
        </w:trPr>
        <w:tc>
          <w:tcPr>
            <w:tcW w:w="5754" w:type="dxa"/>
            <w:tcBorders>
              <w:top w:val="dashed" w:sz="4" w:space="0" w:color="000000"/>
              <w:left w:val="double" w:sz="6" w:space="0" w:color="000000"/>
              <w:bottom w:val="dashed" w:sz="4" w:space="0" w:color="000000"/>
              <w:right w:val="single" w:sz="8" w:space="0" w:color="000000"/>
            </w:tcBorders>
          </w:tcPr>
          <w:p w:rsidR="00E8309B" w:rsidRDefault="009D0949">
            <w:pPr>
              <w:spacing w:after="0" w:line="259" w:lineRule="auto"/>
              <w:ind w:left="2" w:right="0" w:firstLine="0"/>
              <w:jc w:val="left"/>
            </w:pPr>
            <w:r>
              <w:rPr>
                <w:sz w:val="20"/>
              </w:rPr>
              <w:t xml:space="preserve">25. Домаћа јавна штедња </w:t>
            </w:r>
          </w:p>
        </w:tc>
        <w:tc>
          <w:tcPr>
            <w:tcW w:w="1695" w:type="dxa"/>
            <w:tcBorders>
              <w:top w:val="dashed" w:sz="4" w:space="0" w:color="000000"/>
              <w:left w:val="single" w:sz="8" w:space="0" w:color="000000"/>
              <w:bottom w:val="dashed" w:sz="4" w:space="0" w:color="000000"/>
              <w:right w:val="single" w:sz="8" w:space="0" w:color="000000"/>
            </w:tcBorders>
          </w:tcPr>
          <w:p w:rsidR="00E8309B" w:rsidRDefault="009D0949">
            <w:pPr>
              <w:spacing w:after="0" w:line="259" w:lineRule="auto"/>
              <w:ind w:left="9" w:right="0" w:firstLine="0"/>
              <w:jc w:val="center"/>
            </w:pPr>
            <w:r>
              <w:rPr>
                <w:sz w:val="20"/>
              </w:rPr>
              <w:t xml:space="preserve">% БДП </w:t>
            </w:r>
          </w:p>
        </w:tc>
        <w:tc>
          <w:tcPr>
            <w:tcW w:w="1426" w:type="dxa"/>
            <w:tcBorders>
              <w:top w:val="dashed" w:sz="4" w:space="0" w:color="000000"/>
              <w:left w:val="single" w:sz="8" w:space="0" w:color="000000"/>
              <w:bottom w:val="dashed" w:sz="4" w:space="0" w:color="000000"/>
              <w:right w:val="dashed" w:sz="4" w:space="0" w:color="000000"/>
            </w:tcBorders>
          </w:tcPr>
          <w:p w:rsidR="00E8309B" w:rsidRDefault="009D0949">
            <w:pPr>
              <w:spacing w:after="0" w:line="259" w:lineRule="auto"/>
              <w:ind w:right="0" w:firstLine="0"/>
              <w:jc w:val="center"/>
            </w:pPr>
            <w:r>
              <w:rPr>
                <w:sz w:val="20"/>
              </w:rPr>
              <w:t xml:space="preserve">: </w:t>
            </w:r>
          </w:p>
        </w:tc>
        <w:tc>
          <w:tcPr>
            <w:tcW w:w="1426"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right="0" w:firstLine="0"/>
              <w:jc w:val="center"/>
            </w:pPr>
            <w:r>
              <w:rPr>
                <w:sz w:val="20"/>
              </w:rPr>
              <w:t xml:space="preserve">: </w:t>
            </w:r>
          </w:p>
        </w:tc>
        <w:tc>
          <w:tcPr>
            <w:tcW w:w="1426"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6" w:right="0" w:firstLine="0"/>
              <w:jc w:val="center"/>
            </w:pPr>
            <w:r>
              <w:rPr>
                <w:sz w:val="20"/>
              </w:rPr>
              <w:t xml:space="preserve">: </w:t>
            </w:r>
          </w:p>
        </w:tc>
        <w:tc>
          <w:tcPr>
            <w:tcW w:w="1423"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7" w:right="0" w:firstLine="0"/>
              <w:jc w:val="center"/>
            </w:pPr>
            <w:r>
              <w:rPr>
                <w:sz w:val="20"/>
              </w:rPr>
              <w:t xml:space="preserve">: </w:t>
            </w:r>
          </w:p>
        </w:tc>
        <w:tc>
          <w:tcPr>
            <w:tcW w:w="1424" w:type="dxa"/>
            <w:tcBorders>
              <w:top w:val="dashed" w:sz="4" w:space="0" w:color="000000"/>
              <w:left w:val="dashed" w:sz="4" w:space="0" w:color="000000"/>
              <w:bottom w:val="dashed" w:sz="4" w:space="0" w:color="000000"/>
              <w:right w:val="double" w:sz="6" w:space="0" w:color="000000"/>
            </w:tcBorders>
          </w:tcPr>
          <w:p w:rsidR="00E8309B" w:rsidRDefault="009D0949">
            <w:pPr>
              <w:spacing w:after="0" w:line="259" w:lineRule="auto"/>
              <w:ind w:left="13" w:right="0" w:firstLine="0"/>
              <w:jc w:val="center"/>
            </w:pPr>
            <w:r>
              <w:rPr>
                <w:sz w:val="20"/>
              </w:rPr>
              <w:t xml:space="preserve">: </w:t>
            </w:r>
          </w:p>
        </w:tc>
      </w:tr>
      <w:tr w:rsidR="00E8309B">
        <w:trPr>
          <w:trHeight w:val="329"/>
        </w:trPr>
        <w:tc>
          <w:tcPr>
            <w:tcW w:w="5754" w:type="dxa"/>
            <w:tcBorders>
              <w:top w:val="dashed" w:sz="4" w:space="0" w:color="000000"/>
              <w:left w:val="double" w:sz="6" w:space="0" w:color="000000"/>
              <w:bottom w:val="double" w:sz="6" w:space="0" w:color="000000"/>
              <w:right w:val="single" w:sz="8" w:space="0" w:color="000000"/>
            </w:tcBorders>
          </w:tcPr>
          <w:p w:rsidR="00E8309B" w:rsidRDefault="009D0949">
            <w:pPr>
              <w:spacing w:after="0" w:line="259" w:lineRule="auto"/>
              <w:ind w:left="2" w:right="0" w:firstLine="0"/>
              <w:jc w:val="left"/>
            </w:pPr>
            <w:r>
              <w:rPr>
                <w:sz w:val="20"/>
              </w:rPr>
              <w:t xml:space="preserve">26. Домаће јавне инвестиције </w:t>
            </w:r>
          </w:p>
        </w:tc>
        <w:tc>
          <w:tcPr>
            <w:tcW w:w="1695" w:type="dxa"/>
            <w:tcBorders>
              <w:top w:val="dashed" w:sz="4" w:space="0" w:color="000000"/>
              <w:left w:val="single" w:sz="8" w:space="0" w:color="000000"/>
              <w:bottom w:val="double" w:sz="6" w:space="0" w:color="000000"/>
              <w:right w:val="single" w:sz="8" w:space="0" w:color="000000"/>
            </w:tcBorders>
          </w:tcPr>
          <w:p w:rsidR="00E8309B" w:rsidRDefault="009D0949">
            <w:pPr>
              <w:spacing w:after="0" w:line="259" w:lineRule="auto"/>
              <w:ind w:left="9" w:right="0" w:firstLine="0"/>
              <w:jc w:val="center"/>
            </w:pPr>
            <w:r>
              <w:rPr>
                <w:sz w:val="20"/>
              </w:rPr>
              <w:t xml:space="preserve">% БДП </w:t>
            </w:r>
          </w:p>
        </w:tc>
        <w:tc>
          <w:tcPr>
            <w:tcW w:w="1426" w:type="dxa"/>
            <w:tcBorders>
              <w:top w:val="dashed" w:sz="4" w:space="0" w:color="000000"/>
              <w:left w:val="single" w:sz="8" w:space="0" w:color="000000"/>
              <w:bottom w:val="double" w:sz="6" w:space="0" w:color="000000"/>
              <w:right w:val="dashed" w:sz="4" w:space="0" w:color="000000"/>
            </w:tcBorders>
          </w:tcPr>
          <w:p w:rsidR="00E8309B" w:rsidRDefault="009D0949">
            <w:pPr>
              <w:spacing w:after="0" w:line="259" w:lineRule="auto"/>
              <w:ind w:right="0" w:firstLine="0"/>
              <w:jc w:val="center"/>
            </w:pPr>
            <w:r>
              <w:rPr>
                <w:sz w:val="20"/>
              </w:rPr>
              <w:t xml:space="preserve">: </w:t>
            </w:r>
          </w:p>
        </w:tc>
        <w:tc>
          <w:tcPr>
            <w:tcW w:w="1426" w:type="dxa"/>
            <w:tcBorders>
              <w:top w:val="dashed" w:sz="4" w:space="0" w:color="000000"/>
              <w:left w:val="dashed" w:sz="4" w:space="0" w:color="000000"/>
              <w:bottom w:val="double" w:sz="6" w:space="0" w:color="000000"/>
              <w:right w:val="dashed" w:sz="4" w:space="0" w:color="000000"/>
            </w:tcBorders>
          </w:tcPr>
          <w:p w:rsidR="00E8309B" w:rsidRDefault="009D0949">
            <w:pPr>
              <w:spacing w:after="0" w:line="259" w:lineRule="auto"/>
              <w:ind w:right="0" w:firstLine="0"/>
              <w:jc w:val="center"/>
            </w:pPr>
            <w:r>
              <w:rPr>
                <w:sz w:val="20"/>
              </w:rPr>
              <w:t xml:space="preserve">: </w:t>
            </w:r>
          </w:p>
        </w:tc>
        <w:tc>
          <w:tcPr>
            <w:tcW w:w="1426" w:type="dxa"/>
            <w:tcBorders>
              <w:top w:val="dashed" w:sz="4" w:space="0" w:color="000000"/>
              <w:left w:val="dashed" w:sz="4" w:space="0" w:color="000000"/>
              <w:bottom w:val="double" w:sz="6" w:space="0" w:color="000000"/>
              <w:right w:val="dashed" w:sz="4" w:space="0" w:color="000000"/>
            </w:tcBorders>
          </w:tcPr>
          <w:p w:rsidR="00E8309B" w:rsidRDefault="009D0949">
            <w:pPr>
              <w:spacing w:after="0" w:line="259" w:lineRule="auto"/>
              <w:ind w:left="6" w:right="0" w:firstLine="0"/>
              <w:jc w:val="center"/>
            </w:pPr>
            <w:r>
              <w:rPr>
                <w:sz w:val="20"/>
              </w:rPr>
              <w:t xml:space="preserve">: </w:t>
            </w:r>
          </w:p>
        </w:tc>
        <w:tc>
          <w:tcPr>
            <w:tcW w:w="1423" w:type="dxa"/>
            <w:tcBorders>
              <w:top w:val="dashed" w:sz="4" w:space="0" w:color="000000"/>
              <w:left w:val="dashed" w:sz="4" w:space="0" w:color="000000"/>
              <w:bottom w:val="double" w:sz="6" w:space="0" w:color="000000"/>
              <w:right w:val="dashed" w:sz="4" w:space="0" w:color="000000"/>
            </w:tcBorders>
          </w:tcPr>
          <w:p w:rsidR="00E8309B" w:rsidRDefault="009D0949">
            <w:pPr>
              <w:spacing w:after="0" w:line="259" w:lineRule="auto"/>
              <w:ind w:left="7" w:right="0" w:firstLine="0"/>
              <w:jc w:val="center"/>
            </w:pPr>
            <w:r>
              <w:rPr>
                <w:sz w:val="20"/>
              </w:rPr>
              <w:t xml:space="preserve">: </w:t>
            </w:r>
          </w:p>
        </w:tc>
        <w:tc>
          <w:tcPr>
            <w:tcW w:w="1424" w:type="dxa"/>
            <w:tcBorders>
              <w:top w:val="dashed" w:sz="4" w:space="0" w:color="000000"/>
              <w:left w:val="dashed" w:sz="4" w:space="0" w:color="000000"/>
              <w:bottom w:val="double" w:sz="6" w:space="0" w:color="000000"/>
              <w:right w:val="double" w:sz="6" w:space="0" w:color="000000"/>
            </w:tcBorders>
          </w:tcPr>
          <w:p w:rsidR="00E8309B" w:rsidRDefault="009D0949">
            <w:pPr>
              <w:spacing w:after="0" w:line="259" w:lineRule="auto"/>
              <w:ind w:left="13" w:right="0" w:firstLine="0"/>
              <w:jc w:val="center"/>
            </w:pPr>
            <w:r>
              <w:rPr>
                <w:sz w:val="20"/>
              </w:rPr>
              <w:t xml:space="preserve">: </w:t>
            </w:r>
          </w:p>
        </w:tc>
      </w:tr>
    </w:tbl>
    <w:p w:rsidR="00E8309B" w:rsidRDefault="009D0949">
      <w:pPr>
        <w:spacing w:after="215" w:line="259" w:lineRule="auto"/>
        <w:ind w:left="0" w:right="0" w:firstLine="0"/>
        <w:jc w:val="left"/>
      </w:pPr>
      <w:r>
        <w:rPr>
          <w:sz w:val="22"/>
        </w:rPr>
        <w:t xml:space="preserve"> </w:t>
      </w:r>
    </w:p>
    <w:p w:rsidR="00E8309B" w:rsidRDefault="009D0949">
      <w:pPr>
        <w:tabs>
          <w:tab w:val="center" w:pos="6723"/>
          <w:tab w:val="center" w:pos="7900"/>
          <w:tab w:val="center" w:pos="9301"/>
          <w:tab w:val="center" w:pos="10704"/>
          <w:tab w:val="right" w:pos="14522"/>
        </w:tabs>
        <w:spacing w:after="0" w:line="259" w:lineRule="auto"/>
        <w:ind w:left="0" w:right="0" w:firstLine="0"/>
        <w:jc w:val="left"/>
      </w:pPr>
      <w:r>
        <w:rPr>
          <w:b/>
          <w:sz w:val="20"/>
        </w:rPr>
        <w:t xml:space="preserve">Табела 1g: Индикатори одрживости </w:t>
      </w:r>
      <w:r>
        <w:rPr>
          <w:b/>
          <w:sz w:val="20"/>
        </w:rPr>
        <w:tab/>
      </w:r>
      <w:r>
        <w:rPr>
          <w:sz w:val="20"/>
        </w:rPr>
        <w:t xml:space="preserve">  </w:t>
      </w:r>
      <w:r>
        <w:rPr>
          <w:sz w:val="20"/>
        </w:rPr>
        <w:tab/>
        <w:t xml:space="preserve">  </w:t>
      </w:r>
      <w:r>
        <w:rPr>
          <w:sz w:val="20"/>
        </w:rPr>
        <w:tab/>
        <w:t xml:space="preserve">  </w:t>
      </w:r>
      <w:r>
        <w:rPr>
          <w:sz w:val="20"/>
        </w:rPr>
        <w:tab/>
        <w:t xml:space="preserve">  </w:t>
      </w:r>
      <w:r>
        <w:rPr>
          <w:sz w:val="20"/>
        </w:rPr>
        <w:tab/>
      </w:r>
      <w:r>
        <w:rPr>
          <w:b/>
          <w:sz w:val="20"/>
        </w:rPr>
        <w:t>Република Србија</w:t>
      </w:r>
      <w:r>
        <w:rPr>
          <w:sz w:val="20"/>
        </w:rPr>
        <w:t xml:space="preserve"> </w:t>
      </w:r>
    </w:p>
    <w:tbl>
      <w:tblPr>
        <w:tblStyle w:val="TableGrid"/>
        <w:tblW w:w="14573" w:type="dxa"/>
        <w:tblInd w:w="0" w:type="dxa"/>
        <w:tblCellMar>
          <w:top w:w="33" w:type="dxa"/>
          <w:left w:w="0" w:type="dxa"/>
          <w:bottom w:w="15" w:type="dxa"/>
          <w:right w:w="41" w:type="dxa"/>
        </w:tblCellMar>
        <w:tblLook w:val="04A0" w:firstRow="1" w:lastRow="0" w:firstColumn="1" w:lastColumn="0" w:noHBand="0" w:noVBand="1"/>
      </w:tblPr>
      <w:tblGrid>
        <w:gridCol w:w="4609"/>
        <w:gridCol w:w="1781"/>
        <w:gridCol w:w="1112"/>
        <w:gridCol w:w="523"/>
        <w:gridCol w:w="1114"/>
        <w:gridCol w:w="523"/>
        <w:gridCol w:w="1635"/>
        <w:gridCol w:w="1114"/>
        <w:gridCol w:w="523"/>
        <w:gridCol w:w="1640"/>
      </w:tblGrid>
      <w:tr w:rsidR="00E8309B">
        <w:trPr>
          <w:trHeight w:val="361"/>
        </w:trPr>
        <w:tc>
          <w:tcPr>
            <w:tcW w:w="4609" w:type="dxa"/>
            <w:vMerge w:val="restart"/>
            <w:tcBorders>
              <w:top w:val="double" w:sz="6" w:space="0" w:color="000000"/>
              <w:left w:val="double" w:sz="6" w:space="0" w:color="000000"/>
              <w:bottom w:val="single" w:sz="8" w:space="0" w:color="000000"/>
              <w:right w:val="dashed" w:sz="4" w:space="0" w:color="000000"/>
            </w:tcBorders>
            <w:vAlign w:val="bottom"/>
          </w:tcPr>
          <w:p w:rsidR="00E8309B" w:rsidRDefault="009D0949">
            <w:pPr>
              <w:spacing w:after="0" w:line="259" w:lineRule="auto"/>
              <w:ind w:left="110" w:right="0" w:firstLine="0"/>
              <w:jc w:val="left"/>
            </w:pPr>
            <w:r>
              <w:rPr>
                <w:sz w:val="20"/>
              </w:rPr>
              <w:t xml:space="preserve">  </w:t>
            </w:r>
          </w:p>
        </w:tc>
        <w:tc>
          <w:tcPr>
            <w:tcW w:w="1781" w:type="dxa"/>
            <w:vMerge w:val="restart"/>
            <w:tcBorders>
              <w:top w:val="double" w:sz="6" w:space="0" w:color="000000"/>
              <w:left w:val="dashed" w:sz="4" w:space="0" w:color="000000"/>
              <w:bottom w:val="single" w:sz="8" w:space="0" w:color="000000"/>
              <w:right w:val="single" w:sz="8" w:space="0" w:color="000000"/>
            </w:tcBorders>
            <w:vAlign w:val="center"/>
          </w:tcPr>
          <w:p w:rsidR="00E8309B" w:rsidRDefault="009D0949">
            <w:pPr>
              <w:spacing w:after="0" w:line="259" w:lineRule="auto"/>
              <w:ind w:left="38" w:right="0" w:firstLine="0"/>
              <w:jc w:val="center"/>
            </w:pPr>
            <w:r>
              <w:rPr>
                <w:sz w:val="20"/>
              </w:rPr>
              <w:t xml:space="preserve">Димензија </w:t>
            </w:r>
          </w:p>
        </w:tc>
        <w:tc>
          <w:tcPr>
            <w:tcW w:w="1112" w:type="dxa"/>
            <w:tcBorders>
              <w:top w:val="double" w:sz="6" w:space="0" w:color="000000"/>
              <w:left w:val="single" w:sz="8" w:space="0" w:color="000000"/>
              <w:bottom w:val="single" w:sz="18" w:space="0" w:color="FFFFFF"/>
              <w:right w:val="nil"/>
            </w:tcBorders>
            <w:vAlign w:val="bottom"/>
          </w:tcPr>
          <w:p w:rsidR="00E8309B" w:rsidRDefault="009D0949">
            <w:pPr>
              <w:spacing w:after="0" w:line="259" w:lineRule="auto"/>
              <w:ind w:left="0" w:right="84" w:firstLine="0"/>
              <w:jc w:val="right"/>
            </w:pPr>
            <w:r>
              <w:rPr>
                <w:sz w:val="20"/>
              </w:rPr>
              <w:t xml:space="preserve">год. </w:t>
            </w:r>
          </w:p>
        </w:tc>
        <w:tc>
          <w:tcPr>
            <w:tcW w:w="523" w:type="dxa"/>
            <w:tcBorders>
              <w:top w:val="double" w:sz="6" w:space="0" w:color="000000"/>
              <w:left w:val="nil"/>
              <w:bottom w:val="single" w:sz="18" w:space="0" w:color="FFFFFF"/>
              <w:right w:val="dashed" w:sz="4" w:space="0" w:color="000000"/>
            </w:tcBorders>
          </w:tcPr>
          <w:p w:rsidR="00E8309B" w:rsidRDefault="00E8309B">
            <w:pPr>
              <w:spacing w:after="160" w:line="259" w:lineRule="auto"/>
              <w:ind w:left="0" w:right="0" w:firstLine="0"/>
              <w:jc w:val="left"/>
            </w:pPr>
          </w:p>
        </w:tc>
        <w:tc>
          <w:tcPr>
            <w:tcW w:w="1114" w:type="dxa"/>
            <w:vMerge w:val="restart"/>
            <w:tcBorders>
              <w:top w:val="double" w:sz="6" w:space="0" w:color="000000"/>
              <w:left w:val="dashed" w:sz="4" w:space="0" w:color="000000"/>
              <w:bottom w:val="single" w:sz="8" w:space="0" w:color="000000"/>
              <w:right w:val="nil"/>
            </w:tcBorders>
            <w:vAlign w:val="bottom"/>
          </w:tcPr>
          <w:p w:rsidR="00E8309B" w:rsidRDefault="009D0949">
            <w:pPr>
              <w:spacing w:after="116" w:line="259" w:lineRule="auto"/>
              <w:ind w:left="0" w:right="86" w:firstLine="0"/>
              <w:jc w:val="right"/>
            </w:pPr>
            <w:r>
              <w:rPr>
                <w:sz w:val="20"/>
              </w:rPr>
              <w:t xml:space="preserve">год. </w:t>
            </w:r>
          </w:p>
          <w:p w:rsidR="00E8309B" w:rsidRDefault="009D0949">
            <w:pPr>
              <w:spacing w:after="0" w:line="259" w:lineRule="auto"/>
              <w:ind w:left="0" w:right="51" w:firstLine="0"/>
              <w:jc w:val="right"/>
            </w:pPr>
            <w:r>
              <w:rPr>
                <w:sz w:val="20"/>
              </w:rPr>
              <w:t xml:space="preserve">2017 </w:t>
            </w:r>
          </w:p>
        </w:tc>
        <w:tc>
          <w:tcPr>
            <w:tcW w:w="523" w:type="dxa"/>
            <w:vMerge w:val="restart"/>
            <w:tcBorders>
              <w:top w:val="double" w:sz="6" w:space="0" w:color="000000"/>
              <w:left w:val="nil"/>
              <w:bottom w:val="single" w:sz="8" w:space="0" w:color="000000"/>
              <w:right w:val="dashed" w:sz="4" w:space="0" w:color="000000"/>
            </w:tcBorders>
          </w:tcPr>
          <w:p w:rsidR="00E8309B" w:rsidRDefault="00E8309B">
            <w:pPr>
              <w:spacing w:after="160" w:line="259" w:lineRule="auto"/>
              <w:ind w:left="0" w:right="0" w:firstLine="0"/>
              <w:jc w:val="left"/>
            </w:pPr>
          </w:p>
        </w:tc>
        <w:tc>
          <w:tcPr>
            <w:tcW w:w="1635" w:type="dxa"/>
            <w:vMerge w:val="restart"/>
            <w:tcBorders>
              <w:top w:val="double" w:sz="6" w:space="0" w:color="000000"/>
              <w:left w:val="dashed" w:sz="4" w:space="0" w:color="000000"/>
              <w:bottom w:val="single" w:sz="8" w:space="0" w:color="000000"/>
              <w:right w:val="dashed" w:sz="4" w:space="0" w:color="000000"/>
            </w:tcBorders>
            <w:vAlign w:val="bottom"/>
          </w:tcPr>
          <w:p w:rsidR="00E8309B" w:rsidRDefault="009D0949">
            <w:pPr>
              <w:spacing w:after="116" w:line="259" w:lineRule="auto"/>
              <w:ind w:left="45" w:right="0" w:firstLine="0"/>
              <w:jc w:val="center"/>
            </w:pPr>
            <w:r>
              <w:rPr>
                <w:sz w:val="20"/>
              </w:rPr>
              <w:t xml:space="preserve">год. </w:t>
            </w:r>
          </w:p>
          <w:p w:rsidR="00E8309B" w:rsidRDefault="009D0949">
            <w:pPr>
              <w:spacing w:after="0" w:line="259" w:lineRule="auto"/>
              <w:ind w:left="47" w:right="0" w:firstLine="0"/>
              <w:jc w:val="center"/>
            </w:pPr>
            <w:r>
              <w:rPr>
                <w:sz w:val="20"/>
              </w:rPr>
              <w:t xml:space="preserve">2018 </w:t>
            </w:r>
          </w:p>
        </w:tc>
        <w:tc>
          <w:tcPr>
            <w:tcW w:w="1114" w:type="dxa"/>
            <w:vMerge w:val="restart"/>
            <w:tcBorders>
              <w:top w:val="double" w:sz="6" w:space="0" w:color="000000"/>
              <w:left w:val="dashed" w:sz="4" w:space="0" w:color="000000"/>
              <w:bottom w:val="single" w:sz="8" w:space="0" w:color="000000"/>
              <w:right w:val="nil"/>
            </w:tcBorders>
            <w:vAlign w:val="bottom"/>
          </w:tcPr>
          <w:p w:rsidR="00E8309B" w:rsidRDefault="009D0949">
            <w:pPr>
              <w:spacing w:after="116" w:line="259" w:lineRule="auto"/>
              <w:ind w:left="0" w:right="86" w:firstLine="0"/>
              <w:jc w:val="right"/>
            </w:pPr>
            <w:r>
              <w:rPr>
                <w:sz w:val="20"/>
              </w:rPr>
              <w:t xml:space="preserve">год. </w:t>
            </w:r>
          </w:p>
          <w:p w:rsidR="00E8309B" w:rsidRDefault="009D0949">
            <w:pPr>
              <w:spacing w:after="0" w:line="259" w:lineRule="auto"/>
              <w:ind w:left="0" w:right="51" w:firstLine="0"/>
              <w:jc w:val="right"/>
            </w:pPr>
            <w:r>
              <w:rPr>
                <w:sz w:val="20"/>
              </w:rPr>
              <w:t xml:space="preserve">2019 </w:t>
            </w:r>
          </w:p>
        </w:tc>
        <w:tc>
          <w:tcPr>
            <w:tcW w:w="523" w:type="dxa"/>
            <w:vMerge w:val="restart"/>
            <w:tcBorders>
              <w:top w:val="double" w:sz="6" w:space="0" w:color="000000"/>
              <w:left w:val="nil"/>
              <w:bottom w:val="single" w:sz="8" w:space="0" w:color="000000"/>
              <w:right w:val="dashed" w:sz="4" w:space="0" w:color="000000"/>
            </w:tcBorders>
          </w:tcPr>
          <w:p w:rsidR="00E8309B" w:rsidRDefault="00E8309B">
            <w:pPr>
              <w:spacing w:after="160" w:line="259" w:lineRule="auto"/>
              <w:ind w:left="0" w:right="0" w:firstLine="0"/>
              <w:jc w:val="left"/>
            </w:pPr>
          </w:p>
        </w:tc>
        <w:tc>
          <w:tcPr>
            <w:tcW w:w="1640" w:type="dxa"/>
            <w:tcBorders>
              <w:top w:val="double" w:sz="6" w:space="0" w:color="000000"/>
              <w:left w:val="dashed" w:sz="4" w:space="0" w:color="000000"/>
              <w:bottom w:val="single" w:sz="18" w:space="0" w:color="FFFFFF"/>
              <w:right w:val="double" w:sz="6" w:space="0" w:color="000000"/>
            </w:tcBorders>
            <w:vAlign w:val="bottom"/>
          </w:tcPr>
          <w:p w:rsidR="00E8309B" w:rsidRDefault="009D0949">
            <w:pPr>
              <w:spacing w:after="0" w:line="259" w:lineRule="auto"/>
              <w:ind w:left="46" w:right="0" w:firstLine="0"/>
              <w:jc w:val="center"/>
            </w:pPr>
            <w:r>
              <w:rPr>
                <w:sz w:val="20"/>
              </w:rPr>
              <w:t xml:space="preserve">год. </w:t>
            </w:r>
          </w:p>
        </w:tc>
      </w:tr>
      <w:tr w:rsidR="00E8309B">
        <w:trPr>
          <w:trHeight w:val="352"/>
        </w:trPr>
        <w:tc>
          <w:tcPr>
            <w:tcW w:w="0" w:type="auto"/>
            <w:vMerge/>
            <w:tcBorders>
              <w:top w:val="nil"/>
              <w:left w:val="double" w:sz="6" w:space="0" w:color="000000"/>
              <w:bottom w:val="single" w:sz="8" w:space="0" w:color="000000"/>
              <w:right w:val="dashed" w:sz="4" w:space="0" w:color="000000"/>
            </w:tcBorders>
          </w:tcPr>
          <w:p w:rsidR="00E8309B" w:rsidRDefault="00E8309B">
            <w:pPr>
              <w:spacing w:after="160" w:line="259" w:lineRule="auto"/>
              <w:ind w:left="0" w:right="0" w:firstLine="0"/>
              <w:jc w:val="left"/>
            </w:pPr>
          </w:p>
        </w:tc>
        <w:tc>
          <w:tcPr>
            <w:tcW w:w="0" w:type="auto"/>
            <w:vMerge/>
            <w:tcBorders>
              <w:top w:val="nil"/>
              <w:left w:val="dashed" w:sz="4" w:space="0" w:color="000000"/>
              <w:bottom w:val="single" w:sz="8" w:space="0" w:color="000000"/>
              <w:right w:val="single" w:sz="8" w:space="0" w:color="000000"/>
            </w:tcBorders>
          </w:tcPr>
          <w:p w:rsidR="00E8309B" w:rsidRDefault="00E8309B">
            <w:pPr>
              <w:spacing w:after="160" w:line="259" w:lineRule="auto"/>
              <w:ind w:left="0" w:right="0" w:firstLine="0"/>
              <w:jc w:val="left"/>
            </w:pPr>
          </w:p>
        </w:tc>
        <w:tc>
          <w:tcPr>
            <w:tcW w:w="1112" w:type="dxa"/>
            <w:tcBorders>
              <w:top w:val="single" w:sz="18" w:space="0" w:color="FFFFFF"/>
              <w:left w:val="single" w:sz="8" w:space="0" w:color="000000"/>
              <w:bottom w:val="single" w:sz="8" w:space="0" w:color="000000"/>
              <w:right w:val="nil"/>
            </w:tcBorders>
            <w:vAlign w:val="bottom"/>
          </w:tcPr>
          <w:p w:rsidR="00E8309B" w:rsidRDefault="009D0949">
            <w:pPr>
              <w:spacing w:after="0" w:line="259" w:lineRule="auto"/>
              <w:ind w:left="0" w:right="49" w:firstLine="0"/>
              <w:jc w:val="right"/>
            </w:pPr>
            <w:r>
              <w:rPr>
                <w:sz w:val="20"/>
              </w:rPr>
              <w:t xml:space="preserve">2016 </w:t>
            </w:r>
          </w:p>
        </w:tc>
        <w:tc>
          <w:tcPr>
            <w:tcW w:w="523" w:type="dxa"/>
            <w:tcBorders>
              <w:top w:val="single" w:sz="18" w:space="0" w:color="FFFFFF"/>
              <w:left w:val="nil"/>
              <w:bottom w:val="single" w:sz="8" w:space="0" w:color="000000"/>
              <w:right w:val="dashed" w:sz="4" w:space="0" w:color="000000"/>
            </w:tcBorders>
          </w:tcPr>
          <w:p w:rsidR="00E8309B" w:rsidRDefault="00E8309B">
            <w:pPr>
              <w:spacing w:after="160" w:line="259" w:lineRule="auto"/>
              <w:ind w:left="0" w:right="0" w:firstLine="0"/>
              <w:jc w:val="left"/>
            </w:pPr>
          </w:p>
        </w:tc>
        <w:tc>
          <w:tcPr>
            <w:tcW w:w="0" w:type="auto"/>
            <w:vMerge/>
            <w:tcBorders>
              <w:top w:val="nil"/>
              <w:left w:val="dashed" w:sz="4" w:space="0" w:color="000000"/>
              <w:bottom w:val="single" w:sz="8" w:space="0" w:color="000000"/>
              <w:right w:val="nil"/>
            </w:tcBorders>
          </w:tcPr>
          <w:p w:rsidR="00E8309B" w:rsidRDefault="00E8309B">
            <w:pPr>
              <w:spacing w:after="160" w:line="259" w:lineRule="auto"/>
              <w:ind w:left="0" w:right="0" w:firstLine="0"/>
              <w:jc w:val="left"/>
            </w:pPr>
          </w:p>
        </w:tc>
        <w:tc>
          <w:tcPr>
            <w:tcW w:w="0" w:type="auto"/>
            <w:vMerge/>
            <w:tcBorders>
              <w:top w:val="nil"/>
              <w:left w:val="nil"/>
              <w:bottom w:val="single" w:sz="8" w:space="0" w:color="000000"/>
              <w:right w:val="dashed" w:sz="4" w:space="0" w:color="000000"/>
            </w:tcBorders>
          </w:tcPr>
          <w:p w:rsidR="00E8309B" w:rsidRDefault="00E8309B">
            <w:pPr>
              <w:spacing w:after="160" w:line="259" w:lineRule="auto"/>
              <w:ind w:left="0" w:right="0" w:firstLine="0"/>
              <w:jc w:val="left"/>
            </w:pPr>
          </w:p>
        </w:tc>
        <w:tc>
          <w:tcPr>
            <w:tcW w:w="0" w:type="auto"/>
            <w:vMerge/>
            <w:tcBorders>
              <w:top w:val="nil"/>
              <w:left w:val="dashed" w:sz="4" w:space="0" w:color="000000"/>
              <w:bottom w:val="single" w:sz="8" w:space="0" w:color="000000"/>
              <w:right w:val="dashed" w:sz="4" w:space="0" w:color="000000"/>
            </w:tcBorders>
          </w:tcPr>
          <w:p w:rsidR="00E8309B" w:rsidRDefault="00E8309B">
            <w:pPr>
              <w:spacing w:after="160" w:line="259" w:lineRule="auto"/>
              <w:ind w:left="0" w:right="0" w:firstLine="0"/>
              <w:jc w:val="left"/>
            </w:pPr>
          </w:p>
        </w:tc>
        <w:tc>
          <w:tcPr>
            <w:tcW w:w="0" w:type="auto"/>
            <w:vMerge/>
            <w:tcBorders>
              <w:top w:val="nil"/>
              <w:left w:val="dashed" w:sz="4" w:space="0" w:color="000000"/>
              <w:bottom w:val="single" w:sz="8" w:space="0" w:color="000000"/>
              <w:right w:val="nil"/>
            </w:tcBorders>
          </w:tcPr>
          <w:p w:rsidR="00E8309B" w:rsidRDefault="00E8309B">
            <w:pPr>
              <w:spacing w:after="160" w:line="259" w:lineRule="auto"/>
              <w:ind w:left="0" w:right="0" w:firstLine="0"/>
              <w:jc w:val="left"/>
            </w:pPr>
          </w:p>
        </w:tc>
        <w:tc>
          <w:tcPr>
            <w:tcW w:w="0" w:type="auto"/>
            <w:vMerge/>
            <w:tcBorders>
              <w:top w:val="nil"/>
              <w:left w:val="nil"/>
              <w:bottom w:val="single" w:sz="8" w:space="0" w:color="000000"/>
              <w:right w:val="dashed" w:sz="4" w:space="0" w:color="000000"/>
            </w:tcBorders>
          </w:tcPr>
          <w:p w:rsidR="00E8309B" w:rsidRDefault="00E8309B">
            <w:pPr>
              <w:spacing w:after="160" w:line="259" w:lineRule="auto"/>
              <w:ind w:left="0" w:right="0" w:firstLine="0"/>
              <w:jc w:val="left"/>
            </w:pPr>
          </w:p>
        </w:tc>
        <w:tc>
          <w:tcPr>
            <w:tcW w:w="1640" w:type="dxa"/>
            <w:tcBorders>
              <w:top w:val="single" w:sz="18" w:space="0" w:color="FFFFFF"/>
              <w:left w:val="dashed" w:sz="4" w:space="0" w:color="000000"/>
              <w:bottom w:val="single" w:sz="8" w:space="0" w:color="000000"/>
              <w:right w:val="double" w:sz="6" w:space="0" w:color="000000"/>
            </w:tcBorders>
            <w:vAlign w:val="bottom"/>
          </w:tcPr>
          <w:p w:rsidR="00E8309B" w:rsidRDefault="009D0949">
            <w:pPr>
              <w:spacing w:after="0" w:line="259" w:lineRule="auto"/>
              <w:ind w:left="47" w:right="0" w:firstLine="0"/>
              <w:jc w:val="center"/>
            </w:pPr>
            <w:r>
              <w:rPr>
                <w:sz w:val="20"/>
              </w:rPr>
              <w:t xml:space="preserve">2020 </w:t>
            </w:r>
          </w:p>
        </w:tc>
      </w:tr>
      <w:tr w:rsidR="00E8309B">
        <w:trPr>
          <w:trHeight w:val="475"/>
        </w:trPr>
        <w:tc>
          <w:tcPr>
            <w:tcW w:w="4609" w:type="dxa"/>
            <w:tcBorders>
              <w:top w:val="single" w:sz="8" w:space="0" w:color="000000"/>
              <w:left w:val="double" w:sz="6" w:space="0" w:color="000000"/>
              <w:bottom w:val="dashed" w:sz="4" w:space="0" w:color="000000"/>
              <w:right w:val="dashed" w:sz="4" w:space="0" w:color="000000"/>
            </w:tcBorders>
          </w:tcPr>
          <w:p w:rsidR="00E8309B" w:rsidRDefault="009D0949">
            <w:pPr>
              <w:spacing w:after="0" w:line="259" w:lineRule="auto"/>
              <w:ind w:left="110" w:right="0" w:firstLine="0"/>
              <w:jc w:val="left"/>
            </w:pPr>
            <w:r>
              <w:rPr>
                <w:sz w:val="20"/>
              </w:rPr>
              <w:t xml:space="preserve">1. Биланс текућих трансакција </w:t>
            </w:r>
          </w:p>
        </w:tc>
        <w:tc>
          <w:tcPr>
            <w:tcW w:w="1781" w:type="dxa"/>
            <w:tcBorders>
              <w:top w:val="single" w:sz="8" w:space="0" w:color="000000"/>
              <w:left w:val="dashed" w:sz="4" w:space="0" w:color="000000"/>
              <w:bottom w:val="dashed" w:sz="4" w:space="0" w:color="000000"/>
              <w:right w:val="single" w:sz="8" w:space="0" w:color="000000"/>
            </w:tcBorders>
          </w:tcPr>
          <w:p w:rsidR="00E8309B" w:rsidRDefault="009D0949">
            <w:pPr>
              <w:spacing w:after="0" w:line="259" w:lineRule="auto"/>
              <w:ind w:left="39" w:right="0" w:firstLine="0"/>
              <w:jc w:val="center"/>
            </w:pPr>
            <w:r>
              <w:rPr>
                <w:sz w:val="20"/>
              </w:rPr>
              <w:t xml:space="preserve">% БДП </w:t>
            </w:r>
          </w:p>
        </w:tc>
        <w:tc>
          <w:tcPr>
            <w:tcW w:w="1112" w:type="dxa"/>
            <w:tcBorders>
              <w:top w:val="single" w:sz="8" w:space="0" w:color="000000"/>
              <w:left w:val="single" w:sz="8" w:space="0" w:color="000000"/>
              <w:bottom w:val="dashed" w:sz="4" w:space="0" w:color="000000"/>
              <w:right w:val="nil"/>
            </w:tcBorders>
          </w:tcPr>
          <w:p w:rsidR="00E8309B" w:rsidRDefault="00E8309B">
            <w:pPr>
              <w:spacing w:after="160" w:line="259" w:lineRule="auto"/>
              <w:ind w:left="0" w:right="0" w:firstLine="0"/>
              <w:jc w:val="left"/>
            </w:pPr>
          </w:p>
        </w:tc>
        <w:tc>
          <w:tcPr>
            <w:tcW w:w="523" w:type="dxa"/>
            <w:tcBorders>
              <w:top w:val="single" w:sz="8" w:space="0" w:color="000000"/>
              <w:left w:val="nil"/>
              <w:bottom w:val="dashed" w:sz="4" w:space="0" w:color="000000"/>
              <w:right w:val="dashed" w:sz="4" w:space="0" w:color="000000"/>
            </w:tcBorders>
            <w:vAlign w:val="center"/>
          </w:tcPr>
          <w:p w:rsidR="00E8309B" w:rsidRDefault="009D0949">
            <w:pPr>
              <w:spacing w:after="0" w:line="259" w:lineRule="auto"/>
              <w:ind w:left="101" w:right="0" w:firstLine="0"/>
              <w:jc w:val="left"/>
            </w:pPr>
            <w:r>
              <w:rPr>
                <w:sz w:val="20"/>
              </w:rPr>
              <w:t xml:space="preserve">-2,9 </w:t>
            </w:r>
          </w:p>
        </w:tc>
        <w:tc>
          <w:tcPr>
            <w:tcW w:w="1114" w:type="dxa"/>
            <w:tcBorders>
              <w:top w:val="single" w:sz="8" w:space="0" w:color="000000"/>
              <w:left w:val="dashed" w:sz="4" w:space="0" w:color="000000"/>
              <w:bottom w:val="dashed" w:sz="4" w:space="0" w:color="000000"/>
              <w:right w:val="nil"/>
            </w:tcBorders>
          </w:tcPr>
          <w:p w:rsidR="00E8309B" w:rsidRDefault="00E8309B">
            <w:pPr>
              <w:spacing w:after="160" w:line="259" w:lineRule="auto"/>
              <w:ind w:left="0" w:right="0" w:firstLine="0"/>
              <w:jc w:val="left"/>
            </w:pPr>
          </w:p>
        </w:tc>
        <w:tc>
          <w:tcPr>
            <w:tcW w:w="523" w:type="dxa"/>
            <w:tcBorders>
              <w:top w:val="single" w:sz="8" w:space="0" w:color="000000"/>
              <w:left w:val="nil"/>
              <w:bottom w:val="dashed" w:sz="4" w:space="0" w:color="000000"/>
              <w:right w:val="dashed" w:sz="4" w:space="0" w:color="000000"/>
            </w:tcBorders>
            <w:vAlign w:val="center"/>
          </w:tcPr>
          <w:p w:rsidR="00E8309B" w:rsidRDefault="009D0949">
            <w:pPr>
              <w:spacing w:after="0" w:line="259" w:lineRule="auto"/>
              <w:ind w:left="101" w:right="0" w:firstLine="0"/>
              <w:jc w:val="left"/>
            </w:pPr>
            <w:r>
              <w:rPr>
                <w:sz w:val="20"/>
              </w:rPr>
              <w:t xml:space="preserve">-5,2 </w:t>
            </w:r>
          </w:p>
        </w:tc>
        <w:tc>
          <w:tcPr>
            <w:tcW w:w="1635" w:type="dxa"/>
            <w:tcBorders>
              <w:top w:val="single" w:sz="8" w:space="0" w:color="000000"/>
              <w:left w:val="dashed" w:sz="4" w:space="0" w:color="000000"/>
              <w:bottom w:val="dashed" w:sz="4" w:space="0" w:color="000000"/>
              <w:right w:val="dashed" w:sz="4" w:space="0" w:color="000000"/>
            </w:tcBorders>
            <w:vAlign w:val="center"/>
          </w:tcPr>
          <w:p w:rsidR="00E8309B" w:rsidRDefault="009D0949">
            <w:pPr>
              <w:spacing w:after="0" w:line="259" w:lineRule="auto"/>
              <w:ind w:left="0" w:right="66" w:firstLine="0"/>
              <w:jc w:val="right"/>
            </w:pPr>
            <w:r>
              <w:rPr>
                <w:sz w:val="20"/>
              </w:rPr>
              <w:t xml:space="preserve">-4,8 </w:t>
            </w:r>
          </w:p>
        </w:tc>
        <w:tc>
          <w:tcPr>
            <w:tcW w:w="1114" w:type="dxa"/>
            <w:tcBorders>
              <w:top w:val="single" w:sz="8" w:space="0" w:color="000000"/>
              <w:left w:val="dashed" w:sz="4" w:space="0" w:color="000000"/>
              <w:bottom w:val="dashed" w:sz="4" w:space="0" w:color="000000"/>
              <w:right w:val="nil"/>
            </w:tcBorders>
          </w:tcPr>
          <w:p w:rsidR="00E8309B" w:rsidRDefault="00E8309B">
            <w:pPr>
              <w:spacing w:after="160" w:line="259" w:lineRule="auto"/>
              <w:ind w:left="0" w:right="0" w:firstLine="0"/>
              <w:jc w:val="left"/>
            </w:pPr>
          </w:p>
        </w:tc>
        <w:tc>
          <w:tcPr>
            <w:tcW w:w="523" w:type="dxa"/>
            <w:tcBorders>
              <w:top w:val="single" w:sz="8" w:space="0" w:color="000000"/>
              <w:left w:val="nil"/>
              <w:bottom w:val="dashed" w:sz="4" w:space="0" w:color="000000"/>
              <w:right w:val="dashed" w:sz="4" w:space="0" w:color="000000"/>
            </w:tcBorders>
            <w:vAlign w:val="center"/>
          </w:tcPr>
          <w:p w:rsidR="00E8309B" w:rsidRDefault="009D0949">
            <w:pPr>
              <w:spacing w:after="0" w:line="259" w:lineRule="auto"/>
              <w:ind w:left="101" w:right="0" w:firstLine="0"/>
              <w:jc w:val="left"/>
            </w:pPr>
            <w:r>
              <w:rPr>
                <w:sz w:val="20"/>
              </w:rPr>
              <w:t xml:space="preserve">-6,9 </w:t>
            </w:r>
          </w:p>
        </w:tc>
        <w:tc>
          <w:tcPr>
            <w:tcW w:w="1640" w:type="dxa"/>
            <w:tcBorders>
              <w:top w:val="single" w:sz="8" w:space="0" w:color="000000"/>
              <w:left w:val="dashed" w:sz="4" w:space="0" w:color="000000"/>
              <w:bottom w:val="dashed" w:sz="4" w:space="0" w:color="000000"/>
              <w:right w:val="double" w:sz="6" w:space="0" w:color="000000"/>
            </w:tcBorders>
            <w:vAlign w:val="center"/>
          </w:tcPr>
          <w:p w:rsidR="00E8309B" w:rsidRDefault="009D0949">
            <w:pPr>
              <w:spacing w:after="0" w:line="259" w:lineRule="auto"/>
              <w:ind w:left="0" w:right="66" w:firstLine="0"/>
              <w:jc w:val="right"/>
            </w:pPr>
            <w:r>
              <w:rPr>
                <w:sz w:val="20"/>
              </w:rPr>
              <w:t xml:space="preserve">-5,0 </w:t>
            </w:r>
          </w:p>
        </w:tc>
      </w:tr>
      <w:tr w:rsidR="00E8309B">
        <w:trPr>
          <w:trHeight w:val="470"/>
        </w:trPr>
        <w:tc>
          <w:tcPr>
            <w:tcW w:w="4609" w:type="dxa"/>
            <w:tcBorders>
              <w:top w:val="dashed" w:sz="4" w:space="0" w:color="000000"/>
              <w:left w:val="double" w:sz="6" w:space="0" w:color="000000"/>
              <w:bottom w:val="dashed" w:sz="4" w:space="0" w:color="000000"/>
              <w:right w:val="dashed" w:sz="4" w:space="0" w:color="000000"/>
            </w:tcBorders>
          </w:tcPr>
          <w:p w:rsidR="00E8309B" w:rsidRDefault="009D0949">
            <w:pPr>
              <w:spacing w:after="0" w:line="259" w:lineRule="auto"/>
              <w:ind w:left="110" w:right="0" w:firstLine="0"/>
              <w:jc w:val="left"/>
            </w:pPr>
            <w:r>
              <w:rPr>
                <w:sz w:val="20"/>
              </w:rPr>
              <w:t xml:space="preserve">2. Нето међународна инвестициона позиција [1] </w:t>
            </w:r>
          </w:p>
        </w:tc>
        <w:tc>
          <w:tcPr>
            <w:tcW w:w="1781" w:type="dxa"/>
            <w:tcBorders>
              <w:top w:val="dashed" w:sz="4" w:space="0" w:color="000000"/>
              <w:left w:val="dashed" w:sz="4" w:space="0" w:color="000000"/>
              <w:bottom w:val="dashed" w:sz="4" w:space="0" w:color="000000"/>
              <w:right w:val="single" w:sz="8" w:space="0" w:color="000000"/>
            </w:tcBorders>
          </w:tcPr>
          <w:p w:rsidR="00E8309B" w:rsidRDefault="009D0949">
            <w:pPr>
              <w:spacing w:after="0" w:line="259" w:lineRule="auto"/>
              <w:ind w:left="39" w:right="0" w:firstLine="0"/>
              <w:jc w:val="center"/>
            </w:pPr>
            <w:r>
              <w:rPr>
                <w:sz w:val="20"/>
              </w:rPr>
              <w:t xml:space="preserve">% БДП </w:t>
            </w:r>
          </w:p>
        </w:tc>
        <w:tc>
          <w:tcPr>
            <w:tcW w:w="1112" w:type="dxa"/>
            <w:tcBorders>
              <w:top w:val="dashed" w:sz="4" w:space="0" w:color="000000"/>
              <w:left w:val="single" w:sz="8" w:space="0" w:color="000000"/>
              <w:bottom w:val="dashed" w:sz="4" w:space="0" w:color="000000"/>
              <w:right w:val="nil"/>
            </w:tcBorders>
          </w:tcPr>
          <w:p w:rsidR="00E8309B" w:rsidRDefault="00E8309B">
            <w:pPr>
              <w:spacing w:after="160" w:line="259" w:lineRule="auto"/>
              <w:ind w:left="0" w:right="0" w:firstLine="0"/>
              <w:jc w:val="left"/>
            </w:pPr>
          </w:p>
        </w:tc>
        <w:tc>
          <w:tcPr>
            <w:tcW w:w="523" w:type="dxa"/>
            <w:tcBorders>
              <w:top w:val="dashed" w:sz="4" w:space="0" w:color="000000"/>
              <w:left w:val="nil"/>
              <w:bottom w:val="dashed" w:sz="4" w:space="0" w:color="000000"/>
              <w:right w:val="dashed" w:sz="4" w:space="0" w:color="000000"/>
            </w:tcBorders>
            <w:vAlign w:val="center"/>
          </w:tcPr>
          <w:p w:rsidR="00E8309B" w:rsidRDefault="009D0949">
            <w:pPr>
              <w:spacing w:after="0" w:line="259" w:lineRule="auto"/>
              <w:ind w:left="0" w:right="0" w:firstLine="0"/>
            </w:pPr>
            <w:r>
              <w:rPr>
                <w:sz w:val="20"/>
              </w:rPr>
              <w:t xml:space="preserve">-94,3 </w:t>
            </w:r>
          </w:p>
        </w:tc>
        <w:tc>
          <w:tcPr>
            <w:tcW w:w="1114" w:type="dxa"/>
            <w:tcBorders>
              <w:top w:val="dashed" w:sz="4" w:space="0" w:color="000000"/>
              <w:left w:val="dashed" w:sz="4" w:space="0" w:color="000000"/>
              <w:bottom w:val="dashed" w:sz="4" w:space="0" w:color="000000"/>
              <w:right w:val="nil"/>
            </w:tcBorders>
          </w:tcPr>
          <w:p w:rsidR="00E8309B" w:rsidRDefault="00E8309B">
            <w:pPr>
              <w:spacing w:after="160" w:line="259" w:lineRule="auto"/>
              <w:ind w:left="0" w:right="0" w:firstLine="0"/>
              <w:jc w:val="left"/>
            </w:pPr>
          </w:p>
        </w:tc>
        <w:tc>
          <w:tcPr>
            <w:tcW w:w="523" w:type="dxa"/>
            <w:tcBorders>
              <w:top w:val="dashed" w:sz="4" w:space="0" w:color="000000"/>
              <w:left w:val="nil"/>
              <w:bottom w:val="dashed" w:sz="4" w:space="0" w:color="000000"/>
              <w:right w:val="dashed" w:sz="4" w:space="0" w:color="000000"/>
            </w:tcBorders>
            <w:vAlign w:val="center"/>
          </w:tcPr>
          <w:p w:rsidR="00E8309B" w:rsidRDefault="009D0949">
            <w:pPr>
              <w:spacing w:after="0" w:line="259" w:lineRule="auto"/>
              <w:ind w:left="0" w:right="0" w:firstLine="0"/>
            </w:pPr>
            <w:r>
              <w:rPr>
                <w:sz w:val="20"/>
              </w:rPr>
              <w:t xml:space="preserve">-90,7 </w:t>
            </w:r>
          </w:p>
        </w:tc>
        <w:tc>
          <w:tcPr>
            <w:tcW w:w="1635" w:type="dxa"/>
            <w:tcBorders>
              <w:top w:val="dashed" w:sz="4" w:space="0" w:color="000000"/>
              <w:left w:val="dashed" w:sz="4" w:space="0" w:color="000000"/>
              <w:bottom w:val="dashed" w:sz="4" w:space="0" w:color="000000"/>
              <w:right w:val="dashed" w:sz="4" w:space="0" w:color="000000"/>
            </w:tcBorders>
            <w:vAlign w:val="center"/>
          </w:tcPr>
          <w:p w:rsidR="00E8309B" w:rsidRDefault="009D0949">
            <w:pPr>
              <w:spacing w:after="0" w:line="259" w:lineRule="auto"/>
              <w:ind w:left="0" w:right="66" w:firstLine="0"/>
              <w:jc w:val="right"/>
            </w:pPr>
            <w:r>
              <w:rPr>
                <w:sz w:val="20"/>
              </w:rPr>
              <w:t xml:space="preserve">-87,6 </w:t>
            </w:r>
          </w:p>
        </w:tc>
        <w:tc>
          <w:tcPr>
            <w:tcW w:w="1114" w:type="dxa"/>
            <w:tcBorders>
              <w:top w:val="dashed" w:sz="4" w:space="0" w:color="000000"/>
              <w:left w:val="dashed" w:sz="4" w:space="0" w:color="000000"/>
              <w:bottom w:val="dashed" w:sz="4" w:space="0" w:color="000000"/>
              <w:right w:val="nil"/>
            </w:tcBorders>
          </w:tcPr>
          <w:p w:rsidR="00E8309B" w:rsidRDefault="00E8309B">
            <w:pPr>
              <w:spacing w:after="160" w:line="259" w:lineRule="auto"/>
              <w:ind w:left="0" w:right="0" w:firstLine="0"/>
              <w:jc w:val="left"/>
            </w:pPr>
          </w:p>
        </w:tc>
        <w:tc>
          <w:tcPr>
            <w:tcW w:w="523" w:type="dxa"/>
            <w:tcBorders>
              <w:top w:val="dashed" w:sz="4" w:space="0" w:color="000000"/>
              <w:left w:val="nil"/>
              <w:bottom w:val="dashed" w:sz="4" w:space="0" w:color="000000"/>
              <w:right w:val="dashed" w:sz="4" w:space="0" w:color="000000"/>
            </w:tcBorders>
            <w:vAlign w:val="center"/>
          </w:tcPr>
          <w:p w:rsidR="00E8309B" w:rsidRDefault="009D0949">
            <w:pPr>
              <w:spacing w:after="0" w:line="259" w:lineRule="auto"/>
              <w:ind w:left="0" w:right="0" w:firstLine="0"/>
            </w:pPr>
            <w:r>
              <w:rPr>
                <w:sz w:val="20"/>
              </w:rPr>
              <w:t xml:space="preserve">-88,0 </w:t>
            </w:r>
          </w:p>
        </w:tc>
        <w:tc>
          <w:tcPr>
            <w:tcW w:w="1640" w:type="dxa"/>
            <w:tcBorders>
              <w:top w:val="dashed" w:sz="4" w:space="0" w:color="000000"/>
              <w:left w:val="dashed" w:sz="4" w:space="0" w:color="000000"/>
              <w:bottom w:val="dashed" w:sz="4" w:space="0" w:color="000000"/>
              <w:right w:val="double" w:sz="6" w:space="0" w:color="000000"/>
            </w:tcBorders>
            <w:vAlign w:val="center"/>
          </w:tcPr>
          <w:p w:rsidR="00E8309B" w:rsidRDefault="009D0949">
            <w:pPr>
              <w:spacing w:after="0" w:line="259" w:lineRule="auto"/>
              <w:ind w:left="0" w:right="66" w:firstLine="0"/>
              <w:jc w:val="right"/>
            </w:pPr>
            <w:r>
              <w:rPr>
                <w:sz w:val="20"/>
              </w:rPr>
              <w:t xml:space="preserve">-89,5 </w:t>
            </w:r>
          </w:p>
        </w:tc>
      </w:tr>
      <w:tr w:rsidR="00E8309B">
        <w:trPr>
          <w:trHeight w:val="471"/>
        </w:trPr>
        <w:tc>
          <w:tcPr>
            <w:tcW w:w="4609" w:type="dxa"/>
            <w:tcBorders>
              <w:top w:val="dashed" w:sz="4" w:space="0" w:color="000000"/>
              <w:left w:val="double" w:sz="6" w:space="0" w:color="000000"/>
              <w:bottom w:val="dashed" w:sz="4" w:space="0" w:color="000000"/>
              <w:right w:val="dashed" w:sz="4" w:space="0" w:color="000000"/>
            </w:tcBorders>
          </w:tcPr>
          <w:p w:rsidR="00E8309B" w:rsidRDefault="009D0949">
            <w:pPr>
              <w:spacing w:after="0" w:line="259" w:lineRule="auto"/>
              <w:ind w:left="110" w:right="0" w:firstLine="0"/>
              <w:jc w:val="left"/>
            </w:pPr>
            <w:r>
              <w:rPr>
                <w:sz w:val="20"/>
              </w:rPr>
              <w:t xml:space="preserve">3. Удели на извозним тржиштима </w:t>
            </w:r>
          </w:p>
        </w:tc>
        <w:tc>
          <w:tcPr>
            <w:tcW w:w="1781" w:type="dxa"/>
            <w:tcBorders>
              <w:top w:val="dashed" w:sz="4" w:space="0" w:color="000000"/>
              <w:left w:val="dashed" w:sz="4" w:space="0" w:color="000000"/>
              <w:bottom w:val="dashed" w:sz="4" w:space="0" w:color="000000"/>
              <w:right w:val="single" w:sz="8" w:space="0" w:color="000000"/>
            </w:tcBorders>
          </w:tcPr>
          <w:p w:rsidR="00E8309B" w:rsidRDefault="009D0949">
            <w:pPr>
              <w:spacing w:after="0" w:line="259" w:lineRule="auto"/>
              <w:ind w:left="41" w:right="0" w:firstLine="0"/>
              <w:jc w:val="center"/>
            </w:pPr>
            <w:r>
              <w:rPr>
                <w:sz w:val="20"/>
              </w:rPr>
              <w:t xml:space="preserve">%, мг </w:t>
            </w:r>
          </w:p>
        </w:tc>
        <w:tc>
          <w:tcPr>
            <w:tcW w:w="1112" w:type="dxa"/>
            <w:tcBorders>
              <w:top w:val="dashed" w:sz="4" w:space="0" w:color="000000"/>
              <w:left w:val="single" w:sz="8" w:space="0" w:color="000000"/>
              <w:bottom w:val="dashed" w:sz="4" w:space="0" w:color="000000"/>
              <w:right w:val="nil"/>
            </w:tcBorders>
          </w:tcPr>
          <w:p w:rsidR="00E8309B" w:rsidRDefault="00E8309B">
            <w:pPr>
              <w:spacing w:after="160" w:line="259" w:lineRule="auto"/>
              <w:ind w:left="0" w:right="0" w:firstLine="0"/>
              <w:jc w:val="left"/>
            </w:pPr>
          </w:p>
        </w:tc>
        <w:tc>
          <w:tcPr>
            <w:tcW w:w="523" w:type="dxa"/>
            <w:tcBorders>
              <w:top w:val="dashed" w:sz="4" w:space="0" w:color="000000"/>
              <w:left w:val="nil"/>
              <w:bottom w:val="dashed" w:sz="4" w:space="0" w:color="000000"/>
              <w:right w:val="dashed" w:sz="4" w:space="0" w:color="000000"/>
            </w:tcBorders>
            <w:vAlign w:val="center"/>
          </w:tcPr>
          <w:p w:rsidR="00E8309B" w:rsidRDefault="009D0949">
            <w:pPr>
              <w:spacing w:after="0" w:line="259" w:lineRule="auto"/>
              <w:ind w:left="67" w:right="0" w:firstLine="0"/>
            </w:pPr>
            <w:r>
              <w:rPr>
                <w:sz w:val="20"/>
              </w:rPr>
              <w:t xml:space="preserve">12,2 </w:t>
            </w:r>
          </w:p>
        </w:tc>
        <w:tc>
          <w:tcPr>
            <w:tcW w:w="1114" w:type="dxa"/>
            <w:tcBorders>
              <w:top w:val="dashed" w:sz="4" w:space="0" w:color="000000"/>
              <w:left w:val="dashed" w:sz="4" w:space="0" w:color="000000"/>
              <w:bottom w:val="dashed" w:sz="4" w:space="0" w:color="000000"/>
              <w:right w:val="nil"/>
            </w:tcBorders>
          </w:tcPr>
          <w:p w:rsidR="00E8309B" w:rsidRDefault="00E8309B">
            <w:pPr>
              <w:spacing w:after="160" w:line="259" w:lineRule="auto"/>
              <w:ind w:left="0" w:right="0" w:firstLine="0"/>
              <w:jc w:val="left"/>
            </w:pPr>
          </w:p>
        </w:tc>
        <w:tc>
          <w:tcPr>
            <w:tcW w:w="523" w:type="dxa"/>
            <w:tcBorders>
              <w:top w:val="dashed" w:sz="4" w:space="0" w:color="000000"/>
              <w:left w:val="nil"/>
              <w:bottom w:val="dashed" w:sz="4" w:space="0" w:color="000000"/>
              <w:right w:val="dashed" w:sz="4" w:space="0" w:color="000000"/>
            </w:tcBorders>
            <w:vAlign w:val="center"/>
          </w:tcPr>
          <w:p w:rsidR="00E8309B" w:rsidRDefault="009D0949">
            <w:pPr>
              <w:spacing w:after="0" w:line="259" w:lineRule="auto"/>
              <w:ind w:left="0" w:right="63" w:firstLine="0"/>
              <w:jc w:val="right"/>
            </w:pPr>
            <w:r>
              <w:rPr>
                <w:sz w:val="20"/>
              </w:rPr>
              <w:t xml:space="preserve">3,1 </w:t>
            </w:r>
          </w:p>
        </w:tc>
        <w:tc>
          <w:tcPr>
            <w:tcW w:w="1635" w:type="dxa"/>
            <w:tcBorders>
              <w:top w:val="dashed" w:sz="4" w:space="0" w:color="000000"/>
              <w:left w:val="dashed" w:sz="4" w:space="0" w:color="000000"/>
              <w:bottom w:val="dashed" w:sz="4" w:space="0" w:color="000000"/>
              <w:right w:val="dashed" w:sz="4" w:space="0" w:color="000000"/>
            </w:tcBorders>
            <w:vAlign w:val="center"/>
          </w:tcPr>
          <w:p w:rsidR="00E8309B" w:rsidRDefault="009D0949">
            <w:pPr>
              <w:spacing w:after="0" w:line="259" w:lineRule="auto"/>
              <w:ind w:left="0" w:right="63" w:firstLine="0"/>
              <w:jc w:val="right"/>
            </w:pPr>
            <w:r>
              <w:rPr>
                <w:sz w:val="20"/>
              </w:rPr>
              <w:t xml:space="preserve">4,8 </w:t>
            </w:r>
          </w:p>
        </w:tc>
        <w:tc>
          <w:tcPr>
            <w:tcW w:w="1114" w:type="dxa"/>
            <w:tcBorders>
              <w:top w:val="dashed" w:sz="4" w:space="0" w:color="000000"/>
              <w:left w:val="dashed" w:sz="4" w:space="0" w:color="000000"/>
              <w:bottom w:val="dashed" w:sz="4" w:space="0" w:color="000000"/>
              <w:right w:val="nil"/>
            </w:tcBorders>
          </w:tcPr>
          <w:p w:rsidR="00E8309B" w:rsidRDefault="00E8309B">
            <w:pPr>
              <w:spacing w:after="160" w:line="259" w:lineRule="auto"/>
              <w:ind w:left="0" w:right="0" w:firstLine="0"/>
              <w:jc w:val="left"/>
            </w:pPr>
          </w:p>
        </w:tc>
        <w:tc>
          <w:tcPr>
            <w:tcW w:w="523" w:type="dxa"/>
            <w:tcBorders>
              <w:top w:val="dashed" w:sz="4" w:space="0" w:color="000000"/>
              <w:left w:val="nil"/>
              <w:bottom w:val="dashed" w:sz="4" w:space="0" w:color="000000"/>
              <w:right w:val="dashed" w:sz="4" w:space="0" w:color="000000"/>
            </w:tcBorders>
            <w:vAlign w:val="center"/>
          </w:tcPr>
          <w:p w:rsidR="00E8309B" w:rsidRDefault="009D0949">
            <w:pPr>
              <w:spacing w:after="0" w:line="259" w:lineRule="auto"/>
              <w:ind w:left="0" w:right="63" w:firstLine="0"/>
              <w:jc w:val="right"/>
            </w:pPr>
            <w:r>
              <w:rPr>
                <w:sz w:val="20"/>
              </w:rPr>
              <w:t xml:space="preserve">5,2 </w:t>
            </w:r>
          </w:p>
        </w:tc>
        <w:tc>
          <w:tcPr>
            <w:tcW w:w="1640" w:type="dxa"/>
            <w:tcBorders>
              <w:top w:val="dashed" w:sz="4" w:space="0" w:color="000000"/>
              <w:left w:val="dashed" w:sz="4" w:space="0" w:color="000000"/>
              <w:bottom w:val="dashed" w:sz="4" w:space="0" w:color="000000"/>
              <w:right w:val="double" w:sz="6" w:space="0" w:color="000000"/>
            </w:tcBorders>
            <w:vAlign w:val="center"/>
          </w:tcPr>
          <w:p w:rsidR="00E8309B" w:rsidRDefault="009D0949">
            <w:pPr>
              <w:spacing w:after="0" w:line="259" w:lineRule="auto"/>
              <w:ind w:left="0" w:right="63" w:firstLine="0"/>
              <w:jc w:val="right"/>
            </w:pPr>
            <w:r>
              <w:rPr>
                <w:sz w:val="20"/>
              </w:rPr>
              <w:t xml:space="preserve">5,0 </w:t>
            </w:r>
          </w:p>
        </w:tc>
      </w:tr>
      <w:tr w:rsidR="00E8309B">
        <w:trPr>
          <w:trHeight w:val="470"/>
        </w:trPr>
        <w:tc>
          <w:tcPr>
            <w:tcW w:w="4609" w:type="dxa"/>
            <w:tcBorders>
              <w:top w:val="dashed" w:sz="4" w:space="0" w:color="000000"/>
              <w:left w:val="double" w:sz="6" w:space="0" w:color="000000"/>
              <w:bottom w:val="dashed" w:sz="4" w:space="0" w:color="000000"/>
              <w:right w:val="dashed" w:sz="4" w:space="0" w:color="000000"/>
            </w:tcBorders>
          </w:tcPr>
          <w:p w:rsidR="00E8309B" w:rsidRDefault="009D0949">
            <w:pPr>
              <w:spacing w:after="0" w:line="259" w:lineRule="auto"/>
              <w:ind w:left="110" w:right="0" w:firstLine="0"/>
              <w:jc w:val="left"/>
            </w:pPr>
            <w:r>
              <w:rPr>
                <w:sz w:val="20"/>
              </w:rPr>
              <w:t xml:space="preserve">4. Реални ефективни девизни курс [2] </w:t>
            </w:r>
          </w:p>
        </w:tc>
        <w:tc>
          <w:tcPr>
            <w:tcW w:w="1781" w:type="dxa"/>
            <w:tcBorders>
              <w:top w:val="dashed" w:sz="4" w:space="0" w:color="000000"/>
              <w:left w:val="dashed" w:sz="4" w:space="0" w:color="000000"/>
              <w:bottom w:val="dashed" w:sz="4" w:space="0" w:color="000000"/>
              <w:right w:val="single" w:sz="8" w:space="0" w:color="000000"/>
            </w:tcBorders>
          </w:tcPr>
          <w:p w:rsidR="00E8309B" w:rsidRDefault="009D0949">
            <w:pPr>
              <w:spacing w:after="0" w:line="259" w:lineRule="auto"/>
              <w:ind w:left="41" w:right="0" w:firstLine="0"/>
              <w:jc w:val="center"/>
            </w:pPr>
            <w:r>
              <w:rPr>
                <w:sz w:val="20"/>
              </w:rPr>
              <w:t xml:space="preserve">%, мг </w:t>
            </w:r>
          </w:p>
        </w:tc>
        <w:tc>
          <w:tcPr>
            <w:tcW w:w="1112" w:type="dxa"/>
            <w:tcBorders>
              <w:top w:val="dashed" w:sz="4" w:space="0" w:color="000000"/>
              <w:left w:val="single" w:sz="8" w:space="0" w:color="000000"/>
              <w:bottom w:val="dashed" w:sz="4" w:space="0" w:color="000000"/>
              <w:right w:val="nil"/>
            </w:tcBorders>
          </w:tcPr>
          <w:p w:rsidR="00E8309B" w:rsidRDefault="00E8309B">
            <w:pPr>
              <w:spacing w:after="160" w:line="259" w:lineRule="auto"/>
              <w:ind w:left="0" w:right="0" w:firstLine="0"/>
              <w:jc w:val="left"/>
            </w:pPr>
          </w:p>
        </w:tc>
        <w:tc>
          <w:tcPr>
            <w:tcW w:w="523" w:type="dxa"/>
            <w:tcBorders>
              <w:top w:val="dashed" w:sz="4" w:space="0" w:color="000000"/>
              <w:left w:val="nil"/>
              <w:bottom w:val="dashed" w:sz="4" w:space="0" w:color="000000"/>
              <w:right w:val="dashed" w:sz="4" w:space="0" w:color="000000"/>
            </w:tcBorders>
            <w:vAlign w:val="center"/>
          </w:tcPr>
          <w:p w:rsidR="00E8309B" w:rsidRDefault="009D0949">
            <w:pPr>
              <w:spacing w:after="0" w:line="259" w:lineRule="auto"/>
              <w:ind w:left="101" w:right="0" w:firstLine="0"/>
              <w:jc w:val="left"/>
            </w:pPr>
            <w:r>
              <w:rPr>
                <w:sz w:val="20"/>
              </w:rPr>
              <w:t xml:space="preserve">-1,3 </w:t>
            </w:r>
          </w:p>
        </w:tc>
        <w:tc>
          <w:tcPr>
            <w:tcW w:w="1114" w:type="dxa"/>
            <w:tcBorders>
              <w:top w:val="dashed" w:sz="4" w:space="0" w:color="000000"/>
              <w:left w:val="dashed" w:sz="4" w:space="0" w:color="000000"/>
              <w:bottom w:val="dashed" w:sz="4" w:space="0" w:color="000000"/>
              <w:right w:val="nil"/>
            </w:tcBorders>
          </w:tcPr>
          <w:p w:rsidR="00E8309B" w:rsidRDefault="00E8309B">
            <w:pPr>
              <w:spacing w:after="160" w:line="259" w:lineRule="auto"/>
              <w:ind w:left="0" w:right="0" w:firstLine="0"/>
              <w:jc w:val="left"/>
            </w:pPr>
          </w:p>
        </w:tc>
        <w:tc>
          <w:tcPr>
            <w:tcW w:w="523" w:type="dxa"/>
            <w:tcBorders>
              <w:top w:val="dashed" w:sz="4" w:space="0" w:color="000000"/>
              <w:left w:val="nil"/>
              <w:bottom w:val="dashed" w:sz="4" w:space="0" w:color="000000"/>
              <w:right w:val="dashed" w:sz="4" w:space="0" w:color="000000"/>
            </w:tcBorders>
            <w:vAlign w:val="center"/>
          </w:tcPr>
          <w:p w:rsidR="00E8309B" w:rsidRDefault="009D0949">
            <w:pPr>
              <w:spacing w:after="0" w:line="259" w:lineRule="auto"/>
              <w:ind w:left="0" w:right="63" w:firstLine="0"/>
              <w:jc w:val="right"/>
            </w:pPr>
            <w:r>
              <w:rPr>
                <w:sz w:val="20"/>
              </w:rPr>
              <w:t xml:space="preserve">3,3 </w:t>
            </w:r>
          </w:p>
        </w:tc>
        <w:tc>
          <w:tcPr>
            <w:tcW w:w="1635" w:type="dxa"/>
            <w:tcBorders>
              <w:top w:val="dashed" w:sz="4" w:space="0" w:color="000000"/>
              <w:left w:val="dashed" w:sz="4" w:space="0" w:color="000000"/>
              <w:bottom w:val="dashed" w:sz="4" w:space="0" w:color="000000"/>
              <w:right w:val="dashed" w:sz="4" w:space="0" w:color="000000"/>
            </w:tcBorders>
            <w:vAlign w:val="center"/>
          </w:tcPr>
          <w:p w:rsidR="00E8309B" w:rsidRDefault="009D0949">
            <w:pPr>
              <w:spacing w:after="0" w:line="259" w:lineRule="auto"/>
              <w:ind w:left="0" w:right="63" w:firstLine="0"/>
              <w:jc w:val="right"/>
            </w:pPr>
            <w:r>
              <w:rPr>
                <w:sz w:val="20"/>
              </w:rPr>
              <w:t xml:space="preserve">3,6 </w:t>
            </w:r>
          </w:p>
        </w:tc>
        <w:tc>
          <w:tcPr>
            <w:tcW w:w="1114" w:type="dxa"/>
            <w:tcBorders>
              <w:top w:val="dashed" w:sz="4" w:space="0" w:color="000000"/>
              <w:left w:val="dashed" w:sz="4" w:space="0" w:color="000000"/>
              <w:bottom w:val="dashed" w:sz="4" w:space="0" w:color="000000"/>
              <w:right w:val="nil"/>
            </w:tcBorders>
          </w:tcPr>
          <w:p w:rsidR="00E8309B" w:rsidRDefault="00E8309B">
            <w:pPr>
              <w:spacing w:after="160" w:line="259" w:lineRule="auto"/>
              <w:ind w:left="0" w:right="0" w:firstLine="0"/>
              <w:jc w:val="left"/>
            </w:pPr>
          </w:p>
        </w:tc>
        <w:tc>
          <w:tcPr>
            <w:tcW w:w="523" w:type="dxa"/>
            <w:tcBorders>
              <w:top w:val="dashed" w:sz="4" w:space="0" w:color="000000"/>
              <w:left w:val="nil"/>
              <w:bottom w:val="dashed" w:sz="4" w:space="0" w:color="000000"/>
              <w:right w:val="dashed" w:sz="4" w:space="0" w:color="000000"/>
            </w:tcBorders>
            <w:vAlign w:val="center"/>
          </w:tcPr>
          <w:p w:rsidR="00E8309B" w:rsidRDefault="009D0949">
            <w:pPr>
              <w:spacing w:after="0" w:line="259" w:lineRule="auto"/>
              <w:ind w:left="101" w:right="0" w:firstLine="0"/>
              <w:jc w:val="left"/>
            </w:pPr>
            <w:r>
              <w:rPr>
                <w:sz w:val="20"/>
              </w:rPr>
              <w:t xml:space="preserve">-0,2 </w:t>
            </w:r>
          </w:p>
        </w:tc>
        <w:tc>
          <w:tcPr>
            <w:tcW w:w="1640" w:type="dxa"/>
            <w:tcBorders>
              <w:top w:val="dashed" w:sz="4" w:space="0" w:color="000000"/>
              <w:left w:val="dashed" w:sz="4" w:space="0" w:color="000000"/>
              <w:bottom w:val="dashed" w:sz="4" w:space="0" w:color="000000"/>
              <w:right w:val="double" w:sz="6" w:space="0" w:color="000000"/>
            </w:tcBorders>
            <w:vAlign w:val="center"/>
          </w:tcPr>
          <w:p w:rsidR="00E8309B" w:rsidRDefault="009D0949">
            <w:pPr>
              <w:spacing w:after="0" w:line="259" w:lineRule="auto"/>
              <w:ind w:left="0" w:right="63" w:firstLine="0"/>
              <w:jc w:val="right"/>
            </w:pPr>
            <w:r>
              <w:rPr>
                <w:sz w:val="20"/>
              </w:rPr>
              <w:t xml:space="preserve">1,5 </w:t>
            </w:r>
          </w:p>
        </w:tc>
      </w:tr>
      <w:tr w:rsidR="00E8309B">
        <w:trPr>
          <w:trHeight w:val="468"/>
        </w:trPr>
        <w:tc>
          <w:tcPr>
            <w:tcW w:w="4609" w:type="dxa"/>
            <w:tcBorders>
              <w:top w:val="dashed" w:sz="4" w:space="0" w:color="000000"/>
              <w:left w:val="double" w:sz="6" w:space="0" w:color="000000"/>
              <w:bottom w:val="dashed" w:sz="4" w:space="0" w:color="000000"/>
              <w:right w:val="dashed" w:sz="4" w:space="0" w:color="000000"/>
            </w:tcBorders>
          </w:tcPr>
          <w:p w:rsidR="00E8309B" w:rsidRDefault="009D0949">
            <w:pPr>
              <w:spacing w:after="0" w:line="259" w:lineRule="auto"/>
              <w:ind w:left="110" w:right="0" w:firstLine="0"/>
              <w:jc w:val="left"/>
            </w:pPr>
            <w:r>
              <w:rPr>
                <w:sz w:val="20"/>
              </w:rPr>
              <w:t xml:space="preserve">5. Номинални јединични трошкови рада [3] </w:t>
            </w:r>
          </w:p>
        </w:tc>
        <w:tc>
          <w:tcPr>
            <w:tcW w:w="1781" w:type="dxa"/>
            <w:tcBorders>
              <w:top w:val="dashed" w:sz="4" w:space="0" w:color="000000"/>
              <w:left w:val="dashed" w:sz="4" w:space="0" w:color="000000"/>
              <w:bottom w:val="dashed" w:sz="4" w:space="0" w:color="000000"/>
              <w:right w:val="single" w:sz="8" w:space="0" w:color="000000"/>
            </w:tcBorders>
          </w:tcPr>
          <w:p w:rsidR="00E8309B" w:rsidRDefault="009D0949">
            <w:pPr>
              <w:spacing w:after="0" w:line="259" w:lineRule="auto"/>
              <w:ind w:left="41" w:right="0" w:firstLine="0"/>
              <w:jc w:val="center"/>
            </w:pPr>
            <w:r>
              <w:rPr>
                <w:sz w:val="20"/>
              </w:rPr>
              <w:t xml:space="preserve">%, мг </w:t>
            </w:r>
          </w:p>
        </w:tc>
        <w:tc>
          <w:tcPr>
            <w:tcW w:w="1112" w:type="dxa"/>
            <w:tcBorders>
              <w:top w:val="dashed" w:sz="4" w:space="0" w:color="000000"/>
              <w:left w:val="single" w:sz="8" w:space="0" w:color="000000"/>
              <w:bottom w:val="dashed" w:sz="4" w:space="0" w:color="000000"/>
              <w:right w:val="nil"/>
            </w:tcBorders>
          </w:tcPr>
          <w:p w:rsidR="00E8309B" w:rsidRDefault="00E8309B">
            <w:pPr>
              <w:spacing w:after="160" w:line="259" w:lineRule="auto"/>
              <w:ind w:left="0" w:right="0" w:firstLine="0"/>
              <w:jc w:val="left"/>
            </w:pPr>
          </w:p>
        </w:tc>
        <w:tc>
          <w:tcPr>
            <w:tcW w:w="523" w:type="dxa"/>
            <w:tcBorders>
              <w:top w:val="dashed" w:sz="4" w:space="0" w:color="000000"/>
              <w:left w:val="nil"/>
              <w:bottom w:val="dashed" w:sz="4" w:space="0" w:color="000000"/>
              <w:right w:val="dashed" w:sz="4" w:space="0" w:color="000000"/>
            </w:tcBorders>
            <w:vAlign w:val="center"/>
          </w:tcPr>
          <w:p w:rsidR="00E8309B" w:rsidRDefault="009D0949">
            <w:pPr>
              <w:spacing w:after="0" w:line="259" w:lineRule="auto"/>
              <w:ind w:left="0" w:right="63" w:firstLine="0"/>
              <w:jc w:val="right"/>
            </w:pPr>
            <w:r>
              <w:rPr>
                <w:sz w:val="20"/>
              </w:rPr>
              <w:t xml:space="preserve">1,6 </w:t>
            </w:r>
          </w:p>
        </w:tc>
        <w:tc>
          <w:tcPr>
            <w:tcW w:w="1114" w:type="dxa"/>
            <w:tcBorders>
              <w:top w:val="dashed" w:sz="4" w:space="0" w:color="000000"/>
              <w:left w:val="dashed" w:sz="4" w:space="0" w:color="000000"/>
              <w:bottom w:val="dashed" w:sz="4" w:space="0" w:color="000000"/>
              <w:right w:val="nil"/>
            </w:tcBorders>
          </w:tcPr>
          <w:p w:rsidR="00E8309B" w:rsidRDefault="00E8309B">
            <w:pPr>
              <w:spacing w:after="160" w:line="259" w:lineRule="auto"/>
              <w:ind w:left="0" w:right="0" w:firstLine="0"/>
              <w:jc w:val="left"/>
            </w:pPr>
          </w:p>
        </w:tc>
        <w:tc>
          <w:tcPr>
            <w:tcW w:w="523" w:type="dxa"/>
            <w:tcBorders>
              <w:top w:val="dashed" w:sz="4" w:space="0" w:color="000000"/>
              <w:left w:val="nil"/>
              <w:bottom w:val="dashed" w:sz="4" w:space="0" w:color="000000"/>
              <w:right w:val="dashed" w:sz="4" w:space="0" w:color="000000"/>
            </w:tcBorders>
            <w:vAlign w:val="center"/>
          </w:tcPr>
          <w:p w:rsidR="00E8309B" w:rsidRDefault="009D0949">
            <w:pPr>
              <w:spacing w:after="0" w:line="259" w:lineRule="auto"/>
              <w:ind w:left="0" w:right="63" w:firstLine="0"/>
              <w:jc w:val="right"/>
            </w:pPr>
            <w:r>
              <w:rPr>
                <w:sz w:val="20"/>
              </w:rPr>
              <w:t xml:space="preserve">4,6 </w:t>
            </w:r>
          </w:p>
        </w:tc>
        <w:tc>
          <w:tcPr>
            <w:tcW w:w="1635" w:type="dxa"/>
            <w:tcBorders>
              <w:top w:val="dashed" w:sz="4" w:space="0" w:color="000000"/>
              <w:left w:val="dashed" w:sz="4" w:space="0" w:color="000000"/>
              <w:bottom w:val="dashed" w:sz="4" w:space="0" w:color="000000"/>
              <w:right w:val="dashed" w:sz="4" w:space="0" w:color="000000"/>
            </w:tcBorders>
            <w:vAlign w:val="center"/>
          </w:tcPr>
          <w:p w:rsidR="00E8309B" w:rsidRDefault="009D0949">
            <w:pPr>
              <w:spacing w:after="0" w:line="259" w:lineRule="auto"/>
              <w:ind w:left="0" w:right="63" w:firstLine="0"/>
              <w:jc w:val="right"/>
            </w:pPr>
            <w:r>
              <w:rPr>
                <w:sz w:val="20"/>
              </w:rPr>
              <w:t xml:space="preserve">4,9 </w:t>
            </w:r>
          </w:p>
        </w:tc>
        <w:tc>
          <w:tcPr>
            <w:tcW w:w="1114" w:type="dxa"/>
            <w:tcBorders>
              <w:top w:val="dashed" w:sz="4" w:space="0" w:color="000000"/>
              <w:left w:val="dashed" w:sz="4" w:space="0" w:color="000000"/>
              <w:bottom w:val="dashed" w:sz="4" w:space="0" w:color="000000"/>
              <w:right w:val="nil"/>
            </w:tcBorders>
          </w:tcPr>
          <w:p w:rsidR="00E8309B" w:rsidRDefault="00E8309B">
            <w:pPr>
              <w:spacing w:after="160" w:line="259" w:lineRule="auto"/>
              <w:ind w:left="0" w:right="0" w:firstLine="0"/>
              <w:jc w:val="left"/>
            </w:pPr>
          </w:p>
        </w:tc>
        <w:tc>
          <w:tcPr>
            <w:tcW w:w="523" w:type="dxa"/>
            <w:tcBorders>
              <w:top w:val="dashed" w:sz="4" w:space="0" w:color="000000"/>
              <w:left w:val="nil"/>
              <w:bottom w:val="dashed" w:sz="4" w:space="0" w:color="000000"/>
              <w:right w:val="dashed" w:sz="4" w:space="0" w:color="000000"/>
            </w:tcBorders>
            <w:vAlign w:val="center"/>
          </w:tcPr>
          <w:p w:rsidR="00E8309B" w:rsidRDefault="009D0949">
            <w:pPr>
              <w:spacing w:after="0" w:line="259" w:lineRule="auto"/>
              <w:ind w:left="0" w:right="63" w:firstLine="0"/>
              <w:jc w:val="right"/>
            </w:pPr>
            <w:r>
              <w:rPr>
                <w:sz w:val="20"/>
              </w:rPr>
              <w:t xml:space="preserve">8,1 </w:t>
            </w:r>
          </w:p>
        </w:tc>
        <w:tc>
          <w:tcPr>
            <w:tcW w:w="1640" w:type="dxa"/>
            <w:tcBorders>
              <w:top w:val="dashed" w:sz="4" w:space="0" w:color="000000"/>
              <w:left w:val="dashed" w:sz="4" w:space="0" w:color="000000"/>
              <w:bottom w:val="dashed" w:sz="4" w:space="0" w:color="000000"/>
              <w:right w:val="double" w:sz="6" w:space="0" w:color="000000"/>
            </w:tcBorders>
            <w:vAlign w:val="center"/>
          </w:tcPr>
          <w:p w:rsidR="00E8309B" w:rsidRDefault="009D0949">
            <w:pPr>
              <w:spacing w:after="0" w:line="259" w:lineRule="auto"/>
              <w:ind w:left="0" w:right="64" w:firstLine="0"/>
              <w:jc w:val="right"/>
            </w:pPr>
            <w:r>
              <w:rPr>
                <w:sz w:val="20"/>
              </w:rPr>
              <w:t xml:space="preserve">12,3 </w:t>
            </w:r>
          </w:p>
        </w:tc>
      </w:tr>
      <w:tr w:rsidR="00E8309B">
        <w:trPr>
          <w:trHeight w:val="470"/>
        </w:trPr>
        <w:tc>
          <w:tcPr>
            <w:tcW w:w="4609" w:type="dxa"/>
            <w:tcBorders>
              <w:top w:val="dashed" w:sz="4" w:space="0" w:color="000000"/>
              <w:left w:val="double" w:sz="6" w:space="0" w:color="000000"/>
              <w:bottom w:val="dashed" w:sz="4" w:space="0" w:color="000000"/>
              <w:right w:val="dashed" w:sz="4" w:space="0" w:color="000000"/>
            </w:tcBorders>
          </w:tcPr>
          <w:p w:rsidR="00E8309B" w:rsidRDefault="009D0949">
            <w:pPr>
              <w:spacing w:after="0" w:line="259" w:lineRule="auto"/>
              <w:ind w:left="110" w:right="0" w:firstLine="0"/>
              <w:jc w:val="left"/>
            </w:pPr>
            <w:r>
              <w:rPr>
                <w:sz w:val="20"/>
              </w:rPr>
              <w:t xml:space="preserve">6. Кредити приватном сектору - промена  </w:t>
            </w:r>
          </w:p>
        </w:tc>
        <w:tc>
          <w:tcPr>
            <w:tcW w:w="1781" w:type="dxa"/>
            <w:tcBorders>
              <w:top w:val="dashed" w:sz="4" w:space="0" w:color="000000"/>
              <w:left w:val="dashed" w:sz="4" w:space="0" w:color="000000"/>
              <w:bottom w:val="dashed" w:sz="4" w:space="0" w:color="000000"/>
              <w:right w:val="single" w:sz="8" w:space="0" w:color="000000"/>
            </w:tcBorders>
          </w:tcPr>
          <w:p w:rsidR="00E8309B" w:rsidRDefault="009D0949">
            <w:pPr>
              <w:spacing w:after="0" w:line="259" w:lineRule="auto"/>
              <w:ind w:left="39" w:right="0" w:firstLine="0"/>
              <w:jc w:val="center"/>
            </w:pPr>
            <w:r>
              <w:rPr>
                <w:sz w:val="20"/>
              </w:rPr>
              <w:t xml:space="preserve">% БДП </w:t>
            </w:r>
          </w:p>
        </w:tc>
        <w:tc>
          <w:tcPr>
            <w:tcW w:w="1112" w:type="dxa"/>
            <w:tcBorders>
              <w:top w:val="dashed" w:sz="4" w:space="0" w:color="000000"/>
              <w:left w:val="single" w:sz="8" w:space="0" w:color="000000"/>
              <w:bottom w:val="dashed" w:sz="4" w:space="0" w:color="000000"/>
              <w:right w:val="nil"/>
            </w:tcBorders>
          </w:tcPr>
          <w:p w:rsidR="00E8309B" w:rsidRDefault="00E8309B">
            <w:pPr>
              <w:spacing w:after="160" w:line="259" w:lineRule="auto"/>
              <w:ind w:left="0" w:right="0" w:firstLine="0"/>
              <w:jc w:val="left"/>
            </w:pPr>
          </w:p>
        </w:tc>
        <w:tc>
          <w:tcPr>
            <w:tcW w:w="523" w:type="dxa"/>
            <w:tcBorders>
              <w:top w:val="dashed" w:sz="4" w:space="0" w:color="000000"/>
              <w:left w:val="nil"/>
              <w:bottom w:val="dashed" w:sz="4" w:space="0" w:color="000000"/>
              <w:right w:val="dashed" w:sz="4" w:space="0" w:color="000000"/>
            </w:tcBorders>
            <w:vAlign w:val="center"/>
          </w:tcPr>
          <w:p w:rsidR="00E8309B" w:rsidRDefault="009D0949">
            <w:pPr>
              <w:spacing w:after="0" w:line="259" w:lineRule="auto"/>
              <w:ind w:left="0" w:right="63" w:firstLine="0"/>
              <w:jc w:val="right"/>
            </w:pPr>
            <w:r>
              <w:rPr>
                <w:sz w:val="20"/>
              </w:rPr>
              <w:t xml:space="preserve">2,4 </w:t>
            </w:r>
          </w:p>
        </w:tc>
        <w:tc>
          <w:tcPr>
            <w:tcW w:w="1114" w:type="dxa"/>
            <w:tcBorders>
              <w:top w:val="dashed" w:sz="4" w:space="0" w:color="000000"/>
              <w:left w:val="dashed" w:sz="4" w:space="0" w:color="000000"/>
              <w:bottom w:val="dashed" w:sz="4" w:space="0" w:color="000000"/>
              <w:right w:val="nil"/>
            </w:tcBorders>
          </w:tcPr>
          <w:p w:rsidR="00E8309B" w:rsidRDefault="00E8309B">
            <w:pPr>
              <w:spacing w:after="160" w:line="259" w:lineRule="auto"/>
              <w:ind w:left="0" w:right="0" w:firstLine="0"/>
              <w:jc w:val="left"/>
            </w:pPr>
          </w:p>
        </w:tc>
        <w:tc>
          <w:tcPr>
            <w:tcW w:w="523" w:type="dxa"/>
            <w:tcBorders>
              <w:top w:val="dashed" w:sz="4" w:space="0" w:color="000000"/>
              <w:left w:val="nil"/>
              <w:bottom w:val="dashed" w:sz="4" w:space="0" w:color="000000"/>
              <w:right w:val="dashed" w:sz="4" w:space="0" w:color="000000"/>
            </w:tcBorders>
            <w:vAlign w:val="center"/>
          </w:tcPr>
          <w:p w:rsidR="00E8309B" w:rsidRDefault="009D0949">
            <w:pPr>
              <w:spacing w:after="0" w:line="259" w:lineRule="auto"/>
              <w:ind w:left="0" w:right="63" w:firstLine="0"/>
              <w:jc w:val="right"/>
            </w:pPr>
            <w:r>
              <w:rPr>
                <w:sz w:val="20"/>
              </w:rPr>
              <w:t xml:space="preserve">1,8 </w:t>
            </w:r>
          </w:p>
        </w:tc>
        <w:tc>
          <w:tcPr>
            <w:tcW w:w="1635" w:type="dxa"/>
            <w:tcBorders>
              <w:top w:val="dashed" w:sz="4" w:space="0" w:color="000000"/>
              <w:left w:val="dashed" w:sz="4" w:space="0" w:color="000000"/>
              <w:bottom w:val="dashed" w:sz="4" w:space="0" w:color="000000"/>
              <w:right w:val="dashed" w:sz="4" w:space="0" w:color="000000"/>
            </w:tcBorders>
            <w:vAlign w:val="center"/>
          </w:tcPr>
          <w:p w:rsidR="00E8309B" w:rsidRDefault="009D0949">
            <w:pPr>
              <w:spacing w:after="0" w:line="259" w:lineRule="auto"/>
              <w:ind w:left="0" w:right="63" w:firstLine="0"/>
              <w:jc w:val="right"/>
            </w:pPr>
            <w:r>
              <w:rPr>
                <w:sz w:val="20"/>
              </w:rPr>
              <w:t xml:space="preserve">3,7 </w:t>
            </w:r>
          </w:p>
        </w:tc>
        <w:tc>
          <w:tcPr>
            <w:tcW w:w="1114" w:type="dxa"/>
            <w:tcBorders>
              <w:top w:val="dashed" w:sz="4" w:space="0" w:color="000000"/>
              <w:left w:val="dashed" w:sz="4" w:space="0" w:color="000000"/>
              <w:bottom w:val="dashed" w:sz="4" w:space="0" w:color="000000"/>
              <w:right w:val="nil"/>
            </w:tcBorders>
          </w:tcPr>
          <w:p w:rsidR="00E8309B" w:rsidRDefault="00E8309B">
            <w:pPr>
              <w:spacing w:after="160" w:line="259" w:lineRule="auto"/>
              <w:ind w:left="0" w:right="0" w:firstLine="0"/>
              <w:jc w:val="left"/>
            </w:pPr>
          </w:p>
        </w:tc>
        <w:tc>
          <w:tcPr>
            <w:tcW w:w="523" w:type="dxa"/>
            <w:tcBorders>
              <w:top w:val="dashed" w:sz="4" w:space="0" w:color="000000"/>
              <w:left w:val="nil"/>
              <w:bottom w:val="dashed" w:sz="4" w:space="0" w:color="000000"/>
              <w:right w:val="dashed" w:sz="4" w:space="0" w:color="000000"/>
            </w:tcBorders>
            <w:vAlign w:val="center"/>
          </w:tcPr>
          <w:p w:rsidR="00E8309B" w:rsidRDefault="009D0949">
            <w:pPr>
              <w:spacing w:after="0" w:line="259" w:lineRule="auto"/>
              <w:ind w:left="0" w:right="63" w:firstLine="0"/>
              <w:jc w:val="right"/>
            </w:pPr>
            <w:r>
              <w:rPr>
                <w:sz w:val="20"/>
              </w:rPr>
              <w:t xml:space="preserve">3,3 </w:t>
            </w:r>
          </w:p>
        </w:tc>
        <w:tc>
          <w:tcPr>
            <w:tcW w:w="1640" w:type="dxa"/>
            <w:tcBorders>
              <w:top w:val="dashed" w:sz="4" w:space="0" w:color="000000"/>
              <w:left w:val="dashed" w:sz="4" w:space="0" w:color="000000"/>
              <w:bottom w:val="dashed" w:sz="4" w:space="0" w:color="000000"/>
              <w:right w:val="double" w:sz="6" w:space="0" w:color="000000"/>
            </w:tcBorders>
            <w:vAlign w:val="center"/>
          </w:tcPr>
          <w:p w:rsidR="00E8309B" w:rsidRDefault="009D0949">
            <w:pPr>
              <w:spacing w:after="0" w:line="259" w:lineRule="auto"/>
              <w:ind w:left="0" w:right="63" w:firstLine="0"/>
              <w:jc w:val="right"/>
            </w:pPr>
            <w:r>
              <w:rPr>
                <w:sz w:val="20"/>
              </w:rPr>
              <w:t xml:space="preserve">3,9 </w:t>
            </w:r>
          </w:p>
        </w:tc>
      </w:tr>
      <w:tr w:rsidR="00E8309B">
        <w:trPr>
          <w:trHeight w:val="470"/>
        </w:trPr>
        <w:tc>
          <w:tcPr>
            <w:tcW w:w="4609" w:type="dxa"/>
            <w:tcBorders>
              <w:top w:val="dashed" w:sz="4" w:space="0" w:color="000000"/>
              <w:left w:val="double" w:sz="6" w:space="0" w:color="000000"/>
              <w:bottom w:val="dashed" w:sz="4" w:space="0" w:color="000000"/>
              <w:right w:val="dashed" w:sz="4" w:space="0" w:color="000000"/>
            </w:tcBorders>
          </w:tcPr>
          <w:p w:rsidR="00E8309B" w:rsidRDefault="009D0949">
            <w:pPr>
              <w:spacing w:after="0" w:line="259" w:lineRule="auto"/>
              <w:ind w:left="110" w:right="0" w:firstLine="0"/>
              <w:jc w:val="left"/>
            </w:pPr>
            <w:r>
              <w:rPr>
                <w:sz w:val="20"/>
              </w:rPr>
              <w:t xml:space="preserve">7. Дуг приватног сектора </w:t>
            </w:r>
          </w:p>
        </w:tc>
        <w:tc>
          <w:tcPr>
            <w:tcW w:w="1781" w:type="dxa"/>
            <w:tcBorders>
              <w:top w:val="dashed" w:sz="4" w:space="0" w:color="000000"/>
              <w:left w:val="dashed" w:sz="4" w:space="0" w:color="000000"/>
              <w:bottom w:val="dashed" w:sz="4" w:space="0" w:color="000000"/>
              <w:right w:val="single" w:sz="8" w:space="0" w:color="000000"/>
            </w:tcBorders>
          </w:tcPr>
          <w:p w:rsidR="00E8309B" w:rsidRDefault="009D0949">
            <w:pPr>
              <w:spacing w:after="0" w:line="259" w:lineRule="auto"/>
              <w:ind w:left="39" w:right="0" w:firstLine="0"/>
              <w:jc w:val="center"/>
            </w:pPr>
            <w:r>
              <w:rPr>
                <w:sz w:val="20"/>
              </w:rPr>
              <w:t xml:space="preserve">% БДП </w:t>
            </w:r>
          </w:p>
        </w:tc>
        <w:tc>
          <w:tcPr>
            <w:tcW w:w="1112" w:type="dxa"/>
            <w:tcBorders>
              <w:top w:val="dashed" w:sz="4" w:space="0" w:color="000000"/>
              <w:left w:val="single" w:sz="8" w:space="0" w:color="000000"/>
              <w:bottom w:val="dashed" w:sz="4" w:space="0" w:color="000000"/>
              <w:right w:val="nil"/>
            </w:tcBorders>
          </w:tcPr>
          <w:p w:rsidR="00E8309B" w:rsidRDefault="00E8309B">
            <w:pPr>
              <w:spacing w:after="160" w:line="259" w:lineRule="auto"/>
              <w:ind w:left="0" w:right="0" w:firstLine="0"/>
              <w:jc w:val="left"/>
            </w:pPr>
          </w:p>
        </w:tc>
        <w:tc>
          <w:tcPr>
            <w:tcW w:w="523" w:type="dxa"/>
            <w:tcBorders>
              <w:top w:val="dashed" w:sz="4" w:space="0" w:color="000000"/>
              <w:left w:val="nil"/>
              <w:bottom w:val="dashed" w:sz="4" w:space="0" w:color="000000"/>
              <w:right w:val="dashed" w:sz="4" w:space="0" w:color="000000"/>
            </w:tcBorders>
            <w:vAlign w:val="center"/>
          </w:tcPr>
          <w:p w:rsidR="00E8309B" w:rsidRDefault="009D0949">
            <w:pPr>
              <w:spacing w:after="0" w:line="259" w:lineRule="auto"/>
              <w:ind w:left="67" w:right="0" w:firstLine="0"/>
            </w:pPr>
            <w:r>
              <w:rPr>
                <w:sz w:val="20"/>
              </w:rPr>
              <w:t xml:space="preserve">40,0 </w:t>
            </w:r>
          </w:p>
        </w:tc>
        <w:tc>
          <w:tcPr>
            <w:tcW w:w="1114" w:type="dxa"/>
            <w:tcBorders>
              <w:top w:val="dashed" w:sz="4" w:space="0" w:color="000000"/>
              <w:left w:val="dashed" w:sz="4" w:space="0" w:color="000000"/>
              <w:bottom w:val="dashed" w:sz="4" w:space="0" w:color="000000"/>
              <w:right w:val="nil"/>
            </w:tcBorders>
          </w:tcPr>
          <w:p w:rsidR="00E8309B" w:rsidRDefault="00E8309B">
            <w:pPr>
              <w:spacing w:after="160" w:line="259" w:lineRule="auto"/>
              <w:ind w:left="0" w:right="0" w:firstLine="0"/>
              <w:jc w:val="left"/>
            </w:pPr>
          </w:p>
        </w:tc>
        <w:tc>
          <w:tcPr>
            <w:tcW w:w="523" w:type="dxa"/>
            <w:tcBorders>
              <w:top w:val="dashed" w:sz="4" w:space="0" w:color="000000"/>
              <w:left w:val="nil"/>
              <w:bottom w:val="dashed" w:sz="4" w:space="0" w:color="000000"/>
              <w:right w:val="dashed" w:sz="4" w:space="0" w:color="000000"/>
            </w:tcBorders>
            <w:vAlign w:val="center"/>
          </w:tcPr>
          <w:p w:rsidR="00E8309B" w:rsidRDefault="009D0949">
            <w:pPr>
              <w:spacing w:after="0" w:line="259" w:lineRule="auto"/>
              <w:ind w:left="67" w:right="0" w:firstLine="0"/>
            </w:pPr>
            <w:r>
              <w:rPr>
                <w:sz w:val="20"/>
              </w:rPr>
              <w:t xml:space="preserve">39,8 </w:t>
            </w:r>
          </w:p>
        </w:tc>
        <w:tc>
          <w:tcPr>
            <w:tcW w:w="1635" w:type="dxa"/>
            <w:tcBorders>
              <w:top w:val="dashed" w:sz="4" w:space="0" w:color="000000"/>
              <w:left w:val="dashed" w:sz="4" w:space="0" w:color="000000"/>
              <w:bottom w:val="dashed" w:sz="4" w:space="0" w:color="000000"/>
              <w:right w:val="dashed" w:sz="4" w:space="0" w:color="000000"/>
            </w:tcBorders>
            <w:vAlign w:val="center"/>
          </w:tcPr>
          <w:p w:rsidR="00E8309B" w:rsidRDefault="009D0949">
            <w:pPr>
              <w:spacing w:after="0" w:line="259" w:lineRule="auto"/>
              <w:ind w:left="0" w:right="64" w:firstLine="0"/>
              <w:jc w:val="right"/>
            </w:pPr>
            <w:r>
              <w:rPr>
                <w:sz w:val="20"/>
              </w:rPr>
              <w:t xml:space="preserve">41,1 </w:t>
            </w:r>
          </w:p>
        </w:tc>
        <w:tc>
          <w:tcPr>
            <w:tcW w:w="1114" w:type="dxa"/>
            <w:tcBorders>
              <w:top w:val="dashed" w:sz="4" w:space="0" w:color="000000"/>
              <w:left w:val="dashed" w:sz="4" w:space="0" w:color="000000"/>
              <w:bottom w:val="dashed" w:sz="4" w:space="0" w:color="000000"/>
              <w:right w:val="nil"/>
            </w:tcBorders>
          </w:tcPr>
          <w:p w:rsidR="00E8309B" w:rsidRDefault="00E8309B">
            <w:pPr>
              <w:spacing w:after="160" w:line="259" w:lineRule="auto"/>
              <w:ind w:left="0" w:right="0" w:firstLine="0"/>
              <w:jc w:val="left"/>
            </w:pPr>
          </w:p>
        </w:tc>
        <w:tc>
          <w:tcPr>
            <w:tcW w:w="523" w:type="dxa"/>
            <w:tcBorders>
              <w:top w:val="dashed" w:sz="4" w:space="0" w:color="000000"/>
              <w:left w:val="nil"/>
              <w:bottom w:val="dashed" w:sz="4" w:space="0" w:color="000000"/>
              <w:right w:val="dashed" w:sz="4" w:space="0" w:color="000000"/>
            </w:tcBorders>
            <w:vAlign w:val="center"/>
          </w:tcPr>
          <w:p w:rsidR="00E8309B" w:rsidRDefault="009D0949">
            <w:pPr>
              <w:spacing w:after="0" w:line="259" w:lineRule="auto"/>
              <w:ind w:left="67" w:right="0" w:firstLine="0"/>
            </w:pPr>
            <w:r>
              <w:rPr>
                <w:sz w:val="20"/>
              </w:rPr>
              <w:t xml:space="preserve">41,7 </w:t>
            </w:r>
          </w:p>
        </w:tc>
        <w:tc>
          <w:tcPr>
            <w:tcW w:w="1640" w:type="dxa"/>
            <w:tcBorders>
              <w:top w:val="dashed" w:sz="4" w:space="0" w:color="000000"/>
              <w:left w:val="dashed" w:sz="4" w:space="0" w:color="000000"/>
              <w:bottom w:val="dashed" w:sz="4" w:space="0" w:color="000000"/>
              <w:right w:val="double" w:sz="6" w:space="0" w:color="000000"/>
            </w:tcBorders>
            <w:vAlign w:val="center"/>
          </w:tcPr>
          <w:p w:rsidR="00E8309B" w:rsidRDefault="009D0949">
            <w:pPr>
              <w:spacing w:after="0" w:line="259" w:lineRule="auto"/>
              <w:ind w:left="0" w:right="64" w:firstLine="0"/>
              <w:jc w:val="right"/>
            </w:pPr>
            <w:r>
              <w:rPr>
                <w:sz w:val="20"/>
              </w:rPr>
              <w:t xml:space="preserve">44,8 </w:t>
            </w:r>
          </w:p>
        </w:tc>
      </w:tr>
      <w:tr w:rsidR="00E8309B">
        <w:trPr>
          <w:trHeight w:val="488"/>
        </w:trPr>
        <w:tc>
          <w:tcPr>
            <w:tcW w:w="4609" w:type="dxa"/>
            <w:tcBorders>
              <w:top w:val="dashed" w:sz="4" w:space="0" w:color="000000"/>
              <w:left w:val="double" w:sz="6" w:space="0" w:color="000000"/>
              <w:bottom w:val="double" w:sz="6" w:space="0" w:color="000000"/>
              <w:right w:val="dashed" w:sz="4" w:space="0" w:color="000000"/>
            </w:tcBorders>
          </w:tcPr>
          <w:p w:rsidR="00E8309B" w:rsidRDefault="009D0949">
            <w:pPr>
              <w:spacing w:after="0" w:line="259" w:lineRule="auto"/>
              <w:ind w:left="110" w:right="0" w:firstLine="0"/>
              <w:jc w:val="left"/>
            </w:pPr>
            <w:r>
              <w:rPr>
                <w:sz w:val="20"/>
              </w:rPr>
              <w:t xml:space="preserve">8. Дуг општег нивоа државе </w:t>
            </w:r>
          </w:p>
        </w:tc>
        <w:tc>
          <w:tcPr>
            <w:tcW w:w="1781" w:type="dxa"/>
            <w:tcBorders>
              <w:top w:val="dashed" w:sz="4" w:space="0" w:color="000000"/>
              <w:left w:val="dashed" w:sz="4" w:space="0" w:color="000000"/>
              <w:bottom w:val="double" w:sz="6" w:space="0" w:color="000000"/>
              <w:right w:val="single" w:sz="8" w:space="0" w:color="000000"/>
            </w:tcBorders>
          </w:tcPr>
          <w:p w:rsidR="00E8309B" w:rsidRDefault="009D0949">
            <w:pPr>
              <w:spacing w:after="0" w:line="259" w:lineRule="auto"/>
              <w:ind w:left="39" w:right="0" w:firstLine="0"/>
              <w:jc w:val="center"/>
            </w:pPr>
            <w:r>
              <w:rPr>
                <w:sz w:val="20"/>
              </w:rPr>
              <w:t xml:space="preserve">% БДП </w:t>
            </w:r>
          </w:p>
        </w:tc>
        <w:tc>
          <w:tcPr>
            <w:tcW w:w="1112" w:type="dxa"/>
            <w:tcBorders>
              <w:top w:val="dashed" w:sz="4" w:space="0" w:color="000000"/>
              <w:left w:val="single" w:sz="8" w:space="0" w:color="000000"/>
              <w:bottom w:val="double" w:sz="6" w:space="0" w:color="000000"/>
              <w:right w:val="nil"/>
            </w:tcBorders>
          </w:tcPr>
          <w:p w:rsidR="00E8309B" w:rsidRDefault="00E8309B">
            <w:pPr>
              <w:spacing w:after="160" w:line="259" w:lineRule="auto"/>
              <w:ind w:left="0" w:right="0" w:firstLine="0"/>
              <w:jc w:val="left"/>
            </w:pPr>
          </w:p>
        </w:tc>
        <w:tc>
          <w:tcPr>
            <w:tcW w:w="523" w:type="dxa"/>
            <w:tcBorders>
              <w:top w:val="dashed" w:sz="4" w:space="0" w:color="000000"/>
              <w:left w:val="nil"/>
              <w:bottom w:val="double" w:sz="6" w:space="0" w:color="000000"/>
              <w:right w:val="dashed" w:sz="4" w:space="0" w:color="000000"/>
            </w:tcBorders>
            <w:vAlign w:val="center"/>
          </w:tcPr>
          <w:p w:rsidR="00E8309B" w:rsidRDefault="009D0949">
            <w:pPr>
              <w:spacing w:after="0" w:line="259" w:lineRule="auto"/>
              <w:ind w:left="67" w:right="0" w:firstLine="0"/>
            </w:pPr>
            <w:r>
              <w:rPr>
                <w:sz w:val="20"/>
              </w:rPr>
              <w:t xml:space="preserve">68,7 </w:t>
            </w:r>
          </w:p>
        </w:tc>
        <w:tc>
          <w:tcPr>
            <w:tcW w:w="1114" w:type="dxa"/>
            <w:tcBorders>
              <w:top w:val="dashed" w:sz="4" w:space="0" w:color="000000"/>
              <w:left w:val="dashed" w:sz="4" w:space="0" w:color="000000"/>
              <w:bottom w:val="double" w:sz="6" w:space="0" w:color="000000"/>
              <w:right w:val="nil"/>
            </w:tcBorders>
          </w:tcPr>
          <w:p w:rsidR="00E8309B" w:rsidRDefault="00E8309B">
            <w:pPr>
              <w:spacing w:after="160" w:line="259" w:lineRule="auto"/>
              <w:ind w:left="0" w:right="0" w:firstLine="0"/>
              <w:jc w:val="left"/>
            </w:pPr>
          </w:p>
        </w:tc>
        <w:tc>
          <w:tcPr>
            <w:tcW w:w="523" w:type="dxa"/>
            <w:tcBorders>
              <w:top w:val="dashed" w:sz="4" w:space="0" w:color="000000"/>
              <w:left w:val="nil"/>
              <w:bottom w:val="double" w:sz="6" w:space="0" w:color="000000"/>
              <w:right w:val="dashed" w:sz="4" w:space="0" w:color="000000"/>
            </w:tcBorders>
            <w:vAlign w:val="center"/>
          </w:tcPr>
          <w:p w:rsidR="00E8309B" w:rsidRDefault="009D0949">
            <w:pPr>
              <w:spacing w:after="0" w:line="259" w:lineRule="auto"/>
              <w:ind w:left="67" w:right="0" w:firstLine="0"/>
            </w:pPr>
            <w:r>
              <w:rPr>
                <w:sz w:val="20"/>
              </w:rPr>
              <w:t xml:space="preserve">58,6 </w:t>
            </w:r>
          </w:p>
        </w:tc>
        <w:tc>
          <w:tcPr>
            <w:tcW w:w="1635" w:type="dxa"/>
            <w:tcBorders>
              <w:top w:val="dashed" w:sz="4" w:space="0" w:color="000000"/>
              <w:left w:val="dashed" w:sz="4" w:space="0" w:color="000000"/>
              <w:bottom w:val="double" w:sz="6" w:space="0" w:color="000000"/>
              <w:right w:val="dashed" w:sz="4" w:space="0" w:color="000000"/>
            </w:tcBorders>
            <w:vAlign w:val="center"/>
          </w:tcPr>
          <w:p w:rsidR="00E8309B" w:rsidRDefault="009D0949">
            <w:pPr>
              <w:spacing w:after="0" w:line="259" w:lineRule="auto"/>
              <w:ind w:left="0" w:right="64" w:firstLine="0"/>
              <w:jc w:val="right"/>
            </w:pPr>
            <w:r>
              <w:rPr>
                <w:sz w:val="20"/>
              </w:rPr>
              <w:t xml:space="preserve">54,4 </w:t>
            </w:r>
          </w:p>
        </w:tc>
        <w:tc>
          <w:tcPr>
            <w:tcW w:w="1114" w:type="dxa"/>
            <w:tcBorders>
              <w:top w:val="dashed" w:sz="4" w:space="0" w:color="000000"/>
              <w:left w:val="dashed" w:sz="4" w:space="0" w:color="000000"/>
              <w:bottom w:val="double" w:sz="6" w:space="0" w:color="000000"/>
              <w:right w:val="nil"/>
            </w:tcBorders>
          </w:tcPr>
          <w:p w:rsidR="00E8309B" w:rsidRDefault="00E8309B">
            <w:pPr>
              <w:spacing w:after="160" w:line="259" w:lineRule="auto"/>
              <w:ind w:left="0" w:right="0" w:firstLine="0"/>
              <w:jc w:val="left"/>
            </w:pPr>
          </w:p>
        </w:tc>
        <w:tc>
          <w:tcPr>
            <w:tcW w:w="523" w:type="dxa"/>
            <w:tcBorders>
              <w:top w:val="dashed" w:sz="4" w:space="0" w:color="000000"/>
              <w:left w:val="nil"/>
              <w:bottom w:val="double" w:sz="6" w:space="0" w:color="000000"/>
              <w:right w:val="dashed" w:sz="4" w:space="0" w:color="000000"/>
            </w:tcBorders>
            <w:vAlign w:val="center"/>
          </w:tcPr>
          <w:p w:rsidR="00E8309B" w:rsidRDefault="009D0949">
            <w:pPr>
              <w:spacing w:after="0" w:line="259" w:lineRule="auto"/>
              <w:ind w:left="67" w:right="0" w:firstLine="0"/>
            </w:pPr>
            <w:r>
              <w:rPr>
                <w:sz w:val="20"/>
              </w:rPr>
              <w:t xml:space="preserve">52,9 </w:t>
            </w:r>
          </w:p>
        </w:tc>
        <w:tc>
          <w:tcPr>
            <w:tcW w:w="1640" w:type="dxa"/>
            <w:tcBorders>
              <w:top w:val="dashed" w:sz="4" w:space="0" w:color="000000"/>
              <w:left w:val="dashed" w:sz="4" w:space="0" w:color="000000"/>
              <w:bottom w:val="double" w:sz="6" w:space="0" w:color="000000"/>
              <w:right w:val="double" w:sz="6" w:space="0" w:color="000000"/>
            </w:tcBorders>
            <w:vAlign w:val="center"/>
          </w:tcPr>
          <w:p w:rsidR="00E8309B" w:rsidRDefault="009D0949">
            <w:pPr>
              <w:spacing w:after="0" w:line="259" w:lineRule="auto"/>
              <w:ind w:left="0" w:right="64" w:firstLine="0"/>
              <w:jc w:val="right"/>
            </w:pPr>
            <w:r>
              <w:rPr>
                <w:sz w:val="20"/>
              </w:rPr>
              <w:t xml:space="preserve">59,0 </w:t>
            </w:r>
          </w:p>
        </w:tc>
      </w:tr>
    </w:tbl>
    <w:p w:rsidR="00E8309B" w:rsidRDefault="009D0949">
      <w:pPr>
        <w:numPr>
          <w:ilvl w:val="0"/>
          <w:numId w:val="53"/>
        </w:numPr>
        <w:spacing w:after="13" w:line="269" w:lineRule="auto"/>
        <w:ind w:right="0" w:hanging="286"/>
        <w:jc w:val="left"/>
      </w:pPr>
      <w:r>
        <w:rPr>
          <w:sz w:val="20"/>
        </w:rPr>
        <w:t xml:space="preserve">Други квартал 2020. </w:t>
      </w:r>
    </w:p>
    <w:p w:rsidR="00E8309B" w:rsidRDefault="009D0949">
      <w:pPr>
        <w:numPr>
          <w:ilvl w:val="0"/>
          <w:numId w:val="53"/>
        </w:numPr>
        <w:spacing w:after="13" w:line="269" w:lineRule="auto"/>
        <w:ind w:right="0" w:hanging="286"/>
        <w:jc w:val="left"/>
      </w:pPr>
      <w:r>
        <w:rPr>
          <w:sz w:val="20"/>
        </w:rPr>
        <w:t xml:space="preserve">На бази индекса потрошачких цена, однос евро долар 80:20, Јан-Окт 2020/Јан-Окт 2019.Q1-Q3 2019/Q1-Q3 2018. </w:t>
      </w:r>
    </w:p>
    <w:p w:rsidR="00E8309B" w:rsidRDefault="009D0949">
      <w:pPr>
        <w:numPr>
          <w:ilvl w:val="0"/>
          <w:numId w:val="53"/>
        </w:numPr>
        <w:spacing w:after="13" w:line="269" w:lineRule="auto"/>
        <w:ind w:right="0" w:hanging="286"/>
        <w:jc w:val="left"/>
      </w:pPr>
      <w:r>
        <w:rPr>
          <w:sz w:val="20"/>
        </w:rPr>
        <w:t xml:space="preserve">Q1-Q3 2020/Q1-Q3 2019, трећи квартал процена НБС. </w:t>
      </w:r>
      <w:r>
        <w:rPr>
          <w:sz w:val="20"/>
        </w:rPr>
        <w:tab/>
        <w:t xml:space="preserve">  </w:t>
      </w:r>
    </w:p>
    <w:p w:rsidR="00E8309B" w:rsidRDefault="009D0949">
      <w:pPr>
        <w:spacing w:after="84" w:line="259" w:lineRule="auto"/>
        <w:ind w:left="0" w:right="0" w:firstLine="0"/>
        <w:jc w:val="left"/>
      </w:pPr>
      <w:r>
        <w:rPr>
          <w:sz w:val="22"/>
        </w:rPr>
        <w:t xml:space="preserve"> </w:t>
      </w:r>
    </w:p>
    <w:p w:rsidR="00E8309B" w:rsidRDefault="009D0949">
      <w:pPr>
        <w:spacing w:after="0" w:line="259" w:lineRule="auto"/>
        <w:ind w:left="0" w:right="0" w:firstLine="0"/>
        <w:jc w:val="left"/>
      </w:pPr>
      <w:r>
        <w:rPr>
          <w:b/>
          <w:sz w:val="20"/>
        </w:rPr>
        <w:t xml:space="preserve"> </w:t>
      </w:r>
      <w:r>
        <w:rPr>
          <w:b/>
          <w:sz w:val="20"/>
        </w:rPr>
        <w:tab/>
        <w:t xml:space="preserve"> </w:t>
      </w:r>
    </w:p>
    <w:p w:rsidR="00E8309B" w:rsidRDefault="009D0949">
      <w:pPr>
        <w:pStyle w:val="Heading3"/>
      </w:pPr>
      <w:r>
        <w:t xml:space="preserve">Табела 2: Буџетски изгледи општег нивоа државе </w:t>
      </w:r>
    </w:p>
    <w:tbl>
      <w:tblPr>
        <w:tblStyle w:val="TableGrid"/>
        <w:tblW w:w="14311" w:type="dxa"/>
        <w:tblInd w:w="0" w:type="dxa"/>
        <w:tblCellMar>
          <w:top w:w="10" w:type="dxa"/>
          <w:left w:w="108" w:type="dxa"/>
          <w:bottom w:w="0" w:type="dxa"/>
          <w:right w:w="56" w:type="dxa"/>
        </w:tblCellMar>
        <w:tblLook w:val="04A0" w:firstRow="1" w:lastRow="0" w:firstColumn="1" w:lastColumn="0" w:noHBand="0" w:noVBand="1"/>
      </w:tblPr>
      <w:tblGrid>
        <w:gridCol w:w="6757"/>
        <w:gridCol w:w="1608"/>
        <w:gridCol w:w="996"/>
        <w:gridCol w:w="994"/>
        <w:gridCol w:w="987"/>
        <w:gridCol w:w="989"/>
        <w:gridCol w:w="989"/>
        <w:gridCol w:w="992"/>
      </w:tblGrid>
      <w:tr w:rsidR="00E8309B">
        <w:trPr>
          <w:trHeight w:val="394"/>
        </w:trPr>
        <w:tc>
          <w:tcPr>
            <w:tcW w:w="6757" w:type="dxa"/>
            <w:tcBorders>
              <w:top w:val="double" w:sz="6" w:space="0" w:color="000000"/>
              <w:left w:val="double" w:sz="6" w:space="0" w:color="000000"/>
              <w:bottom w:val="double" w:sz="6" w:space="0" w:color="000000"/>
              <w:right w:val="single" w:sz="8" w:space="0" w:color="000000"/>
            </w:tcBorders>
          </w:tcPr>
          <w:p w:rsidR="00E8309B" w:rsidRDefault="009D0949">
            <w:pPr>
              <w:spacing w:after="0" w:line="259" w:lineRule="auto"/>
              <w:ind w:left="2" w:right="0" w:firstLine="0"/>
              <w:jc w:val="left"/>
            </w:pPr>
            <w:r>
              <w:rPr>
                <w:sz w:val="20"/>
              </w:rPr>
              <w:t xml:space="preserve"> </w:t>
            </w:r>
          </w:p>
        </w:tc>
        <w:tc>
          <w:tcPr>
            <w:tcW w:w="1608" w:type="dxa"/>
            <w:tcBorders>
              <w:top w:val="double" w:sz="6" w:space="0" w:color="000000"/>
              <w:left w:val="single" w:sz="8" w:space="0" w:color="000000"/>
              <w:bottom w:val="double" w:sz="6" w:space="0" w:color="000000"/>
              <w:right w:val="single" w:sz="8" w:space="0" w:color="000000"/>
            </w:tcBorders>
            <w:vAlign w:val="bottom"/>
          </w:tcPr>
          <w:p w:rsidR="00E8309B" w:rsidRDefault="009D0949">
            <w:pPr>
              <w:spacing w:after="0" w:line="259" w:lineRule="auto"/>
              <w:ind w:left="0" w:right="50" w:firstLine="0"/>
              <w:jc w:val="center"/>
            </w:pPr>
            <w:r>
              <w:rPr>
                <w:b/>
                <w:sz w:val="20"/>
              </w:rPr>
              <w:t xml:space="preserve">млрд РСД </w:t>
            </w:r>
          </w:p>
          <w:p w:rsidR="00E8309B" w:rsidRDefault="009D0949">
            <w:pPr>
              <w:spacing w:after="0" w:line="259" w:lineRule="auto"/>
              <w:ind w:left="2" w:right="0" w:firstLine="0"/>
              <w:jc w:val="left"/>
            </w:pPr>
            <w:r>
              <w:rPr>
                <w:sz w:val="20"/>
              </w:rPr>
              <w:t xml:space="preserve"> </w:t>
            </w:r>
          </w:p>
        </w:tc>
        <w:tc>
          <w:tcPr>
            <w:tcW w:w="996" w:type="dxa"/>
            <w:tcBorders>
              <w:top w:val="double" w:sz="6" w:space="0" w:color="000000"/>
              <w:left w:val="single" w:sz="8" w:space="0" w:color="000000"/>
              <w:bottom w:val="double" w:sz="6" w:space="0" w:color="000000"/>
              <w:right w:val="dashed" w:sz="4" w:space="0" w:color="000000"/>
            </w:tcBorders>
            <w:vAlign w:val="bottom"/>
          </w:tcPr>
          <w:p w:rsidR="00E8309B" w:rsidRDefault="009D0949">
            <w:pPr>
              <w:spacing w:after="0" w:line="259" w:lineRule="auto"/>
              <w:ind w:left="0" w:right="51" w:firstLine="0"/>
              <w:jc w:val="center"/>
            </w:pPr>
            <w:r>
              <w:rPr>
                <w:b/>
                <w:sz w:val="20"/>
              </w:rPr>
              <w:t xml:space="preserve">2018 </w:t>
            </w:r>
          </w:p>
          <w:p w:rsidR="00E8309B" w:rsidRDefault="009D0949">
            <w:pPr>
              <w:spacing w:after="0" w:line="259" w:lineRule="auto"/>
              <w:ind w:left="2" w:right="0" w:firstLine="0"/>
              <w:jc w:val="left"/>
            </w:pPr>
            <w:r>
              <w:rPr>
                <w:sz w:val="20"/>
              </w:rPr>
              <w:t xml:space="preserve"> </w:t>
            </w:r>
          </w:p>
        </w:tc>
        <w:tc>
          <w:tcPr>
            <w:tcW w:w="994" w:type="dxa"/>
            <w:tcBorders>
              <w:top w:val="double" w:sz="6" w:space="0" w:color="000000"/>
              <w:left w:val="dashed" w:sz="4" w:space="0" w:color="000000"/>
              <w:bottom w:val="double" w:sz="6" w:space="0" w:color="000000"/>
              <w:right w:val="dashed" w:sz="4" w:space="0" w:color="000000"/>
            </w:tcBorders>
            <w:vAlign w:val="bottom"/>
          </w:tcPr>
          <w:p w:rsidR="00E8309B" w:rsidRDefault="009D0949">
            <w:pPr>
              <w:spacing w:after="0" w:line="259" w:lineRule="auto"/>
              <w:ind w:left="0" w:right="53" w:firstLine="0"/>
              <w:jc w:val="center"/>
            </w:pPr>
            <w:r>
              <w:rPr>
                <w:b/>
                <w:sz w:val="20"/>
              </w:rPr>
              <w:t xml:space="preserve">2019 </w:t>
            </w:r>
          </w:p>
          <w:p w:rsidR="00E8309B" w:rsidRDefault="009D0949">
            <w:pPr>
              <w:spacing w:after="0" w:line="259" w:lineRule="auto"/>
              <w:ind w:left="0" w:right="0" w:firstLine="0"/>
              <w:jc w:val="left"/>
            </w:pPr>
            <w:r>
              <w:rPr>
                <w:sz w:val="20"/>
              </w:rPr>
              <w:t xml:space="preserve"> </w:t>
            </w:r>
          </w:p>
        </w:tc>
        <w:tc>
          <w:tcPr>
            <w:tcW w:w="987" w:type="dxa"/>
            <w:tcBorders>
              <w:top w:val="double" w:sz="6" w:space="0" w:color="000000"/>
              <w:left w:val="dashed" w:sz="4" w:space="0" w:color="000000"/>
              <w:bottom w:val="double" w:sz="6" w:space="0" w:color="000000"/>
              <w:right w:val="dashed" w:sz="4" w:space="0" w:color="000000"/>
            </w:tcBorders>
            <w:vAlign w:val="bottom"/>
          </w:tcPr>
          <w:p w:rsidR="00E8309B" w:rsidRDefault="009D0949">
            <w:pPr>
              <w:spacing w:after="0" w:line="259" w:lineRule="auto"/>
              <w:ind w:left="0" w:right="50" w:firstLine="0"/>
              <w:jc w:val="center"/>
            </w:pPr>
            <w:r>
              <w:rPr>
                <w:b/>
                <w:sz w:val="20"/>
              </w:rPr>
              <w:t xml:space="preserve">2020 </w:t>
            </w:r>
          </w:p>
          <w:p w:rsidR="00E8309B" w:rsidRDefault="009D0949">
            <w:pPr>
              <w:spacing w:after="0" w:line="259" w:lineRule="auto"/>
              <w:ind w:left="1" w:right="0" w:firstLine="0"/>
              <w:jc w:val="left"/>
            </w:pPr>
            <w:r>
              <w:rPr>
                <w:sz w:val="20"/>
              </w:rPr>
              <w:t xml:space="preserve"> </w:t>
            </w:r>
          </w:p>
        </w:tc>
        <w:tc>
          <w:tcPr>
            <w:tcW w:w="989" w:type="dxa"/>
            <w:tcBorders>
              <w:top w:val="double" w:sz="6" w:space="0" w:color="000000"/>
              <w:left w:val="dashed" w:sz="4" w:space="0" w:color="000000"/>
              <w:bottom w:val="double" w:sz="6" w:space="0" w:color="000000"/>
              <w:right w:val="dashed" w:sz="4" w:space="0" w:color="000000"/>
            </w:tcBorders>
            <w:vAlign w:val="bottom"/>
          </w:tcPr>
          <w:p w:rsidR="00E8309B" w:rsidRDefault="009D0949">
            <w:pPr>
              <w:spacing w:after="0" w:line="259" w:lineRule="auto"/>
              <w:ind w:left="0" w:right="49" w:firstLine="0"/>
              <w:jc w:val="center"/>
            </w:pPr>
            <w:r>
              <w:rPr>
                <w:b/>
                <w:sz w:val="20"/>
              </w:rPr>
              <w:t xml:space="preserve">2021 </w:t>
            </w:r>
          </w:p>
          <w:p w:rsidR="00E8309B" w:rsidRDefault="009D0949">
            <w:pPr>
              <w:spacing w:after="0" w:line="259" w:lineRule="auto"/>
              <w:ind w:left="2" w:right="0" w:firstLine="0"/>
              <w:jc w:val="left"/>
            </w:pPr>
            <w:r>
              <w:rPr>
                <w:sz w:val="20"/>
              </w:rPr>
              <w:t xml:space="preserve"> </w:t>
            </w:r>
          </w:p>
        </w:tc>
        <w:tc>
          <w:tcPr>
            <w:tcW w:w="989" w:type="dxa"/>
            <w:tcBorders>
              <w:top w:val="double" w:sz="6" w:space="0" w:color="000000"/>
              <w:left w:val="dashed" w:sz="4" w:space="0" w:color="000000"/>
              <w:bottom w:val="double" w:sz="6" w:space="0" w:color="000000"/>
              <w:right w:val="dashed" w:sz="4" w:space="0" w:color="000000"/>
            </w:tcBorders>
            <w:vAlign w:val="bottom"/>
          </w:tcPr>
          <w:p w:rsidR="00E8309B" w:rsidRDefault="009D0949">
            <w:pPr>
              <w:spacing w:after="0" w:line="259" w:lineRule="auto"/>
              <w:ind w:left="0" w:right="49" w:firstLine="0"/>
              <w:jc w:val="center"/>
            </w:pPr>
            <w:r>
              <w:rPr>
                <w:b/>
                <w:sz w:val="20"/>
              </w:rPr>
              <w:t xml:space="preserve">2022 </w:t>
            </w:r>
          </w:p>
          <w:p w:rsidR="00E8309B" w:rsidRDefault="009D0949">
            <w:pPr>
              <w:spacing w:after="0" w:line="259" w:lineRule="auto"/>
              <w:ind w:left="2" w:right="0" w:firstLine="0"/>
              <w:jc w:val="left"/>
            </w:pPr>
            <w:r>
              <w:rPr>
                <w:sz w:val="20"/>
              </w:rPr>
              <w:t xml:space="preserve"> </w:t>
            </w:r>
          </w:p>
        </w:tc>
        <w:tc>
          <w:tcPr>
            <w:tcW w:w="992" w:type="dxa"/>
            <w:tcBorders>
              <w:top w:val="double" w:sz="6" w:space="0" w:color="000000"/>
              <w:left w:val="dashed" w:sz="4" w:space="0" w:color="000000"/>
              <w:bottom w:val="double" w:sz="6" w:space="0" w:color="000000"/>
              <w:right w:val="double" w:sz="6" w:space="0" w:color="000000"/>
            </w:tcBorders>
            <w:vAlign w:val="bottom"/>
          </w:tcPr>
          <w:p w:rsidR="00E8309B" w:rsidRDefault="009D0949">
            <w:pPr>
              <w:spacing w:after="0" w:line="259" w:lineRule="auto"/>
              <w:ind w:left="0" w:right="51" w:firstLine="0"/>
              <w:jc w:val="center"/>
            </w:pPr>
            <w:r>
              <w:rPr>
                <w:b/>
                <w:sz w:val="20"/>
              </w:rPr>
              <w:t xml:space="preserve">2023 </w:t>
            </w:r>
          </w:p>
          <w:p w:rsidR="00E8309B" w:rsidRDefault="009D0949">
            <w:pPr>
              <w:spacing w:after="0" w:line="259" w:lineRule="auto"/>
              <w:ind w:left="0" w:right="0" w:firstLine="0"/>
              <w:jc w:val="left"/>
            </w:pPr>
            <w:r>
              <w:rPr>
                <w:sz w:val="20"/>
              </w:rPr>
              <w:t xml:space="preserve"> </w:t>
            </w:r>
          </w:p>
        </w:tc>
      </w:tr>
      <w:tr w:rsidR="00E8309B">
        <w:trPr>
          <w:trHeight w:val="312"/>
        </w:trPr>
        <w:tc>
          <w:tcPr>
            <w:tcW w:w="6757" w:type="dxa"/>
            <w:tcBorders>
              <w:top w:val="double" w:sz="6" w:space="0" w:color="000000"/>
              <w:left w:val="double" w:sz="6" w:space="0" w:color="000000"/>
              <w:bottom w:val="single" w:sz="4" w:space="0" w:color="000000"/>
              <w:right w:val="single" w:sz="8" w:space="0" w:color="000000"/>
            </w:tcBorders>
          </w:tcPr>
          <w:p w:rsidR="00E8309B" w:rsidRDefault="009D0949">
            <w:pPr>
              <w:spacing w:after="0" w:line="259" w:lineRule="auto"/>
              <w:ind w:left="2" w:right="0" w:firstLine="0"/>
              <w:jc w:val="left"/>
            </w:pPr>
            <w:r>
              <w:rPr>
                <w:b/>
                <w:sz w:val="20"/>
              </w:rPr>
              <w:t xml:space="preserve">Резултат (B9) по секторима државе </w:t>
            </w:r>
          </w:p>
        </w:tc>
        <w:tc>
          <w:tcPr>
            <w:tcW w:w="1608" w:type="dxa"/>
            <w:tcBorders>
              <w:top w:val="double" w:sz="6" w:space="0" w:color="000000"/>
              <w:left w:val="single" w:sz="8" w:space="0" w:color="000000"/>
              <w:bottom w:val="single" w:sz="4" w:space="0" w:color="000000"/>
              <w:right w:val="single" w:sz="8" w:space="0" w:color="000000"/>
            </w:tcBorders>
          </w:tcPr>
          <w:p w:rsidR="00E8309B" w:rsidRDefault="00E8309B">
            <w:pPr>
              <w:spacing w:after="160" w:line="259" w:lineRule="auto"/>
              <w:ind w:left="0" w:right="0" w:firstLine="0"/>
              <w:jc w:val="left"/>
            </w:pPr>
          </w:p>
        </w:tc>
        <w:tc>
          <w:tcPr>
            <w:tcW w:w="996" w:type="dxa"/>
            <w:tcBorders>
              <w:top w:val="double" w:sz="6" w:space="0" w:color="000000"/>
              <w:left w:val="single" w:sz="8" w:space="0" w:color="000000"/>
              <w:bottom w:val="single" w:sz="4" w:space="0" w:color="000000"/>
              <w:right w:val="nil"/>
            </w:tcBorders>
          </w:tcPr>
          <w:p w:rsidR="00E8309B" w:rsidRDefault="00E8309B">
            <w:pPr>
              <w:spacing w:after="160" w:line="259" w:lineRule="auto"/>
              <w:ind w:left="0" w:right="0" w:firstLine="0"/>
              <w:jc w:val="left"/>
            </w:pPr>
          </w:p>
        </w:tc>
        <w:tc>
          <w:tcPr>
            <w:tcW w:w="994" w:type="dxa"/>
            <w:tcBorders>
              <w:top w:val="double" w:sz="6" w:space="0" w:color="000000"/>
              <w:left w:val="nil"/>
              <w:bottom w:val="single" w:sz="4" w:space="0" w:color="000000"/>
              <w:right w:val="nil"/>
            </w:tcBorders>
          </w:tcPr>
          <w:p w:rsidR="00E8309B" w:rsidRDefault="00E8309B">
            <w:pPr>
              <w:spacing w:after="160" w:line="259" w:lineRule="auto"/>
              <w:ind w:left="0" w:right="0" w:firstLine="0"/>
              <w:jc w:val="left"/>
            </w:pPr>
          </w:p>
        </w:tc>
        <w:tc>
          <w:tcPr>
            <w:tcW w:w="987" w:type="dxa"/>
            <w:tcBorders>
              <w:top w:val="double" w:sz="6" w:space="0" w:color="000000"/>
              <w:left w:val="nil"/>
              <w:bottom w:val="single" w:sz="4" w:space="0" w:color="000000"/>
              <w:right w:val="nil"/>
            </w:tcBorders>
          </w:tcPr>
          <w:p w:rsidR="00E8309B" w:rsidRDefault="00E8309B">
            <w:pPr>
              <w:spacing w:after="160" w:line="259" w:lineRule="auto"/>
              <w:ind w:left="0" w:right="0" w:firstLine="0"/>
              <w:jc w:val="left"/>
            </w:pPr>
          </w:p>
        </w:tc>
        <w:tc>
          <w:tcPr>
            <w:tcW w:w="989" w:type="dxa"/>
            <w:tcBorders>
              <w:top w:val="double" w:sz="6" w:space="0" w:color="000000"/>
              <w:left w:val="nil"/>
              <w:bottom w:val="single" w:sz="4" w:space="0" w:color="000000"/>
              <w:right w:val="nil"/>
            </w:tcBorders>
          </w:tcPr>
          <w:p w:rsidR="00E8309B" w:rsidRDefault="00E8309B">
            <w:pPr>
              <w:spacing w:after="160" w:line="259" w:lineRule="auto"/>
              <w:ind w:left="0" w:right="0" w:firstLine="0"/>
              <w:jc w:val="left"/>
            </w:pPr>
          </w:p>
        </w:tc>
        <w:tc>
          <w:tcPr>
            <w:tcW w:w="989" w:type="dxa"/>
            <w:tcBorders>
              <w:top w:val="double" w:sz="6" w:space="0" w:color="000000"/>
              <w:left w:val="nil"/>
              <w:bottom w:val="single" w:sz="4" w:space="0" w:color="000000"/>
              <w:right w:val="nil"/>
            </w:tcBorders>
          </w:tcPr>
          <w:p w:rsidR="00E8309B" w:rsidRDefault="00E8309B">
            <w:pPr>
              <w:spacing w:after="160" w:line="259" w:lineRule="auto"/>
              <w:ind w:left="0" w:right="0" w:firstLine="0"/>
              <w:jc w:val="left"/>
            </w:pPr>
          </w:p>
        </w:tc>
        <w:tc>
          <w:tcPr>
            <w:tcW w:w="992" w:type="dxa"/>
            <w:tcBorders>
              <w:top w:val="double" w:sz="6" w:space="0" w:color="000000"/>
              <w:left w:val="nil"/>
              <w:bottom w:val="single" w:sz="4" w:space="0" w:color="000000"/>
              <w:right w:val="double" w:sz="6" w:space="0" w:color="000000"/>
            </w:tcBorders>
          </w:tcPr>
          <w:p w:rsidR="00E8309B" w:rsidRDefault="00E8309B">
            <w:pPr>
              <w:spacing w:after="160" w:line="259" w:lineRule="auto"/>
              <w:ind w:left="0" w:right="0" w:firstLine="0"/>
              <w:jc w:val="left"/>
            </w:pPr>
          </w:p>
        </w:tc>
      </w:tr>
      <w:tr w:rsidR="00E8309B">
        <w:trPr>
          <w:trHeight w:val="293"/>
        </w:trPr>
        <w:tc>
          <w:tcPr>
            <w:tcW w:w="6757" w:type="dxa"/>
            <w:tcBorders>
              <w:top w:val="single" w:sz="4" w:space="0" w:color="000000"/>
              <w:left w:val="double" w:sz="6" w:space="0" w:color="000000"/>
              <w:bottom w:val="dashed" w:sz="4" w:space="0" w:color="000000"/>
              <w:right w:val="single" w:sz="8" w:space="0" w:color="000000"/>
            </w:tcBorders>
          </w:tcPr>
          <w:p w:rsidR="00E8309B" w:rsidRDefault="009D0949">
            <w:pPr>
              <w:spacing w:after="0" w:line="259" w:lineRule="auto"/>
              <w:ind w:left="2" w:right="0" w:firstLine="0"/>
              <w:jc w:val="left"/>
            </w:pPr>
            <w:r>
              <w:rPr>
                <w:sz w:val="20"/>
              </w:rPr>
              <w:t xml:space="preserve">1. Општи ниво државе </w:t>
            </w:r>
          </w:p>
        </w:tc>
        <w:tc>
          <w:tcPr>
            <w:tcW w:w="1608" w:type="dxa"/>
            <w:tcBorders>
              <w:top w:val="single" w:sz="4" w:space="0" w:color="000000"/>
              <w:left w:val="single" w:sz="8" w:space="0" w:color="000000"/>
              <w:bottom w:val="dashed" w:sz="4" w:space="0" w:color="000000"/>
              <w:right w:val="single" w:sz="8" w:space="0" w:color="000000"/>
            </w:tcBorders>
          </w:tcPr>
          <w:p w:rsidR="00E8309B" w:rsidRDefault="009D0949">
            <w:pPr>
              <w:spacing w:after="0" w:line="259" w:lineRule="auto"/>
              <w:ind w:left="0" w:right="48" w:firstLine="0"/>
              <w:jc w:val="center"/>
            </w:pPr>
            <w:r>
              <w:rPr>
                <w:sz w:val="20"/>
              </w:rPr>
              <w:t xml:space="preserve">S13 </w:t>
            </w:r>
          </w:p>
        </w:tc>
        <w:tc>
          <w:tcPr>
            <w:tcW w:w="996" w:type="dxa"/>
            <w:tcBorders>
              <w:top w:val="single" w:sz="4" w:space="0" w:color="000000"/>
              <w:left w:val="single" w:sz="8" w:space="0" w:color="000000"/>
              <w:bottom w:val="dashed" w:sz="4" w:space="0" w:color="000000"/>
              <w:right w:val="dashed" w:sz="4" w:space="0" w:color="000000"/>
            </w:tcBorders>
          </w:tcPr>
          <w:p w:rsidR="00E8309B" w:rsidRDefault="009D0949">
            <w:pPr>
              <w:spacing w:after="0" w:line="259" w:lineRule="auto"/>
              <w:ind w:left="0" w:right="52" w:firstLine="0"/>
              <w:jc w:val="right"/>
            </w:pPr>
            <w:r>
              <w:rPr>
                <w:sz w:val="20"/>
              </w:rPr>
              <w:t xml:space="preserve">32,2 </w:t>
            </w:r>
          </w:p>
        </w:tc>
        <w:tc>
          <w:tcPr>
            <w:tcW w:w="994" w:type="dxa"/>
            <w:tcBorders>
              <w:top w:val="single" w:sz="4" w:space="0" w:color="000000"/>
              <w:left w:val="dashed" w:sz="4" w:space="0" w:color="000000"/>
              <w:bottom w:val="dashed" w:sz="4" w:space="0" w:color="000000"/>
              <w:right w:val="dashed" w:sz="4" w:space="0" w:color="000000"/>
            </w:tcBorders>
          </w:tcPr>
          <w:p w:rsidR="00E8309B" w:rsidRDefault="009D0949">
            <w:pPr>
              <w:spacing w:after="0" w:line="259" w:lineRule="auto"/>
              <w:ind w:left="0" w:right="54" w:firstLine="0"/>
              <w:jc w:val="right"/>
            </w:pPr>
            <w:r>
              <w:rPr>
                <w:sz w:val="20"/>
              </w:rPr>
              <w:t xml:space="preserve">-11,1 </w:t>
            </w:r>
          </w:p>
        </w:tc>
        <w:tc>
          <w:tcPr>
            <w:tcW w:w="987" w:type="dxa"/>
            <w:tcBorders>
              <w:top w:val="single" w:sz="4" w:space="0" w:color="000000"/>
              <w:left w:val="dashed" w:sz="4" w:space="0" w:color="000000"/>
              <w:bottom w:val="dashed" w:sz="4" w:space="0" w:color="000000"/>
              <w:right w:val="dashed" w:sz="4" w:space="0" w:color="000000"/>
            </w:tcBorders>
          </w:tcPr>
          <w:p w:rsidR="00E8309B" w:rsidRDefault="009D0949">
            <w:pPr>
              <w:spacing w:after="0" w:line="259" w:lineRule="auto"/>
              <w:ind w:left="0" w:right="49" w:firstLine="0"/>
              <w:jc w:val="right"/>
            </w:pPr>
            <w:r>
              <w:rPr>
                <w:sz w:val="20"/>
              </w:rPr>
              <w:t xml:space="preserve">-492,3 </w:t>
            </w:r>
          </w:p>
        </w:tc>
        <w:tc>
          <w:tcPr>
            <w:tcW w:w="989" w:type="dxa"/>
            <w:tcBorders>
              <w:top w:val="single" w:sz="4" w:space="0" w:color="000000"/>
              <w:left w:val="dashed" w:sz="4" w:space="0" w:color="000000"/>
              <w:bottom w:val="dashed" w:sz="4" w:space="0" w:color="000000"/>
              <w:right w:val="dashed" w:sz="4" w:space="0" w:color="000000"/>
            </w:tcBorders>
          </w:tcPr>
          <w:p w:rsidR="00E8309B" w:rsidRDefault="009D0949">
            <w:pPr>
              <w:spacing w:after="0" w:line="259" w:lineRule="auto"/>
              <w:ind w:left="0" w:right="49" w:firstLine="0"/>
              <w:jc w:val="right"/>
            </w:pPr>
            <w:r>
              <w:rPr>
                <w:sz w:val="20"/>
              </w:rPr>
              <w:t xml:space="preserve">-179,3 </w:t>
            </w:r>
          </w:p>
        </w:tc>
        <w:tc>
          <w:tcPr>
            <w:tcW w:w="989" w:type="dxa"/>
            <w:tcBorders>
              <w:top w:val="single" w:sz="4" w:space="0" w:color="000000"/>
              <w:left w:val="dashed" w:sz="4" w:space="0" w:color="000000"/>
              <w:bottom w:val="dashed" w:sz="4" w:space="0" w:color="000000"/>
              <w:right w:val="dashed" w:sz="4" w:space="0" w:color="000000"/>
            </w:tcBorders>
          </w:tcPr>
          <w:p w:rsidR="00E8309B" w:rsidRDefault="009D0949">
            <w:pPr>
              <w:spacing w:after="0" w:line="259" w:lineRule="auto"/>
              <w:ind w:left="0" w:right="49" w:firstLine="0"/>
              <w:jc w:val="right"/>
            </w:pPr>
            <w:r>
              <w:rPr>
                <w:sz w:val="20"/>
              </w:rPr>
              <w:t xml:space="preserve">-105,5 </w:t>
            </w:r>
          </w:p>
        </w:tc>
        <w:tc>
          <w:tcPr>
            <w:tcW w:w="992" w:type="dxa"/>
            <w:tcBorders>
              <w:top w:val="single" w:sz="4" w:space="0" w:color="000000"/>
              <w:left w:val="dashed" w:sz="4" w:space="0" w:color="000000"/>
              <w:bottom w:val="dashed" w:sz="4" w:space="0" w:color="000000"/>
              <w:right w:val="double" w:sz="6" w:space="0" w:color="000000"/>
            </w:tcBorders>
          </w:tcPr>
          <w:p w:rsidR="00E8309B" w:rsidRDefault="009D0949">
            <w:pPr>
              <w:spacing w:after="0" w:line="259" w:lineRule="auto"/>
              <w:ind w:left="0" w:right="54" w:firstLine="0"/>
              <w:jc w:val="right"/>
            </w:pPr>
            <w:r>
              <w:rPr>
                <w:sz w:val="20"/>
              </w:rPr>
              <w:t xml:space="preserve">-71,4 </w:t>
            </w:r>
          </w:p>
        </w:tc>
      </w:tr>
      <w:tr w:rsidR="00E8309B">
        <w:trPr>
          <w:trHeight w:val="293"/>
        </w:trPr>
        <w:tc>
          <w:tcPr>
            <w:tcW w:w="6757" w:type="dxa"/>
            <w:tcBorders>
              <w:top w:val="dashed" w:sz="4" w:space="0" w:color="000000"/>
              <w:left w:val="double" w:sz="6" w:space="0" w:color="000000"/>
              <w:bottom w:val="dashed" w:sz="4" w:space="0" w:color="000000"/>
              <w:right w:val="single" w:sz="8" w:space="0" w:color="000000"/>
            </w:tcBorders>
          </w:tcPr>
          <w:p w:rsidR="00E8309B" w:rsidRDefault="009D0949">
            <w:pPr>
              <w:spacing w:after="0" w:line="259" w:lineRule="auto"/>
              <w:ind w:left="2" w:right="0" w:firstLine="0"/>
              <w:jc w:val="left"/>
            </w:pPr>
            <w:r>
              <w:rPr>
                <w:sz w:val="20"/>
              </w:rPr>
              <w:t xml:space="preserve">2. Централни ниво државе </w:t>
            </w:r>
          </w:p>
        </w:tc>
        <w:tc>
          <w:tcPr>
            <w:tcW w:w="1608" w:type="dxa"/>
            <w:tcBorders>
              <w:top w:val="dashed" w:sz="4" w:space="0" w:color="000000"/>
              <w:left w:val="single" w:sz="8" w:space="0" w:color="000000"/>
              <w:bottom w:val="dashed" w:sz="4" w:space="0" w:color="000000"/>
              <w:right w:val="single" w:sz="8" w:space="0" w:color="000000"/>
            </w:tcBorders>
          </w:tcPr>
          <w:p w:rsidR="00E8309B" w:rsidRDefault="009D0949">
            <w:pPr>
              <w:spacing w:after="0" w:line="259" w:lineRule="auto"/>
              <w:ind w:left="0" w:right="49" w:firstLine="0"/>
              <w:jc w:val="center"/>
            </w:pPr>
            <w:r>
              <w:rPr>
                <w:sz w:val="20"/>
              </w:rPr>
              <w:t xml:space="preserve">S1311 </w:t>
            </w:r>
          </w:p>
        </w:tc>
        <w:tc>
          <w:tcPr>
            <w:tcW w:w="996" w:type="dxa"/>
            <w:tcBorders>
              <w:top w:val="dashed" w:sz="4" w:space="0" w:color="000000"/>
              <w:left w:val="single" w:sz="8" w:space="0" w:color="000000"/>
              <w:bottom w:val="dashed" w:sz="4" w:space="0" w:color="000000"/>
              <w:right w:val="dashed" w:sz="4" w:space="0" w:color="000000"/>
            </w:tcBorders>
          </w:tcPr>
          <w:p w:rsidR="00E8309B" w:rsidRDefault="009D0949">
            <w:pPr>
              <w:spacing w:after="0" w:line="259" w:lineRule="auto"/>
              <w:ind w:left="0" w:right="52" w:firstLine="0"/>
              <w:jc w:val="right"/>
            </w:pPr>
            <w:r>
              <w:rPr>
                <w:sz w:val="20"/>
              </w:rPr>
              <w:t xml:space="preserve">26,7 </w:t>
            </w:r>
          </w:p>
        </w:tc>
        <w:tc>
          <w:tcPr>
            <w:tcW w:w="994"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54" w:firstLine="0"/>
              <w:jc w:val="right"/>
            </w:pPr>
            <w:r>
              <w:rPr>
                <w:sz w:val="20"/>
              </w:rPr>
              <w:t xml:space="preserve">-0,8 </w:t>
            </w:r>
          </w:p>
        </w:tc>
        <w:tc>
          <w:tcPr>
            <w:tcW w:w="987"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49" w:firstLine="0"/>
              <w:jc w:val="right"/>
            </w:pPr>
            <w:r>
              <w:rPr>
                <w:sz w:val="20"/>
              </w:rPr>
              <w:t xml:space="preserve">-487,2 </w:t>
            </w:r>
          </w:p>
        </w:tc>
        <w:tc>
          <w:tcPr>
            <w:tcW w:w="989"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49" w:firstLine="0"/>
              <w:jc w:val="right"/>
            </w:pPr>
            <w:r>
              <w:rPr>
                <w:sz w:val="20"/>
              </w:rPr>
              <w:t xml:space="preserve">-181,9 </w:t>
            </w:r>
          </w:p>
        </w:tc>
        <w:tc>
          <w:tcPr>
            <w:tcW w:w="989"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49" w:firstLine="0"/>
              <w:jc w:val="right"/>
            </w:pPr>
            <w:r>
              <w:rPr>
                <w:sz w:val="20"/>
              </w:rPr>
              <w:t xml:space="preserve">-106,5 </w:t>
            </w:r>
          </w:p>
        </w:tc>
        <w:tc>
          <w:tcPr>
            <w:tcW w:w="992" w:type="dxa"/>
            <w:tcBorders>
              <w:top w:val="dashed" w:sz="4" w:space="0" w:color="000000"/>
              <w:left w:val="dashed" w:sz="4" w:space="0" w:color="000000"/>
              <w:bottom w:val="dashed" w:sz="4" w:space="0" w:color="000000"/>
              <w:right w:val="double" w:sz="6" w:space="0" w:color="000000"/>
            </w:tcBorders>
          </w:tcPr>
          <w:p w:rsidR="00E8309B" w:rsidRDefault="009D0949">
            <w:pPr>
              <w:spacing w:after="0" w:line="259" w:lineRule="auto"/>
              <w:ind w:left="0" w:right="54" w:firstLine="0"/>
              <w:jc w:val="right"/>
            </w:pPr>
            <w:r>
              <w:rPr>
                <w:sz w:val="20"/>
              </w:rPr>
              <w:t xml:space="preserve">-72,9 </w:t>
            </w:r>
          </w:p>
        </w:tc>
      </w:tr>
      <w:tr w:rsidR="00E8309B">
        <w:trPr>
          <w:trHeight w:val="293"/>
        </w:trPr>
        <w:tc>
          <w:tcPr>
            <w:tcW w:w="6757" w:type="dxa"/>
            <w:tcBorders>
              <w:top w:val="dashed" w:sz="4" w:space="0" w:color="000000"/>
              <w:left w:val="double" w:sz="6" w:space="0" w:color="000000"/>
              <w:bottom w:val="dashed" w:sz="4" w:space="0" w:color="000000"/>
              <w:right w:val="single" w:sz="8" w:space="0" w:color="000000"/>
            </w:tcBorders>
          </w:tcPr>
          <w:p w:rsidR="00E8309B" w:rsidRDefault="009D0949">
            <w:pPr>
              <w:spacing w:after="0" w:line="259" w:lineRule="auto"/>
              <w:ind w:left="2" w:right="0" w:firstLine="0"/>
              <w:jc w:val="left"/>
            </w:pPr>
            <w:r>
              <w:rPr>
                <w:sz w:val="20"/>
              </w:rPr>
              <w:t xml:space="preserve">3. Ниво власти федералних јединица  </w:t>
            </w:r>
          </w:p>
        </w:tc>
        <w:tc>
          <w:tcPr>
            <w:tcW w:w="1608" w:type="dxa"/>
            <w:tcBorders>
              <w:top w:val="dashed" w:sz="4" w:space="0" w:color="000000"/>
              <w:left w:val="single" w:sz="8" w:space="0" w:color="000000"/>
              <w:bottom w:val="dashed" w:sz="4" w:space="0" w:color="000000"/>
              <w:right w:val="single" w:sz="8" w:space="0" w:color="000000"/>
            </w:tcBorders>
          </w:tcPr>
          <w:p w:rsidR="00E8309B" w:rsidRDefault="009D0949">
            <w:pPr>
              <w:spacing w:after="0" w:line="259" w:lineRule="auto"/>
              <w:ind w:left="0" w:right="49" w:firstLine="0"/>
              <w:jc w:val="center"/>
            </w:pPr>
            <w:r>
              <w:rPr>
                <w:sz w:val="20"/>
              </w:rPr>
              <w:t xml:space="preserve">S1312 </w:t>
            </w:r>
          </w:p>
        </w:tc>
        <w:tc>
          <w:tcPr>
            <w:tcW w:w="996" w:type="dxa"/>
            <w:tcBorders>
              <w:top w:val="dashed" w:sz="4" w:space="0" w:color="000000"/>
              <w:left w:val="single" w:sz="8" w:space="0" w:color="000000"/>
              <w:bottom w:val="dashed" w:sz="4" w:space="0" w:color="000000"/>
              <w:right w:val="dashed" w:sz="4" w:space="0" w:color="000000"/>
            </w:tcBorders>
          </w:tcPr>
          <w:p w:rsidR="00E8309B" w:rsidRDefault="009D0949">
            <w:pPr>
              <w:spacing w:after="0" w:line="259" w:lineRule="auto"/>
              <w:ind w:left="0" w:right="2" w:firstLine="0"/>
              <w:jc w:val="right"/>
            </w:pPr>
            <w:r>
              <w:rPr>
                <w:sz w:val="20"/>
              </w:rPr>
              <w:t xml:space="preserve"> </w:t>
            </w:r>
          </w:p>
        </w:tc>
        <w:tc>
          <w:tcPr>
            <w:tcW w:w="994"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2" w:firstLine="0"/>
              <w:jc w:val="right"/>
            </w:pPr>
            <w:r>
              <w:rPr>
                <w:sz w:val="20"/>
              </w:rPr>
              <w:t xml:space="preserve"> </w:t>
            </w:r>
          </w:p>
        </w:tc>
        <w:tc>
          <w:tcPr>
            <w:tcW w:w="987"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0" w:firstLine="0"/>
              <w:jc w:val="right"/>
            </w:pPr>
            <w:r>
              <w:rPr>
                <w:sz w:val="20"/>
              </w:rPr>
              <w:t xml:space="preserve"> </w:t>
            </w:r>
          </w:p>
        </w:tc>
        <w:tc>
          <w:tcPr>
            <w:tcW w:w="989"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0" w:firstLine="0"/>
              <w:jc w:val="right"/>
            </w:pPr>
            <w:r>
              <w:rPr>
                <w:sz w:val="20"/>
              </w:rPr>
              <w:t xml:space="preserve"> </w:t>
            </w:r>
          </w:p>
        </w:tc>
        <w:tc>
          <w:tcPr>
            <w:tcW w:w="989"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0" w:firstLine="0"/>
              <w:jc w:val="right"/>
            </w:pPr>
            <w:r>
              <w:rPr>
                <w:sz w:val="20"/>
              </w:rPr>
              <w:t xml:space="preserve"> </w:t>
            </w:r>
          </w:p>
        </w:tc>
        <w:tc>
          <w:tcPr>
            <w:tcW w:w="992" w:type="dxa"/>
            <w:tcBorders>
              <w:top w:val="dashed" w:sz="4" w:space="0" w:color="000000"/>
              <w:left w:val="dashed" w:sz="4" w:space="0" w:color="000000"/>
              <w:bottom w:val="dashed" w:sz="4" w:space="0" w:color="000000"/>
              <w:right w:val="double" w:sz="6" w:space="0" w:color="000000"/>
            </w:tcBorders>
          </w:tcPr>
          <w:p w:rsidR="00E8309B" w:rsidRDefault="009D0949">
            <w:pPr>
              <w:spacing w:after="0" w:line="259" w:lineRule="auto"/>
              <w:ind w:left="0" w:right="2" w:firstLine="0"/>
              <w:jc w:val="right"/>
            </w:pPr>
            <w:r>
              <w:rPr>
                <w:sz w:val="20"/>
              </w:rPr>
              <w:t xml:space="preserve"> </w:t>
            </w:r>
          </w:p>
        </w:tc>
      </w:tr>
      <w:tr w:rsidR="00E8309B">
        <w:trPr>
          <w:trHeight w:val="293"/>
        </w:trPr>
        <w:tc>
          <w:tcPr>
            <w:tcW w:w="6757" w:type="dxa"/>
            <w:tcBorders>
              <w:top w:val="dashed" w:sz="4" w:space="0" w:color="000000"/>
              <w:left w:val="double" w:sz="6" w:space="0" w:color="000000"/>
              <w:bottom w:val="dashed" w:sz="4" w:space="0" w:color="000000"/>
              <w:right w:val="single" w:sz="8" w:space="0" w:color="000000"/>
            </w:tcBorders>
          </w:tcPr>
          <w:p w:rsidR="00E8309B" w:rsidRDefault="009D0949">
            <w:pPr>
              <w:spacing w:after="0" w:line="259" w:lineRule="auto"/>
              <w:ind w:left="2" w:right="0" w:firstLine="0"/>
              <w:jc w:val="left"/>
            </w:pPr>
            <w:r>
              <w:rPr>
                <w:sz w:val="20"/>
              </w:rPr>
              <w:t xml:space="preserve">4. Локална самоуправа </w:t>
            </w:r>
          </w:p>
        </w:tc>
        <w:tc>
          <w:tcPr>
            <w:tcW w:w="1608" w:type="dxa"/>
            <w:tcBorders>
              <w:top w:val="dashed" w:sz="4" w:space="0" w:color="000000"/>
              <w:left w:val="single" w:sz="8" w:space="0" w:color="000000"/>
              <w:bottom w:val="dashed" w:sz="4" w:space="0" w:color="000000"/>
              <w:right w:val="single" w:sz="8" w:space="0" w:color="000000"/>
            </w:tcBorders>
          </w:tcPr>
          <w:p w:rsidR="00E8309B" w:rsidRDefault="009D0949">
            <w:pPr>
              <w:spacing w:after="0" w:line="259" w:lineRule="auto"/>
              <w:ind w:left="0" w:right="49" w:firstLine="0"/>
              <w:jc w:val="center"/>
            </w:pPr>
            <w:r>
              <w:rPr>
                <w:sz w:val="20"/>
              </w:rPr>
              <w:t xml:space="preserve">S1313 </w:t>
            </w:r>
          </w:p>
        </w:tc>
        <w:tc>
          <w:tcPr>
            <w:tcW w:w="996" w:type="dxa"/>
            <w:tcBorders>
              <w:top w:val="dashed" w:sz="4" w:space="0" w:color="000000"/>
              <w:left w:val="single" w:sz="8" w:space="0" w:color="000000"/>
              <w:bottom w:val="dashed" w:sz="4" w:space="0" w:color="000000"/>
              <w:right w:val="dashed" w:sz="4" w:space="0" w:color="000000"/>
            </w:tcBorders>
          </w:tcPr>
          <w:p w:rsidR="00E8309B" w:rsidRDefault="009D0949">
            <w:pPr>
              <w:spacing w:after="0" w:line="259" w:lineRule="auto"/>
              <w:ind w:left="0" w:right="51" w:firstLine="0"/>
              <w:jc w:val="right"/>
            </w:pPr>
            <w:r>
              <w:rPr>
                <w:sz w:val="20"/>
              </w:rPr>
              <w:t xml:space="preserve">0,7 </w:t>
            </w:r>
          </w:p>
        </w:tc>
        <w:tc>
          <w:tcPr>
            <w:tcW w:w="994"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54" w:firstLine="0"/>
              <w:jc w:val="right"/>
            </w:pPr>
            <w:r>
              <w:rPr>
                <w:sz w:val="20"/>
              </w:rPr>
              <w:t xml:space="preserve">-5,4 </w:t>
            </w:r>
          </w:p>
        </w:tc>
        <w:tc>
          <w:tcPr>
            <w:tcW w:w="987"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49" w:firstLine="0"/>
              <w:jc w:val="right"/>
            </w:pPr>
            <w:r>
              <w:rPr>
                <w:sz w:val="20"/>
              </w:rPr>
              <w:t xml:space="preserve">1,1 </w:t>
            </w:r>
          </w:p>
        </w:tc>
        <w:tc>
          <w:tcPr>
            <w:tcW w:w="989"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49" w:firstLine="0"/>
              <w:jc w:val="right"/>
            </w:pPr>
            <w:r>
              <w:rPr>
                <w:sz w:val="20"/>
              </w:rPr>
              <w:t xml:space="preserve">2,6 </w:t>
            </w:r>
          </w:p>
        </w:tc>
        <w:tc>
          <w:tcPr>
            <w:tcW w:w="989"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49" w:firstLine="0"/>
              <w:jc w:val="right"/>
            </w:pPr>
            <w:r>
              <w:rPr>
                <w:sz w:val="20"/>
              </w:rPr>
              <w:t xml:space="preserve">1,0 </w:t>
            </w:r>
          </w:p>
        </w:tc>
        <w:tc>
          <w:tcPr>
            <w:tcW w:w="992" w:type="dxa"/>
            <w:tcBorders>
              <w:top w:val="dashed" w:sz="4" w:space="0" w:color="000000"/>
              <w:left w:val="dashed" w:sz="4" w:space="0" w:color="000000"/>
              <w:bottom w:val="dashed" w:sz="4" w:space="0" w:color="000000"/>
              <w:right w:val="double" w:sz="6" w:space="0" w:color="000000"/>
            </w:tcBorders>
          </w:tcPr>
          <w:p w:rsidR="00E8309B" w:rsidRDefault="009D0949">
            <w:pPr>
              <w:spacing w:after="0" w:line="259" w:lineRule="auto"/>
              <w:ind w:left="0" w:right="51" w:firstLine="0"/>
              <w:jc w:val="right"/>
            </w:pPr>
            <w:r>
              <w:rPr>
                <w:sz w:val="20"/>
              </w:rPr>
              <w:t xml:space="preserve">1,5 </w:t>
            </w:r>
          </w:p>
        </w:tc>
      </w:tr>
      <w:tr w:rsidR="00E8309B">
        <w:trPr>
          <w:trHeight w:val="296"/>
        </w:trPr>
        <w:tc>
          <w:tcPr>
            <w:tcW w:w="6757" w:type="dxa"/>
            <w:tcBorders>
              <w:top w:val="dashed" w:sz="4" w:space="0" w:color="000000"/>
              <w:left w:val="double" w:sz="6" w:space="0" w:color="000000"/>
              <w:bottom w:val="single" w:sz="4" w:space="0" w:color="000000"/>
              <w:right w:val="single" w:sz="8" w:space="0" w:color="000000"/>
            </w:tcBorders>
          </w:tcPr>
          <w:p w:rsidR="00E8309B" w:rsidRDefault="009D0949">
            <w:pPr>
              <w:spacing w:after="0" w:line="259" w:lineRule="auto"/>
              <w:ind w:left="2" w:right="0" w:firstLine="0"/>
              <w:jc w:val="left"/>
            </w:pPr>
            <w:r>
              <w:rPr>
                <w:sz w:val="20"/>
              </w:rPr>
              <w:t xml:space="preserve">5. Фондови социјалног осигурања </w:t>
            </w:r>
          </w:p>
        </w:tc>
        <w:tc>
          <w:tcPr>
            <w:tcW w:w="1608" w:type="dxa"/>
            <w:tcBorders>
              <w:top w:val="dashed" w:sz="4" w:space="0" w:color="000000"/>
              <w:left w:val="single" w:sz="8" w:space="0" w:color="000000"/>
              <w:bottom w:val="single" w:sz="4" w:space="0" w:color="000000"/>
              <w:right w:val="single" w:sz="8" w:space="0" w:color="000000"/>
            </w:tcBorders>
          </w:tcPr>
          <w:p w:rsidR="00E8309B" w:rsidRDefault="009D0949">
            <w:pPr>
              <w:spacing w:after="0" w:line="259" w:lineRule="auto"/>
              <w:ind w:left="0" w:right="49" w:firstLine="0"/>
              <w:jc w:val="center"/>
            </w:pPr>
            <w:r>
              <w:rPr>
                <w:sz w:val="20"/>
              </w:rPr>
              <w:t xml:space="preserve">S1314 </w:t>
            </w:r>
          </w:p>
          <w:p w:rsidR="00E8309B" w:rsidRDefault="009D0949">
            <w:pPr>
              <w:spacing w:after="0" w:line="259" w:lineRule="auto"/>
              <w:ind w:left="3" w:right="0" w:firstLine="0"/>
              <w:jc w:val="center"/>
            </w:pPr>
            <w:r>
              <w:rPr>
                <w:sz w:val="20"/>
              </w:rPr>
              <w:t xml:space="preserve"> </w:t>
            </w:r>
          </w:p>
        </w:tc>
        <w:tc>
          <w:tcPr>
            <w:tcW w:w="996" w:type="dxa"/>
            <w:tcBorders>
              <w:top w:val="dashed" w:sz="4" w:space="0" w:color="000000"/>
              <w:left w:val="single" w:sz="8" w:space="0" w:color="000000"/>
              <w:bottom w:val="single" w:sz="4" w:space="0" w:color="000000"/>
              <w:right w:val="dashed" w:sz="4" w:space="0" w:color="000000"/>
            </w:tcBorders>
          </w:tcPr>
          <w:p w:rsidR="00E8309B" w:rsidRDefault="009D0949">
            <w:pPr>
              <w:spacing w:after="0" w:line="259" w:lineRule="auto"/>
              <w:ind w:left="0" w:right="51" w:firstLine="0"/>
              <w:jc w:val="right"/>
            </w:pPr>
            <w:r>
              <w:rPr>
                <w:sz w:val="20"/>
              </w:rPr>
              <w:t xml:space="preserve">4,8 </w:t>
            </w:r>
          </w:p>
        </w:tc>
        <w:tc>
          <w:tcPr>
            <w:tcW w:w="994" w:type="dxa"/>
            <w:tcBorders>
              <w:top w:val="dashed" w:sz="4" w:space="0" w:color="000000"/>
              <w:left w:val="dashed" w:sz="4" w:space="0" w:color="000000"/>
              <w:bottom w:val="single" w:sz="4" w:space="0" w:color="000000"/>
              <w:right w:val="dashed" w:sz="4" w:space="0" w:color="000000"/>
            </w:tcBorders>
          </w:tcPr>
          <w:p w:rsidR="00E8309B" w:rsidRDefault="009D0949">
            <w:pPr>
              <w:spacing w:after="0" w:line="259" w:lineRule="auto"/>
              <w:ind w:left="0" w:right="54" w:firstLine="0"/>
              <w:jc w:val="right"/>
            </w:pPr>
            <w:r>
              <w:rPr>
                <w:sz w:val="20"/>
              </w:rPr>
              <w:t xml:space="preserve">-5,0 </w:t>
            </w:r>
          </w:p>
        </w:tc>
        <w:tc>
          <w:tcPr>
            <w:tcW w:w="987" w:type="dxa"/>
            <w:tcBorders>
              <w:top w:val="dashed" w:sz="4" w:space="0" w:color="000000"/>
              <w:left w:val="dashed" w:sz="4" w:space="0" w:color="000000"/>
              <w:bottom w:val="single" w:sz="4" w:space="0" w:color="000000"/>
              <w:right w:val="dashed" w:sz="4" w:space="0" w:color="000000"/>
            </w:tcBorders>
          </w:tcPr>
          <w:p w:rsidR="00E8309B" w:rsidRDefault="009D0949">
            <w:pPr>
              <w:spacing w:after="0" w:line="259" w:lineRule="auto"/>
              <w:ind w:left="0" w:right="51" w:firstLine="0"/>
              <w:jc w:val="right"/>
            </w:pPr>
            <w:r>
              <w:rPr>
                <w:sz w:val="20"/>
              </w:rPr>
              <w:t xml:space="preserve">-6,3 </w:t>
            </w:r>
          </w:p>
        </w:tc>
        <w:tc>
          <w:tcPr>
            <w:tcW w:w="989" w:type="dxa"/>
            <w:tcBorders>
              <w:top w:val="dashed" w:sz="4" w:space="0" w:color="000000"/>
              <w:left w:val="dashed" w:sz="4" w:space="0" w:color="000000"/>
              <w:bottom w:val="single" w:sz="4" w:space="0" w:color="000000"/>
              <w:right w:val="dashed" w:sz="4" w:space="0" w:color="000000"/>
            </w:tcBorders>
          </w:tcPr>
          <w:p w:rsidR="00E8309B" w:rsidRDefault="009D0949">
            <w:pPr>
              <w:spacing w:after="0" w:line="259" w:lineRule="auto"/>
              <w:ind w:left="0" w:right="49" w:firstLine="0"/>
              <w:jc w:val="right"/>
            </w:pPr>
            <w:r>
              <w:rPr>
                <w:sz w:val="20"/>
              </w:rPr>
              <w:t xml:space="preserve">0,0 </w:t>
            </w:r>
          </w:p>
        </w:tc>
        <w:tc>
          <w:tcPr>
            <w:tcW w:w="989" w:type="dxa"/>
            <w:tcBorders>
              <w:top w:val="dashed" w:sz="4" w:space="0" w:color="000000"/>
              <w:left w:val="dashed" w:sz="4" w:space="0" w:color="000000"/>
              <w:bottom w:val="single" w:sz="4" w:space="0" w:color="000000"/>
              <w:right w:val="dashed" w:sz="4" w:space="0" w:color="000000"/>
            </w:tcBorders>
          </w:tcPr>
          <w:p w:rsidR="00E8309B" w:rsidRDefault="009D0949">
            <w:pPr>
              <w:spacing w:after="0" w:line="259" w:lineRule="auto"/>
              <w:ind w:left="0" w:right="49" w:firstLine="0"/>
              <w:jc w:val="right"/>
            </w:pPr>
            <w:r>
              <w:rPr>
                <w:sz w:val="20"/>
              </w:rPr>
              <w:t xml:space="preserve">0,0 </w:t>
            </w:r>
          </w:p>
        </w:tc>
        <w:tc>
          <w:tcPr>
            <w:tcW w:w="992" w:type="dxa"/>
            <w:tcBorders>
              <w:top w:val="dashed" w:sz="4" w:space="0" w:color="000000"/>
              <w:left w:val="dashed" w:sz="4" w:space="0" w:color="000000"/>
              <w:bottom w:val="single" w:sz="4" w:space="0" w:color="000000"/>
              <w:right w:val="double" w:sz="6" w:space="0" w:color="000000"/>
            </w:tcBorders>
          </w:tcPr>
          <w:p w:rsidR="00E8309B" w:rsidRDefault="009D0949">
            <w:pPr>
              <w:spacing w:after="0" w:line="259" w:lineRule="auto"/>
              <w:ind w:left="0" w:right="51" w:firstLine="0"/>
              <w:jc w:val="right"/>
            </w:pPr>
            <w:r>
              <w:rPr>
                <w:sz w:val="20"/>
              </w:rPr>
              <w:t xml:space="preserve">0,0 </w:t>
            </w:r>
          </w:p>
        </w:tc>
      </w:tr>
      <w:tr w:rsidR="00E8309B">
        <w:trPr>
          <w:trHeight w:val="293"/>
        </w:trPr>
        <w:tc>
          <w:tcPr>
            <w:tcW w:w="6757" w:type="dxa"/>
            <w:tcBorders>
              <w:top w:val="single" w:sz="4" w:space="0" w:color="000000"/>
              <w:left w:val="double" w:sz="6" w:space="0" w:color="000000"/>
              <w:bottom w:val="single" w:sz="4" w:space="0" w:color="000000"/>
              <w:right w:val="single" w:sz="8" w:space="0" w:color="000000"/>
            </w:tcBorders>
          </w:tcPr>
          <w:p w:rsidR="00E8309B" w:rsidRDefault="009D0949">
            <w:pPr>
              <w:spacing w:after="0" w:line="259" w:lineRule="auto"/>
              <w:ind w:left="2" w:right="0" w:firstLine="0"/>
              <w:jc w:val="left"/>
            </w:pPr>
            <w:r>
              <w:rPr>
                <w:b/>
                <w:sz w:val="20"/>
              </w:rPr>
              <w:t xml:space="preserve">Општа ниво државе </w:t>
            </w:r>
          </w:p>
        </w:tc>
        <w:tc>
          <w:tcPr>
            <w:tcW w:w="1608" w:type="dxa"/>
            <w:tcBorders>
              <w:top w:val="single" w:sz="4" w:space="0" w:color="000000"/>
              <w:left w:val="single" w:sz="8" w:space="0" w:color="000000"/>
              <w:bottom w:val="single" w:sz="4" w:space="0" w:color="000000"/>
              <w:right w:val="single" w:sz="8" w:space="0" w:color="000000"/>
            </w:tcBorders>
          </w:tcPr>
          <w:p w:rsidR="00E8309B" w:rsidRDefault="00E8309B">
            <w:pPr>
              <w:spacing w:after="160" w:line="259" w:lineRule="auto"/>
              <w:ind w:left="0" w:right="0" w:firstLine="0"/>
              <w:jc w:val="left"/>
            </w:pPr>
          </w:p>
        </w:tc>
        <w:tc>
          <w:tcPr>
            <w:tcW w:w="996" w:type="dxa"/>
            <w:tcBorders>
              <w:top w:val="single" w:sz="4" w:space="0" w:color="000000"/>
              <w:left w:val="single" w:sz="8" w:space="0" w:color="000000"/>
              <w:bottom w:val="single" w:sz="4" w:space="0" w:color="000000"/>
              <w:right w:val="nil"/>
            </w:tcBorders>
          </w:tcPr>
          <w:p w:rsidR="00E8309B" w:rsidRDefault="009D0949">
            <w:pPr>
              <w:spacing w:after="0" w:line="259" w:lineRule="auto"/>
              <w:ind w:left="0" w:right="2" w:firstLine="0"/>
              <w:jc w:val="right"/>
            </w:pPr>
            <w:r>
              <w:rPr>
                <w:sz w:val="20"/>
              </w:rPr>
              <w:t xml:space="preserve"> </w:t>
            </w:r>
          </w:p>
        </w:tc>
        <w:tc>
          <w:tcPr>
            <w:tcW w:w="994" w:type="dxa"/>
            <w:tcBorders>
              <w:top w:val="single" w:sz="4" w:space="0" w:color="000000"/>
              <w:left w:val="nil"/>
              <w:bottom w:val="single" w:sz="4" w:space="0" w:color="000000"/>
              <w:right w:val="nil"/>
            </w:tcBorders>
          </w:tcPr>
          <w:p w:rsidR="00E8309B" w:rsidRDefault="009D0949">
            <w:pPr>
              <w:spacing w:after="0" w:line="259" w:lineRule="auto"/>
              <w:ind w:left="0" w:right="2" w:firstLine="0"/>
              <w:jc w:val="right"/>
            </w:pPr>
            <w:r>
              <w:rPr>
                <w:sz w:val="20"/>
              </w:rPr>
              <w:t xml:space="preserve"> </w:t>
            </w:r>
          </w:p>
        </w:tc>
        <w:tc>
          <w:tcPr>
            <w:tcW w:w="987" w:type="dxa"/>
            <w:tcBorders>
              <w:top w:val="single" w:sz="4" w:space="0" w:color="000000"/>
              <w:left w:val="nil"/>
              <w:bottom w:val="single" w:sz="4" w:space="0" w:color="000000"/>
              <w:right w:val="nil"/>
            </w:tcBorders>
          </w:tcPr>
          <w:p w:rsidR="00E8309B" w:rsidRDefault="009D0949">
            <w:pPr>
              <w:spacing w:after="0" w:line="259" w:lineRule="auto"/>
              <w:ind w:left="0" w:right="0" w:firstLine="0"/>
              <w:jc w:val="right"/>
            </w:pPr>
            <w:r>
              <w:rPr>
                <w:sz w:val="20"/>
              </w:rPr>
              <w:t xml:space="preserve"> </w:t>
            </w:r>
          </w:p>
        </w:tc>
        <w:tc>
          <w:tcPr>
            <w:tcW w:w="989" w:type="dxa"/>
            <w:tcBorders>
              <w:top w:val="single" w:sz="4" w:space="0" w:color="000000"/>
              <w:left w:val="nil"/>
              <w:bottom w:val="single" w:sz="4" w:space="0" w:color="000000"/>
              <w:right w:val="nil"/>
            </w:tcBorders>
          </w:tcPr>
          <w:p w:rsidR="00E8309B" w:rsidRDefault="009D0949">
            <w:pPr>
              <w:spacing w:after="0" w:line="259" w:lineRule="auto"/>
              <w:ind w:left="0" w:right="0" w:firstLine="0"/>
              <w:jc w:val="right"/>
            </w:pPr>
            <w:r>
              <w:rPr>
                <w:sz w:val="20"/>
              </w:rPr>
              <w:t xml:space="preserve"> </w:t>
            </w:r>
          </w:p>
        </w:tc>
        <w:tc>
          <w:tcPr>
            <w:tcW w:w="989" w:type="dxa"/>
            <w:tcBorders>
              <w:top w:val="single" w:sz="4" w:space="0" w:color="000000"/>
              <w:left w:val="nil"/>
              <w:bottom w:val="single" w:sz="4" w:space="0" w:color="000000"/>
              <w:right w:val="nil"/>
            </w:tcBorders>
          </w:tcPr>
          <w:p w:rsidR="00E8309B" w:rsidRDefault="009D0949">
            <w:pPr>
              <w:spacing w:after="0" w:line="259" w:lineRule="auto"/>
              <w:ind w:left="0" w:right="0" w:firstLine="0"/>
              <w:jc w:val="right"/>
            </w:pPr>
            <w:r>
              <w:rPr>
                <w:sz w:val="20"/>
              </w:rPr>
              <w:t xml:space="preserve"> </w:t>
            </w:r>
          </w:p>
        </w:tc>
        <w:tc>
          <w:tcPr>
            <w:tcW w:w="992" w:type="dxa"/>
            <w:tcBorders>
              <w:top w:val="single" w:sz="4" w:space="0" w:color="000000"/>
              <w:left w:val="nil"/>
              <w:bottom w:val="single" w:sz="4" w:space="0" w:color="000000"/>
              <w:right w:val="double" w:sz="6" w:space="0" w:color="000000"/>
            </w:tcBorders>
          </w:tcPr>
          <w:p w:rsidR="00E8309B" w:rsidRDefault="009D0949">
            <w:pPr>
              <w:spacing w:after="0" w:line="259" w:lineRule="auto"/>
              <w:ind w:left="0" w:right="2" w:firstLine="0"/>
              <w:jc w:val="right"/>
            </w:pPr>
            <w:r>
              <w:rPr>
                <w:sz w:val="20"/>
              </w:rPr>
              <w:t xml:space="preserve"> </w:t>
            </w:r>
          </w:p>
        </w:tc>
      </w:tr>
      <w:tr w:rsidR="00E8309B">
        <w:trPr>
          <w:trHeight w:val="293"/>
        </w:trPr>
        <w:tc>
          <w:tcPr>
            <w:tcW w:w="6757" w:type="dxa"/>
            <w:tcBorders>
              <w:top w:val="single" w:sz="4" w:space="0" w:color="000000"/>
              <w:left w:val="double" w:sz="6" w:space="0" w:color="000000"/>
              <w:bottom w:val="dashed" w:sz="4" w:space="0" w:color="000000"/>
              <w:right w:val="single" w:sz="8" w:space="0" w:color="000000"/>
            </w:tcBorders>
          </w:tcPr>
          <w:p w:rsidR="00E8309B" w:rsidRDefault="009D0949">
            <w:pPr>
              <w:spacing w:after="0" w:line="259" w:lineRule="auto"/>
              <w:ind w:left="2" w:right="0" w:firstLine="0"/>
              <w:jc w:val="left"/>
            </w:pPr>
            <w:r>
              <w:rPr>
                <w:sz w:val="20"/>
              </w:rPr>
              <w:t xml:space="preserve">6. Укупни приходи </w:t>
            </w:r>
          </w:p>
        </w:tc>
        <w:tc>
          <w:tcPr>
            <w:tcW w:w="1608" w:type="dxa"/>
            <w:tcBorders>
              <w:top w:val="single" w:sz="4" w:space="0" w:color="000000"/>
              <w:left w:val="single" w:sz="8" w:space="0" w:color="000000"/>
              <w:bottom w:val="dashed" w:sz="4" w:space="0" w:color="000000"/>
              <w:right w:val="single" w:sz="8" w:space="0" w:color="000000"/>
            </w:tcBorders>
          </w:tcPr>
          <w:p w:rsidR="00E8309B" w:rsidRDefault="009D0949">
            <w:pPr>
              <w:spacing w:after="0" w:line="259" w:lineRule="auto"/>
              <w:ind w:left="0" w:right="44" w:firstLine="0"/>
              <w:jc w:val="center"/>
            </w:pPr>
            <w:r>
              <w:rPr>
                <w:sz w:val="20"/>
              </w:rPr>
              <w:t xml:space="preserve">TR </w:t>
            </w:r>
          </w:p>
        </w:tc>
        <w:tc>
          <w:tcPr>
            <w:tcW w:w="996" w:type="dxa"/>
            <w:tcBorders>
              <w:top w:val="single" w:sz="4" w:space="0" w:color="000000"/>
              <w:left w:val="single" w:sz="8" w:space="0" w:color="000000"/>
              <w:bottom w:val="dashed" w:sz="4" w:space="0" w:color="000000"/>
              <w:right w:val="dashed" w:sz="4" w:space="0" w:color="000000"/>
            </w:tcBorders>
          </w:tcPr>
          <w:p w:rsidR="00E8309B" w:rsidRDefault="009D0949">
            <w:pPr>
              <w:spacing w:after="0" w:line="259" w:lineRule="auto"/>
              <w:ind w:left="0" w:right="52" w:firstLine="0"/>
              <w:jc w:val="right"/>
            </w:pPr>
            <w:r>
              <w:rPr>
                <w:sz w:val="20"/>
              </w:rPr>
              <w:t xml:space="preserve">2.105,3 </w:t>
            </w:r>
          </w:p>
        </w:tc>
        <w:tc>
          <w:tcPr>
            <w:tcW w:w="994" w:type="dxa"/>
            <w:tcBorders>
              <w:top w:val="single" w:sz="4" w:space="0" w:color="000000"/>
              <w:left w:val="dashed" w:sz="4" w:space="0" w:color="000000"/>
              <w:bottom w:val="dashed" w:sz="4" w:space="0" w:color="000000"/>
              <w:right w:val="dashed" w:sz="4" w:space="0" w:color="000000"/>
            </w:tcBorders>
          </w:tcPr>
          <w:p w:rsidR="00E8309B" w:rsidRDefault="009D0949">
            <w:pPr>
              <w:spacing w:after="0" w:line="259" w:lineRule="auto"/>
              <w:ind w:left="0" w:right="52" w:firstLine="0"/>
              <w:jc w:val="right"/>
            </w:pPr>
            <w:r>
              <w:rPr>
                <w:sz w:val="20"/>
              </w:rPr>
              <w:t xml:space="preserve">2.278,6 </w:t>
            </w:r>
          </w:p>
        </w:tc>
        <w:tc>
          <w:tcPr>
            <w:tcW w:w="987" w:type="dxa"/>
            <w:tcBorders>
              <w:top w:val="single" w:sz="4" w:space="0" w:color="000000"/>
              <w:left w:val="dashed" w:sz="4" w:space="0" w:color="000000"/>
              <w:bottom w:val="dashed" w:sz="4" w:space="0" w:color="000000"/>
              <w:right w:val="dashed" w:sz="4" w:space="0" w:color="000000"/>
            </w:tcBorders>
          </w:tcPr>
          <w:p w:rsidR="00E8309B" w:rsidRDefault="009D0949">
            <w:pPr>
              <w:spacing w:after="0" w:line="259" w:lineRule="auto"/>
              <w:ind w:left="0" w:right="50" w:firstLine="0"/>
              <w:jc w:val="right"/>
            </w:pPr>
            <w:r>
              <w:rPr>
                <w:sz w:val="20"/>
              </w:rPr>
              <w:t xml:space="preserve">2.223,5 </w:t>
            </w:r>
          </w:p>
        </w:tc>
        <w:tc>
          <w:tcPr>
            <w:tcW w:w="989" w:type="dxa"/>
            <w:tcBorders>
              <w:top w:val="single" w:sz="4" w:space="0" w:color="000000"/>
              <w:left w:val="dashed" w:sz="4" w:space="0" w:color="000000"/>
              <w:bottom w:val="dashed" w:sz="4" w:space="0" w:color="000000"/>
              <w:right w:val="dashed" w:sz="4" w:space="0" w:color="000000"/>
            </w:tcBorders>
          </w:tcPr>
          <w:p w:rsidR="00E8309B" w:rsidRDefault="009D0949">
            <w:pPr>
              <w:spacing w:after="0" w:line="259" w:lineRule="auto"/>
              <w:ind w:left="0" w:right="50" w:firstLine="0"/>
              <w:jc w:val="right"/>
            </w:pPr>
            <w:r>
              <w:rPr>
                <w:sz w:val="20"/>
              </w:rPr>
              <w:t xml:space="preserve">2.423,9 </w:t>
            </w:r>
          </w:p>
        </w:tc>
        <w:tc>
          <w:tcPr>
            <w:tcW w:w="989" w:type="dxa"/>
            <w:tcBorders>
              <w:top w:val="single" w:sz="4" w:space="0" w:color="000000"/>
              <w:left w:val="dashed" w:sz="4" w:space="0" w:color="000000"/>
              <w:bottom w:val="dashed" w:sz="4" w:space="0" w:color="000000"/>
              <w:right w:val="dashed" w:sz="4" w:space="0" w:color="000000"/>
            </w:tcBorders>
          </w:tcPr>
          <w:p w:rsidR="00E8309B" w:rsidRDefault="009D0949">
            <w:pPr>
              <w:spacing w:after="0" w:line="259" w:lineRule="auto"/>
              <w:ind w:left="0" w:right="50" w:firstLine="0"/>
              <w:jc w:val="right"/>
            </w:pPr>
            <w:r>
              <w:rPr>
                <w:sz w:val="20"/>
              </w:rPr>
              <w:t xml:space="preserve">2.593,3 </w:t>
            </w:r>
          </w:p>
        </w:tc>
        <w:tc>
          <w:tcPr>
            <w:tcW w:w="992" w:type="dxa"/>
            <w:tcBorders>
              <w:top w:val="single" w:sz="4" w:space="0" w:color="000000"/>
              <w:left w:val="dashed" w:sz="4" w:space="0" w:color="000000"/>
              <w:bottom w:val="dashed" w:sz="4" w:space="0" w:color="000000"/>
              <w:right w:val="double" w:sz="6" w:space="0" w:color="000000"/>
            </w:tcBorders>
          </w:tcPr>
          <w:p w:rsidR="00E8309B" w:rsidRDefault="009D0949">
            <w:pPr>
              <w:spacing w:after="0" w:line="259" w:lineRule="auto"/>
              <w:ind w:left="0" w:right="52" w:firstLine="0"/>
              <w:jc w:val="right"/>
            </w:pPr>
            <w:r>
              <w:rPr>
                <w:sz w:val="20"/>
              </w:rPr>
              <w:t xml:space="preserve">2.728,1 </w:t>
            </w:r>
          </w:p>
        </w:tc>
      </w:tr>
      <w:tr w:rsidR="00E8309B">
        <w:trPr>
          <w:trHeight w:val="293"/>
        </w:trPr>
        <w:tc>
          <w:tcPr>
            <w:tcW w:w="6757" w:type="dxa"/>
            <w:vMerge w:val="restart"/>
            <w:tcBorders>
              <w:top w:val="dashed" w:sz="4" w:space="0" w:color="000000"/>
              <w:left w:val="double" w:sz="6" w:space="0" w:color="000000"/>
              <w:bottom w:val="dashed" w:sz="4" w:space="0" w:color="000000"/>
              <w:right w:val="single" w:sz="8" w:space="0" w:color="000000"/>
            </w:tcBorders>
          </w:tcPr>
          <w:p w:rsidR="00E8309B" w:rsidRDefault="009D0949">
            <w:pPr>
              <w:numPr>
                <w:ilvl w:val="0"/>
                <w:numId w:val="62"/>
              </w:numPr>
              <w:spacing w:after="82" w:line="259" w:lineRule="auto"/>
              <w:ind w:right="0" w:hanging="201"/>
              <w:jc w:val="left"/>
            </w:pPr>
            <w:r>
              <w:rPr>
                <w:sz w:val="20"/>
              </w:rPr>
              <w:t xml:space="preserve">Укупни расходи[1] </w:t>
            </w:r>
          </w:p>
          <w:p w:rsidR="00E8309B" w:rsidRDefault="009D0949">
            <w:pPr>
              <w:numPr>
                <w:ilvl w:val="0"/>
                <w:numId w:val="62"/>
              </w:numPr>
              <w:spacing w:after="0" w:line="259" w:lineRule="auto"/>
              <w:ind w:right="0" w:hanging="201"/>
              <w:jc w:val="left"/>
            </w:pPr>
            <w:r>
              <w:rPr>
                <w:sz w:val="20"/>
              </w:rPr>
              <w:t xml:space="preserve">Нето дате/узете позајмице </w:t>
            </w:r>
          </w:p>
        </w:tc>
        <w:tc>
          <w:tcPr>
            <w:tcW w:w="1608" w:type="dxa"/>
            <w:tcBorders>
              <w:top w:val="dashed" w:sz="4" w:space="0" w:color="000000"/>
              <w:left w:val="single" w:sz="8" w:space="0" w:color="000000"/>
              <w:bottom w:val="dashed" w:sz="4" w:space="0" w:color="000000"/>
              <w:right w:val="single" w:sz="8" w:space="0" w:color="000000"/>
            </w:tcBorders>
          </w:tcPr>
          <w:p w:rsidR="00E8309B" w:rsidRDefault="009D0949">
            <w:pPr>
              <w:spacing w:after="0" w:line="259" w:lineRule="auto"/>
              <w:ind w:left="0" w:right="45" w:firstLine="0"/>
              <w:jc w:val="center"/>
            </w:pPr>
            <w:r>
              <w:rPr>
                <w:sz w:val="20"/>
              </w:rPr>
              <w:t xml:space="preserve">TE </w:t>
            </w:r>
          </w:p>
        </w:tc>
        <w:tc>
          <w:tcPr>
            <w:tcW w:w="996" w:type="dxa"/>
            <w:tcBorders>
              <w:top w:val="dashed" w:sz="4" w:space="0" w:color="000000"/>
              <w:left w:val="single" w:sz="8" w:space="0" w:color="000000"/>
              <w:bottom w:val="dashed" w:sz="4" w:space="0" w:color="000000"/>
              <w:right w:val="dashed" w:sz="4" w:space="0" w:color="000000"/>
            </w:tcBorders>
          </w:tcPr>
          <w:p w:rsidR="00E8309B" w:rsidRDefault="009D0949">
            <w:pPr>
              <w:spacing w:after="0" w:line="259" w:lineRule="auto"/>
              <w:ind w:left="0" w:right="52" w:firstLine="0"/>
              <w:jc w:val="right"/>
            </w:pPr>
            <w:r>
              <w:rPr>
                <w:sz w:val="20"/>
              </w:rPr>
              <w:t xml:space="preserve">2.073,0 </w:t>
            </w:r>
          </w:p>
        </w:tc>
        <w:tc>
          <w:tcPr>
            <w:tcW w:w="994"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52" w:firstLine="0"/>
              <w:jc w:val="right"/>
            </w:pPr>
            <w:r>
              <w:rPr>
                <w:sz w:val="20"/>
              </w:rPr>
              <w:t xml:space="preserve">2.289,7 </w:t>
            </w:r>
          </w:p>
        </w:tc>
        <w:tc>
          <w:tcPr>
            <w:tcW w:w="987"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50" w:firstLine="0"/>
              <w:jc w:val="right"/>
            </w:pPr>
            <w:r>
              <w:rPr>
                <w:sz w:val="20"/>
              </w:rPr>
              <w:t xml:space="preserve">2.715,8 </w:t>
            </w:r>
          </w:p>
        </w:tc>
        <w:tc>
          <w:tcPr>
            <w:tcW w:w="989"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50" w:firstLine="0"/>
              <w:jc w:val="right"/>
            </w:pPr>
            <w:r>
              <w:rPr>
                <w:sz w:val="20"/>
              </w:rPr>
              <w:t xml:space="preserve">2.603,3 </w:t>
            </w:r>
          </w:p>
        </w:tc>
        <w:tc>
          <w:tcPr>
            <w:tcW w:w="989"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50" w:firstLine="0"/>
              <w:jc w:val="right"/>
            </w:pPr>
            <w:r>
              <w:rPr>
                <w:sz w:val="20"/>
              </w:rPr>
              <w:t xml:space="preserve">2.698,8 </w:t>
            </w:r>
          </w:p>
        </w:tc>
        <w:tc>
          <w:tcPr>
            <w:tcW w:w="992" w:type="dxa"/>
            <w:tcBorders>
              <w:top w:val="dashed" w:sz="4" w:space="0" w:color="000000"/>
              <w:left w:val="dashed" w:sz="4" w:space="0" w:color="000000"/>
              <w:bottom w:val="dashed" w:sz="4" w:space="0" w:color="000000"/>
              <w:right w:val="double" w:sz="6" w:space="0" w:color="000000"/>
            </w:tcBorders>
          </w:tcPr>
          <w:p w:rsidR="00E8309B" w:rsidRDefault="009D0949">
            <w:pPr>
              <w:spacing w:after="0" w:line="259" w:lineRule="auto"/>
              <w:ind w:left="0" w:right="52" w:firstLine="0"/>
              <w:jc w:val="right"/>
            </w:pPr>
            <w:r>
              <w:rPr>
                <w:sz w:val="20"/>
              </w:rPr>
              <w:t xml:space="preserve">2.799,5 </w:t>
            </w:r>
          </w:p>
        </w:tc>
      </w:tr>
      <w:tr w:rsidR="00E8309B">
        <w:trPr>
          <w:trHeight w:val="293"/>
        </w:trPr>
        <w:tc>
          <w:tcPr>
            <w:tcW w:w="0" w:type="auto"/>
            <w:vMerge/>
            <w:tcBorders>
              <w:top w:val="nil"/>
              <w:left w:val="double" w:sz="6" w:space="0" w:color="000000"/>
              <w:bottom w:val="dashed" w:sz="4" w:space="0" w:color="000000"/>
              <w:right w:val="single" w:sz="8" w:space="0" w:color="000000"/>
            </w:tcBorders>
          </w:tcPr>
          <w:p w:rsidR="00E8309B" w:rsidRDefault="00E8309B">
            <w:pPr>
              <w:spacing w:after="160" w:line="259" w:lineRule="auto"/>
              <w:ind w:left="0" w:right="0" w:firstLine="0"/>
              <w:jc w:val="left"/>
            </w:pPr>
          </w:p>
        </w:tc>
        <w:tc>
          <w:tcPr>
            <w:tcW w:w="1608" w:type="dxa"/>
            <w:tcBorders>
              <w:top w:val="dashed" w:sz="4" w:space="0" w:color="000000"/>
              <w:left w:val="single" w:sz="8" w:space="0" w:color="000000"/>
              <w:bottom w:val="dashed" w:sz="4" w:space="0" w:color="000000"/>
              <w:right w:val="single" w:sz="8" w:space="0" w:color="000000"/>
            </w:tcBorders>
          </w:tcPr>
          <w:p w:rsidR="00E8309B" w:rsidRDefault="009D0949">
            <w:pPr>
              <w:spacing w:after="0" w:line="259" w:lineRule="auto"/>
              <w:ind w:left="0" w:right="47" w:firstLine="0"/>
              <w:jc w:val="center"/>
            </w:pPr>
            <w:r>
              <w:rPr>
                <w:sz w:val="20"/>
              </w:rPr>
              <w:t xml:space="preserve">EDP.B9 </w:t>
            </w:r>
          </w:p>
        </w:tc>
        <w:tc>
          <w:tcPr>
            <w:tcW w:w="996" w:type="dxa"/>
            <w:tcBorders>
              <w:top w:val="dashed" w:sz="4" w:space="0" w:color="000000"/>
              <w:left w:val="single" w:sz="8" w:space="0" w:color="000000"/>
              <w:bottom w:val="dashed" w:sz="4" w:space="0" w:color="000000"/>
              <w:right w:val="dashed" w:sz="4" w:space="0" w:color="000000"/>
            </w:tcBorders>
          </w:tcPr>
          <w:p w:rsidR="00E8309B" w:rsidRDefault="009D0949">
            <w:pPr>
              <w:spacing w:after="0" w:line="259" w:lineRule="auto"/>
              <w:ind w:left="0" w:right="52" w:firstLine="0"/>
              <w:jc w:val="right"/>
            </w:pPr>
            <w:r>
              <w:rPr>
                <w:sz w:val="20"/>
              </w:rPr>
              <w:t xml:space="preserve">32,2 </w:t>
            </w:r>
          </w:p>
        </w:tc>
        <w:tc>
          <w:tcPr>
            <w:tcW w:w="994"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54" w:firstLine="0"/>
              <w:jc w:val="right"/>
            </w:pPr>
            <w:r>
              <w:rPr>
                <w:sz w:val="20"/>
              </w:rPr>
              <w:t xml:space="preserve">-11,1 </w:t>
            </w:r>
          </w:p>
        </w:tc>
        <w:tc>
          <w:tcPr>
            <w:tcW w:w="987"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49" w:firstLine="0"/>
              <w:jc w:val="right"/>
            </w:pPr>
            <w:r>
              <w:rPr>
                <w:sz w:val="20"/>
              </w:rPr>
              <w:t xml:space="preserve">-492,3 </w:t>
            </w:r>
          </w:p>
        </w:tc>
        <w:tc>
          <w:tcPr>
            <w:tcW w:w="989"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49" w:firstLine="0"/>
              <w:jc w:val="right"/>
            </w:pPr>
            <w:r>
              <w:rPr>
                <w:sz w:val="20"/>
              </w:rPr>
              <w:t xml:space="preserve">-179,3 </w:t>
            </w:r>
          </w:p>
        </w:tc>
        <w:tc>
          <w:tcPr>
            <w:tcW w:w="989"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49" w:firstLine="0"/>
              <w:jc w:val="right"/>
            </w:pPr>
            <w:r>
              <w:rPr>
                <w:sz w:val="20"/>
              </w:rPr>
              <w:t>-</w:t>
            </w:r>
            <w:r>
              <w:rPr>
                <w:sz w:val="20"/>
              </w:rPr>
              <w:t xml:space="preserve">105,5 </w:t>
            </w:r>
          </w:p>
        </w:tc>
        <w:tc>
          <w:tcPr>
            <w:tcW w:w="992" w:type="dxa"/>
            <w:tcBorders>
              <w:top w:val="dashed" w:sz="4" w:space="0" w:color="000000"/>
              <w:left w:val="dashed" w:sz="4" w:space="0" w:color="000000"/>
              <w:bottom w:val="dashed" w:sz="4" w:space="0" w:color="000000"/>
              <w:right w:val="double" w:sz="6" w:space="0" w:color="000000"/>
            </w:tcBorders>
          </w:tcPr>
          <w:p w:rsidR="00E8309B" w:rsidRDefault="009D0949">
            <w:pPr>
              <w:spacing w:after="0" w:line="259" w:lineRule="auto"/>
              <w:ind w:left="0" w:right="54" w:firstLine="0"/>
              <w:jc w:val="right"/>
            </w:pPr>
            <w:r>
              <w:rPr>
                <w:sz w:val="20"/>
              </w:rPr>
              <w:t xml:space="preserve">-71,4 </w:t>
            </w:r>
          </w:p>
        </w:tc>
      </w:tr>
      <w:tr w:rsidR="00E8309B">
        <w:trPr>
          <w:trHeight w:val="470"/>
        </w:trPr>
        <w:tc>
          <w:tcPr>
            <w:tcW w:w="6757" w:type="dxa"/>
            <w:tcBorders>
              <w:top w:val="dashed" w:sz="4" w:space="0" w:color="000000"/>
              <w:left w:val="double" w:sz="6" w:space="0" w:color="000000"/>
              <w:bottom w:val="dashed" w:sz="4" w:space="0" w:color="000000"/>
              <w:right w:val="single" w:sz="8" w:space="0" w:color="000000"/>
            </w:tcBorders>
          </w:tcPr>
          <w:p w:rsidR="00E8309B" w:rsidRDefault="009D0949">
            <w:pPr>
              <w:spacing w:after="0" w:line="259" w:lineRule="auto"/>
              <w:ind w:left="2" w:right="0" w:firstLine="0"/>
              <w:jc w:val="left"/>
            </w:pPr>
            <w:r>
              <w:rPr>
                <w:sz w:val="20"/>
              </w:rPr>
              <w:t xml:space="preserve">9.Расходи за камате </w:t>
            </w:r>
          </w:p>
        </w:tc>
        <w:tc>
          <w:tcPr>
            <w:tcW w:w="1608" w:type="dxa"/>
            <w:tcBorders>
              <w:top w:val="dashed" w:sz="4" w:space="0" w:color="000000"/>
              <w:left w:val="single" w:sz="8" w:space="0" w:color="000000"/>
              <w:bottom w:val="dashed" w:sz="4" w:space="0" w:color="000000"/>
              <w:right w:val="single" w:sz="8" w:space="0" w:color="000000"/>
            </w:tcBorders>
          </w:tcPr>
          <w:p w:rsidR="00E8309B" w:rsidRDefault="009D0949">
            <w:pPr>
              <w:spacing w:after="0" w:line="259" w:lineRule="auto"/>
              <w:ind w:left="0" w:right="0" w:firstLine="0"/>
              <w:jc w:val="center"/>
            </w:pPr>
            <w:r>
              <w:rPr>
                <w:sz w:val="20"/>
              </w:rPr>
              <w:t>EDP.D41 укљ. FISIM</w:t>
            </w:r>
            <w:r>
              <w:rPr>
                <w:sz w:val="31"/>
                <w:vertAlign w:val="subscript"/>
              </w:rPr>
              <w:t xml:space="preserve"> </w:t>
            </w:r>
            <w:r>
              <w:rPr>
                <w:sz w:val="31"/>
                <w:vertAlign w:val="subscript"/>
              </w:rPr>
              <w:tab/>
            </w:r>
            <w:r>
              <w:rPr>
                <w:sz w:val="20"/>
              </w:rPr>
              <w:t xml:space="preserve"> </w:t>
            </w:r>
          </w:p>
        </w:tc>
        <w:tc>
          <w:tcPr>
            <w:tcW w:w="996" w:type="dxa"/>
            <w:tcBorders>
              <w:top w:val="dashed" w:sz="4" w:space="0" w:color="000000"/>
              <w:left w:val="single" w:sz="8" w:space="0" w:color="000000"/>
              <w:bottom w:val="dashed" w:sz="4" w:space="0" w:color="000000"/>
              <w:right w:val="dashed" w:sz="4" w:space="0" w:color="000000"/>
            </w:tcBorders>
          </w:tcPr>
          <w:p w:rsidR="00E8309B" w:rsidRDefault="009D0949">
            <w:pPr>
              <w:spacing w:after="0" w:line="259" w:lineRule="auto"/>
              <w:ind w:left="0" w:right="52" w:firstLine="0"/>
              <w:jc w:val="right"/>
            </w:pPr>
            <w:r>
              <w:rPr>
                <w:sz w:val="20"/>
              </w:rPr>
              <w:t xml:space="preserve">108,6 </w:t>
            </w:r>
          </w:p>
        </w:tc>
        <w:tc>
          <w:tcPr>
            <w:tcW w:w="994"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52" w:firstLine="0"/>
              <w:jc w:val="right"/>
            </w:pPr>
            <w:r>
              <w:rPr>
                <w:sz w:val="20"/>
              </w:rPr>
              <w:t xml:space="preserve">108,9 </w:t>
            </w:r>
          </w:p>
        </w:tc>
        <w:tc>
          <w:tcPr>
            <w:tcW w:w="987"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49" w:firstLine="0"/>
              <w:jc w:val="right"/>
            </w:pPr>
            <w:r>
              <w:rPr>
                <w:sz w:val="20"/>
              </w:rPr>
              <w:t xml:space="preserve">110,5 </w:t>
            </w:r>
          </w:p>
        </w:tc>
        <w:tc>
          <w:tcPr>
            <w:tcW w:w="989"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49" w:firstLine="0"/>
              <w:jc w:val="right"/>
            </w:pPr>
            <w:r>
              <w:rPr>
                <w:sz w:val="20"/>
              </w:rPr>
              <w:t xml:space="preserve">113,6 </w:t>
            </w:r>
          </w:p>
        </w:tc>
        <w:tc>
          <w:tcPr>
            <w:tcW w:w="989"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49" w:firstLine="0"/>
              <w:jc w:val="right"/>
            </w:pPr>
            <w:r>
              <w:rPr>
                <w:sz w:val="20"/>
              </w:rPr>
              <w:t xml:space="preserve">111,9 </w:t>
            </w:r>
          </w:p>
        </w:tc>
        <w:tc>
          <w:tcPr>
            <w:tcW w:w="992" w:type="dxa"/>
            <w:tcBorders>
              <w:top w:val="dashed" w:sz="4" w:space="0" w:color="000000"/>
              <w:left w:val="dashed" w:sz="4" w:space="0" w:color="000000"/>
              <w:bottom w:val="dashed" w:sz="4" w:space="0" w:color="000000"/>
              <w:right w:val="double" w:sz="6" w:space="0" w:color="000000"/>
            </w:tcBorders>
          </w:tcPr>
          <w:p w:rsidR="00E8309B" w:rsidRDefault="009D0949">
            <w:pPr>
              <w:spacing w:after="0" w:line="259" w:lineRule="auto"/>
              <w:ind w:left="0" w:right="52" w:firstLine="0"/>
              <w:jc w:val="right"/>
            </w:pPr>
            <w:r>
              <w:rPr>
                <w:sz w:val="20"/>
              </w:rPr>
              <w:t xml:space="preserve">111,2 </w:t>
            </w:r>
          </w:p>
        </w:tc>
      </w:tr>
      <w:tr w:rsidR="00E8309B">
        <w:trPr>
          <w:trHeight w:val="293"/>
        </w:trPr>
        <w:tc>
          <w:tcPr>
            <w:tcW w:w="6757" w:type="dxa"/>
            <w:tcBorders>
              <w:top w:val="dashed" w:sz="4" w:space="0" w:color="000000"/>
              <w:left w:val="double" w:sz="6" w:space="0" w:color="000000"/>
              <w:bottom w:val="dashed" w:sz="4" w:space="0" w:color="000000"/>
              <w:right w:val="single" w:sz="8" w:space="0" w:color="000000"/>
            </w:tcBorders>
          </w:tcPr>
          <w:p w:rsidR="00E8309B" w:rsidRDefault="009D0949">
            <w:pPr>
              <w:spacing w:after="0" w:line="259" w:lineRule="auto"/>
              <w:ind w:left="2" w:right="0" w:firstLine="0"/>
              <w:jc w:val="left"/>
            </w:pPr>
            <w:r>
              <w:rPr>
                <w:sz w:val="20"/>
              </w:rPr>
              <w:t xml:space="preserve">10. Примарни резултат[2] </w:t>
            </w:r>
          </w:p>
        </w:tc>
        <w:tc>
          <w:tcPr>
            <w:tcW w:w="1608" w:type="dxa"/>
            <w:tcBorders>
              <w:top w:val="dashed" w:sz="4" w:space="0" w:color="000000"/>
              <w:left w:val="single" w:sz="8" w:space="0" w:color="000000"/>
              <w:bottom w:val="dashed" w:sz="4" w:space="0" w:color="000000"/>
              <w:right w:val="single" w:sz="8" w:space="0" w:color="000000"/>
            </w:tcBorders>
            <w:vAlign w:val="bottom"/>
          </w:tcPr>
          <w:p w:rsidR="00E8309B" w:rsidRDefault="009D0949">
            <w:pPr>
              <w:spacing w:after="0" w:line="259" w:lineRule="auto"/>
              <w:ind w:left="3" w:right="0" w:firstLine="0"/>
              <w:jc w:val="center"/>
            </w:pPr>
            <w:r>
              <w:rPr>
                <w:sz w:val="20"/>
              </w:rPr>
              <w:t xml:space="preserve"> </w:t>
            </w:r>
          </w:p>
        </w:tc>
        <w:tc>
          <w:tcPr>
            <w:tcW w:w="996" w:type="dxa"/>
            <w:tcBorders>
              <w:top w:val="dashed" w:sz="4" w:space="0" w:color="000000"/>
              <w:left w:val="single" w:sz="8" w:space="0" w:color="000000"/>
              <w:bottom w:val="dashed" w:sz="4" w:space="0" w:color="000000"/>
              <w:right w:val="dashed" w:sz="4" w:space="0" w:color="000000"/>
            </w:tcBorders>
          </w:tcPr>
          <w:p w:rsidR="00E8309B" w:rsidRDefault="009D0949">
            <w:pPr>
              <w:spacing w:after="0" w:line="259" w:lineRule="auto"/>
              <w:ind w:left="0" w:right="52" w:firstLine="0"/>
              <w:jc w:val="right"/>
            </w:pPr>
            <w:r>
              <w:rPr>
                <w:sz w:val="20"/>
              </w:rPr>
              <w:t xml:space="preserve">140,9 </w:t>
            </w:r>
          </w:p>
        </w:tc>
        <w:tc>
          <w:tcPr>
            <w:tcW w:w="994"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52" w:firstLine="0"/>
              <w:jc w:val="right"/>
            </w:pPr>
            <w:r>
              <w:rPr>
                <w:sz w:val="20"/>
              </w:rPr>
              <w:t xml:space="preserve">97,8 </w:t>
            </w:r>
          </w:p>
        </w:tc>
        <w:tc>
          <w:tcPr>
            <w:tcW w:w="987"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49" w:firstLine="0"/>
              <w:jc w:val="right"/>
            </w:pPr>
            <w:r>
              <w:rPr>
                <w:sz w:val="20"/>
              </w:rPr>
              <w:t xml:space="preserve">-381,8 </w:t>
            </w:r>
          </w:p>
        </w:tc>
        <w:tc>
          <w:tcPr>
            <w:tcW w:w="989"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52" w:firstLine="0"/>
              <w:jc w:val="right"/>
            </w:pPr>
            <w:r>
              <w:rPr>
                <w:sz w:val="20"/>
              </w:rPr>
              <w:t xml:space="preserve">-65,7 </w:t>
            </w:r>
          </w:p>
        </w:tc>
        <w:tc>
          <w:tcPr>
            <w:tcW w:w="989"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49" w:firstLine="0"/>
              <w:jc w:val="right"/>
            </w:pPr>
            <w:r>
              <w:rPr>
                <w:sz w:val="20"/>
              </w:rPr>
              <w:t xml:space="preserve">6,4 </w:t>
            </w:r>
          </w:p>
        </w:tc>
        <w:tc>
          <w:tcPr>
            <w:tcW w:w="992" w:type="dxa"/>
            <w:tcBorders>
              <w:top w:val="dashed" w:sz="4" w:space="0" w:color="000000"/>
              <w:left w:val="dashed" w:sz="4" w:space="0" w:color="000000"/>
              <w:bottom w:val="dashed" w:sz="4" w:space="0" w:color="000000"/>
              <w:right w:val="double" w:sz="6" w:space="0" w:color="000000"/>
            </w:tcBorders>
          </w:tcPr>
          <w:p w:rsidR="00E8309B" w:rsidRDefault="009D0949">
            <w:pPr>
              <w:spacing w:after="0" w:line="259" w:lineRule="auto"/>
              <w:ind w:left="0" w:right="52" w:firstLine="0"/>
              <w:jc w:val="right"/>
            </w:pPr>
            <w:r>
              <w:rPr>
                <w:sz w:val="20"/>
              </w:rPr>
              <w:t xml:space="preserve">39,8 </w:t>
            </w:r>
          </w:p>
        </w:tc>
      </w:tr>
      <w:tr w:rsidR="00E8309B">
        <w:trPr>
          <w:trHeight w:val="293"/>
        </w:trPr>
        <w:tc>
          <w:tcPr>
            <w:tcW w:w="6757" w:type="dxa"/>
            <w:tcBorders>
              <w:top w:val="dashed" w:sz="4" w:space="0" w:color="000000"/>
              <w:left w:val="double" w:sz="6" w:space="0" w:color="000000"/>
              <w:bottom w:val="single" w:sz="4" w:space="0" w:color="000000"/>
              <w:right w:val="single" w:sz="8" w:space="0" w:color="000000"/>
            </w:tcBorders>
          </w:tcPr>
          <w:p w:rsidR="00E8309B" w:rsidRDefault="009D0949">
            <w:pPr>
              <w:spacing w:after="0" w:line="259" w:lineRule="auto"/>
              <w:ind w:left="2" w:right="0" w:firstLine="0"/>
              <w:jc w:val="left"/>
            </w:pPr>
            <w:r>
              <w:rPr>
                <w:sz w:val="20"/>
              </w:rPr>
              <w:t xml:space="preserve">11. One-off and other temporary measures [3] </w:t>
            </w:r>
          </w:p>
        </w:tc>
        <w:tc>
          <w:tcPr>
            <w:tcW w:w="1608" w:type="dxa"/>
            <w:tcBorders>
              <w:top w:val="dashed" w:sz="4" w:space="0" w:color="000000"/>
              <w:left w:val="single" w:sz="8" w:space="0" w:color="000000"/>
              <w:bottom w:val="single" w:sz="4" w:space="0" w:color="000000"/>
              <w:right w:val="single" w:sz="8" w:space="0" w:color="000000"/>
            </w:tcBorders>
            <w:vAlign w:val="bottom"/>
          </w:tcPr>
          <w:p w:rsidR="00E8309B" w:rsidRDefault="009D0949">
            <w:pPr>
              <w:spacing w:after="0" w:line="259" w:lineRule="auto"/>
              <w:ind w:left="3" w:right="0" w:firstLine="0"/>
              <w:jc w:val="center"/>
            </w:pPr>
            <w:r>
              <w:rPr>
                <w:sz w:val="20"/>
              </w:rPr>
              <w:t xml:space="preserve"> </w:t>
            </w:r>
          </w:p>
        </w:tc>
        <w:tc>
          <w:tcPr>
            <w:tcW w:w="996" w:type="dxa"/>
            <w:tcBorders>
              <w:top w:val="dashed" w:sz="4" w:space="0" w:color="000000"/>
              <w:left w:val="single" w:sz="8" w:space="0" w:color="000000"/>
              <w:bottom w:val="single" w:sz="4" w:space="0" w:color="000000"/>
              <w:right w:val="dashed" w:sz="4" w:space="0" w:color="000000"/>
            </w:tcBorders>
          </w:tcPr>
          <w:p w:rsidR="00E8309B" w:rsidRDefault="009D0949">
            <w:pPr>
              <w:spacing w:after="0" w:line="259" w:lineRule="auto"/>
              <w:ind w:left="0" w:right="2" w:firstLine="0"/>
              <w:jc w:val="right"/>
            </w:pPr>
            <w:r>
              <w:rPr>
                <w:sz w:val="20"/>
              </w:rPr>
              <w:t xml:space="preserve"> </w:t>
            </w:r>
          </w:p>
        </w:tc>
        <w:tc>
          <w:tcPr>
            <w:tcW w:w="994" w:type="dxa"/>
            <w:tcBorders>
              <w:top w:val="dashed" w:sz="4" w:space="0" w:color="000000"/>
              <w:left w:val="dashed" w:sz="4" w:space="0" w:color="000000"/>
              <w:bottom w:val="single" w:sz="4" w:space="0" w:color="000000"/>
              <w:right w:val="dashed" w:sz="4" w:space="0" w:color="000000"/>
            </w:tcBorders>
          </w:tcPr>
          <w:p w:rsidR="00E8309B" w:rsidRDefault="009D0949">
            <w:pPr>
              <w:spacing w:after="0" w:line="259" w:lineRule="auto"/>
              <w:ind w:left="0" w:right="2" w:firstLine="0"/>
              <w:jc w:val="right"/>
            </w:pPr>
            <w:r>
              <w:rPr>
                <w:sz w:val="20"/>
              </w:rPr>
              <w:t xml:space="preserve"> </w:t>
            </w:r>
          </w:p>
        </w:tc>
        <w:tc>
          <w:tcPr>
            <w:tcW w:w="987" w:type="dxa"/>
            <w:tcBorders>
              <w:top w:val="dashed" w:sz="4" w:space="0" w:color="000000"/>
              <w:left w:val="dashed" w:sz="4" w:space="0" w:color="000000"/>
              <w:bottom w:val="single" w:sz="4" w:space="0" w:color="000000"/>
              <w:right w:val="dashed" w:sz="4" w:space="0" w:color="000000"/>
            </w:tcBorders>
          </w:tcPr>
          <w:p w:rsidR="00E8309B" w:rsidRDefault="009D0949">
            <w:pPr>
              <w:spacing w:after="0" w:line="259" w:lineRule="auto"/>
              <w:ind w:left="0" w:right="0" w:firstLine="0"/>
              <w:jc w:val="right"/>
            </w:pPr>
            <w:r>
              <w:rPr>
                <w:sz w:val="20"/>
              </w:rPr>
              <w:t xml:space="preserve"> </w:t>
            </w:r>
          </w:p>
        </w:tc>
        <w:tc>
          <w:tcPr>
            <w:tcW w:w="989" w:type="dxa"/>
            <w:tcBorders>
              <w:top w:val="dashed" w:sz="4" w:space="0" w:color="000000"/>
              <w:left w:val="dashed" w:sz="4" w:space="0" w:color="000000"/>
              <w:bottom w:val="single" w:sz="4" w:space="0" w:color="000000"/>
              <w:right w:val="dashed" w:sz="4" w:space="0" w:color="000000"/>
            </w:tcBorders>
          </w:tcPr>
          <w:p w:rsidR="00E8309B" w:rsidRDefault="009D0949">
            <w:pPr>
              <w:spacing w:after="0" w:line="259" w:lineRule="auto"/>
              <w:ind w:left="0" w:right="0" w:firstLine="0"/>
              <w:jc w:val="right"/>
            </w:pPr>
            <w:r>
              <w:rPr>
                <w:sz w:val="20"/>
              </w:rPr>
              <w:t xml:space="preserve"> </w:t>
            </w:r>
          </w:p>
        </w:tc>
        <w:tc>
          <w:tcPr>
            <w:tcW w:w="989" w:type="dxa"/>
            <w:tcBorders>
              <w:top w:val="dashed" w:sz="4" w:space="0" w:color="000000"/>
              <w:left w:val="dashed" w:sz="4" w:space="0" w:color="000000"/>
              <w:bottom w:val="single" w:sz="4" w:space="0" w:color="000000"/>
              <w:right w:val="dashed" w:sz="4" w:space="0" w:color="000000"/>
            </w:tcBorders>
          </w:tcPr>
          <w:p w:rsidR="00E8309B" w:rsidRDefault="009D0949">
            <w:pPr>
              <w:spacing w:after="0" w:line="259" w:lineRule="auto"/>
              <w:ind w:left="0" w:right="0" w:firstLine="0"/>
              <w:jc w:val="right"/>
            </w:pPr>
            <w:r>
              <w:rPr>
                <w:sz w:val="20"/>
              </w:rPr>
              <w:t xml:space="preserve"> </w:t>
            </w:r>
          </w:p>
        </w:tc>
        <w:tc>
          <w:tcPr>
            <w:tcW w:w="992" w:type="dxa"/>
            <w:tcBorders>
              <w:top w:val="dashed" w:sz="4" w:space="0" w:color="000000"/>
              <w:left w:val="dashed" w:sz="4" w:space="0" w:color="000000"/>
              <w:bottom w:val="single" w:sz="4" w:space="0" w:color="000000"/>
              <w:right w:val="double" w:sz="6" w:space="0" w:color="000000"/>
            </w:tcBorders>
          </w:tcPr>
          <w:p w:rsidR="00E8309B" w:rsidRDefault="009D0949">
            <w:pPr>
              <w:spacing w:after="0" w:line="259" w:lineRule="auto"/>
              <w:ind w:left="0" w:right="2" w:firstLine="0"/>
              <w:jc w:val="right"/>
            </w:pPr>
            <w:r>
              <w:rPr>
                <w:sz w:val="20"/>
              </w:rPr>
              <w:t xml:space="preserve"> </w:t>
            </w:r>
          </w:p>
        </w:tc>
      </w:tr>
      <w:tr w:rsidR="00E8309B">
        <w:trPr>
          <w:trHeight w:val="293"/>
        </w:trPr>
        <w:tc>
          <w:tcPr>
            <w:tcW w:w="6757" w:type="dxa"/>
            <w:tcBorders>
              <w:top w:val="single" w:sz="4" w:space="0" w:color="000000"/>
              <w:left w:val="double" w:sz="6" w:space="0" w:color="000000"/>
              <w:bottom w:val="single" w:sz="4" w:space="0" w:color="000000"/>
              <w:right w:val="single" w:sz="8" w:space="0" w:color="000000"/>
            </w:tcBorders>
          </w:tcPr>
          <w:p w:rsidR="00E8309B" w:rsidRDefault="009D0949">
            <w:pPr>
              <w:spacing w:after="0" w:line="259" w:lineRule="auto"/>
              <w:ind w:left="2" w:right="0" w:firstLine="0"/>
              <w:jc w:val="left"/>
            </w:pPr>
            <w:r>
              <w:rPr>
                <w:b/>
                <w:sz w:val="20"/>
              </w:rPr>
              <w:t xml:space="preserve">Компоненте прихода </w:t>
            </w:r>
          </w:p>
        </w:tc>
        <w:tc>
          <w:tcPr>
            <w:tcW w:w="1608" w:type="dxa"/>
            <w:tcBorders>
              <w:top w:val="single" w:sz="4" w:space="0" w:color="000000"/>
              <w:left w:val="single" w:sz="8" w:space="0" w:color="000000"/>
              <w:bottom w:val="single" w:sz="4" w:space="0" w:color="000000"/>
              <w:right w:val="single" w:sz="8" w:space="0" w:color="000000"/>
            </w:tcBorders>
            <w:vAlign w:val="bottom"/>
          </w:tcPr>
          <w:p w:rsidR="00E8309B" w:rsidRDefault="009D0949">
            <w:pPr>
              <w:spacing w:after="0" w:line="259" w:lineRule="auto"/>
              <w:ind w:left="3" w:right="0" w:firstLine="0"/>
              <w:jc w:val="center"/>
            </w:pPr>
            <w:r>
              <w:rPr>
                <w:sz w:val="20"/>
              </w:rPr>
              <w:t xml:space="preserve"> </w:t>
            </w:r>
          </w:p>
        </w:tc>
        <w:tc>
          <w:tcPr>
            <w:tcW w:w="996" w:type="dxa"/>
            <w:tcBorders>
              <w:top w:val="single" w:sz="4" w:space="0" w:color="000000"/>
              <w:left w:val="single" w:sz="8" w:space="0" w:color="000000"/>
              <w:bottom w:val="single" w:sz="4" w:space="0" w:color="000000"/>
              <w:right w:val="nil"/>
            </w:tcBorders>
          </w:tcPr>
          <w:p w:rsidR="00E8309B" w:rsidRDefault="009D0949">
            <w:pPr>
              <w:spacing w:after="0" w:line="259" w:lineRule="auto"/>
              <w:ind w:left="0" w:right="2" w:firstLine="0"/>
              <w:jc w:val="right"/>
            </w:pPr>
            <w:r>
              <w:rPr>
                <w:sz w:val="20"/>
              </w:rPr>
              <w:t xml:space="preserve"> </w:t>
            </w:r>
          </w:p>
        </w:tc>
        <w:tc>
          <w:tcPr>
            <w:tcW w:w="994" w:type="dxa"/>
            <w:tcBorders>
              <w:top w:val="single" w:sz="4" w:space="0" w:color="000000"/>
              <w:left w:val="nil"/>
              <w:bottom w:val="single" w:sz="4" w:space="0" w:color="000000"/>
              <w:right w:val="nil"/>
            </w:tcBorders>
          </w:tcPr>
          <w:p w:rsidR="00E8309B" w:rsidRDefault="009D0949">
            <w:pPr>
              <w:spacing w:after="0" w:line="259" w:lineRule="auto"/>
              <w:ind w:left="0" w:right="2" w:firstLine="0"/>
              <w:jc w:val="right"/>
            </w:pPr>
            <w:r>
              <w:rPr>
                <w:sz w:val="20"/>
              </w:rPr>
              <w:t xml:space="preserve"> </w:t>
            </w:r>
          </w:p>
        </w:tc>
        <w:tc>
          <w:tcPr>
            <w:tcW w:w="987" w:type="dxa"/>
            <w:tcBorders>
              <w:top w:val="single" w:sz="4" w:space="0" w:color="000000"/>
              <w:left w:val="nil"/>
              <w:bottom w:val="single" w:sz="4" w:space="0" w:color="000000"/>
              <w:right w:val="nil"/>
            </w:tcBorders>
          </w:tcPr>
          <w:p w:rsidR="00E8309B" w:rsidRDefault="009D0949">
            <w:pPr>
              <w:spacing w:after="0" w:line="259" w:lineRule="auto"/>
              <w:ind w:left="0" w:right="0" w:firstLine="0"/>
              <w:jc w:val="right"/>
            </w:pPr>
            <w:r>
              <w:rPr>
                <w:sz w:val="20"/>
              </w:rPr>
              <w:t xml:space="preserve"> </w:t>
            </w:r>
          </w:p>
        </w:tc>
        <w:tc>
          <w:tcPr>
            <w:tcW w:w="989" w:type="dxa"/>
            <w:tcBorders>
              <w:top w:val="single" w:sz="4" w:space="0" w:color="000000"/>
              <w:left w:val="nil"/>
              <w:bottom w:val="single" w:sz="4" w:space="0" w:color="000000"/>
              <w:right w:val="nil"/>
            </w:tcBorders>
          </w:tcPr>
          <w:p w:rsidR="00E8309B" w:rsidRDefault="009D0949">
            <w:pPr>
              <w:spacing w:after="0" w:line="259" w:lineRule="auto"/>
              <w:ind w:left="0" w:right="0" w:firstLine="0"/>
              <w:jc w:val="right"/>
            </w:pPr>
            <w:r>
              <w:rPr>
                <w:sz w:val="20"/>
              </w:rPr>
              <w:t xml:space="preserve"> </w:t>
            </w:r>
          </w:p>
        </w:tc>
        <w:tc>
          <w:tcPr>
            <w:tcW w:w="989" w:type="dxa"/>
            <w:tcBorders>
              <w:top w:val="single" w:sz="4" w:space="0" w:color="000000"/>
              <w:left w:val="nil"/>
              <w:bottom w:val="single" w:sz="4" w:space="0" w:color="000000"/>
              <w:right w:val="nil"/>
            </w:tcBorders>
          </w:tcPr>
          <w:p w:rsidR="00E8309B" w:rsidRDefault="009D0949">
            <w:pPr>
              <w:spacing w:after="0" w:line="259" w:lineRule="auto"/>
              <w:ind w:left="0" w:right="0" w:firstLine="0"/>
              <w:jc w:val="right"/>
            </w:pPr>
            <w:r>
              <w:rPr>
                <w:sz w:val="20"/>
              </w:rPr>
              <w:t xml:space="preserve"> </w:t>
            </w:r>
          </w:p>
        </w:tc>
        <w:tc>
          <w:tcPr>
            <w:tcW w:w="992" w:type="dxa"/>
            <w:tcBorders>
              <w:top w:val="single" w:sz="4" w:space="0" w:color="000000"/>
              <w:left w:val="nil"/>
              <w:bottom w:val="single" w:sz="4" w:space="0" w:color="000000"/>
              <w:right w:val="double" w:sz="6" w:space="0" w:color="000000"/>
            </w:tcBorders>
          </w:tcPr>
          <w:p w:rsidR="00E8309B" w:rsidRDefault="009D0949">
            <w:pPr>
              <w:spacing w:after="0" w:line="259" w:lineRule="auto"/>
              <w:ind w:left="0" w:right="2" w:firstLine="0"/>
              <w:jc w:val="right"/>
            </w:pPr>
            <w:r>
              <w:rPr>
                <w:sz w:val="20"/>
              </w:rPr>
              <w:t xml:space="preserve"> </w:t>
            </w:r>
          </w:p>
        </w:tc>
      </w:tr>
      <w:tr w:rsidR="00E8309B">
        <w:trPr>
          <w:trHeight w:val="293"/>
        </w:trPr>
        <w:tc>
          <w:tcPr>
            <w:tcW w:w="6757" w:type="dxa"/>
            <w:tcBorders>
              <w:top w:val="single" w:sz="4" w:space="0" w:color="000000"/>
              <w:left w:val="double" w:sz="6" w:space="0" w:color="000000"/>
              <w:bottom w:val="dashed" w:sz="4" w:space="0" w:color="000000"/>
              <w:right w:val="single" w:sz="8" w:space="0" w:color="000000"/>
            </w:tcBorders>
          </w:tcPr>
          <w:p w:rsidR="00E8309B" w:rsidRDefault="009D0949">
            <w:pPr>
              <w:spacing w:after="0" w:line="259" w:lineRule="auto"/>
              <w:ind w:left="2" w:right="0" w:firstLine="0"/>
              <w:jc w:val="left"/>
            </w:pPr>
            <w:r>
              <w:rPr>
                <w:sz w:val="20"/>
              </w:rPr>
              <w:t xml:space="preserve">12. Укупни порески приходи  (12 = 12a+12b+12c) </w:t>
            </w:r>
          </w:p>
        </w:tc>
        <w:tc>
          <w:tcPr>
            <w:tcW w:w="1608" w:type="dxa"/>
            <w:tcBorders>
              <w:top w:val="single" w:sz="4" w:space="0" w:color="000000"/>
              <w:left w:val="single" w:sz="8" w:space="0" w:color="000000"/>
              <w:bottom w:val="dashed" w:sz="4" w:space="0" w:color="000000"/>
              <w:right w:val="single" w:sz="8" w:space="0" w:color="000000"/>
            </w:tcBorders>
          </w:tcPr>
          <w:p w:rsidR="00E8309B" w:rsidRDefault="00E8309B">
            <w:pPr>
              <w:spacing w:after="160" w:line="259" w:lineRule="auto"/>
              <w:ind w:left="0" w:right="0" w:firstLine="0"/>
              <w:jc w:val="left"/>
            </w:pPr>
          </w:p>
        </w:tc>
        <w:tc>
          <w:tcPr>
            <w:tcW w:w="996" w:type="dxa"/>
            <w:tcBorders>
              <w:top w:val="single" w:sz="4" w:space="0" w:color="000000"/>
              <w:left w:val="single" w:sz="8" w:space="0" w:color="000000"/>
              <w:bottom w:val="dashed" w:sz="4" w:space="0" w:color="000000"/>
              <w:right w:val="dashed" w:sz="4" w:space="0" w:color="000000"/>
            </w:tcBorders>
          </w:tcPr>
          <w:p w:rsidR="00E8309B" w:rsidRDefault="009D0949">
            <w:pPr>
              <w:spacing w:after="0" w:line="259" w:lineRule="auto"/>
              <w:ind w:left="0" w:right="52" w:firstLine="0"/>
              <w:jc w:val="right"/>
            </w:pPr>
            <w:r>
              <w:rPr>
                <w:sz w:val="20"/>
              </w:rPr>
              <w:t xml:space="preserve">1.202,6 </w:t>
            </w:r>
          </w:p>
        </w:tc>
        <w:tc>
          <w:tcPr>
            <w:tcW w:w="994" w:type="dxa"/>
            <w:tcBorders>
              <w:top w:val="single" w:sz="4" w:space="0" w:color="000000"/>
              <w:left w:val="dashed" w:sz="4" w:space="0" w:color="000000"/>
              <w:bottom w:val="dashed" w:sz="4" w:space="0" w:color="000000"/>
              <w:right w:val="dashed" w:sz="4" w:space="0" w:color="000000"/>
            </w:tcBorders>
          </w:tcPr>
          <w:p w:rsidR="00E8309B" w:rsidRDefault="009D0949">
            <w:pPr>
              <w:spacing w:after="0" w:line="259" w:lineRule="auto"/>
              <w:ind w:left="0" w:right="52" w:firstLine="0"/>
              <w:jc w:val="right"/>
            </w:pPr>
            <w:r>
              <w:rPr>
                <w:sz w:val="20"/>
              </w:rPr>
              <w:t xml:space="preserve">1.317,8 </w:t>
            </w:r>
          </w:p>
        </w:tc>
        <w:tc>
          <w:tcPr>
            <w:tcW w:w="987" w:type="dxa"/>
            <w:tcBorders>
              <w:top w:val="single" w:sz="4" w:space="0" w:color="000000"/>
              <w:left w:val="dashed" w:sz="4" w:space="0" w:color="000000"/>
              <w:bottom w:val="dashed" w:sz="4" w:space="0" w:color="000000"/>
              <w:right w:val="dashed" w:sz="4" w:space="0" w:color="000000"/>
            </w:tcBorders>
          </w:tcPr>
          <w:p w:rsidR="00E8309B" w:rsidRDefault="009D0949">
            <w:pPr>
              <w:spacing w:after="0" w:line="259" w:lineRule="auto"/>
              <w:ind w:left="0" w:right="50" w:firstLine="0"/>
              <w:jc w:val="right"/>
            </w:pPr>
            <w:r>
              <w:rPr>
                <w:sz w:val="20"/>
              </w:rPr>
              <w:t xml:space="preserve">1.302,2 </w:t>
            </w:r>
          </w:p>
        </w:tc>
        <w:tc>
          <w:tcPr>
            <w:tcW w:w="989" w:type="dxa"/>
            <w:tcBorders>
              <w:top w:val="single" w:sz="4" w:space="0" w:color="000000"/>
              <w:left w:val="dashed" w:sz="4" w:space="0" w:color="000000"/>
              <w:bottom w:val="dashed" w:sz="4" w:space="0" w:color="000000"/>
              <w:right w:val="dashed" w:sz="4" w:space="0" w:color="000000"/>
            </w:tcBorders>
          </w:tcPr>
          <w:p w:rsidR="00E8309B" w:rsidRDefault="009D0949">
            <w:pPr>
              <w:spacing w:after="0" w:line="259" w:lineRule="auto"/>
              <w:ind w:left="0" w:right="50" w:firstLine="0"/>
              <w:jc w:val="right"/>
            </w:pPr>
            <w:r>
              <w:rPr>
                <w:sz w:val="20"/>
              </w:rPr>
              <w:t xml:space="preserve">1.386,6 </w:t>
            </w:r>
          </w:p>
        </w:tc>
        <w:tc>
          <w:tcPr>
            <w:tcW w:w="989" w:type="dxa"/>
            <w:tcBorders>
              <w:top w:val="single" w:sz="4" w:space="0" w:color="000000"/>
              <w:left w:val="dashed" w:sz="4" w:space="0" w:color="000000"/>
              <w:bottom w:val="dashed" w:sz="4" w:space="0" w:color="000000"/>
              <w:right w:val="dashed" w:sz="4" w:space="0" w:color="000000"/>
            </w:tcBorders>
          </w:tcPr>
          <w:p w:rsidR="00E8309B" w:rsidRDefault="009D0949">
            <w:pPr>
              <w:spacing w:after="0" w:line="259" w:lineRule="auto"/>
              <w:ind w:left="0" w:right="50" w:firstLine="0"/>
              <w:jc w:val="right"/>
            </w:pPr>
            <w:r>
              <w:rPr>
                <w:sz w:val="20"/>
              </w:rPr>
              <w:t xml:space="preserve">1.477,0 </w:t>
            </w:r>
          </w:p>
        </w:tc>
        <w:tc>
          <w:tcPr>
            <w:tcW w:w="992" w:type="dxa"/>
            <w:tcBorders>
              <w:top w:val="single" w:sz="4" w:space="0" w:color="000000"/>
              <w:left w:val="dashed" w:sz="4" w:space="0" w:color="000000"/>
              <w:bottom w:val="dashed" w:sz="4" w:space="0" w:color="000000"/>
              <w:right w:val="double" w:sz="6" w:space="0" w:color="000000"/>
            </w:tcBorders>
          </w:tcPr>
          <w:p w:rsidR="00E8309B" w:rsidRDefault="009D0949">
            <w:pPr>
              <w:spacing w:after="0" w:line="259" w:lineRule="auto"/>
              <w:ind w:left="0" w:right="52" w:firstLine="0"/>
              <w:jc w:val="right"/>
            </w:pPr>
            <w:r>
              <w:rPr>
                <w:sz w:val="20"/>
              </w:rPr>
              <w:t xml:space="preserve">1.560,1 </w:t>
            </w:r>
          </w:p>
        </w:tc>
      </w:tr>
      <w:tr w:rsidR="00E8309B">
        <w:trPr>
          <w:trHeight w:val="293"/>
        </w:trPr>
        <w:tc>
          <w:tcPr>
            <w:tcW w:w="6757" w:type="dxa"/>
            <w:tcBorders>
              <w:top w:val="dashed" w:sz="4" w:space="0" w:color="000000"/>
              <w:left w:val="double" w:sz="6" w:space="0" w:color="000000"/>
              <w:bottom w:val="dashed" w:sz="4" w:space="0" w:color="000000"/>
              <w:right w:val="single" w:sz="8" w:space="0" w:color="000000"/>
            </w:tcBorders>
          </w:tcPr>
          <w:p w:rsidR="00E8309B" w:rsidRDefault="009D0949">
            <w:pPr>
              <w:spacing w:after="0" w:line="259" w:lineRule="auto"/>
              <w:ind w:left="2" w:right="0" w:firstLine="0"/>
              <w:jc w:val="left"/>
            </w:pPr>
            <w:r>
              <w:rPr>
                <w:sz w:val="20"/>
              </w:rPr>
              <w:t xml:space="preserve">12a. Порези на производњу и увоз </w:t>
            </w:r>
          </w:p>
        </w:tc>
        <w:tc>
          <w:tcPr>
            <w:tcW w:w="1608" w:type="dxa"/>
            <w:tcBorders>
              <w:top w:val="dashed" w:sz="4" w:space="0" w:color="000000"/>
              <w:left w:val="single" w:sz="8" w:space="0" w:color="000000"/>
              <w:bottom w:val="dashed" w:sz="4" w:space="0" w:color="000000"/>
              <w:right w:val="single" w:sz="8" w:space="0" w:color="000000"/>
            </w:tcBorders>
          </w:tcPr>
          <w:p w:rsidR="00E8309B" w:rsidRDefault="009D0949">
            <w:pPr>
              <w:spacing w:after="0" w:line="259" w:lineRule="auto"/>
              <w:ind w:left="0" w:right="48" w:firstLine="0"/>
              <w:jc w:val="center"/>
            </w:pPr>
            <w:r>
              <w:rPr>
                <w:sz w:val="20"/>
              </w:rPr>
              <w:t xml:space="preserve">D2 </w:t>
            </w:r>
          </w:p>
        </w:tc>
        <w:tc>
          <w:tcPr>
            <w:tcW w:w="996" w:type="dxa"/>
            <w:tcBorders>
              <w:top w:val="dashed" w:sz="4" w:space="0" w:color="000000"/>
              <w:left w:val="single" w:sz="8" w:space="0" w:color="000000"/>
              <w:bottom w:val="dashed" w:sz="4" w:space="0" w:color="000000"/>
              <w:right w:val="dashed" w:sz="4" w:space="0" w:color="000000"/>
            </w:tcBorders>
          </w:tcPr>
          <w:p w:rsidR="00E8309B" w:rsidRDefault="009D0949">
            <w:pPr>
              <w:spacing w:after="0" w:line="259" w:lineRule="auto"/>
              <w:ind w:left="0" w:right="52" w:firstLine="0"/>
              <w:jc w:val="right"/>
            </w:pPr>
            <w:r>
              <w:rPr>
                <w:sz w:val="20"/>
              </w:rPr>
              <w:t xml:space="preserve">870,4 </w:t>
            </w:r>
          </w:p>
        </w:tc>
        <w:tc>
          <w:tcPr>
            <w:tcW w:w="994"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52" w:firstLine="0"/>
              <w:jc w:val="right"/>
            </w:pPr>
            <w:r>
              <w:rPr>
                <w:sz w:val="20"/>
              </w:rPr>
              <w:t xml:space="preserve">943,5 </w:t>
            </w:r>
          </w:p>
        </w:tc>
        <w:tc>
          <w:tcPr>
            <w:tcW w:w="987"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49" w:firstLine="0"/>
              <w:jc w:val="right"/>
            </w:pPr>
            <w:r>
              <w:rPr>
                <w:sz w:val="20"/>
              </w:rPr>
              <w:t xml:space="preserve">930,2 </w:t>
            </w:r>
          </w:p>
        </w:tc>
        <w:tc>
          <w:tcPr>
            <w:tcW w:w="989"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50" w:firstLine="0"/>
              <w:jc w:val="right"/>
            </w:pPr>
            <w:r>
              <w:rPr>
                <w:sz w:val="20"/>
              </w:rPr>
              <w:t xml:space="preserve">1.002,6 </w:t>
            </w:r>
          </w:p>
        </w:tc>
        <w:tc>
          <w:tcPr>
            <w:tcW w:w="989"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50" w:firstLine="0"/>
              <w:jc w:val="right"/>
            </w:pPr>
            <w:r>
              <w:rPr>
                <w:sz w:val="20"/>
              </w:rPr>
              <w:t xml:space="preserve">1.061,3 </w:t>
            </w:r>
          </w:p>
        </w:tc>
        <w:tc>
          <w:tcPr>
            <w:tcW w:w="992" w:type="dxa"/>
            <w:tcBorders>
              <w:top w:val="dashed" w:sz="4" w:space="0" w:color="000000"/>
              <w:left w:val="dashed" w:sz="4" w:space="0" w:color="000000"/>
              <w:bottom w:val="dashed" w:sz="4" w:space="0" w:color="000000"/>
              <w:right w:val="double" w:sz="6" w:space="0" w:color="000000"/>
            </w:tcBorders>
          </w:tcPr>
          <w:p w:rsidR="00E8309B" w:rsidRDefault="009D0949">
            <w:pPr>
              <w:spacing w:after="0" w:line="259" w:lineRule="auto"/>
              <w:ind w:left="0" w:right="52" w:firstLine="0"/>
              <w:jc w:val="right"/>
            </w:pPr>
            <w:r>
              <w:rPr>
                <w:sz w:val="20"/>
              </w:rPr>
              <w:t xml:space="preserve">1.118,4 </w:t>
            </w:r>
          </w:p>
        </w:tc>
      </w:tr>
      <w:tr w:rsidR="00E8309B">
        <w:trPr>
          <w:trHeight w:val="293"/>
        </w:trPr>
        <w:tc>
          <w:tcPr>
            <w:tcW w:w="6757" w:type="dxa"/>
            <w:tcBorders>
              <w:top w:val="dashed" w:sz="4" w:space="0" w:color="000000"/>
              <w:left w:val="double" w:sz="6" w:space="0" w:color="000000"/>
              <w:bottom w:val="dashed" w:sz="4" w:space="0" w:color="000000"/>
              <w:right w:val="single" w:sz="8" w:space="0" w:color="000000"/>
            </w:tcBorders>
          </w:tcPr>
          <w:p w:rsidR="00E8309B" w:rsidRDefault="009D0949">
            <w:pPr>
              <w:spacing w:after="0" w:line="259" w:lineRule="auto"/>
              <w:ind w:left="2" w:right="0" w:firstLine="0"/>
              <w:jc w:val="left"/>
            </w:pPr>
            <w:r>
              <w:rPr>
                <w:sz w:val="20"/>
              </w:rPr>
              <w:t xml:space="preserve">12b. Текући порези на доходак и имовину </w:t>
            </w:r>
          </w:p>
        </w:tc>
        <w:tc>
          <w:tcPr>
            <w:tcW w:w="1608" w:type="dxa"/>
            <w:tcBorders>
              <w:top w:val="dashed" w:sz="4" w:space="0" w:color="000000"/>
              <w:left w:val="single" w:sz="8" w:space="0" w:color="000000"/>
              <w:bottom w:val="dashed" w:sz="4" w:space="0" w:color="000000"/>
              <w:right w:val="single" w:sz="8" w:space="0" w:color="000000"/>
            </w:tcBorders>
          </w:tcPr>
          <w:p w:rsidR="00E8309B" w:rsidRDefault="009D0949">
            <w:pPr>
              <w:spacing w:after="0" w:line="259" w:lineRule="auto"/>
              <w:ind w:left="0" w:right="48" w:firstLine="0"/>
              <w:jc w:val="center"/>
            </w:pPr>
            <w:r>
              <w:rPr>
                <w:sz w:val="20"/>
              </w:rPr>
              <w:t xml:space="preserve">D5 </w:t>
            </w:r>
          </w:p>
        </w:tc>
        <w:tc>
          <w:tcPr>
            <w:tcW w:w="996" w:type="dxa"/>
            <w:tcBorders>
              <w:top w:val="dashed" w:sz="4" w:space="0" w:color="000000"/>
              <w:left w:val="single" w:sz="8" w:space="0" w:color="000000"/>
              <w:bottom w:val="dashed" w:sz="4" w:space="0" w:color="000000"/>
              <w:right w:val="dashed" w:sz="4" w:space="0" w:color="000000"/>
            </w:tcBorders>
          </w:tcPr>
          <w:p w:rsidR="00E8309B" w:rsidRDefault="009D0949">
            <w:pPr>
              <w:spacing w:after="0" w:line="259" w:lineRule="auto"/>
              <w:ind w:left="0" w:right="52" w:firstLine="0"/>
              <w:jc w:val="right"/>
            </w:pPr>
            <w:r>
              <w:rPr>
                <w:sz w:val="20"/>
              </w:rPr>
              <w:t xml:space="preserve">331,2 </w:t>
            </w:r>
          </w:p>
        </w:tc>
        <w:tc>
          <w:tcPr>
            <w:tcW w:w="994"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52" w:firstLine="0"/>
              <w:jc w:val="right"/>
            </w:pPr>
            <w:r>
              <w:rPr>
                <w:sz w:val="20"/>
              </w:rPr>
              <w:t xml:space="preserve">373,2 </w:t>
            </w:r>
          </w:p>
        </w:tc>
        <w:tc>
          <w:tcPr>
            <w:tcW w:w="987"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49" w:firstLine="0"/>
              <w:jc w:val="right"/>
            </w:pPr>
            <w:r>
              <w:rPr>
                <w:sz w:val="20"/>
              </w:rPr>
              <w:t xml:space="preserve">370,6 </w:t>
            </w:r>
          </w:p>
        </w:tc>
        <w:tc>
          <w:tcPr>
            <w:tcW w:w="989"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49" w:firstLine="0"/>
              <w:jc w:val="right"/>
            </w:pPr>
            <w:r>
              <w:rPr>
                <w:sz w:val="20"/>
              </w:rPr>
              <w:t xml:space="preserve">382,3 </w:t>
            </w:r>
          </w:p>
        </w:tc>
        <w:tc>
          <w:tcPr>
            <w:tcW w:w="989"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49" w:firstLine="0"/>
              <w:jc w:val="right"/>
            </w:pPr>
            <w:r>
              <w:rPr>
                <w:sz w:val="20"/>
              </w:rPr>
              <w:t xml:space="preserve">413,4 </w:t>
            </w:r>
          </w:p>
        </w:tc>
        <w:tc>
          <w:tcPr>
            <w:tcW w:w="992" w:type="dxa"/>
            <w:tcBorders>
              <w:top w:val="dashed" w:sz="4" w:space="0" w:color="000000"/>
              <w:left w:val="dashed" w:sz="4" w:space="0" w:color="000000"/>
              <w:bottom w:val="dashed" w:sz="4" w:space="0" w:color="000000"/>
              <w:right w:val="double" w:sz="6" w:space="0" w:color="000000"/>
            </w:tcBorders>
          </w:tcPr>
          <w:p w:rsidR="00E8309B" w:rsidRDefault="009D0949">
            <w:pPr>
              <w:spacing w:after="0" w:line="259" w:lineRule="auto"/>
              <w:ind w:left="0" w:right="52" w:firstLine="0"/>
              <w:jc w:val="right"/>
            </w:pPr>
            <w:r>
              <w:rPr>
                <w:sz w:val="20"/>
              </w:rPr>
              <w:t xml:space="preserve">439,0 </w:t>
            </w:r>
          </w:p>
        </w:tc>
      </w:tr>
      <w:tr w:rsidR="00E8309B">
        <w:trPr>
          <w:trHeight w:val="293"/>
        </w:trPr>
        <w:tc>
          <w:tcPr>
            <w:tcW w:w="6757" w:type="dxa"/>
            <w:tcBorders>
              <w:top w:val="dashed" w:sz="4" w:space="0" w:color="000000"/>
              <w:left w:val="double" w:sz="6" w:space="0" w:color="000000"/>
              <w:bottom w:val="dashed" w:sz="4" w:space="0" w:color="000000"/>
              <w:right w:val="single" w:sz="8" w:space="0" w:color="000000"/>
            </w:tcBorders>
          </w:tcPr>
          <w:p w:rsidR="00E8309B" w:rsidRDefault="009D0949">
            <w:pPr>
              <w:spacing w:after="0" w:line="259" w:lineRule="auto"/>
              <w:ind w:left="2" w:right="0" w:firstLine="0"/>
              <w:jc w:val="left"/>
            </w:pPr>
            <w:r>
              <w:rPr>
                <w:sz w:val="20"/>
              </w:rPr>
              <w:t xml:space="preserve">12c. Порези на капитал </w:t>
            </w:r>
          </w:p>
        </w:tc>
        <w:tc>
          <w:tcPr>
            <w:tcW w:w="1608" w:type="dxa"/>
            <w:tcBorders>
              <w:top w:val="dashed" w:sz="4" w:space="0" w:color="000000"/>
              <w:left w:val="single" w:sz="8" w:space="0" w:color="000000"/>
              <w:bottom w:val="dashed" w:sz="4" w:space="0" w:color="000000"/>
              <w:right w:val="single" w:sz="8" w:space="0" w:color="000000"/>
            </w:tcBorders>
          </w:tcPr>
          <w:p w:rsidR="00E8309B" w:rsidRDefault="009D0949">
            <w:pPr>
              <w:spacing w:after="0" w:line="259" w:lineRule="auto"/>
              <w:ind w:left="0" w:right="48" w:firstLine="0"/>
              <w:jc w:val="center"/>
            </w:pPr>
            <w:r>
              <w:rPr>
                <w:sz w:val="20"/>
              </w:rPr>
              <w:t xml:space="preserve">D91 </w:t>
            </w:r>
          </w:p>
        </w:tc>
        <w:tc>
          <w:tcPr>
            <w:tcW w:w="996" w:type="dxa"/>
            <w:tcBorders>
              <w:top w:val="dashed" w:sz="4" w:space="0" w:color="000000"/>
              <w:left w:val="single" w:sz="8" w:space="0" w:color="000000"/>
              <w:bottom w:val="dashed" w:sz="4" w:space="0" w:color="000000"/>
              <w:right w:val="dashed" w:sz="4" w:space="0" w:color="000000"/>
            </w:tcBorders>
          </w:tcPr>
          <w:p w:rsidR="00E8309B" w:rsidRDefault="009D0949">
            <w:pPr>
              <w:spacing w:after="0" w:line="259" w:lineRule="auto"/>
              <w:ind w:left="0" w:right="51" w:firstLine="0"/>
              <w:jc w:val="right"/>
            </w:pPr>
            <w:r>
              <w:rPr>
                <w:sz w:val="20"/>
              </w:rPr>
              <w:t xml:space="preserve">0,9 </w:t>
            </w:r>
          </w:p>
        </w:tc>
        <w:tc>
          <w:tcPr>
            <w:tcW w:w="994"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51" w:firstLine="0"/>
              <w:jc w:val="right"/>
            </w:pPr>
            <w:r>
              <w:rPr>
                <w:sz w:val="20"/>
              </w:rPr>
              <w:t xml:space="preserve">1,2 </w:t>
            </w:r>
          </w:p>
        </w:tc>
        <w:tc>
          <w:tcPr>
            <w:tcW w:w="987"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49" w:firstLine="0"/>
              <w:jc w:val="right"/>
            </w:pPr>
            <w:r>
              <w:rPr>
                <w:sz w:val="20"/>
              </w:rPr>
              <w:t xml:space="preserve">1,4 </w:t>
            </w:r>
          </w:p>
        </w:tc>
        <w:tc>
          <w:tcPr>
            <w:tcW w:w="989"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49" w:firstLine="0"/>
              <w:jc w:val="right"/>
            </w:pPr>
            <w:r>
              <w:rPr>
                <w:sz w:val="20"/>
              </w:rPr>
              <w:t xml:space="preserve">1,8 </w:t>
            </w:r>
          </w:p>
        </w:tc>
        <w:tc>
          <w:tcPr>
            <w:tcW w:w="989"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49" w:firstLine="0"/>
              <w:jc w:val="right"/>
            </w:pPr>
            <w:r>
              <w:rPr>
                <w:sz w:val="20"/>
              </w:rPr>
              <w:t xml:space="preserve">2,2 </w:t>
            </w:r>
          </w:p>
        </w:tc>
        <w:tc>
          <w:tcPr>
            <w:tcW w:w="992" w:type="dxa"/>
            <w:tcBorders>
              <w:top w:val="dashed" w:sz="4" w:space="0" w:color="000000"/>
              <w:left w:val="dashed" w:sz="4" w:space="0" w:color="000000"/>
              <w:bottom w:val="dashed" w:sz="4" w:space="0" w:color="000000"/>
              <w:right w:val="double" w:sz="6" w:space="0" w:color="000000"/>
            </w:tcBorders>
          </w:tcPr>
          <w:p w:rsidR="00E8309B" w:rsidRDefault="009D0949">
            <w:pPr>
              <w:spacing w:after="0" w:line="259" w:lineRule="auto"/>
              <w:ind w:left="0" w:right="51" w:firstLine="0"/>
              <w:jc w:val="right"/>
            </w:pPr>
            <w:r>
              <w:rPr>
                <w:sz w:val="20"/>
              </w:rPr>
              <w:t xml:space="preserve">2,7 </w:t>
            </w:r>
          </w:p>
        </w:tc>
      </w:tr>
      <w:tr w:rsidR="00E8309B">
        <w:trPr>
          <w:trHeight w:val="293"/>
        </w:trPr>
        <w:tc>
          <w:tcPr>
            <w:tcW w:w="6757" w:type="dxa"/>
            <w:tcBorders>
              <w:top w:val="dashed" w:sz="4" w:space="0" w:color="000000"/>
              <w:left w:val="double" w:sz="6" w:space="0" w:color="000000"/>
              <w:bottom w:val="dashed" w:sz="4" w:space="0" w:color="000000"/>
              <w:right w:val="single" w:sz="8" w:space="0" w:color="000000"/>
            </w:tcBorders>
          </w:tcPr>
          <w:p w:rsidR="00E8309B" w:rsidRDefault="009D0949">
            <w:pPr>
              <w:spacing w:after="0" w:line="259" w:lineRule="auto"/>
              <w:ind w:left="2" w:right="0" w:firstLine="0"/>
              <w:jc w:val="left"/>
            </w:pPr>
            <w:r>
              <w:rPr>
                <w:sz w:val="20"/>
              </w:rPr>
              <w:t xml:space="preserve">13. Доприноси за социјално осигурање </w:t>
            </w:r>
          </w:p>
        </w:tc>
        <w:tc>
          <w:tcPr>
            <w:tcW w:w="1608" w:type="dxa"/>
            <w:tcBorders>
              <w:top w:val="dashed" w:sz="4" w:space="0" w:color="000000"/>
              <w:left w:val="single" w:sz="8" w:space="0" w:color="000000"/>
              <w:bottom w:val="dashed" w:sz="4" w:space="0" w:color="000000"/>
              <w:right w:val="single" w:sz="8" w:space="0" w:color="000000"/>
            </w:tcBorders>
          </w:tcPr>
          <w:p w:rsidR="00E8309B" w:rsidRDefault="009D0949">
            <w:pPr>
              <w:spacing w:after="0" w:line="259" w:lineRule="auto"/>
              <w:ind w:left="0" w:right="48" w:firstLine="0"/>
              <w:jc w:val="center"/>
            </w:pPr>
            <w:r>
              <w:rPr>
                <w:sz w:val="20"/>
              </w:rPr>
              <w:t xml:space="preserve">D61 </w:t>
            </w:r>
          </w:p>
        </w:tc>
        <w:tc>
          <w:tcPr>
            <w:tcW w:w="996" w:type="dxa"/>
            <w:tcBorders>
              <w:top w:val="dashed" w:sz="4" w:space="0" w:color="000000"/>
              <w:left w:val="single" w:sz="8" w:space="0" w:color="000000"/>
              <w:bottom w:val="dashed" w:sz="4" w:space="0" w:color="000000"/>
              <w:right w:val="dashed" w:sz="4" w:space="0" w:color="000000"/>
            </w:tcBorders>
          </w:tcPr>
          <w:p w:rsidR="00E8309B" w:rsidRDefault="009D0949">
            <w:pPr>
              <w:spacing w:after="0" w:line="259" w:lineRule="auto"/>
              <w:ind w:left="0" w:right="52" w:firstLine="0"/>
              <w:jc w:val="right"/>
            </w:pPr>
            <w:r>
              <w:rPr>
                <w:sz w:val="20"/>
              </w:rPr>
              <w:t xml:space="preserve">619,7 </w:t>
            </w:r>
          </w:p>
        </w:tc>
        <w:tc>
          <w:tcPr>
            <w:tcW w:w="994"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52" w:firstLine="0"/>
              <w:jc w:val="right"/>
            </w:pPr>
            <w:r>
              <w:rPr>
                <w:sz w:val="20"/>
              </w:rPr>
              <w:t xml:space="preserve">675,9 </w:t>
            </w:r>
          </w:p>
        </w:tc>
        <w:tc>
          <w:tcPr>
            <w:tcW w:w="987"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49" w:firstLine="0"/>
              <w:jc w:val="right"/>
            </w:pPr>
            <w:r>
              <w:rPr>
                <w:sz w:val="20"/>
              </w:rPr>
              <w:t xml:space="preserve">673,1 </w:t>
            </w:r>
          </w:p>
        </w:tc>
        <w:tc>
          <w:tcPr>
            <w:tcW w:w="989"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49" w:firstLine="0"/>
              <w:jc w:val="right"/>
            </w:pPr>
            <w:r>
              <w:rPr>
                <w:sz w:val="20"/>
              </w:rPr>
              <w:t xml:space="preserve">784,5 </w:t>
            </w:r>
          </w:p>
        </w:tc>
        <w:tc>
          <w:tcPr>
            <w:tcW w:w="989"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49" w:firstLine="0"/>
              <w:jc w:val="right"/>
            </w:pPr>
            <w:r>
              <w:rPr>
                <w:sz w:val="20"/>
              </w:rPr>
              <w:t xml:space="preserve">848,8 </w:t>
            </w:r>
          </w:p>
        </w:tc>
        <w:tc>
          <w:tcPr>
            <w:tcW w:w="992" w:type="dxa"/>
            <w:tcBorders>
              <w:top w:val="dashed" w:sz="4" w:space="0" w:color="000000"/>
              <w:left w:val="dashed" w:sz="4" w:space="0" w:color="000000"/>
              <w:bottom w:val="dashed" w:sz="4" w:space="0" w:color="000000"/>
              <w:right w:val="double" w:sz="6" w:space="0" w:color="000000"/>
            </w:tcBorders>
          </w:tcPr>
          <w:p w:rsidR="00E8309B" w:rsidRDefault="009D0949">
            <w:pPr>
              <w:spacing w:after="0" w:line="259" w:lineRule="auto"/>
              <w:ind w:left="0" w:right="52" w:firstLine="0"/>
              <w:jc w:val="right"/>
            </w:pPr>
            <w:r>
              <w:rPr>
                <w:sz w:val="20"/>
              </w:rPr>
              <w:t xml:space="preserve">882,7 </w:t>
            </w:r>
          </w:p>
        </w:tc>
      </w:tr>
      <w:tr w:rsidR="00E8309B">
        <w:trPr>
          <w:trHeight w:val="293"/>
        </w:trPr>
        <w:tc>
          <w:tcPr>
            <w:tcW w:w="6757" w:type="dxa"/>
            <w:tcBorders>
              <w:top w:val="dashed" w:sz="4" w:space="0" w:color="000000"/>
              <w:left w:val="double" w:sz="6" w:space="0" w:color="000000"/>
              <w:bottom w:val="dashed" w:sz="4" w:space="0" w:color="000000"/>
              <w:right w:val="single" w:sz="8" w:space="0" w:color="000000"/>
            </w:tcBorders>
          </w:tcPr>
          <w:p w:rsidR="00E8309B" w:rsidRDefault="009D0949">
            <w:pPr>
              <w:spacing w:after="0" w:line="259" w:lineRule="auto"/>
              <w:ind w:left="2" w:right="0" w:firstLine="0"/>
              <w:jc w:val="left"/>
            </w:pPr>
            <w:r>
              <w:rPr>
                <w:sz w:val="20"/>
              </w:rPr>
              <w:t xml:space="preserve">14. Приходи од имовине </w:t>
            </w:r>
          </w:p>
        </w:tc>
        <w:tc>
          <w:tcPr>
            <w:tcW w:w="1608" w:type="dxa"/>
            <w:tcBorders>
              <w:top w:val="dashed" w:sz="4" w:space="0" w:color="000000"/>
              <w:left w:val="single" w:sz="8" w:space="0" w:color="000000"/>
              <w:bottom w:val="dashed" w:sz="4" w:space="0" w:color="000000"/>
              <w:right w:val="single" w:sz="8" w:space="0" w:color="000000"/>
            </w:tcBorders>
          </w:tcPr>
          <w:p w:rsidR="00E8309B" w:rsidRDefault="009D0949">
            <w:pPr>
              <w:spacing w:after="0" w:line="259" w:lineRule="auto"/>
              <w:ind w:left="0" w:right="48" w:firstLine="0"/>
              <w:jc w:val="center"/>
            </w:pPr>
            <w:r>
              <w:rPr>
                <w:sz w:val="20"/>
              </w:rPr>
              <w:t xml:space="preserve">D4 </w:t>
            </w:r>
          </w:p>
          <w:p w:rsidR="00E8309B" w:rsidRDefault="009D0949">
            <w:pPr>
              <w:spacing w:after="0" w:line="259" w:lineRule="auto"/>
              <w:ind w:left="3" w:right="0" w:firstLine="0"/>
              <w:jc w:val="center"/>
            </w:pPr>
            <w:r>
              <w:rPr>
                <w:sz w:val="20"/>
              </w:rPr>
              <w:t xml:space="preserve"> </w:t>
            </w:r>
          </w:p>
        </w:tc>
        <w:tc>
          <w:tcPr>
            <w:tcW w:w="996" w:type="dxa"/>
            <w:tcBorders>
              <w:top w:val="dashed" w:sz="4" w:space="0" w:color="000000"/>
              <w:left w:val="single" w:sz="8" w:space="0" w:color="000000"/>
              <w:bottom w:val="dashed" w:sz="4" w:space="0" w:color="000000"/>
              <w:right w:val="dashed" w:sz="4" w:space="0" w:color="000000"/>
            </w:tcBorders>
          </w:tcPr>
          <w:p w:rsidR="00E8309B" w:rsidRDefault="009D0949">
            <w:pPr>
              <w:spacing w:after="0" w:line="259" w:lineRule="auto"/>
              <w:ind w:left="0" w:right="52" w:firstLine="0"/>
              <w:jc w:val="right"/>
            </w:pPr>
            <w:r>
              <w:rPr>
                <w:sz w:val="20"/>
              </w:rPr>
              <w:t xml:space="preserve">73,1 </w:t>
            </w:r>
          </w:p>
        </w:tc>
        <w:tc>
          <w:tcPr>
            <w:tcW w:w="994"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52" w:firstLine="0"/>
              <w:jc w:val="right"/>
            </w:pPr>
            <w:r>
              <w:rPr>
                <w:sz w:val="20"/>
              </w:rPr>
              <w:t xml:space="preserve">68,8 </w:t>
            </w:r>
          </w:p>
        </w:tc>
        <w:tc>
          <w:tcPr>
            <w:tcW w:w="987"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49" w:firstLine="0"/>
              <w:jc w:val="right"/>
            </w:pPr>
            <w:r>
              <w:rPr>
                <w:sz w:val="20"/>
              </w:rPr>
              <w:t xml:space="preserve">77,6 </w:t>
            </w:r>
          </w:p>
        </w:tc>
        <w:tc>
          <w:tcPr>
            <w:tcW w:w="989"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49" w:firstLine="0"/>
              <w:jc w:val="right"/>
            </w:pPr>
            <w:r>
              <w:rPr>
                <w:sz w:val="20"/>
              </w:rPr>
              <w:t xml:space="preserve">75,8 </w:t>
            </w:r>
          </w:p>
        </w:tc>
        <w:tc>
          <w:tcPr>
            <w:tcW w:w="989"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49" w:firstLine="0"/>
              <w:jc w:val="right"/>
            </w:pPr>
            <w:r>
              <w:rPr>
                <w:sz w:val="20"/>
              </w:rPr>
              <w:t xml:space="preserve">78,5 </w:t>
            </w:r>
          </w:p>
        </w:tc>
        <w:tc>
          <w:tcPr>
            <w:tcW w:w="992" w:type="dxa"/>
            <w:tcBorders>
              <w:top w:val="dashed" w:sz="4" w:space="0" w:color="000000"/>
              <w:left w:val="dashed" w:sz="4" w:space="0" w:color="000000"/>
              <w:bottom w:val="dashed" w:sz="4" w:space="0" w:color="000000"/>
              <w:right w:val="double" w:sz="6" w:space="0" w:color="000000"/>
            </w:tcBorders>
          </w:tcPr>
          <w:p w:rsidR="00E8309B" w:rsidRDefault="009D0949">
            <w:pPr>
              <w:spacing w:after="0" w:line="259" w:lineRule="auto"/>
              <w:ind w:left="0" w:right="52" w:firstLine="0"/>
              <w:jc w:val="right"/>
            </w:pPr>
            <w:r>
              <w:rPr>
                <w:sz w:val="20"/>
              </w:rPr>
              <w:t xml:space="preserve">81,3 </w:t>
            </w:r>
          </w:p>
        </w:tc>
      </w:tr>
      <w:tr w:rsidR="00E8309B">
        <w:trPr>
          <w:trHeight w:val="295"/>
        </w:trPr>
        <w:tc>
          <w:tcPr>
            <w:tcW w:w="6757" w:type="dxa"/>
            <w:tcBorders>
              <w:top w:val="dashed" w:sz="4" w:space="0" w:color="000000"/>
              <w:left w:val="double" w:sz="6" w:space="0" w:color="000000"/>
              <w:bottom w:val="dashed" w:sz="4" w:space="0" w:color="000000"/>
              <w:right w:val="single" w:sz="8" w:space="0" w:color="000000"/>
            </w:tcBorders>
          </w:tcPr>
          <w:p w:rsidR="00E8309B" w:rsidRDefault="009D0949">
            <w:pPr>
              <w:spacing w:after="0" w:line="259" w:lineRule="auto"/>
              <w:ind w:left="2" w:right="0" w:firstLine="0"/>
              <w:jc w:val="left"/>
            </w:pPr>
            <w:r>
              <w:rPr>
                <w:sz w:val="20"/>
              </w:rPr>
              <w:t xml:space="preserve">15. Друго (15 = 16-(12+13+14)) [4] </w:t>
            </w:r>
          </w:p>
        </w:tc>
        <w:tc>
          <w:tcPr>
            <w:tcW w:w="1608" w:type="dxa"/>
            <w:tcBorders>
              <w:top w:val="dashed" w:sz="4" w:space="0" w:color="000000"/>
              <w:left w:val="single" w:sz="8" w:space="0" w:color="000000"/>
              <w:bottom w:val="dashed" w:sz="4" w:space="0" w:color="000000"/>
              <w:right w:val="single" w:sz="8" w:space="0" w:color="000000"/>
            </w:tcBorders>
          </w:tcPr>
          <w:p w:rsidR="00E8309B" w:rsidRDefault="00E8309B">
            <w:pPr>
              <w:spacing w:after="160" w:line="259" w:lineRule="auto"/>
              <w:ind w:left="0" w:right="0" w:firstLine="0"/>
              <w:jc w:val="left"/>
            </w:pPr>
          </w:p>
        </w:tc>
        <w:tc>
          <w:tcPr>
            <w:tcW w:w="996" w:type="dxa"/>
            <w:tcBorders>
              <w:top w:val="dashed" w:sz="4" w:space="0" w:color="000000"/>
              <w:left w:val="single" w:sz="8" w:space="0" w:color="000000"/>
              <w:bottom w:val="dashed" w:sz="4" w:space="0" w:color="000000"/>
              <w:right w:val="dashed" w:sz="4" w:space="0" w:color="000000"/>
            </w:tcBorders>
          </w:tcPr>
          <w:p w:rsidR="00E8309B" w:rsidRDefault="009D0949">
            <w:pPr>
              <w:spacing w:after="0" w:line="259" w:lineRule="auto"/>
              <w:ind w:left="0" w:right="52" w:firstLine="0"/>
              <w:jc w:val="right"/>
            </w:pPr>
            <w:r>
              <w:rPr>
                <w:sz w:val="20"/>
              </w:rPr>
              <w:t xml:space="preserve">209,9 </w:t>
            </w:r>
          </w:p>
        </w:tc>
        <w:tc>
          <w:tcPr>
            <w:tcW w:w="994"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52" w:firstLine="0"/>
              <w:jc w:val="right"/>
            </w:pPr>
            <w:r>
              <w:rPr>
                <w:sz w:val="20"/>
              </w:rPr>
              <w:t xml:space="preserve">216,1 </w:t>
            </w:r>
          </w:p>
        </w:tc>
        <w:tc>
          <w:tcPr>
            <w:tcW w:w="987"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49" w:firstLine="0"/>
              <w:jc w:val="right"/>
            </w:pPr>
            <w:r>
              <w:rPr>
                <w:sz w:val="20"/>
              </w:rPr>
              <w:t xml:space="preserve">170,6 </w:t>
            </w:r>
          </w:p>
        </w:tc>
        <w:tc>
          <w:tcPr>
            <w:tcW w:w="989"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49" w:firstLine="0"/>
              <w:jc w:val="right"/>
            </w:pPr>
            <w:r>
              <w:rPr>
                <w:sz w:val="20"/>
              </w:rPr>
              <w:t xml:space="preserve">177,1 </w:t>
            </w:r>
          </w:p>
        </w:tc>
        <w:tc>
          <w:tcPr>
            <w:tcW w:w="989"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49" w:firstLine="0"/>
              <w:jc w:val="right"/>
            </w:pPr>
            <w:r>
              <w:rPr>
                <w:sz w:val="20"/>
              </w:rPr>
              <w:t xml:space="preserve">189,0 </w:t>
            </w:r>
          </w:p>
        </w:tc>
        <w:tc>
          <w:tcPr>
            <w:tcW w:w="992" w:type="dxa"/>
            <w:tcBorders>
              <w:top w:val="dashed" w:sz="4" w:space="0" w:color="000000"/>
              <w:left w:val="dashed" w:sz="4" w:space="0" w:color="000000"/>
              <w:bottom w:val="dashed" w:sz="4" w:space="0" w:color="000000"/>
              <w:right w:val="double" w:sz="6" w:space="0" w:color="000000"/>
            </w:tcBorders>
          </w:tcPr>
          <w:p w:rsidR="00E8309B" w:rsidRDefault="009D0949">
            <w:pPr>
              <w:spacing w:after="0" w:line="259" w:lineRule="auto"/>
              <w:ind w:left="0" w:right="52" w:firstLine="0"/>
              <w:jc w:val="right"/>
            </w:pPr>
            <w:r>
              <w:rPr>
                <w:sz w:val="20"/>
              </w:rPr>
              <w:t xml:space="preserve">204,0 </w:t>
            </w:r>
          </w:p>
        </w:tc>
      </w:tr>
      <w:tr w:rsidR="00E8309B">
        <w:trPr>
          <w:trHeight w:val="293"/>
        </w:trPr>
        <w:tc>
          <w:tcPr>
            <w:tcW w:w="6757" w:type="dxa"/>
            <w:tcBorders>
              <w:top w:val="dashed" w:sz="4" w:space="0" w:color="000000"/>
              <w:left w:val="double" w:sz="6" w:space="0" w:color="000000"/>
              <w:bottom w:val="dashed" w:sz="4" w:space="0" w:color="000000"/>
              <w:right w:val="single" w:sz="8" w:space="0" w:color="000000"/>
            </w:tcBorders>
          </w:tcPr>
          <w:p w:rsidR="00E8309B" w:rsidRDefault="009D0949">
            <w:pPr>
              <w:spacing w:after="0" w:line="259" w:lineRule="auto"/>
              <w:ind w:left="2" w:right="0" w:firstLine="0"/>
              <w:jc w:val="left"/>
            </w:pPr>
            <w:r>
              <w:rPr>
                <w:sz w:val="20"/>
              </w:rPr>
              <w:t xml:space="preserve">16 = 6. Укупни приходи </w:t>
            </w:r>
          </w:p>
        </w:tc>
        <w:tc>
          <w:tcPr>
            <w:tcW w:w="1608" w:type="dxa"/>
            <w:tcBorders>
              <w:top w:val="dashed" w:sz="4" w:space="0" w:color="000000"/>
              <w:left w:val="single" w:sz="8" w:space="0" w:color="000000"/>
              <w:bottom w:val="dashed" w:sz="4" w:space="0" w:color="000000"/>
              <w:right w:val="single" w:sz="8" w:space="0" w:color="000000"/>
            </w:tcBorders>
          </w:tcPr>
          <w:p w:rsidR="00E8309B" w:rsidRDefault="009D0949">
            <w:pPr>
              <w:spacing w:after="0" w:line="259" w:lineRule="auto"/>
              <w:ind w:left="0" w:right="44" w:firstLine="0"/>
              <w:jc w:val="center"/>
            </w:pPr>
            <w:r>
              <w:rPr>
                <w:sz w:val="20"/>
              </w:rPr>
              <w:t xml:space="preserve">TR </w:t>
            </w:r>
          </w:p>
          <w:p w:rsidR="00E8309B" w:rsidRDefault="009D0949">
            <w:pPr>
              <w:spacing w:after="0" w:line="259" w:lineRule="auto"/>
              <w:ind w:left="3" w:right="0" w:firstLine="0"/>
              <w:jc w:val="center"/>
            </w:pPr>
            <w:r>
              <w:rPr>
                <w:sz w:val="20"/>
              </w:rPr>
              <w:t xml:space="preserve"> </w:t>
            </w:r>
          </w:p>
        </w:tc>
        <w:tc>
          <w:tcPr>
            <w:tcW w:w="996" w:type="dxa"/>
            <w:tcBorders>
              <w:top w:val="dashed" w:sz="4" w:space="0" w:color="000000"/>
              <w:left w:val="single" w:sz="8" w:space="0" w:color="000000"/>
              <w:bottom w:val="dashed" w:sz="4" w:space="0" w:color="000000"/>
              <w:right w:val="dashed" w:sz="4" w:space="0" w:color="000000"/>
            </w:tcBorders>
          </w:tcPr>
          <w:p w:rsidR="00E8309B" w:rsidRDefault="009D0949">
            <w:pPr>
              <w:spacing w:after="0" w:line="259" w:lineRule="auto"/>
              <w:ind w:left="0" w:right="52" w:firstLine="0"/>
              <w:jc w:val="right"/>
            </w:pPr>
            <w:r>
              <w:rPr>
                <w:sz w:val="20"/>
              </w:rPr>
              <w:t xml:space="preserve">2.105,3 </w:t>
            </w:r>
          </w:p>
        </w:tc>
        <w:tc>
          <w:tcPr>
            <w:tcW w:w="994"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52" w:firstLine="0"/>
              <w:jc w:val="right"/>
            </w:pPr>
            <w:r>
              <w:rPr>
                <w:sz w:val="20"/>
              </w:rPr>
              <w:t xml:space="preserve">2.278,6 </w:t>
            </w:r>
          </w:p>
        </w:tc>
        <w:tc>
          <w:tcPr>
            <w:tcW w:w="987"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50" w:firstLine="0"/>
              <w:jc w:val="right"/>
            </w:pPr>
            <w:r>
              <w:rPr>
                <w:sz w:val="20"/>
              </w:rPr>
              <w:t xml:space="preserve">2.223,5 </w:t>
            </w:r>
          </w:p>
        </w:tc>
        <w:tc>
          <w:tcPr>
            <w:tcW w:w="989"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50" w:firstLine="0"/>
              <w:jc w:val="right"/>
            </w:pPr>
            <w:r>
              <w:rPr>
                <w:sz w:val="20"/>
              </w:rPr>
              <w:t xml:space="preserve">2.423,9 </w:t>
            </w:r>
          </w:p>
        </w:tc>
        <w:tc>
          <w:tcPr>
            <w:tcW w:w="989"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50" w:firstLine="0"/>
              <w:jc w:val="right"/>
            </w:pPr>
            <w:r>
              <w:rPr>
                <w:sz w:val="20"/>
              </w:rPr>
              <w:t xml:space="preserve">2.593,3 </w:t>
            </w:r>
          </w:p>
        </w:tc>
        <w:tc>
          <w:tcPr>
            <w:tcW w:w="992" w:type="dxa"/>
            <w:tcBorders>
              <w:top w:val="dashed" w:sz="4" w:space="0" w:color="000000"/>
              <w:left w:val="dashed" w:sz="4" w:space="0" w:color="000000"/>
              <w:bottom w:val="dashed" w:sz="4" w:space="0" w:color="000000"/>
              <w:right w:val="double" w:sz="6" w:space="0" w:color="000000"/>
            </w:tcBorders>
          </w:tcPr>
          <w:p w:rsidR="00E8309B" w:rsidRDefault="009D0949">
            <w:pPr>
              <w:spacing w:after="0" w:line="259" w:lineRule="auto"/>
              <w:ind w:left="0" w:right="52" w:firstLine="0"/>
              <w:jc w:val="right"/>
            </w:pPr>
            <w:r>
              <w:rPr>
                <w:sz w:val="20"/>
              </w:rPr>
              <w:t xml:space="preserve">2.728,1 </w:t>
            </w:r>
          </w:p>
        </w:tc>
      </w:tr>
      <w:tr w:rsidR="00E8309B">
        <w:trPr>
          <w:trHeight w:val="318"/>
        </w:trPr>
        <w:tc>
          <w:tcPr>
            <w:tcW w:w="6757" w:type="dxa"/>
            <w:tcBorders>
              <w:top w:val="dashed" w:sz="4" w:space="0" w:color="000000"/>
              <w:left w:val="double" w:sz="6" w:space="0" w:color="000000"/>
              <w:bottom w:val="single" w:sz="8" w:space="0" w:color="000000"/>
              <w:right w:val="single" w:sz="8" w:space="0" w:color="000000"/>
            </w:tcBorders>
          </w:tcPr>
          <w:p w:rsidR="00E8309B" w:rsidRDefault="009D0949">
            <w:pPr>
              <w:spacing w:after="0" w:line="259" w:lineRule="auto"/>
              <w:ind w:left="2" w:right="0" w:firstLine="0"/>
              <w:jc w:val="left"/>
            </w:pPr>
            <w:r>
              <w:rPr>
                <w:sz w:val="20"/>
              </w:rPr>
              <w:t xml:space="preserve">информативно: Пореско оптерећење (D2+D5+D61+D91-D995) [5] </w:t>
            </w:r>
          </w:p>
        </w:tc>
        <w:tc>
          <w:tcPr>
            <w:tcW w:w="1608" w:type="dxa"/>
            <w:tcBorders>
              <w:top w:val="dashed" w:sz="4" w:space="0" w:color="000000"/>
              <w:left w:val="single" w:sz="8" w:space="0" w:color="000000"/>
              <w:bottom w:val="single" w:sz="4" w:space="0" w:color="000000"/>
              <w:right w:val="single" w:sz="8" w:space="0" w:color="000000"/>
            </w:tcBorders>
            <w:vAlign w:val="bottom"/>
          </w:tcPr>
          <w:p w:rsidR="00E8309B" w:rsidRDefault="009D0949">
            <w:pPr>
              <w:spacing w:after="0" w:line="259" w:lineRule="auto"/>
              <w:ind w:left="3" w:right="0" w:firstLine="0"/>
              <w:jc w:val="center"/>
            </w:pPr>
            <w:r>
              <w:rPr>
                <w:sz w:val="20"/>
              </w:rPr>
              <w:t xml:space="preserve"> </w:t>
            </w:r>
          </w:p>
        </w:tc>
        <w:tc>
          <w:tcPr>
            <w:tcW w:w="996" w:type="dxa"/>
            <w:tcBorders>
              <w:top w:val="dashed" w:sz="4" w:space="0" w:color="000000"/>
              <w:left w:val="single" w:sz="8" w:space="0" w:color="000000"/>
              <w:bottom w:val="single" w:sz="4" w:space="0" w:color="000000"/>
              <w:right w:val="dashed" w:sz="4" w:space="0" w:color="000000"/>
            </w:tcBorders>
          </w:tcPr>
          <w:p w:rsidR="00E8309B" w:rsidRDefault="009D0949">
            <w:pPr>
              <w:spacing w:after="0" w:line="259" w:lineRule="auto"/>
              <w:ind w:left="0" w:right="52" w:firstLine="0"/>
              <w:jc w:val="right"/>
            </w:pPr>
            <w:r>
              <w:rPr>
                <w:sz w:val="20"/>
              </w:rPr>
              <w:t xml:space="preserve">1.822,2 </w:t>
            </w:r>
          </w:p>
        </w:tc>
        <w:tc>
          <w:tcPr>
            <w:tcW w:w="994" w:type="dxa"/>
            <w:tcBorders>
              <w:top w:val="dashed" w:sz="4" w:space="0" w:color="000000"/>
              <w:left w:val="dashed" w:sz="4" w:space="0" w:color="000000"/>
              <w:bottom w:val="single" w:sz="4" w:space="0" w:color="000000"/>
              <w:right w:val="dashed" w:sz="4" w:space="0" w:color="000000"/>
            </w:tcBorders>
          </w:tcPr>
          <w:p w:rsidR="00E8309B" w:rsidRDefault="009D0949">
            <w:pPr>
              <w:spacing w:after="0" w:line="259" w:lineRule="auto"/>
              <w:ind w:left="0" w:right="52" w:firstLine="0"/>
              <w:jc w:val="right"/>
            </w:pPr>
            <w:r>
              <w:rPr>
                <w:sz w:val="20"/>
              </w:rPr>
              <w:t xml:space="preserve">1.993,7 </w:t>
            </w:r>
          </w:p>
        </w:tc>
        <w:tc>
          <w:tcPr>
            <w:tcW w:w="987" w:type="dxa"/>
            <w:tcBorders>
              <w:top w:val="dashed" w:sz="4" w:space="0" w:color="000000"/>
              <w:left w:val="dashed" w:sz="4" w:space="0" w:color="000000"/>
              <w:bottom w:val="single" w:sz="4" w:space="0" w:color="000000"/>
              <w:right w:val="dashed" w:sz="4" w:space="0" w:color="000000"/>
            </w:tcBorders>
          </w:tcPr>
          <w:p w:rsidR="00E8309B" w:rsidRDefault="009D0949">
            <w:pPr>
              <w:spacing w:after="0" w:line="259" w:lineRule="auto"/>
              <w:ind w:left="0" w:right="50" w:firstLine="0"/>
              <w:jc w:val="right"/>
            </w:pPr>
            <w:r>
              <w:rPr>
                <w:sz w:val="20"/>
              </w:rPr>
              <w:t xml:space="preserve">1.975,4 </w:t>
            </w:r>
          </w:p>
        </w:tc>
        <w:tc>
          <w:tcPr>
            <w:tcW w:w="989" w:type="dxa"/>
            <w:tcBorders>
              <w:top w:val="dashed" w:sz="4" w:space="0" w:color="000000"/>
              <w:left w:val="dashed" w:sz="4" w:space="0" w:color="000000"/>
              <w:bottom w:val="single" w:sz="4" w:space="0" w:color="000000"/>
              <w:right w:val="dashed" w:sz="4" w:space="0" w:color="000000"/>
            </w:tcBorders>
          </w:tcPr>
          <w:p w:rsidR="00E8309B" w:rsidRDefault="009D0949">
            <w:pPr>
              <w:spacing w:after="0" w:line="259" w:lineRule="auto"/>
              <w:ind w:left="0" w:right="50" w:firstLine="0"/>
              <w:jc w:val="right"/>
            </w:pPr>
            <w:r>
              <w:rPr>
                <w:sz w:val="20"/>
              </w:rPr>
              <w:t xml:space="preserve">2.171,1 </w:t>
            </w:r>
          </w:p>
        </w:tc>
        <w:tc>
          <w:tcPr>
            <w:tcW w:w="989" w:type="dxa"/>
            <w:tcBorders>
              <w:top w:val="dashed" w:sz="4" w:space="0" w:color="000000"/>
              <w:left w:val="dashed" w:sz="4" w:space="0" w:color="000000"/>
              <w:bottom w:val="single" w:sz="4" w:space="0" w:color="000000"/>
              <w:right w:val="dashed" w:sz="4" w:space="0" w:color="000000"/>
            </w:tcBorders>
          </w:tcPr>
          <w:p w:rsidR="00E8309B" w:rsidRDefault="009D0949">
            <w:pPr>
              <w:spacing w:after="0" w:line="259" w:lineRule="auto"/>
              <w:ind w:left="0" w:right="50" w:firstLine="0"/>
              <w:jc w:val="right"/>
            </w:pPr>
            <w:r>
              <w:rPr>
                <w:sz w:val="20"/>
              </w:rPr>
              <w:t xml:space="preserve">2.325,8 </w:t>
            </w:r>
          </w:p>
        </w:tc>
        <w:tc>
          <w:tcPr>
            <w:tcW w:w="992" w:type="dxa"/>
            <w:tcBorders>
              <w:top w:val="dashed" w:sz="4" w:space="0" w:color="000000"/>
              <w:left w:val="dashed" w:sz="4" w:space="0" w:color="000000"/>
              <w:bottom w:val="single" w:sz="4" w:space="0" w:color="000000"/>
              <w:right w:val="double" w:sz="6" w:space="0" w:color="000000"/>
            </w:tcBorders>
          </w:tcPr>
          <w:p w:rsidR="00E8309B" w:rsidRDefault="009D0949">
            <w:pPr>
              <w:spacing w:after="0" w:line="259" w:lineRule="auto"/>
              <w:ind w:left="0" w:right="52" w:firstLine="0"/>
              <w:jc w:val="right"/>
            </w:pPr>
            <w:r>
              <w:rPr>
                <w:sz w:val="20"/>
              </w:rPr>
              <w:t xml:space="preserve">2.442,8 </w:t>
            </w:r>
          </w:p>
        </w:tc>
      </w:tr>
      <w:tr w:rsidR="00E8309B">
        <w:trPr>
          <w:trHeight w:val="299"/>
        </w:trPr>
        <w:tc>
          <w:tcPr>
            <w:tcW w:w="6757" w:type="dxa"/>
            <w:tcBorders>
              <w:top w:val="single" w:sz="8" w:space="0" w:color="000000"/>
              <w:left w:val="double" w:sz="6" w:space="0" w:color="000000"/>
              <w:bottom w:val="single" w:sz="4" w:space="0" w:color="000000"/>
              <w:right w:val="single" w:sz="8" w:space="0" w:color="000000"/>
            </w:tcBorders>
          </w:tcPr>
          <w:p w:rsidR="00E8309B" w:rsidRDefault="009D0949">
            <w:pPr>
              <w:spacing w:after="0" w:line="259" w:lineRule="auto"/>
              <w:ind w:left="2" w:right="0" w:firstLine="0"/>
              <w:jc w:val="left"/>
            </w:pPr>
            <w:r>
              <w:rPr>
                <w:b/>
                <w:sz w:val="20"/>
              </w:rPr>
              <w:t xml:space="preserve">Изабране компоненте расхода </w:t>
            </w:r>
          </w:p>
        </w:tc>
        <w:tc>
          <w:tcPr>
            <w:tcW w:w="1608" w:type="dxa"/>
            <w:tcBorders>
              <w:top w:val="single" w:sz="4" w:space="0" w:color="000000"/>
              <w:left w:val="single" w:sz="8" w:space="0" w:color="000000"/>
              <w:bottom w:val="single" w:sz="4" w:space="0" w:color="000000"/>
              <w:right w:val="single" w:sz="8" w:space="0" w:color="000000"/>
            </w:tcBorders>
          </w:tcPr>
          <w:p w:rsidR="00E8309B" w:rsidRDefault="00E8309B">
            <w:pPr>
              <w:spacing w:after="160" w:line="259" w:lineRule="auto"/>
              <w:ind w:left="0" w:right="0" w:firstLine="0"/>
              <w:jc w:val="left"/>
            </w:pPr>
          </w:p>
        </w:tc>
        <w:tc>
          <w:tcPr>
            <w:tcW w:w="996" w:type="dxa"/>
            <w:tcBorders>
              <w:top w:val="single" w:sz="4" w:space="0" w:color="000000"/>
              <w:left w:val="single" w:sz="8" w:space="0" w:color="000000"/>
              <w:bottom w:val="single" w:sz="4" w:space="0" w:color="000000"/>
              <w:right w:val="nil"/>
            </w:tcBorders>
          </w:tcPr>
          <w:p w:rsidR="00E8309B" w:rsidRDefault="009D0949">
            <w:pPr>
              <w:spacing w:after="0" w:line="259" w:lineRule="auto"/>
              <w:ind w:left="0" w:right="2" w:firstLine="0"/>
              <w:jc w:val="right"/>
            </w:pPr>
            <w:r>
              <w:rPr>
                <w:sz w:val="20"/>
              </w:rPr>
              <w:t xml:space="preserve"> </w:t>
            </w:r>
          </w:p>
        </w:tc>
        <w:tc>
          <w:tcPr>
            <w:tcW w:w="994" w:type="dxa"/>
            <w:tcBorders>
              <w:top w:val="single" w:sz="4" w:space="0" w:color="000000"/>
              <w:left w:val="nil"/>
              <w:bottom w:val="single" w:sz="4" w:space="0" w:color="000000"/>
              <w:right w:val="nil"/>
            </w:tcBorders>
          </w:tcPr>
          <w:p w:rsidR="00E8309B" w:rsidRDefault="009D0949">
            <w:pPr>
              <w:spacing w:after="0" w:line="259" w:lineRule="auto"/>
              <w:ind w:left="0" w:right="2" w:firstLine="0"/>
              <w:jc w:val="right"/>
            </w:pPr>
            <w:r>
              <w:rPr>
                <w:sz w:val="20"/>
              </w:rPr>
              <w:t xml:space="preserve"> </w:t>
            </w:r>
          </w:p>
        </w:tc>
        <w:tc>
          <w:tcPr>
            <w:tcW w:w="987" w:type="dxa"/>
            <w:tcBorders>
              <w:top w:val="single" w:sz="4" w:space="0" w:color="000000"/>
              <w:left w:val="nil"/>
              <w:bottom w:val="single" w:sz="4" w:space="0" w:color="000000"/>
              <w:right w:val="nil"/>
            </w:tcBorders>
          </w:tcPr>
          <w:p w:rsidR="00E8309B" w:rsidRDefault="009D0949">
            <w:pPr>
              <w:spacing w:after="0" w:line="259" w:lineRule="auto"/>
              <w:ind w:left="0" w:right="0" w:firstLine="0"/>
              <w:jc w:val="right"/>
            </w:pPr>
            <w:r>
              <w:rPr>
                <w:sz w:val="20"/>
              </w:rPr>
              <w:t xml:space="preserve"> </w:t>
            </w:r>
          </w:p>
        </w:tc>
        <w:tc>
          <w:tcPr>
            <w:tcW w:w="989" w:type="dxa"/>
            <w:tcBorders>
              <w:top w:val="single" w:sz="4" w:space="0" w:color="000000"/>
              <w:left w:val="nil"/>
              <w:bottom w:val="single" w:sz="4" w:space="0" w:color="000000"/>
              <w:right w:val="nil"/>
            </w:tcBorders>
          </w:tcPr>
          <w:p w:rsidR="00E8309B" w:rsidRDefault="009D0949">
            <w:pPr>
              <w:spacing w:after="0" w:line="259" w:lineRule="auto"/>
              <w:ind w:left="0" w:right="0" w:firstLine="0"/>
              <w:jc w:val="right"/>
            </w:pPr>
            <w:r>
              <w:rPr>
                <w:sz w:val="20"/>
              </w:rPr>
              <w:t xml:space="preserve"> </w:t>
            </w:r>
          </w:p>
        </w:tc>
        <w:tc>
          <w:tcPr>
            <w:tcW w:w="989" w:type="dxa"/>
            <w:tcBorders>
              <w:top w:val="single" w:sz="4" w:space="0" w:color="000000"/>
              <w:left w:val="nil"/>
              <w:bottom w:val="single" w:sz="4" w:space="0" w:color="000000"/>
              <w:right w:val="nil"/>
            </w:tcBorders>
          </w:tcPr>
          <w:p w:rsidR="00E8309B" w:rsidRDefault="009D0949">
            <w:pPr>
              <w:spacing w:after="0" w:line="259" w:lineRule="auto"/>
              <w:ind w:left="0" w:right="0" w:firstLine="0"/>
              <w:jc w:val="right"/>
            </w:pPr>
            <w:r>
              <w:rPr>
                <w:sz w:val="20"/>
              </w:rPr>
              <w:t xml:space="preserve"> </w:t>
            </w:r>
          </w:p>
        </w:tc>
        <w:tc>
          <w:tcPr>
            <w:tcW w:w="992" w:type="dxa"/>
            <w:tcBorders>
              <w:top w:val="single" w:sz="4" w:space="0" w:color="000000"/>
              <w:left w:val="nil"/>
              <w:bottom w:val="single" w:sz="4" w:space="0" w:color="000000"/>
              <w:right w:val="double" w:sz="6" w:space="0" w:color="000000"/>
            </w:tcBorders>
          </w:tcPr>
          <w:p w:rsidR="00E8309B" w:rsidRDefault="009D0949">
            <w:pPr>
              <w:spacing w:after="0" w:line="259" w:lineRule="auto"/>
              <w:ind w:left="0" w:right="2" w:firstLine="0"/>
              <w:jc w:val="right"/>
            </w:pPr>
            <w:r>
              <w:rPr>
                <w:sz w:val="20"/>
              </w:rPr>
              <w:t xml:space="preserve"> </w:t>
            </w:r>
          </w:p>
        </w:tc>
      </w:tr>
      <w:tr w:rsidR="00E8309B">
        <w:trPr>
          <w:trHeight w:val="293"/>
        </w:trPr>
        <w:tc>
          <w:tcPr>
            <w:tcW w:w="6757" w:type="dxa"/>
            <w:tcBorders>
              <w:top w:val="single" w:sz="4" w:space="0" w:color="000000"/>
              <w:left w:val="double" w:sz="6" w:space="0" w:color="000000"/>
              <w:bottom w:val="dashed" w:sz="4" w:space="0" w:color="000000"/>
              <w:right w:val="single" w:sz="8" w:space="0" w:color="000000"/>
            </w:tcBorders>
          </w:tcPr>
          <w:p w:rsidR="00E8309B" w:rsidRDefault="009D0949">
            <w:pPr>
              <w:spacing w:after="0" w:line="259" w:lineRule="auto"/>
              <w:ind w:left="2" w:right="0" w:firstLine="0"/>
              <w:jc w:val="left"/>
            </w:pPr>
            <w:r>
              <w:rPr>
                <w:sz w:val="20"/>
              </w:rPr>
              <w:t xml:space="preserve">17. Колективна потрошња </w:t>
            </w:r>
          </w:p>
        </w:tc>
        <w:tc>
          <w:tcPr>
            <w:tcW w:w="1608" w:type="dxa"/>
            <w:tcBorders>
              <w:top w:val="single" w:sz="4" w:space="0" w:color="000000"/>
              <w:left w:val="single" w:sz="8" w:space="0" w:color="000000"/>
              <w:bottom w:val="dashed" w:sz="4" w:space="0" w:color="000000"/>
              <w:right w:val="single" w:sz="8" w:space="0" w:color="000000"/>
            </w:tcBorders>
          </w:tcPr>
          <w:p w:rsidR="00E8309B" w:rsidRDefault="009D0949">
            <w:pPr>
              <w:spacing w:after="0" w:line="259" w:lineRule="auto"/>
              <w:ind w:left="0" w:right="46" w:firstLine="0"/>
              <w:jc w:val="center"/>
            </w:pPr>
            <w:r>
              <w:rPr>
                <w:sz w:val="20"/>
              </w:rPr>
              <w:t xml:space="preserve">P32 </w:t>
            </w:r>
          </w:p>
        </w:tc>
        <w:tc>
          <w:tcPr>
            <w:tcW w:w="996" w:type="dxa"/>
            <w:tcBorders>
              <w:top w:val="single" w:sz="4" w:space="0" w:color="000000"/>
              <w:left w:val="single" w:sz="8" w:space="0" w:color="000000"/>
              <w:bottom w:val="dashed" w:sz="4" w:space="0" w:color="000000"/>
              <w:right w:val="dashed" w:sz="4" w:space="0" w:color="000000"/>
            </w:tcBorders>
          </w:tcPr>
          <w:p w:rsidR="00E8309B" w:rsidRDefault="009D0949">
            <w:pPr>
              <w:spacing w:after="0" w:line="259" w:lineRule="auto"/>
              <w:ind w:left="0" w:right="52" w:firstLine="0"/>
              <w:jc w:val="right"/>
            </w:pPr>
            <w:r>
              <w:rPr>
                <w:sz w:val="20"/>
              </w:rPr>
              <w:t xml:space="preserve">812,2 </w:t>
            </w:r>
          </w:p>
        </w:tc>
        <w:tc>
          <w:tcPr>
            <w:tcW w:w="994" w:type="dxa"/>
            <w:tcBorders>
              <w:top w:val="single" w:sz="4" w:space="0" w:color="000000"/>
              <w:left w:val="dashed" w:sz="4" w:space="0" w:color="000000"/>
              <w:bottom w:val="dashed" w:sz="4" w:space="0" w:color="000000"/>
              <w:right w:val="dashed" w:sz="4" w:space="0" w:color="000000"/>
            </w:tcBorders>
          </w:tcPr>
          <w:p w:rsidR="00E8309B" w:rsidRDefault="009D0949">
            <w:pPr>
              <w:spacing w:after="0" w:line="259" w:lineRule="auto"/>
              <w:ind w:left="0" w:right="51" w:firstLine="0"/>
              <w:jc w:val="right"/>
            </w:pPr>
            <w:r>
              <w:rPr>
                <w:sz w:val="20"/>
              </w:rPr>
              <w:t xml:space="preserve">895,6 </w:t>
            </w:r>
          </w:p>
        </w:tc>
        <w:tc>
          <w:tcPr>
            <w:tcW w:w="987" w:type="dxa"/>
            <w:tcBorders>
              <w:top w:val="single" w:sz="4" w:space="0" w:color="000000"/>
              <w:left w:val="dashed" w:sz="4" w:space="0" w:color="000000"/>
              <w:bottom w:val="dashed" w:sz="4" w:space="0" w:color="000000"/>
              <w:right w:val="dashed" w:sz="4" w:space="0" w:color="000000"/>
            </w:tcBorders>
          </w:tcPr>
          <w:p w:rsidR="00E8309B" w:rsidRDefault="009D0949">
            <w:pPr>
              <w:spacing w:after="0" w:line="259" w:lineRule="auto"/>
              <w:ind w:left="0" w:right="50" w:firstLine="0"/>
              <w:jc w:val="right"/>
            </w:pPr>
            <w:r>
              <w:rPr>
                <w:sz w:val="20"/>
              </w:rPr>
              <w:t xml:space="preserve">1.029,5 </w:t>
            </w:r>
          </w:p>
        </w:tc>
        <w:tc>
          <w:tcPr>
            <w:tcW w:w="989" w:type="dxa"/>
            <w:tcBorders>
              <w:top w:val="single" w:sz="4" w:space="0" w:color="000000"/>
              <w:left w:val="dashed" w:sz="4" w:space="0" w:color="000000"/>
              <w:bottom w:val="dashed" w:sz="4" w:space="0" w:color="000000"/>
              <w:right w:val="dashed" w:sz="4" w:space="0" w:color="000000"/>
            </w:tcBorders>
          </w:tcPr>
          <w:p w:rsidR="00E8309B" w:rsidRDefault="009D0949">
            <w:pPr>
              <w:spacing w:after="0" w:line="259" w:lineRule="auto"/>
              <w:ind w:left="0" w:right="50" w:firstLine="0"/>
              <w:jc w:val="right"/>
            </w:pPr>
            <w:r>
              <w:rPr>
                <w:sz w:val="20"/>
              </w:rPr>
              <w:t xml:space="preserve">1.061,0 </w:t>
            </w:r>
          </w:p>
        </w:tc>
        <w:tc>
          <w:tcPr>
            <w:tcW w:w="989" w:type="dxa"/>
            <w:tcBorders>
              <w:top w:val="single" w:sz="4" w:space="0" w:color="000000"/>
              <w:left w:val="dashed" w:sz="4" w:space="0" w:color="000000"/>
              <w:bottom w:val="dashed" w:sz="4" w:space="0" w:color="000000"/>
              <w:right w:val="dashed" w:sz="4" w:space="0" w:color="000000"/>
            </w:tcBorders>
          </w:tcPr>
          <w:p w:rsidR="00E8309B" w:rsidRDefault="009D0949">
            <w:pPr>
              <w:spacing w:after="0" w:line="259" w:lineRule="auto"/>
              <w:ind w:left="0" w:right="50" w:firstLine="0"/>
              <w:jc w:val="right"/>
            </w:pPr>
            <w:r>
              <w:rPr>
                <w:sz w:val="20"/>
              </w:rPr>
              <w:t xml:space="preserve">1.104,4 </w:t>
            </w:r>
          </w:p>
        </w:tc>
        <w:tc>
          <w:tcPr>
            <w:tcW w:w="992" w:type="dxa"/>
            <w:tcBorders>
              <w:top w:val="single" w:sz="4" w:space="0" w:color="000000"/>
              <w:left w:val="dashed" w:sz="4" w:space="0" w:color="000000"/>
              <w:bottom w:val="dashed" w:sz="4" w:space="0" w:color="000000"/>
              <w:right w:val="double" w:sz="6" w:space="0" w:color="000000"/>
            </w:tcBorders>
          </w:tcPr>
          <w:p w:rsidR="00E8309B" w:rsidRDefault="009D0949">
            <w:pPr>
              <w:spacing w:after="0" w:line="259" w:lineRule="auto"/>
              <w:ind w:left="0" w:right="52" w:firstLine="0"/>
              <w:jc w:val="right"/>
            </w:pPr>
            <w:r>
              <w:rPr>
                <w:sz w:val="20"/>
              </w:rPr>
              <w:t xml:space="preserve">1.144,3 </w:t>
            </w:r>
          </w:p>
        </w:tc>
      </w:tr>
      <w:tr w:rsidR="00E8309B">
        <w:trPr>
          <w:trHeight w:val="293"/>
        </w:trPr>
        <w:tc>
          <w:tcPr>
            <w:tcW w:w="6757" w:type="dxa"/>
            <w:tcBorders>
              <w:top w:val="dashed" w:sz="4" w:space="0" w:color="000000"/>
              <w:left w:val="double" w:sz="6" w:space="0" w:color="000000"/>
              <w:bottom w:val="dashed" w:sz="4" w:space="0" w:color="000000"/>
              <w:right w:val="single" w:sz="8" w:space="0" w:color="000000"/>
            </w:tcBorders>
          </w:tcPr>
          <w:p w:rsidR="00E8309B" w:rsidRDefault="009D0949">
            <w:pPr>
              <w:spacing w:after="0" w:line="259" w:lineRule="auto"/>
              <w:ind w:left="2" w:right="0" w:firstLine="0"/>
              <w:jc w:val="left"/>
            </w:pPr>
            <w:r>
              <w:rPr>
                <w:sz w:val="20"/>
              </w:rPr>
              <w:t xml:space="preserve">18. Укупни социјални трансфери </w:t>
            </w:r>
          </w:p>
        </w:tc>
        <w:tc>
          <w:tcPr>
            <w:tcW w:w="1608" w:type="dxa"/>
            <w:tcBorders>
              <w:top w:val="dashed" w:sz="4" w:space="0" w:color="000000"/>
              <w:left w:val="single" w:sz="8" w:space="0" w:color="000000"/>
              <w:bottom w:val="dashed" w:sz="4" w:space="0" w:color="000000"/>
              <w:right w:val="single" w:sz="8" w:space="0" w:color="000000"/>
            </w:tcBorders>
          </w:tcPr>
          <w:p w:rsidR="00E8309B" w:rsidRDefault="009D0949">
            <w:pPr>
              <w:spacing w:after="0" w:line="259" w:lineRule="auto"/>
              <w:ind w:left="0" w:right="47" w:firstLine="0"/>
              <w:jc w:val="center"/>
            </w:pPr>
            <w:r>
              <w:rPr>
                <w:sz w:val="20"/>
              </w:rPr>
              <w:t xml:space="preserve">D62 + D63 </w:t>
            </w:r>
          </w:p>
        </w:tc>
        <w:tc>
          <w:tcPr>
            <w:tcW w:w="996" w:type="dxa"/>
            <w:tcBorders>
              <w:top w:val="dashed" w:sz="4" w:space="0" w:color="000000"/>
              <w:left w:val="single" w:sz="8" w:space="0" w:color="000000"/>
              <w:bottom w:val="dashed" w:sz="4" w:space="0" w:color="000000"/>
              <w:right w:val="dashed" w:sz="4" w:space="0" w:color="000000"/>
            </w:tcBorders>
          </w:tcPr>
          <w:p w:rsidR="00E8309B" w:rsidRDefault="009D0949">
            <w:pPr>
              <w:spacing w:after="0" w:line="259" w:lineRule="auto"/>
              <w:ind w:left="0" w:right="52" w:firstLine="0"/>
              <w:jc w:val="right"/>
            </w:pPr>
            <w:r>
              <w:rPr>
                <w:sz w:val="20"/>
              </w:rPr>
              <w:t xml:space="preserve">746,0 </w:t>
            </w:r>
          </w:p>
        </w:tc>
        <w:tc>
          <w:tcPr>
            <w:tcW w:w="994"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52" w:firstLine="0"/>
              <w:jc w:val="right"/>
            </w:pPr>
            <w:r>
              <w:rPr>
                <w:sz w:val="20"/>
              </w:rPr>
              <w:t xml:space="preserve">782,9 </w:t>
            </w:r>
          </w:p>
        </w:tc>
        <w:tc>
          <w:tcPr>
            <w:tcW w:w="987"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49" w:firstLine="0"/>
              <w:jc w:val="right"/>
            </w:pPr>
            <w:r>
              <w:rPr>
                <w:sz w:val="20"/>
              </w:rPr>
              <w:t xml:space="preserve">814,1 </w:t>
            </w:r>
          </w:p>
        </w:tc>
        <w:tc>
          <w:tcPr>
            <w:tcW w:w="989"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49" w:firstLine="0"/>
              <w:jc w:val="right"/>
            </w:pPr>
            <w:r>
              <w:rPr>
                <w:sz w:val="20"/>
              </w:rPr>
              <w:t xml:space="preserve">847,8 </w:t>
            </w:r>
          </w:p>
        </w:tc>
        <w:tc>
          <w:tcPr>
            <w:tcW w:w="989"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49" w:firstLine="0"/>
              <w:jc w:val="right"/>
            </w:pPr>
            <w:r>
              <w:rPr>
                <w:sz w:val="20"/>
              </w:rPr>
              <w:t xml:space="preserve">897,8 </w:t>
            </w:r>
          </w:p>
        </w:tc>
        <w:tc>
          <w:tcPr>
            <w:tcW w:w="992" w:type="dxa"/>
            <w:tcBorders>
              <w:top w:val="dashed" w:sz="4" w:space="0" w:color="000000"/>
              <w:left w:val="dashed" w:sz="4" w:space="0" w:color="000000"/>
              <w:bottom w:val="dashed" w:sz="4" w:space="0" w:color="000000"/>
              <w:right w:val="double" w:sz="6" w:space="0" w:color="000000"/>
            </w:tcBorders>
          </w:tcPr>
          <w:p w:rsidR="00E8309B" w:rsidRDefault="009D0949">
            <w:pPr>
              <w:spacing w:after="0" w:line="259" w:lineRule="auto"/>
              <w:ind w:left="0" w:right="52" w:firstLine="0"/>
              <w:jc w:val="right"/>
            </w:pPr>
            <w:r>
              <w:rPr>
                <w:sz w:val="20"/>
              </w:rPr>
              <w:t xml:space="preserve">938,0 </w:t>
            </w:r>
          </w:p>
        </w:tc>
      </w:tr>
      <w:tr w:rsidR="00E8309B">
        <w:trPr>
          <w:trHeight w:val="293"/>
        </w:trPr>
        <w:tc>
          <w:tcPr>
            <w:tcW w:w="6757" w:type="dxa"/>
            <w:tcBorders>
              <w:top w:val="dashed" w:sz="4" w:space="0" w:color="000000"/>
              <w:left w:val="double" w:sz="6" w:space="0" w:color="000000"/>
              <w:bottom w:val="dashed" w:sz="4" w:space="0" w:color="000000"/>
              <w:right w:val="single" w:sz="8" w:space="0" w:color="000000"/>
            </w:tcBorders>
          </w:tcPr>
          <w:p w:rsidR="00E8309B" w:rsidRDefault="009D0949">
            <w:pPr>
              <w:spacing w:after="0" w:line="259" w:lineRule="auto"/>
              <w:ind w:left="2" w:right="0" w:firstLine="0"/>
              <w:jc w:val="left"/>
            </w:pPr>
            <w:r>
              <w:rPr>
                <w:sz w:val="20"/>
              </w:rPr>
              <w:t xml:space="preserve">18a. Неновчани социјални трансфери </w:t>
            </w:r>
          </w:p>
        </w:tc>
        <w:tc>
          <w:tcPr>
            <w:tcW w:w="1608" w:type="dxa"/>
            <w:tcBorders>
              <w:top w:val="dashed" w:sz="4" w:space="0" w:color="000000"/>
              <w:left w:val="single" w:sz="8" w:space="0" w:color="000000"/>
              <w:bottom w:val="dashed" w:sz="4" w:space="0" w:color="000000"/>
              <w:right w:val="single" w:sz="8" w:space="0" w:color="000000"/>
            </w:tcBorders>
          </w:tcPr>
          <w:p w:rsidR="00E8309B" w:rsidRDefault="009D0949">
            <w:pPr>
              <w:spacing w:after="0" w:line="259" w:lineRule="auto"/>
              <w:ind w:left="0" w:right="47" w:firstLine="0"/>
              <w:jc w:val="center"/>
            </w:pPr>
            <w:r>
              <w:rPr>
                <w:sz w:val="20"/>
              </w:rPr>
              <w:t xml:space="preserve">P31 = D63 </w:t>
            </w:r>
          </w:p>
        </w:tc>
        <w:tc>
          <w:tcPr>
            <w:tcW w:w="996" w:type="dxa"/>
            <w:tcBorders>
              <w:top w:val="dashed" w:sz="4" w:space="0" w:color="000000"/>
              <w:left w:val="single" w:sz="8" w:space="0" w:color="000000"/>
              <w:bottom w:val="dashed" w:sz="4" w:space="0" w:color="000000"/>
              <w:right w:val="dashed" w:sz="4" w:space="0" w:color="000000"/>
            </w:tcBorders>
          </w:tcPr>
          <w:p w:rsidR="00E8309B" w:rsidRDefault="009D0949">
            <w:pPr>
              <w:spacing w:after="0" w:line="259" w:lineRule="auto"/>
              <w:ind w:left="0" w:right="51" w:firstLine="0"/>
              <w:jc w:val="right"/>
            </w:pPr>
            <w:r>
              <w:rPr>
                <w:sz w:val="20"/>
              </w:rPr>
              <w:t xml:space="preserve">0,0 </w:t>
            </w:r>
          </w:p>
        </w:tc>
        <w:tc>
          <w:tcPr>
            <w:tcW w:w="994"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51" w:firstLine="0"/>
              <w:jc w:val="right"/>
            </w:pPr>
            <w:r>
              <w:rPr>
                <w:sz w:val="20"/>
              </w:rPr>
              <w:t xml:space="preserve">0,0 </w:t>
            </w:r>
          </w:p>
        </w:tc>
        <w:tc>
          <w:tcPr>
            <w:tcW w:w="987"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49" w:firstLine="0"/>
              <w:jc w:val="right"/>
            </w:pPr>
            <w:r>
              <w:rPr>
                <w:sz w:val="20"/>
              </w:rPr>
              <w:t xml:space="preserve">0,0 </w:t>
            </w:r>
          </w:p>
        </w:tc>
        <w:tc>
          <w:tcPr>
            <w:tcW w:w="989"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49" w:firstLine="0"/>
              <w:jc w:val="right"/>
            </w:pPr>
            <w:r>
              <w:rPr>
                <w:sz w:val="20"/>
              </w:rPr>
              <w:t xml:space="preserve">0,0 </w:t>
            </w:r>
          </w:p>
        </w:tc>
        <w:tc>
          <w:tcPr>
            <w:tcW w:w="989"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49" w:firstLine="0"/>
              <w:jc w:val="right"/>
            </w:pPr>
            <w:r>
              <w:rPr>
                <w:sz w:val="20"/>
              </w:rPr>
              <w:t xml:space="preserve">0,0 </w:t>
            </w:r>
          </w:p>
        </w:tc>
        <w:tc>
          <w:tcPr>
            <w:tcW w:w="992" w:type="dxa"/>
            <w:tcBorders>
              <w:top w:val="dashed" w:sz="4" w:space="0" w:color="000000"/>
              <w:left w:val="dashed" w:sz="4" w:space="0" w:color="000000"/>
              <w:bottom w:val="dashed" w:sz="4" w:space="0" w:color="000000"/>
              <w:right w:val="double" w:sz="6" w:space="0" w:color="000000"/>
            </w:tcBorders>
          </w:tcPr>
          <w:p w:rsidR="00E8309B" w:rsidRDefault="009D0949">
            <w:pPr>
              <w:spacing w:after="0" w:line="259" w:lineRule="auto"/>
              <w:ind w:left="0" w:right="51" w:firstLine="0"/>
              <w:jc w:val="right"/>
            </w:pPr>
            <w:r>
              <w:rPr>
                <w:sz w:val="20"/>
              </w:rPr>
              <w:t xml:space="preserve">0,0 </w:t>
            </w:r>
          </w:p>
        </w:tc>
      </w:tr>
      <w:tr w:rsidR="00E8309B">
        <w:trPr>
          <w:trHeight w:val="293"/>
        </w:trPr>
        <w:tc>
          <w:tcPr>
            <w:tcW w:w="6757" w:type="dxa"/>
            <w:tcBorders>
              <w:top w:val="dashed" w:sz="4" w:space="0" w:color="000000"/>
              <w:left w:val="double" w:sz="6" w:space="0" w:color="000000"/>
              <w:bottom w:val="dashed" w:sz="4" w:space="0" w:color="000000"/>
              <w:right w:val="single" w:sz="8" w:space="0" w:color="000000"/>
            </w:tcBorders>
          </w:tcPr>
          <w:p w:rsidR="00E8309B" w:rsidRDefault="009D0949">
            <w:pPr>
              <w:spacing w:after="0" w:line="259" w:lineRule="auto"/>
              <w:ind w:left="2" w:right="0" w:firstLine="0"/>
              <w:jc w:val="left"/>
            </w:pPr>
            <w:r>
              <w:rPr>
                <w:sz w:val="20"/>
              </w:rPr>
              <w:t xml:space="preserve">18b. Социјални трансфери осим неновчаних </w:t>
            </w:r>
          </w:p>
        </w:tc>
        <w:tc>
          <w:tcPr>
            <w:tcW w:w="1608" w:type="dxa"/>
            <w:tcBorders>
              <w:top w:val="dashed" w:sz="4" w:space="0" w:color="000000"/>
              <w:left w:val="single" w:sz="8" w:space="0" w:color="000000"/>
              <w:bottom w:val="dashed" w:sz="4" w:space="0" w:color="000000"/>
              <w:right w:val="single" w:sz="8" w:space="0" w:color="000000"/>
            </w:tcBorders>
          </w:tcPr>
          <w:p w:rsidR="00E8309B" w:rsidRDefault="009D0949">
            <w:pPr>
              <w:spacing w:after="0" w:line="259" w:lineRule="auto"/>
              <w:ind w:left="0" w:right="48" w:firstLine="0"/>
              <w:jc w:val="center"/>
            </w:pPr>
            <w:r>
              <w:rPr>
                <w:sz w:val="20"/>
              </w:rPr>
              <w:t xml:space="preserve">D62 </w:t>
            </w:r>
          </w:p>
        </w:tc>
        <w:tc>
          <w:tcPr>
            <w:tcW w:w="996" w:type="dxa"/>
            <w:tcBorders>
              <w:top w:val="dashed" w:sz="4" w:space="0" w:color="000000"/>
              <w:left w:val="single" w:sz="8" w:space="0" w:color="000000"/>
              <w:bottom w:val="dashed" w:sz="4" w:space="0" w:color="000000"/>
              <w:right w:val="dashed" w:sz="4" w:space="0" w:color="000000"/>
            </w:tcBorders>
          </w:tcPr>
          <w:p w:rsidR="00E8309B" w:rsidRDefault="009D0949">
            <w:pPr>
              <w:spacing w:after="0" w:line="259" w:lineRule="auto"/>
              <w:ind w:left="0" w:right="52" w:firstLine="0"/>
              <w:jc w:val="right"/>
            </w:pPr>
            <w:r>
              <w:rPr>
                <w:sz w:val="20"/>
              </w:rPr>
              <w:t xml:space="preserve">746,0 </w:t>
            </w:r>
          </w:p>
        </w:tc>
        <w:tc>
          <w:tcPr>
            <w:tcW w:w="994"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52" w:firstLine="0"/>
              <w:jc w:val="right"/>
            </w:pPr>
            <w:r>
              <w:rPr>
                <w:sz w:val="20"/>
              </w:rPr>
              <w:t xml:space="preserve">782,9 </w:t>
            </w:r>
          </w:p>
        </w:tc>
        <w:tc>
          <w:tcPr>
            <w:tcW w:w="987"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49" w:firstLine="0"/>
              <w:jc w:val="right"/>
            </w:pPr>
            <w:r>
              <w:rPr>
                <w:sz w:val="20"/>
              </w:rPr>
              <w:t xml:space="preserve">814,1 </w:t>
            </w:r>
          </w:p>
        </w:tc>
        <w:tc>
          <w:tcPr>
            <w:tcW w:w="989"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49" w:firstLine="0"/>
              <w:jc w:val="right"/>
            </w:pPr>
            <w:r>
              <w:rPr>
                <w:sz w:val="20"/>
              </w:rPr>
              <w:t xml:space="preserve">847,8 </w:t>
            </w:r>
          </w:p>
        </w:tc>
        <w:tc>
          <w:tcPr>
            <w:tcW w:w="989"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49" w:firstLine="0"/>
              <w:jc w:val="right"/>
            </w:pPr>
            <w:r>
              <w:rPr>
                <w:sz w:val="20"/>
              </w:rPr>
              <w:t xml:space="preserve">897,8 </w:t>
            </w:r>
          </w:p>
        </w:tc>
        <w:tc>
          <w:tcPr>
            <w:tcW w:w="992" w:type="dxa"/>
            <w:tcBorders>
              <w:top w:val="dashed" w:sz="4" w:space="0" w:color="000000"/>
              <w:left w:val="dashed" w:sz="4" w:space="0" w:color="000000"/>
              <w:bottom w:val="dashed" w:sz="4" w:space="0" w:color="000000"/>
              <w:right w:val="double" w:sz="6" w:space="0" w:color="000000"/>
            </w:tcBorders>
          </w:tcPr>
          <w:p w:rsidR="00E8309B" w:rsidRDefault="009D0949">
            <w:pPr>
              <w:spacing w:after="0" w:line="259" w:lineRule="auto"/>
              <w:ind w:left="0" w:right="52" w:firstLine="0"/>
              <w:jc w:val="right"/>
            </w:pPr>
            <w:r>
              <w:rPr>
                <w:sz w:val="20"/>
              </w:rPr>
              <w:t xml:space="preserve">938,0 </w:t>
            </w:r>
          </w:p>
        </w:tc>
      </w:tr>
      <w:tr w:rsidR="00E8309B">
        <w:trPr>
          <w:trHeight w:val="470"/>
        </w:trPr>
        <w:tc>
          <w:tcPr>
            <w:tcW w:w="6757" w:type="dxa"/>
            <w:tcBorders>
              <w:top w:val="dashed" w:sz="4" w:space="0" w:color="000000"/>
              <w:left w:val="double" w:sz="6" w:space="0" w:color="000000"/>
              <w:bottom w:val="dashed" w:sz="4" w:space="0" w:color="000000"/>
              <w:right w:val="single" w:sz="8" w:space="0" w:color="000000"/>
            </w:tcBorders>
          </w:tcPr>
          <w:p w:rsidR="00E8309B" w:rsidRDefault="009D0949">
            <w:pPr>
              <w:spacing w:after="0" w:line="259" w:lineRule="auto"/>
              <w:ind w:left="2" w:right="0" w:firstLine="0"/>
              <w:jc w:val="left"/>
            </w:pPr>
            <w:r>
              <w:rPr>
                <w:sz w:val="20"/>
              </w:rPr>
              <w:t xml:space="preserve">19 = 9. Расходи за камате (укљ. FISIM)  </w:t>
            </w:r>
          </w:p>
        </w:tc>
        <w:tc>
          <w:tcPr>
            <w:tcW w:w="1608" w:type="dxa"/>
            <w:tcBorders>
              <w:top w:val="dashed" w:sz="4" w:space="0" w:color="000000"/>
              <w:left w:val="single" w:sz="8" w:space="0" w:color="000000"/>
              <w:bottom w:val="dashed" w:sz="4" w:space="0" w:color="000000"/>
              <w:right w:val="single" w:sz="8" w:space="0" w:color="000000"/>
            </w:tcBorders>
          </w:tcPr>
          <w:p w:rsidR="00E8309B" w:rsidRDefault="009D0949">
            <w:pPr>
              <w:spacing w:after="0" w:line="259" w:lineRule="auto"/>
              <w:ind w:left="0" w:right="0" w:firstLine="0"/>
              <w:jc w:val="center"/>
            </w:pPr>
            <w:r>
              <w:rPr>
                <w:sz w:val="20"/>
              </w:rPr>
              <w:t xml:space="preserve">EDP.D41 + FISIM </w:t>
            </w:r>
          </w:p>
        </w:tc>
        <w:tc>
          <w:tcPr>
            <w:tcW w:w="996" w:type="dxa"/>
            <w:tcBorders>
              <w:top w:val="dashed" w:sz="4" w:space="0" w:color="000000"/>
              <w:left w:val="single" w:sz="8" w:space="0" w:color="000000"/>
              <w:bottom w:val="dashed" w:sz="4" w:space="0" w:color="000000"/>
              <w:right w:val="dashed" w:sz="4" w:space="0" w:color="000000"/>
            </w:tcBorders>
          </w:tcPr>
          <w:p w:rsidR="00E8309B" w:rsidRDefault="009D0949">
            <w:pPr>
              <w:spacing w:after="0" w:line="259" w:lineRule="auto"/>
              <w:ind w:left="0" w:right="52" w:firstLine="0"/>
              <w:jc w:val="right"/>
            </w:pPr>
            <w:r>
              <w:rPr>
                <w:sz w:val="20"/>
              </w:rPr>
              <w:t xml:space="preserve">108,6 </w:t>
            </w:r>
          </w:p>
        </w:tc>
        <w:tc>
          <w:tcPr>
            <w:tcW w:w="994"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52" w:firstLine="0"/>
              <w:jc w:val="right"/>
            </w:pPr>
            <w:r>
              <w:rPr>
                <w:sz w:val="20"/>
              </w:rPr>
              <w:t xml:space="preserve">108,9 </w:t>
            </w:r>
          </w:p>
        </w:tc>
        <w:tc>
          <w:tcPr>
            <w:tcW w:w="987"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49" w:firstLine="0"/>
              <w:jc w:val="right"/>
            </w:pPr>
            <w:r>
              <w:rPr>
                <w:sz w:val="20"/>
              </w:rPr>
              <w:t xml:space="preserve">110,5 </w:t>
            </w:r>
          </w:p>
        </w:tc>
        <w:tc>
          <w:tcPr>
            <w:tcW w:w="989"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49" w:firstLine="0"/>
              <w:jc w:val="right"/>
            </w:pPr>
            <w:r>
              <w:rPr>
                <w:sz w:val="20"/>
              </w:rPr>
              <w:t xml:space="preserve">113,6 </w:t>
            </w:r>
          </w:p>
        </w:tc>
        <w:tc>
          <w:tcPr>
            <w:tcW w:w="989"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49" w:firstLine="0"/>
              <w:jc w:val="right"/>
            </w:pPr>
            <w:r>
              <w:rPr>
                <w:sz w:val="20"/>
              </w:rPr>
              <w:t xml:space="preserve">111,9 </w:t>
            </w:r>
          </w:p>
        </w:tc>
        <w:tc>
          <w:tcPr>
            <w:tcW w:w="992" w:type="dxa"/>
            <w:tcBorders>
              <w:top w:val="dashed" w:sz="4" w:space="0" w:color="000000"/>
              <w:left w:val="dashed" w:sz="4" w:space="0" w:color="000000"/>
              <w:bottom w:val="dashed" w:sz="4" w:space="0" w:color="000000"/>
              <w:right w:val="double" w:sz="6" w:space="0" w:color="000000"/>
            </w:tcBorders>
          </w:tcPr>
          <w:p w:rsidR="00E8309B" w:rsidRDefault="009D0949">
            <w:pPr>
              <w:spacing w:after="0" w:line="259" w:lineRule="auto"/>
              <w:ind w:left="0" w:right="52" w:firstLine="0"/>
              <w:jc w:val="right"/>
            </w:pPr>
            <w:r>
              <w:rPr>
                <w:sz w:val="20"/>
              </w:rPr>
              <w:t xml:space="preserve">111,2 </w:t>
            </w:r>
          </w:p>
        </w:tc>
      </w:tr>
      <w:tr w:rsidR="00E8309B">
        <w:trPr>
          <w:trHeight w:val="295"/>
        </w:trPr>
        <w:tc>
          <w:tcPr>
            <w:tcW w:w="6757" w:type="dxa"/>
            <w:tcBorders>
              <w:top w:val="dashed" w:sz="4" w:space="0" w:color="000000"/>
              <w:left w:val="double" w:sz="6" w:space="0" w:color="000000"/>
              <w:bottom w:val="dashed" w:sz="4" w:space="0" w:color="000000"/>
              <w:right w:val="single" w:sz="8" w:space="0" w:color="000000"/>
            </w:tcBorders>
          </w:tcPr>
          <w:p w:rsidR="00E8309B" w:rsidRDefault="009D0949">
            <w:pPr>
              <w:spacing w:after="0" w:line="259" w:lineRule="auto"/>
              <w:ind w:left="2" w:right="0" w:firstLine="0"/>
              <w:jc w:val="left"/>
            </w:pPr>
            <w:r>
              <w:rPr>
                <w:sz w:val="20"/>
              </w:rPr>
              <w:t xml:space="preserve">20. Субвенције </w:t>
            </w:r>
          </w:p>
        </w:tc>
        <w:tc>
          <w:tcPr>
            <w:tcW w:w="1608" w:type="dxa"/>
            <w:tcBorders>
              <w:top w:val="dashed" w:sz="4" w:space="0" w:color="000000"/>
              <w:left w:val="single" w:sz="8" w:space="0" w:color="000000"/>
              <w:bottom w:val="dashed" w:sz="4" w:space="0" w:color="000000"/>
              <w:right w:val="single" w:sz="8" w:space="0" w:color="000000"/>
            </w:tcBorders>
          </w:tcPr>
          <w:p w:rsidR="00E8309B" w:rsidRDefault="009D0949">
            <w:pPr>
              <w:spacing w:after="0" w:line="259" w:lineRule="auto"/>
              <w:ind w:left="0" w:right="48" w:firstLine="0"/>
              <w:jc w:val="center"/>
            </w:pPr>
            <w:r>
              <w:rPr>
                <w:sz w:val="20"/>
              </w:rPr>
              <w:t xml:space="preserve">D3 </w:t>
            </w:r>
          </w:p>
        </w:tc>
        <w:tc>
          <w:tcPr>
            <w:tcW w:w="996" w:type="dxa"/>
            <w:tcBorders>
              <w:top w:val="dashed" w:sz="4" w:space="0" w:color="000000"/>
              <w:left w:val="single" w:sz="8" w:space="0" w:color="000000"/>
              <w:bottom w:val="dashed" w:sz="4" w:space="0" w:color="000000"/>
              <w:right w:val="dashed" w:sz="4" w:space="0" w:color="000000"/>
            </w:tcBorders>
          </w:tcPr>
          <w:p w:rsidR="00E8309B" w:rsidRDefault="009D0949">
            <w:pPr>
              <w:spacing w:after="0" w:line="259" w:lineRule="auto"/>
              <w:ind w:left="0" w:right="52" w:firstLine="0"/>
              <w:jc w:val="right"/>
            </w:pPr>
            <w:r>
              <w:rPr>
                <w:sz w:val="20"/>
              </w:rPr>
              <w:t xml:space="preserve">109,7 </w:t>
            </w:r>
          </w:p>
        </w:tc>
        <w:tc>
          <w:tcPr>
            <w:tcW w:w="994"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52" w:firstLine="0"/>
              <w:jc w:val="right"/>
            </w:pPr>
            <w:r>
              <w:rPr>
                <w:sz w:val="20"/>
              </w:rPr>
              <w:t xml:space="preserve">121,2 </w:t>
            </w:r>
          </w:p>
        </w:tc>
        <w:tc>
          <w:tcPr>
            <w:tcW w:w="987"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49" w:firstLine="0"/>
              <w:jc w:val="right"/>
            </w:pPr>
            <w:r>
              <w:rPr>
                <w:sz w:val="20"/>
              </w:rPr>
              <w:t xml:space="preserve">258,3 </w:t>
            </w:r>
          </w:p>
        </w:tc>
        <w:tc>
          <w:tcPr>
            <w:tcW w:w="989"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49" w:firstLine="0"/>
              <w:jc w:val="right"/>
            </w:pPr>
            <w:r>
              <w:rPr>
                <w:sz w:val="20"/>
              </w:rPr>
              <w:t xml:space="preserve">130,7 </w:t>
            </w:r>
          </w:p>
        </w:tc>
        <w:tc>
          <w:tcPr>
            <w:tcW w:w="989"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49" w:firstLine="0"/>
              <w:jc w:val="right"/>
            </w:pPr>
            <w:r>
              <w:rPr>
                <w:sz w:val="20"/>
              </w:rPr>
              <w:t xml:space="preserve">117,9 </w:t>
            </w:r>
          </w:p>
        </w:tc>
        <w:tc>
          <w:tcPr>
            <w:tcW w:w="992" w:type="dxa"/>
            <w:tcBorders>
              <w:top w:val="dashed" w:sz="4" w:space="0" w:color="000000"/>
              <w:left w:val="dashed" w:sz="4" w:space="0" w:color="000000"/>
              <w:bottom w:val="dashed" w:sz="4" w:space="0" w:color="000000"/>
              <w:right w:val="double" w:sz="6" w:space="0" w:color="000000"/>
            </w:tcBorders>
          </w:tcPr>
          <w:p w:rsidR="00E8309B" w:rsidRDefault="009D0949">
            <w:pPr>
              <w:spacing w:after="0" w:line="259" w:lineRule="auto"/>
              <w:ind w:left="0" w:right="52" w:firstLine="0"/>
              <w:jc w:val="right"/>
            </w:pPr>
            <w:r>
              <w:rPr>
                <w:sz w:val="20"/>
              </w:rPr>
              <w:t xml:space="preserve">116,4 </w:t>
            </w:r>
          </w:p>
        </w:tc>
      </w:tr>
      <w:tr w:rsidR="00E8309B">
        <w:trPr>
          <w:trHeight w:val="293"/>
        </w:trPr>
        <w:tc>
          <w:tcPr>
            <w:tcW w:w="6757" w:type="dxa"/>
            <w:tcBorders>
              <w:top w:val="dashed" w:sz="4" w:space="0" w:color="000000"/>
              <w:left w:val="double" w:sz="6" w:space="0" w:color="000000"/>
              <w:bottom w:val="dashed" w:sz="4" w:space="0" w:color="000000"/>
              <w:right w:val="single" w:sz="8" w:space="0" w:color="000000"/>
            </w:tcBorders>
          </w:tcPr>
          <w:p w:rsidR="00E8309B" w:rsidRDefault="009D0949">
            <w:pPr>
              <w:spacing w:after="0" w:line="259" w:lineRule="auto"/>
              <w:ind w:left="2" w:right="0" w:firstLine="0"/>
              <w:jc w:val="left"/>
            </w:pPr>
            <w:r>
              <w:rPr>
                <w:sz w:val="20"/>
              </w:rPr>
              <w:t xml:space="preserve">21. Бруто инвестиције у основна средства </w:t>
            </w:r>
          </w:p>
        </w:tc>
        <w:tc>
          <w:tcPr>
            <w:tcW w:w="1608" w:type="dxa"/>
            <w:tcBorders>
              <w:top w:val="dashed" w:sz="4" w:space="0" w:color="000000"/>
              <w:left w:val="single" w:sz="8" w:space="0" w:color="000000"/>
              <w:bottom w:val="dashed" w:sz="4" w:space="0" w:color="000000"/>
              <w:right w:val="single" w:sz="8" w:space="0" w:color="000000"/>
            </w:tcBorders>
          </w:tcPr>
          <w:p w:rsidR="00E8309B" w:rsidRDefault="009D0949">
            <w:pPr>
              <w:spacing w:after="0" w:line="259" w:lineRule="auto"/>
              <w:ind w:left="0" w:right="46" w:firstLine="0"/>
              <w:jc w:val="center"/>
            </w:pPr>
            <w:r>
              <w:rPr>
                <w:sz w:val="20"/>
              </w:rPr>
              <w:t xml:space="preserve">P51 </w:t>
            </w:r>
          </w:p>
          <w:p w:rsidR="00E8309B" w:rsidRDefault="009D0949">
            <w:pPr>
              <w:spacing w:after="0" w:line="259" w:lineRule="auto"/>
              <w:ind w:left="3" w:right="0" w:firstLine="0"/>
              <w:jc w:val="center"/>
            </w:pPr>
            <w:r>
              <w:rPr>
                <w:sz w:val="20"/>
              </w:rPr>
              <w:t xml:space="preserve"> </w:t>
            </w:r>
          </w:p>
        </w:tc>
        <w:tc>
          <w:tcPr>
            <w:tcW w:w="996" w:type="dxa"/>
            <w:tcBorders>
              <w:top w:val="dashed" w:sz="4" w:space="0" w:color="000000"/>
              <w:left w:val="single" w:sz="8" w:space="0" w:color="000000"/>
              <w:bottom w:val="dashed" w:sz="4" w:space="0" w:color="000000"/>
              <w:right w:val="dashed" w:sz="4" w:space="0" w:color="000000"/>
            </w:tcBorders>
          </w:tcPr>
          <w:p w:rsidR="00E8309B" w:rsidRDefault="009D0949">
            <w:pPr>
              <w:spacing w:after="0" w:line="259" w:lineRule="auto"/>
              <w:ind w:left="0" w:right="52" w:firstLine="0"/>
              <w:jc w:val="right"/>
            </w:pPr>
            <w:r>
              <w:rPr>
                <w:sz w:val="20"/>
              </w:rPr>
              <w:t xml:space="preserve">199,3 </w:t>
            </w:r>
          </w:p>
        </w:tc>
        <w:tc>
          <w:tcPr>
            <w:tcW w:w="994"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52" w:firstLine="0"/>
              <w:jc w:val="right"/>
            </w:pPr>
            <w:r>
              <w:rPr>
                <w:sz w:val="20"/>
              </w:rPr>
              <w:t xml:space="preserve">266,3 </w:t>
            </w:r>
          </w:p>
        </w:tc>
        <w:tc>
          <w:tcPr>
            <w:tcW w:w="987"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49" w:firstLine="0"/>
              <w:jc w:val="right"/>
            </w:pPr>
            <w:r>
              <w:rPr>
                <w:sz w:val="20"/>
              </w:rPr>
              <w:t xml:space="preserve">286,7 </w:t>
            </w:r>
          </w:p>
        </w:tc>
        <w:tc>
          <w:tcPr>
            <w:tcW w:w="989"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49" w:firstLine="0"/>
              <w:jc w:val="right"/>
            </w:pPr>
            <w:r>
              <w:rPr>
                <w:sz w:val="20"/>
              </w:rPr>
              <w:t xml:space="preserve">330,6 </w:t>
            </w:r>
          </w:p>
        </w:tc>
        <w:tc>
          <w:tcPr>
            <w:tcW w:w="989"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49" w:firstLine="0"/>
              <w:jc w:val="right"/>
            </w:pPr>
            <w:r>
              <w:rPr>
                <w:sz w:val="20"/>
              </w:rPr>
              <w:t xml:space="preserve">360,0 </w:t>
            </w:r>
          </w:p>
        </w:tc>
        <w:tc>
          <w:tcPr>
            <w:tcW w:w="992" w:type="dxa"/>
            <w:tcBorders>
              <w:top w:val="dashed" w:sz="4" w:space="0" w:color="000000"/>
              <w:left w:val="dashed" w:sz="4" w:space="0" w:color="000000"/>
              <w:bottom w:val="dashed" w:sz="4" w:space="0" w:color="000000"/>
              <w:right w:val="double" w:sz="6" w:space="0" w:color="000000"/>
            </w:tcBorders>
          </w:tcPr>
          <w:p w:rsidR="00E8309B" w:rsidRDefault="009D0949">
            <w:pPr>
              <w:spacing w:after="0" w:line="259" w:lineRule="auto"/>
              <w:ind w:left="0" w:right="52" w:firstLine="0"/>
              <w:jc w:val="right"/>
            </w:pPr>
            <w:r>
              <w:rPr>
                <w:sz w:val="20"/>
              </w:rPr>
              <w:t xml:space="preserve">388,3 </w:t>
            </w:r>
          </w:p>
        </w:tc>
      </w:tr>
      <w:tr w:rsidR="00E8309B">
        <w:trPr>
          <w:trHeight w:val="293"/>
        </w:trPr>
        <w:tc>
          <w:tcPr>
            <w:tcW w:w="6757" w:type="dxa"/>
            <w:tcBorders>
              <w:top w:val="dashed" w:sz="4" w:space="0" w:color="000000"/>
              <w:left w:val="double" w:sz="6" w:space="0" w:color="000000"/>
              <w:bottom w:val="dashed" w:sz="4" w:space="0" w:color="000000"/>
              <w:right w:val="single" w:sz="8" w:space="0" w:color="000000"/>
            </w:tcBorders>
          </w:tcPr>
          <w:p w:rsidR="00E8309B" w:rsidRDefault="009D0949">
            <w:pPr>
              <w:spacing w:after="0" w:line="259" w:lineRule="auto"/>
              <w:ind w:left="2" w:right="0" w:firstLine="0"/>
              <w:jc w:val="left"/>
            </w:pPr>
            <w:r>
              <w:rPr>
                <w:sz w:val="20"/>
              </w:rPr>
              <w:t xml:space="preserve">22. Друго (22 = 23-(17+18+19+20+21) [6] </w:t>
            </w:r>
          </w:p>
        </w:tc>
        <w:tc>
          <w:tcPr>
            <w:tcW w:w="1608" w:type="dxa"/>
            <w:tcBorders>
              <w:top w:val="dashed" w:sz="4" w:space="0" w:color="000000"/>
              <w:left w:val="single" w:sz="8" w:space="0" w:color="000000"/>
              <w:bottom w:val="dashed" w:sz="4" w:space="0" w:color="000000"/>
              <w:right w:val="single" w:sz="8" w:space="0" w:color="000000"/>
            </w:tcBorders>
          </w:tcPr>
          <w:p w:rsidR="00E8309B" w:rsidRDefault="00E8309B">
            <w:pPr>
              <w:spacing w:after="160" w:line="259" w:lineRule="auto"/>
              <w:ind w:left="0" w:right="0" w:firstLine="0"/>
              <w:jc w:val="left"/>
            </w:pPr>
          </w:p>
        </w:tc>
        <w:tc>
          <w:tcPr>
            <w:tcW w:w="996" w:type="dxa"/>
            <w:tcBorders>
              <w:top w:val="dashed" w:sz="4" w:space="0" w:color="000000"/>
              <w:left w:val="single" w:sz="8" w:space="0" w:color="000000"/>
              <w:bottom w:val="dashed" w:sz="4" w:space="0" w:color="000000"/>
              <w:right w:val="dashed" w:sz="4" w:space="0" w:color="000000"/>
            </w:tcBorders>
          </w:tcPr>
          <w:p w:rsidR="00E8309B" w:rsidRDefault="009D0949">
            <w:pPr>
              <w:spacing w:after="0" w:line="259" w:lineRule="auto"/>
              <w:ind w:left="0" w:right="52" w:firstLine="0"/>
              <w:jc w:val="right"/>
            </w:pPr>
            <w:r>
              <w:rPr>
                <w:sz w:val="20"/>
              </w:rPr>
              <w:t xml:space="preserve">97,3 </w:t>
            </w:r>
          </w:p>
        </w:tc>
        <w:tc>
          <w:tcPr>
            <w:tcW w:w="994"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52" w:firstLine="0"/>
              <w:jc w:val="right"/>
            </w:pPr>
            <w:r>
              <w:rPr>
                <w:sz w:val="20"/>
              </w:rPr>
              <w:t xml:space="preserve">114,8 </w:t>
            </w:r>
          </w:p>
        </w:tc>
        <w:tc>
          <w:tcPr>
            <w:tcW w:w="987"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49" w:firstLine="0"/>
              <w:jc w:val="right"/>
            </w:pPr>
            <w:r>
              <w:rPr>
                <w:sz w:val="20"/>
              </w:rPr>
              <w:t xml:space="preserve">216,7 </w:t>
            </w:r>
          </w:p>
        </w:tc>
        <w:tc>
          <w:tcPr>
            <w:tcW w:w="989"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49" w:firstLine="0"/>
              <w:jc w:val="right"/>
            </w:pPr>
            <w:r>
              <w:rPr>
                <w:sz w:val="20"/>
              </w:rPr>
              <w:t xml:space="preserve">119,6 </w:t>
            </w:r>
          </w:p>
        </w:tc>
        <w:tc>
          <w:tcPr>
            <w:tcW w:w="989"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49" w:firstLine="0"/>
              <w:jc w:val="right"/>
            </w:pPr>
            <w:r>
              <w:rPr>
                <w:sz w:val="20"/>
              </w:rPr>
              <w:t xml:space="preserve">106,9 </w:t>
            </w:r>
          </w:p>
        </w:tc>
        <w:tc>
          <w:tcPr>
            <w:tcW w:w="992" w:type="dxa"/>
            <w:tcBorders>
              <w:top w:val="dashed" w:sz="4" w:space="0" w:color="000000"/>
              <w:left w:val="dashed" w:sz="4" w:space="0" w:color="000000"/>
              <w:bottom w:val="dashed" w:sz="4" w:space="0" w:color="000000"/>
              <w:right w:val="double" w:sz="6" w:space="0" w:color="000000"/>
            </w:tcBorders>
          </w:tcPr>
          <w:p w:rsidR="00E8309B" w:rsidRDefault="009D0949">
            <w:pPr>
              <w:spacing w:after="0" w:line="259" w:lineRule="auto"/>
              <w:ind w:left="0" w:right="52" w:firstLine="0"/>
              <w:jc w:val="right"/>
            </w:pPr>
            <w:r>
              <w:rPr>
                <w:sz w:val="20"/>
              </w:rPr>
              <w:t xml:space="preserve">101,3 </w:t>
            </w:r>
          </w:p>
        </w:tc>
      </w:tr>
      <w:tr w:rsidR="00E8309B">
        <w:trPr>
          <w:trHeight w:val="293"/>
        </w:trPr>
        <w:tc>
          <w:tcPr>
            <w:tcW w:w="6757" w:type="dxa"/>
            <w:tcBorders>
              <w:top w:val="dashed" w:sz="4" w:space="0" w:color="000000"/>
              <w:left w:val="double" w:sz="4" w:space="0" w:color="000000"/>
              <w:bottom w:val="dashed" w:sz="4" w:space="0" w:color="000000"/>
              <w:right w:val="single" w:sz="8" w:space="0" w:color="000000"/>
            </w:tcBorders>
          </w:tcPr>
          <w:p w:rsidR="00E8309B" w:rsidRDefault="009D0949">
            <w:pPr>
              <w:spacing w:after="0" w:line="259" w:lineRule="auto"/>
              <w:ind w:left="0" w:right="0" w:firstLine="0"/>
              <w:jc w:val="left"/>
            </w:pPr>
            <w:r>
              <w:rPr>
                <w:sz w:val="20"/>
              </w:rPr>
              <w:t xml:space="preserve">23. Укупни расходи [7]  </w:t>
            </w:r>
          </w:p>
        </w:tc>
        <w:tc>
          <w:tcPr>
            <w:tcW w:w="1608" w:type="dxa"/>
            <w:tcBorders>
              <w:top w:val="dashed" w:sz="4" w:space="0" w:color="000000"/>
              <w:left w:val="single" w:sz="8" w:space="0" w:color="000000"/>
              <w:bottom w:val="dashed" w:sz="4" w:space="0" w:color="000000"/>
              <w:right w:val="single" w:sz="8" w:space="0" w:color="000000"/>
            </w:tcBorders>
          </w:tcPr>
          <w:p w:rsidR="00E8309B" w:rsidRDefault="009D0949">
            <w:pPr>
              <w:spacing w:after="0" w:line="259" w:lineRule="auto"/>
              <w:ind w:left="0" w:right="45" w:firstLine="0"/>
              <w:jc w:val="center"/>
            </w:pPr>
            <w:r>
              <w:rPr>
                <w:sz w:val="20"/>
              </w:rPr>
              <w:t xml:space="preserve">TE </w:t>
            </w:r>
          </w:p>
        </w:tc>
        <w:tc>
          <w:tcPr>
            <w:tcW w:w="996" w:type="dxa"/>
            <w:tcBorders>
              <w:top w:val="dashed" w:sz="4" w:space="0" w:color="000000"/>
              <w:left w:val="single" w:sz="8" w:space="0" w:color="000000"/>
              <w:bottom w:val="dashed" w:sz="4" w:space="0" w:color="000000"/>
              <w:right w:val="dashed" w:sz="4" w:space="0" w:color="000000"/>
            </w:tcBorders>
          </w:tcPr>
          <w:p w:rsidR="00E8309B" w:rsidRDefault="009D0949">
            <w:pPr>
              <w:spacing w:after="0" w:line="259" w:lineRule="auto"/>
              <w:ind w:left="0" w:right="52" w:firstLine="0"/>
              <w:jc w:val="right"/>
            </w:pPr>
            <w:r>
              <w:rPr>
                <w:sz w:val="20"/>
              </w:rPr>
              <w:t xml:space="preserve">2.073,0 </w:t>
            </w:r>
          </w:p>
        </w:tc>
        <w:tc>
          <w:tcPr>
            <w:tcW w:w="994"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52" w:firstLine="0"/>
              <w:jc w:val="right"/>
            </w:pPr>
            <w:r>
              <w:rPr>
                <w:sz w:val="20"/>
              </w:rPr>
              <w:t xml:space="preserve">2.289,7 </w:t>
            </w:r>
          </w:p>
        </w:tc>
        <w:tc>
          <w:tcPr>
            <w:tcW w:w="987"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50" w:firstLine="0"/>
              <w:jc w:val="right"/>
            </w:pPr>
            <w:r>
              <w:rPr>
                <w:sz w:val="20"/>
              </w:rPr>
              <w:t xml:space="preserve">2.715,8 </w:t>
            </w:r>
          </w:p>
        </w:tc>
        <w:tc>
          <w:tcPr>
            <w:tcW w:w="989"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50" w:firstLine="0"/>
              <w:jc w:val="right"/>
            </w:pPr>
            <w:r>
              <w:rPr>
                <w:sz w:val="20"/>
              </w:rPr>
              <w:t xml:space="preserve">2.603,3 </w:t>
            </w:r>
          </w:p>
        </w:tc>
        <w:tc>
          <w:tcPr>
            <w:tcW w:w="989"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50" w:firstLine="0"/>
              <w:jc w:val="right"/>
            </w:pPr>
            <w:r>
              <w:rPr>
                <w:sz w:val="20"/>
              </w:rPr>
              <w:t xml:space="preserve">2.698,8 </w:t>
            </w:r>
          </w:p>
        </w:tc>
        <w:tc>
          <w:tcPr>
            <w:tcW w:w="992" w:type="dxa"/>
            <w:tcBorders>
              <w:top w:val="dashed" w:sz="4" w:space="0" w:color="000000"/>
              <w:left w:val="dashed" w:sz="4" w:space="0" w:color="000000"/>
              <w:bottom w:val="dashed" w:sz="4" w:space="0" w:color="000000"/>
              <w:right w:val="double" w:sz="6" w:space="0" w:color="000000"/>
            </w:tcBorders>
          </w:tcPr>
          <w:p w:rsidR="00E8309B" w:rsidRDefault="009D0949">
            <w:pPr>
              <w:spacing w:after="0" w:line="259" w:lineRule="auto"/>
              <w:ind w:left="0" w:right="52" w:firstLine="0"/>
              <w:jc w:val="right"/>
            </w:pPr>
            <w:r>
              <w:rPr>
                <w:sz w:val="20"/>
              </w:rPr>
              <w:t xml:space="preserve">2.799,5 </w:t>
            </w:r>
          </w:p>
        </w:tc>
      </w:tr>
      <w:tr w:rsidR="00E8309B">
        <w:trPr>
          <w:trHeight w:val="403"/>
        </w:trPr>
        <w:tc>
          <w:tcPr>
            <w:tcW w:w="6757" w:type="dxa"/>
            <w:tcBorders>
              <w:top w:val="dashed" w:sz="4" w:space="0" w:color="000000"/>
              <w:left w:val="double" w:sz="6" w:space="0" w:color="000000"/>
              <w:bottom w:val="double" w:sz="6" w:space="0" w:color="000000"/>
              <w:right w:val="single" w:sz="8" w:space="0" w:color="000000"/>
            </w:tcBorders>
          </w:tcPr>
          <w:p w:rsidR="00E8309B" w:rsidRDefault="009D0949">
            <w:pPr>
              <w:spacing w:after="0" w:line="259" w:lineRule="auto"/>
              <w:ind w:left="2" w:right="0" w:firstLine="0"/>
              <w:jc w:val="left"/>
            </w:pPr>
            <w:r>
              <w:rPr>
                <w:sz w:val="20"/>
              </w:rPr>
              <w:t xml:space="preserve">информативно: Зараде и накнаде запосленима у јавном сектору </w:t>
            </w:r>
          </w:p>
        </w:tc>
        <w:tc>
          <w:tcPr>
            <w:tcW w:w="1608" w:type="dxa"/>
            <w:tcBorders>
              <w:top w:val="dashed" w:sz="4" w:space="0" w:color="000000"/>
              <w:left w:val="single" w:sz="8" w:space="0" w:color="000000"/>
              <w:bottom w:val="double" w:sz="6" w:space="0" w:color="000000"/>
              <w:right w:val="single" w:sz="8" w:space="0" w:color="000000"/>
            </w:tcBorders>
          </w:tcPr>
          <w:p w:rsidR="00E8309B" w:rsidRDefault="009D0949">
            <w:pPr>
              <w:spacing w:after="0" w:line="259" w:lineRule="auto"/>
              <w:ind w:left="0" w:right="48" w:firstLine="0"/>
              <w:jc w:val="center"/>
            </w:pPr>
            <w:r>
              <w:rPr>
                <w:sz w:val="20"/>
              </w:rPr>
              <w:t xml:space="preserve">D1 </w:t>
            </w:r>
          </w:p>
        </w:tc>
        <w:tc>
          <w:tcPr>
            <w:tcW w:w="996" w:type="dxa"/>
            <w:tcBorders>
              <w:top w:val="dashed" w:sz="4" w:space="0" w:color="000000"/>
              <w:left w:val="single" w:sz="8" w:space="0" w:color="000000"/>
              <w:bottom w:val="double" w:sz="6" w:space="0" w:color="000000"/>
              <w:right w:val="dashed" w:sz="4" w:space="0" w:color="000000"/>
            </w:tcBorders>
          </w:tcPr>
          <w:p w:rsidR="00E8309B" w:rsidRDefault="009D0949">
            <w:pPr>
              <w:spacing w:after="0" w:line="259" w:lineRule="auto"/>
              <w:ind w:left="0" w:right="52" w:firstLine="0"/>
              <w:jc w:val="right"/>
            </w:pPr>
            <w:r>
              <w:rPr>
                <w:sz w:val="20"/>
              </w:rPr>
              <w:t xml:space="preserve">468,8 </w:t>
            </w:r>
          </w:p>
        </w:tc>
        <w:tc>
          <w:tcPr>
            <w:tcW w:w="994" w:type="dxa"/>
            <w:tcBorders>
              <w:top w:val="dashed" w:sz="4" w:space="0" w:color="000000"/>
              <w:left w:val="dashed" w:sz="4" w:space="0" w:color="000000"/>
              <w:bottom w:val="double" w:sz="6" w:space="0" w:color="000000"/>
              <w:right w:val="dashed" w:sz="4" w:space="0" w:color="000000"/>
            </w:tcBorders>
          </w:tcPr>
          <w:p w:rsidR="00E8309B" w:rsidRDefault="009D0949">
            <w:pPr>
              <w:spacing w:after="0" w:line="259" w:lineRule="auto"/>
              <w:ind w:left="0" w:right="52" w:firstLine="0"/>
              <w:jc w:val="right"/>
            </w:pPr>
            <w:r>
              <w:rPr>
                <w:sz w:val="20"/>
              </w:rPr>
              <w:t xml:space="preserve">516,3 </w:t>
            </w:r>
          </w:p>
        </w:tc>
        <w:tc>
          <w:tcPr>
            <w:tcW w:w="987" w:type="dxa"/>
            <w:tcBorders>
              <w:top w:val="dashed" w:sz="4" w:space="0" w:color="000000"/>
              <w:left w:val="dashed" w:sz="4" w:space="0" w:color="000000"/>
              <w:bottom w:val="double" w:sz="6" w:space="0" w:color="000000"/>
              <w:right w:val="dashed" w:sz="4" w:space="0" w:color="000000"/>
            </w:tcBorders>
          </w:tcPr>
          <w:p w:rsidR="00E8309B" w:rsidRDefault="009D0949">
            <w:pPr>
              <w:spacing w:after="0" w:line="259" w:lineRule="auto"/>
              <w:ind w:left="0" w:right="49" w:firstLine="0"/>
              <w:jc w:val="right"/>
            </w:pPr>
            <w:r>
              <w:rPr>
                <w:sz w:val="20"/>
              </w:rPr>
              <w:t xml:space="preserve">575,9 </w:t>
            </w:r>
          </w:p>
        </w:tc>
        <w:tc>
          <w:tcPr>
            <w:tcW w:w="989" w:type="dxa"/>
            <w:tcBorders>
              <w:top w:val="dashed" w:sz="4" w:space="0" w:color="000000"/>
              <w:left w:val="dashed" w:sz="4" w:space="0" w:color="000000"/>
              <w:bottom w:val="double" w:sz="6" w:space="0" w:color="000000"/>
              <w:right w:val="dashed" w:sz="4" w:space="0" w:color="000000"/>
            </w:tcBorders>
          </w:tcPr>
          <w:p w:rsidR="00E8309B" w:rsidRDefault="009D0949">
            <w:pPr>
              <w:spacing w:after="0" w:line="259" w:lineRule="auto"/>
              <w:ind w:left="0" w:right="49" w:firstLine="0"/>
              <w:jc w:val="right"/>
            </w:pPr>
            <w:r>
              <w:rPr>
                <w:sz w:val="20"/>
              </w:rPr>
              <w:t xml:space="preserve">602,5 </w:t>
            </w:r>
          </w:p>
        </w:tc>
        <w:tc>
          <w:tcPr>
            <w:tcW w:w="989" w:type="dxa"/>
            <w:tcBorders>
              <w:top w:val="dashed" w:sz="4" w:space="0" w:color="000000"/>
              <w:left w:val="dashed" w:sz="4" w:space="0" w:color="000000"/>
              <w:bottom w:val="double" w:sz="6" w:space="0" w:color="000000"/>
              <w:right w:val="dashed" w:sz="4" w:space="0" w:color="000000"/>
            </w:tcBorders>
          </w:tcPr>
          <w:p w:rsidR="00E8309B" w:rsidRDefault="009D0949">
            <w:pPr>
              <w:spacing w:after="0" w:line="259" w:lineRule="auto"/>
              <w:ind w:left="0" w:right="49" w:firstLine="0"/>
              <w:jc w:val="right"/>
            </w:pPr>
            <w:r>
              <w:rPr>
                <w:sz w:val="20"/>
              </w:rPr>
              <w:t xml:space="preserve">630,1 </w:t>
            </w:r>
          </w:p>
        </w:tc>
        <w:tc>
          <w:tcPr>
            <w:tcW w:w="992" w:type="dxa"/>
            <w:tcBorders>
              <w:top w:val="dashed" w:sz="4" w:space="0" w:color="000000"/>
              <w:left w:val="dashed" w:sz="4" w:space="0" w:color="000000"/>
              <w:bottom w:val="double" w:sz="6" w:space="0" w:color="000000"/>
              <w:right w:val="double" w:sz="6" w:space="0" w:color="000000"/>
            </w:tcBorders>
          </w:tcPr>
          <w:p w:rsidR="00E8309B" w:rsidRDefault="009D0949">
            <w:pPr>
              <w:spacing w:after="0" w:line="259" w:lineRule="auto"/>
              <w:ind w:left="0" w:right="52" w:firstLine="0"/>
              <w:jc w:val="right"/>
            </w:pPr>
            <w:r>
              <w:rPr>
                <w:sz w:val="20"/>
              </w:rPr>
              <w:t xml:space="preserve">659,0 </w:t>
            </w:r>
          </w:p>
        </w:tc>
      </w:tr>
    </w:tbl>
    <w:p w:rsidR="00E8309B" w:rsidRDefault="009D0949">
      <w:pPr>
        <w:numPr>
          <w:ilvl w:val="0"/>
          <w:numId w:val="54"/>
        </w:numPr>
        <w:spacing w:after="78" w:line="269" w:lineRule="auto"/>
        <w:ind w:right="53" w:hanging="268"/>
        <w:jc w:val="left"/>
      </w:pPr>
      <w:r>
        <w:rPr>
          <w:sz w:val="16"/>
        </w:rPr>
        <w:t>Коригован за следећи ток по основу свопова, тако да је TR-</w:t>
      </w:r>
      <w:r>
        <w:rPr>
          <w:sz w:val="16"/>
        </w:rPr>
        <w:t xml:space="preserve">TE = EDP.B9. </w:t>
      </w:r>
    </w:p>
    <w:p w:rsidR="00E8309B" w:rsidRDefault="009D0949">
      <w:pPr>
        <w:numPr>
          <w:ilvl w:val="0"/>
          <w:numId w:val="54"/>
        </w:numPr>
        <w:spacing w:after="78" w:line="269" w:lineRule="auto"/>
        <w:ind w:right="53" w:hanging="268"/>
        <w:jc w:val="left"/>
      </w:pPr>
      <w:r>
        <w:rPr>
          <w:sz w:val="16"/>
        </w:rPr>
        <w:t xml:space="preserve">Примарни резултат се израчунава као (EDP.B9, ставка 8) плус (EDP D41 + FISIM приказан као међуфазна потрошња, ставка 9). </w:t>
      </w:r>
    </w:p>
    <w:p w:rsidR="00E8309B" w:rsidRDefault="009D0949">
      <w:pPr>
        <w:numPr>
          <w:ilvl w:val="0"/>
          <w:numId w:val="54"/>
        </w:numPr>
        <w:spacing w:after="0" w:line="372" w:lineRule="auto"/>
        <w:ind w:right="53" w:hanging="268"/>
        <w:jc w:val="left"/>
      </w:pPr>
      <w:r>
        <w:rPr>
          <w:sz w:val="16"/>
        </w:rPr>
        <w:t xml:space="preserve">Позитиван знак значи једнократне мере за смањење дефицита. [4] P.11+P.12+P.131+D.39+D.7+D.9 (осим D.91) </w:t>
      </w:r>
    </w:p>
    <w:p w:rsidR="00E8309B" w:rsidRDefault="009D0949">
      <w:pPr>
        <w:spacing w:after="0" w:line="364" w:lineRule="auto"/>
        <w:ind w:left="118" w:right="4349"/>
        <w:jc w:val="left"/>
      </w:pPr>
      <w:r>
        <w:rPr>
          <w:sz w:val="16"/>
        </w:rPr>
        <w:t>[5] Укључујући оне које наплаћује ЕУ и укључујући корекцију за ненаплаћене порезе и доприносе за социјално осигурање (D995), где је то случај. [6] D.29+D4 (осим D.41)+ D.5+D.7+D.9+P.52+P.53+K.2+D.8 [7] Коригован за следећи ток по основу свопова, тако да је</w:t>
      </w:r>
      <w:r>
        <w:rPr>
          <w:sz w:val="16"/>
        </w:rPr>
        <w:t xml:space="preserve"> TR-TE = EDP.B9. </w:t>
      </w:r>
    </w:p>
    <w:p w:rsidR="00E8309B" w:rsidRDefault="009D0949">
      <w:pPr>
        <w:spacing w:after="167" w:line="259" w:lineRule="auto"/>
        <w:ind w:left="0" w:right="0" w:firstLine="0"/>
        <w:jc w:val="left"/>
      </w:pPr>
      <w:r>
        <w:rPr>
          <w:sz w:val="22"/>
        </w:rPr>
        <w:t xml:space="preserve"> </w:t>
      </w:r>
    </w:p>
    <w:p w:rsidR="00E8309B" w:rsidRDefault="009D0949">
      <w:pPr>
        <w:tabs>
          <w:tab w:val="center" w:pos="7905"/>
          <w:tab w:val="center" w:pos="9203"/>
          <w:tab w:val="center" w:pos="10297"/>
          <w:tab w:val="center" w:pos="11330"/>
          <w:tab w:val="right" w:pos="14522"/>
        </w:tabs>
        <w:spacing w:after="0" w:line="259" w:lineRule="auto"/>
        <w:ind w:left="0" w:right="0" w:firstLine="0"/>
        <w:jc w:val="left"/>
      </w:pPr>
      <w:r>
        <w:rPr>
          <w:b/>
          <w:sz w:val="20"/>
        </w:rPr>
        <w:t xml:space="preserve">Table 2a: Буџетски изгледи општег нивоа државе </w:t>
      </w:r>
      <w:r>
        <w:rPr>
          <w:b/>
          <w:sz w:val="20"/>
        </w:rPr>
        <w:tab/>
      </w:r>
      <w:r>
        <w:rPr>
          <w:sz w:val="20"/>
        </w:rPr>
        <w:t xml:space="preserve">  </w:t>
      </w:r>
      <w:r>
        <w:rPr>
          <w:sz w:val="20"/>
        </w:rPr>
        <w:tab/>
        <w:t xml:space="preserve">  </w:t>
      </w:r>
      <w:r>
        <w:rPr>
          <w:sz w:val="20"/>
        </w:rPr>
        <w:tab/>
        <w:t xml:space="preserve">  </w:t>
      </w:r>
      <w:r>
        <w:rPr>
          <w:sz w:val="20"/>
        </w:rPr>
        <w:tab/>
        <w:t xml:space="preserve">  </w:t>
      </w:r>
      <w:r>
        <w:rPr>
          <w:sz w:val="20"/>
        </w:rPr>
        <w:tab/>
      </w:r>
      <w:r>
        <w:rPr>
          <w:b/>
          <w:sz w:val="20"/>
        </w:rPr>
        <w:t>Република Србија</w:t>
      </w:r>
      <w:r>
        <w:rPr>
          <w:sz w:val="20"/>
        </w:rPr>
        <w:t xml:space="preserve"> </w:t>
      </w:r>
    </w:p>
    <w:tbl>
      <w:tblPr>
        <w:tblStyle w:val="TableGrid"/>
        <w:tblW w:w="14573" w:type="dxa"/>
        <w:tblInd w:w="0" w:type="dxa"/>
        <w:tblCellMar>
          <w:top w:w="10" w:type="dxa"/>
          <w:left w:w="0" w:type="dxa"/>
          <w:bottom w:w="0" w:type="dxa"/>
          <w:right w:w="56" w:type="dxa"/>
        </w:tblCellMar>
        <w:tblLook w:val="04A0" w:firstRow="1" w:lastRow="0" w:firstColumn="1" w:lastColumn="0" w:noHBand="0" w:noVBand="1"/>
      </w:tblPr>
      <w:tblGrid>
        <w:gridCol w:w="5927"/>
        <w:gridCol w:w="436"/>
        <w:gridCol w:w="523"/>
        <w:gridCol w:w="1"/>
        <w:gridCol w:w="1151"/>
        <w:gridCol w:w="1"/>
        <w:gridCol w:w="1353"/>
        <w:gridCol w:w="1"/>
        <w:gridCol w:w="1286"/>
        <w:gridCol w:w="1"/>
        <w:gridCol w:w="1031"/>
        <w:gridCol w:w="1"/>
        <w:gridCol w:w="1033"/>
        <w:gridCol w:w="1"/>
        <w:gridCol w:w="1031"/>
        <w:gridCol w:w="1"/>
        <w:gridCol w:w="793"/>
        <w:gridCol w:w="1"/>
      </w:tblGrid>
      <w:tr w:rsidR="00E8309B">
        <w:trPr>
          <w:gridAfter w:val="1"/>
          <w:trHeight w:val="275"/>
        </w:trPr>
        <w:tc>
          <w:tcPr>
            <w:tcW w:w="6363" w:type="dxa"/>
            <w:gridSpan w:val="2"/>
            <w:vMerge w:val="restart"/>
            <w:tcBorders>
              <w:top w:val="double" w:sz="6" w:space="0" w:color="000000"/>
              <w:left w:val="double" w:sz="6" w:space="0" w:color="000000"/>
              <w:bottom w:val="single" w:sz="18" w:space="0" w:color="FFFFFF"/>
              <w:right w:val="nil"/>
            </w:tcBorders>
            <w:vAlign w:val="center"/>
          </w:tcPr>
          <w:p w:rsidR="00E8309B" w:rsidRDefault="009D0949">
            <w:pPr>
              <w:spacing w:after="0" w:line="259" w:lineRule="auto"/>
              <w:ind w:left="110" w:right="0" w:firstLine="0"/>
              <w:jc w:val="left"/>
            </w:pPr>
            <w:r>
              <w:rPr>
                <w:sz w:val="20"/>
              </w:rPr>
              <w:t xml:space="preserve">  </w:t>
            </w:r>
          </w:p>
        </w:tc>
        <w:tc>
          <w:tcPr>
            <w:tcW w:w="523" w:type="dxa"/>
            <w:vMerge w:val="restart"/>
            <w:tcBorders>
              <w:top w:val="double" w:sz="6" w:space="0" w:color="000000"/>
              <w:left w:val="nil"/>
              <w:bottom w:val="single" w:sz="18" w:space="0" w:color="FFFFFF"/>
              <w:right w:val="dashed" w:sz="4" w:space="0" w:color="000000"/>
            </w:tcBorders>
          </w:tcPr>
          <w:p w:rsidR="00E8309B" w:rsidRDefault="00E8309B">
            <w:pPr>
              <w:spacing w:after="160" w:line="259" w:lineRule="auto"/>
              <w:ind w:left="0" w:right="0" w:firstLine="0"/>
              <w:jc w:val="left"/>
            </w:pPr>
          </w:p>
        </w:tc>
        <w:tc>
          <w:tcPr>
            <w:tcW w:w="1152" w:type="dxa"/>
            <w:gridSpan w:val="2"/>
            <w:vMerge w:val="restart"/>
            <w:tcBorders>
              <w:top w:val="double" w:sz="6" w:space="0" w:color="000000"/>
              <w:left w:val="dashed" w:sz="4" w:space="0" w:color="000000"/>
              <w:bottom w:val="single" w:sz="8" w:space="0" w:color="000000"/>
              <w:right w:val="single" w:sz="8" w:space="0" w:color="000000"/>
            </w:tcBorders>
            <w:vAlign w:val="center"/>
          </w:tcPr>
          <w:p w:rsidR="00E8309B" w:rsidRDefault="009D0949">
            <w:pPr>
              <w:spacing w:after="0" w:line="259" w:lineRule="auto"/>
              <w:ind w:left="100" w:right="0" w:firstLine="0"/>
              <w:jc w:val="center"/>
            </w:pPr>
            <w:r>
              <w:rPr>
                <w:sz w:val="20"/>
              </w:rPr>
              <w:t xml:space="preserve">ESA шифра </w:t>
            </w:r>
          </w:p>
        </w:tc>
        <w:tc>
          <w:tcPr>
            <w:tcW w:w="1354" w:type="dxa"/>
            <w:gridSpan w:val="2"/>
            <w:tcBorders>
              <w:top w:val="double" w:sz="6" w:space="0" w:color="000000"/>
              <w:left w:val="single" w:sz="8" w:space="0" w:color="000000"/>
              <w:bottom w:val="single" w:sz="18" w:space="0" w:color="FFFFFF"/>
              <w:right w:val="single" w:sz="8" w:space="0" w:color="000000"/>
            </w:tcBorders>
          </w:tcPr>
          <w:p w:rsidR="00E8309B" w:rsidRDefault="009D0949">
            <w:pPr>
              <w:spacing w:after="0" w:line="259" w:lineRule="auto"/>
              <w:ind w:left="58" w:right="0" w:firstLine="0"/>
              <w:jc w:val="center"/>
            </w:pPr>
            <w:r>
              <w:rPr>
                <w:sz w:val="20"/>
              </w:rPr>
              <w:t xml:space="preserve">год. </w:t>
            </w:r>
          </w:p>
        </w:tc>
        <w:tc>
          <w:tcPr>
            <w:tcW w:w="1287" w:type="dxa"/>
            <w:gridSpan w:val="2"/>
            <w:tcBorders>
              <w:top w:val="double" w:sz="6" w:space="0" w:color="000000"/>
              <w:left w:val="single" w:sz="8" w:space="0" w:color="000000"/>
              <w:bottom w:val="single" w:sz="18" w:space="0" w:color="FFFFFF"/>
              <w:right w:val="dashed" w:sz="4" w:space="0" w:color="000000"/>
            </w:tcBorders>
          </w:tcPr>
          <w:p w:rsidR="00E8309B" w:rsidRDefault="009D0949">
            <w:pPr>
              <w:spacing w:after="0" w:line="259" w:lineRule="auto"/>
              <w:ind w:left="57" w:right="0" w:firstLine="0"/>
              <w:jc w:val="center"/>
            </w:pPr>
            <w:r>
              <w:rPr>
                <w:sz w:val="20"/>
              </w:rPr>
              <w:t xml:space="preserve">год. </w:t>
            </w:r>
          </w:p>
        </w:tc>
        <w:tc>
          <w:tcPr>
            <w:tcW w:w="1032" w:type="dxa"/>
            <w:gridSpan w:val="2"/>
            <w:vMerge w:val="restart"/>
            <w:tcBorders>
              <w:top w:val="double" w:sz="6" w:space="0" w:color="000000"/>
              <w:left w:val="dashed" w:sz="4" w:space="0" w:color="000000"/>
              <w:bottom w:val="dashed" w:sz="4" w:space="0" w:color="000000"/>
              <w:right w:val="dashed" w:sz="4" w:space="0" w:color="000000"/>
            </w:tcBorders>
          </w:tcPr>
          <w:p w:rsidR="00E8309B" w:rsidRDefault="009D0949">
            <w:pPr>
              <w:spacing w:after="24" w:line="259" w:lineRule="auto"/>
              <w:ind w:left="58" w:right="0" w:firstLine="0"/>
              <w:jc w:val="center"/>
            </w:pPr>
            <w:r>
              <w:rPr>
                <w:sz w:val="20"/>
              </w:rPr>
              <w:t xml:space="preserve">год. </w:t>
            </w:r>
          </w:p>
          <w:p w:rsidR="00E8309B" w:rsidRDefault="009D0949">
            <w:pPr>
              <w:spacing w:after="0" w:line="259" w:lineRule="auto"/>
              <w:ind w:left="59" w:right="0" w:firstLine="0"/>
              <w:jc w:val="center"/>
            </w:pPr>
            <w:r>
              <w:rPr>
                <w:sz w:val="20"/>
              </w:rPr>
              <w:t xml:space="preserve">2020 </w:t>
            </w:r>
          </w:p>
        </w:tc>
        <w:tc>
          <w:tcPr>
            <w:tcW w:w="1034" w:type="dxa"/>
            <w:gridSpan w:val="2"/>
            <w:vMerge w:val="restart"/>
            <w:tcBorders>
              <w:top w:val="double" w:sz="6" w:space="0" w:color="000000"/>
              <w:left w:val="dashed" w:sz="4" w:space="0" w:color="000000"/>
              <w:bottom w:val="dashed" w:sz="4" w:space="0" w:color="000000"/>
              <w:right w:val="dashed" w:sz="4" w:space="0" w:color="000000"/>
            </w:tcBorders>
          </w:tcPr>
          <w:p w:rsidR="00E8309B" w:rsidRDefault="009D0949">
            <w:pPr>
              <w:spacing w:after="24" w:line="259" w:lineRule="auto"/>
              <w:ind w:left="60" w:right="0" w:firstLine="0"/>
              <w:jc w:val="center"/>
            </w:pPr>
            <w:r>
              <w:rPr>
                <w:sz w:val="20"/>
              </w:rPr>
              <w:t xml:space="preserve">год. </w:t>
            </w:r>
          </w:p>
          <w:p w:rsidR="00E8309B" w:rsidRDefault="009D0949">
            <w:pPr>
              <w:spacing w:after="0" w:line="259" w:lineRule="auto"/>
              <w:ind w:left="62" w:right="0" w:firstLine="0"/>
              <w:jc w:val="center"/>
            </w:pPr>
            <w:r>
              <w:rPr>
                <w:sz w:val="20"/>
              </w:rPr>
              <w:t xml:space="preserve">2021 </w:t>
            </w:r>
          </w:p>
        </w:tc>
        <w:tc>
          <w:tcPr>
            <w:tcW w:w="1032" w:type="dxa"/>
            <w:gridSpan w:val="2"/>
            <w:vMerge w:val="restart"/>
            <w:tcBorders>
              <w:top w:val="double" w:sz="6" w:space="0" w:color="000000"/>
              <w:left w:val="dashed" w:sz="4" w:space="0" w:color="000000"/>
              <w:bottom w:val="dashed" w:sz="4" w:space="0" w:color="000000"/>
              <w:right w:val="dashed" w:sz="4" w:space="0" w:color="000000"/>
            </w:tcBorders>
          </w:tcPr>
          <w:p w:rsidR="00E8309B" w:rsidRDefault="009D0949">
            <w:pPr>
              <w:spacing w:after="24" w:line="259" w:lineRule="auto"/>
              <w:ind w:left="58" w:right="0" w:firstLine="0"/>
              <w:jc w:val="center"/>
            </w:pPr>
            <w:r>
              <w:rPr>
                <w:sz w:val="20"/>
              </w:rPr>
              <w:t xml:space="preserve">год. </w:t>
            </w:r>
          </w:p>
          <w:p w:rsidR="00E8309B" w:rsidRDefault="009D0949">
            <w:pPr>
              <w:spacing w:after="0" w:line="259" w:lineRule="auto"/>
              <w:ind w:left="59" w:right="0" w:firstLine="0"/>
              <w:jc w:val="center"/>
            </w:pPr>
            <w:r>
              <w:rPr>
                <w:sz w:val="20"/>
              </w:rPr>
              <w:t xml:space="preserve">2022 </w:t>
            </w:r>
          </w:p>
        </w:tc>
        <w:tc>
          <w:tcPr>
            <w:tcW w:w="794" w:type="dxa"/>
            <w:gridSpan w:val="2"/>
            <w:tcBorders>
              <w:top w:val="double" w:sz="6" w:space="0" w:color="000000"/>
              <w:left w:val="dashed" w:sz="4" w:space="0" w:color="000000"/>
              <w:bottom w:val="single" w:sz="18" w:space="0" w:color="FFFFFF"/>
              <w:right w:val="double" w:sz="6" w:space="0" w:color="000000"/>
            </w:tcBorders>
          </w:tcPr>
          <w:p w:rsidR="00E8309B" w:rsidRDefault="009D0949">
            <w:pPr>
              <w:spacing w:after="0" w:line="259" w:lineRule="auto"/>
              <w:ind w:left="56" w:right="0" w:firstLine="0"/>
              <w:jc w:val="center"/>
            </w:pPr>
            <w:r>
              <w:rPr>
                <w:sz w:val="20"/>
              </w:rPr>
              <w:t xml:space="preserve">год. </w:t>
            </w:r>
          </w:p>
        </w:tc>
      </w:tr>
      <w:tr w:rsidR="00E8309B">
        <w:trPr>
          <w:gridAfter w:val="1"/>
          <w:trHeight w:val="270"/>
        </w:trPr>
        <w:tc>
          <w:tcPr>
            <w:tcW w:w="0" w:type="auto"/>
            <w:gridSpan w:val="2"/>
            <w:vMerge/>
            <w:tcBorders>
              <w:top w:val="nil"/>
              <w:left w:val="double" w:sz="6" w:space="0" w:color="000000"/>
              <w:bottom w:val="single" w:sz="18" w:space="0" w:color="FFFFFF"/>
              <w:right w:val="nil"/>
            </w:tcBorders>
          </w:tcPr>
          <w:p w:rsidR="00E8309B" w:rsidRDefault="00E8309B">
            <w:pPr>
              <w:spacing w:after="160" w:line="259" w:lineRule="auto"/>
              <w:ind w:left="0" w:right="0" w:firstLine="0"/>
              <w:jc w:val="left"/>
            </w:pPr>
          </w:p>
        </w:tc>
        <w:tc>
          <w:tcPr>
            <w:tcW w:w="0" w:type="auto"/>
            <w:vMerge/>
            <w:tcBorders>
              <w:top w:val="nil"/>
              <w:left w:val="nil"/>
              <w:bottom w:val="single" w:sz="18" w:space="0" w:color="FFFFFF"/>
              <w:right w:val="dashed" w:sz="4" w:space="0" w:color="000000"/>
            </w:tcBorders>
          </w:tcPr>
          <w:p w:rsidR="00E8309B" w:rsidRDefault="00E8309B">
            <w:pPr>
              <w:spacing w:after="160" w:line="259" w:lineRule="auto"/>
              <w:ind w:left="0" w:right="0" w:firstLine="0"/>
              <w:jc w:val="left"/>
            </w:pPr>
          </w:p>
        </w:tc>
        <w:tc>
          <w:tcPr>
            <w:tcW w:w="0" w:type="auto"/>
            <w:gridSpan w:val="2"/>
            <w:vMerge/>
            <w:tcBorders>
              <w:top w:val="nil"/>
              <w:left w:val="dashed" w:sz="4" w:space="0" w:color="000000"/>
              <w:bottom w:val="nil"/>
              <w:right w:val="single" w:sz="8" w:space="0" w:color="000000"/>
            </w:tcBorders>
          </w:tcPr>
          <w:p w:rsidR="00E8309B" w:rsidRDefault="00E8309B">
            <w:pPr>
              <w:spacing w:after="160" w:line="259" w:lineRule="auto"/>
              <w:ind w:left="0" w:right="0" w:firstLine="0"/>
              <w:jc w:val="left"/>
            </w:pPr>
          </w:p>
        </w:tc>
        <w:tc>
          <w:tcPr>
            <w:tcW w:w="1354" w:type="dxa"/>
            <w:gridSpan w:val="2"/>
            <w:tcBorders>
              <w:top w:val="single" w:sz="18" w:space="0" w:color="FFFFFF"/>
              <w:left w:val="single" w:sz="8" w:space="0" w:color="000000"/>
              <w:bottom w:val="dashed" w:sz="4" w:space="0" w:color="000000"/>
              <w:right w:val="single" w:sz="8" w:space="0" w:color="000000"/>
            </w:tcBorders>
          </w:tcPr>
          <w:p w:rsidR="00E8309B" w:rsidRDefault="009D0949">
            <w:pPr>
              <w:spacing w:after="0" w:line="259" w:lineRule="auto"/>
              <w:ind w:left="59" w:right="0" w:firstLine="0"/>
              <w:jc w:val="center"/>
            </w:pPr>
            <w:r>
              <w:rPr>
                <w:sz w:val="20"/>
              </w:rPr>
              <w:t xml:space="preserve">2019 </w:t>
            </w:r>
          </w:p>
        </w:tc>
        <w:tc>
          <w:tcPr>
            <w:tcW w:w="1287" w:type="dxa"/>
            <w:gridSpan w:val="2"/>
            <w:tcBorders>
              <w:top w:val="single" w:sz="18" w:space="0" w:color="FFFFFF"/>
              <w:left w:val="single" w:sz="8" w:space="0" w:color="000000"/>
              <w:bottom w:val="dashed" w:sz="4" w:space="0" w:color="000000"/>
              <w:right w:val="dashed" w:sz="4" w:space="0" w:color="000000"/>
            </w:tcBorders>
          </w:tcPr>
          <w:p w:rsidR="00E8309B" w:rsidRDefault="009D0949">
            <w:pPr>
              <w:spacing w:after="0" w:line="259" w:lineRule="auto"/>
              <w:ind w:left="59" w:right="0" w:firstLine="0"/>
              <w:jc w:val="center"/>
            </w:pPr>
            <w:r>
              <w:rPr>
                <w:sz w:val="20"/>
              </w:rPr>
              <w:t xml:space="preserve">2019 </w:t>
            </w:r>
          </w:p>
        </w:tc>
        <w:tc>
          <w:tcPr>
            <w:tcW w:w="0" w:type="auto"/>
            <w:gridSpan w:val="2"/>
            <w:vMerge/>
            <w:tcBorders>
              <w:top w:val="nil"/>
              <w:left w:val="dashed" w:sz="4" w:space="0" w:color="000000"/>
              <w:bottom w:val="dashed" w:sz="4" w:space="0" w:color="000000"/>
              <w:right w:val="dashed" w:sz="4" w:space="0" w:color="000000"/>
            </w:tcBorders>
          </w:tcPr>
          <w:p w:rsidR="00E8309B" w:rsidRDefault="00E8309B">
            <w:pPr>
              <w:spacing w:after="160" w:line="259" w:lineRule="auto"/>
              <w:ind w:left="0" w:right="0" w:firstLine="0"/>
              <w:jc w:val="left"/>
            </w:pPr>
          </w:p>
        </w:tc>
        <w:tc>
          <w:tcPr>
            <w:tcW w:w="0" w:type="auto"/>
            <w:gridSpan w:val="2"/>
            <w:vMerge/>
            <w:tcBorders>
              <w:top w:val="nil"/>
              <w:left w:val="dashed" w:sz="4" w:space="0" w:color="000000"/>
              <w:bottom w:val="dashed" w:sz="4" w:space="0" w:color="000000"/>
              <w:right w:val="dashed" w:sz="4" w:space="0" w:color="000000"/>
            </w:tcBorders>
          </w:tcPr>
          <w:p w:rsidR="00E8309B" w:rsidRDefault="00E8309B">
            <w:pPr>
              <w:spacing w:after="160" w:line="259" w:lineRule="auto"/>
              <w:ind w:left="0" w:right="0" w:firstLine="0"/>
              <w:jc w:val="left"/>
            </w:pPr>
          </w:p>
        </w:tc>
        <w:tc>
          <w:tcPr>
            <w:tcW w:w="0" w:type="auto"/>
            <w:gridSpan w:val="2"/>
            <w:vMerge/>
            <w:tcBorders>
              <w:top w:val="nil"/>
              <w:left w:val="dashed" w:sz="4" w:space="0" w:color="000000"/>
              <w:bottom w:val="dashed" w:sz="4" w:space="0" w:color="000000"/>
              <w:right w:val="dashed" w:sz="4" w:space="0" w:color="000000"/>
            </w:tcBorders>
          </w:tcPr>
          <w:p w:rsidR="00E8309B" w:rsidRDefault="00E8309B">
            <w:pPr>
              <w:spacing w:after="160" w:line="259" w:lineRule="auto"/>
              <w:ind w:left="0" w:right="0" w:firstLine="0"/>
              <w:jc w:val="left"/>
            </w:pPr>
          </w:p>
        </w:tc>
        <w:tc>
          <w:tcPr>
            <w:tcW w:w="794" w:type="dxa"/>
            <w:gridSpan w:val="2"/>
            <w:tcBorders>
              <w:top w:val="single" w:sz="18" w:space="0" w:color="FFFFFF"/>
              <w:left w:val="dashed" w:sz="4" w:space="0" w:color="000000"/>
              <w:bottom w:val="dashed" w:sz="4" w:space="0" w:color="000000"/>
              <w:right w:val="double" w:sz="6" w:space="0" w:color="000000"/>
            </w:tcBorders>
          </w:tcPr>
          <w:p w:rsidR="00E8309B" w:rsidRDefault="009D0949">
            <w:pPr>
              <w:spacing w:after="0" w:line="259" w:lineRule="auto"/>
              <w:ind w:left="57" w:right="0" w:firstLine="0"/>
              <w:jc w:val="center"/>
            </w:pPr>
            <w:r>
              <w:rPr>
                <w:sz w:val="20"/>
              </w:rPr>
              <w:t xml:space="preserve">2023 </w:t>
            </w:r>
          </w:p>
        </w:tc>
      </w:tr>
      <w:tr w:rsidR="00E8309B">
        <w:trPr>
          <w:gridAfter w:val="1"/>
          <w:trHeight w:val="554"/>
        </w:trPr>
        <w:tc>
          <w:tcPr>
            <w:tcW w:w="6363" w:type="dxa"/>
            <w:gridSpan w:val="2"/>
            <w:tcBorders>
              <w:top w:val="single" w:sz="18" w:space="0" w:color="FFFFFF"/>
              <w:left w:val="double" w:sz="6" w:space="0" w:color="000000"/>
              <w:bottom w:val="single" w:sz="8" w:space="0" w:color="000000"/>
              <w:right w:val="nil"/>
            </w:tcBorders>
            <w:vAlign w:val="center"/>
          </w:tcPr>
          <w:p w:rsidR="00E8309B" w:rsidRDefault="009D0949">
            <w:pPr>
              <w:spacing w:after="0" w:line="259" w:lineRule="auto"/>
              <w:ind w:left="110" w:right="0" w:firstLine="0"/>
              <w:jc w:val="left"/>
            </w:pPr>
            <w:r>
              <w:rPr>
                <w:sz w:val="20"/>
              </w:rPr>
              <w:t xml:space="preserve">  </w:t>
            </w:r>
          </w:p>
        </w:tc>
        <w:tc>
          <w:tcPr>
            <w:tcW w:w="523" w:type="dxa"/>
            <w:tcBorders>
              <w:top w:val="single" w:sz="18" w:space="0" w:color="FFFFFF"/>
              <w:left w:val="nil"/>
              <w:bottom w:val="single" w:sz="8" w:space="0" w:color="000000"/>
              <w:right w:val="dashed" w:sz="4" w:space="0" w:color="000000"/>
            </w:tcBorders>
            <w:vAlign w:val="bottom"/>
          </w:tcPr>
          <w:p w:rsidR="00E8309B" w:rsidRDefault="00E8309B">
            <w:pPr>
              <w:spacing w:after="160" w:line="259" w:lineRule="auto"/>
              <w:ind w:left="0" w:right="0" w:firstLine="0"/>
              <w:jc w:val="left"/>
            </w:pPr>
          </w:p>
        </w:tc>
        <w:tc>
          <w:tcPr>
            <w:tcW w:w="0" w:type="auto"/>
            <w:gridSpan w:val="2"/>
            <w:vMerge/>
            <w:tcBorders>
              <w:top w:val="nil"/>
              <w:left w:val="dashed" w:sz="4" w:space="0" w:color="000000"/>
              <w:bottom w:val="single" w:sz="8" w:space="0" w:color="000000"/>
              <w:right w:val="single" w:sz="8" w:space="0" w:color="000000"/>
            </w:tcBorders>
          </w:tcPr>
          <w:p w:rsidR="00E8309B" w:rsidRDefault="00E8309B">
            <w:pPr>
              <w:spacing w:after="160" w:line="259" w:lineRule="auto"/>
              <w:ind w:left="0" w:right="0" w:firstLine="0"/>
              <w:jc w:val="left"/>
            </w:pPr>
          </w:p>
        </w:tc>
        <w:tc>
          <w:tcPr>
            <w:tcW w:w="1354" w:type="dxa"/>
            <w:gridSpan w:val="2"/>
            <w:tcBorders>
              <w:top w:val="dashed" w:sz="4" w:space="0" w:color="000000"/>
              <w:left w:val="single" w:sz="8" w:space="0" w:color="000000"/>
              <w:bottom w:val="single" w:sz="8" w:space="0" w:color="000000"/>
              <w:right w:val="single" w:sz="8" w:space="0" w:color="000000"/>
            </w:tcBorders>
          </w:tcPr>
          <w:p w:rsidR="00E8309B" w:rsidRDefault="009D0949">
            <w:pPr>
              <w:spacing w:after="0" w:line="259" w:lineRule="auto"/>
              <w:ind w:left="0" w:right="0" w:firstLine="0"/>
              <w:jc w:val="center"/>
            </w:pPr>
            <w:r>
              <w:rPr>
                <w:sz w:val="20"/>
              </w:rPr>
              <w:t xml:space="preserve">Ниво (млрд РСД) </w:t>
            </w:r>
          </w:p>
        </w:tc>
        <w:tc>
          <w:tcPr>
            <w:tcW w:w="1287" w:type="dxa"/>
            <w:gridSpan w:val="2"/>
            <w:tcBorders>
              <w:top w:val="dashed" w:sz="4" w:space="0" w:color="000000"/>
              <w:left w:val="single" w:sz="8" w:space="0" w:color="000000"/>
              <w:bottom w:val="single" w:sz="8" w:space="0" w:color="000000"/>
              <w:right w:val="nil"/>
            </w:tcBorders>
          </w:tcPr>
          <w:p w:rsidR="00E8309B" w:rsidRDefault="00E8309B">
            <w:pPr>
              <w:spacing w:after="160" w:line="259" w:lineRule="auto"/>
              <w:ind w:left="0" w:right="0" w:firstLine="0"/>
              <w:jc w:val="left"/>
            </w:pPr>
          </w:p>
        </w:tc>
        <w:tc>
          <w:tcPr>
            <w:tcW w:w="2066" w:type="dxa"/>
            <w:gridSpan w:val="4"/>
            <w:tcBorders>
              <w:top w:val="dashed" w:sz="4" w:space="0" w:color="000000"/>
              <w:left w:val="nil"/>
              <w:bottom w:val="single" w:sz="8" w:space="0" w:color="000000"/>
              <w:right w:val="nil"/>
            </w:tcBorders>
            <w:vAlign w:val="center"/>
          </w:tcPr>
          <w:p w:rsidR="00E8309B" w:rsidRDefault="009D0949">
            <w:pPr>
              <w:spacing w:after="0" w:line="259" w:lineRule="auto"/>
              <w:ind w:left="996" w:right="0" w:firstLine="0"/>
              <w:jc w:val="left"/>
            </w:pPr>
            <w:r>
              <w:rPr>
                <w:sz w:val="20"/>
              </w:rPr>
              <w:t xml:space="preserve">% БДП </w:t>
            </w:r>
          </w:p>
        </w:tc>
        <w:tc>
          <w:tcPr>
            <w:tcW w:w="1032" w:type="dxa"/>
            <w:gridSpan w:val="2"/>
            <w:tcBorders>
              <w:top w:val="dashed" w:sz="4" w:space="0" w:color="000000"/>
              <w:left w:val="nil"/>
              <w:bottom w:val="single" w:sz="8" w:space="0" w:color="000000"/>
              <w:right w:val="nil"/>
            </w:tcBorders>
          </w:tcPr>
          <w:p w:rsidR="00E8309B" w:rsidRDefault="00E8309B">
            <w:pPr>
              <w:spacing w:after="160" w:line="259" w:lineRule="auto"/>
              <w:ind w:left="0" w:right="0" w:firstLine="0"/>
              <w:jc w:val="left"/>
            </w:pPr>
          </w:p>
        </w:tc>
        <w:tc>
          <w:tcPr>
            <w:tcW w:w="794" w:type="dxa"/>
            <w:gridSpan w:val="2"/>
            <w:tcBorders>
              <w:top w:val="dashed" w:sz="4" w:space="0" w:color="000000"/>
              <w:left w:val="nil"/>
              <w:bottom w:val="single" w:sz="8" w:space="0" w:color="000000"/>
              <w:right w:val="double" w:sz="6" w:space="0" w:color="000000"/>
            </w:tcBorders>
          </w:tcPr>
          <w:p w:rsidR="00E8309B" w:rsidRDefault="00E8309B">
            <w:pPr>
              <w:spacing w:after="160" w:line="259" w:lineRule="auto"/>
              <w:ind w:left="0" w:right="0" w:firstLine="0"/>
              <w:jc w:val="left"/>
            </w:pPr>
          </w:p>
        </w:tc>
      </w:tr>
      <w:tr w:rsidR="00E8309B">
        <w:trPr>
          <w:gridAfter w:val="1"/>
          <w:trHeight w:val="418"/>
        </w:trPr>
        <w:tc>
          <w:tcPr>
            <w:tcW w:w="6363" w:type="dxa"/>
            <w:gridSpan w:val="2"/>
            <w:tcBorders>
              <w:top w:val="single" w:sz="8" w:space="0" w:color="000000"/>
              <w:left w:val="double" w:sz="6" w:space="0" w:color="000000"/>
              <w:bottom w:val="single" w:sz="8" w:space="0" w:color="000000"/>
              <w:right w:val="nil"/>
            </w:tcBorders>
          </w:tcPr>
          <w:p w:rsidR="00E8309B" w:rsidRDefault="009D0949">
            <w:pPr>
              <w:spacing w:after="0" w:line="259" w:lineRule="auto"/>
              <w:ind w:left="1738" w:right="0" w:firstLine="0"/>
              <w:jc w:val="left"/>
            </w:pPr>
            <w:r>
              <w:rPr>
                <w:b/>
                <w:sz w:val="20"/>
              </w:rPr>
              <w:t xml:space="preserve">Нето позајмице (B9) по подсекторима </w:t>
            </w:r>
          </w:p>
        </w:tc>
        <w:tc>
          <w:tcPr>
            <w:tcW w:w="3029" w:type="dxa"/>
            <w:gridSpan w:val="5"/>
            <w:tcBorders>
              <w:top w:val="single" w:sz="8" w:space="0" w:color="000000"/>
              <w:left w:val="nil"/>
              <w:bottom w:val="single" w:sz="8" w:space="0" w:color="000000"/>
              <w:right w:val="nil"/>
            </w:tcBorders>
          </w:tcPr>
          <w:p w:rsidR="00E8309B" w:rsidRDefault="009D0949">
            <w:pPr>
              <w:spacing w:after="0" w:line="259" w:lineRule="auto"/>
              <w:ind w:left="1073" w:right="0" w:firstLine="0"/>
              <w:jc w:val="left"/>
            </w:pPr>
            <w:r>
              <w:rPr>
                <w:b/>
                <w:sz w:val="20"/>
              </w:rPr>
              <w:t xml:space="preserve">  </w:t>
            </w:r>
            <w:r>
              <w:rPr>
                <w:b/>
                <w:sz w:val="20"/>
              </w:rPr>
              <w:tab/>
              <w:t xml:space="preserve">  </w:t>
            </w:r>
          </w:p>
        </w:tc>
        <w:tc>
          <w:tcPr>
            <w:tcW w:w="1287" w:type="dxa"/>
            <w:gridSpan w:val="2"/>
            <w:tcBorders>
              <w:top w:val="single" w:sz="8" w:space="0" w:color="000000"/>
              <w:left w:val="nil"/>
              <w:bottom w:val="single" w:sz="8" w:space="0" w:color="000000"/>
              <w:right w:val="nil"/>
            </w:tcBorders>
          </w:tcPr>
          <w:p w:rsidR="00E8309B" w:rsidRDefault="009D0949">
            <w:pPr>
              <w:spacing w:after="0" w:line="259" w:lineRule="auto"/>
              <w:ind w:left="497" w:right="0" w:firstLine="0"/>
              <w:jc w:val="left"/>
            </w:pPr>
            <w:r>
              <w:rPr>
                <w:b/>
                <w:sz w:val="20"/>
              </w:rPr>
              <w:t xml:space="preserve">  </w:t>
            </w:r>
          </w:p>
        </w:tc>
        <w:tc>
          <w:tcPr>
            <w:tcW w:w="2066" w:type="dxa"/>
            <w:gridSpan w:val="4"/>
            <w:tcBorders>
              <w:top w:val="single" w:sz="8" w:space="0" w:color="000000"/>
              <w:left w:val="nil"/>
              <w:bottom w:val="single" w:sz="8" w:space="0" w:color="000000"/>
              <w:right w:val="nil"/>
            </w:tcBorders>
          </w:tcPr>
          <w:p w:rsidR="00E8309B" w:rsidRDefault="009D0949">
            <w:pPr>
              <w:spacing w:after="0" w:line="259" w:lineRule="auto"/>
              <w:ind w:left="250" w:right="0" w:firstLine="0"/>
              <w:jc w:val="left"/>
            </w:pPr>
            <w:r>
              <w:rPr>
                <w:b/>
                <w:sz w:val="20"/>
              </w:rPr>
              <w:t xml:space="preserve">  </w:t>
            </w:r>
            <w:r>
              <w:rPr>
                <w:b/>
                <w:sz w:val="20"/>
              </w:rPr>
              <w:tab/>
              <w:t xml:space="preserve">  </w:t>
            </w:r>
          </w:p>
        </w:tc>
        <w:tc>
          <w:tcPr>
            <w:tcW w:w="1032" w:type="dxa"/>
            <w:gridSpan w:val="2"/>
            <w:tcBorders>
              <w:top w:val="single" w:sz="8" w:space="0" w:color="000000"/>
              <w:left w:val="nil"/>
              <w:bottom w:val="single" w:sz="8" w:space="0" w:color="000000"/>
              <w:right w:val="nil"/>
            </w:tcBorders>
          </w:tcPr>
          <w:p w:rsidR="00E8309B" w:rsidRDefault="009D0949">
            <w:pPr>
              <w:spacing w:after="0" w:line="259" w:lineRule="auto"/>
              <w:ind w:left="250" w:right="0" w:firstLine="0"/>
              <w:jc w:val="left"/>
            </w:pPr>
            <w:r>
              <w:rPr>
                <w:b/>
                <w:sz w:val="20"/>
              </w:rPr>
              <w:t xml:space="preserve">  </w:t>
            </w:r>
          </w:p>
        </w:tc>
        <w:tc>
          <w:tcPr>
            <w:tcW w:w="794" w:type="dxa"/>
            <w:gridSpan w:val="2"/>
            <w:tcBorders>
              <w:top w:val="single" w:sz="8" w:space="0" w:color="000000"/>
              <w:left w:val="nil"/>
              <w:bottom w:val="single" w:sz="8" w:space="0" w:color="000000"/>
              <w:right w:val="double" w:sz="6" w:space="0" w:color="000000"/>
            </w:tcBorders>
          </w:tcPr>
          <w:p w:rsidR="00E8309B" w:rsidRDefault="009D0949">
            <w:pPr>
              <w:spacing w:after="0" w:line="259" w:lineRule="auto"/>
              <w:ind w:left="252" w:right="0" w:firstLine="0"/>
              <w:jc w:val="left"/>
            </w:pPr>
            <w:r>
              <w:rPr>
                <w:b/>
                <w:sz w:val="20"/>
              </w:rPr>
              <w:t xml:space="preserve">  </w:t>
            </w:r>
          </w:p>
        </w:tc>
      </w:tr>
      <w:tr w:rsidR="00E8309B">
        <w:trPr>
          <w:gridAfter w:val="1"/>
          <w:trHeight w:val="298"/>
        </w:trPr>
        <w:tc>
          <w:tcPr>
            <w:tcW w:w="6363" w:type="dxa"/>
            <w:gridSpan w:val="2"/>
            <w:tcBorders>
              <w:top w:val="single" w:sz="8" w:space="0" w:color="000000"/>
              <w:left w:val="double" w:sz="6" w:space="0" w:color="000000"/>
              <w:bottom w:val="dashed" w:sz="4" w:space="0" w:color="000000"/>
              <w:right w:val="nil"/>
            </w:tcBorders>
          </w:tcPr>
          <w:p w:rsidR="00E8309B" w:rsidRDefault="009D0949">
            <w:pPr>
              <w:spacing w:after="0" w:line="259" w:lineRule="auto"/>
              <w:ind w:left="110" w:right="0" w:firstLine="0"/>
              <w:jc w:val="left"/>
            </w:pPr>
            <w:r>
              <w:rPr>
                <w:sz w:val="20"/>
              </w:rPr>
              <w:t xml:space="preserve">1. Општи ниво државе </w:t>
            </w:r>
          </w:p>
        </w:tc>
        <w:tc>
          <w:tcPr>
            <w:tcW w:w="523" w:type="dxa"/>
            <w:tcBorders>
              <w:top w:val="single" w:sz="8" w:space="0" w:color="000000"/>
              <w:left w:val="nil"/>
              <w:bottom w:val="dashed" w:sz="4" w:space="0" w:color="000000"/>
              <w:right w:val="dashed" w:sz="4" w:space="0" w:color="000000"/>
            </w:tcBorders>
          </w:tcPr>
          <w:p w:rsidR="00E8309B" w:rsidRDefault="00E8309B">
            <w:pPr>
              <w:spacing w:after="160" w:line="259" w:lineRule="auto"/>
              <w:ind w:left="0" w:right="0" w:firstLine="0"/>
              <w:jc w:val="left"/>
            </w:pPr>
          </w:p>
        </w:tc>
        <w:tc>
          <w:tcPr>
            <w:tcW w:w="1152" w:type="dxa"/>
            <w:gridSpan w:val="2"/>
            <w:tcBorders>
              <w:top w:val="single" w:sz="8" w:space="0" w:color="000000"/>
              <w:left w:val="dashed" w:sz="4" w:space="0" w:color="000000"/>
              <w:bottom w:val="dashed" w:sz="4" w:space="0" w:color="000000"/>
              <w:right w:val="single" w:sz="8" w:space="0" w:color="000000"/>
            </w:tcBorders>
          </w:tcPr>
          <w:p w:rsidR="00E8309B" w:rsidRDefault="009D0949">
            <w:pPr>
              <w:spacing w:after="0" w:line="259" w:lineRule="auto"/>
              <w:ind w:left="55" w:right="0" w:firstLine="0"/>
              <w:jc w:val="center"/>
            </w:pPr>
            <w:r>
              <w:rPr>
                <w:sz w:val="20"/>
              </w:rPr>
              <w:t xml:space="preserve">S13 </w:t>
            </w:r>
          </w:p>
        </w:tc>
        <w:tc>
          <w:tcPr>
            <w:tcW w:w="1354" w:type="dxa"/>
            <w:gridSpan w:val="2"/>
            <w:tcBorders>
              <w:top w:val="single" w:sz="8" w:space="0" w:color="000000"/>
              <w:left w:val="single" w:sz="8" w:space="0" w:color="000000"/>
              <w:bottom w:val="dashed" w:sz="4" w:space="0" w:color="000000"/>
              <w:right w:val="single" w:sz="8" w:space="0" w:color="000000"/>
            </w:tcBorders>
          </w:tcPr>
          <w:p w:rsidR="00E8309B" w:rsidRDefault="009D0949">
            <w:pPr>
              <w:spacing w:after="0" w:line="259" w:lineRule="auto"/>
              <w:ind w:left="0" w:right="52" w:firstLine="0"/>
              <w:jc w:val="right"/>
            </w:pPr>
            <w:r>
              <w:rPr>
                <w:sz w:val="20"/>
              </w:rPr>
              <w:t xml:space="preserve">-11,1135 </w:t>
            </w:r>
          </w:p>
        </w:tc>
        <w:tc>
          <w:tcPr>
            <w:tcW w:w="1287" w:type="dxa"/>
            <w:gridSpan w:val="2"/>
            <w:tcBorders>
              <w:top w:val="single" w:sz="8" w:space="0" w:color="000000"/>
              <w:left w:val="single" w:sz="8" w:space="0" w:color="000000"/>
              <w:bottom w:val="dashed" w:sz="4" w:space="0" w:color="000000"/>
              <w:right w:val="dashed" w:sz="4" w:space="0" w:color="000000"/>
            </w:tcBorders>
          </w:tcPr>
          <w:p w:rsidR="00E8309B" w:rsidRDefault="009D0949">
            <w:pPr>
              <w:spacing w:after="0" w:line="259" w:lineRule="auto"/>
              <w:ind w:left="0" w:right="52" w:firstLine="0"/>
              <w:jc w:val="right"/>
            </w:pPr>
            <w:r>
              <w:rPr>
                <w:sz w:val="20"/>
              </w:rPr>
              <w:t xml:space="preserve">-0,2 </w:t>
            </w:r>
          </w:p>
        </w:tc>
        <w:tc>
          <w:tcPr>
            <w:tcW w:w="1032" w:type="dxa"/>
            <w:gridSpan w:val="2"/>
            <w:tcBorders>
              <w:top w:val="single" w:sz="8" w:space="0" w:color="000000"/>
              <w:left w:val="dashed" w:sz="4" w:space="0" w:color="000000"/>
              <w:bottom w:val="dashed" w:sz="4" w:space="0" w:color="000000"/>
              <w:right w:val="dashed" w:sz="4" w:space="0" w:color="000000"/>
            </w:tcBorders>
          </w:tcPr>
          <w:p w:rsidR="00E8309B" w:rsidRDefault="009D0949">
            <w:pPr>
              <w:spacing w:after="0" w:line="259" w:lineRule="auto"/>
              <w:ind w:left="0" w:right="51" w:firstLine="0"/>
              <w:jc w:val="right"/>
            </w:pPr>
            <w:r>
              <w:rPr>
                <w:sz w:val="20"/>
              </w:rPr>
              <w:t xml:space="preserve">-8,9 </w:t>
            </w:r>
          </w:p>
        </w:tc>
        <w:tc>
          <w:tcPr>
            <w:tcW w:w="1034" w:type="dxa"/>
            <w:gridSpan w:val="2"/>
            <w:tcBorders>
              <w:top w:val="single" w:sz="8" w:space="0" w:color="000000"/>
              <w:left w:val="dashed" w:sz="4" w:space="0" w:color="000000"/>
              <w:bottom w:val="dashed" w:sz="4" w:space="0" w:color="000000"/>
              <w:right w:val="dashed" w:sz="4" w:space="0" w:color="000000"/>
            </w:tcBorders>
          </w:tcPr>
          <w:p w:rsidR="00E8309B" w:rsidRDefault="009D0949">
            <w:pPr>
              <w:spacing w:after="0" w:line="259" w:lineRule="auto"/>
              <w:ind w:left="0" w:right="51" w:firstLine="0"/>
              <w:jc w:val="right"/>
            </w:pPr>
            <w:r>
              <w:rPr>
                <w:sz w:val="20"/>
              </w:rPr>
              <w:t xml:space="preserve">-3,0 </w:t>
            </w:r>
          </w:p>
        </w:tc>
        <w:tc>
          <w:tcPr>
            <w:tcW w:w="1032" w:type="dxa"/>
            <w:gridSpan w:val="2"/>
            <w:tcBorders>
              <w:top w:val="single" w:sz="8" w:space="0" w:color="000000"/>
              <w:left w:val="dashed" w:sz="4" w:space="0" w:color="000000"/>
              <w:bottom w:val="dashed" w:sz="4" w:space="0" w:color="000000"/>
              <w:right w:val="dashed" w:sz="4" w:space="0" w:color="000000"/>
            </w:tcBorders>
          </w:tcPr>
          <w:p w:rsidR="00E8309B" w:rsidRDefault="009D0949">
            <w:pPr>
              <w:spacing w:after="0" w:line="259" w:lineRule="auto"/>
              <w:ind w:left="0" w:right="52" w:firstLine="0"/>
              <w:jc w:val="right"/>
            </w:pPr>
            <w:r>
              <w:rPr>
                <w:sz w:val="20"/>
              </w:rPr>
              <w:t xml:space="preserve">-1,6 </w:t>
            </w:r>
          </w:p>
        </w:tc>
        <w:tc>
          <w:tcPr>
            <w:tcW w:w="794" w:type="dxa"/>
            <w:gridSpan w:val="2"/>
            <w:tcBorders>
              <w:top w:val="single" w:sz="8" w:space="0" w:color="000000"/>
              <w:left w:val="dashed" w:sz="4" w:space="0" w:color="000000"/>
              <w:bottom w:val="dashed" w:sz="4" w:space="0" w:color="000000"/>
              <w:right w:val="double" w:sz="6" w:space="0" w:color="000000"/>
            </w:tcBorders>
          </w:tcPr>
          <w:p w:rsidR="00E8309B" w:rsidRDefault="009D0949">
            <w:pPr>
              <w:spacing w:after="0" w:line="259" w:lineRule="auto"/>
              <w:ind w:left="0" w:right="54" w:firstLine="0"/>
              <w:jc w:val="right"/>
            </w:pPr>
            <w:r>
              <w:rPr>
                <w:sz w:val="20"/>
              </w:rPr>
              <w:t xml:space="preserve">-1,0 </w:t>
            </w:r>
          </w:p>
        </w:tc>
      </w:tr>
      <w:tr w:rsidR="00E8309B">
        <w:trPr>
          <w:gridAfter w:val="1"/>
          <w:trHeight w:val="293"/>
        </w:trPr>
        <w:tc>
          <w:tcPr>
            <w:tcW w:w="6363" w:type="dxa"/>
            <w:gridSpan w:val="2"/>
            <w:tcBorders>
              <w:top w:val="dashed" w:sz="4" w:space="0" w:color="000000"/>
              <w:left w:val="double" w:sz="6" w:space="0" w:color="000000"/>
              <w:bottom w:val="dashed" w:sz="4" w:space="0" w:color="000000"/>
              <w:right w:val="nil"/>
            </w:tcBorders>
          </w:tcPr>
          <w:p w:rsidR="00E8309B" w:rsidRDefault="009D0949">
            <w:pPr>
              <w:spacing w:after="0" w:line="259" w:lineRule="auto"/>
              <w:ind w:left="110" w:right="0" w:firstLine="0"/>
              <w:jc w:val="left"/>
            </w:pPr>
            <w:r>
              <w:rPr>
                <w:sz w:val="20"/>
              </w:rPr>
              <w:t xml:space="preserve">2. централни ниво државе </w:t>
            </w:r>
          </w:p>
        </w:tc>
        <w:tc>
          <w:tcPr>
            <w:tcW w:w="523" w:type="dxa"/>
            <w:tcBorders>
              <w:top w:val="dashed" w:sz="4" w:space="0" w:color="000000"/>
              <w:left w:val="nil"/>
              <w:bottom w:val="dashed" w:sz="4" w:space="0" w:color="000000"/>
              <w:right w:val="dashed" w:sz="4" w:space="0" w:color="000000"/>
            </w:tcBorders>
          </w:tcPr>
          <w:p w:rsidR="00E8309B" w:rsidRDefault="00E8309B">
            <w:pPr>
              <w:spacing w:after="160" w:line="259" w:lineRule="auto"/>
              <w:ind w:left="0" w:right="0" w:firstLine="0"/>
              <w:jc w:val="left"/>
            </w:pPr>
          </w:p>
        </w:tc>
        <w:tc>
          <w:tcPr>
            <w:tcW w:w="1152" w:type="dxa"/>
            <w:gridSpan w:val="2"/>
            <w:tcBorders>
              <w:top w:val="dashed" w:sz="4" w:space="0" w:color="000000"/>
              <w:left w:val="dashed" w:sz="4" w:space="0" w:color="000000"/>
              <w:bottom w:val="dashed" w:sz="4" w:space="0" w:color="000000"/>
              <w:right w:val="single" w:sz="8" w:space="0" w:color="000000"/>
            </w:tcBorders>
          </w:tcPr>
          <w:p w:rsidR="00E8309B" w:rsidRDefault="009D0949">
            <w:pPr>
              <w:spacing w:after="0" w:line="259" w:lineRule="auto"/>
              <w:ind w:left="54" w:right="0" w:firstLine="0"/>
              <w:jc w:val="center"/>
            </w:pPr>
            <w:r>
              <w:rPr>
                <w:sz w:val="20"/>
              </w:rPr>
              <w:t xml:space="preserve">S1311 </w:t>
            </w:r>
          </w:p>
        </w:tc>
        <w:tc>
          <w:tcPr>
            <w:tcW w:w="1354" w:type="dxa"/>
            <w:gridSpan w:val="2"/>
            <w:tcBorders>
              <w:top w:val="dashed" w:sz="4" w:space="0" w:color="000000"/>
              <w:left w:val="single" w:sz="8" w:space="0" w:color="000000"/>
              <w:bottom w:val="dashed" w:sz="4" w:space="0" w:color="000000"/>
              <w:right w:val="single" w:sz="8" w:space="0" w:color="000000"/>
            </w:tcBorders>
          </w:tcPr>
          <w:p w:rsidR="00E8309B" w:rsidRDefault="009D0949">
            <w:pPr>
              <w:spacing w:after="0" w:line="259" w:lineRule="auto"/>
              <w:ind w:left="0" w:right="52" w:firstLine="0"/>
              <w:jc w:val="right"/>
            </w:pPr>
            <w:r>
              <w:rPr>
                <w:sz w:val="20"/>
              </w:rPr>
              <w:t xml:space="preserve">-0,7573 </w:t>
            </w:r>
          </w:p>
        </w:tc>
        <w:tc>
          <w:tcPr>
            <w:tcW w:w="1287" w:type="dxa"/>
            <w:gridSpan w:val="2"/>
            <w:tcBorders>
              <w:top w:val="dashed" w:sz="4" w:space="0" w:color="000000"/>
              <w:left w:val="single" w:sz="8" w:space="0" w:color="000000"/>
              <w:bottom w:val="dashed" w:sz="4" w:space="0" w:color="000000"/>
              <w:right w:val="dashed" w:sz="4" w:space="0" w:color="000000"/>
            </w:tcBorders>
          </w:tcPr>
          <w:p w:rsidR="00E8309B" w:rsidRDefault="009D0949">
            <w:pPr>
              <w:spacing w:after="0" w:line="259" w:lineRule="auto"/>
              <w:ind w:left="0" w:right="50" w:firstLine="0"/>
              <w:jc w:val="right"/>
            </w:pPr>
            <w:r>
              <w:rPr>
                <w:sz w:val="20"/>
              </w:rPr>
              <w:t xml:space="preserve">0,0 </w:t>
            </w:r>
          </w:p>
        </w:tc>
        <w:tc>
          <w:tcPr>
            <w:tcW w:w="1032" w:type="dxa"/>
            <w:gridSpan w:val="2"/>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51" w:firstLine="0"/>
              <w:jc w:val="right"/>
            </w:pPr>
            <w:r>
              <w:rPr>
                <w:sz w:val="20"/>
              </w:rPr>
              <w:t xml:space="preserve">-8,8 </w:t>
            </w:r>
          </w:p>
        </w:tc>
        <w:tc>
          <w:tcPr>
            <w:tcW w:w="1034" w:type="dxa"/>
            <w:gridSpan w:val="2"/>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51" w:firstLine="0"/>
              <w:jc w:val="right"/>
            </w:pPr>
            <w:r>
              <w:rPr>
                <w:sz w:val="20"/>
              </w:rPr>
              <w:t xml:space="preserve">-3,0 </w:t>
            </w:r>
          </w:p>
        </w:tc>
        <w:tc>
          <w:tcPr>
            <w:tcW w:w="1032" w:type="dxa"/>
            <w:gridSpan w:val="2"/>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52" w:firstLine="0"/>
              <w:jc w:val="right"/>
            </w:pPr>
            <w:r>
              <w:rPr>
                <w:sz w:val="20"/>
              </w:rPr>
              <w:t xml:space="preserve">-1,7 </w:t>
            </w:r>
          </w:p>
        </w:tc>
        <w:tc>
          <w:tcPr>
            <w:tcW w:w="794" w:type="dxa"/>
            <w:gridSpan w:val="2"/>
            <w:tcBorders>
              <w:top w:val="dashed" w:sz="4" w:space="0" w:color="000000"/>
              <w:left w:val="dashed" w:sz="4" w:space="0" w:color="000000"/>
              <w:bottom w:val="dashed" w:sz="4" w:space="0" w:color="000000"/>
              <w:right w:val="double" w:sz="6" w:space="0" w:color="000000"/>
            </w:tcBorders>
          </w:tcPr>
          <w:p w:rsidR="00E8309B" w:rsidRDefault="009D0949">
            <w:pPr>
              <w:spacing w:after="0" w:line="259" w:lineRule="auto"/>
              <w:ind w:left="0" w:right="54" w:firstLine="0"/>
              <w:jc w:val="right"/>
            </w:pPr>
            <w:r>
              <w:rPr>
                <w:sz w:val="20"/>
              </w:rPr>
              <w:t xml:space="preserve">-1,1 </w:t>
            </w:r>
          </w:p>
        </w:tc>
      </w:tr>
      <w:tr w:rsidR="00E8309B">
        <w:trPr>
          <w:gridAfter w:val="1"/>
          <w:trHeight w:val="293"/>
        </w:trPr>
        <w:tc>
          <w:tcPr>
            <w:tcW w:w="6363" w:type="dxa"/>
            <w:gridSpan w:val="2"/>
            <w:tcBorders>
              <w:top w:val="dashed" w:sz="4" w:space="0" w:color="000000"/>
              <w:left w:val="double" w:sz="6" w:space="0" w:color="000000"/>
              <w:bottom w:val="dashed" w:sz="4" w:space="0" w:color="000000"/>
              <w:right w:val="nil"/>
            </w:tcBorders>
          </w:tcPr>
          <w:p w:rsidR="00E8309B" w:rsidRDefault="009D0949">
            <w:pPr>
              <w:spacing w:after="0" w:line="259" w:lineRule="auto"/>
              <w:ind w:left="110" w:right="0" w:firstLine="0"/>
              <w:jc w:val="left"/>
            </w:pPr>
            <w:r>
              <w:rPr>
                <w:sz w:val="20"/>
              </w:rPr>
              <w:t xml:space="preserve">3. Ниво власти федералних јединица  </w:t>
            </w:r>
          </w:p>
        </w:tc>
        <w:tc>
          <w:tcPr>
            <w:tcW w:w="523" w:type="dxa"/>
            <w:tcBorders>
              <w:top w:val="dashed" w:sz="4" w:space="0" w:color="000000"/>
              <w:left w:val="nil"/>
              <w:bottom w:val="dashed" w:sz="4" w:space="0" w:color="000000"/>
              <w:right w:val="dashed" w:sz="4" w:space="0" w:color="000000"/>
            </w:tcBorders>
            <w:vAlign w:val="bottom"/>
          </w:tcPr>
          <w:p w:rsidR="00E8309B" w:rsidRDefault="00E8309B">
            <w:pPr>
              <w:spacing w:after="160" w:line="259" w:lineRule="auto"/>
              <w:ind w:left="0" w:right="0" w:firstLine="0"/>
              <w:jc w:val="left"/>
            </w:pPr>
          </w:p>
        </w:tc>
        <w:tc>
          <w:tcPr>
            <w:tcW w:w="1152" w:type="dxa"/>
            <w:gridSpan w:val="2"/>
            <w:tcBorders>
              <w:top w:val="dashed" w:sz="4" w:space="0" w:color="000000"/>
              <w:left w:val="dashed" w:sz="4" w:space="0" w:color="000000"/>
              <w:bottom w:val="dashed" w:sz="4" w:space="0" w:color="000000"/>
              <w:right w:val="single" w:sz="8" w:space="0" w:color="000000"/>
            </w:tcBorders>
          </w:tcPr>
          <w:p w:rsidR="00E8309B" w:rsidRDefault="009D0949">
            <w:pPr>
              <w:spacing w:after="0" w:line="259" w:lineRule="auto"/>
              <w:ind w:left="54" w:right="0" w:firstLine="0"/>
              <w:jc w:val="center"/>
            </w:pPr>
            <w:r>
              <w:rPr>
                <w:sz w:val="20"/>
              </w:rPr>
              <w:t xml:space="preserve">S1312 </w:t>
            </w:r>
          </w:p>
        </w:tc>
        <w:tc>
          <w:tcPr>
            <w:tcW w:w="1354" w:type="dxa"/>
            <w:gridSpan w:val="2"/>
            <w:tcBorders>
              <w:top w:val="dashed" w:sz="4" w:space="0" w:color="000000"/>
              <w:left w:val="single" w:sz="8" w:space="0" w:color="000000"/>
              <w:bottom w:val="dashed" w:sz="4" w:space="0" w:color="000000"/>
              <w:right w:val="single" w:sz="8" w:space="0" w:color="000000"/>
            </w:tcBorders>
          </w:tcPr>
          <w:p w:rsidR="00E8309B" w:rsidRDefault="009D0949">
            <w:pPr>
              <w:spacing w:after="0" w:line="259" w:lineRule="auto"/>
              <w:ind w:left="0" w:right="52" w:firstLine="0"/>
              <w:jc w:val="right"/>
            </w:pPr>
            <w:r>
              <w:rPr>
                <w:sz w:val="20"/>
              </w:rPr>
              <w:t xml:space="preserve">: </w:t>
            </w:r>
          </w:p>
        </w:tc>
        <w:tc>
          <w:tcPr>
            <w:tcW w:w="1287" w:type="dxa"/>
            <w:gridSpan w:val="2"/>
            <w:tcBorders>
              <w:top w:val="dashed" w:sz="4" w:space="0" w:color="000000"/>
              <w:left w:val="single" w:sz="8" w:space="0" w:color="000000"/>
              <w:bottom w:val="dashed" w:sz="4" w:space="0" w:color="000000"/>
              <w:right w:val="dashed" w:sz="4" w:space="0" w:color="000000"/>
            </w:tcBorders>
          </w:tcPr>
          <w:p w:rsidR="00E8309B" w:rsidRDefault="009D0949">
            <w:pPr>
              <w:spacing w:after="0" w:line="259" w:lineRule="auto"/>
              <w:ind w:left="0" w:right="50" w:firstLine="0"/>
              <w:jc w:val="right"/>
            </w:pPr>
            <w:r>
              <w:rPr>
                <w:sz w:val="20"/>
              </w:rPr>
              <w:t xml:space="preserve">: </w:t>
            </w:r>
          </w:p>
        </w:tc>
        <w:tc>
          <w:tcPr>
            <w:tcW w:w="1032" w:type="dxa"/>
            <w:gridSpan w:val="2"/>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50" w:firstLine="0"/>
              <w:jc w:val="right"/>
            </w:pPr>
            <w:r>
              <w:rPr>
                <w:sz w:val="20"/>
              </w:rPr>
              <w:t xml:space="preserve">: </w:t>
            </w:r>
          </w:p>
        </w:tc>
        <w:tc>
          <w:tcPr>
            <w:tcW w:w="1034" w:type="dxa"/>
            <w:gridSpan w:val="2"/>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50" w:firstLine="0"/>
              <w:jc w:val="right"/>
            </w:pPr>
            <w:r>
              <w:rPr>
                <w:sz w:val="20"/>
              </w:rPr>
              <w:t>:</w:t>
            </w:r>
            <w:r>
              <w:rPr>
                <w:sz w:val="20"/>
              </w:rPr>
              <w:t xml:space="preserve"> </w:t>
            </w:r>
          </w:p>
        </w:tc>
        <w:tc>
          <w:tcPr>
            <w:tcW w:w="1032" w:type="dxa"/>
            <w:gridSpan w:val="2"/>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50" w:firstLine="0"/>
              <w:jc w:val="right"/>
            </w:pPr>
            <w:r>
              <w:rPr>
                <w:sz w:val="20"/>
              </w:rPr>
              <w:t xml:space="preserve">: </w:t>
            </w:r>
          </w:p>
        </w:tc>
        <w:tc>
          <w:tcPr>
            <w:tcW w:w="794" w:type="dxa"/>
            <w:gridSpan w:val="2"/>
            <w:tcBorders>
              <w:top w:val="dashed" w:sz="4" w:space="0" w:color="000000"/>
              <w:left w:val="dashed" w:sz="4" w:space="0" w:color="000000"/>
              <w:bottom w:val="dashed" w:sz="4" w:space="0" w:color="000000"/>
              <w:right w:val="double" w:sz="6" w:space="0" w:color="000000"/>
            </w:tcBorders>
          </w:tcPr>
          <w:p w:rsidR="00E8309B" w:rsidRDefault="009D0949">
            <w:pPr>
              <w:spacing w:after="0" w:line="259" w:lineRule="auto"/>
              <w:ind w:left="0" w:right="52" w:firstLine="0"/>
              <w:jc w:val="right"/>
            </w:pPr>
            <w:r>
              <w:rPr>
                <w:sz w:val="20"/>
              </w:rPr>
              <w:t xml:space="preserve">: </w:t>
            </w:r>
          </w:p>
        </w:tc>
      </w:tr>
      <w:tr w:rsidR="00E8309B">
        <w:trPr>
          <w:gridAfter w:val="1"/>
          <w:trHeight w:val="293"/>
        </w:trPr>
        <w:tc>
          <w:tcPr>
            <w:tcW w:w="6363" w:type="dxa"/>
            <w:gridSpan w:val="2"/>
            <w:tcBorders>
              <w:top w:val="dashed" w:sz="4" w:space="0" w:color="000000"/>
              <w:left w:val="double" w:sz="6" w:space="0" w:color="000000"/>
              <w:bottom w:val="dashed" w:sz="4" w:space="0" w:color="000000"/>
              <w:right w:val="nil"/>
            </w:tcBorders>
          </w:tcPr>
          <w:p w:rsidR="00E8309B" w:rsidRDefault="009D0949">
            <w:pPr>
              <w:spacing w:after="0" w:line="259" w:lineRule="auto"/>
              <w:ind w:left="110" w:right="0" w:firstLine="0"/>
              <w:jc w:val="left"/>
            </w:pPr>
            <w:r>
              <w:rPr>
                <w:sz w:val="20"/>
              </w:rPr>
              <w:t xml:space="preserve">4. Локална самоуправа </w:t>
            </w:r>
          </w:p>
        </w:tc>
        <w:tc>
          <w:tcPr>
            <w:tcW w:w="523" w:type="dxa"/>
            <w:tcBorders>
              <w:top w:val="dashed" w:sz="4" w:space="0" w:color="000000"/>
              <w:left w:val="nil"/>
              <w:bottom w:val="dashed" w:sz="4" w:space="0" w:color="000000"/>
              <w:right w:val="dashed" w:sz="4" w:space="0" w:color="000000"/>
            </w:tcBorders>
            <w:vAlign w:val="bottom"/>
          </w:tcPr>
          <w:p w:rsidR="00E8309B" w:rsidRDefault="00E8309B">
            <w:pPr>
              <w:spacing w:after="160" w:line="259" w:lineRule="auto"/>
              <w:ind w:left="0" w:right="0" w:firstLine="0"/>
              <w:jc w:val="left"/>
            </w:pPr>
          </w:p>
        </w:tc>
        <w:tc>
          <w:tcPr>
            <w:tcW w:w="1152" w:type="dxa"/>
            <w:gridSpan w:val="2"/>
            <w:tcBorders>
              <w:top w:val="dashed" w:sz="4" w:space="0" w:color="000000"/>
              <w:left w:val="dashed" w:sz="4" w:space="0" w:color="000000"/>
              <w:bottom w:val="dashed" w:sz="4" w:space="0" w:color="000000"/>
              <w:right w:val="single" w:sz="8" w:space="0" w:color="000000"/>
            </w:tcBorders>
          </w:tcPr>
          <w:p w:rsidR="00E8309B" w:rsidRDefault="009D0949">
            <w:pPr>
              <w:spacing w:after="0" w:line="259" w:lineRule="auto"/>
              <w:ind w:left="54" w:right="0" w:firstLine="0"/>
              <w:jc w:val="center"/>
            </w:pPr>
            <w:r>
              <w:rPr>
                <w:sz w:val="20"/>
              </w:rPr>
              <w:t xml:space="preserve">S1313 </w:t>
            </w:r>
          </w:p>
        </w:tc>
        <w:tc>
          <w:tcPr>
            <w:tcW w:w="1354" w:type="dxa"/>
            <w:gridSpan w:val="2"/>
            <w:tcBorders>
              <w:top w:val="dashed" w:sz="4" w:space="0" w:color="000000"/>
              <w:left w:val="single" w:sz="8" w:space="0" w:color="000000"/>
              <w:bottom w:val="dashed" w:sz="4" w:space="0" w:color="000000"/>
              <w:right w:val="single" w:sz="8" w:space="0" w:color="000000"/>
            </w:tcBorders>
          </w:tcPr>
          <w:p w:rsidR="00E8309B" w:rsidRDefault="009D0949">
            <w:pPr>
              <w:spacing w:after="0" w:line="259" w:lineRule="auto"/>
              <w:ind w:left="0" w:right="52" w:firstLine="0"/>
              <w:jc w:val="right"/>
            </w:pPr>
            <w:r>
              <w:rPr>
                <w:sz w:val="20"/>
              </w:rPr>
              <w:t xml:space="preserve">-5,3716 </w:t>
            </w:r>
          </w:p>
        </w:tc>
        <w:tc>
          <w:tcPr>
            <w:tcW w:w="1287" w:type="dxa"/>
            <w:gridSpan w:val="2"/>
            <w:tcBorders>
              <w:top w:val="dashed" w:sz="4" w:space="0" w:color="000000"/>
              <w:left w:val="single" w:sz="8" w:space="0" w:color="000000"/>
              <w:bottom w:val="dashed" w:sz="4" w:space="0" w:color="000000"/>
              <w:right w:val="dashed" w:sz="4" w:space="0" w:color="000000"/>
            </w:tcBorders>
          </w:tcPr>
          <w:p w:rsidR="00E8309B" w:rsidRDefault="009D0949">
            <w:pPr>
              <w:spacing w:after="0" w:line="259" w:lineRule="auto"/>
              <w:ind w:left="0" w:right="52" w:firstLine="0"/>
              <w:jc w:val="right"/>
            </w:pPr>
            <w:r>
              <w:rPr>
                <w:sz w:val="20"/>
              </w:rPr>
              <w:t xml:space="preserve">-0,1 </w:t>
            </w:r>
          </w:p>
        </w:tc>
        <w:tc>
          <w:tcPr>
            <w:tcW w:w="1032" w:type="dxa"/>
            <w:gridSpan w:val="2"/>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49" w:firstLine="0"/>
              <w:jc w:val="right"/>
            </w:pPr>
            <w:r>
              <w:rPr>
                <w:sz w:val="20"/>
              </w:rPr>
              <w:t xml:space="preserve">0,0 </w:t>
            </w:r>
          </w:p>
        </w:tc>
        <w:tc>
          <w:tcPr>
            <w:tcW w:w="1034" w:type="dxa"/>
            <w:gridSpan w:val="2"/>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49" w:firstLine="0"/>
              <w:jc w:val="right"/>
            </w:pPr>
            <w:r>
              <w:rPr>
                <w:sz w:val="20"/>
              </w:rPr>
              <w:t xml:space="preserve">0,0 </w:t>
            </w:r>
          </w:p>
        </w:tc>
        <w:tc>
          <w:tcPr>
            <w:tcW w:w="1032" w:type="dxa"/>
            <w:gridSpan w:val="2"/>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49" w:firstLine="0"/>
              <w:jc w:val="right"/>
            </w:pPr>
            <w:r>
              <w:rPr>
                <w:sz w:val="20"/>
              </w:rPr>
              <w:t xml:space="preserve">0,0 </w:t>
            </w:r>
          </w:p>
        </w:tc>
        <w:tc>
          <w:tcPr>
            <w:tcW w:w="794" w:type="dxa"/>
            <w:gridSpan w:val="2"/>
            <w:tcBorders>
              <w:top w:val="dashed" w:sz="4" w:space="0" w:color="000000"/>
              <w:left w:val="dashed" w:sz="4" w:space="0" w:color="000000"/>
              <w:bottom w:val="dashed" w:sz="4" w:space="0" w:color="000000"/>
              <w:right w:val="double" w:sz="6" w:space="0" w:color="000000"/>
            </w:tcBorders>
          </w:tcPr>
          <w:p w:rsidR="00E8309B" w:rsidRDefault="009D0949">
            <w:pPr>
              <w:spacing w:after="0" w:line="259" w:lineRule="auto"/>
              <w:ind w:left="0" w:right="51" w:firstLine="0"/>
              <w:jc w:val="right"/>
            </w:pPr>
            <w:r>
              <w:rPr>
                <w:sz w:val="20"/>
              </w:rPr>
              <w:t xml:space="preserve">0,0 </w:t>
            </w:r>
          </w:p>
        </w:tc>
      </w:tr>
      <w:tr w:rsidR="00E8309B">
        <w:trPr>
          <w:gridAfter w:val="1"/>
          <w:trHeight w:val="298"/>
        </w:trPr>
        <w:tc>
          <w:tcPr>
            <w:tcW w:w="6363" w:type="dxa"/>
            <w:gridSpan w:val="2"/>
            <w:tcBorders>
              <w:top w:val="dashed" w:sz="4" w:space="0" w:color="000000"/>
              <w:left w:val="double" w:sz="6" w:space="0" w:color="000000"/>
              <w:bottom w:val="single" w:sz="8" w:space="0" w:color="000000"/>
              <w:right w:val="nil"/>
            </w:tcBorders>
          </w:tcPr>
          <w:p w:rsidR="00E8309B" w:rsidRDefault="009D0949">
            <w:pPr>
              <w:spacing w:after="0" w:line="259" w:lineRule="auto"/>
              <w:ind w:left="110" w:right="0" w:firstLine="0"/>
              <w:jc w:val="left"/>
            </w:pPr>
            <w:r>
              <w:rPr>
                <w:sz w:val="20"/>
              </w:rPr>
              <w:t xml:space="preserve">5. Фондови социјалног осигурања </w:t>
            </w:r>
          </w:p>
        </w:tc>
        <w:tc>
          <w:tcPr>
            <w:tcW w:w="523" w:type="dxa"/>
            <w:tcBorders>
              <w:top w:val="dashed" w:sz="4" w:space="0" w:color="000000"/>
              <w:left w:val="nil"/>
              <w:bottom w:val="single" w:sz="8" w:space="0" w:color="000000"/>
              <w:right w:val="dashed" w:sz="4" w:space="0" w:color="000000"/>
            </w:tcBorders>
          </w:tcPr>
          <w:p w:rsidR="00E8309B" w:rsidRDefault="00E8309B">
            <w:pPr>
              <w:spacing w:after="160" w:line="259" w:lineRule="auto"/>
              <w:ind w:left="0" w:right="0" w:firstLine="0"/>
              <w:jc w:val="left"/>
            </w:pPr>
          </w:p>
        </w:tc>
        <w:tc>
          <w:tcPr>
            <w:tcW w:w="1152" w:type="dxa"/>
            <w:gridSpan w:val="2"/>
            <w:tcBorders>
              <w:top w:val="dashed" w:sz="4" w:space="0" w:color="000000"/>
              <w:left w:val="dashed" w:sz="4" w:space="0" w:color="000000"/>
              <w:bottom w:val="single" w:sz="8" w:space="0" w:color="000000"/>
              <w:right w:val="single" w:sz="8" w:space="0" w:color="000000"/>
            </w:tcBorders>
          </w:tcPr>
          <w:p w:rsidR="00E8309B" w:rsidRDefault="009D0949">
            <w:pPr>
              <w:spacing w:after="0" w:line="259" w:lineRule="auto"/>
              <w:ind w:left="54" w:right="0" w:firstLine="0"/>
              <w:jc w:val="center"/>
            </w:pPr>
            <w:r>
              <w:rPr>
                <w:sz w:val="20"/>
              </w:rPr>
              <w:t xml:space="preserve">S1314 </w:t>
            </w:r>
          </w:p>
        </w:tc>
        <w:tc>
          <w:tcPr>
            <w:tcW w:w="1354" w:type="dxa"/>
            <w:gridSpan w:val="2"/>
            <w:tcBorders>
              <w:top w:val="dashed" w:sz="4" w:space="0" w:color="000000"/>
              <w:left w:val="single" w:sz="8" w:space="0" w:color="000000"/>
              <w:bottom w:val="single" w:sz="8" w:space="0" w:color="000000"/>
              <w:right w:val="single" w:sz="8" w:space="0" w:color="000000"/>
            </w:tcBorders>
          </w:tcPr>
          <w:p w:rsidR="00E8309B" w:rsidRDefault="009D0949">
            <w:pPr>
              <w:spacing w:after="0" w:line="259" w:lineRule="auto"/>
              <w:ind w:left="0" w:right="52" w:firstLine="0"/>
              <w:jc w:val="right"/>
            </w:pPr>
            <w:r>
              <w:rPr>
                <w:sz w:val="20"/>
              </w:rPr>
              <w:t xml:space="preserve">-4,9846 </w:t>
            </w:r>
          </w:p>
        </w:tc>
        <w:tc>
          <w:tcPr>
            <w:tcW w:w="1287" w:type="dxa"/>
            <w:gridSpan w:val="2"/>
            <w:tcBorders>
              <w:top w:val="dashed" w:sz="4" w:space="0" w:color="000000"/>
              <w:left w:val="single" w:sz="8" w:space="0" w:color="000000"/>
              <w:bottom w:val="single" w:sz="8" w:space="0" w:color="000000"/>
              <w:right w:val="dashed" w:sz="4" w:space="0" w:color="000000"/>
            </w:tcBorders>
          </w:tcPr>
          <w:p w:rsidR="00E8309B" w:rsidRDefault="009D0949">
            <w:pPr>
              <w:spacing w:after="0" w:line="259" w:lineRule="auto"/>
              <w:ind w:left="0" w:right="52" w:firstLine="0"/>
              <w:jc w:val="right"/>
            </w:pPr>
            <w:r>
              <w:rPr>
                <w:sz w:val="20"/>
              </w:rPr>
              <w:t xml:space="preserve">-0,1 </w:t>
            </w:r>
          </w:p>
        </w:tc>
        <w:tc>
          <w:tcPr>
            <w:tcW w:w="1032" w:type="dxa"/>
            <w:gridSpan w:val="2"/>
            <w:tcBorders>
              <w:top w:val="dashed" w:sz="4" w:space="0" w:color="000000"/>
              <w:left w:val="dashed" w:sz="4" w:space="0" w:color="000000"/>
              <w:bottom w:val="single" w:sz="8" w:space="0" w:color="000000"/>
              <w:right w:val="dashed" w:sz="4" w:space="0" w:color="000000"/>
            </w:tcBorders>
          </w:tcPr>
          <w:p w:rsidR="00E8309B" w:rsidRDefault="009D0949">
            <w:pPr>
              <w:spacing w:after="0" w:line="259" w:lineRule="auto"/>
              <w:ind w:left="0" w:right="51" w:firstLine="0"/>
              <w:jc w:val="right"/>
            </w:pPr>
            <w:r>
              <w:rPr>
                <w:sz w:val="20"/>
              </w:rPr>
              <w:t xml:space="preserve">-0,1 </w:t>
            </w:r>
          </w:p>
        </w:tc>
        <w:tc>
          <w:tcPr>
            <w:tcW w:w="1034" w:type="dxa"/>
            <w:gridSpan w:val="2"/>
            <w:tcBorders>
              <w:top w:val="dashed" w:sz="4" w:space="0" w:color="000000"/>
              <w:left w:val="dashed" w:sz="4" w:space="0" w:color="000000"/>
              <w:bottom w:val="single" w:sz="8" w:space="0" w:color="000000"/>
              <w:right w:val="dashed" w:sz="4" w:space="0" w:color="000000"/>
            </w:tcBorders>
          </w:tcPr>
          <w:p w:rsidR="00E8309B" w:rsidRDefault="009D0949">
            <w:pPr>
              <w:spacing w:after="0" w:line="259" w:lineRule="auto"/>
              <w:ind w:left="0" w:right="49" w:firstLine="0"/>
              <w:jc w:val="right"/>
            </w:pPr>
            <w:r>
              <w:rPr>
                <w:sz w:val="20"/>
              </w:rPr>
              <w:t xml:space="preserve">0,0 </w:t>
            </w:r>
          </w:p>
        </w:tc>
        <w:tc>
          <w:tcPr>
            <w:tcW w:w="1032" w:type="dxa"/>
            <w:gridSpan w:val="2"/>
            <w:tcBorders>
              <w:top w:val="dashed" w:sz="4" w:space="0" w:color="000000"/>
              <w:left w:val="dashed" w:sz="4" w:space="0" w:color="000000"/>
              <w:bottom w:val="single" w:sz="8" w:space="0" w:color="000000"/>
              <w:right w:val="dashed" w:sz="4" w:space="0" w:color="000000"/>
            </w:tcBorders>
          </w:tcPr>
          <w:p w:rsidR="00E8309B" w:rsidRDefault="009D0949">
            <w:pPr>
              <w:spacing w:after="0" w:line="259" w:lineRule="auto"/>
              <w:ind w:left="0" w:right="49" w:firstLine="0"/>
              <w:jc w:val="right"/>
            </w:pPr>
            <w:r>
              <w:rPr>
                <w:sz w:val="20"/>
              </w:rPr>
              <w:t xml:space="preserve">0,0 </w:t>
            </w:r>
          </w:p>
        </w:tc>
        <w:tc>
          <w:tcPr>
            <w:tcW w:w="794" w:type="dxa"/>
            <w:gridSpan w:val="2"/>
            <w:tcBorders>
              <w:top w:val="dashed" w:sz="4" w:space="0" w:color="000000"/>
              <w:left w:val="dashed" w:sz="4" w:space="0" w:color="000000"/>
              <w:bottom w:val="single" w:sz="8" w:space="0" w:color="000000"/>
              <w:right w:val="double" w:sz="6" w:space="0" w:color="000000"/>
            </w:tcBorders>
          </w:tcPr>
          <w:p w:rsidR="00E8309B" w:rsidRDefault="009D0949">
            <w:pPr>
              <w:spacing w:after="0" w:line="259" w:lineRule="auto"/>
              <w:ind w:left="0" w:right="51" w:firstLine="0"/>
              <w:jc w:val="right"/>
            </w:pPr>
            <w:r>
              <w:rPr>
                <w:sz w:val="20"/>
              </w:rPr>
              <w:t xml:space="preserve">0,0 </w:t>
            </w:r>
          </w:p>
        </w:tc>
      </w:tr>
      <w:tr w:rsidR="00E8309B">
        <w:trPr>
          <w:gridAfter w:val="1"/>
          <w:trHeight w:val="440"/>
        </w:trPr>
        <w:tc>
          <w:tcPr>
            <w:tcW w:w="6363" w:type="dxa"/>
            <w:gridSpan w:val="2"/>
            <w:tcBorders>
              <w:top w:val="single" w:sz="8" w:space="0" w:color="000000"/>
              <w:left w:val="double" w:sz="6" w:space="0" w:color="000000"/>
              <w:bottom w:val="single" w:sz="8" w:space="0" w:color="000000"/>
              <w:right w:val="nil"/>
            </w:tcBorders>
          </w:tcPr>
          <w:p w:rsidR="00E8309B" w:rsidRDefault="00E8309B">
            <w:pPr>
              <w:spacing w:after="160" w:line="259" w:lineRule="auto"/>
              <w:ind w:left="0" w:right="0" w:firstLine="0"/>
              <w:jc w:val="left"/>
            </w:pPr>
          </w:p>
        </w:tc>
        <w:tc>
          <w:tcPr>
            <w:tcW w:w="3029" w:type="dxa"/>
            <w:gridSpan w:val="5"/>
            <w:tcBorders>
              <w:top w:val="single" w:sz="8" w:space="0" w:color="000000"/>
              <w:left w:val="nil"/>
              <w:bottom w:val="single" w:sz="8" w:space="0" w:color="000000"/>
              <w:right w:val="nil"/>
            </w:tcBorders>
            <w:vAlign w:val="center"/>
          </w:tcPr>
          <w:p w:rsidR="00E8309B" w:rsidRDefault="009D0949">
            <w:pPr>
              <w:spacing w:after="0" w:line="259" w:lineRule="auto"/>
              <w:ind w:left="0" w:right="0" w:firstLine="0"/>
              <w:jc w:val="left"/>
            </w:pPr>
            <w:r>
              <w:rPr>
                <w:b/>
                <w:sz w:val="20"/>
              </w:rPr>
              <w:t xml:space="preserve">Општа држава (S13) </w:t>
            </w:r>
          </w:p>
        </w:tc>
        <w:tc>
          <w:tcPr>
            <w:tcW w:w="1287" w:type="dxa"/>
            <w:gridSpan w:val="2"/>
            <w:tcBorders>
              <w:top w:val="single" w:sz="8" w:space="0" w:color="000000"/>
              <w:left w:val="nil"/>
              <w:bottom w:val="single" w:sz="8" w:space="0" w:color="000000"/>
              <w:right w:val="nil"/>
            </w:tcBorders>
          </w:tcPr>
          <w:p w:rsidR="00E8309B" w:rsidRDefault="00E8309B">
            <w:pPr>
              <w:spacing w:after="160" w:line="259" w:lineRule="auto"/>
              <w:ind w:left="0" w:right="0" w:firstLine="0"/>
              <w:jc w:val="left"/>
            </w:pPr>
          </w:p>
        </w:tc>
        <w:tc>
          <w:tcPr>
            <w:tcW w:w="2066" w:type="dxa"/>
            <w:gridSpan w:val="4"/>
            <w:tcBorders>
              <w:top w:val="single" w:sz="8" w:space="0" w:color="000000"/>
              <w:left w:val="nil"/>
              <w:bottom w:val="single" w:sz="8" w:space="0" w:color="000000"/>
              <w:right w:val="nil"/>
            </w:tcBorders>
          </w:tcPr>
          <w:p w:rsidR="00E8309B" w:rsidRDefault="00E8309B">
            <w:pPr>
              <w:spacing w:after="160" w:line="259" w:lineRule="auto"/>
              <w:ind w:left="0" w:right="0" w:firstLine="0"/>
              <w:jc w:val="left"/>
            </w:pPr>
          </w:p>
        </w:tc>
        <w:tc>
          <w:tcPr>
            <w:tcW w:w="1032" w:type="dxa"/>
            <w:gridSpan w:val="2"/>
            <w:tcBorders>
              <w:top w:val="single" w:sz="8" w:space="0" w:color="000000"/>
              <w:left w:val="nil"/>
              <w:bottom w:val="single" w:sz="8" w:space="0" w:color="000000"/>
              <w:right w:val="nil"/>
            </w:tcBorders>
          </w:tcPr>
          <w:p w:rsidR="00E8309B" w:rsidRDefault="00E8309B">
            <w:pPr>
              <w:spacing w:after="160" w:line="259" w:lineRule="auto"/>
              <w:ind w:left="0" w:right="0" w:firstLine="0"/>
              <w:jc w:val="left"/>
            </w:pPr>
          </w:p>
        </w:tc>
        <w:tc>
          <w:tcPr>
            <w:tcW w:w="794" w:type="dxa"/>
            <w:gridSpan w:val="2"/>
            <w:tcBorders>
              <w:top w:val="single" w:sz="8" w:space="0" w:color="000000"/>
              <w:left w:val="nil"/>
              <w:bottom w:val="single" w:sz="8" w:space="0" w:color="000000"/>
              <w:right w:val="double" w:sz="6" w:space="0" w:color="000000"/>
            </w:tcBorders>
          </w:tcPr>
          <w:p w:rsidR="00E8309B" w:rsidRDefault="00E8309B">
            <w:pPr>
              <w:spacing w:after="160" w:line="259" w:lineRule="auto"/>
              <w:ind w:left="0" w:right="0" w:firstLine="0"/>
              <w:jc w:val="left"/>
            </w:pPr>
          </w:p>
        </w:tc>
      </w:tr>
      <w:tr w:rsidR="00E8309B">
        <w:trPr>
          <w:gridAfter w:val="1"/>
          <w:trHeight w:val="300"/>
        </w:trPr>
        <w:tc>
          <w:tcPr>
            <w:tcW w:w="6363" w:type="dxa"/>
            <w:gridSpan w:val="2"/>
            <w:tcBorders>
              <w:top w:val="single" w:sz="8" w:space="0" w:color="000000"/>
              <w:left w:val="double" w:sz="6" w:space="0" w:color="000000"/>
              <w:bottom w:val="dashed" w:sz="4" w:space="0" w:color="000000"/>
              <w:right w:val="nil"/>
            </w:tcBorders>
          </w:tcPr>
          <w:p w:rsidR="00E8309B" w:rsidRDefault="009D0949">
            <w:pPr>
              <w:spacing w:after="0" w:line="259" w:lineRule="auto"/>
              <w:ind w:left="110" w:right="0" w:firstLine="0"/>
              <w:jc w:val="left"/>
            </w:pPr>
            <w:r>
              <w:rPr>
                <w:sz w:val="20"/>
              </w:rPr>
              <w:t xml:space="preserve">6. Укупни приходи </w:t>
            </w:r>
          </w:p>
        </w:tc>
        <w:tc>
          <w:tcPr>
            <w:tcW w:w="523" w:type="dxa"/>
            <w:tcBorders>
              <w:top w:val="single" w:sz="8" w:space="0" w:color="000000"/>
              <w:left w:val="nil"/>
              <w:bottom w:val="dashed" w:sz="4" w:space="0" w:color="000000"/>
              <w:right w:val="dashed" w:sz="4" w:space="0" w:color="000000"/>
            </w:tcBorders>
          </w:tcPr>
          <w:p w:rsidR="00E8309B" w:rsidRDefault="00E8309B">
            <w:pPr>
              <w:spacing w:after="160" w:line="259" w:lineRule="auto"/>
              <w:ind w:left="0" w:right="0" w:firstLine="0"/>
              <w:jc w:val="left"/>
            </w:pPr>
          </w:p>
        </w:tc>
        <w:tc>
          <w:tcPr>
            <w:tcW w:w="1152" w:type="dxa"/>
            <w:gridSpan w:val="2"/>
            <w:tcBorders>
              <w:top w:val="single" w:sz="8" w:space="0" w:color="000000"/>
              <w:left w:val="dashed" w:sz="4" w:space="0" w:color="000000"/>
              <w:bottom w:val="dashed" w:sz="4" w:space="0" w:color="000000"/>
              <w:right w:val="single" w:sz="8" w:space="0" w:color="000000"/>
            </w:tcBorders>
          </w:tcPr>
          <w:p w:rsidR="00E8309B" w:rsidRDefault="009D0949">
            <w:pPr>
              <w:spacing w:after="0" w:line="259" w:lineRule="auto"/>
              <w:ind w:left="59" w:right="0" w:firstLine="0"/>
              <w:jc w:val="center"/>
            </w:pPr>
            <w:r>
              <w:rPr>
                <w:sz w:val="20"/>
              </w:rPr>
              <w:t xml:space="preserve">TR </w:t>
            </w:r>
          </w:p>
        </w:tc>
        <w:tc>
          <w:tcPr>
            <w:tcW w:w="1354" w:type="dxa"/>
            <w:gridSpan w:val="2"/>
            <w:tcBorders>
              <w:top w:val="single" w:sz="8" w:space="0" w:color="000000"/>
              <w:left w:val="single" w:sz="8" w:space="0" w:color="000000"/>
              <w:bottom w:val="dashed" w:sz="4" w:space="0" w:color="000000"/>
              <w:right w:val="single" w:sz="8" w:space="0" w:color="000000"/>
            </w:tcBorders>
          </w:tcPr>
          <w:p w:rsidR="00E8309B" w:rsidRDefault="009D0949">
            <w:pPr>
              <w:spacing w:after="0" w:line="259" w:lineRule="auto"/>
              <w:ind w:left="0" w:right="52" w:firstLine="0"/>
              <w:jc w:val="right"/>
            </w:pPr>
            <w:r>
              <w:rPr>
                <w:sz w:val="20"/>
              </w:rPr>
              <w:t xml:space="preserve">2.278,5584 </w:t>
            </w:r>
          </w:p>
        </w:tc>
        <w:tc>
          <w:tcPr>
            <w:tcW w:w="1287" w:type="dxa"/>
            <w:gridSpan w:val="2"/>
            <w:tcBorders>
              <w:top w:val="single" w:sz="8" w:space="0" w:color="000000"/>
              <w:left w:val="single" w:sz="8" w:space="0" w:color="000000"/>
              <w:bottom w:val="dashed" w:sz="4" w:space="0" w:color="000000"/>
              <w:right w:val="dashed" w:sz="4" w:space="0" w:color="000000"/>
            </w:tcBorders>
          </w:tcPr>
          <w:p w:rsidR="00E8309B" w:rsidRDefault="009D0949">
            <w:pPr>
              <w:spacing w:after="0" w:line="259" w:lineRule="auto"/>
              <w:ind w:left="0" w:right="50" w:firstLine="0"/>
              <w:jc w:val="right"/>
            </w:pPr>
            <w:r>
              <w:rPr>
                <w:sz w:val="20"/>
              </w:rPr>
              <w:t xml:space="preserve">42,1 </w:t>
            </w:r>
          </w:p>
        </w:tc>
        <w:tc>
          <w:tcPr>
            <w:tcW w:w="1032" w:type="dxa"/>
            <w:gridSpan w:val="2"/>
            <w:tcBorders>
              <w:top w:val="single" w:sz="8" w:space="0" w:color="000000"/>
              <w:left w:val="dashed" w:sz="4" w:space="0" w:color="000000"/>
              <w:bottom w:val="dashed" w:sz="4" w:space="0" w:color="000000"/>
              <w:right w:val="dashed" w:sz="4" w:space="0" w:color="000000"/>
            </w:tcBorders>
          </w:tcPr>
          <w:p w:rsidR="00E8309B" w:rsidRDefault="009D0949">
            <w:pPr>
              <w:spacing w:after="0" w:line="259" w:lineRule="auto"/>
              <w:ind w:left="0" w:right="49" w:firstLine="0"/>
              <w:jc w:val="right"/>
            </w:pPr>
            <w:r>
              <w:rPr>
                <w:sz w:val="20"/>
              </w:rPr>
              <w:t xml:space="preserve">40,3 </w:t>
            </w:r>
          </w:p>
        </w:tc>
        <w:tc>
          <w:tcPr>
            <w:tcW w:w="1034" w:type="dxa"/>
            <w:gridSpan w:val="2"/>
            <w:tcBorders>
              <w:top w:val="single" w:sz="8" w:space="0" w:color="000000"/>
              <w:left w:val="dashed" w:sz="4" w:space="0" w:color="000000"/>
              <w:bottom w:val="dashed" w:sz="4" w:space="0" w:color="000000"/>
              <w:right w:val="dashed" w:sz="4" w:space="0" w:color="000000"/>
            </w:tcBorders>
          </w:tcPr>
          <w:p w:rsidR="00E8309B" w:rsidRDefault="009D0949">
            <w:pPr>
              <w:spacing w:after="0" w:line="259" w:lineRule="auto"/>
              <w:ind w:left="0" w:right="49" w:firstLine="0"/>
              <w:jc w:val="right"/>
            </w:pPr>
            <w:r>
              <w:rPr>
                <w:sz w:val="20"/>
              </w:rPr>
              <w:t xml:space="preserve">40,4 </w:t>
            </w:r>
          </w:p>
        </w:tc>
        <w:tc>
          <w:tcPr>
            <w:tcW w:w="1032" w:type="dxa"/>
            <w:gridSpan w:val="2"/>
            <w:tcBorders>
              <w:top w:val="single" w:sz="8" w:space="0" w:color="000000"/>
              <w:left w:val="dashed" w:sz="4" w:space="0" w:color="000000"/>
              <w:bottom w:val="dashed" w:sz="4" w:space="0" w:color="000000"/>
              <w:right w:val="dashed" w:sz="4" w:space="0" w:color="000000"/>
            </w:tcBorders>
          </w:tcPr>
          <w:p w:rsidR="00E8309B" w:rsidRDefault="009D0949">
            <w:pPr>
              <w:spacing w:after="0" w:line="259" w:lineRule="auto"/>
              <w:ind w:left="0" w:right="50" w:firstLine="0"/>
              <w:jc w:val="right"/>
            </w:pPr>
            <w:r>
              <w:rPr>
                <w:sz w:val="20"/>
              </w:rPr>
              <w:t xml:space="preserve">40,5 </w:t>
            </w:r>
          </w:p>
        </w:tc>
        <w:tc>
          <w:tcPr>
            <w:tcW w:w="794" w:type="dxa"/>
            <w:gridSpan w:val="2"/>
            <w:tcBorders>
              <w:top w:val="single" w:sz="8" w:space="0" w:color="000000"/>
              <w:left w:val="dashed" w:sz="4" w:space="0" w:color="000000"/>
              <w:bottom w:val="dashed" w:sz="4" w:space="0" w:color="000000"/>
              <w:right w:val="double" w:sz="6" w:space="0" w:color="000000"/>
            </w:tcBorders>
          </w:tcPr>
          <w:p w:rsidR="00E8309B" w:rsidRDefault="009D0949">
            <w:pPr>
              <w:spacing w:after="0" w:line="259" w:lineRule="auto"/>
              <w:ind w:left="0" w:right="52" w:firstLine="0"/>
              <w:jc w:val="right"/>
            </w:pPr>
            <w:r>
              <w:rPr>
                <w:sz w:val="20"/>
              </w:rPr>
              <w:t xml:space="preserve">39,7 </w:t>
            </w:r>
          </w:p>
        </w:tc>
      </w:tr>
      <w:tr w:rsidR="00E8309B">
        <w:trPr>
          <w:gridAfter w:val="1"/>
          <w:trHeight w:val="293"/>
        </w:trPr>
        <w:tc>
          <w:tcPr>
            <w:tcW w:w="6363" w:type="dxa"/>
            <w:gridSpan w:val="2"/>
            <w:tcBorders>
              <w:top w:val="dashed" w:sz="4" w:space="0" w:color="000000"/>
              <w:left w:val="double" w:sz="6" w:space="0" w:color="000000"/>
              <w:bottom w:val="dashed" w:sz="4" w:space="0" w:color="000000"/>
              <w:right w:val="nil"/>
            </w:tcBorders>
          </w:tcPr>
          <w:p w:rsidR="00E8309B" w:rsidRDefault="009D0949">
            <w:pPr>
              <w:spacing w:after="0" w:line="259" w:lineRule="auto"/>
              <w:ind w:left="110" w:right="0" w:firstLine="0"/>
              <w:jc w:val="left"/>
            </w:pPr>
            <w:r>
              <w:rPr>
                <w:sz w:val="20"/>
              </w:rPr>
              <w:t xml:space="preserve">7. Укупни расходи[1] </w:t>
            </w:r>
          </w:p>
        </w:tc>
        <w:tc>
          <w:tcPr>
            <w:tcW w:w="523" w:type="dxa"/>
            <w:tcBorders>
              <w:top w:val="dashed" w:sz="4" w:space="0" w:color="000000"/>
              <w:left w:val="nil"/>
              <w:bottom w:val="dashed" w:sz="4" w:space="0" w:color="000000"/>
              <w:right w:val="dashed" w:sz="4" w:space="0" w:color="000000"/>
            </w:tcBorders>
          </w:tcPr>
          <w:p w:rsidR="00E8309B" w:rsidRDefault="00E8309B">
            <w:pPr>
              <w:spacing w:after="160" w:line="259" w:lineRule="auto"/>
              <w:ind w:left="0" w:right="0" w:firstLine="0"/>
              <w:jc w:val="left"/>
            </w:pPr>
          </w:p>
        </w:tc>
        <w:tc>
          <w:tcPr>
            <w:tcW w:w="1152" w:type="dxa"/>
            <w:gridSpan w:val="2"/>
            <w:tcBorders>
              <w:top w:val="dashed" w:sz="4" w:space="0" w:color="000000"/>
              <w:left w:val="dashed" w:sz="4" w:space="0" w:color="000000"/>
              <w:bottom w:val="dashed" w:sz="4" w:space="0" w:color="000000"/>
              <w:right w:val="single" w:sz="8" w:space="0" w:color="000000"/>
            </w:tcBorders>
          </w:tcPr>
          <w:p w:rsidR="00E8309B" w:rsidRDefault="009D0949">
            <w:pPr>
              <w:spacing w:after="0" w:line="259" w:lineRule="auto"/>
              <w:ind w:left="58" w:right="0" w:firstLine="0"/>
              <w:jc w:val="center"/>
            </w:pPr>
            <w:r>
              <w:rPr>
                <w:sz w:val="20"/>
              </w:rPr>
              <w:t xml:space="preserve">TE </w:t>
            </w:r>
          </w:p>
        </w:tc>
        <w:tc>
          <w:tcPr>
            <w:tcW w:w="1354" w:type="dxa"/>
            <w:gridSpan w:val="2"/>
            <w:tcBorders>
              <w:top w:val="dashed" w:sz="4" w:space="0" w:color="000000"/>
              <w:left w:val="single" w:sz="8" w:space="0" w:color="000000"/>
              <w:bottom w:val="dashed" w:sz="4" w:space="0" w:color="000000"/>
              <w:right w:val="single" w:sz="8" w:space="0" w:color="000000"/>
            </w:tcBorders>
          </w:tcPr>
          <w:p w:rsidR="00E8309B" w:rsidRDefault="009D0949">
            <w:pPr>
              <w:spacing w:after="0" w:line="259" w:lineRule="auto"/>
              <w:ind w:left="0" w:right="52" w:firstLine="0"/>
              <w:jc w:val="right"/>
            </w:pPr>
            <w:r>
              <w:rPr>
                <w:sz w:val="20"/>
              </w:rPr>
              <w:t xml:space="preserve">2.289,6719 </w:t>
            </w:r>
          </w:p>
        </w:tc>
        <w:tc>
          <w:tcPr>
            <w:tcW w:w="1287" w:type="dxa"/>
            <w:gridSpan w:val="2"/>
            <w:tcBorders>
              <w:top w:val="dashed" w:sz="4" w:space="0" w:color="000000"/>
              <w:left w:val="single" w:sz="8" w:space="0" w:color="000000"/>
              <w:bottom w:val="dashed" w:sz="4" w:space="0" w:color="000000"/>
              <w:right w:val="dashed" w:sz="4" w:space="0" w:color="000000"/>
            </w:tcBorders>
          </w:tcPr>
          <w:p w:rsidR="00E8309B" w:rsidRDefault="009D0949">
            <w:pPr>
              <w:spacing w:after="0" w:line="259" w:lineRule="auto"/>
              <w:ind w:left="0" w:right="50" w:firstLine="0"/>
              <w:jc w:val="right"/>
            </w:pPr>
            <w:r>
              <w:rPr>
                <w:sz w:val="20"/>
              </w:rPr>
              <w:t xml:space="preserve">42,3 </w:t>
            </w:r>
          </w:p>
        </w:tc>
        <w:tc>
          <w:tcPr>
            <w:tcW w:w="1032" w:type="dxa"/>
            <w:gridSpan w:val="2"/>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49" w:firstLine="0"/>
              <w:jc w:val="right"/>
            </w:pPr>
            <w:r>
              <w:rPr>
                <w:sz w:val="20"/>
              </w:rPr>
              <w:t xml:space="preserve">49,2 </w:t>
            </w:r>
          </w:p>
        </w:tc>
        <w:tc>
          <w:tcPr>
            <w:tcW w:w="1034" w:type="dxa"/>
            <w:gridSpan w:val="2"/>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49" w:firstLine="0"/>
              <w:jc w:val="right"/>
            </w:pPr>
            <w:r>
              <w:rPr>
                <w:sz w:val="20"/>
              </w:rPr>
              <w:t xml:space="preserve">43,4 </w:t>
            </w:r>
          </w:p>
        </w:tc>
        <w:tc>
          <w:tcPr>
            <w:tcW w:w="1032" w:type="dxa"/>
            <w:gridSpan w:val="2"/>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50" w:firstLine="0"/>
              <w:jc w:val="right"/>
            </w:pPr>
            <w:r>
              <w:rPr>
                <w:sz w:val="20"/>
              </w:rPr>
              <w:t xml:space="preserve">42,1 </w:t>
            </w:r>
          </w:p>
        </w:tc>
        <w:tc>
          <w:tcPr>
            <w:tcW w:w="794" w:type="dxa"/>
            <w:gridSpan w:val="2"/>
            <w:tcBorders>
              <w:top w:val="dashed" w:sz="4" w:space="0" w:color="000000"/>
              <w:left w:val="dashed" w:sz="4" w:space="0" w:color="000000"/>
              <w:bottom w:val="dashed" w:sz="4" w:space="0" w:color="000000"/>
              <w:right w:val="double" w:sz="6" w:space="0" w:color="000000"/>
            </w:tcBorders>
          </w:tcPr>
          <w:p w:rsidR="00E8309B" w:rsidRDefault="009D0949">
            <w:pPr>
              <w:spacing w:after="0" w:line="259" w:lineRule="auto"/>
              <w:ind w:left="0" w:right="52" w:firstLine="0"/>
              <w:jc w:val="right"/>
            </w:pPr>
            <w:r>
              <w:rPr>
                <w:sz w:val="20"/>
              </w:rPr>
              <w:t xml:space="preserve">40,7 </w:t>
            </w:r>
          </w:p>
        </w:tc>
      </w:tr>
      <w:tr w:rsidR="00E8309B">
        <w:trPr>
          <w:gridAfter w:val="1"/>
          <w:trHeight w:val="293"/>
        </w:trPr>
        <w:tc>
          <w:tcPr>
            <w:tcW w:w="6363" w:type="dxa"/>
            <w:gridSpan w:val="2"/>
            <w:tcBorders>
              <w:top w:val="dashed" w:sz="4" w:space="0" w:color="000000"/>
              <w:left w:val="double" w:sz="6" w:space="0" w:color="000000"/>
              <w:bottom w:val="dashed" w:sz="4" w:space="0" w:color="000000"/>
              <w:right w:val="nil"/>
            </w:tcBorders>
          </w:tcPr>
          <w:p w:rsidR="00E8309B" w:rsidRDefault="009D0949">
            <w:pPr>
              <w:spacing w:after="0" w:line="259" w:lineRule="auto"/>
              <w:ind w:left="110" w:right="0" w:firstLine="0"/>
              <w:jc w:val="left"/>
            </w:pPr>
            <w:r>
              <w:rPr>
                <w:sz w:val="20"/>
              </w:rPr>
              <w:t xml:space="preserve">8. Нето дате/узете позајмице </w:t>
            </w:r>
          </w:p>
        </w:tc>
        <w:tc>
          <w:tcPr>
            <w:tcW w:w="523" w:type="dxa"/>
            <w:tcBorders>
              <w:top w:val="dashed" w:sz="4" w:space="0" w:color="000000"/>
              <w:left w:val="nil"/>
              <w:bottom w:val="dashed" w:sz="4" w:space="0" w:color="000000"/>
              <w:right w:val="dashed" w:sz="4" w:space="0" w:color="000000"/>
            </w:tcBorders>
          </w:tcPr>
          <w:p w:rsidR="00E8309B" w:rsidRDefault="00E8309B">
            <w:pPr>
              <w:spacing w:after="160" w:line="259" w:lineRule="auto"/>
              <w:ind w:left="0" w:right="0" w:firstLine="0"/>
              <w:jc w:val="left"/>
            </w:pPr>
          </w:p>
        </w:tc>
        <w:tc>
          <w:tcPr>
            <w:tcW w:w="1152" w:type="dxa"/>
            <w:gridSpan w:val="2"/>
            <w:tcBorders>
              <w:top w:val="dashed" w:sz="4" w:space="0" w:color="000000"/>
              <w:left w:val="dashed" w:sz="4" w:space="0" w:color="000000"/>
              <w:bottom w:val="dashed" w:sz="4" w:space="0" w:color="000000"/>
              <w:right w:val="single" w:sz="8" w:space="0" w:color="000000"/>
            </w:tcBorders>
          </w:tcPr>
          <w:p w:rsidR="00E8309B" w:rsidRDefault="009D0949">
            <w:pPr>
              <w:spacing w:after="0" w:line="259" w:lineRule="auto"/>
              <w:ind w:left="57" w:right="0" w:firstLine="0"/>
              <w:jc w:val="center"/>
            </w:pPr>
            <w:r>
              <w:rPr>
                <w:sz w:val="20"/>
              </w:rPr>
              <w:t xml:space="preserve">EDP.B9 </w:t>
            </w:r>
          </w:p>
        </w:tc>
        <w:tc>
          <w:tcPr>
            <w:tcW w:w="1354" w:type="dxa"/>
            <w:gridSpan w:val="2"/>
            <w:tcBorders>
              <w:top w:val="dashed" w:sz="4" w:space="0" w:color="000000"/>
              <w:left w:val="single" w:sz="8" w:space="0" w:color="000000"/>
              <w:bottom w:val="dashed" w:sz="4" w:space="0" w:color="000000"/>
              <w:right w:val="single" w:sz="8" w:space="0" w:color="000000"/>
            </w:tcBorders>
          </w:tcPr>
          <w:p w:rsidR="00E8309B" w:rsidRDefault="009D0949">
            <w:pPr>
              <w:spacing w:after="0" w:line="259" w:lineRule="auto"/>
              <w:ind w:left="0" w:right="52" w:firstLine="0"/>
              <w:jc w:val="right"/>
            </w:pPr>
            <w:r>
              <w:rPr>
                <w:sz w:val="20"/>
              </w:rPr>
              <w:t xml:space="preserve">-11,1135 </w:t>
            </w:r>
          </w:p>
        </w:tc>
        <w:tc>
          <w:tcPr>
            <w:tcW w:w="1287" w:type="dxa"/>
            <w:gridSpan w:val="2"/>
            <w:tcBorders>
              <w:top w:val="dashed" w:sz="4" w:space="0" w:color="000000"/>
              <w:left w:val="single" w:sz="8" w:space="0" w:color="000000"/>
              <w:bottom w:val="dashed" w:sz="4" w:space="0" w:color="000000"/>
              <w:right w:val="dashed" w:sz="4" w:space="0" w:color="000000"/>
            </w:tcBorders>
          </w:tcPr>
          <w:p w:rsidR="00E8309B" w:rsidRDefault="009D0949">
            <w:pPr>
              <w:spacing w:after="0" w:line="259" w:lineRule="auto"/>
              <w:ind w:left="0" w:right="52" w:firstLine="0"/>
              <w:jc w:val="right"/>
            </w:pPr>
            <w:r>
              <w:rPr>
                <w:sz w:val="20"/>
              </w:rPr>
              <w:t xml:space="preserve">-0,2 </w:t>
            </w:r>
          </w:p>
        </w:tc>
        <w:tc>
          <w:tcPr>
            <w:tcW w:w="1032" w:type="dxa"/>
            <w:gridSpan w:val="2"/>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51" w:firstLine="0"/>
              <w:jc w:val="right"/>
            </w:pPr>
            <w:r>
              <w:rPr>
                <w:sz w:val="20"/>
              </w:rPr>
              <w:t xml:space="preserve">-8,9 </w:t>
            </w:r>
          </w:p>
        </w:tc>
        <w:tc>
          <w:tcPr>
            <w:tcW w:w="1034" w:type="dxa"/>
            <w:gridSpan w:val="2"/>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51" w:firstLine="0"/>
              <w:jc w:val="right"/>
            </w:pPr>
            <w:r>
              <w:rPr>
                <w:sz w:val="20"/>
              </w:rPr>
              <w:t xml:space="preserve">-3,0 </w:t>
            </w:r>
          </w:p>
        </w:tc>
        <w:tc>
          <w:tcPr>
            <w:tcW w:w="1032" w:type="dxa"/>
            <w:gridSpan w:val="2"/>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52" w:firstLine="0"/>
              <w:jc w:val="right"/>
            </w:pPr>
            <w:r>
              <w:rPr>
                <w:sz w:val="20"/>
              </w:rPr>
              <w:t xml:space="preserve">-1,6 </w:t>
            </w:r>
          </w:p>
        </w:tc>
        <w:tc>
          <w:tcPr>
            <w:tcW w:w="794" w:type="dxa"/>
            <w:gridSpan w:val="2"/>
            <w:tcBorders>
              <w:top w:val="dashed" w:sz="4" w:space="0" w:color="000000"/>
              <w:left w:val="dashed" w:sz="4" w:space="0" w:color="000000"/>
              <w:bottom w:val="dashed" w:sz="4" w:space="0" w:color="000000"/>
              <w:right w:val="double" w:sz="6" w:space="0" w:color="000000"/>
            </w:tcBorders>
          </w:tcPr>
          <w:p w:rsidR="00E8309B" w:rsidRDefault="009D0949">
            <w:pPr>
              <w:spacing w:after="0" w:line="259" w:lineRule="auto"/>
              <w:ind w:left="0" w:right="54" w:firstLine="0"/>
              <w:jc w:val="right"/>
            </w:pPr>
            <w:r>
              <w:rPr>
                <w:sz w:val="20"/>
              </w:rPr>
              <w:t xml:space="preserve">-1,0 </w:t>
            </w:r>
          </w:p>
        </w:tc>
      </w:tr>
      <w:tr w:rsidR="00E8309B">
        <w:trPr>
          <w:gridAfter w:val="1"/>
          <w:trHeight w:val="475"/>
        </w:trPr>
        <w:tc>
          <w:tcPr>
            <w:tcW w:w="6363" w:type="dxa"/>
            <w:gridSpan w:val="2"/>
            <w:tcBorders>
              <w:top w:val="dashed" w:sz="4" w:space="0" w:color="000000"/>
              <w:left w:val="double" w:sz="6" w:space="0" w:color="000000"/>
              <w:bottom w:val="dashed" w:sz="4" w:space="0" w:color="000000"/>
              <w:right w:val="nil"/>
            </w:tcBorders>
          </w:tcPr>
          <w:p w:rsidR="00E8309B" w:rsidRDefault="009D0949">
            <w:pPr>
              <w:spacing w:after="0" w:line="259" w:lineRule="auto"/>
              <w:ind w:left="110" w:right="0" w:firstLine="0"/>
              <w:jc w:val="left"/>
            </w:pPr>
            <w:r>
              <w:rPr>
                <w:sz w:val="20"/>
              </w:rPr>
              <w:t xml:space="preserve">9. Расходи за камате </w:t>
            </w:r>
          </w:p>
        </w:tc>
        <w:tc>
          <w:tcPr>
            <w:tcW w:w="523" w:type="dxa"/>
            <w:tcBorders>
              <w:top w:val="dashed" w:sz="4" w:space="0" w:color="000000"/>
              <w:left w:val="nil"/>
              <w:bottom w:val="dashed" w:sz="4" w:space="0" w:color="000000"/>
              <w:right w:val="dashed" w:sz="4" w:space="0" w:color="000000"/>
            </w:tcBorders>
          </w:tcPr>
          <w:p w:rsidR="00E8309B" w:rsidRDefault="00E8309B">
            <w:pPr>
              <w:spacing w:after="160" w:line="259" w:lineRule="auto"/>
              <w:ind w:left="0" w:right="0" w:firstLine="0"/>
              <w:jc w:val="left"/>
            </w:pPr>
          </w:p>
        </w:tc>
        <w:tc>
          <w:tcPr>
            <w:tcW w:w="1152" w:type="dxa"/>
            <w:gridSpan w:val="2"/>
            <w:tcBorders>
              <w:top w:val="dashed" w:sz="4" w:space="0" w:color="000000"/>
              <w:left w:val="dashed" w:sz="4" w:space="0" w:color="000000"/>
              <w:bottom w:val="dashed" w:sz="4" w:space="0" w:color="000000"/>
              <w:right w:val="single" w:sz="8" w:space="0" w:color="000000"/>
            </w:tcBorders>
          </w:tcPr>
          <w:p w:rsidR="00E8309B" w:rsidRDefault="009D0949">
            <w:pPr>
              <w:spacing w:after="15" w:line="259" w:lineRule="auto"/>
              <w:ind w:left="188" w:right="0" w:firstLine="0"/>
              <w:jc w:val="left"/>
            </w:pPr>
            <w:r>
              <w:rPr>
                <w:sz w:val="20"/>
              </w:rPr>
              <w:t xml:space="preserve">EDP.D41 </w:t>
            </w:r>
          </w:p>
          <w:p w:rsidR="00E8309B" w:rsidRDefault="009D0949">
            <w:pPr>
              <w:tabs>
                <w:tab w:val="right" w:pos="1097"/>
              </w:tabs>
              <w:spacing w:after="0" w:line="259" w:lineRule="auto"/>
              <w:ind w:left="0" w:right="0" w:firstLine="0"/>
              <w:jc w:val="left"/>
            </w:pPr>
            <w:r>
              <w:rPr>
                <w:sz w:val="20"/>
              </w:rPr>
              <w:t>incl. FISIM</w:t>
            </w:r>
            <w:r>
              <w:rPr>
                <w:sz w:val="31"/>
                <w:vertAlign w:val="subscript"/>
              </w:rPr>
              <w:t xml:space="preserve"> </w:t>
            </w:r>
            <w:r>
              <w:rPr>
                <w:sz w:val="31"/>
                <w:vertAlign w:val="subscript"/>
              </w:rPr>
              <w:tab/>
            </w:r>
            <w:r>
              <w:rPr>
                <w:sz w:val="20"/>
              </w:rPr>
              <w:t xml:space="preserve"> </w:t>
            </w:r>
          </w:p>
        </w:tc>
        <w:tc>
          <w:tcPr>
            <w:tcW w:w="1354" w:type="dxa"/>
            <w:gridSpan w:val="2"/>
            <w:tcBorders>
              <w:top w:val="dashed" w:sz="4" w:space="0" w:color="000000"/>
              <w:left w:val="single" w:sz="8" w:space="0" w:color="000000"/>
              <w:bottom w:val="dashed" w:sz="4" w:space="0" w:color="000000"/>
              <w:right w:val="single" w:sz="8" w:space="0" w:color="000000"/>
            </w:tcBorders>
          </w:tcPr>
          <w:p w:rsidR="00E8309B" w:rsidRDefault="009D0949">
            <w:pPr>
              <w:spacing w:after="0" w:line="259" w:lineRule="auto"/>
              <w:ind w:left="0" w:right="52" w:firstLine="0"/>
              <w:jc w:val="right"/>
            </w:pPr>
            <w:r>
              <w:rPr>
                <w:sz w:val="20"/>
              </w:rPr>
              <w:t xml:space="preserve">108,9364 </w:t>
            </w:r>
          </w:p>
        </w:tc>
        <w:tc>
          <w:tcPr>
            <w:tcW w:w="1287" w:type="dxa"/>
            <w:gridSpan w:val="2"/>
            <w:tcBorders>
              <w:top w:val="dashed" w:sz="4" w:space="0" w:color="000000"/>
              <w:left w:val="single" w:sz="8" w:space="0" w:color="000000"/>
              <w:bottom w:val="dashed" w:sz="4" w:space="0" w:color="000000"/>
              <w:right w:val="dashed" w:sz="4" w:space="0" w:color="000000"/>
            </w:tcBorders>
          </w:tcPr>
          <w:p w:rsidR="00E8309B" w:rsidRDefault="009D0949">
            <w:pPr>
              <w:spacing w:after="0" w:line="259" w:lineRule="auto"/>
              <w:ind w:left="0" w:right="50" w:firstLine="0"/>
              <w:jc w:val="right"/>
            </w:pPr>
            <w:r>
              <w:rPr>
                <w:sz w:val="20"/>
              </w:rPr>
              <w:t xml:space="preserve">2,0 </w:t>
            </w:r>
          </w:p>
        </w:tc>
        <w:tc>
          <w:tcPr>
            <w:tcW w:w="1032" w:type="dxa"/>
            <w:gridSpan w:val="2"/>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49" w:firstLine="0"/>
              <w:jc w:val="right"/>
            </w:pPr>
            <w:r>
              <w:rPr>
                <w:sz w:val="20"/>
              </w:rPr>
              <w:t xml:space="preserve">2,0 </w:t>
            </w:r>
          </w:p>
        </w:tc>
        <w:tc>
          <w:tcPr>
            <w:tcW w:w="1034" w:type="dxa"/>
            <w:gridSpan w:val="2"/>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49" w:firstLine="0"/>
              <w:jc w:val="right"/>
            </w:pPr>
            <w:r>
              <w:rPr>
                <w:sz w:val="20"/>
              </w:rPr>
              <w:t xml:space="preserve">1,9 </w:t>
            </w:r>
          </w:p>
        </w:tc>
        <w:tc>
          <w:tcPr>
            <w:tcW w:w="1032" w:type="dxa"/>
            <w:gridSpan w:val="2"/>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49" w:firstLine="0"/>
              <w:jc w:val="right"/>
            </w:pPr>
            <w:r>
              <w:rPr>
                <w:sz w:val="20"/>
              </w:rPr>
              <w:t xml:space="preserve">1,7 </w:t>
            </w:r>
          </w:p>
        </w:tc>
        <w:tc>
          <w:tcPr>
            <w:tcW w:w="794" w:type="dxa"/>
            <w:gridSpan w:val="2"/>
            <w:tcBorders>
              <w:top w:val="dashed" w:sz="4" w:space="0" w:color="000000"/>
              <w:left w:val="dashed" w:sz="4" w:space="0" w:color="000000"/>
              <w:bottom w:val="dashed" w:sz="4" w:space="0" w:color="000000"/>
              <w:right w:val="double" w:sz="6" w:space="0" w:color="000000"/>
            </w:tcBorders>
          </w:tcPr>
          <w:p w:rsidR="00E8309B" w:rsidRDefault="009D0949">
            <w:pPr>
              <w:spacing w:after="0" w:line="259" w:lineRule="auto"/>
              <w:ind w:left="0" w:right="51" w:firstLine="0"/>
              <w:jc w:val="right"/>
            </w:pPr>
            <w:r>
              <w:rPr>
                <w:sz w:val="20"/>
              </w:rPr>
              <w:t xml:space="preserve">1,6 </w:t>
            </w:r>
          </w:p>
        </w:tc>
      </w:tr>
      <w:tr w:rsidR="00E8309B">
        <w:trPr>
          <w:gridAfter w:val="1"/>
          <w:trHeight w:val="293"/>
        </w:trPr>
        <w:tc>
          <w:tcPr>
            <w:tcW w:w="6363" w:type="dxa"/>
            <w:gridSpan w:val="2"/>
            <w:tcBorders>
              <w:top w:val="dashed" w:sz="4" w:space="0" w:color="000000"/>
              <w:left w:val="double" w:sz="6" w:space="0" w:color="000000"/>
              <w:bottom w:val="dashed" w:sz="4" w:space="0" w:color="000000"/>
              <w:right w:val="nil"/>
            </w:tcBorders>
          </w:tcPr>
          <w:p w:rsidR="00E8309B" w:rsidRDefault="009D0949">
            <w:pPr>
              <w:spacing w:after="0" w:line="259" w:lineRule="auto"/>
              <w:ind w:left="110" w:right="0" w:firstLine="0"/>
              <w:jc w:val="left"/>
            </w:pPr>
            <w:r>
              <w:rPr>
                <w:sz w:val="20"/>
              </w:rPr>
              <w:t xml:space="preserve">10. Примарни резултат[2] </w:t>
            </w:r>
          </w:p>
        </w:tc>
        <w:tc>
          <w:tcPr>
            <w:tcW w:w="523" w:type="dxa"/>
            <w:tcBorders>
              <w:top w:val="dashed" w:sz="4" w:space="0" w:color="000000"/>
              <w:left w:val="nil"/>
              <w:bottom w:val="dashed" w:sz="4" w:space="0" w:color="000000"/>
              <w:right w:val="dashed" w:sz="4" w:space="0" w:color="000000"/>
            </w:tcBorders>
          </w:tcPr>
          <w:p w:rsidR="00E8309B" w:rsidRDefault="00E8309B">
            <w:pPr>
              <w:spacing w:after="160" w:line="259" w:lineRule="auto"/>
              <w:ind w:left="0" w:right="0" w:firstLine="0"/>
              <w:jc w:val="left"/>
            </w:pPr>
          </w:p>
        </w:tc>
        <w:tc>
          <w:tcPr>
            <w:tcW w:w="1152" w:type="dxa"/>
            <w:gridSpan w:val="2"/>
            <w:tcBorders>
              <w:top w:val="dashed" w:sz="4" w:space="0" w:color="000000"/>
              <w:left w:val="dashed" w:sz="4" w:space="0" w:color="000000"/>
              <w:bottom w:val="dashed" w:sz="4" w:space="0" w:color="000000"/>
              <w:right w:val="single" w:sz="8" w:space="0" w:color="000000"/>
            </w:tcBorders>
            <w:vAlign w:val="bottom"/>
          </w:tcPr>
          <w:p w:rsidR="00E8309B" w:rsidRDefault="009D0949">
            <w:pPr>
              <w:spacing w:after="0" w:line="259" w:lineRule="auto"/>
              <w:ind w:left="106" w:right="0" w:firstLine="0"/>
              <w:jc w:val="center"/>
            </w:pPr>
            <w:r>
              <w:rPr>
                <w:sz w:val="20"/>
              </w:rPr>
              <w:t xml:space="preserve"> </w:t>
            </w:r>
          </w:p>
        </w:tc>
        <w:tc>
          <w:tcPr>
            <w:tcW w:w="1354" w:type="dxa"/>
            <w:gridSpan w:val="2"/>
            <w:tcBorders>
              <w:top w:val="dashed" w:sz="4" w:space="0" w:color="000000"/>
              <w:left w:val="single" w:sz="8" w:space="0" w:color="000000"/>
              <w:bottom w:val="dashed" w:sz="4" w:space="0" w:color="000000"/>
              <w:right w:val="single" w:sz="8" w:space="0" w:color="000000"/>
            </w:tcBorders>
          </w:tcPr>
          <w:p w:rsidR="00E8309B" w:rsidRDefault="009D0949">
            <w:pPr>
              <w:spacing w:after="0" w:line="259" w:lineRule="auto"/>
              <w:ind w:left="0" w:right="52" w:firstLine="0"/>
              <w:jc w:val="right"/>
            </w:pPr>
            <w:r>
              <w:rPr>
                <w:sz w:val="20"/>
              </w:rPr>
              <w:t xml:space="preserve">97,8229 </w:t>
            </w:r>
          </w:p>
        </w:tc>
        <w:tc>
          <w:tcPr>
            <w:tcW w:w="1287" w:type="dxa"/>
            <w:gridSpan w:val="2"/>
            <w:tcBorders>
              <w:top w:val="dashed" w:sz="4" w:space="0" w:color="000000"/>
              <w:left w:val="single" w:sz="8" w:space="0" w:color="000000"/>
              <w:bottom w:val="dashed" w:sz="4" w:space="0" w:color="000000"/>
              <w:right w:val="dashed" w:sz="4" w:space="0" w:color="000000"/>
            </w:tcBorders>
          </w:tcPr>
          <w:p w:rsidR="00E8309B" w:rsidRDefault="009D0949">
            <w:pPr>
              <w:spacing w:after="0" w:line="259" w:lineRule="auto"/>
              <w:ind w:left="0" w:right="50" w:firstLine="0"/>
              <w:jc w:val="right"/>
            </w:pPr>
            <w:r>
              <w:rPr>
                <w:sz w:val="20"/>
              </w:rPr>
              <w:t xml:space="preserve">1,8 </w:t>
            </w:r>
          </w:p>
        </w:tc>
        <w:tc>
          <w:tcPr>
            <w:tcW w:w="1032" w:type="dxa"/>
            <w:gridSpan w:val="2"/>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51" w:firstLine="0"/>
              <w:jc w:val="right"/>
            </w:pPr>
            <w:r>
              <w:rPr>
                <w:sz w:val="20"/>
              </w:rPr>
              <w:t xml:space="preserve">-6,9 </w:t>
            </w:r>
          </w:p>
        </w:tc>
        <w:tc>
          <w:tcPr>
            <w:tcW w:w="1034" w:type="dxa"/>
            <w:gridSpan w:val="2"/>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51" w:firstLine="0"/>
              <w:jc w:val="right"/>
            </w:pPr>
            <w:r>
              <w:rPr>
                <w:sz w:val="20"/>
              </w:rPr>
              <w:t xml:space="preserve">-1,1 </w:t>
            </w:r>
          </w:p>
        </w:tc>
        <w:tc>
          <w:tcPr>
            <w:tcW w:w="1032" w:type="dxa"/>
            <w:gridSpan w:val="2"/>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49" w:firstLine="0"/>
              <w:jc w:val="right"/>
            </w:pPr>
            <w:r>
              <w:rPr>
                <w:sz w:val="20"/>
              </w:rPr>
              <w:t xml:space="preserve">0,1 </w:t>
            </w:r>
          </w:p>
        </w:tc>
        <w:tc>
          <w:tcPr>
            <w:tcW w:w="794" w:type="dxa"/>
            <w:gridSpan w:val="2"/>
            <w:tcBorders>
              <w:top w:val="dashed" w:sz="4" w:space="0" w:color="000000"/>
              <w:left w:val="dashed" w:sz="4" w:space="0" w:color="000000"/>
              <w:bottom w:val="dashed" w:sz="4" w:space="0" w:color="000000"/>
              <w:right w:val="double" w:sz="6" w:space="0" w:color="000000"/>
            </w:tcBorders>
          </w:tcPr>
          <w:p w:rsidR="00E8309B" w:rsidRDefault="009D0949">
            <w:pPr>
              <w:spacing w:after="0" w:line="259" w:lineRule="auto"/>
              <w:ind w:left="0" w:right="51" w:firstLine="0"/>
              <w:jc w:val="right"/>
            </w:pPr>
            <w:r>
              <w:rPr>
                <w:sz w:val="20"/>
              </w:rPr>
              <w:t xml:space="preserve">0,6 </w:t>
            </w:r>
          </w:p>
        </w:tc>
      </w:tr>
      <w:tr w:rsidR="00E8309B">
        <w:trPr>
          <w:gridAfter w:val="1"/>
          <w:trHeight w:val="298"/>
        </w:trPr>
        <w:tc>
          <w:tcPr>
            <w:tcW w:w="6363" w:type="dxa"/>
            <w:gridSpan w:val="2"/>
            <w:tcBorders>
              <w:top w:val="dashed" w:sz="4" w:space="0" w:color="000000"/>
              <w:left w:val="double" w:sz="6" w:space="0" w:color="000000"/>
              <w:bottom w:val="single" w:sz="8" w:space="0" w:color="000000"/>
              <w:right w:val="nil"/>
            </w:tcBorders>
          </w:tcPr>
          <w:p w:rsidR="00E8309B" w:rsidRDefault="009D0949">
            <w:pPr>
              <w:spacing w:after="0" w:line="259" w:lineRule="auto"/>
              <w:ind w:left="110" w:right="0" w:firstLine="0"/>
              <w:jc w:val="left"/>
            </w:pPr>
            <w:r>
              <w:rPr>
                <w:sz w:val="20"/>
              </w:rPr>
              <w:t xml:space="preserve">11. Једнократне и друге привремене мере [3] </w:t>
            </w:r>
          </w:p>
        </w:tc>
        <w:tc>
          <w:tcPr>
            <w:tcW w:w="523" w:type="dxa"/>
            <w:tcBorders>
              <w:top w:val="dashed" w:sz="4" w:space="0" w:color="000000"/>
              <w:left w:val="nil"/>
              <w:bottom w:val="single" w:sz="8" w:space="0" w:color="000000"/>
              <w:right w:val="dashed" w:sz="4" w:space="0" w:color="000000"/>
            </w:tcBorders>
          </w:tcPr>
          <w:p w:rsidR="00E8309B" w:rsidRDefault="00E8309B">
            <w:pPr>
              <w:spacing w:after="160" w:line="259" w:lineRule="auto"/>
              <w:ind w:left="0" w:right="0" w:firstLine="0"/>
              <w:jc w:val="left"/>
            </w:pPr>
          </w:p>
        </w:tc>
        <w:tc>
          <w:tcPr>
            <w:tcW w:w="1152" w:type="dxa"/>
            <w:gridSpan w:val="2"/>
            <w:tcBorders>
              <w:top w:val="dashed" w:sz="4" w:space="0" w:color="000000"/>
              <w:left w:val="dashed" w:sz="4" w:space="0" w:color="000000"/>
              <w:bottom w:val="single" w:sz="8" w:space="0" w:color="000000"/>
              <w:right w:val="single" w:sz="8" w:space="0" w:color="000000"/>
            </w:tcBorders>
          </w:tcPr>
          <w:p w:rsidR="00E8309B" w:rsidRDefault="00E8309B">
            <w:pPr>
              <w:spacing w:after="160" w:line="259" w:lineRule="auto"/>
              <w:ind w:left="0" w:right="0" w:firstLine="0"/>
              <w:jc w:val="left"/>
            </w:pPr>
          </w:p>
        </w:tc>
        <w:tc>
          <w:tcPr>
            <w:tcW w:w="1354" w:type="dxa"/>
            <w:gridSpan w:val="2"/>
            <w:tcBorders>
              <w:top w:val="dashed" w:sz="4" w:space="0" w:color="000000"/>
              <w:left w:val="single" w:sz="8" w:space="0" w:color="000000"/>
              <w:bottom w:val="single" w:sz="8" w:space="0" w:color="000000"/>
              <w:right w:val="single" w:sz="8" w:space="0" w:color="000000"/>
            </w:tcBorders>
          </w:tcPr>
          <w:p w:rsidR="00E8309B" w:rsidRDefault="009D0949">
            <w:pPr>
              <w:spacing w:after="0" w:line="259" w:lineRule="auto"/>
              <w:ind w:left="0" w:right="52" w:firstLine="0"/>
              <w:jc w:val="right"/>
            </w:pPr>
            <w:r>
              <w:rPr>
                <w:sz w:val="20"/>
              </w:rPr>
              <w:t xml:space="preserve">: </w:t>
            </w:r>
          </w:p>
        </w:tc>
        <w:tc>
          <w:tcPr>
            <w:tcW w:w="1287" w:type="dxa"/>
            <w:gridSpan w:val="2"/>
            <w:tcBorders>
              <w:top w:val="dashed" w:sz="4" w:space="0" w:color="000000"/>
              <w:left w:val="single" w:sz="8" w:space="0" w:color="000000"/>
              <w:bottom w:val="single" w:sz="8" w:space="0" w:color="000000"/>
              <w:right w:val="dashed" w:sz="4" w:space="0" w:color="000000"/>
            </w:tcBorders>
          </w:tcPr>
          <w:p w:rsidR="00E8309B" w:rsidRDefault="009D0949">
            <w:pPr>
              <w:spacing w:after="0" w:line="259" w:lineRule="auto"/>
              <w:ind w:left="0" w:right="50" w:firstLine="0"/>
              <w:jc w:val="right"/>
            </w:pPr>
            <w:r>
              <w:rPr>
                <w:sz w:val="20"/>
              </w:rPr>
              <w:t xml:space="preserve">: </w:t>
            </w:r>
          </w:p>
        </w:tc>
        <w:tc>
          <w:tcPr>
            <w:tcW w:w="1032" w:type="dxa"/>
            <w:gridSpan w:val="2"/>
            <w:tcBorders>
              <w:top w:val="dashed" w:sz="4" w:space="0" w:color="000000"/>
              <w:left w:val="dashed" w:sz="4" w:space="0" w:color="000000"/>
              <w:bottom w:val="single" w:sz="8" w:space="0" w:color="000000"/>
              <w:right w:val="dashed" w:sz="4" w:space="0" w:color="000000"/>
            </w:tcBorders>
          </w:tcPr>
          <w:p w:rsidR="00E8309B" w:rsidRDefault="009D0949">
            <w:pPr>
              <w:spacing w:after="0" w:line="259" w:lineRule="auto"/>
              <w:ind w:left="0" w:right="50" w:firstLine="0"/>
              <w:jc w:val="right"/>
            </w:pPr>
            <w:r>
              <w:rPr>
                <w:sz w:val="20"/>
              </w:rPr>
              <w:t xml:space="preserve">: </w:t>
            </w:r>
          </w:p>
        </w:tc>
        <w:tc>
          <w:tcPr>
            <w:tcW w:w="1034" w:type="dxa"/>
            <w:gridSpan w:val="2"/>
            <w:tcBorders>
              <w:top w:val="dashed" w:sz="4" w:space="0" w:color="000000"/>
              <w:left w:val="dashed" w:sz="4" w:space="0" w:color="000000"/>
              <w:bottom w:val="single" w:sz="8" w:space="0" w:color="000000"/>
              <w:right w:val="dashed" w:sz="4" w:space="0" w:color="000000"/>
            </w:tcBorders>
          </w:tcPr>
          <w:p w:rsidR="00E8309B" w:rsidRDefault="009D0949">
            <w:pPr>
              <w:spacing w:after="0" w:line="259" w:lineRule="auto"/>
              <w:ind w:left="0" w:right="50" w:firstLine="0"/>
              <w:jc w:val="right"/>
            </w:pPr>
            <w:r>
              <w:rPr>
                <w:sz w:val="20"/>
              </w:rPr>
              <w:t xml:space="preserve">: </w:t>
            </w:r>
          </w:p>
        </w:tc>
        <w:tc>
          <w:tcPr>
            <w:tcW w:w="1032" w:type="dxa"/>
            <w:gridSpan w:val="2"/>
            <w:tcBorders>
              <w:top w:val="dashed" w:sz="4" w:space="0" w:color="000000"/>
              <w:left w:val="dashed" w:sz="4" w:space="0" w:color="000000"/>
              <w:bottom w:val="single" w:sz="8" w:space="0" w:color="000000"/>
              <w:right w:val="dashed" w:sz="4" w:space="0" w:color="000000"/>
            </w:tcBorders>
          </w:tcPr>
          <w:p w:rsidR="00E8309B" w:rsidRDefault="009D0949">
            <w:pPr>
              <w:spacing w:after="0" w:line="259" w:lineRule="auto"/>
              <w:ind w:left="0" w:right="50" w:firstLine="0"/>
              <w:jc w:val="right"/>
            </w:pPr>
            <w:r>
              <w:rPr>
                <w:sz w:val="20"/>
              </w:rPr>
              <w:t xml:space="preserve">: </w:t>
            </w:r>
          </w:p>
        </w:tc>
        <w:tc>
          <w:tcPr>
            <w:tcW w:w="794" w:type="dxa"/>
            <w:gridSpan w:val="2"/>
            <w:tcBorders>
              <w:top w:val="dashed" w:sz="4" w:space="0" w:color="000000"/>
              <w:left w:val="dashed" w:sz="4" w:space="0" w:color="000000"/>
              <w:bottom w:val="single" w:sz="8" w:space="0" w:color="000000"/>
              <w:right w:val="double" w:sz="6" w:space="0" w:color="000000"/>
            </w:tcBorders>
          </w:tcPr>
          <w:p w:rsidR="00E8309B" w:rsidRDefault="009D0949">
            <w:pPr>
              <w:spacing w:after="0" w:line="259" w:lineRule="auto"/>
              <w:ind w:left="0" w:right="52" w:firstLine="0"/>
              <w:jc w:val="right"/>
            </w:pPr>
            <w:r>
              <w:rPr>
                <w:sz w:val="20"/>
              </w:rPr>
              <w:t xml:space="preserve">: </w:t>
            </w:r>
          </w:p>
        </w:tc>
      </w:tr>
      <w:tr w:rsidR="00E8309B">
        <w:trPr>
          <w:trHeight w:val="305"/>
        </w:trPr>
        <w:tc>
          <w:tcPr>
            <w:tcW w:w="5927" w:type="dxa"/>
            <w:tcBorders>
              <w:top w:val="single" w:sz="8" w:space="0" w:color="000000"/>
              <w:left w:val="double" w:sz="6" w:space="0" w:color="000000"/>
              <w:bottom w:val="single" w:sz="8" w:space="0" w:color="000000"/>
              <w:right w:val="nil"/>
            </w:tcBorders>
          </w:tcPr>
          <w:p w:rsidR="00E8309B" w:rsidRDefault="00E8309B">
            <w:pPr>
              <w:spacing w:after="160" w:line="259" w:lineRule="auto"/>
              <w:ind w:left="0" w:right="0" w:firstLine="0"/>
              <w:jc w:val="left"/>
            </w:pPr>
          </w:p>
        </w:tc>
        <w:tc>
          <w:tcPr>
            <w:tcW w:w="3466" w:type="dxa"/>
            <w:gridSpan w:val="7"/>
            <w:tcBorders>
              <w:top w:val="single" w:sz="8" w:space="0" w:color="000000"/>
              <w:left w:val="nil"/>
              <w:bottom w:val="single" w:sz="8" w:space="0" w:color="000000"/>
              <w:right w:val="nil"/>
            </w:tcBorders>
          </w:tcPr>
          <w:p w:rsidR="00E8309B" w:rsidRDefault="009D0949">
            <w:pPr>
              <w:tabs>
                <w:tab w:val="center" w:pos="1259"/>
                <w:tab w:val="center" w:pos="2208"/>
              </w:tabs>
              <w:spacing w:after="0" w:line="259" w:lineRule="auto"/>
              <w:ind w:left="0" w:right="0" w:firstLine="0"/>
              <w:jc w:val="left"/>
            </w:pPr>
            <w:r>
              <w:rPr>
                <w:rFonts w:ascii="Calibri" w:eastAsia="Calibri" w:hAnsi="Calibri" w:cs="Calibri"/>
                <w:sz w:val="22"/>
              </w:rPr>
              <w:tab/>
            </w:r>
            <w:r>
              <w:rPr>
                <w:b/>
                <w:sz w:val="20"/>
              </w:rPr>
              <w:t>Компоненте прихо</w:t>
            </w:r>
            <w:r>
              <w:rPr>
                <w:sz w:val="20"/>
              </w:rPr>
              <w:t xml:space="preserve"> </w:t>
            </w:r>
            <w:r>
              <w:rPr>
                <w:sz w:val="20"/>
              </w:rPr>
              <w:tab/>
            </w:r>
            <w:r>
              <w:rPr>
                <w:b/>
                <w:sz w:val="20"/>
              </w:rPr>
              <w:t xml:space="preserve">да </w:t>
            </w:r>
          </w:p>
        </w:tc>
        <w:tc>
          <w:tcPr>
            <w:tcW w:w="1287" w:type="dxa"/>
            <w:gridSpan w:val="2"/>
            <w:tcBorders>
              <w:top w:val="single" w:sz="8" w:space="0" w:color="000000"/>
              <w:left w:val="nil"/>
              <w:bottom w:val="single" w:sz="8" w:space="0" w:color="000000"/>
              <w:right w:val="nil"/>
            </w:tcBorders>
          </w:tcPr>
          <w:p w:rsidR="00E8309B" w:rsidRDefault="00E8309B">
            <w:pPr>
              <w:spacing w:after="160" w:line="259" w:lineRule="auto"/>
              <w:ind w:left="0" w:right="0" w:firstLine="0"/>
              <w:jc w:val="left"/>
            </w:pPr>
          </w:p>
        </w:tc>
        <w:tc>
          <w:tcPr>
            <w:tcW w:w="1032" w:type="dxa"/>
            <w:gridSpan w:val="2"/>
            <w:tcBorders>
              <w:top w:val="single" w:sz="8" w:space="0" w:color="000000"/>
              <w:left w:val="nil"/>
              <w:bottom w:val="single" w:sz="8" w:space="0" w:color="000000"/>
              <w:right w:val="nil"/>
            </w:tcBorders>
          </w:tcPr>
          <w:p w:rsidR="00E8309B" w:rsidRDefault="00E8309B">
            <w:pPr>
              <w:spacing w:after="160" w:line="259" w:lineRule="auto"/>
              <w:ind w:left="0" w:right="0" w:firstLine="0"/>
              <w:jc w:val="left"/>
            </w:pPr>
          </w:p>
        </w:tc>
        <w:tc>
          <w:tcPr>
            <w:tcW w:w="1034" w:type="dxa"/>
            <w:gridSpan w:val="2"/>
            <w:tcBorders>
              <w:top w:val="single" w:sz="8" w:space="0" w:color="000000"/>
              <w:left w:val="nil"/>
              <w:bottom w:val="single" w:sz="8" w:space="0" w:color="000000"/>
              <w:right w:val="nil"/>
            </w:tcBorders>
          </w:tcPr>
          <w:p w:rsidR="00E8309B" w:rsidRDefault="00E8309B">
            <w:pPr>
              <w:spacing w:after="160" w:line="259" w:lineRule="auto"/>
              <w:ind w:left="0" w:right="0" w:firstLine="0"/>
              <w:jc w:val="left"/>
            </w:pPr>
          </w:p>
        </w:tc>
        <w:tc>
          <w:tcPr>
            <w:tcW w:w="1032" w:type="dxa"/>
            <w:gridSpan w:val="2"/>
            <w:tcBorders>
              <w:top w:val="single" w:sz="8" w:space="0" w:color="000000"/>
              <w:left w:val="nil"/>
              <w:bottom w:val="single" w:sz="8" w:space="0" w:color="000000"/>
              <w:right w:val="nil"/>
            </w:tcBorders>
          </w:tcPr>
          <w:p w:rsidR="00E8309B" w:rsidRDefault="00E8309B">
            <w:pPr>
              <w:spacing w:after="160" w:line="259" w:lineRule="auto"/>
              <w:ind w:left="0" w:right="0" w:firstLine="0"/>
              <w:jc w:val="left"/>
            </w:pPr>
          </w:p>
        </w:tc>
        <w:tc>
          <w:tcPr>
            <w:tcW w:w="794" w:type="dxa"/>
            <w:gridSpan w:val="2"/>
            <w:tcBorders>
              <w:top w:val="single" w:sz="8" w:space="0" w:color="000000"/>
              <w:left w:val="nil"/>
              <w:bottom w:val="single" w:sz="8" w:space="0" w:color="000000"/>
              <w:right w:val="double" w:sz="6" w:space="0" w:color="000000"/>
            </w:tcBorders>
          </w:tcPr>
          <w:p w:rsidR="00E8309B" w:rsidRDefault="00E8309B">
            <w:pPr>
              <w:spacing w:after="160" w:line="259" w:lineRule="auto"/>
              <w:ind w:left="0" w:right="0" w:firstLine="0"/>
              <w:jc w:val="left"/>
            </w:pPr>
          </w:p>
        </w:tc>
      </w:tr>
      <w:tr w:rsidR="00E8309B">
        <w:trPr>
          <w:trHeight w:val="298"/>
        </w:trPr>
        <w:tc>
          <w:tcPr>
            <w:tcW w:w="5927" w:type="dxa"/>
            <w:tcBorders>
              <w:top w:val="single" w:sz="8" w:space="0" w:color="000000"/>
              <w:left w:val="double" w:sz="6" w:space="0" w:color="000000"/>
              <w:bottom w:val="dashed" w:sz="4" w:space="0" w:color="000000"/>
              <w:right w:val="nil"/>
            </w:tcBorders>
          </w:tcPr>
          <w:p w:rsidR="00E8309B" w:rsidRDefault="009D0949">
            <w:pPr>
              <w:spacing w:after="0" w:line="259" w:lineRule="auto"/>
              <w:ind w:left="110" w:right="0" w:firstLine="0"/>
              <w:jc w:val="left"/>
            </w:pPr>
            <w:r>
              <w:rPr>
                <w:sz w:val="20"/>
              </w:rPr>
              <w:t xml:space="preserve">12. Укупни порези (12 = 12а+12б+12ц) </w:t>
            </w:r>
          </w:p>
        </w:tc>
        <w:tc>
          <w:tcPr>
            <w:tcW w:w="960" w:type="dxa"/>
            <w:gridSpan w:val="3"/>
            <w:tcBorders>
              <w:top w:val="single" w:sz="8" w:space="0" w:color="000000"/>
              <w:left w:val="nil"/>
              <w:bottom w:val="dashed" w:sz="4" w:space="0" w:color="000000"/>
              <w:right w:val="dashed" w:sz="4" w:space="0" w:color="000000"/>
            </w:tcBorders>
          </w:tcPr>
          <w:p w:rsidR="00E8309B" w:rsidRDefault="00E8309B">
            <w:pPr>
              <w:spacing w:after="160" w:line="259" w:lineRule="auto"/>
              <w:ind w:left="0" w:right="0" w:firstLine="0"/>
              <w:jc w:val="left"/>
            </w:pPr>
          </w:p>
        </w:tc>
        <w:tc>
          <w:tcPr>
            <w:tcW w:w="1152" w:type="dxa"/>
            <w:gridSpan w:val="2"/>
            <w:tcBorders>
              <w:top w:val="single" w:sz="8" w:space="0" w:color="000000"/>
              <w:left w:val="dashed" w:sz="4" w:space="0" w:color="000000"/>
              <w:bottom w:val="dashed" w:sz="4" w:space="0" w:color="000000"/>
              <w:right w:val="single" w:sz="8" w:space="0" w:color="000000"/>
            </w:tcBorders>
          </w:tcPr>
          <w:p w:rsidR="00E8309B" w:rsidRDefault="00E8309B">
            <w:pPr>
              <w:spacing w:after="160" w:line="259" w:lineRule="auto"/>
              <w:ind w:left="0" w:right="0" w:firstLine="0"/>
              <w:jc w:val="left"/>
            </w:pPr>
          </w:p>
        </w:tc>
        <w:tc>
          <w:tcPr>
            <w:tcW w:w="1354" w:type="dxa"/>
            <w:gridSpan w:val="2"/>
            <w:tcBorders>
              <w:top w:val="single" w:sz="8" w:space="0" w:color="000000"/>
              <w:left w:val="single" w:sz="8" w:space="0" w:color="000000"/>
              <w:bottom w:val="dashed" w:sz="4" w:space="0" w:color="000000"/>
              <w:right w:val="single" w:sz="8" w:space="0" w:color="000000"/>
            </w:tcBorders>
          </w:tcPr>
          <w:p w:rsidR="00E8309B" w:rsidRDefault="009D0949">
            <w:pPr>
              <w:spacing w:after="0" w:line="259" w:lineRule="auto"/>
              <w:ind w:left="0" w:right="52" w:firstLine="0"/>
              <w:jc w:val="right"/>
            </w:pPr>
            <w:r>
              <w:rPr>
                <w:sz w:val="20"/>
              </w:rPr>
              <w:t xml:space="preserve">1.317,8018 </w:t>
            </w:r>
          </w:p>
        </w:tc>
        <w:tc>
          <w:tcPr>
            <w:tcW w:w="1287" w:type="dxa"/>
            <w:gridSpan w:val="2"/>
            <w:tcBorders>
              <w:top w:val="single" w:sz="8" w:space="0" w:color="000000"/>
              <w:left w:val="single" w:sz="8" w:space="0" w:color="000000"/>
              <w:bottom w:val="dashed" w:sz="4" w:space="0" w:color="000000"/>
              <w:right w:val="dashed" w:sz="4" w:space="0" w:color="000000"/>
            </w:tcBorders>
          </w:tcPr>
          <w:p w:rsidR="00E8309B" w:rsidRDefault="009D0949">
            <w:pPr>
              <w:spacing w:after="0" w:line="259" w:lineRule="auto"/>
              <w:ind w:left="0" w:right="50" w:firstLine="0"/>
              <w:jc w:val="right"/>
            </w:pPr>
            <w:r>
              <w:rPr>
                <w:sz w:val="20"/>
              </w:rPr>
              <w:t xml:space="preserve">24,3 </w:t>
            </w:r>
          </w:p>
        </w:tc>
        <w:tc>
          <w:tcPr>
            <w:tcW w:w="1032" w:type="dxa"/>
            <w:gridSpan w:val="2"/>
            <w:tcBorders>
              <w:top w:val="single" w:sz="8" w:space="0" w:color="000000"/>
              <w:left w:val="dashed" w:sz="4" w:space="0" w:color="000000"/>
              <w:bottom w:val="dashed" w:sz="4" w:space="0" w:color="000000"/>
              <w:right w:val="dashed" w:sz="4" w:space="0" w:color="000000"/>
            </w:tcBorders>
          </w:tcPr>
          <w:p w:rsidR="00E8309B" w:rsidRDefault="009D0949">
            <w:pPr>
              <w:spacing w:after="0" w:line="259" w:lineRule="auto"/>
              <w:ind w:left="0" w:right="49" w:firstLine="0"/>
              <w:jc w:val="right"/>
            </w:pPr>
            <w:r>
              <w:rPr>
                <w:sz w:val="20"/>
              </w:rPr>
              <w:t xml:space="preserve">23,6 </w:t>
            </w:r>
          </w:p>
        </w:tc>
        <w:tc>
          <w:tcPr>
            <w:tcW w:w="1034" w:type="dxa"/>
            <w:gridSpan w:val="2"/>
            <w:tcBorders>
              <w:top w:val="single" w:sz="8" w:space="0" w:color="000000"/>
              <w:left w:val="dashed" w:sz="4" w:space="0" w:color="000000"/>
              <w:bottom w:val="dashed" w:sz="4" w:space="0" w:color="000000"/>
              <w:right w:val="dashed" w:sz="4" w:space="0" w:color="000000"/>
            </w:tcBorders>
          </w:tcPr>
          <w:p w:rsidR="00E8309B" w:rsidRDefault="009D0949">
            <w:pPr>
              <w:spacing w:after="0" w:line="259" w:lineRule="auto"/>
              <w:ind w:left="0" w:right="49" w:firstLine="0"/>
              <w:jc w:val="right"/>
            </w:pPr>
            <w:r>
              <w:rPr>
                <w:sz w:val="20"/>
              </w:rPr>
              <w:t xml:space="preserve">23,1 </w:t>
            </w:r>
          </w:p>
        </w:tc>
        <w:tc>
          <w:tcPr>
            <w:tcW w:w="1032" w:type="dxa"/>
            <w:gridSpan w:val="2"/>
            <w:tcBorders>
              <w:top w:val="single" w:sz="8" w:space="0" w:color="000000"/>
              <w:left w:val="dashed" w:sz="4" w:space="0" w:color="000000"/>
              <w:bottom w:val="dashed" w:sz="4" w:space="0" w:color="000000"/>
              <w:right w:val="dashed" w:sz="4" w:space="0" w:color="000000"/>
            </w:tcBorders>
          </w:tcPr>
          <w:p w:rsidR="00E8309B" w:rsidRDefault="009D0949">
            <w:pPr>
              <w:spacing w:after="0" w:line="259" w:lineRule="auto"/>
              <w:ind w:left="0" w:right="50" w:firstLine="0"/>
              <w:jc w:val="right"/>
            </w:pPr>
            <w:r>
              <w:rPr>
                <w:sz w:val="20"/>
              </w:rPr>
              <w:t xml:space="preserve">23,0 </w:t>
            </w:r>
          </w:p>
        </w:tc>
        <w:tc>
          <w:tcPr>
            <w:tcW w:w="794" w:type="dxa"/>
            <w:gridSpan w:val="2"/>
            <w:tcBorders>
              <w:top w:val="single" w:sz="8" w:space="0" w:color="000000"/>
              <w:left w:val="dashed" w:sz="4" w:space="0" w:color="000000"/>
              <w:bottom w:val="dashed" w:sz="4" w:space="0" w:color="000000"/>
              <w:right w:val="double" w:sz="6" w:space="0" w:color="000000"/>
            </w:tcBorders>
          </w:tcPr>
          <w:p w:rsidR="00E8309B" w:rsidRDefault="009D0949">
            <w:pPr>
              <w:spacing w:after="0" w:line="259" w:lineRule="auto"/>
              <w:ind w:left="0" w:right="52" w:firstLine="0"/>
              <w:jc w:val="right"/>
            </w:pPr>
            <w:r>
              <w:rPr>
                <w:sz w:val="20"/>
              </w:rPr>
              <w:t xml:space="preserve">22,7 </w:t>
            </w:r>
          </w:p>
        </w:tc>
      </w:tr>
      <w:tr w:rsidR="00E8309B">
        <w:trPr>
          <w:trHeight w:val="293"/>
        </w:trPr>
        <w:tc>
          <w:tcPr>
            <w:tcW w:w="5927" w:type="dxa"/>
            <w:tcBorders>
              <w:top w:val="dashed" w:sz="4" w:space="0" w:color="000000"/>
              <w:left w:val="double" w:sz="6" w:space="0" w:color="000000"/>
              <w:bottom w:val="dashed" w:sz="4" w:space="0" w:color="000000"/>
              <w:right w:val="nil"/>
            </w:tcBorders>
          </w:tcPr>
          <w:p w:rsidR="00E8309B" w:rsidRDefault="009D0949">
            <w:pPr>
              <w:spacing w:after="0" w:line="259" w:lineRule="auto"/>
              <w:ind w:left="110" w:right="0" w:firstLine="0"/>
              <w:jc w:val="left"/>
            </w:pPr>
            <w:r>
              <w:rPr>
                <w:sz w:val="20"/>
              </w:rPr>
              <w:t xml:space="preserve">12a. Порези на производњу и увоз </w:t>
            </w:r>
          </w:p>
        </w:tc>
        <w:tc>
          <w:tcPr>
            <w:tcW w:w="960" w:type="dxa"/>
            <w:gridSpan w:val="3"/>
            <w:tcBorders>
              <w:top w:val="dashed" w:sz="4" w:space="0" w:color="000000"/>
              <w:left w:val="nil"/>
              <w:bottom w:val="dashed" w:sz="4" w:space="0" w:color="000000"/>
              <w:right w:val="dashed" w:sz="4" w:space="0" w:color="000000"/>
            </w:tcBorders>
          </w:tcPr>
          <w:p w:rsidR="00E8309B" w:rsidRDefault="00E8309B">
            <w:pPr>
              <w:spacing w:after="160" w:line="259" w:lineRule="auto"/>
              <w:ind w:left="0" w:right="0" w:firstLine="0"/>
              <w:jc w:val="left"/>
            </w:pPr>
          </w:p>
        </w:tc>
        <w:tc>
          <w:tcPr>
            <w:tcW w:w="1152" w:type="dxa"/>
            <w:gridSpan w:val="2"/>
            <w:tcBorders>
              <w:top w:val="dashed" w:sz="4" w:space="0" w:color="000000"/>
              <w:left w:val="dashed" w:sz="4" w:space="0" w:color="000000"/>
              <w:bottom w:val="dashed" w:sz="4" w:space="0" w:color="000000"/>
              <w:right w:val="single" w:sz="8" w:space="0" w:color="000000"/>
            </w:tcBorders>
          </w:tcPr>
          <w:p w:rsidR="00E8309B" w:rsidRDefault="009D0949">
            <w:pPr>
              <w:spacing w:after="0" w:line="259" w:lineRule="auto"/>
              <w:ind w:left="55" w:right="0" w:firstLine="0"/>
              <w:jc w:val="center"/>
            </w:pPr>
            <w:r>
              <w:rPr>
                <w:sz w:val="20"/>
              </w:rPr>
              <w:t xml:space="preserve">D2 </w:t>
            </w:r>
          </w:p>
        </w:tc>
        <w:tc>
          <w:tcPr>
            <w:tcW w:w="1354" w:type="dxa"/>
            <w:gridSpan w:val="2"/>
            <w:tcBorders>
              <w:top w:val="dashed" w:sz="4" w:space="0" w:color="000000"/>
              <w:left w:val="single" w:sz="8" w:space="0" w:color="000000"/>
              <w:bottom w:val="dashed" w:sz="4" w:space="0" w:color="000000"/>
              <w:right w:val="single" w:sz="8" w:space="0" w:color="000000"/>
            </w:tcBorders>
          </w:tcPr>
          <w:p w:rsidR="00E8309B" w:rsidRDefault="009D0949">
            <w:pPr>
              <w:spacing w:after="0" w:line="259" w:lineRule="auto"/>
              <w:ind w:left="0" w:right="52" w:firstLine="0"/>
              <w:jc w:val="right"/>
            </w:pPr>
            <w:r>
              <w:rPr>
                <w:sz w:val="20"/>
              </w:rPr>
              <w:t xml:space="preserve">943,4522 </w:t>
            </w:r>
          </w:p>
        </w:tc>
        <w:tc>
          <w:tcPr>
            <w:tcW w:w="1287" w:type="dxa"/>
            <w:gridSpan w:val="2"/>
            <w:tcBorders>
              <w:top w:val="dashed" w:sz="4" w:space="0" w:color="000000"/>
              <w:left w:val="single" w:sz="8" w:space="0" w:color="000000"/>
              <w:bottom w:val="dashed" w:sz="4" w:space="0" w:color="000000"/>
              <w:right w:val="dashed" w:sz="4" w:space="0" w:color="000000"/>
            </w:tcBorders>
          </w:tcPr>
          <w:p w:rsidR="00E8309B" w:rsidRDefault="009D0949">
            <w:pPr>
              <w:spacing w:after="0" w:line="259" w:lineRule="auto"/>
              <w:ind w:left="0" w:right="50" w:firstLine="0"/>
              <w:jc w:val="right"/>
            </w:pPr>
            <w:r>
              <w:rPr>
                <w:sz w:val="20"/>
              </w:rPr>
              <w:t xml:space="preserve">17,4 </w:t>
            </w:r>
          </w:p>
        </w:tc>
        <w:tc>
          <w:tcPr>
            <w:tcW w:w="1032" w:type="dxa"/>
            <w:gridSpan w:val="2"/>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49" w:firstLine="0"/>
              <w:jc w:val="right"/>
            </w:pPr>
            <w:r>
              <w:rPr>
                <w:sz w:val="20"/>
              </w:rPr>
              <w:t xml:space="preserve">16,9 </w:t>
            </w:r>
          </w:p>
        </w:tc>
        <w:tc>
          <w:tcPr>
            <w:tcW w:w="1034" w:type="dxa"/>
            <w:gridSpan w:val="2"/>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49" w:firstLine="0"/>
              <w:jc w:val="right"/>
            </w:pPr>
            <w:r>
              <w:rPr>
                <w:sz w:val="20"/>
              </w:rPr>
              <w:t xml:space="preserve">16,7 </w:t>
            </w:r>
          </w:p>
        </w:tc>
        <w:tc>
          <w:tcPr>
            <w:tcW w:w="1032" w:type="dxa"/>
            <w:gridSpan w:val="2"/>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50" w:firstLine="0"/>
              <w:jc w:val="right"/>
            </w:pPr>
            <w:r>
              <w:rPr>
                <w:sz w:val="20"/>
              </w:rPr>
              <w:t xml:space="preserve">16,6 </w:t>
            </w:r>
          </w:p>
        </w:tc>
        <w:tc>
          <w:tcPr>
            <w:tcW w:w="794" w:type="dxa"/>
            <w:gridSpan w:val="2"/>
            <w:tcBorders>
              <w:top w:val="dashed" w:sz="4" w:space="0" w:color="000000"/>
              <w:left w:val="dashed" w:sz="4" w:space="0" w:color="000000"/>
              <w:bottom w:val="dashed" w:sz="4" w:space="0" w:color="000000"/>
              <w:right w:val="double" w:sz="6" w:space="0" w:color="000000"/>
            </w:tcBorders>
          </w:tcPr>
          <w:p w:rsidR="00E8309B" w:rsidRDefault="009D0949">
            <w:pPr>
              <w:spacing w:after="0" w:line="259" w:lineRule="auto"/>
              <w:ind w:left="0" w:right="52" w:firstLine="0"/>
              <w:jc w:val="right"/>
            </w:pPr>
            <w:r>
              <w:rPr>
                <w:sz w:val="20"/>
              </w:rPr>
              <w:t xml:space="preserve">16,3 </w:t>
            </w:r>
          </w:p>
        </w:tc>
      </w:tr>
      <w:tr w:rsidR="00E8309B">
        <w:trPr>
          <w:trHeight w:val="293"/>
        </w:trPr>
        <w:tc>
          <w:tcPr>
            <w:tcW w:w="5927" w:type="dxa"/>
            <w:tcBorders>
              <w:top w:val="dashed" w:sz="4" w:space="0" w:color="000000"/>
              <w:left w:val="double" w:sz="6" w:space="0" w:color="000000"/>
              <w:bottom w:val="dashed" w:sz="4" w:space="0" w:color="000000"/>
              <w:right w:val="nil"/>
            </w:tcBorders>
          </w:tcPr>
          <w:p w:rsidR="00E8309B" w:rsidRDefault="009D0949">
            <w:pPr>
              <w:spacing w:after="0" w:line="259" w:lineRule="auto"/>
              <w:ind w:left="110" w:right="0" w:firstLine="0"/>
              <w:jc w:val="left"/>
            </w:pPr>
            <w:r>
              <w:rPr>
                <w:sz w:val="20"/>
              </w:rPr>
              <w:t xml:space="preserve">12б. Текући порези на доходак и имовину </w:t>
            </w:r>
          </w:p>
        </w:tc>
        <w:tc>
          <w:tcPr>
            <w:tcW w:w="960" w:type="dxa"/>
            <w:gridSpan w:val="3"/>
            <w:tcBorders>
              <w:top w:val="dashed" w:sz="4" w:space="0" w:color="000000"/>
              <w:left w:val="nil"/>
              <w:bottom w:val="dashed" w:sz="4" w:space="0" w:color="000000"/>
              <w:right w:val="dashed" w:sz="4" w:space="0" w:color="000000"/>
            </w:tcBorders>
          </w:tcPr>
          <w:p w:rsidR="00E8309B" w:rsidRDefault="00E8309B">
            <w:pPr>
              <w:spacing w:after="160" w:line="259" w:lineRule="auto"/>
              <w:ind w:left="0" w:right="0" w:firstLine="0"/>
              <w:jc w:val="left"/>
            </w:pPr>
          </w:p>
        </w:tc>
        <w:tc>
          <w:tcPr>
            <w:tcW w:w="1152" w:type="dxa"/>
            <w:gridSpan w:val="2"/>
            <w:tcBorders>
              <w:top w:val="dashed" w:sz="4" w:space="0" w:color="000000"/>
              <w:left w:val="dashed" w:sz="4" w:space="0" w:color="000000"/>
              <w:bottom w:val="dashed" w:sz="4" w:space="0" w:color="000000"/>
              <w:right w:val="single" w:sz="8" w:space="0" w:color="000000"/>
            </w:tcBorders>
          </w:tcPr>
          <w:p w:rsidR="00E8309B" w:rsidRDefault="009D0949">
            <w:pPr>
              <w:spacing w:after="0" w:line="259" w:lineRule="auto"/>
              <w:ind w:left="55" w:right="0" w:firstLine="0"/>
              <w:jc w:val="center"/>
            </w:pPr>
            <w:r>
              <w:rPr>
                <w:sz w:val="20"/>
              </w:rPr>
              <w:t xml:space="preserve">D5 </w:t>
            </w:r>
          </w:p>
        </w:tc>
        <w:tc>
          <w:tcPr>
            <w:tcW w:w="1354" w:type="dxa"/>
            <w:gridSpan w:val="2"/>
            <w:tcBorders>
              <w:top w:val="dashed" w:sz="4" w:space="0" w:color="000000"/>
              <w:left w:val="single" w:sz="8" w:space="0" w:color="000000"/>
              <w:bottom w:val="dashed" w:sz="4" w:space="0" w:color="000000"/>
              <w:right w:val="single" w:sz="8" w:space="0" w:color="000000"/>
            </w:tcBorders>
          </w:tcPr>
          <w:p w:rsidR="00E8309B" w:rsidRDefault="009D0949">
            <w:pPr>
              <w:spacing w:after="0" w:line="259" w:lineRule="auto"/>
              <w:ind w:left="0" w:right="52" w:firstLine="0"/>
              <w:jc w:val="right"/>
            </w:pPr>
            <w:r>
              <w:rPr>
                <w:sz w:val="20"/>
              </w:rPr>
              <w:t xml:space="preserve">373,1899 </w:t>
            </w:r>
          </w:p>
        </w:tc>
        <w:tc>
          <w:tcPr>
            <w:tcW w:w="1287" w:type="dxa"/>
            <w:gridSpan w:val="2"/>
            <w:tcBorders>
              <w:top w:val="dashed" w:sz="4" w:space="0" w:color="000000"/>
              <w:left w:val="single" w:sz="8" w:space="0" w:color="000000"/>
              <w:bottom w:val="dashed" w:sz="4" w:space="0" w:color="000000"/>
              <w:right w:val="dashed" w:sz="4" w:space="0" w:color="000000"/>
            </w:tcBorders>
          </w:tcPr>
          <w:p w:rsidR="00E8309B" w:rsidRDefault="009D0949">
            <w:pPr>
              <w:spacing w:after="0" w:line="259" w:lineRule="auto"/>
              <w:ind w:left="0" w:right="50" w:firstLine="0"/>
              <w:jc w:val="right"/>
            </w:pPr>
            <w:r>
              <w:rPr>
                <w:sz w:val="20"/>
              </w:rPr>
              <w:t xml:space="preserve">6,9 </w:t>
            </w:r>
          </w:p>
        </w:tc>
        <w:tc>
          <w:tcPr>
            <w:tcW w:w="1032" w:type="dxa"/>
            <w:gridSpan w:val="2"/>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49" w:firstLine="0"/>
              <w:jc w:val="right"/>
            </w:pPr>
            <w:r>
              <w:rPr>
                <w:sz w:val="20"/>
              </w:rPr>
              <w:t xml:space="preserve">6,7 </w:t>
            </w:r>
          </w:p>
        </w:tc>
        <w:tc>
          <w:tcPr>
            <w:tcW w:w="1034" w:type="dxa"/>
            <w:gridSpan w:val="2"/>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49" w:firstLine="0"/>
              <w:jc w:val="right"/>
            </w:pPr>
            <w:r>
              <w:rPr>
                <w:sz w:val="20"/>
              </w:rPr>
              <w:t xml:space="preserve">6,4 </w:t>
            </w:r>
          </w:p>
        </w:tc>
        <w:tc>
          <w:tcPr>
            <w:tcW w:w="1032" w:type="dxa"/>
            <w:gridSpan w:val="2"/>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49" w:firstLine="0"/>
              <w:jc w:val="right"/>
            </w:pPr>
            <w:r>
              <w:rPr>
                <w:sz w:val="20"/>
              </w:rPr>
              <w:t xml:space="preserve">6,5 </w:t>
            </w:r>
          </w:p>
        </w:tc>
        <w:tc>
          <w:tcPr>
            <w:tcW w:w="794" w:type="dxa"/>
            <w:gridSpan w:val="2"/>
            <w:tcBorders>
              <w:top w:val="dashed" w:sz="4" w:space="0" w:color="000000"/>
              <w:left w:val="dashed" w:sz="4" w:space="0" w:color="000000"/>
              <w:bottom w:val="dashed" w:sz="4" w:space="0" w:color="000000"/>
              <w:right w:val="double" w:sz="6" w:space="0" w:color="000000"/>
            </w:tcBorders>
          </w:tcPr>
          <w:p w:rsidR="00E8309B" w:rsidRDefault="009D0949">
            <w:pPr>
              <w:spacing w:after="0" w:line="259" w:lineRule="auto"/>
              <w:ind w:left="0" w:right="51" w:firstLine="0"/>
              <w:jc w:val="right"/>
            </w:pPr>
            <w:r>
              <w:rPr>
                <w:sz w:val="20"/>
              </w:rPr>
              <w:t xml:space="preserve">6,4 </w:t>
            </w:r>
          </w:p>
        </w:tc>
      </w:tr>
      <w:tr w:rsidR="00E8309B">
        <w:trPr>
          <w:trHeight w:val="293"/>
        </w:trPr>
        <w:tc>
          <w:tcPr>
            <w:tcW w:w="5927" w:type="dxa"/>
            <w:tcBorders>
              <w:top w:val="dashed" w:sz="4" w:space="0" w:color="000000"/>
              <w:left w:val="double" w:sz="6" w:space="0" w:color="000000"/>
              <w:bottom w:val="dashed" w:sz="4" w:space="0" w:color="000000"/>
              <w:right w:val="nil"/>
            </w:tcBorders>
          </w:tcPr>
          <w:p w:rsidR="00E8309B" w:rsidRDefault="009D0949">
            <w:pPr>
              <w:spacing w:after="0" w:line="259" w:lineRule="auto"/>
              <w:ind w:left="110" w:right="0" w:firstLine="0"/>
              <w:jc w:val="left"/>
            </w:pPr>
            <w:r>
              <w:rPr>
                <w:sz w:val="20"/>
              </w:rPr>
              <w:t xml:space="preserve">12ц. Порези на капитал </w:t>
            </w:r>
          </w:p>
        </w:tc>
        <w:tc>
          <w:tcPr>
            <w:tcW w:w="960" w:type="dxa"/>
            <w:gridSpan w:val="3"/>
            <w:tcBorders>
              <w:top w:val="dashed" w:sz="4" w:space="0" w:color="000000"/>
              <w:left w:val="nil"/>
              <w:bottom w:val="dashed" w:sz="4" w:space="0" w:color="000000"/>
              <w:right w:val="dashed" w:sz="4" w:space="0" w:color="000000"/>
            </w:tcBorders>
          </w:tcPr>
          <w:p w:rsidR="00E8309B" w:rsidRDefault="00E8309B">
            <w:pPr>
              <w:spacing w:after="160" w:line="259" w:lineRule="auto"/>
              <w:ind w:left="0" w:right="0" w:firstLine="0"/>
              <w:jc w:val="left"/>
            </w:pPr>
          </w:p>
        </w:tc>
        <w:tc>
          <w:tcPr>
            <w:tcW w:w="1152" w:type="dxa"/>
            <w:gridSpan w:val="2"/>
            <w:tcBorders>
              <w:top w:val="dashed" w:sz="4" w:space="0" w:color="000000"/>
              <w:left w:val="dashed" w:sz="4" w:space="0" w:color="000000"/>
              <w:bottom w:val="dashed" w:sz="4" w:space="0" w:color="000000"/>
              <w:right w:val="single" w:sz="8" w:space="0" w:color="000000"/>
            </w:tcBorders>
          </w:tcPr>
          <w:p w:rsidR="00E8309B" w:rsidRDefault="009D0949">
            <w:pPr>
              <w:spacing w:after="0" w:line="259" w:lineRule="auto"/>
              <w:ind w:left="55" w:right="0" w:firstLine="0"/>
              <w:jc w:val="center"/>
            </w:pPr>
            <w:r>
              <w:rPr>
                <w:sz w:val="20"/>
              </w:rPr>
              <w:t xml:space="preserve">D91 </w:t>
            </w:r>
          </w:p>
        </w:tc>
        <w:tc>
          <w:tcPr>
            <w:tcW w:w="1354" w:type="dxa"/>
            <w:gridSpan w:val="2"/>
            <w:tcBorders>
              <w:top w:val="dashed" w:sz="4" w:space="0" w:color="000000"/>
              <w:left w:val="single" w:sz="8" w:space="0" w:color="000000"/>
              <w:bottom w:val="dashed" w:sz="4" w:space="0" w:color="000000"/>
              <w:right w:val="single" w:sz="8" w:space="0" w:color="000000"/>
            </w:tcBorders>
          </w:tcPr>
          <w:p w:rsidR="00E8309B" w:rsidRDefault="009D0949">
            <w:pPr>
              <w:spacing w:after="0" w:line="259" w:lineRule="auto"/>
              <w:ind w:left="0" w:right="52" w:firstLine="0"/>
              <w:jc w:val="right"/>
            </w:pPr>
            <w:r>
              <w:rPr>
                <w:sz w:val="20"/>
              </w:rPr>
              <w:t xml:space="preserve">1,1597 </w:t>
            </w:r>
          </w:p>
        </w:tc>
        <w:tc>
          <w:tcPr>
            <w:tcW w:w="1287" w:type="dxa"/>
            <w:gridSpan w:val="2"/>
            <w:tcBorders>
              <w:top w:val="dashed" w:sz="4" w:space="0" w:color="000000"/>
              <w:left w:val="single" w:sz="8" w:space="0" w:color="000000"/>
              <w:bottom w:val="dashed" w:sz="4" w:space="0" w:color="000000"/>
              <w:right w:val="dashed" w:sz="4" w:space="0" w:color="000000"/>
            </w:tcBorders>
          </w:tcPr>
          <w:p w:rsidR="00E8309B" w:rsidRDefault="009D0949">
            <w:pPr>
              <w:spacing w:after="0" w:line="259" w:lineRule="auto"/>
              <w:ind w:left="0" w:right="50" w:firstLine="0"/>
              <w:jc w:val="right"/>
            </w:pPr>
            <w:r>
              <w:rPr>
                <w:sz w:val="20"/>
              </w:rPr>
              <w:t xml:space="preserve">0,0 </w:t>
            </w:r>
          </w:p>
        </w:tc>
        <w:tc>
          <w:tcPr>
            <w:tcW w:w="1032" w:type="dxa"/>
            <w:gridSpan w:val="2"/>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49" w:firstLine="0"/>
              <w:jc w:val="right"/>
            </w:pPr>
            <w:r>
              <w:rPr>
                <w:sz w:val="20"/>
              </w:rPr>
              <w:t xml:space="preserve">0,0 </w:t>
            </w:r>
          </w:p>
        </w:tc>
        <w:tc>
          <w:tcPr>
            <w:tcW w:w="1034" w:type="dxa"/>
            <w:gridSpan w:val="2"/>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49" w:firstLine="0"/>
              <w:jc w:val="right"/>
            </w:pPr>
            <w:r>
              <w:rPr>
                <w:sz w:val="20"/>
              </w:rPr>
              <w:t xml:space="preserve">0,0 </w:t>
            </w:r>
          </w:p>
        </w:tc>
        <w:tc>
          <w:tcPr>
            <w:tcW w:w="1032" w:type="dxa"/>
            <w:gridSpan w:val="2"/>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49" w:firstLine="0"/>
              <w:jc w:val="right"/>
            </w:pPr>
            <w:r>
              <w:rPr>
                <w:sz w:val="20"/>
              </w:rPr>
              <w:t xml:space="preserve">0,0 </w:t>
            </w:r>
          </w:p>
        </w:tc>
        <w:tc>
          <w:tcPr>
            <w:tcW w:w="794" w:type="dxa"/>
            <w:gridSpan w:val="2"/>
            <w:tcBorders>
              <w:top w:val="dashed" w:sz="4" w:space="0" w:color="000000"/>
              <w:left w:val="dashed" w:sz="4" w:space="0" w:color="000000"/>
              <w:bottom w:val="dashed" w:sz="4" w:space="0" w:color="000000"/>
              <w:right w:val="double" w:sz="6" w:space="0" w:color="000000"/>
            </w:tcBorders>
          </w:tcPr>
          <w:p w:rsidR="00E8309B" w:rsidRDefault="009D0949">
            <w:pPr>
              <w:spacing w:after="0" w:line="259" w:lineRule="auto"/>
              <w:ind w:left="0" w:right="51" w:firstLine="0"/>
              <w:jc w:val="right"/>
            </w:pPr>
            <w:r>
              <w:rPr>
                <w:sz w:val="20"/>
              </w:rPr>
              <w:t xml:space="preserve">0,0 </w:t>
            </w:r>
          </w:p>
        </w:tc>
      </w:tr>
      <w:tr w:rsidR="00E8309B">
        <w:trPr>
          <w:trHeight w:val="293"/>
        </w:trPr>
        <w:tc>
          <w:tcPr>
            <w:tcW w:w="5927" w:type="dxa"/>
            <w:tcBorders>
              <w:top w:val="dashed" w:sz="4" w:space="0" w:color="000000"/>
              <w:left w:val="double" w:sz="6" w:space="0" w:color="000000"/>
              <w:bottom w:val="dashed" w:sz="4" w:space="0" w:color="000000"/>
              <w:right w:val="nil"/>
            </w:tcBorders>
          </w:tcPr>
          <w:p w:rsidR="00E8309B" w:rsidRDefault="009D0949">
            <w:pPr>
              <w:spacing w:after="0" w:line="259" w:lineRule="auto"/>
              <w:ind w:left="110" w:right="0" w:firstLine="0"/>
              <w:jc w:val="left"/>
            </w:pPr>
            <w:r>
              <w:rPr>
                <w:sz w:val="20"/>
              </w:rPr>
              <w:t xml:space="preserve">13. Доприноси за социјално осигурање </w:t>
            </w:r>
          </w:p>
        </w:tc>
        <w:tc>
          <w:tcPr>
            <w:tcW w:w="960" w:type="dxa"/>
            <w:gridSpan w:val="3"/>
            <w:tcBorders>
              <w:top w:val="dashed" w:sz="4" w:space="0" w:color="000000"/>
              <w:left w:val="nil"/>
              <w:bottom w:val="dashed" w:sz="4" w:space="0" w:color="000000"/>
              <w:right w:val="dashed" w:sz="4" w:space="0" w:color="000000"/>
            </w:tcBorders>
          </w:tcPr>
          <w:p w:rsidR="00E8309B" w:rsidRDefault="00E8309B">
            <w:pPr>
              <w:spacing w:after="160" w:line="259" w:lineRule="auto"/>
              <w:ind w:left="0" w:right="0" w:firstLine="0"/>
              <w:jc w:val="left"/>
            </w:pPr>
          </w:p>
        </w:tc>
        <w:tc>
          <w:tcPr>
            <w:tcW w:w="1152" w:type="dxa"/>
            <w:gridSpan w:val="2"/>
            <w:tcBorders>
              <w:top w:val="dashed" w:sz="4" w:space="0" w:color="000000"/>
              <w:left w:val="dashed" w:sz="4" w:space="0" w:color="000000"/>
              <w:bottom w:val="dashed" w:sz="4" w:space="0" w:color="000000"/>
              <w:right w:val="single" w:sz="8" w:space="0" w:color="000000"/>
            </w:tcBorders>
          </w:tcPr>
          <w:p w:rsidR="00E8309B" w:rsidRDefault="009D0949">
            <w:pPr>
              <w:spacing w:after="0" w:line="259" w:lineRule="auto"/>
              <w:ind w:left="55" w:right="0" w:firstLine="0"/>
              <w:jc w:val="center"/>
            </w:pPr>
            <w:r>
              <w:rPr>
                <w:sz w:val="20"/>
              </w:rPr>
              <w:t xml:space="preserve">D61 </w:t>
            </w:r>
          </w:p>
        </w:tc>
        <w:tc>
          <w:tcPr>
            <w:tcW w:w="1354" w:type="dxa"/>
            <w:gridSpan w:val="2"/>
            <w:tcBorders>
              <w:top w:val="dashed" w:sz="4" w:space="0" w:color="000000"/>
              <w:left w:val="single" w:sz="8" w:space="0" w:color="000000"/>
              <w:bottom w:val="dashed" w:sz="4" w:space="0" w:color="000000"/>
              <w:right w:val="single" w:sz="8" w:space="0" w:color="000000"/>
            </w:tcBorders>
          </w:tcPr>
          <w:p w:rsidR="00E8309B" w:rsidRDefault="009D0949">
            <w:pPr>
              <w:spacing w:after="0" w:line="259" w:lineRule="auto"/>
              <w:ind w:left="0" w:right="52" w:firstLine="0"/>
              <w:jc w:val="right"/>
            </w:pPr>
            <w:r>
              <w:rPr>
                <w:sz w:val="20"/>
              </w:rPr>
              <w:t xml:space="preserve">675,8755 </w:t>
            </w:r>
          </w:p>
        </w:tc>
        <w:tc>
          <w:tcPr>
            <w:tcW w:w="1287" w:type="dxa"/>
            <w:gridSpan w:val="2"/>
            <w:tcBorders>
              <w:top w:val="dashed" w:sz="4" w:space="0" w:color="000000"/>
              <w:left w:val="single" w:sz="8" w:space="0" w:color="000000"/>
              <w:bottom w:val="dashed" w:sz="4" w:space="0" w:color="000000"/>
              <w:right w:val="dashed" w:sz="4" w:space="0" w:color="000000"/>
            </w:tcBorders>
          </w:tcPr>
          <w:p w:rsidR="00E8309B" w:rsidRDefault="009D0949">
            <w:pPr>
              <w:spacing w:after="0" w:line="259" w:lineRule="auto"/>
              <w:ind w:left="0" w:right="50" w:firstLine="0"/>
              <w:jc w:val="right"/>
            </w:pPr>
            <w:r>
              <w:rPr>
                <w:sz w:val="20"/>
              </w:rPr>
              <w:t xml:space="preserve">12,5 </w:t>
            </w:r>
          </w:p>
        </w:tc>
        <w:tc>
          <w:tcPr>
            <w:tcW w:w="1032" w:type="dxa"/>
            <w:gridSpan w:val="2"/>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49" w:firstLine="0"/>
              <w:jc w:val="right"/>
            </w:pPr>
            <w:r>
              <w:rPr>
                <w:sz w:val="20"/>
              </w:rPr>
              <w:t xml:space="preserve">12,2 </w:t>
            </w:r>
          </w:p>
        </w:tc>
        <w:tc>
          <w:tcPr>
            <w:tcW w:w="1034" w:type="dxa"/>
            <w:gridSpan w:val="2"/>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49" w:firstLine="0"/>
              <w:jc w:val="right"/>
            </w:pPr>
            <w:r>
              <w:rPr>
                <w:sz w:val="20"/>
              </w:rPr>
              <w:t xml:space="preserve">13,1 </w:t>
            </w:r>
          </w:p>
        </w:tc>
        <w:tc>
          <w:tcPr>
            <w:tcW w:w="1032" w:type="dxa"/>
            <w:gridSpan w:val="2"/>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50" w:firstLine="0"/>
              <w:jc w:val="right"/>
            </w:pPr>
            <w:r>
              <w:rPr>
                <w:sz w:val="20"/>
              </w:rPr>
              <w:t xml:space="preserve">13,2 </w:t>
            </w:r>
          </w:p>
        </w:tc>
        <w:tc>
          <w:tcPr>
            <w:tcW w:w="794" w:type="dxa"/>
            <w:gridSpan w:val="2"/>
            <w:tcBorders>
              <w:top w:val="dashed" w:sz="4" w:space="0" w:color="000000"/>
              <w:left w:val="dashed" w:sz="4" w:space="0" w:color="000000"/>
              <w:bottom w:val="dashed" w:sz="4" w:space="0" w:color="000000"/>
              <w:right w:val="double" w:sz="6" w:space="0" w:color="000000"/>
            </w:tcBorders>
          </w:tcPr>
          <w:p w:rsidR="00E8309B" w:rsidRDefault="009D0949">
            <w:pPr>
              <w:spacing w:after="0" w:line="259" w:lineRule="auto"/>
              <w:ind w:left="0" w:right="52" w:firstLine="0"/>
              <w:jc w:val="right"/>
            </w:pPr>
            <w:r>
              <w:rPr>
                <w:sz w:val="20"/>
              </w:rPr>
              <w:t xml:space="preserve">12,8 </w:t>
            </w:r>
          </w:p>
        </w:tc>
      </w:tr>
      <w:tr w:rsidR="00E8309B">
        <w:trPr>
          <w:trHeight w:val="293"/>
        </w:trPr>
        <w:tc>
          <w:tcPr>
            <w:tcW w:w="5927" w:type="dxa"/>
            <w:tcBorders>
              <w:top w:val="dashed" w:sz="4" w:space="0" w:color="000000"/>
              <w:left w:val="double" w:sz="6" w:space="0" w:color="000000"/>
              <w:bottom w:val="dashed" w:sz="4" w:space="0" w:color="000000"/>
              <w:right w:val="nil"/>
            </w:tcBorders>
          </w:tcPr>
          <w:p w:rsidR="00E8309B" w:rsidRDefault="009D0949">
            <w:pPr>
              <w:spacing w:after="0" w:line="259" w:lineRule="auto"/>
              <w:ind w:left="110" w:right="0" w:firstLine="0"/>
              <w:jc w:val="left"/>
            </w:pPr>
            <w:r>
              <w:rPr>
                <w:sz w:val="20"/>
              </w:rPr>
              <w:t xml:space="preserve">14. Приходи од имовине </w:t>
            </w:r>
          </w:p>
        </w:tc>
        <w:tc>
          <w:tcPr>
            <w:tcW w:w="960" w:type="dxa"/>
            <w:gridSpan w:val="3"/>
            <w:tcBorders>
              <w:top w:val="dashed" w:sz="4" w:space="0" w:color="000000"/>
              <w:left w:val="nil"/>
              <w:bottom w:val="dashed" w:sz="4" w:space="0" w:color="000000"/>
              <w:right w:val="dashed" w:sz="4" w:space="0" w:color="000000"/>
            </w:tcBorders>
          </w:tcPr>
          <w:p w:rsidR="00E8309B" w:rsidRDefault="00E8309B">
            <w:pPr>
              <w:spacing w:after="160" w:line="259" w:lineRule="auto"/>
              <w:ind w:left="0" w:right="0" w:firstLine="0"/>
              <w:jc w:val="left"/>
            </w:pPr>
          </w:p>
        </w:tc>
        <w:tc>
          <w:tcPr>
            <w:tcW w:w="1152" w:type="dxa"/>
            <w:gridSpan w:val="2"/>
            <w:tcBorders>
              <w:top w:val="dashed" w:sz="4" w:space="0" w:color="000000"/>
              <w:left w:val="dashed" w:sz="4" w:space="0" w:color="000000"/>
              <w:bottom w:val="dashed" w:sz="4" w:space="0" w:color="000000"/>
              <w:right w:val="single" w:sz="8" w:space="0" w:color="000000"/>
            </w:tcBorders>
          </w:tcPr>
          <w:p w:rsidR="00E8309B" w:rsidRDefault="009D0949">
            <w:pPr>
              <w:spacing w:after="0" w:line="259" w:lineRule="auto"/>
              <w:ind w:left="55" w:right="0" w:firstLine="0"/>
              <w:jc w:val="center"/>
            </w:pPr>
            <w:r>
              <w:rPr>
                <w:sz w:val="20"/>
              </w:rPr>
              <w:t xml:space="preserve">D4 </w:t>
            </w:r>
          </w:p>
          <w:p w:rsidR="00E8309B" w:rsidRDefault="009D0949">
            <w:pPr>
              <w:spacing w:after="0" w:line="259" w:lineRule="auto"/>
              <w:ind w:left="106" w:right="0" w:firstLine="0"/>
              <w:jc w:val="center"/>
            </w:pPr>
            <w:r>
              <w:rPr>
                <w:sz w:val="20"/>
              </w:rPr>
              <w:t xml:space="preserve"> </w:t>
            </w:r>
          </w:p>
        </w:tc>
        <w:tc>
          <w:tcPr>
            <w:tcW w:w="1354" w:type="dxa"/>
            <w:gridSpan w:val="2"/>
            <w:tcBorders>
              <w:top w:val="dashed" w:sz="4" w:space="0" w:color="000000"/>
              <w:left w:val="single" w:sz="8" w:space="0" w:color="000000"/>
              <w:bottom w:val="dashed" w:sz="4" w:space="0" w:color="000000"/>
              <w:right w:val="single" w:sz="8" w:space="0" w:color="000000"/>
            </w:tcBorders>
          </w:tcPr>
          <w:p w:rsidR="00E8309B" w:rsidRDefault="009D0949">
            <w:pPr>
              <w:spacing w:after="0" w:line="259" w:lineRule="auto"/>
              <w:ind w:left="0" w:right="52" w:firstLine="0"/>
              <w:jc w:val="right"/>
            </w:pPr>
            <w:r>
              <w:rPr>
                <w:sz w:val="20"/>
              </w:rPr>
              <w:t xml:space="preserve">68,7590 </w:t>
            </w:r>
          </w:p>
        </w:tc>
        <w:tc>
          <w:tcPr>
            <w:tcW w:w="1287" w:type="dxa"/>
            <w:gridSpan w:val="2"/>
            <w:tcBorders>
              <w:top w:val="dashed" w:sz="4" w:space="0" w:color="000000"/>
              <w:left w:val="single" w:sz="8" w:space="0" w:color="000000"/>
              <w:bottom w:val="dashed" w:sz="4" w:space="0" w:color="000000"/>
              <w:right w:val="dashed" w:sz="4" w:space="0" w:color="000000"/>
            </w:tcBorders>
          </w:tcPr>
          <w:p w:rsidR="00E8309B" w:rsidRDefault="009D0949">
            <w:pPr>
              <w:spacing w:after="0" w:line="259" w:lineRule="auto"/>
              <w:ind w:left="0" w:right="50" w:firstLine="0"/>
              <w:jc w:val="right"/>
            </w:pPr>
            <w:r>
              <w:rPr>
                <w:sz w:val="20"/>
              </w:rPr>
              <w:t xml:space="preserve">1,3 </w:t>
            </w:r>
          </w:p>
        </w:tc>
        <w:tc>
          <w:tcPr>
            <w:tcW w:w="1032" w:type="dxa"/>
            <w:gridSpan w:val="2"/>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49" w:firstLine="0"/>
              <w:jc w:val="right"/>
            </w:pPr>
            <w:r>
              <w:rPr>
                <w:sz w:val="20"/>
              </w:rPr>
              <w:t xml:space="preserve">1,4 </w:t>
            </w:r>
          </w:p>
        </w:tc>
        <w:tc>
          <w:tcPr>
            <w:tcW w:w="1034" w:type="dxa"/>
            <w:gridSpan w:val="2"/>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49" w:firstLine="0"/>
              <w:jc w:val="right"/>
            </w:pPr>
            <w:r>
              <w:rPr>
                <w:sz w:val="20"/>
              </w:rPr>
              <w:t xml:space="preserve">1,3 </w:t>
            </w:r>
          </w:p>
        </w:tc>
        <w:tc>
          <w:tcPr>
            <w:tcW w:w="1032" w:type="dxa"/>
            <w:gridSpan w:val="2"/>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49" w:firstLine="0"/>
              <w:jc w:val="right"/>
            </w:pPr>
            <w:r>
              <w:rPr>
                <w:sz w:val="20"/>
              </w:rPr>
              <w:t xml:space="preserve">1,2 </w:t>
            </w:r>
          </w:p>
        </w:tc>
        <w:tc>
          <w:tcPr>
            <w:tcW w:w="794" w:type="dxa"/>
            <w:gridSpan w:val="2"/>
            <w:tcBorders>
              <w:top w:val="dashed" w:sz="4" w:space="0" w:color="000000"/>
              <w:left w:val="dashed" w:sz="4" w:space="0" w:color="000000"/>
              <w:bottom w:val="dashed" w:sz="4" w:space="0" w:color="000000"/>
              <w:right w:val="double" w:sz="6" w:space="0" w:color="000000"/>
            </w:tcBorders>
          </w:tcPr>
          <w:p w:rsidR="00E8309B" w:rsidRDefault="009D0949">
            <w:pPr>
              <w:spacing w:after="0" w:line="259" w:lineRule="auto"/>
              <w:ind w:left="0" w:right="51" w:firstLine="0"/>
              <w:jc w:val="right"/>
            </w:pPr>
            <w:r>
              <w:rPr>
                <w:sz w:val="20"/>
              </w:rPr>
              <w:t xml:space="preserve">1,2 </w:t>
            </w:r>
          </w:p>
        </w:tc>
      </w:tr>
      <w:tr w:rsidR="00E8309B">
        <w:trPr>
          <w:trHeight w:val="293"/>
        </w:trPr>
        <w:tc>
          <w:tcPr>
            <w:tcW w:w="5927" w:type="dxa"/>
            <w:tcBorders>
              <w:top w:val="dashed" w:sz="4" w:space="0" w:color="000000"/>
              <w:left w:val="double" w:sz="6" w:space="0" w:color="000000"/>
              <w:bottom w:val="dashed" w:sz="4" w:space="0" w:color="000000"/>
              <w:right w:val="nil"/>
            </w:tcBorders>
          </w:tcPr>
          <w:p w:rsidR="00E8309B" w:rsidRDefault="009D0949">
            <w:pPr>
              <w:spacing w:after="0" w:line="259" w:lineRule="auto"/>
              <w:ind w:left="110" w:right="0" w:firstLine="0"/>
              <w:jc w:val="left"/>
            </w:pPr>
            <w:r>
              <w:rPr>
                <w:sz w:val="20"/>
              </w:rPr>
              <w:t xml:space="preserve">15. Друго (15 = 16-(12+13+14)) [4] </w:t>
            </w:r>
          </w:p>
        </w:tc>
        <w:tc>
          <w:tcPr>
            <w:tcW w:w="960" w:type="dxa"/>
            <w:gridSpan w:val="3"/>
            <w:tcBorders>
              <w:top w:val="dashed" w:sz="4" w:space="0" w:color="000000"/>
              <w:left w:val="nil"/>
              <w:bottom w:val="dashed" w:sz="4" w:space="0" w:color="000000"/>
              <w:right w:val="dashed" w:sz="4" w:space="0" w:color="000000"/>
            </w:tcBorders>
          </w:tcPr>
          <w:p w:rsidR="00E8309B" w:rsidRDefault="00E8309B">
            <w:pPr>
              <w:spacing w:after="160" w:line="259" w:lineRule="auto"/>
              <w:ind w:left="0" w:right="0" w:firstLine="0"/>
              <w:jc w:val="left"/>
            </w:pPr>
          </w:p>
        </w:tc>
        <w:tc>
          <w:tcPr>
            <w:tcW w:w="1152" w:type="dxa"/>
            <w:gridSpan w:val="2"/>
            <w:tcBorders>
              <w:top w:val="dashed" w:sz="4" w:space="0" w:color="000000"/>
              <w:left w:val="dashed" w:sz="4" w:space="0" w:color="000000"/>
              <w:bottom w:val="dashed" w:sz="4" w:space="0" w:color="000000"/>
              <w:right w:val="single" w:sz="8" w:space="0" w:color="000000"/>
            </w:tcBorders>
          </w:tcPr>
          <w:p w:rsidR="00E8309B" w:rsidRDefault="00E8309B">
            <w:pPr>
              <w:spacing w:after="160" w:line="259" w:lineRule="auto"/>
              <w:ind w:left="0" w:right="0" w:firstLine="0"/>
              <w:jc w:val="left"/>
            </w:pPr>
          </w:p>
        </w:tc>
        <w:tc>
          <w:tcPr>
            <w:tcW w:w="1354" w:type="dxa"/>
            <w:gridSpan w:val="2"/>
            <w:tcBorders>
              <w:top w:val="dashed" w:sz="4" w:space="0" w:color="000000"/>
              <w:left w:val="single" w:sz="8" w:space="0" w:color="000000"/>
              <w:bottom w:val="dashed" w:sz="4" w:space="0" w:color="000000"/>
              <w:right w:val="single" w:sz="8" w:space="0" w:color="000000"/>
            </w:tcBorders>
          </w:tcPr>
          <w:p w:rsidR="00E8309B" w:rsidRDefault="009D0949">
            <w:pPr>
              <w:spacing w:after="0" w:line="259" w:lineRule="auto"/>
              <w:ind w:left="0" w:right="52" w:firstLine="0"/>
              <w:jc w:val="right"/>
            </w:pPr>
            <w:r>
              <w:rPr>
                <w:sz w:val="20"/>
              </w:rPr>
              <w:t xml:space="preserve">216,1221 </w:t>
            </w:r>
          </w:p>
        </w:tc>
        <w:tc>
          <w:tcPr>
            <w:tcW w:w="1287" w:type="dxa"/>
            <w:gridSpan w:val="2"/>
            <w:tcBorders>
              <w:top w:val="dashed" w:sz="4" w:space="0" w:color="000000"/>
              <w:left w:val="single" w:sz="8" w:space="0" w:color="000000"/>
              <w:bottom w:val="dashed" w:sz="4" w:space="0" w:color="000000"/>
              <w:right w:val="dashed" w:sz="4" w:space="0" w:color="000000"/>
            </w:tcBorders>
          </w:tcPr>
          <w:p w:rsidR="00E8309B" w:rsidRDefault="009D0949">
            <w:pPr>
              <w:spacing w:after="0" w:line="259" w:lineRule="auto"/>
              <w:ind w:left="0" w:right="50" w:firstLine="0"/>
              <w:jc w:val="right"/>
            </w:pPr>
            <w:r>
              <w:rPr>
                <w:sz w:val="20"/>
              </w:rPr>
              <w:t xml:space="preserve">4,0 </w:t>
            </w:r>
          </w:p>
        </w:tc>
        <w:tc>
          <w:tcPr>
            <w:tcW w:w="1032" w:type="dxa"/>
            <w:gridSpan w:val="2"/>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49" w:firstLine="0"/>
              <w:jc w:val="right"/>
            </w:pPr>
            <w:r>
              <w:rPr>
                <w:sz w:val="20"/>
              </w:rPr>
              <w:t xml:space="preserve">3,1 </w:t>
            </w:r>
          </w:p>
        </w:tc>
        <w:tc>
          <w:tcPr>
            <w:tcW w:w="1034" w:type="dxa"/>
            <w:gridSpan w:val="2"/>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49" w:firstLine="0"/>
              <w:jc w:val="right"/>
            </w:pPr>
            <w:r>
              <w:rPr>
                <w:sz w:val="20"/>
              </w:rPr>
              <w:t xml:space="preserve">3,0 </w:t>
            </w:r>
          </w:p>
        </w:tc>
        <w:tc>
          <w:tcPr>
            <w:tcW w:w="1032" w:type="dxa"/>
            <w:gridSpan w:val="2"/>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49" w:firstLine="0"/>
              <w:jc w:val="right"/>
            </w:pPr>
            <w:r>
              <w:rPr>
                <w:sz w:val="20"/>
              </w:rPr>
              <w:t xml:space="preserve">2,9 </w:t>
            </w:r>
          </w:p>
        </w:tc>
        <w:tc>
          <w:tcPr>
            <w:tcW w:w="794" w:type="dxa"/>
            <w:gridSpan w:val="2"/>
            <w:tcBorders>
              <w:top w:val="dashed" w:sz="4" w:space="0" w:color="000000"/>
              <w:left w:val="dashed" w:sz="4" w:space="0" w:color="000000"/>
              <w:bottom w:val="dashed" w:sz="4" w:space="0" w:color="000000"/>
              <w:right w:val="double" w:sz="6" w:space="0" w:color="000000"/>
            </w:tcBorders>
          </w:tcPr>
          <w:p w:rsidR="00E8309B" w:rsidRDefault="009D0949">
            <w:pPr>
              <w:spacing w:after="0" w:line="259" w:lineRule="auto"/>
              <w:ind w:left="0" w:right="51" w:firstLine="0"/>
              <w:jc w:val="right"/>
            </w:pPr>
            <w:r>
              <w:rPr>
                <w:sz w:val="20"/>
              </w:rPr>
              <w:t xml:space="preserve">3,0 </w:t>
            </w:r>
          </w:p>
        </w:tc>
      </w:tr>
      <w:tr w:rsidR="00E8309B">
        <w:trPr>
          <w:trHeight w:val="296"/>
        </w:trPr>
        <w:tc>
          <w:tcPr>
            <w:tcW w:w="5927" w:type="dxa"/>
            <w:tcBorders>
              <w:top w:val="dashed" w:sz="4" w:space="0" w:color="000000"/>
              <w:left w:val="double" w:sz="6" w:space="0" w:color="000000"/>
              <w:bottom w:val="dashed" w:sz="4" w:space="0" w:color="000000"/>
              <w:right w:val="nil"/>
            </w:tcBorders>
          </w:tcPr>
          <w:p w:rsidR="00E8309B" w:rsidRDefault="009D0949">
            <w:pPr>
              <w:spacing w:after="0" w:line="259" w:lineRule="auto"/>
              <w:ind w:left="110" w:right="0" w:firstLine="0"/>
              <w:jc w:val="left"/>
            </w:pPr>
            <w:r>
              <w:rPr>
                <w:sz w:val="20"/>
              </w:rPr>
              <w:t xml:space="preserve">16 = 6. Укупни приходи </w:t>
            </w:r>
          </w:p>
        </w:tc>
        <w:tc>
          <w:tcPr>
            <w:tcW w:w="960" w:type="dxa"/>
            <w:gridSpan w:val="3"/>
            <w:tcBorders>
              <w:top w:val="dashed" w:sz="4" w:space="0" w:color="000000"/>
              <w:left w:val="nil"/>
              <w:bottom w:val="dashed" w:sz="4" w:space="0" w:color="000000"/>
              <w:right w:val="dashed" w:sz="4" w:space="0" w:color="000000"/>
            </w:tcBorders>
          </w:tcPr>
          <w:p w:rsidR="00E8309B" w:rsidRDefault="00E8309B">
            <w:pPr>
              <w:spacing w:after="160" w:line="259" w:lineRule="auto"/>
              <w:ind w:left="0" w:right="0" w:firstLine="0"/>
              <w:jc w:val="left"/>
            </w:pPr>
          </w:p>
        </w:tc>
        <w:tc>
          <w:tcPr>
            <w:tcW w:w="1152" w:type="dxa"/>
            <w:gridSpan w:val="2"/>
            <w:tcBorders>
              <w:top w:val="dashed" w:sz="4" w:space="0" w:color="000000"/>
              <w:left w:val="dashed" w:sz="4" w:space="0" w:color="000000"/>
              <w:bottom w:val="dashed" w:sz="4" w:space="0" w:color="000000"/>
              <w:right w:val="single" w:sz="8" w:space="0" w:color="000000"/>
            </w:tcBorders>
          </w:tcPr>
          <w:p w:rsidR="00E8309B" w:rsidRDefault="009D0949">
            <w:pPr>
              <w:spacing w:after="0" w:line="259" w:lineRule="auto"/>
              <w:ind w:left="59" w:right="0" w:firstLine="0"/>
              <w:jc w:val="center"/>
            </w:pPr>
            <w:r>
              <w:rPr>
                <w:sz w:val="20"/>
              </w:rPr>
              <w:t xml:space="preserve">TR </w:t>
            </w:r>
          </w:p>
          <w:p w:rsidR="00E8309B" w:rsidRDefault="009D0949">
            <w:pPr>
              <w:spacing w:after="0" w:line="259" w:lineRule="auto"/>
              <w:ind w:left="106" w:right="0" w:firstLine="0"/>
              <w:jc w:val="center"/>
            </w:pPr>
            <w:r>
              <w:rPr>
                <w:sz w:val="20"/>
              </w:rPr>
              <w:t xml:space="preserve"> </w:t>
            </w:r>
          </w:p>
        </w:tc>
        <w:tc>
          <w:tcPr>
            <w:tcW w:w="1354" w:type="dxa"/>
            <w:gridSpan w:val="2"/>
            <w:tcBorders>
              <w:top w:val="dashed" w:sz="4" w:space="0" w:color="000000"/>
              <w:left w:val="single" w:sz="8" w:space="0" w:color="000000"/>
              <w:bottom w:val="dashed" w:sz="4" w:space="0" w:color="000000"/>
              <w:right w:val="single" w:sz="8" w:space="0" w:color="000000"/>
            </w:tcBorders>
          </w:tcPr>
          <w:p w:rsidR="00E8309B" w:rsidRDefault="009D0949">
            <w:pPr>
              <w:spacing w:after="0" w:line="259" w:lineRule="auto"/>
              <w:ind w:left="0" w:right="52" w:firstLine="0"/>
              <w:jc w:val="right"/>
            </w:pPr>
            <w:r>
              <w:rPr>
                <w:sz w:val="20"/>
              </w:rPr>
              <w:t xml:space="preserve">2.278,5584 </w:t>
            </w:r>
          </w:p>
        </w:tc>
        <w:tc>
          <w:tcPr>
            <w:tcW w:w="1287" w:type="dxa"/>
            <w:gridSpan w:val="2"/>
            <w:tcBorders>
              <w:top w:val="dashed" w:sz="4" w:space="0" w:color="000000"/>
              <w:left w:val="single" w:sz="8" w:space="0" w:color="000000"/>
              <w:bottom w:val="dashed" w:sz="4" w:space="0" w:color="000000"/>
              <w:right w:val="dashed" w:sz="4" w:space="0" w:color="000000"/>
            </w:tcBorders>
          </w:tcPr>
          <w:p w:rsidR="00E8309B" w:rsidRDefault="009D0949">
            <w:pPr>
              <w:spacing w:after="0" w:line="259" w:lineRule="auto"/>
              <w:ind w:left="0" w:right="50" w:firstLine="0"/>
              <w:jc w:val="right"/>
            </w:pPr>
            <w:r>
              <w:rPr>
                <w:sz w:val="20"/>
              </w:rPr>
              <w:t xml:space="preserve">42,1 </w:t>
            </w:r>
          </w:p>
        </w:tc>
        <w:tc>
          <w:tcPr>
            <w:tcW w:w="1032" w:type="dxa"/>
            <w:gridSpan w:val="2"/>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49" w:firstLine="0"/>
              <w:jc w:val="right"/>
            </w:pPr>
            <w:r>
              <w:rPr>
                <w:sz w:val="20"/>
              </w:rPr>
              <w:t xml:space="preserve">40,3 </w:t>
            </w:r>
          </w:p>
        </w:tc>
        <w:tc>
          <w:tcPr>
            <w:tcW w:w="1034" w:type="dxa"/>
            <w:gridSpan w:val="2"/>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49" w:firstLine="0"/>
              <w:jc w:val="right"/>
            </w:pPr>
            <w:r>
              <w:rPr>
                <w:sz w:val="20"/>
              </w:rPr>
              <w:t xml:space="preserve">40,4 </w:t>
            </w:r>
          </w:p>
        </w:tc>
        <w:tc>
          <w:tcPr>
            <w:tcW w:w="1032" w:type="dxa"/>
            <w:gridSpan w:val="2"/>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50" w:firstLine="0"/>
              <w:jc w:val="right"/>
            </w:pPr>
            <w:r>
              <w:rPr>
                <w:sz w:val="20"/>
              </w:rPr>
              <w:t xml:space="preserve">40,5 </w:t>
            </w:r>
          </w:p>
        </w:tc>
        <w:tc>
          <w:tcPr>
            <w:tcW w:w="794" w:type="dxa"/>
            <w:gridSpan w:val="2"/>
            <w:tcBorders>
              <w:top w:val="dashed" w:sz="4" w:space="0" w:color="000000"/>
              <w:left w:val="dashed" w:sz="4" w:space="0" w:color="000000"/>
              <w:bottom w:val="dashed" w:sz="4" w:space="0" w:color="000000"/>
              <w:right w:val="double" w:sz="6" w:space="0" w:color="000000"/>
            </w:tcBorders>
          </w:tcPr>
          <w:p w:rsidR="00E8309B" w:rsidRDefault="009D0949">
            <w:pPr>
              <w:spacing w:after="0" w:line="259" w:lineRule="auto"/>
              <w:ind w:left="0" w:right="52" w:firstLine="0"/>
              <w:jc w:val="right"/>
            </w:pPr>
            <w:r>
              <w:rPr>
                <w:sz w:val="20"/>
              </w:rPr>
              <w:t xml:space="preserve">39,7 </w:t>
            </w:r>
          </w:p>
        </w:tc>
      </w:tr>
      <w:tr w:rsidR="00E8309B">
        <w:trPr>
          <w:trHeight w:val="410"/>
        </w:trPr>
        <w:tc>
          <w:tcPr>
            <w:tcW w:w="5927" w:type="dxa"/>
            <w:tcBorders>
              <w:top w:val="dashed" w:sz="4" w:space="0" w:color="000000"/>
              <w:left w:val="double" w:sz="6" w:space="0" w:color="000000"/>
              <w:bottom w:val="single" w:sz="8" w:space="0" w:color="000000"/>
              <w:right w:val="nil"/>
            </w:tcBorders>
          </w:tcPr>
          <w:p w:rsidR="00E8309B" w:rsidRDefault="009D0949">
            <w:pPr>
              <w:spacing w:after="0" w:line="259" w:lineRule="auto"/>
              <w:ind w:left="110" w:right="0" w:firstLine="0"/>
              <w:jc w:val="left"/>
            </w:pPr>
            <w:r>
              <w:rPr>
                <w:sz w:val="20"/>
              </w:rPr>
              <w:t xml:space="preserve">информативно: пореско оптерећење (D2+D5+D61+D91-D995) [5] </w:t>
            </w:r>
          </w:p>
        </w:tc>
        <w:tc>
          <w:tcPr>
            <w:tcW w:w="2112" w:type="dxa"/>
            <w:gridSpan w:val="5"/>
            <w:tcBorders>
              <w:top w:val="dashed" w:sz="4" w:space="0" w:color="000000"/>
              <w:left w:val="nil"/>
              <w:bottom w:val="single" w:sz="8" w:space="0" w:color="000000"/>
              <w:right w:val="single" w:sz="8" w:space="0" w:color="000000"/>
            </w:tcBorders>
          </w:tcPr>
          <w:p w:rsidR="00E8309B" w:rsidRDefault="00E8309B">
            <w:pPr>
              <w:spacing w:after="160" w:line="259" w:lineRule="auto"/>
              <w:ind w:left="0" w:right="0" w:firstLine="0"/>
              <w:jc w:val="left"/>
            </w:pPr>
          </w:p>
        </w:tc>
        <w:tc>
          <w:tcPr>
            <w:tcW w:w="1354" w:type="dxa"/>
            <w:gridSpan w:val="2"/>
            <w:tcBorders>
              <w:top w:val="dashed" w:sz="4" w:space="0" w:color="000000"/>
              <w:left w:val="single" w:sz="8" w:space="0" w:color="000000"/>
              <w:bottom w:val="single" w:sz="8" w:space="0" w:color="000000"/>
              <w:right w:val="single" w:sz="8" w:space="0" w:color="000000"/>
            </w:tcBorders>
          </w:tcPr>
          <w:p w:rsidR="00E8309B" w:rsidRDefault="009D0949">
            <w:pPr>
              <w:spacing w:after="0" w:line="259" w:lineRule="auto"/>
              <w:ind w:left="0" w:right="52" w:firstLine="0"/>
              <w:jc w:val="right"/>
            </w:pPr>
            <w:r>
              <w:rPr>
                <w:sz w:val="20"/>
              </w:rPr>
              <w:t xml:space="preserve">1.993,6772 </w:t>
            </w:r>
          </w:p>
        </w:tc>
        <w:tc>
          <w:tcPr>
            <w:tcW w:w="1287" w:type="dxa"/>
            <w:gridSpan w:val="2"/>
            <w:tcBorders>
              <w:top w:val="dashed" w:sz="4" w:space="0" w:color="000000"/>
              <w:left w:val="single" w:sz="8" w:space="0" w:color="000000"/>
              <w:bottom w:val="single" w:sz="8" w:space="0" w:color="000000"/>
              <w:right w:val="dashed" w:sz="4" w:space="0" w:color="000000"/>
            </w:tcBorders>
          </w:tcPr>
          <w:p w:rsidR="00E8309B" w:rsidRDefault="009D0949">
            <w:pPr>
              <w:spacing w:after="0" w:line="259" w:lineRule="auto"/>
              <w:ind w:left="0" w:right="50" w:firstLine="0"/>
              <w:jc w:val="right"/>
            </w:pPr>
            <w:r>
              <w:rPr>
                <w:sz w:val="20"/>
              </w:rPr>
              <w:t xml:space="preserve">36,8 </w:t>
            </w:r>
          </w:p>
        </w:tc>
        <w:tc>
          <w:tcPr>
            <w:tcW w:w="1032" w:type="dxa"/>
            <w:gridSpan w:val="2"/>
            <w:tcBorders>
              <w:top w:val="dashed" w:sz="4" w:space="0" w:color="000000"/>
              <w:left w:val="dashed" w:sz="4" w:space="0" w:color="000000"/>
              <w:bottom w:val="single" w:sz="8" w:space="0" w:color="000000"/>
              <w:right w:val="dashed" w:sz="4" w:space="0" w:color="000000"/>
            </w:tcBorders>
          </w:tcPr>
          <w:p w:rsidR="00E8309B" w:rsidRDefault="009D0949">
            <w:pPr>
              <w:spacing w:after="0" w:line="259" w:lineRule="auto"/>
              <w:ind w:left="0" w:right="49" w:firstLine="0"/>
              <w:jc w:val="right"/>
            </w:pPr>
            <w:r>
              <w:rPr>
                <w:sz w:val="20"/>
              </w:rPr>
              <w:t xml:space="preserve">35,8 </w:t>
            </w:r>
          </w:p>
        </w:tc>
        <w:tc>
          <w:tcPr>
            <w:tcW w:w="1034" w:type="dxa"/>
            <w:gridSpan w:val="2"/>
            <w:tcBorders>
              <w:top w:val="dashed" w:sz="4" w:space="0" w:color="000000"/>
              <w:left w:val="dashed" w:sz="4" w:space="0" w:color="000000"/>
              <w:bottom w:val="single" w:sz="8" w:space="0" w:color="000000"/>
              <w:right w:val="dashed" w:sz="4" w:space="0" w:color="000000"/>
            </w:tcBorders>
          </w:tcPr>
          <w:p w:rsidR="00E8309B" w:rsidRDefault="009D0949">
            <w:pPr>
              <w:spacing w:after="0" w:line="259" w:lineRule="auto"/>
              <w:ind w:left="0" w:right="49" w:firstLine="0"/>
              <w:jc w:val="right"/>
            </w:pPr>
            <w:r>
              <w:rPr>
                <w:sz w:val="20"/>
              </w:rPr>
              <w:t xml:space="preserve">36,2 </w:t>
            </w:r>
          </w:p>
        </w:tc>
        <w:tc>
          <w:tcPr>
            <w:tcW w:w="1032" w:type="dxa"/>
            <w:gridSpan w:val="2"/>
            <w:tcBorders>
              <w:top w:val="dashed" w:sz="4" w:space="0" w:color="000000"/>
              <w:left w:val="dashed" w:sz="4" w:space="0" w:color="000000"/>
              <w:bottom w:val="single" w:sz="8" w:space="0" w:color="000000"/>
              <w:right w:val="dashed" w:sz="4" w:space="0" w:color="000000"/>
            </w:tcBorders>
          </w:tcPr>
          <w:p w:rsidR="00E8309B" w:rsidRDefault="009D0949">
            <w:pPr>
              <w:spacing w:after="0" w:line="259" w:lineRule="auto"/>
              <w:ind w:left="0" w:right="50" w:firstLine="0"/>
              <w:jc w:val="right"/>
            </w:pPr>
            <w:r>
              <w:rPr>
                <w:sz w:val="20"/>
              </w:rPr>
              <w:t xml:space="preserve">36,3 </w:t>
            </w:r>
          </w:p>
        </w:tc>
        <w:tc>
          <w:tcPr>
            <w:tcW w:w="794" w:type="dxa"/>
            <w:gridSpan w:val="2"/>
            <w:tcBorders>
              <w:top w:val="dashed" w:sz="4" w:space="0" w:color="000000"/>
              <w:left w:val="dashed" w:sz="4" w:space="0" w:color="000000"/>
              <w:bottom w:val="single" w:sz="8" w:space="0" w:color="000000"/>
              <w:right w:val="double" w:sz="6" w:space="0" w:color="000000"/>
            </w:tcBorders>
          </w:tcPr>
          <w:p w:rsidR="00E8309B" w:rsidRDefault="009D0949">
            <w:pPr>
              <w:spacing w:after="0" w:line="259" w:lineRule="auto"/>
              <w:ind w:left="0" w:right="52" w:firstLine="0"/>
              <w:jc w:val="right"/>
            </w:pPr>
            <w:r>
              <w:rPr>
                <w:sz w:val="20"/>
              </w:rPr>
              <w:t xml:space="preserve">35,6 </w:t>
            </w:r>
          </w:p>
        </w:tc>
      </w:tr>
      <w:tr w:rsidR="00E8309B">
        <w:trPr>
          <w:trHeight w:val="418"/>
        </w:trPr>
        <w:tc>
          <w:tcPr>
            <w:tcW w:w="5927" w:type="dxa"/>
            <w:tcBorders>
              <w:top w:val="single" w:sz="8" w:space="0" w:color="000000"/>
              <w:left w:val="double" w:sz="6" w:space="0" w:color="000000"/>
              <w:bottom w:val="single" w:sz="8" w:space="0" w:color="000000"/>
              <w:right w:val="nil"/>
            </w:tcBorders>
          </w:tcPr>
          <w:p w:rsidR="00E8309B" w:rsidRDefault="00E8309B">
            <w:pPr>
              <w:spacing w:after="160" w:line="259" w:lineRule="auto"/>
              <w:ind w:left="0" w:right="0" w:firstLine="0"/>
              <w:jc w:val="left"/>
            </w:pPr>
          </w:p>
        </w:tc>
        <w:tc>
          <w:tcPr>
            <w:tcW w:w="3466" w:type="dxa"/>
            <w:gridSpan w:val="7"/>
            <w:tcBorders>
              <w:top w:val="single" w:sz="8" w:space="0" w:color="000000"/>
              <w:left w:val="nil"/>
              <w:bottom w:val="single" w:sz="8" w:space="0" w:color="000000"/>
              <w:right w:val="nil"/>
            </w:tcBorders>
          </w:tcPr>
          <w:p w:rsidR="00E8309B" w:rsidRDefault="009D0949">
            <w:pPr>
              <w:spacing w:after="0" w:line="259" w:lineRule="auto"/>
              <w:ind w:left="0" w:right="0" w:firstLine="0"/>
              <w:jc w:val="left"/>
            </w:pPr>
            <w:r>
              <w:rPr>
                <w:b/>
                <w:sz w:val="20"/>
              </w:rPr>
              <w:t xml:space="preserve">Изабране компоненте расхода </w:t>
            </w:r>
          </w:p>
        </w:tc>
        <w:tc>
          <w:tcPr>
            <w:tcW w:w="1287" w:type="dxa"/>
            <w:gridSpan w:val="2"/>
            <w:tcBorders>
              <w:top w:val="single" w:sz="8" w:space="0" w:color="000000"/>
              <w:left w:val="nil"/>
              <w:bottom w:val="single" w:sz="8" w:space="0" w:color="000000"/>
              <w:right w:val="nil"/>
            </w:tcBorders>
          </w:tcPr>
          <w:p w:rsidR="00E8309B" w:rsidRDefault="00E8309B">
            <w:pPr>
              <w:spacing w:after="160" w:line="259" w:lineRule="auto"/>
              <w:ind w:left="0" w:right="0" w:firstLine="0"/>
              <w:jc w:val="left"/>
            </w:pPr>
          </w:p>
        </w:tc>
        <w:tc>
          <w:tcPr>
            <w:tcW w:w="1032" w:type="dxa"/>
            <w:gridSpan w:val="2"/>
            <w:tcBorders>
              <w:top w:val="single" w:sz="8" w:space="0" w:color="000000"/>
              <w:left w:val="nil"/>
              <w:bottom w:val="single" w:sz="8" w:space="0" w:color="000000"/>
              <w:right w:val="nil"/>
            </w:tcBorders>
          </w:tcPr>
          <w:p w:rsidR="00E8309B" w:rsidRDefault="00E8309B">
            <w:pPr>
              <w:spacing w:after="160" w:line="259" w:lineRule="auto"/>
              <w:ind w:left="0" w:right="0" w:firstLine="0"/>
              <w:jc w:val="left"/>
            </w:pPr>
          </w:p>
        </w:tc>
        <w:tc>
          <w:tcPr>
            <w:tcW w:w="1034" w:type="dxa"/>
            <w:gridSpan w:val="2"/>
            <w:tcBorders>
              <w:top w:val="single" w:sz="8" w:space="0" w:color="000000"/>
              <w:left w:val="nil"/>
              <w:bottom w:val="single" w:sz="8" w:space="0" w:color="000000"/>
              <w:right w:val="nil"/>
            </w:tcBorders>
          </w:tcPr>
          <w:p w:rsidR="00E8309B" w:rsidRDefault="00E8309B">
            <w:pPr>
              <w:spacing w:after="160" w:line="259" w:lineRule="auto"/>
              <w:ind w:left="0" w:right="0" w:firstLine="0"/>
              <w:jc w:val="left"/>
            </w:pPr>
          </w:p>
        </w:tc>
        <w:tc>
          <w:tcPr>
            <w:tcW w:w="1032" w:type="dxa"/>
            <w:gridSpan w:val="2"/>
            <w:tcBorders>
              <w:top w:val="single" w:sz="8" w:space="0" w:color="000000"/>
              <w:left w:val="nil"/>
              <w:bottom w:val="single" w:sz="8" w:space="0" w:color="000000"/>
              <w:right w:val="nil"/>
            </w:tcBorders>
          </w:tcPr>
          <w:p w:rsidR="00E8309B" w:rsidRDefault="00E8309B">
            <w:pPr>
              <w:spacing w:after="160" w:line="259" w:lineRule="auto"/>
              <w:ind w:left="0" w:right="0" w:firstLine="0"/>
              <w:jc w:val="left"/>
            </w:pPr>
          </w:p>
        </w:tc>
        <w:tc>
          <w:tcPr>
            <w:tcW w:w="794" w:type="dxa"/>
            <w:gridSpan w:val="2"/>
            <w:tcBorders>
              <w:top w:val="single" w:sz="8" w:space="0" w:color="000000"/>
              <w:left w:val="nil"/>
              <w:bottom w:val="single" w:sz="8" w:space="0" w:color="000000"/>
              <w:right w:val="double" w:sz="6" w:space="0" w:color="000000"/>
            </w:tcBorders>
          </w:tcPr>
          <w:p w:rsidR="00E8309B" w:rsidRDefault="00E8309B">
            <w:pPr>
              <w:spacing w:after="160" w:line="259" w:lineRule="auto"/>
              <w:ind w:left="0" w:right="0" w:firstLine="0"/>
              <w:jc w:val="left"/>
            </w:pPr>
          </w:p>
        </w:tc>
      </w:tr>
      <w:tr w:rsidR="00E8309B">
        <w:trPr>
          <w:trHeight w:val="298"/>
        </w:trPr>
        <w:tc>
          <w:tcPr>
            <w:tcW w:w="5927" w:type="dxa"/>
            <w:tcBorders>
              <w:top w:val="single" w:sz="8" w:space="0" w:color="000000"/>
              <w:left w:val="double" w:sz="6" w:space="0" w:color="000000"/>
              <w:bottom w:val="dashed" w:sz="4" w:space="0" w:color="000000"/>
              <w:right w:val="nil"/>
            </w:tcBorders>
          </w:tcPr>
          <w:p w:rsidR="00E8309B" w:rsidRDefault="009D0949">
            <w:pPr>
              <w:spacing w:after="0" w:line="259" w:lineRule="auto"/>
              <w:ind w:left="110" w:right="0" w:firstLine="0"/>
              <w:jc w:val="left"/>
            </w:pPr>
            <w:r>
              <w:rPr>
                <w:sz w:val="20"/>
              </w:rPr>
              <w:t xml:space="preserve">17. Колективна потрошња </w:t>
            </w:r>
          </w:p>
        </w:tc>
        <w:tc>
          <w:tcPr>
            <w:tcW w:w="960" w:type="dxa"/>
            <w:gridSpan w:val="3"/>
            <w:tcBorders>
              <w:top w:val="single" w:sz="8" w:space="0" w:color="000000"/>
              <w:left w:val="nil"/>
              <w:bottom w:val="dashed" w:sz="4" w:space="0" w:color="000000"/>
              <w:right w:val="dashed" w:sz="4" w:space="0" w:color="000000"/>
            </w:tcBorders>
          </w:tcPr>
          <w:p w:rsidR="00E8309B" w:rsidRDefault="00E8309B">
            <w:pPr>
              <w:spacing w:after="160" w:line="259" w:lineRule="auto"/>
              <w:ind w:left="0" w:right="0" w:firstLine="0"/>
              <w:jc w:val="left"/>
            </w:pPr>
          </w:p>
        </w:tc>
        <w:tc>
          <w:tcPr>
            <w:tcW w:w="1152" w:type="dxa"/>
            <w:gridSpan w:val="2"/>
            <w:tcBorders>
              <w:top w:val="single" w:sz="8" w:space="0" w:color="000000"/>
              <w:left w:val="dashed" w:sz="4" w:space="0" w:color="000000"/>
              <w:bottom w:val="dashed" w:sz="4" w:space="0" w:color="000000"/>
              <w:right w:val="single" w:sz="8" w:space="0" w:color="000000"/>
            </w:tcBorders>
          </w:tcPr>
          <w:p w:rsidR="00E8309B" w:rsidRDefault="009D0949">
            <w:pPr>
              <w:spacing w:after="0" w:line="259" w:lineRule="auto"/>
              <w:ind w:left="57" w:right="0" w:firstLine="0"/>
              <w:jc w:val="center"/>
            </w:pPr>
            <w:r>
              <w:rPr>
                <w:sz w:val="20"/>
              </w:rPr>
              <w:t xml:space="preserve">P32 </w:t>
            </w:r>
          </w:p>
        </w:tc>
        <w:tc>
          <w:tcPr>
            <w:tcW w:w="1354" w:type="dxa"/>
            <w:gridSpan w:val="2"/>
            <w:tcBorders>
              <w:top w:val="single" w:sz="8" w:space="0" w:color="000000"/>
              <w:left w:val="single" w:sz="8" w:space="0" w:color="000000"/>
              <w:bottom w:val="dashed" w:sz="4" w:space="0" w:color="000000"/>
              <w:right w:val="single" w:sz="8" w:space="0" w:color="000000"/>
            </w:tcBorders>
          </w:tcPr>
          <w:p w:rsidR="00E8309B" w:rsidRDefault="009D0949">
            <w:pPr>
              <w:spacing w:after="0" w:line="259" w:lineRule="auto"/>
              <w:ind w:left="0" w:right="52" w:firstLine="0"/>
              <w:jc w:val="right"/>
            </w:pPr>
            <w:r>
              <w:rPr>
                <w:sz w:val="20"/>
              </w:rPr>
              <w:t xml:space="preserve">895,5523 </w:t>
            </w:r>
          </w:p>
        </w:tc>
        <w:tc>
          <w:tcPr>
            <w:tcW w:w="1287" w:type="dxa"/>
            <w:gridSpan w:val="2"/>
            <w:tcBorders>
              <w:top w:val="single" w:sz="8" w:space="0" w:color="000000"/>
              <w:left w:val="single" w:sz="8" w:space="0" w:color="000000"/>
              <w:bottom w:val="dashed" w:sz="4" w:space="0" w:color="000000"/>
              <w:right w:val="dashed" w:sz="4" w:space="0" w:color="000000"/>
            </w:tcBorders>
          </w:tcPr>
          <w:p w:rsidR="00E8309B" w:rsidRDefault="009D0949">
            <w:pPr>
              <w:spacing w:after="0" w:line="259" w:lineRule="auto"/>
              <w:ind w:left="0" w:right="50" w:firstLine="0"/>
              <w:jc w:val="right"/>
            </w:pPr>
            <w:r>
              <w:rPr>
                <w:sz w:val="20"/>
              </w:rPr>
              <w:t xml:space="preserve">16,5 </w:t>
            </w:r>
          </w:p>
        </w:tc>
        <w:tc>
          <w:tcPr>
            <w:tcW w:w="1032" w:type="dxa"/>
            <w:gridSpan w:val="2"/>
            <w:tcBorders>
              <w:top w:val="single" w:sz="8" w:space="0" w:color="000000"/>
              <w:left w:val="dashed" w:sz="4" w:space="0" w:color="000000"/>
              <w:bottom w:val="dashed" w:sz="4" w:space="0" w:color="000000"/>
              <w:right w:val="dashed" w:sz="4" w:space="0" w:color="000000"/>
            </w:tcBorders>
          </w:tcPr>
          <w:p w:rsidR="00E8309B" w:rsidRDefault="009D0949">
            <w:pPr>
              <w:spacing w:after="0" w:line="259" w:lineRule="auto"/>
              <w:ind w:left="0" w:right="49" w:firstLine="0"/>
              <w:jc w:val="right"/>
            </w:pPr>
            <w:r>
              <w:rPr>
                <w:sz w:val="20"/>
              </w:rPr>
              <w:t xml:space="preserve">18,7 </w:t>
            </w:r>
          </w:p>
        </w:tc>
        <w:tc>
          <w:tcPr>
            <w:tcW w:w="1034" w:type="dxa"/>
            <w:gridSpan w:val="2"/>
            <w:tcBorders>
              <w:top w:val="single" w:sz="8" w:space="0" w:color="000000"/>
              <w:left w:val="dashed" w:sz="4" w:space="0" w:color="000000"/>
              <w:bottom w:val="dashed" w:sz="4" w:space="0" w:color="000000"/>
              <w:right w:val="dashed" w:sz="4" w:space="0" w:color="000000"/>
            </w:tcBorders>
          </w:tcPr>
          <w:p w:rsidR="00E8309B" w:rsidRDefault="009D0949">
            <w:pPr>
              <w:spacing w:after="0" w:line="259" w:lineRule="auto"/>
              <w:ind w:left="0" w:right="49" w:firstLine="0"/>
              <w:jc w:val="right"/>
            </w:pPr>
            <w:r>
              <w:rPr>
                <w:sz w:val="20"/>
              </w:rPr>
              <w:t xml:space="preserve">17,7 </w:t>
            </w:r>
          </w:p>
        </w:tc>
        <w:tc>
          <w:tcPr>
            <w:tcW w:w="1032" w:type="dxa"/>
            <w:gridSpan w:val="2"/>
            <w:tcBorders>
              <w:top w:val="single" w:sz="8" w:space="0" w:color="000000"/>
              <w:left w:val="dashed" w:sz="4" w:space="0" w:color="000000"/>
              <w:bottom w:val="dashed" w:sz="4" w:space="0" w:color="000000"/>
              <w:right w:val="dashed" w:sz="4" w:space="0" w:color="000000"/>
            </w:tcBorders>
          </w:tcPr>
          <w:p w:rsidR="00E8309B" w:rsidRDefault="009D0949">
            <w:pPr>
              <w:spacing w:after="0" w:line="259" w:lineRule="auto"/>
              <w:ind w:left="0" w:right="50" w:firstLine="0"/>
              <w:jc w:val="right"/>
            </w:pPr>
            <w:r>
              <w:rPr>
                <w:sz w:val="20"/>
              </w:rPr>
              <w:t xml:space="preserve">17,2 </w:t>
            </w:r>
          </w:p>
        </w:tc>
        <w:tc>
          <w:tcPr>
            <w:tcW w:w="794" w:type="dxa"/>
            <w:gridSpan w:val="2"/>
            <w:tcBorders>
              <w:top w:val="single" w:sz="8" w:space="0" w:color="000000"/>
              <w:left w:val="dashed" w:sz="4" w:space="0" w:color="000000"/>
              <w:bottom w:val="dashed" w:sz="4" w:space="0" w:color="000000"/>
              <w:right w:val="double" w:sz="6" w:space="0" w:color="000000"/>
            </w:tcBorders>
          </w:tcPr>
          <w:p w:rsidR="00E8309B" w:rsidRDefault="009D0949">
            <w:pPr>
              <w:spacing w:after="0" w:line="259" w:lineRule="auto"/>
              <w:ind w:left="0" w:right="52" w:firstLine="0"/>
              <w:jc w:val="right"/>
            </w:pPr>
            <w:r>
              <w:rPr>
                <w:sz w:val="20"/>
              </w:rPr>
              <w:t xml:space="preserve">16,7 </w:t>
            </w:r>
          </w:p>
        </w:tc>
      </w:tr>
      <w:tr w:rsidR="00E8309B">
        <w:trPr>
          <w:trHeight w:val="293"/>
        </w:trPr>
        <w:tc>
          <w:tcPr>
            <w:tcW w:w="5927" w:type="dxa"/>
            <w:tcBorders>
              <w:top w:val="dashed" w:sz="4" w:space="0" w:color="000000"/>
              <w:left w:val="double" w:sz="6" w:space="0" w:color="000000"/>
              <w:bottom w:val="dashed" w:sz="4" w:space="0" w:color="000000"/>
              <w:right w:val="nil"/>
            </w:tcBorders>
          </w:tcPr>
          <w:p w:rsidR="00E8309B" w:rsidRDefault="009D0949">
            <w:pPr>
              <w:spacing w:after="0" w:line="259" w:lineRule="auto"/>
              <w:ind w:left="110" w:right="0" w:firstLine="0"/>
              <w:jc w:val="left"/>
            </w:pPr>
            <w:r>
              <w:rPr>
                <w:sz w:val="20"/>
              </w:rPr>
              <w:t xml:space="preserve">18. Укупни социјални трансфери </w:t>
            </w:r>
          </w:p>
        </w:tc>
        <w:tc>
          <w:tcPr>
            <w:tcW w:w="960" w:type="dxa"/>
            <w:gridSpan w:val="3"/>
            <w:tcBorders>
              <w:top w:val="dashed" w:sz="4" w:space="0" w:color="000000"/>
              <w:left w:val="nil"/>
              <w:bottom w:val="dashed" w:sz="4" w:space="0" w:color="000000"/>
              <w:right w:val="dashed" w:sz="4" w:space="0" w:color="000000"/>
            </w:tcBorders>
          </w:tcPr>
          <w:p w:rsidR="00E8309B" w:rsidRDefault="00E8309B">
            <w:pPr>
              <w:spacing w:after="160" w:line="259" w:lineRule="auto"/>
              <w:ind w:left="0" w:right="0" w:firstLine="0"/>
              <w:jc w:val="left"/>
            </w:pPr>
          </w:p>
        </w:tc>
        <w:tc>
          <w:tcPr>
            <w:tcW w:w="1152" w:type="dxa"/>
            <w:gridSpan w:val="2"/>
            <w:tcBorders>
              <w:top w:val="dashed" w:sz="4" w:space="0" w:color="000000"/>
              <w:left w:val="dashed" w:sz="4" w:space="0" w:color="000000"/>
              <w:bottom w:val="dashed" w:sz="4" w:space="0" w:color="000000"/>
              <w:right w:val="single" w:sz="8" w:space="0" w:color="000000"/>
            </w:tcBorders>
          </w:tcPr>
          <w:p w:rsidR="00E8309B" w:rsidRDefault="009D0949">
            <w:pPr>
              <w:spacing w:after="0" w:line="259" w:lineRule="auto"/>
              <w:ind w:left="125" w:right="0" w:firstLine="0"/>
              <w:jc w:val="left"/>
            </w:pPr>
            <w:r>
              <w:rPr>
                <w:sz w:val="20"/>
              </w:rPr>
              <w:t xml:space="preserve">D62 + D63 </w:t>
            </w:r>
          </w:p>
        </w:tc>
        <w:tc>
          <w:tcPr>
            <w:tcW w:w="1354" w:type="dxa"/>
            <w:gridSpan w:val="2"/>
            <w:tcBorders>
              <w:top w:val="dashed" w:sz="4" w:space="0" w:color="000000"/>
              <w:left w:val="single" w:sz="8" w:space="0" w:color="000000"/>
              <w:bottom w:val="dashed" w:sz="4" w:space="0" w:color="000000"/>
              <w:right w:val="single" w:sz="8" w:space="0" w:color="000000"/>
            </w:tcBorders>
          </w:tcPr>
          <w:p w:rsidR="00E8309B" w:rsidRDefault="009D0949">
            <w:pPr>
              <w:spacing w:after="0" w:line="259" w:lineRule="auto"/>
              <w:ind w:left="0" w:right="52" w:firstLine="0"/>
              <w:jc w:val="right"/>
            </w:pPr>
            <w:r>
              <w:rPr>
                <w:sz w:val="20"/>
              </w:rPr>
              <w:t xml:space="preserve">782,9370 </w:t>
            </w:r>
          </w:p>
        </w:tc>
        <w:tc>
          <w:tcPr>
            <w:tcW w:w="1287" w:type="dxa"/>
            <w:gridSpan w:val="2"/>
            <w:tcBorders>
              <w:top w:val="dashed" w:sz="4" w:space="0" w:color="000000"/>
              <w:left w:val="single" w:sz="8" w:space="0" w:color="000000"/>
              <w:bottom w:val="dashed" w:sz="4" w:space="0" w:color="000000"/>
              <w:right w:val="dashed" w:sz="4" w:space="0" w:color="000000"/>
            </w:tcBorders>
          </w:tcPr>
          <w:p w:rsidR="00E8309B" w:rsidRDefault="009D0949">
            <w:pPr>
              <w:spacing w:after="0" w:line="259" w:lineRule="auto"/>
              <w:ind w:left="0" w:right="50" w:firstLine="0"/>
              <w:jc w:val="right"/>
            </w:pPr>
            <w:r>
              <w:rPr>
                <w:sz w:val="20"/>
              </w:rPr>
              <w:t xml:space="preserve">14,5 </w:t>
            </w:r>
          </w:p>
        </w:tc>
        <w:tc>
          <w:tcPr>
            <w:tcW w:w="1032" w:type="dxa"/>
            <w:gridSpan w:val="2"/>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49" w:firstLine="0"/>
              <w:jc w:val="right"/>
            </w:pPr>
            <w:r>
              <w:rPr>
                <w:sz w:val="20"/>
              </w:rPr>
              <w:t xml:space="preserve">14,8 </w:t>
            </w:r>
          </w:p>
        </w:tc>
        <w:tc>
          <w:tcPr>
            <w:tcW w:w="1034" w:type="dxa"/>
            <w:gridSpan w:val="2"/>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49" w:firstLine="0"/>
              <w:jc w:val="right"/>
            </w:pPr>
            <w:r>
              <w:rPr>
                <w:sz w:val="20"/>
              </w:rPr>
              <w:t xml:space="preserve">14,1 </w:t>
            </w:r>
          </w:p>
        </w:tc>
        <w:tc>
          <w:tcPr>
            <w:tcW w:w="1032" w:type="dxa"/>
            <w:gridSpan w:val="2"/>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50" w:firstLine="0"/>
              <w:jc w:val="right"/>
            </w:pPr>
            <w:r>
              <w:rPr>
                <w:sz w:val="20"/>
              </w:rPr>
              <w:t xml:space="preserve">14,0 </w:t>
            </w:r>
          </w:p>
        </w:tc>
        <w:tc>
          <w:tcPr>
            <w:tcW w:w="794" w:type="dxa"/>
            <w:gridSpan w:val="2"/>
            <w:tcBorders>
              <w:top w:val="dashed" w:sz="4" w:space="0" w:color="000000"/>
              <w:left w:val="dashed" w:sz="4" w:space="0" w:color="000000"/>
              <w:bottom w:val="dashed" w:sz="4" w:space="0" w:color="000000"/>
              <w:right w:val="double" w:sz="6" w:space="0" w:color="000000"/>
            </w:tcBorders>
          </w:tcPr>
          <w:p w:rsidR="00E8309B" w:rsidRDefault="009D0949">
            <w:pPr>
              <w:spacing w:after="0" w:line="259" w:lineRule="auto"/>
              <w:ind w:left="0" w:right="52" w:firstLine="0"/>
              <w:jc w:val="right"/>
            </w:pPr>
            <w:r>
              <w:rPr>
                <w:sz w:val="20"/>
              </w:rPr>
              <w:t xml:space="preserve">13,7 </w:t>
            </w:r>
          </w:p>
        </w:tc>
      </w:tr>
      <w:tr w:rsidR="00E8309B">
        <w:trPr>
          <w:trHeight w:val="293"/>
        </w:trPr>
        <w:tc>
          <w:tcPr>
            <w:tcW w:w="5927" w:type="dxa"/>
            <w:tcBorders>
              <w:top w:val="dashed" w:sz="4" w:space="0" w:color="000000"/>
              <w:left w:val="double" w:sz="6" w:space="0" w:color="000000"/>
              <w:bottom w:val="dashed" w:sz="4" w:space="0" w:color="000000"/>
              <w:right w:val="nil"/>
            </w:tcBorders>
          </w:tcPr>
          <w:p w:rsidR="00E8309B" w:rsidRDefault="009D0949">
            <w:pPr>
              <w:spacing w:after="0" w:line="259" w:lineRule="auto"/>
              <w:ind w:left="110" w:right="0" w:firstLine="0"/>
              <w:jc w:val="left"/>
            </w:pPr>
            <w:r>
              <w:rPr>
                <w:sz w:val="20"/>
              </w:rPr>
              <w:t xml:space="preserve">18а. Неновчани социјални трансфери </w:t>
            </w:r>
          </w:p>
        </w:tc>
        <w:tc>
          <w:tcPr>
            <w:tcW w:w="960" w:type="dxa"/>
            <w:gridSpan w:val="3"/>
            <w:tcBorders>
              <w:top w:val="dashed" w:sz="4" w:space="0" w:color="000000"/>
              <w:left w:val="nil"/>
              <w:bottom w:val="dashed" w:sz="4" w:space="0" w:color="000000"/>
              <w:right w:val="dashed" w:sz="4" w:space="0" w:color="000000"/>
            </w:tcBorders>
          </w:tcPr>
          <w:p w:rsidR="00E8309B" w:rsidRDefault="00E8309B">
            <w:pPr>
              <w:spacing w:after="160" w:line="259" w:lineRule="auto"/>
              <w:ind w:left="0" w:right="0" w:firstLine="0"/>
              <w:jc w:val="left"/>
            </w:pPr>
          </w:p>
        </w:tc>
        <w:tc>
          <w:tcPr>
            <w:tcW w:w="1152" w:type="dxa"/>
            <w:gridSpan w:val="2"/>
            <w:tcBorders>
              <w:top w:val="dashed" w:sz="4" w:space="0" w:color="000000"/>
              <w:left w:val="dashed" w:sz="4" w:space="0" w:color="000000"/>
              <w:bottom w:val="dashed" w:sz="4" w:space="0" w:color="000000"/>
              <w:right w:val="single" w:sz="8" w:space="0" w:color="000000"/>
            </w:tcBorders>
          </w:tcPr>
          <w:p w:rsidR="00E8309B" w:rsidRDefault="009D0949">
            <w:pPr>
              <w:spacing w:after="0" w:line="259" w:lineRule="auto"/>
              <w:ind w:left="142" w:right="0" w:firstLine="0"/>
              <w:jc w:val="left"/>
            </w:pPr>
            <w:r>
              <w:rPr>
                <w:sz w:val="20"/>
              </w:rPr>
              <w:t xml:space="preserve">P31 = D63 </w:t>
            </w:r>
          </w:p>
        </w:tc>
        <w:tc>
          <w:tcPr>
            <w:tcW w:w="1354" w:type="dxa"/>
            <w:gridSpan w:val="2"/>
            <w:tcBorders>
              <w:top w:val="dashed" w:sz="4" w:space="0" w:color="000000"/>
              <w:left w:val="single" w:sz="8" w:space="0" w:color="000000"/>
              <w:bottom w:val="dashed" w:sz="4" w:space="0" w:color="000000"/>
              <w:right w:val="single" w:sz="8" w:space="0" w:color="000000"/>
            </w:tcBorders>
          </w:tcPr>
          <w:p w:rsidR="00E8309B" w:rsidRDefault="009D0949">
            <w:pPr>
              <w:spacing w:after="0" w:line="259" w:lineRule="auto"/>
              <w:ind w:left="0" w:right="52" w:firstLine="0"/>
              <w:jc w:val="right"/>
            </w:pPr>
            <w:r>
              <w:rPr>
                <w:sz w:val="20"/>
              </w:rPr>
              <w:t xml:space="preserve">0,0000 </w:t>
            </w:r>
          </w:p>
        </w:tc>
        <w:tc>
          <w:tcPr>
            <w:tcW w:w="1287" w:type="dxa"/>
            <w:gridSpan w:val="2"/>
            <w:tcBorders>
              <w:top w:val="dashed" w:sz="4" w:space="0" w:color="000000"/>
              <w:left w:val="single" w:sz="8" w:space="0" w:color="000000"/>
              <w:bottom w:val="dashed" w:sz="4" w:space="0" w:color="000000"/>
              <w:right w:val="dashed" w:sz="4" w:space="0" w:color="000000"/>
            </w:tcBorders>
          </w:tcPr>
          <w:p w:rsidR="00E8309B" w:rsidRDefault="009D0949">
            <w:pPr>
              <w:spacing w:after="0" w:line="259" w:lineRule="auto"/>
              <w:ind w:left="0" w:right="50" w:firstLine="0"/>
              <w:jc w:val="right"/>
            </w:pPr>
            <w:r>
              <w:rPr>
                <w:sz w:val="20"/>
              </w:rPr>
              <w:t xml:space="preserve">0,0 </w:t>
            </w:r>
          </w:p>
        </w:tc>
        <w:tc>
          <w:tcPr>
            <w:tcW w:w="1032" w:type="dxa"/>
            <w:gridSpan w:val="2"/>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49" w:firstLine="0"/>
              <w:jc w:val="right"/>
            </w:pPr>
            <w:r>
              <w:rPr>
                <w:sz w:val="20"/>
              </w:rPr>
              <w:t xml:space="preserve">0,0 </w:t>
            </w:r>
          </w:p>
        </w:tc>
        <w:tc>
          <w:tcPr>
            <w:tcW w:w="1034" w:type="dxa"/>
            <w:gridSpan w:val="2"/>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49" w:firstLine="0"/>
              <w:jc w:val="right"/>
            </w:pPr>
            <w:r>
              <w:rPr>
                <w:sz w:val="20"/>
              </w:rPr>
              <w:t xml:space="preserve">0,0 </w:t>
            </w:r>
          </w:p>
        </w:tc>
        <w:tc>
          <w:tcPr>
            <w:tcW w:w="1032" w:type="dxa"/>
            <w:gridSpan w:val="2"/>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49" w:firstLine="0"/>
              <w:jc w:val="right"/>
            </w:pPr>
            <w:r>
              <w:rPr>
                <w:sz w:val="20"/>
              </w:rPr>
              <w:t xml:space="preserve">0,0 </w:t>
            </w:r>
          </w:p>
        </w:tc>
        <w:tc>
          <w:tcPr>
            <w:tcW w:w="794" w:type="dxa"/>
            <w:gridSpan w:val="2"/>
            <w:tcBorders>
              <w:top w:val="dashed" w:sz="4" w:space="0" w:color="000000"/>
              <w:left w:val="dashed" w:sz="4" w:space="0" w:color="000000"/>
              <w:bottom w:val="dashed" w:sz="4" w:space="0" w:color="000000"/>
              <w:right w:val="double" w:sz="6" w:space="0" w:color="000000"/>
            </w:tcBorders>
          </w:tcPr>
          <w:p w:rsidR="00E8309B" w:rsidRDefault="009D0949">
            <w:pPr>
              <w:spacing w:after="0" w:line="259" w:lineRule="auto"/>
              <w:ind w:left="0" w:right="51" w:firstLine="0"/>
              <w:jc w:val="right"/>
            </w:pPr>
            <w:r>
              <w:rPr>
                <w:sz w:val="20"/>
              </w:rPr>
              <w:t xml:space="preserve">0,0 </w:t>
            </w:r>
          </w:p>
        </w:tc>
      </w:tr>
      <w:tr w:rsidR="00E8309B">
        <w:trPr>
          <w:trHeight w:val="293"/>
        </w:trPr>
        <w:tc>
          <w:tcPr>
            <w:tcW w:w="5927" w:type="dxa"/>
            <w:tcBorders>
              <w:top w:val="dashed" w:sz="4" w:space="0" w:color="000000"/>
              <w:left w:val="double" w:sz="6" w:space="0" w:color="000000"/>
              <w:bottom w:val="dashed" w:sz="4" w:space="0" w:color="000000"/>
              <w:right w:val="nil"/>
            </w:tcBorders>
          </w:tcPr>
          <w:p w:rsidR="00E8309B" w:rsidRDefault="009D0949">
            <w:pPr>
              <w:spacing w:after="0" w:line="259" w:lineRule="auto"/>
              <w:ind w:left="110" w:right="0" w:firstLine="0"/>
              <w:jc w:val="left"/>
            </w:pPr>
            <w:r>
              <w:rPr>
                <w:sz w:val="20"/>
              </w:rPr>
              <w:t xml:space="preserve">18б. Социјални трансфери осим неновчаних </w:t>
            </w:r>
          </w:p>
        </w:tc>
        <w:tc>
          <w:tcPr>
            <w:tcW w:w="960" w:type="dxa"/>
            <w:gridSpan w:val="3"/>
            <w:tcBorders>
              <w:top w:val="dashed" w:sz="4" w:space="0" w:color="000000"/>
              <w:left w:val="nil"/>
              <w:bottom w:val="dashed" w:sz="4" w:space="0" w:color="000000"/>
              <w:right w:val="dashed" w:sz="4" w:space="0" w:color="000000"/>
            </w:tcBorders>
          </w:tcPr>
          <w:p w:rsidR="00E8309B" w:rsidRDefault="00E8309B">
            <w:pPr>
              <w:spacing w:after="160" w:line="259" w:lineRule="auto"/>
              <w:ind w:left="0" w:right="0" w:firstLine="0"/>
              <w:jc w:val="left"/>
            </w:pPr>
          </w:p>
        </w:tc>
        <w:tc>
          <w:tcPr>
            <w:tcW w:w="1152" w:type="dxa"/>
            <w:gridSpan w:val="2"/>
            <w:tcBorders>
              <w:top w:val="dashed" w:sz="4" w:space="0" w:color="000000"/>
              <w:left w:val="dashed" w:sz="4" w:space="0" w:color="000000"/>
              <w:bottom w:val="dashed" w:sz="4" w:space="0" w:color="000000"/>
              <w:right w:val="single" w:sz="8" w:space="0" w:color="000000"/>
            </w:tcBorders>
          </w:tcPr>
          <w:p w:rsidR="00E8309B" w:rsidRDefault="009D0949">
            <w:pPr>
              <w:spacing w:after="0" w:line="259" w:lineRule="auto"/>
              <w:ind w:left="55" w:right="0" w:firstLine="0"/>
              <w:jc w:val="center"/>
            </w:pPr>
            <w:r>
              <w:rPr>
                <w:sz w:val="20"/>
              </w:rPr>
              <w:t xml:space="preserve">D62 </w:t>
            </w:r>
          </w:p>
        </w:tc>
        <w:tc>
          <w:tcPr>
            <w:tcW w:w="1354" w:type="dxa"/>
            <w:gridSpan w:val="2"/>
            <w:tcBorders>
              <w:top w:val="dashed" w:sz="4" w:space="0" w:color="000000"/>
              <w:left w:val="single" w:sz="8" w:space="0" w:color="000000"/>
              <w:bottom w:val="dashed" w:sz="4" w:space="0" w:color="000000"/>
              <w:right w:val="single" w:sz="8" w:space="0" w:color="000000"/>
            </w:tcBorders>
          </w:tcPr>
          <w:p w:rsidR="00E8309B" w:rsidRDefault="009D0949">
            <w:pPr>
              <w:spacing w:after="0" w:line="259" w:lineRule="auto"/>
              <w:ind w:left="0" w:right="52" w:firstLine="0"/>
              <w:jc w:val="right"/>
            </w:pPr>
            <w:r>
              <w:rPr>
                <w:sz w:val="20"/>
              </w:rPr>
              <w:t xml:space="preserve">782,9370 </w:t>
            </w:r>
          </w:p>
        </w:tc>
        <w:tc>
          <w:tcPr>
            <w:tcW w:w="1287" w:type="dxa"/>
            <w:gridSpan w:val="2"/>
            <w:tcBorders>
              <w:top w:val="dashed" w:sz="4" w:space="0" w:color="000000"/>
              <w:left w:val="single" w:sz="8" w:space="0" w:color="000000"/>
              <w:bottom w:val="dashed" w:sz="4" w:space="0" w:color="000000"/>
              <w:right w:val="dashed" w:sz="4" w:space="0" w:color="000000"/>
            </w:tcBorders>
          </w:tcPr>
          <w:p w:rsidR="00E8309B" w:rsidRDefault="009D0949">
            <w:pPr>
              <w:spacing w:after="0" w:line="259" w:lineRule="auto"/>
              <w:ind w:left="0" w:right="50" w:firstLine="0"/>
              <w:jc w:val="right"/>
            </w:pPr>
            <w:r>
              <w:rPr>
                <w:sz w:val="20"/>
              </w:rPr>
              <w:t xml:space="preserve">14,5 </w:t>
            </w:r>
          </w:p>
        </w:tc>
        <w:tc>
          <w:tcPr>
            <w:tcW w:w="1032" w:type="dxa"/>
            <w:gridSpan w:val="2"/>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49" w:firstLine="0"/>
              <w:jc w:val="right"/>
            </w:pPr>
            <w:r>
              <w:rPr>
                <w:sz w:val="20"/>
              </w:rPr>
              <w:t xml:space="preserve">14,8 </w:t>
            </w:r>
          </w:p>
        </w:tc>
        <w:tc>
          <w:tcPr>
            <w:tcW w:w="1034" w:type="dxa"/>
            <w:gridSpan w:val="2"/>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49" w:firstLine="0"/>
              <w:jc w:val="right"/>
            </w:pPr>
            <w:r>
              <w:rPr>
                <w:sz w:val="20"/>
              </w:rPr>
              <w:t xml:space="preserve">14,1 </w:t>
            </w:r>
          </w:p>
        </w:tc>
        <w:tc>
          <w:tcPr>
            <w:tcW w:w="1032" w:type="dxa"/>
            <w:gridSpan w:val="2"/>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50" w:firstLine="0"/>
              <w:jc w:val="right"/>
            </w:pPr>
            <w:r>
              <w:rPr>
                <w:sz w:val="20"/>
              </w:rPr>
              <w:t xml:space="preserve">14,0 </w:t>
            </w:r>
          </w:p>
        </w:tc>
        <w:tc>
          <w:tcPr>
            <w:tcW w:w="794" w:type="dxa"/>
            <w:gridSpan w:val="2"/>
            <w:tcBorders>
              <w:top w:val="dashed" w:sz="4" w:space="0" w:color="000000"/>
              <w:left w:val="dashed" w:sz="4" w:space="0" w:color="000000"/>
              <w:bottom w:val="dashed" w:sz="4" w:space="0" w:color="000000"/>
              <w:right w:val="double" w:sz="6" w:space="0" w:color="000000"/>
            </w:tcBorders>
          </w:tcPr>
          <w:p w:rsidR="00E8309B" w:rsidRDefault="009D0949">
            <w:pPr>
              <w:spacing w:after="0" w:line="259" w:lineRule="auto"/>
              <w:ind w:left="0" w:right="52" w:firstLine="0"/>
              <w:jc w:val="right"/>
            </w:pPr>
            <w:r>
              <w:rPr>
                <w:sz w:val="20"/>
              </w:rPr>
              <w:t xml:space="preserve">13,7 </w:t>
            </w:r>
          </w:p>
        </w:tc>
      </w:tr>
      <w:tr w:rsidR="00E8309B">
        <w:trPr>
          <w:trHeight w:val="471"/>
        </w:trPr>
        <w:tc>
          <w:tcPr>
            <w:tcW w:w="5927" w:type="dxa"/>
            <w:tcBorders>
              <w:top w:val="dashed" w:sz="4" w:space="0" w:color="000000"/>
              <w:left w:val="double" w:sz="6" w:space="0" w:color="000000"/>
              <w:bottom w:val="dashed" w:sz="4" w:space="0" w:color="000000"/>
              <w:right w:val="nil"/>
            </w:tcBorders>
          </w:tcPr>
          <w:p w:rsidR="00E8309B" w:rsidRDefault="009D0949">
            <w:pPr>
              <w:spacing w:after="0" w:line="259" w:lineRule="auto"/>
              <w:ind w:left="110" w:right="0" w:firstLine="0"/>
              <w:jc w:val="left"/>
            </w:pPr>
            <w:r>
              <w:rPr>
                <w:sz w:val="20"/>
              </w:rPr>
              <w:t xml:space="preserve">19 = 9. Расходи за камате </w:t>
            </w:r>
          </w:p>
        </w:tc>
        <w:tc>
          <w:tcPr>
            <w:tcW w:w="960" w:type="dxa"/>
            <w:gridSpan w:val="3"/>
            <w:tcBorders>
              <w:top w:val="dashed" w:sz="4" w:space="0" w:color="000000"/>
              <w:left w:val="nil"/>
              <w:bottom w:val="dashed" w:sz="4" w:space="0" w:color="000000"/>
              <w:right w:val="dashed" w:sz="4" w:space="0" w:color="000000"/>
            </w:tcBorders>
          </w:tcPr>
          <w:p w:rsidR="00E8309B" w:rsidRDefault="00E8309B">
            <w:pPr>
              <w:spacing w:after="160" w:line="259" w:lineRule="auto"/>
              <w:ind w:left="0" w:right="0" w:firstLine="0"/>
              <w:jc w:val="left"/>
            </w:pPr>
          </w:p>
        </w:tc>
        <w:tc>
          <w:tcPr>
            <w:tcW w:w="1152" w:type="dxa"/>
            <w:gridSpan w:val="2"/>
            <w:tcBorders>
              <w:top w:val="dashed" w:sz="4" w:space="0" w:color="000000"/>
              <w:left w:val="dashed" w:sz="4" w:space="0" w:color="000000"/>
              <w:bottom w:val="dashed" w:sz="4" w:space="0" w:color="000000"/>
              <w:right w:val="single" w:sz="8" w:space="0" w:color="000000"/>
            </w:tcBorders>
          </w:tcPr>
          <w:p w:rsidR="00E8309B" w:rsidRDefault="009D0949">
            <w:pPr>
              <w:spacing w:after="0" w:line="259" w:lineRule="auto"/>
              <w:ind w:left="0" w:right="0" w:firstLine="0"/>
              <w:jc w:val="center"/>
            </w:pPr>
            <w:r>
              <w:rPr>
                <w:sz w:val="20"/>
              </w:rPr>
              <w:t xml:space="preserve">EDP.D41 + FISIM </w:t>
            </w:r>
          </w:p>
        </w:tc>
        <w:tc>
          <w:tcPr>
            <w:tcW w:w="1354" w:type="dxa"/>
            <w:gridSpan w:val="2"/>
            <w:tcBorders>
              <w:top w:val="dashed" w:sz="4" w:space="0" w:color="000000"/>
              <w:left w:val="single" w:sz="8" w:space="0" w:color="000000"/>
              <w:bottom w:val="dashed" w:sz="4" w:space="0" w:color="000000"/>
              <w:right w:val="single" w:sz="8" w:space="0" w:color="000000"/>
            </w:tcBorders>
          </w:tcPr>
          <w:p w:rsidR="00E8309B" w:rsidRDefault="009D0949">
            <w:pPr>
              <w:spacing w:after="0" w:line="259" w:lineRule="auto"/>
              <w:ind w:left="0" w:right="52" w:firstLine="0"/>
              <w:jc w:val="right"/>
            </w:pPr>
            <w:r>
              <w:rPr>
                <w:sz w:val="20"/>
              </w:rPr>
              <w:t xml:space="preserve">108,9364 </w:t>
            </w:r>
          </w:p>
        </w:tc>
        <w:tc>
          <w:tcPr>
            <w:tcW w:w="1287" w:type="dxa"/>
            <w:gridSpan w:val="2"/>
            <w:tcBorders>
              <w:top w:val="dashed" w:sz="4" w:space="0" w:color="000000"/>
              <w:left w:val="single" w:sz="8" w:space="0" w:color="000000"/>
              <w:bottom w:val="dashed" w:sz="4" w:space="0" w:color="000000"/>
              <w:right w:val="dashed" w:sz="4" w:space="0" w:color="000000"/>
            </w:tcBorders>
          </w:tcPr>
          <w:p w:rsidR="00E8309B" w:rsidRDefault="009D0949">
            <w:pPr>
              <w:spacing w:after="0" w:line="259" w:lineRule="auto"/>
              <w:ind w:left="0" w:right="50" w:firstLine="0"/>
              <w:jc w:val="right"/>
            </w:pPr>
            <w:r>
              <w:rPr>
                <w:sz w:val="20"/>
              </w:rPr>
              <w:t xml:space="preserve">2,0 </w:t>
            </w:r>
          </w:p>
        </w:tc>
        <w:tc>
          <w:tcPr>
            <w:tcW w:w="1032" w:type="dxa"/>
            <w:gridSpan w:val="2"/>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49" w:firstLine="0"/>
              <w:jc w:val="right"/>
            </w:pPr>
            <w:r>
              <w:rPr>
                <w:sz w:val="20"/>
              </w:rPr>
              <w:t xml:space="preserve">2,0 </w:t>
            </w:r>
          </w:p>
        </w:tc>
        <w:tc>
          <w:tcPr>
            <w:tcW w:w="1034" w:type="dxa"/>
            <w:gridSpan w:val="2"/>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49" w:firstLine="0"/>
              <w:jc w:val="right"/>
            </w:pPr>
            <w:r>
              <w:rPr>
                <w:sz w:val="20"/>
              </w:rPr>
              <w:t xml:space="preserve">1,9 </w:t>
            </w:r>
          </w:p>
        </w:tc>
        <w:tc>
          <w:tcPr>
            <w:tcW w:w="1032" w:type="dxa"/>
            <w:gridSpan w:val="2"/>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49" w:firstLine="0"/>
              <w:jc w:val="right"/>
            </w:pPr>
            <w:r>
              <w:rPr>
                <w:sz w:val="20"/>
              </w:rPr>
              <w:t xml:space="preserve">1,7 </w:t>
            </w:r>
          </w:p>
        </w:tc>
        <w:tc>
          <w:tcPr>
            <w:tcW w:w="794" w:type="dxa"/>
            <w:gridSpan w:val="2"/>
            <w:tcBorders>
              <w:top w:val="dashed" w:sz="4" w:space="0" w:color="000000"/>
              <w:left w:val="dashed" w:sz="4" w:space="0" w:color="000000"/>
              <w:bottom w:val="dashed" w:sz="4" w:space="0" w:color="000000"/>
              <w:right w:val="double" w:sz="6" w:space="0" w:color="000000"/>
            </w:tcBorders>
          </w:tcPr>
          <w:p w:rsidR="00E8309B" w:rsidRDefault="009D0949">
            <w:pPr>
              <w:spacing w:after="0" w:line="259" w:lineRule="auto"/>
              <w:ind w:left="0" w:right="51" w:firstLine="0"/>
              <w:jc w:val="right"/>
            </w:pPr>
            <w:r>
              <w:rPr>
                <w:sz w:val="20"/>
              </w:rPr>
              <w:t xml:space="preserve">1,6 </w:t>
            </w:r>
          </w:p>
        </w:tc>
      </w:tr>
      <w:tr w:rsidR="00E8309B">
        <w:trPr>
          <w:trHeight w:val="293"/>
        </w:trPr>
        <w:tc>
          <w:tcPr>
            <w:tcW w:w="5927" w:type="dxa"/>
            <w:tcBorders>
              <w:top w:val="dashed" w:sz="4" w:space="0" w:color="000000"/>
              <w:left w:val="double" w:sz="6" w:space="0" w:color="000000"/>
              <w:bottom w:val="dashed" w:sz="4" w:space="0" w:color="000000"/>
              <w:right w:val="nil"/>
            </w:tcBorders>
          </w:tcPr>
          <w:p w:rsidR="00E8309B" w:rsidRDefault="009D0949">
            <w:pPr>
              <w:spacing w:after="0" w:line="259" w:lineRule="auto"/>
              <w:ind w:left="110" w:right="0" w:firstLine="0"/>
              <w:jc w:val="left"/>
            </w:pPr>
            <w:r>
              <w:rPr>
                <w:sz w:val="20"/>
              </w:rPr>
              <w:t xml:space="preserve">20. Субвенције </w:t>
            </w:r>
          </w:p>
        </w:tc>
        <w:tc>
          <w:tcPr>
            <w:tcW w:w="960" w:type="dxa"/>
            <w:gridSpan w:val="3"/>
            <w:tcBorders>
              <w:top w:val="dashed" w:sz="4" w:space="0" w:color="000000"/>
              <w:left w:val="nil"/>
              <w:bottom w:val="dashed" w:sz="4" w:space="0" w:color="000000"/>
              <w:right w:val="dashed" w:sz="4" w:space="0" w:color="000000"/>
            </w:tcBorders>
          </w:tcPr>
          <w:p w:rsidR="00E8309B" w:rsidRDefault="00E8309B">
            <w:pPr>
              <w:spacing w:after="160" w:line="259" w:lineRule="auto"/>
              <w:ind w:left="0" w:right="0" w:firstLine="0"/>
              <w:jc w:val="left"/>
            </w:pPr>
          </w:p>
        </w:tc>
        <w:tc>
          <w:tcPr>
            <w:tcW w:w="1152" w:type="dxa"/>
            <w:gridSpan w:val="2"/>
            <w:tcBorders>
              <w:top w:val="dashed" w:sz="4" w:space="0" w:color="000000"/>
              <w:left w:val="dashed" w:sz="4" w:space="0" w:color="000000"/>
              <w:bottom w:val="dashed" w:sz="4" w:space="0" w:color="000000"/>
              <w:right w:val="single" w:sz="8" w:space="0" w:color="000000"/>
            </w:tcBorders>
          </w:tcPr>
          <w:p w:rsidR="00E8309B" w:rsidRDefault="009D0949">
            <w:pPr>
              <w:spacing w:after="0" w:line="259" w:lineRule="auto"/>
              <w:ind w:left="55" w:right="0" w:firstLine="0"/>
              <w:jc w:val="center"/>
            </w:pPr>
            <w:r>
              <w:rPr>
                <w:sz w:val="20"/>
              </w:rPr>
              <w:t xml:space="preserve">D3 </w:t>
            </w:r>
          </w:p>
        </w:tc>
        <w:tc>
          <w:tcPr>
            <w:tcW w:w="1354" w:type="dxa"/>
            <w:gridSpan w:val="2"/>
            <w:tcBorders>
              <w:top w:val="dashed" w:sz="4" w:space="0" w:color="000000"/>
              <w:left w:val="single" w:sz="8" w:space="0" w:color="000000"/>
              <w:bottom w:val="dashed" w:sz="4" w:space="0" w:color="000000"/>
              <w:right w:val="single" w:sz="8" w:space="0" w:color="000000"/>
            </w:tcBorders>
          </w:tcPr>
          <w:p w:rsidR="00E8309B" w:rsidRDefault="009D0949">
            <w:pPr>
              <w:spacing w:after="0" w:line="259" w:lineRule="auto"/>
              <w:ind w:left="0" w:right="52" w:firstLine="0"/>
              <w:jc w:val="right"/>
            </w:pPr>
            <w:r>
              <w:rPr>
                <w:sz w:val="20"/>
              </w:rPr>
              <w:t xml:space="preserve">121,1761 </w:t>
            </w:r>
          </w:p>
        </w:tc>
        <w:tc>
          <w:tcPr>
            <w:tcW w:w="1287" w:type="dxa"/>
            <w:gridSpan w:val="2"/>
            <w:tcBorders>
              <w:top w:val="dashed" w:sz="4" w:space="0" w:color="000000"/>
              <w:left w:val="single" w:sz="8" w:space="0" w:color="000000"/>
              <w:bottom w:val="dashed" w:sz="4" w:space="0" w:color="000000"/>
              <w:right w:val="dashed" w:sz="4" w:space="0" w:color="000000"/>
            </w:tcBorders>
          </w:tcPr>
          <w:p w:rsidR="00E8309B" w:rsidRDefault="009D0949">
            <w:pPr>
              <w:spacing w:after="0" w:line="259" w:lineRule="auto"/>
              <w:ind w:left="0" w:right="50" w:firstLine="0"/>
              <w:jc w:val="right"/>
            </w:pPr>
            <w:r>
              <w:rPr>
                <w:sz w:val="20"/>
              </w:rPr>
              <w:t xml:space="preserve">2,2 </w:t>
            </w:r>
          </w:p>
        </w:tc>
        <w:tc>
          <w:tcPr>
            <w:tcW w:w="1032" w:type="dxa"/>
            <w:gridSpan w:val="2"/>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49" w:firstLine="0"/>
              <w:jc w:val="right"/>
            </w:pPr>
            <w:r>
              <w:rPr>
                <w:sz w:val="20"/>
              </w:rPr>
              <w:t xml:space="preserve">4,7 </w:t>
            </w:r>
          </w:p>
        </w:tc>
        <w:tc>
          <w:tcPr>
            <w:tcW w:w="1034" w:type="dxa"/>
            <w:gridSpan w:val="2"/>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49" w:firstLine="0"/>
              <w:jc w:val="right"/>
            </w:pPr>
            <w:r>
              <w:rPr>
                <w:sz w:val="20"/>
              </w:rPr>
              <w:t xml:space="preserve">2,2 </w:t>
            </w:r>
          </w:p>
        </w:tc>
        <w:tc>
          <w:tcPr>
            <w:tcW w:w="1032" w:type="dxa"/>
            <w:gridSpan w:val="2"/>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49" w:firstLine="0"/>
              <w:jc w:val="right"/>
            </w:pPr>
            <w:r>
              <w:rPr>
                <w:sz w:val="20"/>
              </w:rPr>
              <w:t xml:space="preserve">1,8 </w:t>
            </w:r>
          </w:p>
        </w:tc>
        <w:tc>
          <w:tcPr>
            <w:tcW w:w="794" w:type="dxa"/>
            <w:gridSpan w:val="2"/>
            <w:tcBorders>
              <w:top w:val="dashed" w:sz="4" w:space="0" w:color="000000"/>
              <w:left w:val="dashed" w:sz="4" w:space="0" w:color="000000"/>
              <w:bottom w:val="dashed" w:sz="4" w:space="0" w:color="000000"/>
              <w:right w:val="double" w:sz="6" w:space="0" w:color="000000"/>
            </w:tcBorders>
          </w:tcPr>
          <w:p w:rsidR="00E8309B" w:rsidRDefault="009D0949">
            <w:pPr>
              <w:spacing w:after="0" w:line="259" w:lineRule="auto"/>
              <w:ind w:left="0" w:right="51" w:firstLine="0"/>
              <w:jc w:val="right"/>
            </w:pPr>
            <w:r>
              <w:rPr>
                <w:sz w:val="20"/>
              </w:rPr>
              <w:t xml:space="preserve">1,7 </w:t>
            </w:r>
          </w:p>
        </w:tc>
      </w:tr>
      <w:tr w:rsidR="00E8309B">
        <w:trPr>
          <w:trHeight w:val="293"/>
        </w:trPr>
        <w:tc>
          <w:tcPr>
            <w:tcW w:w="5927" w:type="dxa"/>
            <w:tcBorders>
              <w:top w:val="dashed" w:sz="4" w:space="0" w:color="000000"/>
              <w:left w:val="double" w:sz="6" w:space="0" w:color="000000"/>
              <w:bottom w:val="dashed" w:sz="4" w:space="0" w:color="000000"/>
              <w:right w:val="nil"/>
            </w:tcBorders>
          </w:tcPr>
          <w:p w:rsidR="00E8309B" w:rsidRDefault="009D0949">
            <w:pPr>
              <w:spacing w:after="0" w:line="259" w:lineRule="auto"/>
              <w:ind w:left="110" w:right="0" w:firstLine="0"/>
              <w:jc w:val="left"/>
            </w:pPr>
            <w:r>
              <w:rPr>
                <w:sz w:val="20"/>
              </w:rPr>
              <w:t xml:space="preserve">21. Бруто инвестиције у основна средства </w:t>
            </w:r>
          </w:p>
        </w:tc>
        <w:tc>
          <w:tcPr>
            <w:tcW w:w="960" w:type="dxa"/>
            <w:gridSpan w:val="3"/>
            <w:tcBorders>
              <w:top w:val="dashed" w:sz="4" w:space="0" w:color="000000"/>
              <w:left w:val="nil"/>
              <w:bottom w:val="dashed" w:sz="4" w:space="0" w:color="000000"/>
              <w:right w:val="dashed" w:sz="4" w:space="0" w:color="000000"/>
            </w:tcBorders>
          </w:tcPr>
          <w:p w:rsidR="00E8309B" w:rsidRDefault="00E8309B">
            <w:pPr>
              <w:spacing w:after="160" w:line="259" w:lineRule="auto"/>
              <w:ind w:left="0" w:right="0" w:firstLine="0"/>
              <w:jc w:val="left"/>
            </w:pPr>
          </w:p>
        </w:tc>
        <w:tc>
          <w:tcPr>
            <w:tcW w:w="1152" w:type="dxa"/>
            <w:gridSpan w:val="2"/>
            <w:tcBorders>
              <w:top w:val="dashed" w:sz="4" w:space="0" w:color="000000"/>
              <w:left w:val="dashed" w:sz="4" w:space="0" w:color="000000"/>
              <w:bottom w:val="dashed" w:sz="4" w:space="0" w:color="000000"/>
              <w:right w:val="single" w:sz="8" w:space="0" w:color="000000"/>
            </w:tcBorders>
          </w:tcPr>
          <w:p w:rsidR="00E8309B" w:rsidRDefault="009D0949">
            <w:pPr>
              <w:spacing w:after="0" w:line="259" w:lineRule="auto"/>
              <w:ind w:left="57" w:right="0" w:firstLine="0"/>
              <w:jc w:val="center"/>
            </w:pPr>
            <w:r>
              <w:rPr>
                <w:sz w:val="20"/>
              </w:rPr>
              <w:t xml:space="preserve">P51 </w:t>
            </w:r>
          </w:p>
        </w:tc>
        <w:tc>
          <w:tcPr>
            <w:tcW w:w="1354" w:type="dxa"/>
            <w:gridSpan w:val="2"/>
            <w:tcBorders>
              <w:top w:val="dashed" w:sz="4" w:space="0" w:color="000000"/>
              <w:left w:val="single" w:sz="8" w:space="0" w:color="000000"/>
              <w:bottom w:val="dashed" w:sz="4" w:space="0" w:color="000000"/>
              <w:right w:val="single" w:sz="8" w:space="0" w:color="000000"/>
            </w:tcBorders>
          </w:tcPr>
          <w:p w:rsidR="00E8309B" w:rsidRDefault="009D0949">
            <w:pPr>
              <w:spacing w:after="0" w:line="259" w:lineRule="auto"/>
              <w:ind w:left="0" w:right="52" w:firstLine="0"/>
              <w:jc w:val="right"/>
            </w:pPr>
            <w:r>
              <w:rPr>
                <w:sz w:val="20"/>
              </w:rPr>
              <w:t xml:space="preserve">266,2542 </w:t>
            </w:r>
          </w:p>
        </w:tc>
        <w:tc>
          <w:tcPr>
            <w:tcW w:w="1287" w:type="dxa"/>
            <w:gridSpan w:val="2"/>
            <w:tcBorders>
              <w:top w:val="dashed" w:sz="4" w:space="0" w:color="000000"/>
              <w:left w:val="single" w:sz="8" w:space="0" w:color="000000"/>
              <w:bottom w:val="dashed" w:sz="4" w:space="0" w:color="000000"/>
              <w:right w:val="dashed" w:sz="4" w:space="0" w:color="000000"/>
            </w:tcBorders>
          </w:tcPr>
          <w:p w:rsidR="00E8309B" w:rsidRDefault="009D0949">
            <w:pPr>
              <w:spacing w:after="0" w:line="259" w:lineRule="auto"/>
              <w:ind w:left="0" w:right="50" w:firstLine="0"/>
              <w:jc w:val="right"/>
            </w:pPr>
            <w:r>
              <w:rPr>
                <w:sz w:val="20"/>
              </w:rPr>
              <w:t xml:space="preserve">4,9 </w:t>
            </w:r>
          </w:p>
        </w:tc>
        <w:tc>
          <w:tcPr>
            <w:tcW w:w="1032" w:type="dxa"/>
            <w:gridSpan w:val="2"/>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49" w:firstLine="0"/>
              <w:jc w:val="right"/>
            </w:pPr>
            <w:r>
              <w:rPr>
                <w:sz w:val="20"/>
              </w:rPr>
              <w:t xml:space="preserve">5,2 </w:t>
            </w:r>
          </w:p>
        </w:tc>
        <w:tc>
          <w:tcPr>
            <w:tcW w:w="1034" w:type="dxa"/>
            <w:gridSpan w:val="2"/>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49" w:firstLine="0"/>
              <w:jc w:val="right"/>
            </w:pPr>
            <w:r>
              <w:rPr>
                <w:sz w:val="20"/>
              </w:rPr>
              <w:t xml:space="preserve">5,5 </w:t>
            </w:r>
          </w:p>
        </w:tc>
        <w:tc>
          <w:tcPr>
            <w:tcW w:w="1032" w:type="dxa"/>
            <w:gridSpan w:val="2"/>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49" w:firstLine="0"/>
              <w:jc w:val="right"/>
            </w:pPr>
            <w:r>
              <w:rPr>
                <w:sz w:val="20"/>
              </w:rPr>
              <w:t xml:space="preserve">5,6 </w:t>
            </w:r>
          </w:p>
        </w:tc>
        <w:tc>
          <w:tcPr>
            <w:tcW w:w="794" w:type="dxa"/>
            <w:gridSpan w:val="2"/>
            <w:tcBorders>
              <w:top w:val="dashed" w:sz="4" w:space="0" w:color="000000"/>
              <w:left w:val="dashed" w:sz="4" w:space="0" w:color="000000"/>
              <w:bottom w:val="dashed" w:sz="4" w:space="0" w:color="000000"/>
              <w:right w:val="double" w:sz="6" w:space="0" w:color="000000"/>
            </w:tcBorders>
          </w:tcPr>
          <w:p w:rsidR="00E8309B" w:rsidRDefault="009D0949">
            <w:pPr>
              <w:spacing w:after="0" w:line="259" w:lineRule="auto"/>
              <w:ind w:left="0" w:right="51" w:firstLine="0"/>
              <w:jc w:val="right"/>
            </w:pPr>
            <w:r>
              <w:rPr>
                <w:sz w:val="20"/>
              </w:rPr>
              <w:t xml:space="preserve">5,7 </w:t>
            </w:r>
          </w:p>
        </w:tc>
      </w:tr>
      <w:tr w:rsidR="00E8309B">
        <w:trPr>
          <w:trHeight w:val="470"/>
        </w:trPr>
        <w:tc>
          <w:tcPr>
            <w:tcW w:w="5927" w:type="dxa"/>
            <w:tcBorders>
              <w:top w:val="dashed" w:sz="4" w:space="0" w:color="000000"/>
              <w:left w:val="double" w:sz="6" w:space="0" w:color="000000"/>
              <w:bottom w:val="dashed" w:sz="4" w:space="0" w:color="000000"/>
              <w:right w:val="nil"/>
            </w:tcBorders>
          </w:tcPr>
          <w:p w:rsidR="00E8309B" w:rsidRDefault="009D0949">
            <w:pPr>
              <w:spacing w:after="0" w:line="259" w:lineRule="auto"/>
              <w:ind w:left="110" w:right="0" w:firstLine="0"/>
              <w:jc w:val="left"/>
            </w:pPr>
            <w:r>
              <w:rPr>
                <w:sz w:val="20"/>
              </w:rPr>
              <w:t>22. Друго (22 = 23</w:t>
            </w:r>
            <w:r>
              <w:rPr>
                <w:sz w:val="20"/>
              </w:rPr>
              <w:t xml:space="preserve">-(17+18+19+20+21) </w:t>
            </w:r>
          </w:p>
          <w:p w:rsidR="00E8309B" w:rsidRDefault="009D0949">
            <w:pPr>
              <w:spacing w:after="0" w:line="259" w:lineRule="auto"/>
              <w:ind w:left="110" w:right="0" w:firstLine="0"/>
              <w:jc w:val="left"/>
            </w:pPr>
            <w:r>
              <w:rPr>
                <w:sz w:val="20"/>
              </w:rPr>
              <w:t xml:space="preserve"> [6] </w:t>
            </w:r>
          </w:p>
        </w:tc>
        <w:tc>
          <w:tcPr>
            <w:tcW w:w="960" w:type="dxa"/>
            <w:gridSpan w:val="3"/>
            <w:tcBorders>
              <w:top w:val="dashed" w:sz="4" w:space="0" w:color="000000"/>
              <w:left w:val="nil"/>
              <w:bottom w:val="dashed" w:sz="4" w:space="0" w:color="000000"/>
              <w:right w:val="dashed" w:sz="4" w:space="0" w:color="000000"/>
            </w:tcBorders>
          </w:tcPr>
          <w:p w:rsidR="00E8309B" w:rsidRDefault="00E8309B">
            <w:pPr>
              <w:spacing w:after="160" w:line="259" w:lineRule="auto"/>
              <w:ind w:left="0" w:right="0" w:firstLine="0"/>
              <w:jc w:val="left"/>
            </w:pPr>
          </w:p>
        </w:tc>
        <w:tc>
          <w:tcPr>
            <w:tcW w:w="1152" w:type="dxa"/>
            <w:gridSpan w:val="2"/>
            <w:tcBorders>
              <w:top w:val="dashed" w:sz="4" w:space="0" w:color="000000"/>
              <w:left w:val="dashed" w:sz="4" w:space="0" w:color="000000"/>
              <w:bottom w:val="dashed" w:sz="4" w:space="0" w:color="000000"/>
              <w:right w:val="single" w:sz="8" w:space="0" w:color="000000"/>
            </w:tcBorders>
            <w:vAlign w:val="center"/>
          </w:tcPr>
          <w:p w:rsidR="00E8309B" w:rsidRDefault="009D0949">
            <w:pPr>
              <w:spacing w:after="0" w:line="259" w:lineRule="auto"/>
              <w:ind w:left="104" w:right="0" w:firstLine="0"/>
              <w:jc w:val="center"/>
            </w:pPr>
            <w:r>
              <w:rPr>
                <w:sz w:val="20"/>
              </w:rPr>
              <w:t xml:space="preserve">  </w:t>
            </w:r>
          </w:p>
        </w:tc>
        <w:tc>
          <w:tcPr>
            <w:tcW w:w="1354" w:type="dxa"/>
            <w:gridSpan w:val="2"/>
            <w:tcBorders>
              <w:top w:val="dashed" w:sz="4" w:space="0" w:color="000000"/>
              <w:left w:val="single" w:sz="8" w:space="0" w:color="000000"/>
              <w:bottom w:val="dashed" w:sz="4" w:space="0" w:color="000000"/>
              <w:right w:val="single" w:sz="8" w:space="0" w:color="000000"/>
            </w:tcBorders>
            <w:vAlign w:val="center"/>
          </w:tcPr>
          <w:p w:rsidR="00E8309B" w:rsidRDefault="009D0949">
            <w:pPr>
              <w:spacing w:after="0" w:line="259" w:lineRule="auto"/>
              <w:ind w:left="0" w:right="52" w:firstLine="0"/>
              <w:jc w:val="right"/>
            </w:pPr>
            <w:r>
              <w:rPr>
                <w:sz w:val="20"/>
              </w:rPr>
              <w:t xml:space="preserve">114,8159 </w:t>
            </w:r>
          </w:p>
        </w:tc>
        <w:tc>
          <w:tcPr>
            <w:tcW w:w="1287" w:type="dxa"/>
            <w:gridSpan w:val="2"/>
            <w:tcBorders>
              <w:top w:val="dashed" w:sz="4" w:space="0" w:color="000000"/>
              <w:left w:val="single" w:sz="8" w:space="0" w:color="000000"/>
              <w:bottom w:val="dashed" w:sz="4" w:space="0" w:color="000000"/>
              <w:right w:val="dashed" w:sz="4" w:space="0" w:color="000000"/>
            </w:tcBorders>
            <w:vAlign w:val="center"/>
          </w:tcPr>
          <w:p w:rsidR="00E8309B" w:rsidRDefault="009D0949">
            <w:pPr>
              <w:spacing w:after="0" w:line="259" w:lineRule="auto"/>
              <w:ind w:left="0" w:right="50" w:firstLine="0"/>
              <w:jc w:val="right"/>
            </w:pPr>
            <w:r>
              <w:rPr>
                <w:sz w:val="20"/>
              </w:rPr>
              <w:t xml:space="preserve">2,1 </w:t>
            </w:r>
          </w:p>
        </w:tc>
        <w:tc>
          <w:tcPr>
            <w:tcW w:w="1032" w:type="dxa"/>
            <w:gridSpan w:val="2"/>
            <w:tcBorders>
              <w:top w:val="dashed" w:sz="4" w:space="0" w:color="000000"/>
              <w:left w:val="dashed" w:sz="4" w:space="0" w:color="000000"/>
              <w:bottom w:val="dashed" w:sz="4" w:space="0" w:color="000000"/>
              <w:right w:val="dashed" w:sz="4" w:space="0" w:color="000000"/>
            </w:tcBorders>
            <w:vAlign w:val="center"/>
          </w:tcPr>
          <w:p w:rsidR="00E8309B" w:rsidRDefault="009D0949">
            <w:pPr>
              <w:spacing w:after="0" w:line="259" w:lineRule="auto"/>
              <w:ind w:left="0" w:right="49" w:firstLine="0"/>
              <w:jc w:val="right"/>
            </w:pPr>
            <w:r>
              <w:rPr>
                <w:sz w:val="20"/>
              </w:rPr>
              <w:t xml:space="preserve">3,9 </w:t>
            </w:r>
          </w:p>
        </w:tc>
        <w:tc>
          <w:tcPr>
            <w:tcW w:w="1034" w:type="dxa"/>
            <w:gridSpan w:val="2"/>
            <w:tcBorders>
              <w:top w:val="dashed" w:sz="4" w:space="0" w:color="000000"/>
              <w:left w:val="dashed" w:sz="4" w:space="0" w:color="000000"/>
              <w:bottom w:val="dashed" w:sz="4" w:space="0" w:color="000000"/>
              <w:right w:val="dashed" w:sz="4" w:space="0" w:color="000000"/>
            </w:tcBorders>
            <w:vAlign w:val="center"/>
          </w:tcPr>
          <w:p w:rsidR="00E8309B" w:rsidRDefault="009D0949">
            <w:pPr>
              <w:spacing w:after="0" w:line="259" w:lineRule="auto"/>
              <w:ind w:left="0" w:right="49" w:firstLine="0"/>
              <w:jc w:val="right"/>
            </w:pPr>
            <w:r>
              <w:rPr>
                <w:sz w:val="20"/>
              </w:rPr>
              <w:t xml:space="preserve">2,0 </w:t>
            </w:r>
          </w:p>
        </w:tc>
        <w:tc>
          <w:tcPr>
            <w:tcW w:w="1032" w:type="dxa"/>
            <w:gridSpan w:val="2"/>
            <w:tcBorders>
              <w:top w:val="dashed" w:sz="4" w:space="0" w:color="000000"/>
              <w:left w:val="dashed" w:sz="4" w:space="0" w:color="000000"/>
              <w:bottom w:val="dashed" w:sz="4" w:space="0" w:color="000000"/>
              <w:right w:val="dashed" w:sz="4" w:space="0" w:color="000000"/>
            </w:tcBorders>
            <w:vAlign w:val="center"/>
          </w:tcPr>
          <w:p w:rsidR="00E8309B" w:rsidRDefault="009D0949">
            <w:pPr>
              <w:spacing w:after="0" w:line="259" w:lineRule="auto"/>
              <w:ind w:left="0" w:right="49" w:firstLine="0"/>
              <w:jc w:val="right"/>
            </w:pPr>
            <w:r>
              <w:rPr>
                <w:sz w:val="20"/>
              </w:rPr>
              <w:t xml:space="preserve">1,7 </w:t>
            </w:r>
          </w:p>
        </w:tc>
        <w:tc>
          <w:tcPr>
            <w:tcW w:w="794" w:type="dxa"/>
            <w:gridSpan w:val="2"/>
            <w:tcBorders>
              <w:top w:val="dashed" w:sz="4" w:space="0" w:color="000000"/>
              <w:left w:val="dashed" w:sz="4" w:space="0" w:color="000000"/>
              <w:bottom w:val="dashed" w:sz="4" w:space="0" w:color="000000"/>
              <w:right w:val="double" w:sz="6" w:space="0" w:color="000000"/>
            </w:tcBorders>
            <w:vAlign w:val="center"/>
          </w:tcPr>
          <w:p w:rsidR="00E8309B" w:rsidRDefault="009D0949">
            <w:pPr>
              <w:spacing w:after="0" w:line="259" w:lineRule="auto"/>
              <w:ind w:left="0" w:right="51" w:firstLine="0"/>
              <w:jc w:val="right"/>
            </w:pPr>
            <w:r>
              <w:rPr>
                <w:sz w:val="20"/>
              </w:rPr>
              <w:t xml:space="preserve">1,5 </w:t>
            </w:r>
          </w:p>
        </w:tc>
      </w:tr>
      <w:tr w:rsidR="00E8309B">
        <w:trPr>
          <w:trHeight w:val="293"/>
        </w:trPr>
        <w:tc>
          <w:tcPr>
            <w:tcW w:w="5927" w:type="dxa"/>
            <w:tcBorders>
              <w:top w:val="dashed" w:sz="4" w:space="0" w:color="000000"/>
              <w:left w:val="double" w:sz="6" w:space="0" w:color="000000"/>
              <w:bottom w:val="dashed" w:sz="4" w:space="0" w:color="000000"/>
              <w:right w:val="nil"/>
            </w:tcBorders>
          </w:tcPr>
          <w:p w:rsidR="00E8309B" w:rsidRDefault="009D0949">
            <w:pPr>
              <w:spacing w:after="0" w:line="259" w:lineRule="auto"/>
              <w:ind w:left="110" w:right="0" w:firstLine="0"/>
              <w:jc w:val="left"/>
            </w:pPr>
            <w:r>
              <w:rPr>
                <w:sz w:val="20"/>
              </w:rPr>
              <w:t xml:space="preserve">23 = 7. Укупни расходи </w:t>
            </w:r>
          </w:p>
        </w:tc>
        <w:tc>
          <w:tcPr>
            <w:tcW w:w="960" w:type="dxa"/>
            <w:gridSpan w:val="3"/>
            <w:tcBorders>
              <w:top w:val="dashed" w:sz="4" w:space="0" w:color="000000"/>
              <w:left w:val="nil"/>
              <w:bottom w:val="dashed" w:sz="4" w:space="0" w:color="000000"/>
              <w:right w:val="dashed" w:sz="4" w:space="0" w:color="000000"/>
            </w:tcBorders>
          </w:tcPr>
          <w:p w:rsidR="00E8309B" w:rsidRDefault="00E8309B">
            <w:pPr>
              <w:spacing w:after="160" w:line="259" w:lineRule="auto"/>
              <w:ind w:left="0" w:right="0" w:firstLine="0"/>
              <w:jc w:val="left"/>
            </w:pPr>
          </w:p>
        </w:tc>
        <w:tc>
          <w:tcPr>
            <w:tcW w:w="1152" w:type="dxa"/>
            <w:gridSpan w:val="2"/>
            <w:tcBorders>
              <w:top w:val="dashed" w:sz="4" w:space="0" w:color="000000"/>
              <w:left w:val="dashed" w:sz="4" w:space="0" w:color="000000"/>
              <w:bottom w:val="dashed" w:sz="4" w:space="0" w:color="000000"/>
              <w:right w:val="single" w:sz="8" w:space="0" w:color="000000"/>
            </w:tcBorders>
          </w:tcPr>
          <w:p w:rsidR="00E8309B" w:rsidRDefault="009D0949">
            <w:pPr>
              <w:spacing w:after="0" w:line="259" w:lineRule="auto"/>
              <w:ind w:left="57" w:right="0" w:firstLine="0"/>
              <w:jc w:val="center"/>
            </w:pPr>
            <w:r>
              <w:rPr>
                <w:sz w:val="20"/>
              </w:rPr>
              <w:t xml:space="preserve">TE [1] </w:t>
            </w:r>
          </w:p>
        </w:tc>
        <w:tc>
          <w:tcPr>
            <w:tcW w:w="1354" w:type="dxa"/>
            <w:gridSpan w:val="2"/>
            <w:tcBorders>
              <w:top w:val="dashed" w:sz="4" w:space="0" w:color="000000"/>
              <w:left w:val="single" w:sz="8" w:space="0" w:color="000000"/>
              <w:bottom w:val="dashed" w:sz="4" w:space="0" w:color="000000"/>
              <w:right w:val="single" w:sz="8" w:space="0" w:color="000000"/>
            </w:tcBorders>
          </w:tcPr>
          <w:p w:rsidR="00E8309B" w:rsidRDefault="009D0949">
            <w:pPr>
              <w:spacing w:after="0" w:line="259" w:lineRule="auto"/>
              <w:ind w:left="0" w:right="52" w:firstLine="0"/>
              <w:jc w:val="right"/>
            </w:pPr>
            <w:r>
              <w:rPr>
                <w:sz w:val="20"/>
              </w:rPr>
              <w:t xml:space="preserve">2.289,6719 </w:t>
            </w:r>
          </w:p>
        </w:tc>
        <w:tc>
          <w:tcPr>
            <w:tcW w:w="1287" w:type="dxa"/>
            <w:gridSpan w:val="2"/>
            <w:tcBorders>
              <w:top w:val="dashed" w:sz="4" w:space="0" w:color="000000"/>
              <w:left w:val="single" w:sz="8" w:space="0" w:color="000000"/>
              <w:bottom w:val="dashed" w:sz="4" w:space="0" w:color="000000"/>
              <w:right w:val="dashed" w:sz="4" w:space="0" w:color="000000"/>
            </w:tcBorders>
          </w:tcPr>
          <w:p w:rsidR="00E8309B" w:rsidRDefault="009D0949">
            <w:pPr>
              <w:spacing w:after="0" w:line="259" w:lineRule="auto"/>
              <w:ind w:left="0" w:right="50" w:firstLine="0"/>
              <w:jc w:val="right"/>
            </w:pPr>
            <w:r>
              <w:rPr>
                <w:sz w:val="20"/>
              </w:rPr>
              <w:t xml:space="preserve">42,3 </w:t>
            </w:r>
          </w:p>
        </w:tc>
        <w:tc>
          <w:tcPr>
            <w:tcW w:w="1032" w:type="dxa"/>
            <w:gridSpan w:val="2"/>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49" w:firstLine="0"/>
              <w:jc w:val="right"/>
            </w:pPr>
            <w:r>
              <w:rPr>
                <w:sz w:val="20"/>
              </w:rPr>
              <w:t xml:space="preserve">49,2 </w:t>
            </w:r>
          </w:p>
        </w:tc>
        <w:tc>
          <w:tcPr>
            <w:tcW w:w="1034" w:type="dxa"/>
            <w:gridSpan w:val="2"/>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49" w:firstLine="0"/>
              <w:jc w:val="right"/>
            </w:pPr>
            <w:r>
              <w:rPr>
                <w:sz w:val="20"/>
              </w:rPr>
              <w:t xml:space="preserve">43,4 </w:t>
            </w:r>
          </w:p>
        </w:tc>
        <w:tc>
          <w:tcPr>
            <w:tcW w:w="1032" w:type="dxa"/>
            <w:gridSpan w:val="2"/>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49" w:firstLine="0"/>
              <w:jc w:val="right"/>
            </w:pPr>
            <w:r>
              <w:rPr>
                <w:sz w:val="20"/>
              </w:rPr>
              <w:t xml:space="preserve">42,1 </w:t>
            </w:r>
          </w:p>
        </w:tc>
        <w:tc>
          <w:tcPr>
            <w:tcW w:w="794" w:type="dxa"/>
            <w:gridSpan w:val="2"/>
            <w:tcBorders>
              <w:top w:val="dashed" w:sz="4" w:space="0" w:color="000000"/>
              <w:left w:val="dashed" w:sz="4" w:space="0" w:color="000000"/>
              <w:bottom w:val="dashed" w:sz="4" w:space="0" w:color="000000"/>
              <w:right w:val="double" w:sz="6" w:space="0" w:color="000000"/>
            </w:tcBorders>
          </w:tcPr>
          <w:p w:rsidR="00E8309B" w:rsidRDefault="009D0949">
            <w:pPr>
              <w:spacing w:after="0" w:line="259" w:lineRule="auto"/>
              <w:ind w:left="0" w:right="52" w:firstLine="0"/>
              <w:jc w:val="right"/>
            </w:pPr>
            <w:r>
              <w:rPr>
                <w:sz w:val="20"/>
              </w:rPr>
              <w:t xml:space="preserve">40,7 </w:t>
            </w:r>
          </w:p>
        </w:tc>
      </w:tr>
      <w:tr w:rsidR="00E8309B">
        <w:trPr>
          <w:trHeight w:val="384"/>
        </w:trPr>
        <w:tc>
          <w:tcPr>
            <w:tcW w:w="5927" w:type="dxa"/>
            <w:tcBorders>
              <w:top w:val="dashed" w:sz="4" w:space="0" w:color="000000"/>
              <w:left w:val="double" w:sz="6" w:space="0" w:color="000000"/>
              <w:bottom w:val="double" w:sz="6" w:space="0" w:color="000000"/>
              <w:right w:val="nil"/>
            </w:tcBorders>
            <w:vAlign w:val="bottom"/>
          </w:tcPr>
          <w:p w:rsidR="00E8309B" w:rsidRDefault="009D0949">
            <w:pPr>
              <w:spacing w:after="0" w:line="259" w:lineRule="auto"/>
              <w:ind w:left="110" w:right="0" w:firstLine="0"/>
              <w:jc w:val="left"/>
            </w:pPr>
            <w:r>
              <w:rPr>
                <w:sz w:val="20"/>
              </w:rPr>
              <w:t xml:space="preserve">Информативно: Зараде и накнаде запосленима у јавном сектору </w:t>
            </w:r>
          </w:p>
        </w:tc>
        <w:tc>
          <w:tcPr>
            <w:tcW w:w="960" w:type="dxa"/>
            <w:gridSpan w:val="3"/>
            <w:tcBorders>
              <w:top w:val="dashed" w:sz="4" w:space="0" w:color="000000"/>
              <w:left w:val="nil"/>
              <w:bottom w:val="double" w:sz="6" w:space="0" w:color="000000"/>
              <w:right w:val="dashed" w:sz="4" w:space="0" w:color="000000"/>
            </w:tcBorders>
          </w:tcPr>
          <w:p w:rsidR="00E8309B" w:rsidRDefault="00E8309B">
            <w:pPr>
              <w:spacing w:after="160" w:line="259" w:lineRule="auto"/>
              <w:ind w:left="0" w:right="0" w:firstLine="0"/>
              <w:jc w:val="left"/>
            </w:pPr>
          </w:p>
        </w:tc>
        <w:tc>
          <w:tcPr>
            <w:tcW w:w="1152" w:type="dxa"/>
            <w:gridSpan w:val="2"/>
            <w:tcBorders>
              <w:top w:val="dashed" w:sz="4" w:space="0" w:color="000000"/>
              <w:left w:val="dashed" w:sz="4" w:space="0" w:color="000000"/>
              <w:bottom w:val="double" w:sz="6" w:space="0" w:color="000000"/>
              <w:right w:val="single" w:sz="8" w:space="0" w:color="000000"/>
            </w:tcBorders>
            <w:vAlign w:val="bottom"/>
          </w:tcPr>
          <w:p w:rsidR="00E8309B" w:rsidRDefault="009D0949">
            <w:pPr>
              <w:spacing w:after="0" w:line="259" w:lineRule="auto"/>
              <w:ind w:left="55" w:right="0" w:firstLine="0"/>
              <w:jc w:val="center"/>
            </w:pPr>
            <w:r>
              <w:rPr>
                <w:sz w:val="20"/>
              </w:rPr>
              <w:t xml:space="preserve">D1 </w:t>
            </w:r>
          </w:p>
        </w:tc>
        <w:tc>
          <w:tcPr>
            <w:tcW w:w="1354" w:type="dxa"/>
            <w:gridSpan w:val="2"/>
            <w:tcBorders>
              <w:top w:val="dashed" w:sz="4" w:space="0" w:color="000000"/>
              <w:left w:val="single" w:sz="8" w:space="0" w:color="000000"/>
              <w:bottom w:val="double" w:sz="6" w:space="0" w:color="000000"/>
              <w:right w:val="single" w:sz="8" w:space="0" w:color="000000"/>
            </w:tcBorders>
            <w:vAlign w:val="bottom"/>
          </w:tcPr>
          <w:p w:rsidR="00E8309B" w:rsidRDefault="009D0949">
            <w:pPr>
              <w:spacing w:after="0" w:line="259" w:lineRule="auto"/>
              <w:ind w:left="0" w:right="52" w:firstLine="0"/>
              <w:jc w:val="right"/>
            </w:pPr>
            <w:r>
              <w:rPr>
                <w:sz w:val="20"/>
              </w:rPr>
              <w:t xml:space="preserve">516,2982 </w:t>
            </w:r>
          </w:p>
        </w:tc>
        <w:tc>
          <w:tcPr>
            <w:tcW w:w="1287" w:type="dxa"/>
            <w:gridSpan w:val="2"/>
            <w:tcBorders>
              <w:top w:val="dashed" w:sz="4" w:space="0" w:color="000000"/>
              <w:left w:val="single" w:sz="8" w:space="0" w:color="000000"/>
              <w:bottom w:val="double" w:sz="6" w:space="0" w:color="000000"/>
              <w:right w:val="dashed" w:sz="4" w:space="0" w:color="000000"/>
            </w:tcBorders>
            <w:vAlign w:val="bottom"/>
          </w:tcPr>
          <w:p w:rsidR="00E8309B" w:rsidRDefault="009D0949">
            <w:pPr>
              <w:spacing w:after="0" w:line="259" w:lineRule="auto"/>
              <w:ind w:left="0" w:right="50" w:firstLine="0"/>
              <w:jc w:val="right"/>
            </w:pPr>
            <w:r>
              <w:rPr>
                <w:sz w:val="20"/>
              </w:rPr>
              <w:t xml:space="preserve">9,5 </w:t>
            </w:r>
          </w:p>
        </w:tc>
        <w:tc>
          <w:tcPr>
            <w:tcW w:w="1032" w:type="dxa"/>
            <w:gridSpan w:val="2"/>
            <w:tcBorders>
              <w:top w:val="dashed" w:sz="4" w:space="0" w:color="000000"/>
              <w:left w:val="dashed" w:sz="4" w:space="0" w:color="000000"/>
              <w:bottom w:val="double" w:sz="6" w:space="0" w:color="000000"/>
              <w:right w:val="dashed" w:sz="4" w:space="0" w:color="000000"/>
            </w:tcBorders>
            <w:vAlign w:val="bottom"/>
          </w:tcPr>
          <w:p w:rsidR="00E8309B" w:rsidRDefault="009D0949">
            <w:pPr>
              <w:spacing w:after="0" w:line="259" w:lineRule="auto"/>
              <w:ind w:left="0" w:right="49" w:firstLine="0"/>
              <w:jc w:val="right"/>
            </w:pPr>
            <w:r>
              <w:rPr>
                <w:sz w:val="20"/>
              </w:rPr>
              <w:t xml:space="preserve">10,4 </w:t>
            </w:r>
          </w:p>
        </w:tc>
        <w:tc>
          <w:tcPr>
            <w:tcW w:w="1034" w:type="dxa"/>
            <w:gridSpan w:val="2"/>
            <w:tcBorders>
              <w:top w:val="dashed" w:sz="4" w:space="0" w:color="000000"/>
              <w:left w:val="dashed" w:sz="4" w:space="0" w:color="000000"/>
              <w:bottom w:val="double" w:sz="6" w:space="0" w:color="000000"/>
              <w:right w:val="dashed" w:sz="4" w:space="0" w:color="000000"/>
            </w:tcBorders>
            <w:vAlign w:val="bottom"/>
          </w:tcPr>
          <w:p w:rsidR="00E8309B" w:rsidRDefault="009D0949">
            <w:pPr>
              <w:spacing w:after="0" w:line="259" w:lineRule="auto"/>
              <w:ind w:left="0" w:right="49" w:firstLine="0"/>
              <w:jc w:val="right"/>
            </w:pPr>
            <w:r>
              <w:rPr>
                <w:sz w:val="20"/>
              </w:rPr>
              <w:t xml:space="preserve">10,0 </w:t>
            </w:r>
          </w:p>
        </w:tc>
        <w:tc>
          <w:tcPr>
            <w:tcW w:w="1032" w:type="dxa"/>
            <w:gridSpan w:val="2"/>
            <w:tcBorders>
              <w:top w:val="dashed" w:sz="4" w:space="0" w:color="000000"/>
              <w:left w:val="dashed" w:sz="4" w:space="0" w:color="000000"/>
              <w:bottom w:val="double" w:sz="6" w:space="0" w:color="000000"/>
              <w:right w:val="dashed" w:sz="4" w:space="0" w:color="000000"/>
            </w:tcBorders>
            <w:vAlign w:val="bottom"/>
          </w:tcPr>
          <w:p w:rsidR="00E8309B" w:rsidRDefault="009D0949">
            <w:pPr>
              <w:spacing w:after="0" w:line="259" w:lineRule="auto"/>
              <w:ind w:left="0" w:right="49" w:firstLine="0"/>
              <w:jc w:val="right"/>
            </w:pPr>
            <w:r>
              <w:rPr>
                <w:sz w:val="20"/>
              </w:rPr>
              <w:t xml:space="preserve">9,8 </w:t>
            </w:r>
          </w:p>
        </w:tc>
        <w:tc>
          <w:tcPr>
            <w:tcW w:w="794" w:type="dxa"/>
            <w:gridSpan w:val="2"/>
            <w:tcBorders>
              <w:top w:val="dashed" w:sz="4" w:space="0" w:color="000000"/>
              <w:left w:val="dashed" w:sz="4" w:space="0" w:color="000000"/>
              <w:bottom w:val="double" w:sz="6" w:space="0" w:color="000000"/>
              <w:right w:val="double" w:sz="6" w:space="0" w:color="000000"/>
            </w:tcBorders>
            <w:vAlign w:val="bottom"/>
          </w:tcPr>
          <w:p w:rsidR="00E8309B" w:rsidRDefault="009D0949">
            <w:pPr>
              <w:spacing w:after="0" w:line="259" w:lineRule="auto"/>
              <w:ind w:left="0" w:right="51" w:firstLine="0"/>
              <w:jc w:val="right"/>
            </w:pPr>
            <w:r>
              <w:rPr>
                <w:sz w:val="20"/>
              </w:rPr>
              <w:t xml:space="preserve">9,6 </w:t>
            </w:r>
          </w:p>
        </w:tc>
      </w:tr>
    </w:tbl>
    <w:p w:rsidR="00E8309B" w:rsidRDefault="009D0949">
      <w:pPr>
        <w:numPr>
          <w:ilvl w:val="0"/>
          <w:numId w:val="55"/>
        </w:numPr>
        <w:spacing w:after="13" w:line="269" w:lineRule="auto"/>
        <w:ind w:right="0" w:hanging="385"/>
        <w:jc w:val="left"/>
      </w:pPr>
      <w:r>
        <w:rPr>
          <w:sz w:val="20"/>
        </w:rPr>
        <w:t xml:space="preserve">Коригован за следећи ток по основу свопова, тако да је TR-TE = EDP.B9. </w:t>
      </w:r>
      <w:r>
        <w:rPr>
          <w:sz w:val="20"/>
        </w:rPr>
        <w:tab/>
        <w:t xml:space="preserve"> </w:t>
      </w:r>
      <w:r>
        <w:rPr>
          <w:sz w:val="20"/>
        </w:rPr>
        <w:tab/>
        <w:t xml:space="preserve"> </w:t>
      </w:r>
      <w:r>
        <w:rPr>
          <w:sz w:val="20"/>
        </w:rPr>
        <w:tab/>
        <w:t xml:space="preserve"> </w:t>
      </w:r>
      <w:r>
        <w:rPr>
          <w:sz w:val="20"/>
        </w:rPr>
        <w:tab/>
        <w:t xml:space="preserve"> </w:t>
      </w:r>
      <w:r>
        <w:rPr>
          <w:sz w:val="20"/>
        </w:rPr>
        <w:tab/>
        <w:t xml:space="preserve"> </w:t>
      </w:r>
      <w:r>
        <w:rPr>
          <w:sz w:val="20"/>
        </w:rPr>
        <w:tab/>
        <w:t xml:space="preserve"> </w:t>
      </w:r>
      <w:r>
        <w:rPr>
          <w:sz w:val="20"/>
        </w:rPr>
        <w:tab/>
        <w:t xml:space="preserve"> </w:t>
      </w:r>
    </w:p>
    <w:p w:rsidR="00E8309B" w:rsidRDefault="009D0949">
      <w:pPr>
        <w:numPr>
          <w:ilvl w:val="0"/>
          <w:numId w:val="55"/>
        </w:numPr>
        <w:spacing w:after="13" w:line="269" w:lineRule="auto"/>
        <w:ind w:right="0" w:hanging="385"/>
        <w:jc w:val="left"/>
      </w:pPr>
      <w:r>
        <w:rPr>
          <w:sz w:val="20"/>
        </w:rPr>
        <w:t xml:space="preserve">Примарни резултат се израчунава као (EDP.B9, ставка 8) плус (EDP D41 + FISIM приказан као међуфазна потрошња, ставка 9). </w:t>
      </w:r>
      <w:r>
        <w:rPr>
          <w:sz w:val="20"/>
        </w:rPr>
        <w:tab/>
        <w:t xml:space="preserve"> </w:t>
      </w:r>
      <w:r>
        <w:rPr>
          <w:sz w:val="20"/>
        </w:rPr>
        <w:tab/>
        <w:t xml:space="preserve"> </w:t>
      </w:r>
      <w:r>
        <w:rPr>
          <w:sz w:val="20"/>
        </w:rPr>
        <w:tab/>
        <w:t xml:space="preserve"> </w:t>
      </w:r>
    </w:p>
    <w:p w:rsidR="00E8309B" w:rsidRDefault="009D0949">
      <w:pPr>
        <w:numPr>
          <w:ilvl w:val="0"/>
          <w:numId w:val="55"/>
        </w:numPr>
        <w:spacing w:after="13" w:line="269" w:lineRule="auto"/>
        <w:ind w:right="0" w:hanging="385"/>
        <w:jc w:val="left"/>
      </w:pPr>
      <w:r>
        <w:rPr>
          <w:sz w:val="20"/>
        </w:rPr>
        <w:t>Позитиван знак значи једнократне мере за с</w:t>
      </w:r>
      <w:r>
        <w:rPr>
          <w:sz w:val="20"/>
        </w:rPr>
        <w:t xml:space="preserve">мањење дефицита.  </w:t>
      </w:r>
      <w:r>
        <w:rPr>
          <w:sz w:val="20"/>
        </w:rPr>
        <w:tab/>
        <w:t xml:space="preserve"> </w:t>
      </w:r>
      <w:r>
        <w:rPr>
          <w:sz w:val="20"/>
        </w:rPr>
        <w:tab/>
        <w:t xml:space="preserve"> </w:t>
      </w:r>
      <w:r>
        <w:rPr>
          <w:sz w:val="20"/>
        </w:rPr>
        <w:tab/>
        <w:t xml:space="preserve"> </w:t>
      </w:r>
      <w:r>
        <w:rPr>
          <w:sz w:val="20"/>
        </w:rPr>
        <w:tab/>
        <w:t xml:space="preserve"> </w:t>
      </w:r>
      <w:r>
        <w:rPr>
          <w:sz w:val="20"/>
        </w:rPr>
        <w:tab/>
        <w:t xml:space="preserve"> </w:t>
      </w:r>
      <w:r>
        <w:rPr>
          <w:sz w:val="20"/>
        </w:rPr>
        <w:tab/>
        <w:t xml:space="preserve"> </w:t>
      </w:r>
    </w:p>
    <w:p w:rsidR="00E8309B" w:rsidRDefault="009D0949">
      <w:pPr>
        <w:numPr>
          <w:ilvl w:val="0"/>
          <w:numId w:val="55"/>
        </w:numPr>
        <w:spacing w:after="13" w:line="269" w:lineRule="auto"/>
        <w:ind w:right="0" w:hanging="385"/>
        <w:jc w:val="left"/>
      </w:pPr>
      <w:r>
        <w:rPr>
          <w:sz w:val="20"/>
        </w:rPr>
        <w:t xml:space="preserve">P.11+P.12+P.131+D.39+D.7+D.9 (осим D.91).  </w:t>
      </w:r>
      <w:r>
        <w:rPr>
          <w:sz w:val="20"/>
        </w:rPr>
        <w:tab/>
        <w:t xml:space="preserve"> </w:t>
      </w:r>
      <w:r>
        <w:rPr>
          <w:sz w:val="20"/>
        </w:rPr>
        <w:tab/>
        <w:t xml:space="preserve"> </w:t>
      </w:r>
      <w:r>
        <w:rPr>
          <w:sz w:val="20"/>
        </w:rPr>
        <w:tab/>
        <w:t xml:space="preserve"> </w:t>
      </w:r>
      <w:r>
        <w:rPr>
          <w:sz w:val="20"/>
        </w:rPr>
        <w:tab/>
        <w:t xml:space="preserve"> </w:t>
      </w:r>
      <w:r>
        <w:rPr>
          <w:sz w:val="20"/>
        </w:rPr>
        <w:tab/>
        <w:t xml:space="preserve"> </w:t>
      </w:r>
      <w:r>
        <w:rPr>
          <w:sz w:val="20"/>
        </w:rPr>
        <w:tab/>
        <w:t xml:space="preserve"> </w:t>
      </w:r>
    </w:p>
    <w:p w:rsidR="00E8309B" w:rsidRDefault="009D0949">
      <w:pPr>
        <w:numPr>
          <w:ilvl w:val="0"/>
          <w:numId w:val="55"/>
        </w:numPr>
        <w:spacing w:after="13" w:line="269" w:lineRule="auto"/>
        <w:ind w:right="0" w:hanging="385"/>
        <w:jc w:val="left"/>
      </w:pPr>
      <w:r>
        <w:rPr>
          <w:sz w:val="20"/>
        </w:rPr>
        <w:t xml:space="preserve">Укључујући оне које наплаћује ЕУ и укључујући корекцију за ненаплаћене порезе и доприносе за социјално осигурање (D995), где је то случај. </w:t>
      </w:r>
      <w:r>
        <w:rPr>
          <w:sz w:val="20"/>
        </w:rPr>
        <w:tab/>
        <w:t xml:space="preserve"> </w:t>
      </w:r>
    </w:p>
    <w:p w:rsidR="00E8309B" w:rsidRDefault="009D0949">
      <w:pPr>
        <w:numPr>
          <w:ilvl w:val="0"/>
          <w:numId w:val="55"/>
        </w:numPr>
        <w:spacing w:after="0" w:line="259" w:lineRule="auto"/>
        <w:ind w:right="0" w:hanging="385"/>
        <w:jc w:val="left"/>
      </w:pPr>
      <w:r>
        <w:rPr>
          <w:sz w:val="20"/>
        </w:rPr>
        <w:t>D.29+D4 (осим D.41)+ D.5+D.</w:t>
      </w:r>
      <w:r>
        <w:rPr>
          <w:sz w:val="20"/>
        </w:rPr>
        <w:t xml:space="preserve">7+D.9+P.52+P.53+K.2+D.8 </w:t>
      </w:r>
      <w:r>
        <w:rPr>
          <w:sz w:val="20"/>
        </w:rPr>
        <w:tab/>
        <w:t xml:space="preserve"> </w:t>
      </w:r>
      <w:r>
        <w:rPr>
          <w:sz w:val="20"/>
        </w:rPr>
        <w:tab/>
        <w:t xml:space="preserve"> </w:t>
      </w:r>
      <w:r>
        <w:rPr>
          <w:sz w:val="20"/>
        </w:rPr>
        <w:tab/>
        <w:t xml:space="preserve"> </w:t>
      </w:r>
      <w:r>
        <w:rPr>
          <w:sz w:val="20"/>
        </w:rPr>
        <w:tab/>
        <w:t xml:space="preserve"> </w:t>
      </w:r>
      <w:r>
        <w:rPr>
          <w:sz w:val="20"/>
        </w:rPr>
        <w:tab/>
        <w:t xml:space="preserve"> </w:t>
      </w:r>
      <w:r>
        <w:rPr>
          <w:sz w:val="20"/>
        </w:rPr>
        <w:tab/>
        <w:t xml:space="preserve"> </w:t>
      </w:r>
      <w:r>
        <w:rPr>
          <w:sz w:val="20"/>
        </w:rPr>
        <w:tab/>
      </w:r>
      <w:r>
        <w:rPr>
          <w:sz w:val="22"/>
        </w:rPr>
        <w:t xml:space="preserve"> </w:t>
      </w:r>
      <w:r>
        <w:rPr>
          <w:sz w:val="22"/>
        </w:rPr>
        <w:tab/>
        <w:t xml:space="preserve"> </w:t>
      </w:r>
      <w:r>
        <w:rPr>
          <w:b/>
          <w:sz w:val="20"/>
        </w:rPr>
        <w:t xml:space="preserve">Taбела 2b: Буџетски изгледи општег нивоа државе </w:t>
      </w:r>
      <w:r>
        <w:rPr>
          <w:b/>
          <w:sz w:val="20"/>
        </w:rPr>
        <w:tab/>
        <w:t xml:space="preserve">  </w:t>
      </w:r>
      <w:r>
        <w:rPr>
          <w:b/>
          <w:sz w:val="20"/>
        </w:rPr>
        <w:tab/>
        <w:t xml:space="preserve">  </w:t>
      </w:r>
      <w:r>
        <w:rPr>
          <w:b/>
          <w:sz w:val="20"/>
        </w:rPr>
        <w:tab/>
        <w:t xml:space="preserve">  </w:t>
      </w:r>
      <w:r>
        <w:rPr>
          <w:b/>
          <w:sz w:val="20"/>
        </w:rPr>
        <w:tab/>
        <w:t xml:space="preserve">  </w:t>
      </w:r>
      <w:r>
        <w:rPr>
          <w:b/>
          <w:sz w:val="20"/>
        </w:rPr>
        <w:tab/>
        <w:t xml:space="preserve">Република Србија </w:t>
      </w:r>
    </w:p>
    <w:tbl>
      <w:tblPr>
        <w:tblStyle w:val="TableGrid"/>
        <w:tblW w:w="14573" w:type="dxa"/>
        <w:tblInd w:w="0" w:type="dxa"/>
        <w:tblCellMar>
          <w:top w:w="10" w:type="dxa"/>
          <w:left w:w="0" w:type="dxa"/>
          <w:bottom w:w="0" w:type="dxa"/>
          <w:right w:w="0" w:type="dxa"/>
        </w:tblCellMar>
        <w:tblLook w:val="04A0" w:firstRow="1" w:lastRow="0" w:firstColumn="1" w:lastColumn="0" w:noHBand="0" w:noVBand="1"/>
      </w:tblPr>
      <w:tblGrid>
        <w:gridCol w:w="5581"/>
        <w:gridCol w:w="1560"/>
        <w:gridCol w:w="1145"/>
        <w:gridCol w:w="1169"/>
        <w:gridCol w:w="1169"/>
        <w:gridCol w:w="1169"/>
        <w:gridCol w:w="1169"/>
        <w:gridCol w:w="1611"/>
      </w:tblGrid>
      <w:tr w:rsidR="00E8309B">
        <w:trPr>
          <w:trHeight w:val="272"/>
        </w:trPr>
        <w:tc>
          <w:tcPr>
            <w:tcW w:w="5581" w:type="dxa"/>
            <w:vMerge w:val="restart"/>
            <w:tcBorders>
              <w:top w:val="double" w:sz="6" w:space="0" w:color="000000"/>
              <w:left w:val="double" w:sz="6" w:space="0" w:color="000000"/>
              <w:bottom w:val="single" w:sz="18" w:space="0" w:color="FFFFFF"/>
              <w:right w:val="nil"/>
            </w:tcBorders>
            <w:vAlign w:val="center"/>
          </w:tcPr>
          <w:p w:rsidR="00E8309B" w:rsidRDefault="009D0949">
            <w:pPr>
              <w:spacing w:after="0" w:line="259" w:lineRule="auto"/>
              <w:ind w:left="110" w:right="0" w:firstLine="0"/>
              <w:jc w:val="left"/>
            </w:pPr>
            <w:r>
              <w:rPr>
                <w:sz w:val="20"/>
              </w:rPr>
              <w:t xml:space="preserve">  </w:t>
            </w:r>
          </w:p>
        </w:tc>
        <w:tc>
          <w:tcPr>
            <w:tcW w:w="1560" w:type="dxa"/>
            <w:vMerge w:val="restart"/>
            <w:tcBorders>
              <w:top w:val="double" w:sz="6" w:space="0" w:color="000000"/>
              <w:left w:val="nil"/>
              <w:bottom w:val="nil"/>
              <w:right w:val="single" w:sz="8" w:space="0" w:color="000000"/>
            </w:tcBorders>
            <w:vAlign w:val="bottom"/>
          </w:tcPr>
          <w:p w:rsidR="00E8309B" w:rsidRDefault="009D0949">
            <w:pPr>
              <w:spacing w:after="0" w:line="259" w:lineRule="auto"/>
              <w:ind w:left="0" w:right="87" w:firstLine="0"/>
              <w:jc w:val="right"/>
            </w:pPr>
            <w:r>
              <w:rPr>
                <w:sz w:val="20"/>
              </w:rPr>
              <w:t xml:space="preserve">  </w:t>
            </w:r>
          </w:p>
        </w:tc>
        <w:tc>
          <w:tcPr>
            <w:tcW w:w="1145" w:type="dxa"/>
            <w:vMerge w:val="restart"/>
            <w:tcBorders>
              <w:top w:val="double" w:sz="6" w:space="0" w:color="000000"/>
              <w:left w:val="single" w:sz="8" w:space="0" w:color="000000"/>
              <w:bottom w:val="single" w:sz="8" w:space="0" w:color="000000"/>
              <w:right w:val="single" w:sz="8" w:space="0" w:color="000000"/>
            </w:tcBorders>
            <w:vAlign w:val="center"/>
          </w:tcPr>
          <w:p w:rsidR="00E8309B" w:rsidRDefault="009D0949">
            <w:pPr>
              <w:spacing w:after="0" w:line="259" w:lineRule="auto"/>
              <w:ind w:left="95" w:right="48" w:firstLine="0"/>
              <w:jc w:val="center"/>
            </w:pPr>
            <w:r>
              <w:rPr>
                <w:sz w:val="20"/>
              </w:rPr>
              <w:t xml:space="preserve">ESA шифра </w:t>
            </w:r>
          </w:p>
        </w:tc>
        <w:tc>
          <w:tcPr>
            <w:tcW w:w="1169" w:type="dxa"/>
            <w:tcBorders>
              <w:top w:val="double" w:sz="6" w:space="0" w:color="000000"/>
              <w:left w:val="single" w:sz="8" w:space="0" w:color="000000"/>
              <w:bottom w:val="single" w:sz="18" w:space="0" w:color="FFFFFF"/>
              <w:right w:val="dashed" w:sz="4" w:space="0" w:color="000000"/>
            </w:tcBorders>
          </w:tcPr>
          <w:p w:rsidR="00E8309B" w:rsidRDefault="009D0949">
            <w:pPr>
              <w:spacing w:after="0" w:line="259" w:lineRule="auto"/>
              <w:ind w:left="5" w:right="0" w:firstLine="0"/>
              <w:jc w:val="center"/>
            </w:pPr>
            <w:r>
              <w:rPr>
                <w:sz w:val="20"/>
              </w:rPr>
              <w:t xml:space="preserve">год. </w:t>
            </w:r>
          </w:p>
        </w:tc>
        <w:tc>
          <w:tcPr>
            <w:tcW w:w="1169" w:type="dxa"/>
            <w:vMerge w:val="restart"/>
            <w:tcBorders>
              <w:top w:val="double" w:sz="6" w:space="0" w:color="000000"/>
              <w:left w:val="dashed" w:sz="4" w:space="0" w:color="000000"/>
              <w:bottom w:val="dashed" w:sz="4" w:space="0" w:color="000000"/>
              <w:right w:val="dashed" w:sz="4" w:space="0" w:color="000000"/>
            </w:tcBorders>
          </w:tcPr>
          <w:p w:rsidR="00E8309B" w:rsidRDefault="009D0949">
            <w:pPr>
              <w:spacing w:after="70" w:line="259" w:lineRule="auto"/>
              <w:ind w:left="4" w:right="0" w:firstLine="0"/>
              <w:jc w:val="center"/>
            </w:pPr>
            <w:r>
              <w:rPr>
                <w:sz w:val="20"/>
              </w:rPr>
              <w:t xml:space="preserve">год. </w:t>
            </w:r>
          </w:p>
          <w:p w:rsidR="00E8309B" w:rsidRDefault="009D0949">
            <w:pPr>
              <w:spacing w:after="0" w:line="259" w:lineRule="auto"/>
              <w:ind w:left="5" w:right="0" w:firstLine="0"/>
              <w:jc w:val="center"/>
            </w:pPr>
            <w:r>
              <w:rPr>
                <w:sz w:val="20"/>
              </w:rPr>
              <w:t xml:space="preserve">2020 </w:t>
            </w:r>
          </w:p>
        </w:tc>
        <w:tc>
          <w:tcPr>
            <w:tcW w:w="1169" w:type="dxa"/>
            <w:vMerge w:val="restart"/>
            <w:tcBorders>
              <w:top w:val="double" w:sz="6" w:space="0" w:color="000000"/>
              <w:left w:val="dashed" w:sz="4" w:space="0" w:color="000000"/>
              <w:bottom w:val="dashed" w:sz="4" w:space="0" w:color="000000"/>
              <w:right w:val="dashed" w:sz="4" w:space="0" w:color="000000"/>
            </w:tcBorders>
          </w:tcPr>
          <w:p w:rsidR="00E8309B" w:rsidRDefault="009D0949">
            <w:pPr>
              <w:spacing w:after="70" w:line="259" w:lineRule="auto"/>
              <w:ind w:left="5" w:right="0" w:firstLine="0"/>
              <w:jc w:val="center"/>
            </w:pPr>
            <w:r>
              <w:rPr>
                <w:sz w:val="20"/>
              </w:rPr>
              <w:t xml:space="preserve">год. </w:t>
            </w:r>
          </w:p>
          <w:p w:rsidR="00E8309B" w:rsidRDefault="009D0949">
            <w:pPr>
              <w:spacing w:after="0" w:line="259" w:lineRule="auto"/>
              <w:ind w:left="6" w:right="0" w:firstLine="0"/>
              <w:jc w:val="center"/>
            </w:pPr>
            <w:r>
              <w:rPr>
                <w:sz w:val="20"/>
              </w:rPr>
              <w:t xml:space="preserve">2021 </w:t>
            </w:r>
          </w:p>
        </w:tc>
        <w:tc>
          <w:tcPr>
            <w:tcW w:w="1169" w:type="dxa"/>
            <w:vMerge w:val="restart"/>
            <w:tcBorders>
              <w:top w:val="double" w:sz="6" w:space="0" w:color="000000"/>
              <w:left w:val="dashed" w:sz="4" w:space="0" w:color="000000"/>
              <w:bottom w:val="dashed" w:sz="4" w:space="0" w:color="000000"/>
              <w:right w:val="dashed" w:sz="4" w:space="0" w:color="000000"/>
            </w:tcBorders>
          </w:tcPr>
          <w:p w:rsidR="00E8309B" w:rsidRDefault="009D0949">
            <w:pPr>
              <w:spacing w:after="70" w:line="259" w:lineRule="auto"/>
              <w:ind w:left="5" w:right="0" w:firstLine="0"/>
              <w:jc w:val="center"/>
            </w:pPr>
            <w:r>
              <w:rPr>
                <w:sz w:val="20"/>
              </w:rPr>
              <w:t xml:space="preserve">год. </w:t>
            </w:r>
          </w:p>
          <w:p w:rsidR="00E8309B" w:rsidRDefault="009D0949">
            <w:pPr>
              <w:spacing w:after="0" w:line="259" w:lineRule="auto"/>
              <w:ind w:left="6" w:right="0" w:firstLine="0"/>
              <w:jc w:val="center"/>
            </w:pPr>
            <w:r>
              <w:rPr>
                <w:sz w:val="20"/>
              </w:rPr>
              <w:t xml:space="preserve">2022 </w:t>
            </w:r>
          </w:p>
        </w:tc>
        <w:tc>
          <w:tcPr>
            <w:tcW w:w="1611" w:type="dxa"/>
            <w:vMerge w:val="restart"/>
            <w:tcBorders>
              <w:top w:val="double" w:sz="6" w:space="0" w:color="000000"/>
              <w:left w:val="dashed" w:sz="4" w:space="0" w:color="000000"/>
              <w:bottom w:val="dashed" w:sz="4" w:space="0" w:color="000000"/>
              <w:right w:val="double" w:sz="6" w:space="0" w:color="000000"/>
            </w:tcBorders>
          </w:tcPr>
          <w:p w:rsidR="00E8309B" w:rsidRDefault="009D0949">
            <w:pPr>
              <w:spacing w:after="70" w:line="259" w:lineRule="auto"/>
              <w:ind w:left="0" w:right="1" w:firstLine="0"/>
              <w:jc w:val="center"/>
            </w:pPr>
            <w:r>
              <w:rPr>
                <w:sz w:val="20"/>
              </w:rPr>
              <w:t xml:space="preserve">год. </w:t>
            </w:r>
          </w:p>
          <w:p w:rsidR="00E8309B" w:rsidRDefault="009D0949">
            <w:pPr>
              <w:spacing w:after="0" w:line="259" w:lineRule="auto"/>
              <w:ind w:left="1" w:right="0" w:firstLine="0"/>
              <w:jc w:val="center"/>
            </w:pPr>
            <w:r>
              <w:rPr>
                <w:sz w:val="20"/>
              </w:rPr>
              <w:t xml:space="preserve">2023 </w:t>
            </w:r>
          </w:p>
        </w:tc>
      </w:tr>
      <w:tr w:rsidR="00E8309B">
        <w:trPr>
          <w:trHeight w:val="357"/>
        </w:trPr>
        <w:tc>
          <w:tcPr>
            <w:tcW w:w="0" w:type="auto"/>
            <w:vMerge/>
            <w:tcBorders>
              <w:top w:val="nil"/>
              <w:left w:val="double" w:sz="6" w:space="0" w:color="000000"/>
              <w:bottom w:val="single" w:sz="18" w:space="0" w:color="FFFFFF"/>
              <w:right w:val="nil"/>
            </w:tcBorders>
          </w:tcPr>
          <w:p w:rsidR="00E8309B" w:rsidRDefault="00E8309B">
            <w:pPr>
              <w:spacing w:after="160" w:line="259" w:lineRule="auto"/>
              <w:ind w:left="0" w:right="0" w:firstLine="0"/>
              <w:jc w:val="left"/>
            </w:pPr>
          </w:p>
        </w:tc>
        <w:tc>
          <w:tcPr>
            <w:tcW w:w="0" w:type="auto"/>
            <w:vMerge/>
            <w:tcBorders>
              <w:top w:val="nil"/>
              <w:left w:val="nil"/>
              <w:bottom w:val="nil"/>
              <w:right w:val="single" w:sz="8" w:space="0" w:color="000000"/>
            </w:tcBorders>
          </w:tcPr>
          <w:p w:rsidR="00E8309B" w:rsidRDefault="00E8309B">
            <w:pPr>
              <w:spacing w:after="160" w:line="259" w:lineRule="auto"/>
              <w:ind w:left="0" w:right="0" w:firstLine="0"/>
              <w:jc w:val="left"/>
            </w:pPr>
          </w:p>
        </w:tc>
        <w:tc>
          <w:tcPr>
            <w:tcW w:w="0" w:type="auto"/>
            <w:vMerge/>
            <w:tcBorders>
              <w:top w:val="nil"/>
              <w:left w:val="single" w:sz="8" w:space="0" w:color="000000"/>
              <w:bottom w:val="nil"/>
              <w:right w:val="single" w:sz="8" w:space="0" w:color="000000"/>
            </w:tcBorders>
          </w:tcPr>
          <w:p w:rsidR="00E8309B" w:rsidRDefault="00E8309B">
            <w:pPr>
              <w:spacing w:after="160" w:line="259" w:lineRule="auto"/>
              <w:ind w:left="0" w:right="0" w:firstLine="0"/>
              <w:jc w:val="left"/>
            </w:pPr>
          </w:p>
        </w:tc>
        <w:tc>
          <w:tcPr>
            <w:tcW w:w="1169" w:type="dxa"/>
            <w:tcBorders>
              <w:top w:val="single" w:sz="18" w:space="0" w:color="FFFFFF"/>
              <w:left w:val="single" w:sz="8" w:space="0" w:color="000000"/>
              <w:bottom w:val="dashed" w:sz="4" w:space="0" w:color="000000"/>
              <w:right w:val="dashed" w:sz="4" w:space="0" w:color="000000"/>
            </w:tcBorders>
          </w:tcPr>
          <w:p w:rsidR="00E8309B" w:rsidRDefault="009D0949">
            <w:pPr>
              <w:spacing w:after="0" w:line="259" w:lineRule="auto"/>
              <w:ind w:left="6" w:right="0" w:firstLine="0"/>
              <w:jc w:val="center"/>
            </w:pPr>
            <w:r>
              <w:rPr>
                <w:sz w:val="20"/>
              </w:rPr>
              <w:t xml:space="preserve">2019 </w:t>
            </w:r>
          </w:p>
        </w:tc>
        <w:tc>
          <w:tcPr>
            <w:tcW w:w="0" w:type="auto"/>
            <w:vMerge/>
            <w:tcBorders>
              <w:top w:val="nil"/>
              <w:left w:val="dashed" w:sz="4" w:space="0" w:color="000000"/>
              <w:bottom w:val="dashed" w:sz="4" w:space="0" w:color="000000"/>
              <w:right w:val="dashed" w:sz="4" w:space="0" w:color="000000"/>
            </w:tcBorders>
          </w:tcPr>
          <w:p w:rsidR="00E8309B" w:rsidRDefault="00E8309B">
            <w:pPr>
              <w:spacing w:after="160" w:line="259" w:lineRule="auto"/>
              <w:ind w:left="0" w:right="0" w:firstLine="0"/>
              <w:jc w:val="left"/>
            </w:pPr>
          </w:p>
        </w:tc>
        <w:tc>
          <w:tcPr>
            <w:tcW w:w="0" w:type="auto"/>
            <w:vMerge/>
            <w:tcBorders>
              <w:top w:val="nil"/>
              <w:left w:val="dashed" w:sz="4" w:space="0" w:color="000000"/>
              <w:bottom w:val="dashed" w:sz="4" w:space="0" w:color="000000"/>
              <w:right w:val="dashed" w:sz="4" w:space="0" w:color="000000"/>
            </w:tcBorders>
          </w:tcPr>
          <w:p w:rsidR="00E8309B" w:rsidRDefault="00E8309B">
            <w:pPr>
              <w:spacing w:after="160" w:line="259" w:lineRule="auto"/>
              <w:ind w:left="0" w:right="0" w:firstLine="0"/>
              <w:jc w:val="left"/>
            </w:pPr>
          </w:p>
        </w:tc>
        <w:tc>
          <w:tcPr>
            <w:tcW w:w="0" w:type="auto"/>
            <w:vMerge/>
            <w:tcBorders>
              <w:top w:val="nil"/>
              <w:left w:val="dashed" w:sz="4" w:space="0" w:color="000000"/>
              <w:bottom w:val="dashed" w:sz="4" w:space="0" w:color="000000"/>
              <w:right w:val="dashed" w:sz="4" w:space="0" w:color="000000"/>
            </w:tcBorders>
          </w:tcPr>
          <w:p w:rsidR="00E8309B" w:rsidRDefault="00E8309B">
            <w:pPr>
              <w:spacing w:after="160" w:line="259" w:lineRule="auto"/>
              <w:ind w:left="0" w:right="0" w:firstLine="0"/>
              <w:jc w:val="left"/>
            </w:pPr>
          </w:p>
        </w:tc>
        <w:tc>
          <w:tcPr>
            <w:tcW w:w="0" w:type="auto"/>
            <w:vMerge/>
            <w:tcBorders>
              <w:top w:val="nil"/>
              <w:left w:val="dashed" w:sz="4" w:space="0" w:color="000000"/>
              <w:bottom w:val="dashed" w:sz="4" w:space="0" w:color="000000"/>
              <w:right w:val="double" w:sz="6" w:space="0" w:color="000000"/>
            </w:tcBorders>
          </w:tcPr>
          <w:p w:rsidR="00E8309B" w:rsidRDefault="00E8309B">
            <w:pPr>
              <w:spacing w:after="160" w:line="259" w:lineRule="auto"/>
              <w:ind w:left="0" w:right="0" w:firstLine="0"/>
              <w:jc w:val="left"/>
            </w:pPr>
          </w:p>
        </w:tc>
      </w:tr>
      <w:tr w:rsidR="00E8309B">
        <w:trPr>
          <w:trHeight w:val="326"/>
        </w:trPr>
        <w:tc>
          <w:tcPr>
            <w:tcW w:w="5581" w:type="dxa"/>
            <w:tcBorders>
              <w:top w:val="single" w:sz="18" w:space="0" w:color="FFFFFF"/>
              <w:left w:val="double" w:sz="6" w:space="0" w:color="000000"/>
              <w:bottom w:val="single" w:sz="8" w:space="0" w:color="000000"/>
              <w:right w:val="nil"/>
            </w:tcBorders>
          </w:tcPr>
          <w:p w:rsidR="00E8309B" w:rsidRDefault="009D0949">
            <w:pPr>
              <w:spacing w:after="0" w:line="259" w:lineRule="auto"/>
              <w:ind w:left="110" w:right="0" w:firstLine="0"/>
              <w:jc w:val="left"/>
            </w:pPr>
            <w:r>
              <w:rPr>
                <w:sz w:val="20"/>
              </w:rPr>
              <w:t xml:space="preserve">  </w:t>
            </w:r>
          </w:p>
        </w:tc>
        <w:tc>
          <w:tcPr>
            <w:tcW w:w="1560" w:type="dxa"/>
            <w:tcBorders>
              <w:top w:val="nil"/>
              <w:left w:val="nil"/>
              <w:bottom w:val="single" w:sz="8" w:space="0" w:color="000000"/>
              <w:right w:val="single" w:sz="8" w:space="0" w:color="000000"/>
            </w:tcBorders>
          </w:tcPr>
          <w:p w:rsidR="00E8309B" w:rsidRDefault="00E8309B">
            <w:pPr>
              <w:spacing w:after="160" w:line="259" w:lineRule="auto"/>
              <w:ind w:left="0" w:right="0" w:firstLine="0"/>
              <w:jc w:val="left"/>
            </w:pPr>
          </w:p>
        </w:tc>
        <w:tc>
          <w:tcPr>
            <w:tcW w:w="0" w:type="auto"/>
            <w:vMerge/>
            <w:tcBorders>
              <w:top w:val="nil"/>
              <w:left w:val="single" w:sz="8" w:space="0" w:color="000000"/>
              <w:bottom w:val="single" w:sz="8" w:space="0" w:color="000000"/>
              <w:right w:val="single" w:sz="8" w:space="0" w:color="000000"/>
            </w:tcBorders>
          </w:tcPr>
          <w:p w:rsidR="00E8309B" w:rsidRDefault="00E8309B">
            <w:pPr>
              <w:spacing w:after="160" w:line="259" w:lineRule="auto"/>
              <w:ind w:left="0" w:right="0" w:firstLine="0"/>
              <w:jc w:val="left"/>
            </w:pPr>
          </w:p>
        </w:tc>
        <w:tc>
          <w:tcPr>
            <w:tcW w:w="1169" w:type="dxa"/>
            <w:tcBorders>
              <w:top w:val="dashed" w:sz="4" w:space="0" w:color="000000"/>
              <w:left w:val="single" w:sz="8" w:space="0" w:color="000000"/>
              <w:bottom w:val="single" w:sz="8" w:space="0" w:color="000000"/>
              <w:right w:val="nil"/>
            </w:tcBorders>
          </w:tcPr>
          <w:p w:rsidR="00E8309B" w:rsidRDefault="00E8309B">
            <w:pPr>
              <w:spacing w:after="160" w:line="259" w:lineRule="auto"/>
              <w:ind w:left="0" w:right="0" w:firstLine="0"/>
              <w:jc w:val="left"/>
            </w:pPr>
          </w:p>
        </w:tc>
        <w:tc>
          <w:tcPr>
            <w:tcW w:w="1169" w:type="dxa"/>
            <w:tcBorders>
              <w:top w:val="dashed" w:sz="4" w:space="0" w:color="000000"/>
              <w:left w:val="nil"/>
              <w:bottom w:val="single" w:sz="8" w:space="0" w:color="000000"/>
              <w:right w:val="nil"/>
            </w:tcBorders>
          </w:tcPr>
          <w:p w:rsidR="00E8309B" w:rsidRDefault="00E8309B">
            <w:pPr>
              <w:spacing w:after="160" w:line="259" w:lineRule="auto"/>
              <w:ind w:left="0" w:right="0" w:firstLine="0"/>
              <w:jc w:val="left"/>
            </w:pPr>
          </w:p>
        </w:tc>
        <w:tc>
          <w:tcPr>
            <w:tcW w:w="1169" w:type="dxa"/>
            <w:tcBorders>
              <w:top w:val="dashed" w:sz="4" w:space="0" w:color="000000"/>
              <w:left w:val="nil"/>
              <w:bottom w:val="single" w:sz="8" w:space="0" w:color="000000"/>
              <w:right w:val="nil"/>
            </w:tcBorders>
          </w:tcPr>
          <w:p w:rsidR="00E8309B" w:rsidRDefault="009D0949">
            <w:pPr>
              <w:spacing w:after="0" w:line="259" w:lineRule="auto"/>
              <w:ind w:left="0" w:right="-66" w:firstLine="0"/>
              <w:jc w:val="right"/>
            </w:pPr>
            <w:r>
              <w:rPr>
                <w:sz w:val="20"/>
              </w:rPr>
              <w:t>млрд РСД</w:t>
            </w:r>
          </w:p>
        </w:tc>
        <w:tc>
          <w:tcPr>
            <w:tcW w:w="1169" w:type="dxa"/>
            <w:tcBorders>
              <w:top w:val="dashed" w:sz="4" w:space="0" w:color="000000"/>
              <w:left w:val="nil"/>
              <w:bottom w:val="single" w:sz="8" w:space="0" w:color="000000"/>
              <w:right w:val="nil"/>
            </w:tcBorders>
          </w:tcPr>
          <w:p w:rsidR="00E8309B" w:rsidRDefault="009D0949">
            <w:pPr>
              <w:spacing w:after="0" w:line="259" w:lineRule="auto"/>
              <w:ind w:left="67" w:right="0" w:firstLine="0"/>
              <w:jc w:val="left"/>
            </w:pPr>
            <w:r>
              <w:rPr>
                <w:sz w:val="20"/>
              </w:rPr>
              <w:t xml:space="preserve"> </w:t>
            </w:r>
          </w:p>
        </w:tc>
        <w:tc>
          <w:tcPr>
            <w:tcW w:w="1611" w:type="dxa"/>
            <w:tcBorders>
              <w:top w:val="dashed" w:sz="4" w:space="0" w:color="000000"/>
              <w:left w:val="nil"/>
              <w:bottom w:val="single" w:sz="8" w:space="0" w:color="000000"/>
              <w:right w:val="double" w:sz="6" w:space="0" w:color="000000"/>
            </w:tcBorders>
          </w:tcPr>
          <w:p w:rsidR="00E8309B" w:rsidRDefault="00E8309B">
            <w:pPr>
              <w:spacing w:after="160" w:line="259" w:lineRule="auto"/>
              <w:ind w:left="0" w:right="0" w:firstLine="0"/>
              <w:jc w:val="left"/>
            </w:pPr>
          </w:p>
        </w:tc>
      </w:tr>
      <w:tr w:rsidR="00E8309B">
        <w:trPr>
          <w:trHeight w:val="418"/>
        </w:trPr>
        <w:tc>
          <w:tcPr>
            <w:tcW w:w="5581" w:type="dxa"/>
            <w:tcBorders>
              <w:top w:val="single" w:sz="8" w:space="0" w:color="000000"/>
              <w:left w:val="double" w:sz="6" w:space="0" w:color="000000"/>
              <w:bottom w:val="single" w:sz="8" w:space="0" w:color="000000"/>
              <w:right w:val="nil"/>
            </w:tcBorders>
          </w:tcPr>
          <w:p w:rsidR="00E8309B" w:rsidRDefault="00E8309B">
            <w:pPr>
              <w:spacing w:after="160" w:line="259" w:lineRule="auto"/>
              <w:ind w:left="0" w:right="0" w:firstLine="0"/>
              <w:jc w:val="left"/>
            </w:pPr>
          </w:p>
        </w:tc>
        <w:tc>
          <w:tcPr>
            <w:tcW w:w="3874" w:type="dxa"/>
            <w:gridSpan w:val="3"/>
            <w:tcBorders>
              <w:top w:val="single" w:sz="8" w:space="0" w:color="000000"/>
              <w:left w:val="nil"/>
              <w:bottom w:val="single" w:sz="8" w:space="0" w:color="000000"/>
              <w:right w:val="nil"/>
            </w:tcBorders>
            <w:vAlign w:val="bottom"/>
          </w:tcPr>
          <w:p w:rsidR="00E8309B" w:rsidRDefault="009D0949">
            <w:pPr>
              <w:spacing w:after="0" w:line="259" w:lineRule="auto"/>
              <w:ind w:left="1342" w:right="411" w:hanging="1342"/>
              <w:jc w:val="left"/>
            </w:pPr>
            <w:r>
              <w:rPr>
                <w:b/>
                <w:sz w:val="20"/>
              </w:rPr>
              <w:t xml:space="preserve">Нето позајмице (B9) по подсекторима </w:t>
            </w:r>
            <w:r>
              <w:rPr>
                <w:sz w:val="20"/>
              </w:rPr>
              <w:t xml:space="preserve"> </w:t>
            </w:r>
          </w:p>
        </w:tc>
        <w:tc>
          <w:tcPr>
            <w:tcW w:w="1169" w:type="dxa"/>
            <w:tcBorders>
              <w:top w:val="single" w:sz="8" w:space="0" w:color="000000"/>
              <w:left w:val="nil"/>
              <w:bottom w:val="single" w:sz="8" w:space="0" w:color="000000"/>
              <w:right w:val="nil"/>
            </w:tcBorders>
          </w:tcPr>
          <w:p w:rsidR="00E8309B" w:rsidRDefault="00E8309B">
            <w:pPr>
              <w:spacing w:after="160" w:line="259" w:lineRule="auto"/>
              <w:ind w:left="0" w:right="0" w:firstLine="0"/>
              <w:jc w:val="left"/>
            </w:pPr>
          </w:p>
        </w:tc>
        <w:tc>
          <w:tcPr>
            <w:tcW w:w="1169" w:type="dxa"/>
            <w:tcBorders>
              <w:top w:val="single" w:sz="8" w:space="0" w:color="000000"/>
              <w:left w:val="nil"/>
              <w:bottom w:val="single" w:sz="8" w:space="0" w:color="000000"/>
              <w:right w:val="nil"/>
            </w:tcBorders>
          </w:tcPr>
          <w:p w:rsidR="00E8309B" w:rsidRDefault="00E8309B">
            <w:pPr>
              <w:spacing w:after="160" w:line="259" w:lineRule="auto"/>
              <w:ind w:left="0" w:right="0" w:firstLine="0"/>
              <w:jc w:val="left"/>
            </w:pPr>
          </w:p>
        </w:tc>
        <w:tc>
          <w:tcPr>
            <w:tcW w:w="1169" w:type="dxa"/>
            <w:tcBorders>
              <w:top w:val="single" w:sz="8" w:space="0" w:color="000000"/>
              <w:left w:val="nil"/>
              <w:bottom w:val="single" w:sz="8" w:space="0" w:color="000000"/>
              <w:right w:val="nil"/>
            </w:tcBorders>
          </w:tcPr>
          <w:p w:rsidR="00E8309B" w:rsidRDefault="00E8309B">
            <w:pPr>
              <w:spacing w:after="160" w:line="259" w:lineRule="auto"/>
              <w:ind w:left="0" w:right="0" w:firstLine="0"/>
              <w:jc w:val="left"/>
            </w:pPr>
          </w:p>
        </w:tc>
        <w:tc>
          <w:tcPr>
            <w:tcW w:w="1611" w:type="dxa"/>
            <w:tcBorders>
              <w:top w:val="single" w:sz="8" w:space="0" w:color="000000"/>
              <w:left w:val="nil"/>
              <w:bottom w:val="single" w:sz="8" w:space="0" w:color="000000"/>
              <w:right w:val="double" w:sz="6" w:space="0" w:color="000000"/>
            </w:tcBorders>
          </w:tcPr>
          <w:p w:rsidR="00E8309B" w:rsidRDefault="00E8309B">
            <w:pPr>
              <w:spacing w:after="160" w:line="259" w:lineRule="auto"/>
              <w:ind w:left="0" w:right="0" w:firstLine="0"/>
              <w:jc w:val="left"/>
            </w:pPr>
          </w:p>
        </w:tc>
      </w:tr>
      <w:tr w:rsidR="00E8309B">
        <w:trPr>
          <w:trHeight w:val="365"/>
        </w:trPr>
        <w:tc>
          <w:tcPr>
            <w:tcW w:w="5581" w:type="dxa"/>
            <w:tcBorders>
              <w:top w:val="single" w:sz="8" w:space="0" w:color="000000"/>
              <w:left w:val="double" w:sz="6" w:space="0" w:color="000000"/>
              <w:bottom w:val="dashed" w:sz="4" w:space="0" w:color="000000"/>
              <w:right w:val="nil"/>
            </w:tcBorders>
          </w:tcPr>
          <w:p w:rsidR="00E8309B" w:rsidRDefault="009D0949">
            <w:pPr>
              <w:spacing w:after="0" w:line="259" w:lineRule="auto"/>
              <w:ind w:left="110" w:right="0" w:firstLine="0"/>
              <w:jc w:val="left"/>
            </w:pPr>
            <w:r>
              <w:rPr>
                <w:sz w:val="20"/>
              </w:rPr>
              <w:t xml:space="preserve">1. Општи ниво државе </w:t>
            </w:r>
          </w:p>
        </w:tc>
        <w:tc>
          <w:tcPr>
            <w:tcW w:w="1560" w:type="dxa"/>
            <w:tcBorders>
              <w:top w:val="single" w:sz="8" w:space="0" w:color="000000"/>
              <w:left w:val="nil"/>
              <w:bottom w:val="dashed" w:sz="4" w:space="0" w:color="000000"/>
              <w:right w:val="single" w:sz="8" w:space="0" w:color="000000"/>
            </w:tcBorders>
            <w:vAlign w:val="bottom"/>
          </w:tcPr>
          <w:p w:rsidR="00E8309B" w:rsidRDefault="009D0949">
            <w:pPr>
              <w:spacing w:after="0" w:line="259" w:lineRule="auto"/>
              <w:ind w:left="0" w:right="169" w:firstLine="0"/>
              <w:jc w:val="right"/>
            </w:pPr>
            <w:r>
              <w:rPr>
                <w:sz w:val="20"/>
              </w:rPr>
              <w:t xml:space="preserve"> </w:t>
            </w:r>
          </w:p>
        </w:tc>
        <w:tc>
          <w:tcPr>
            <w:tcW w:w="1145" w:type="dxa"/>
            <w:tcBorders>
              <w:top w:val="single" w:sz="8" w:space="0" w:color="000000"/>
              <w:left w:val="single" w:sz="8" w:space="0" w:color="000000"/>
              <w:bottom w:val="dashed" w:sz="4" w:space="0" w:color="000000"/>
              <w:right w:val="single" w:sz="8" w:space="0" w:color="000000"/>
            </w:tcBorders>
          </w:tcPr>
          <w:p w:rsidR="00E8309B" w:rsidRDefault="009D0949">
            <w:pPr>
              <w:spacing w:after="0" w:line="259" w:lineRule="auto"/>
              <w:ind w:left="0" w:right="4" w:firstLine="0"/>
              <w:jc w:val="center"/>
            </w:pPr>
            <w:r>
              <w:rPr>
                <w:sz w:val="20"/>
              </w:rPr>
              <w:t xml:space="preserve">S13 </w:t>
            </w:r>
          </w:p>
        </w:tc>
        <w:tc>
          <w:tcPr>
            <w:tcW w:w="1169" w:type="dxa"/>
            <w:tcBorders>
              <w:top w:val="single" w:sz="8" w:space="0" w:color="000000"/>
              <w:left w:val="single" w:sz="8" w:space="0" w:color="000000"/>
              <w:bottom w:val="dashed" w:sz="4" w:space="0" w:color="000000"/>
              <w:right w:val="dashed" w:sz="4" w:space="0" w:color="000000"/>
            </w:tcBorders>
          </w:tcPr>
          <w:p w:rsidR="00E8309B" w:rsidRDefault="009D0949">
            <w:pPr>
              <w:spacing w:after="0" w:line="259" w:lineRule="auto"/>
              <w:ind w:left="5" w:right="0" w:firstLine="0"/>
              <w:jc w:val="center"/>
            </w:pPr>
            <w:r>
              <w:rPr>
                <w:sz w:val="20"/>
              </w:rPr>
              <w:t xml:space="preserve">-11,11 </w:t>
            </w:r>
          </w:p>
        </w:tc>
        <w:tc>
          <w:tcPr>
            <w:tcW w:w="1169" w:type="dxa"/>
            <w:tcBorders>
              <w:top w:val="single" w:sz="8" w:space="0" w:color="000000"/>
              <w:left w:val="dashed" w:sz="4" w:space="0" w:color="000000"/>
              <w:bottom w:val="dashed" w:sz="4" w:space="0" w:color="000000"/>
              <w:right w:val="dashed" w:sz="4" w:space="0" w:color="000000"/>
            </w:tcBorders>
          </w:tcPr>
          <w:p w:rsidR="00E8309B" w:rsidRDefault="009D0949">
            <w:pPr>
              <w:spacing w:after="0" w:line="259" w:lineRule="auto"/>
              <w:ind w:left="4" w:right="0" w:firstLine="0"/>
              <w:jc w:val="center"/>
            </w:pPr>
            <w:r>
              <w:rPr>
                <w:sz w:val="20"/>
              </w:rPr>
              <w:t xml:space="preserve">-492,32 </w:t>
            </w:r>
          </w:p>
        </w:tc>
        <w:tc>
          <w:tcPr>
            <w:tcW w:w="1169" w:type="dxa"/>
            <w:tcBorders>
              <w:top w:val="single" w:sz="8" w:space="0" w:color="000000"/>
              <w:left w:val="dashed" w:sz="4" w:space="0" w:color="000000"/>
              <w:bottom w:val="dashed" w:sz="4" w:space="0" w:color="000000"/>
              <w:right w:val="dashed" w:sz="4" w:space="0" w:color="000000"/>
            </w:tcBorders>
          </w:tcPr>
          <w:p w:rsidR="00E8309B" w:rsidRDefault="009D0949">
            <w:pPr>
              <w:spacing w:after="0" w:line="259" w:lineRule="auto"/>
              <w:ind w:left="5" w:right="0" w:firstLine="0"/>
              <w:jc w:val="center"/>
            </w:pPr>
            <w:r>
              <w:rPr>
                <w:sz w:val="20"/>
              </w:rPr>
              <w:t xml:space="preserve">-179,35 </w:t>
            </w:r>
          </w:p>
        </w:tc>
        <w:tc>
          <w:tcPr>
            <w:tcW w:w="1169" w:type="dxa"/>
            <w:tcBorders>
              <w:top w:val="single" w:sz="8" w:space="0" w:color="000000"/>
              <w:left w:val="dashed" w:sz="4" w:space="0" w:color="000000"/>
              <w:bottom w:val="dashed" w:sz="4" w:space="0" w:color="000000"/>
              <w:right w:val="dashed" w:sz="4" w:space="0" w:color="000000"/>
            </w:tcBorders>
          </w:tcPr>
          <w:p w:rsidR="00E8309B" w:rsidRDefault="009D0949">
            <w:pPr>
              <w:spacing w:after="0" w:line="259" w:lineRule="auto"/>
              <w:ind w:left="5" w:right="0" w:firstLine="0"/>
              <w:jc w:val="center"/>
            </w:pPr>
            <w:r>
              <w:rPr>
                <w:sz w:val="20"/>
              </w:rPr>
              <w:t xml:space="preserve">-105,55 </w:t>
            </w:r>
          </w:p>
        </w:tc>
        <w:tc>
          <w:tcPr>
            <w:tcW w:w="1611" w:type="dxa"/>
            <w:tcBorders>
              <w:top w:val="single" w:sz="8" w:space="0" w:color="000000"/>
              <w:left w:val="dashed" w:sz="4" w:space="0" w:color="000000"/>
              <w:bottom w:val="dashed" w:sz="4" w:space="0" w:color="000000"/>
              <w:right w:val="double" w:sz="6" w:space="0" w:color="000000"/>
            </w:tcBorders>
          </w:tcPr>
          <w:p w:rsidR="00E8309B" w:rsidRDefault="009D0949">
            <w:pPr>
              <w:spacing w:after="0" w:line="259" w:lineRule="auto"/>
              <w:ind w:left="0" w:right="0" w:firstLine="0"/>
              <w:jc w:val="center"/>
            </w:pPr>
            <w:r>
              <w:rPr>
                <w:sz w:val="20"/>
              </w:rPr>
              <w:t xml:space="preserve">-71,40 </w:t>
            </w:r>
          </w:p>
        </w:tc>
      </w:tr>
      <w:tr w:rsidR="00E8309B">
        <w:trPr>
          <w:trHeight w:val="361"/>
        </w:trPr>
        <w:tc>
          <w:tcPr>
            <w:tcW w:w="5581" w:type="dxa"/>
            <w:tcBorders>
              <w:top w:val="dashed" w:sz="4" w:space="0" w:color="000000"/>
              <w:left w:val="double" w:sz="6" w:space="0" w:color="000000"/>
              <w:bottom w:val="dashed" w:sz="4" w:space="0" w:color="000000"/>
              <w:right w:val="nil"/>
            </w:tcBorders>
          </w:tcPr>
          <w:p w:rsidR="00E8309B" w:rsidRDefault="009D0949">
            <w:pPr>
              <w:spacing w:after="0" w:line="259" w:lineRule="auto"/>
              <w:ind w:left="110" w:right="0" w:firstLine="0"/>
              <w:jc w:val="left"/>
            </w:pPr>
            <w:r>
              <w:rPr>
                <w:sz w:val="20"/>
              </w:rPr>
              <w:t xml:space="preserve">2. Централни ниво државе </w:t>
            </w:r>
          </w:p>
        </w:tc>
        <w:tc>
          <w:tcPr>
            <w:tcW w:w="1560" w:type="dxa"/>
            <w:tcBorders>
              <w:top w:val="dashed" w:sz="4" w:space="0" w:color="000000"/>
              <w:left w:val="nil"/>
              <w:bottom w:val="dashed" w:sz="4" w:space="0" w:color="000000"/>
              <w:right w:val="single" w:sz="8" w:space="0" w:color="000000"/>
            </w:tcBorders>
            <w:vAlign w:val="bottom"/>
          </w:tcPr>
          <w:p w:rsidR="00E8309B" w:rsidRDefault="009D0949">
            <w:pPr>
              <w:spacing w:after="0" w:line="259" w:lineRule="auto"/>
              <w:ind w:left="0" w:right="169" w:firstLine="0"/>
              <w:jc w:val="right"/>
            </w:pPr>
            <w:r>
              <w:rPr>
                <w:sz w:val="20"/>
              </w:rPr>
              <w:t xml:space="preserve"> </w:t>
            </w:r>
          </w:p>
        </w:tc>
        <w:tc>
          <w:tcPr>
            <w:tcW w:w="1145" w:type="dxa"/>
            <w:tcBorders>
              <w:top w:val="dashed" w:sz="4" w:space="0" w:color="000000"/>
              <w:left w:val="single" w:sz="8" w:space="0" w:color="000000"/>
              <w:bottom w:val="dashed" w:sz="4" w:space="0" w:color="000000"/>
              <w:right w:val="single" w:sz="8" w:space="0" w:color="000000"/>
            </w:tcBorders>
          </w:tcPr>
          <w:p w:rsidR="00E8309B" w:rsidRDefault="009D0949">
            <w:pPr>
              <w:spacing w:after="0" w:line="259" w:lineRule="auto"/>
              <w:ind w:left="1" w:right="0" w:firstLine="0"/>
              <w:jc w:val="center"/>
            </w:pPr>
            <w:r>
              <w:rPr>
                <w:sz w:val="20"/>
              </w:rPr>
              <w:t xml:space="preserve">S1311 </w:t>
            </w:r>
          </w:p>
        </w:tc>
        <w:tc>
          <w:tcPr>
            <w:tcW w:w="1169" w:type="dxa"/>
            <w:tcBorders>
              <w:top w:val="dashed" w:sz="4" w:space="0" w:color="000000"/>
              <w:left w:val="single" w:sz="8" w:space="0" w:color="000000"/>
              <w:bottom w:val="dashed" w:sz="4" w:space="0" w:color="000000"/>
              <w:right w:val="dashed" w:sz="4" w:space="0" w:color="000000"/>
            </w:tcBorders>
          </w:tcPr>
          <w:p w:rsidR="00E8309B" w:rsidRDefault="009D0949">
            <w:pPr>
              <w:spacing w:after="0" w:line="259" w:lineRule="auto"/>
              <w:ind w:left="1" w:right="0" w:firstLine="0"/>
              <w:jc w:val="center"/>
            </w:pPr>
            <w:r>
              <w:rPr>
                <w:sz w:val="20"/>
              </w:rPr>
              <w:t xml:space="preserve">-0,76 </w:t>
            </w:r>
          </w:p>
        </w:tc>
        <w:tc>
          <w:tcPr>
            <w:tcW w:w="1169"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4" w:right="0" w:firstLine="0"/>
              <w:jc w:val="center"/>
            </w:pPr>
            <w:r>
              <w:rPr>
                <w:sz w:val="20"/>
              </w:rPr>
              <w:t xml:space="preserve">-487,18 </w:t>
            </w:r>
          </w:p>
        </w:tc>
        <w:tc>
          <w:tcPr>
            <w:tcW w:w="1169"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5" w:right="0" w:firstLine="0"/>
              <w:jc w:val="center"/>
            </w:pPr>
            <w:r>
              <w:rPr>
                <w:sz w:val="20"/>
              </w:rPr>
              <w:t xml:space="preserve">-181,90 </w:t>
            </w:r>
          </w:p>
        </w:tc>
        <w:tc>
          <w:tcPr>
            <w:tcW w:w="1169"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5" w:right="0" w:firstLine="0"/>
              <w:jc w:val="center"/>
            </w:pPr>
            <w:r>
              <w:rPr>
                <w:sz w:val="20"/>
              </w:rPr>
              <w:t xml:space="preserve">-106,55 </w:t>
            </w:r>
          </w:p>
        </w:tc>
        <w:tc>
          <w:tcPr>
            <w:tcW w:w="1611" w:type="dxa"/>
            <w:tcBorders>
              <w:top w:val="dashed" w:sz="4" w:space="0" w:color="000000"/>
              <w:left w:val="dashed" w:sz="4" w:space="0" w:color="000000"/>
              <w:bottom w:val="dashed" w:sz="4" w:space="0" w:color="000000"/>
              <w:right w:val="double" w:sz="6" w:space="0" w:color="000000"/>
            </w:tcBorders>
          </w:tcPr>
          <w:p w:rsidR="00E8309B" w:rsidRDefault="009D0949">
            <w:pPr>
              <w:spacing w:after="0" w:line="259" w:lineRule="auto"/>
              <w:ind w:left="0" w:right="0" w:firstLine="0"/>
              <w:jc w:val="center"/>
            </w:pPr>
            <w:r>
              <w:rPr>
                <w:sz w:val="20"/>
              </w:rPr>
              <w:t xml:space="preserve">-72,93 </w:t>
            </w:r>
          </w:p>
        </w:tc>
      </w:tr>
      <w:tr w:rsidR="00E8309B">
        <w:trPr>
          <w:trHeight w:val="360"/>
        </w:trPr>
        <w:tc>
          <w:tcPr>
            <w:tcW w:w="5581" w:type="dxa"/>
            <w:tcBorders>
              <w:top w:val="dashed" w:sz="4" w:space="0" w:color="000000"/>
              <w:left w:val="double" w:sz="6" w:space="0" w:color="000000"/>
              <w:bottom w:val="dashed" w:sz="4" w:space="0" w:color="000000"/>
              <w:right w:val="nil"/>
            </w:tcBorders>
          </w:tcPr>
          <w:p w:rsidR="00E8309B" w:rsidRDefault="009D0949">
            <w:pPr>
              <w:spacing w:after="0" w:line="259" w:lineRule="auto"/>
              <w:ind w:left="110" w:right="0" w:firstLine="0"/>
              <w:jc w:val="left"/>
            </w:pPr>
            <w:r>
              <w:rPr>
                <w:sz w:val="20"/>
              </w:rPr>
              <w:t xml:space="preserve">3. Ниво власти федералних јединица  </w:t>
            </w:r>
          </w:p>
        </w:tc>
        <w:tc>
          <w:tcPr>
            <w:tcW w:w="1560" w:type="dxa"/>
            <w:tcBorders>
              <w:top w:val="dashed" w:sz="4" w:space="0" w:color="000000"/>
              <w:left w:val="nil"/>
              <w:bottom w:val="dashed" w:sz="4" w:space="0" w:color="000000"/>
              <w:right w:val="single" w:sz="8" w:space="0" w:color="000000"/>
            </w:tcBorders>
            <w:vAlign w:val="bottom"/>
          </w:tcPr>
          <w:p w:rsidR="00E8309B" w:rsidRDefault="009D0949">
            <w:pPr>
              <w:spacing w:after="0" w:line="259" w:lineRule="auto"/>
              <w:ind w:left="0" w:right="169" w:firstLine="0"/>
              <w:jc w:val="right"/>
            </w:pPr>
            <w:r>
              <w:rPr>
                <w:sz w:val="20"/>
              </w:rPr>
              <w:t xml:space="preserve"> </w:t>
            </w:r>
          </w:p>
        </w:tc>
        <w:tc>
          <w:tcPr>
            <w:tcW w:w="1145" w:type="dxa"/>
            <w:tcBorders>
              <w:top w:val="dashed" w:sz="4" w:space="0" w:color="000000"/>
              <w:left w:val="single" w:sz="8" w:space="0" w:color="000000"/>
              <w:bottom w:val="dashed" w:sz="4" w:space="0" w:color="000000"/>
              <w:right w:val="single" w:sz="8" w:space="0" w:color="000000"/>
            </w:tcBorders>
          </w:tcPr>
          <w:p w:rsidR="00E8309B" w:rsidRDefault="009D0949">
            <w:pPr>
              <w:spacing w:after="0" w:line="259" w:lineRule="auto"/>
              <w:ind w:left="1" w:right="0" w:firstLine="0"/>
              <w:jc w:val="center"/>
            </w:pPr>
            <w:r>
              <w:rPr>
                <w:sz w:val="20"/>
              </w:rPr>
              <w:t xml:space="preserve">S1312 </w:t>
            </w:r>
          </w:p>
        </w:tc>
        <w:tc>
          <w:tcPr>
            <w:tcW w:w="1169" w:type="dxa"/>
            <w:tcBorders>
              <w:top w:val="dashed" w:sz="4" w:space="0" w:color="000000"/>
              <w:left w:val="single" w:sz="8" w:space="0" w:color="000000"/>
              <w:bottom w:val="dashed" w:sz="4" w:space="0" w:color="000000"/>
              <w:right w:val="dashed" w:sz="4" w:space="0" w:color="000000"/>
            </w:tcBorders>
          </w:tcPr>
          <w:p w:rsidR="00E8309B" w:rsidRDefault="009D0949">
            <w:pPr>
              <w:spacing w:after="0" w:line="259" w:lineRule="auto"/>
              <w:ind w:left="5" w:right="0" w:firstLine="0"/>
              <w:jc w:val="center"/>
            </w:pPr>
            <w:r>
              <w:rPr>
                <w:sz w:val="20"/>
              </w:rPr>
              <w:t xml:space="preserve">: </w:t>
            </w:r>
          </w:p>
        </w:tc>
        <w:tc>
          <w:tcPr>
            <w:tcW w:w="1169"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4" w:right="0" w:firstLine="0"/>
              <w:jc w:val="center"/>
            </w:pPr>
            <w:r>
              <w:rPr>
                <w:sz w:val="20"/>
              </w:rPr>
              <w:t xml:space="preserve">: </w:t>
            </w:r>
          </w:p>
        </w:tc>
        <w:tc>
          <w:tcPr>
            <w:tcW w:w="1169"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5" w:right="0" w:firstLine="0"/>
              <w:jc w:val="center"/>
            </w:pPr>
            <w:r>
              <w:rPr>
                <w:sz w:val="20"/>
              </w:rPr>
              <w:t xml:space="preserve">: </w:t>
            </w:r>
          </w:p>
        </w:tc>
        <w:tc>
          <w:tcPr>
            <w:tcW w:w="1169"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5" w:right="0" w:firstLine="0"/>
              <w:jc w:val="center"/>
            </w:pPr>
            <w:r>
              <w:rPr>
                <w:sz w:val="20"/>
              </w:rPr>
              <w:t xml:space="preserve">: </w:t>
            </w:r>
          </w:p>
        </w:tc>
        <w:tc>
          <w:tcPr>
            <w:tcW w:w="1611" w:type="dxa"/>
            <w:tcBorders>
              <w:top w:val="dashed" w:sz="4" w:space="0" w:color="000000"/>
              <w:left w:val="dashed" w:sz="4" w:space="0" w:color="000000"/>
              <w:bottom w:val="dashed" w:sz="4" w:space="0" w:color="000000"/>
              <w:right w:val="double" w:sz="6" w:space="0" w:color="000000"/>
            </w:tcBorders>
          </w:tcPr>
          <w:p w:rsidR="00E8309B" w:rsidRDefault="009D0949">
            <w:pPr>
              <w:spacing w:after="0" w:line="259" w:lineRule="auto"/>
              <w:ind w:left="1" w:right="0" w:firstLine="0"/>
              <w:jc w:val="center"/>
            </w:pPr>
            <w:r>
              <w:rPr>
                <w:sz w:val="20"/>
              </w:rPr>
              <w:t xml:space="preserve">: </w:t>
            </w:r>
          </w:p>
        </w:tc>
      </w:tr>
      <w:tr w:rsidR="00E8309B">
        <w:trPr>
          <w:trHeight w:val="360"/>
        </w:trPr>
        <w:tc>
          <w:tcPr>
            <w:tcW w:w="5581" w:type="dxa"/>
            <w:tcBorders>
              <w:top w:val="dashed" w:sz="4" w:space="0" w:color="000000"/>
              <w:left w:val="double" w:sz="6" w:space="0" w:color="000000"/>
              <w:bottom w:val="dashed" w:sz="4" w:space="0" w:color="000000"/>
              <w:right w:val="nil"/>
            </w:tcBorders>
          </w:tcPr>
          <w:p w:rsidR="00E8309B" w:rsidRDefault="009D0949">
            <w:pPr>
              <w:spacing w:after="0" w:line="259" w:lineRule="auto"/>
              <w:ind w:left="110" w:right="0" w:firstLine="0"/>
              <w:jc w:val="left"/>
            </w:pPr>
            <w:r>
              <w:rPr>
                <w:sz w:val="20"/>
              </w:rPr>
              <w:t xml:space="preserve">4. Локална самоуправа </w:t>
            </w:r>
          </w:p>
        </w:tc>
        <w:tc>
          <w:tcPr>
            <w:tcW w:w="1560" w:type="dxa"/>
            <w:tcBorders>
              <w:top w:val="dashed" w:sz="4" w:space="0" w:color="000000"/>
              <w:left w:val="nil"/>
              <w:bottom w:val="dashed" w:sz="4" w:space="0" w:color="000000"/>
              <w:right w:val="single" w:sz="8" w:space="0" w:color="000000"/>
            </w:tcBorders>
            <w:vAlign w:val="bottom"/>
          </w:tcPr>
          <w:p w:rsidR="00E8309B" w:rsidRDefault="009D0949">
            <w:pPr>
              <w:spacing w:after="0" w:line="259" w:lineRule="auto"/>
              <w:ind w:left="0" w:right="169" w:firstLine="0"/>
              <w:jc w:val="right"/>
            </w:pPr>
            <w:r>
              <w:rPr>
                <w:sz w:val="20"/>
              </w:rPr>
              <w:t xml:space="preserve"> </w:t>
            </w:r>
          </w:p>
        </w:tc>
        <w:tc>
          <w:tcPr>
            <w:tcW w:w="1145" w:type="dxa"/>
            <w:tcBorders>
              <w:top w:val="dashed" w:sz="4" w:space="0" w:color="000000"/>
              <w:left w:val="single" w:sz="8" w:space="0" w:color="000000"/>
              <w:bottom w:val="dashed" w:sz="4" w:space="0" w:color="000000"/>
              <w:right w:val="single" w:sz="8" w:space="0" w:color="000000"/>
            </w:tcBorders>
          </w:tcPr>
          <w:p w:rsidR="00E8309B" w:rsidRDefault="009D0949">
            <w:pPr>
              <w:spacing w:after="0" w:line="259" w:lineRule="auto"/>
              <w:ind w:left="1" w:right="0" w:firstLine="0"/>
              <w:jc w:val="center"/>
            </w:pPr>
            <w:r>
              <w:rPr>
                <w:sz w:val="20"/>
              </w:rPr>
              <w:t xml:space="preserve">S1313 </w:t>
            </w:r>
          </w:p>
        </w:tc>
        <w:tc>
          <w:tcPr>
            <w:tcW w:w="1169" w:type="dxa"/>
            <w:tcBorders>
              <w:top w:val="dashed" w:sz="4" w:space="0" w:color="000000"/>
              <w:left w:val="single" w:sz="8" w:space="0" w:color="000000"/>
              <w:bottom w:val="dashed" w:sz="4" w:space="0" w:color="000000"/>
              <w:right w:val="dashed" w:sz="4" w:space="0" w:color="000000"/>
            </w:tcBorders>
          </w:tcPr>
          <w:p w:rsidR="00E8309B" w:rsidRDefault="009D0949">
            <w:pPr>
              <w:spacing w:after="0" w:line="259" w:lineRule="auto"/>
              <w:ind w:left="1" w:right="0" w:firstLine="0"/>
              <w:jc w:val="center"/>
            </w:pPr>
            <w:r>
              <w:rPr>
                <w:sz w:val="20"/>
              </w:rPr>
              <w:t xml:space="preserve">-5,37 </w:t>
            </w:r>
          </w:p>
        </w:tc>
        <w:tc>
          <w:tcPr>
            <w:tcW w:w="1169"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2" w:right="0" w:firstLine="0"/>
              <w:jc w:val="center"/>
            </w:pPr>
            <w:r>
              <w:rPr>
                <w:sz w:val="20"/>
              </w:rPr>
              <w:t xml:space="preserve">1,13 </w:t>
            </w:r>
          </w:p>
        </w:tc>
        <w:tc>
          <w:tcPr>
            <w:tcW w:w="1169"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3" w:right="0" w:firstLine="0"/>
              <w:jc w:val="center"/>
            </w:pPr>
            <w:r>
              <w:rPr>
                <w:sz w:val="20"/>
              </w:rPr>
              <w:t xml:space="preserve">2,60 </w:t>
            </w:r>
          </w:p>
        </w:tc>
        <w:tc>
          <w:tcPr>
            <w:tcW w:w="1169"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3" w:right="0" w:firstLine="0"/>
              <w:jc w:val="center"/>
            </w:pPr>
            <w:r>
              <w:rPr>
                <w:sz w:val="20"/>
              </w:rPr>
              <w:t xml:space="preserve">1,00 </w:t>
            </w:r>
          </w:p>
        </w:tc>
        <w:tc>
          <w:tcPr>
            <w:tcW w:w="1611" w:type="dxa"/>
            <w:tcBorders>
              <w:top w:val="dashed" w:sz="4" w:space="0" w:color="000000"/>
              <w:left w:val="dashed" w:sz="4" w:space="0" w:color="000000"/>
              <w:bottom w:val="dashed" w:sz="4" w:space="0" w:color="000000"/>
              <w:right w:val="double" w:sz="6" w:space="0" w:color="000000"/>
            </w:tcBorders>
          </w:tcPr>
          <w:p w:rsidR="00E8309B" w:rsidRDefault="009D0949">
            <w:pPr>
              <w:spacing w:after="0" w:line="259" w:lineRule="auto"/>
              <w:ind w:left="3" w:right="0" w:firstLine="0"/>
              <w:jc w:val="center"/>
            </w:pPr>
            <w:r>
              <w:rPr>
                <w:sz w:val="20"/>
              </w:rPr>
              <w:t xml:space="preserve">1,53 </w:t>
            </w:r>
          </w:p>
        </w:tc>
      </w:tr>
      <w:tr w:rsidR="00E8309B">
        <w:trPr>
          <w:trHeight w:val="365"/>
        </w:trPr>
        <w:tc>
          <w:tcPr>
            <w:tcW w:w="5581" w:type="dxa"/>
            <w:tcBorders>
              <w:top w:val="dashed" w:sz="4" w:space="0" w:color="000000"/>
              <w:left w:val="double" w:sz="6" w:space="0" w:color="000000"/>
              <w:bottom w:val="single" w:sz="8" w:space="0" w:color="000000"/>
              <w:right w:val="nil"/>
            </w:tcBorders>
          </w:tcPr>
          <w:p w:rsidR="00E8309B" w:rsidRDefault="009D0949">
            <w:pPr>
              <w:spacing w:after="0" w:line="259" w:lineRule="auto"/>
              <w:ind w:left="110" w:right="0" w:firstLine="0"/>
              <w:jc w:val="left"/>
            </w:pPr>
            <w:r>
              <w:rPr>
                <w:sz w:val="20"/>
              </w:rPr>
              <w:t xml:space="preserve">5. Фондови социјалног осигурања </w:t>
            </w:r>
          </w:p>
        </w:tc>
        <w:tc>
          <w:tcPr>
            <w:tcW w:w="1560" w:type="dxa"/>
            <w:tcBorders>
              <w:top w:val="dashed" w:sz="4" w:space="0" w:color="000000"/>
              <w:left w:val="nil"/>
              <w:bottom w:val="single" w:sz="8" w:space="0" w:color="000000"/>
              <w:right w:val="single" w:sz="8" w:space="0" w:color="000000"/>
            </w:tcBorders>
          </w:tcPr>
          <w:p w:rsidR="00E8309B" w:rsidRDefault="00E8309B">
            <w:pPr>
              <w:spacing w:after="160" w:line="259" w:lineRule="auto"/>
              <w:ind w:left="0" w:right="0" w:firstLine="0"/>
              <w:jc w:val="left"/>
            </w:pPr>
          </w:p>
        </w:tc>
        <w:tc>
          <w:tcPr>
            <w:tcW w:w="1145" w:type="dxa"/>
            <w:tcBorders>
              <w:top w:val="dashed" w:sz="4" w:space="0" w:color="000000"/>
              <w:left w:val="single" w:sz="8" w:space="0" w:color="000000"/>
              <w:bottom w:val="single" w:sz="8" w:space="0" w:color="000000"/>
              <w:right w:val="single" w:sz="8" w:space="0" w:color="000000"/>
            </w:tcBorders>
          </w:tcPr>
          <w:p w:rsidR="00E8309B" w:rsidRDefault="009D0949">
            <w:pPr>
              <w:spacing w:after="0" w:line="259" w:lineRule="auto"/>
              <w:ind w:left="1" w:right="0" w:firstLine="0"/>
              <w:jc w:val="center"/>
            </w:pPr>
            <w:r>
              <w:rPr>
                <w:sz w:val="20"/>
              </w:rPr>
              <w:t xml:space="preserve">S1314 </w:t>
            </w:r>
          </w:p>
        </w:tc>
        <w:tc>
          <w:tcPr>
            <w:tcW w:w="1169" w:type="dxa"/>
            <w:tcBorders>
              <w:top w:val="dashed" w:sz="4" w:space="0" w:color="000000"/>
              <w:left w:val="single" w:sz="8" w:space="0" w:color="000000"/>
              <w:bottom w:val="single" w:sz="8" w:space="0" w:color="000000"/>
              <w:right w:val="dashed" w:sz="4" w:space="0" w:color="000000"/>
            </w:tcBorders>
          </w:tcPr>
          <w:p w:rsidR="00E8309B" w:rsidRDefault="009D0949">
            <w:pPr>
              <w:spacing w:after="0" w:line="259" w:lineRule="auto"/>
              <w:ind w:left="1" w:right="0" w:firstLine="0"/>
              <w:jc w:val="center"/>
            </w:pPr>
            <w:r>
              <w:rPr>
                <w:sz w:val="20"/>
              </w:rPr>
              <w:t xml:space="preserve">-4,98 </w:t>
            </w:r>
          </w:p>
        </w:tc>
        <w:tc>
          <w:tcPr>
            <w:tcW w:w="1169" w:type="dxa"/>
            <w:tcBorders>
              <w:top w:val="dashed" w:sz="4" w:space="0" w:color="000000"/>
              <w:left w:val="dashed" w:sz="4" w:space="0" w:color="000000"/>
              <w:bottom w:val="single" w:sz="8" w:space="0" w:color="000000"/>
              <w:right w:val="dashed" w:sz="4" w:space="0" w:color="000000"/>
            </w:tcBorders>
          </w:tcPr>
          <w:p w:rsidR="00E8309B" w:rsidRDefault="009D0949">
            <w:pPr>
              <w:spacing w:after="0" w:line="259" w:lineRule="auto"/>
              <w:ind w:left="0" w:right="0" w:firstLine="0"/>
              <w:jc w:val="center"/>
            </w:pPr>
            <w:r>
              <w:rPr>
                <w:sz w:val="20"/>
              </w:rPr>
              <w:t xml:space="preserve">-6,27 </w:t>
            </w:r>
          </w:p>
        </w:tc>
        <w:tc>
          <w:tcPr>
            <w:tcW w:w="1169" w:type="dxa"/>
            <w:tcBorders>
              <w:top w:val="dashed" w:sz="4" w:space="0" w:color="000000"/>
              <w:left w:val="dashed" w:sz="4" w:space="0" w:color="000000"/>
              <w:bottom w:val="single" w:sz="8" w:space="0" w:color="000000"/>
              <w:right w:val="dashed" w:sz="4" w:space="0" w:color="000000"/>
            </w:tcBorders>
          </w:tcPr>
          <w:p w:rsidR="00E8309B" w:rsidRDefault="009D0949">
            <w:pPr>
              <w:spacing w:after="0" w:line="259" w:lineRule="auto"/>
              <w:ind w:left="3" w:right="0" w:firstLine="0"/>
              <w:jc w:val="center"/>
            </w:pPr>
            <w:r>
              <w:rPr>
                <w:sz w:val="20"/>
              </w:rPr>
              <w:t xml:space="preserve">0,00 </w:t>
            </w:r>
          </w:p>
        </w:tc>
        <w:tc>
          <w:tcPr>
            <w:tcW w:w="1169" w:type="dxa"/>
            <w:tcBorders>
              <w:top w:val="dashed" w:sz="4" w:space="0" w:color="000000"/>
              <w:left w:val="dashed" w:sz="4" w:space="0" w:color="000000"/>
              <w:bottom w:val="single" w:sz="8" w:space="0" w:color="000000"/>
              <w:right w:val="dashed" w:sz="4" w:space="0" w:color="000000"/>
            </w:tcBorders>
          </w:tcPr>
          <w:p w:rsidR="00E8309B" w:rsidRDefault="009D0949">
            <w:pPr>
              <w:spacing w:after="0" w:line="259" w:lineRule="auto"/>
              <w:ind w:left="3" w:right="0" w:firstLine="0"/>
              <w:jc w:val="center"/>
            </w:pPr>
            <w:r>
              <w:rPr>
                <w:sz w:val="20"/>
              </w:rPr>
              <w:t xml:space="preserve">0,00 </w:t>
            </w:r>
          </w:p>
        </w:tc>
        <w:tc>
          <w:tcPr>
            <w:tcW w:w="1611" w:type="dxa"/>
            <w:tcBorders>
              <w:top w:val="dashed" w:sz="4" w:space="0" w:color="000000"/>
              <w:left w:val="dashed" w:sz="4" w:space="0" w:color="000000"/>
              <w:bottom w:val="single" w:sz="8" w:space="0" w:color="000000"/>
              <w:right w:val="double" w:sz="6" w:space="0" w:color="000000"/>
            </w:tcBorders>
          </w:tcPr>
          <w:p w:rsidR="00E8309B" w:rsidRDefault="009D0949">
            <w:pPr>
              <w:spacing w:after="0" w:line="259" w:lineRule="auto"/>
              <w:ind w:left="3" w:right="0" w:firstLine="0"/>
              <w:jc w:val="center"/>
            </w:pPr>
            <w:r>
              <w:rPr>
                <w:sz w:val="20"/>
              </w:rPr>
              <w:t xml:space="preserve">0,00 </w:t>
            </w:r>
          </w:p>
        </w:tc>
      </w:tr>
      <w:tr w:rsidR="00E8309B">
        <w:trPr>
          <w:trHeight w:val="418"/>
        </w:trPr>
        <w:tc>
          <w:tcPr>
            <w:tcW w:w="5581" w:type="dxa"/>
            <w:tcBorders>
              <w:top w:val="single" w:sz="8" w:space="0" w:color="000000"/>
              <w:left w:val="double" w:sz="6" w:space="0" w:color="000000"/>
              <w:bottom w:val="single" w:sz="8" w:space="0" w:color="000000"/>
              <w:right w:val="nil"/>
            </w:tcBorders>
          </w:tcPr>
          <w:p w:rsidR="00E8309B" w:rsidRDefault="00E8309B">
            <w:pPr>
              <w:spacing w:after="160" w:line="259" w:lineRule="auto"/>
              <w:ind w:left="0" w:right="0" w:firstLine="0"/>
              <w:jc w:val="left"/>
            </w:pPr>
          </w:p>
        </w:tc>
        <w:tc>
          <w:tcPr>
            <w:tcW w:w="3874" w:type="dxa"/>
            <w:gridSpan w:val="3"/>
            <w:tcBorders>
              <w:top w:val="single" w:sz="8" w:space="0" w:color="000000"/>
              <w:left w:val="nil"/>
              <w:bottom w:val="single" w:sz="8" w:space="0" w:color="000000"/>
              <w:right w:val="nil"/>
            </w:tcBorders>
            <w:vAlign w:val="bottom"/>
          </w:tcPr>
          <w:p w:rsidR="00E8309B" w:rsidRDefault="009D0949">
            <w:pPr>
              <w:spacing w:after="0" w:line="259" w:lineRule="auto"/>
              <w:ind w:left="1342" w:right="946" w:hanging="804"/>
              <w:jc w:val="left"/>
            </w:pPr>
            <w:r>
              <w:rPr>
                <w:b/>
                <w:sz w:val="20"/>
              </w:rPr>
              <w:t xml:space="preserve">Општи ниво државе (S13) </w:t>
            </w:r>
            <w:r>
              <w:rPr>
                <w:sz w:val="20"/>
              </w:rPr>
              <w:t xml:space="preserve"> </w:t>
            </w:r>
          </w:p>
        </w:tc>
        <w:tc>
          <w:tcPr>
            <w:tcW w:w="1169" w:type="dxa"/>
            <w:tcBorders>
              <w:top w:val="single" w:sz="8" w:space="0" w:color="000000"/>
              <w:left w:val="nil"/>
              <w:bottom w:val="single" w:sz="8" w:space="0" w:color="000000"/>
              <w:right w:val="nil"/>
            </w:tcBorders>
          </w:tcPr>
          <w:p w:rsidR="00E8309B" w:rsidRDefault="00E8309B">
            <w:pPr>
              <w:spacing w:after="160" w:line="259" w:lineRule="auto"/>
              <w:ind w:left="0" w:right="0" w:firstLine="0"/>
              <w:jc w:val="left"/>
            </w:pPr>
          </w:p>
        </w:tc>
        <w:tc>
          <w:tcPr>
            <w:tcW w:w="1169" w:type="dxa"/>
            <w:tcBorders>
              <w:top w:val="single" w:sz="8" w:space="0" w:color="000000"/>
              <w:left w:val="nil"/>
              <w:bottom w:val="single" w:sz="8" w:space="0" w:color="000000"/>
              <w:right w:val="nil"/>
            </w:tcBorders>
          </w:tcPr>
          <w:p w:rsidR="00E8309B" w:rsidRDefault="00E8309B">
            <w:pPr>
              <w:spacing w:after="160" w:line="259" w:lineRule="auto"/>
              <w:ind w:left="0" w:right="0" w:firstLine="0"/>
              <w:jc w:val="left"/>
            </w:pPr>
          </w:p>
        </w:tc>
        <w:tc>
          <w:tcPr>
            <w:tcW w:w="1169" w:type="dxa"/>
            <w:tcBorders>
              <w:top w:val="single" w:sz="8" w:space="0" w:color="000000"/>
              <w:left w:val="nil"/>
              <w:bottom w:val="single" w:sz="8" w:space="0" w:color="000000"/>
              <w:right w:val="nil"/>
            </w:tcBorders>
          </w:tcPr>
          <w:p w:rsidR="00E8309B" w:rsidRDefault="00E8309B">
            <w:pPr>
              <w:spacing w:after="160" w:line="259" w:lineRule="auto"/>
              <w:ind w:left="0" w:right="0" w:firstLine="0"/>
              <w:jc w:val="left"/>
            </w:pPr>
          </w:p>
        </w:tc>
        <w:tc>
          <w:tcPr>
            <w:tcW w:w="1611" w:type="dxa"/>
            <w:tcBorders>
              <w:top w:val="single" w:sz="8" w:space="0" w:color="000000"/>
              <w:left w:val="nil"/>
              <w:bottom w:val="single" w:sz="8" w:space="0" w:color="000000"/>
              <w:right w:val="double" w:sz="6" w:space="0" w:color="000000"/>
            </w:tcBorders>
          </w:tcPr>
          <w:p w:rsidR="00E8309B" w:rsidRDefault="00E8309B">
            <w:pPr>
              <w:spacing w:after="160" w:line="259" w:lineRule="auto"/>
              <w:ind w:left="0" w:right="0" w:firstLine="0"/>
              <w:jc w:val="left"/>
            </w:pPr>
          </w:p>
        </w:tc>
      </w:tr>
      <w:tr w:rsidR="00E8309B">
        <w:trPr>
          <w:trHeight w:val="365"/>
        </w:trPr>
        <w:tc>
          <w:tcPr>
            <w:tcW w:w="5581" w:type="dxa"/>
            <w:tcBorders>
              <w:top w:val="single" w:sz="8" w:space="0" w:color="000000"/>
              <w:left w:val="double" w:sz="6" w:space="0" w:color="000000"/>
              <w:bottom w:val="dashed" w:sz="4" w:space="0" w:color="000000"/>
              <w:right w:val="nil"/>
            </w:tcBorders>
          </w:tcPr>
          <w:p w:rsidR="00E8309B" w:rsidRDefault="009D0949">
            <w:pPr>
              <w:spacing w:after="0" w:line="259" w:lineRule="auto"/>
              <w:ind w:left="110" w:right="0" w:firstLine="0"/>
              <w:jc w:val="left"/>
            </w:pPr>
            <w:r>
              <w:rPr>
                <w:sz w:val="20"/>
              </w:rPr>
              <w:t xml:space="preserve">6. Укупни приходи </w:t>
            </w:r>
          </w:p>
        </w:tc>
        <w:tc>
          <w:tcPr>
            <w:tcW w:w="1560" w:type="dxa"/>
            <w:tcBorders>
              <w:top w:val="single" w:sz="8" w:space="0" w:color="000000"/>
              <w:left w:val="nil"/>
              <w:bottom w:val="dashed" w:sz="4" w:space="0" w:color="000000"/>
              <w:right w:val="single" w:sz="8" w:space="0" w:color="000000"/>
            </w:tcBorders>
            <w:vAlign w:val="bottom"/>
          </w:tcPr>
          <w:p w:rsidR="00E8309B" w:rsidRDefault="009D0949">
            <w:pPr>
              <w:spacing w:after="0" w:line="259" w:lineRule="auto"/>
              <w:ind w:left="0" w:right="169" w:firstLine="0"/>
              <w:jc w:val="right"/>
            </w:pPr>
            <w:r>
              <w:rPr>
                <w:sz w:val="20"/>
              </w:rPr>
              <w:t xml:space="preserve"> </w:t>
            </w:r>
          </w:p>
        </w:tc>
        <w:tc>
          <w:tcPr>
            <w:tcW w:w="1145" w:type="dxa"/>
            <w:tcBorders>
              <w:top w:val="single" w:sz="8" w:space="0" w:color="000000"/>
              <w:left w:val="single" w:sz="8" w:space="0" w:color="000000"/>
              <w:bottom w:val="dashed" w:sz="4" w:space="0" w:color="000000"/>
              <w:right w:val="single" w:sz="8" w:space="0" w:color="000000"/>
            </w:tcBorders>
          </w:tcPr>
          <w:p w:rsidR="00E8309B" w:rsidRDefault="009D0949">
            <w:pPr>
              <w:spacing w:after="0" w:line="259" w:lineRule="auto"/>
              <w:ind w:left="1" w:right="0" w:firstLine="0"/>
              <w:jc w:val="center"/>
            </w:pPr>
            <w:r>
              <w:rPr>
                <w:sz w:val="20"/>
              </w:rPr>
              <w:t xml:space="preserve">TR </w:t>
            </w:r>
          </w:p>
        </w:tc>
        <w:tc>
          <w:tcPr>
            <w:tcW w:w="1169" w:type="dxa"/>
            <w:tcBorders>
              <w:top w:val="single" w:sz="8" w:space="0" w:color="000000"/>
              <w:left w:val="single" w:sz="8" w:space="0" w:color="000000"/>
              <w:bottom w:val="dashed" w:sz="4" w:space="0" w:color="000000"/>
              <w:right w:val="dashed" w:sz="4" w:space="0" w:color="000000"/>
            </w:tcBorders>
          </w:tcPr>
          <w:p w:rsidR="00E8309B" w:rsidRDefault="009D0949">
            <w:pPr>
              <w:spacing w:after="0" w:line="259" w:lineRule="auto"/>
              <w:ind w:left="5" w:right="0" w:firstLine="0"/>
              <w:jc w:val="center"/>
            </w:pPr>
            <w:r>
              <w:rPr>
                <w:sz w:val="20"/>
              </w:rPr>
              <w:t xml:space="preserve">2278,56 </w:t>
            </w:r>
          </w:p>
        </w:tc>
        <w:tc>
          <w:tcPr>
            <w:tcW w:w="1169" w:type="dxa"/>
            <w:tcBorders>
              <w:top w:val="single" w:sz="8" w:space="0" w:color="000000"/>
              <w:left w:val="dashed" w:sz="4" w:space="0" w:color="000000"/>
              <w:bottom w:val="dashed" w:sz="4" w:space="0" w:color="000000"/>
              <w:right w:val="dashed" w:sz="4" w:space="0" w:color="000000"/>
            </w:tcBorders>
          </w:tcPr>
          <w:p w:rsidR="00E8309B" w:rsidRDefault="009D0949">
            <w:pPr>
              <w:spacing w:after="0" w:line="259" w:lineRule="auto"/>
              <w:ind w:left="4" w:right="0" w:firstLine="0"/>
              <w:jc w:val="center"/>
            </w:pPr>
            <w:r>
              <w:rPr>
                <w:sz w:val="20"/>
              </w:rPr>
              <w:t xml:space="preserve">2223,50 </w:t>
            </w:r>
          </w:p>
        </w:tc>
        <w:tc>
          <w:tcPr>
            <w:tcW w:w="1169" w:type="dxa"/>
            <w:tcBorders>
              <w:top w:val="single" w:sz="8" w:space="0" w:color="000000"/>
              <w:left w:val="dashed" w:sz="4" w:space="0" w:color="000000"/>
              <w:bottom w:val="dashed" w:sz="4" w:space="0" w:color="000000"/>
              <w:right w:val="dashed" w:sz="4" w:space="0" w:color="000000"/>
            </w:tcBorders>
          </w:tcPr>
          <w:p w:rsidR="00E8309B" w:rsidRDefault="009D0949">
            <w:pPr>
              <w:spacing w:after="0" w:line="259" w:lineRule="auto"/>
              <w:ind w:left="5" w:right="0" w:firstLine="0"/>
              <w:jc w:val="center"/>
            </w:pPr>
            <w:r>
              <w:rPr>
                <w:sz w:val="20"/>
              </w:rPr>
              <w:t xml:space="preserve">2423,94 </w:t>
            </w:r>
          </w:p>
        </w:tc>
        <w:tc>
          <w:tcPr>
            <w:tcW w:w="1169" w:type="dxa"/>
            <w:tcBorders>
              <w:top w:val="single" w:sz="8" w:space="0" w:color="000000"/>
              <w:left w:val="dashed" w:sz="4" w:space="0" w:color="000000"/>
              <w:bottom w:val="dashed" w:sz="4" w:space="0" w:color="000000"/>
              <w:right w:val="dashed" w:sz="4" w:space="0" w:color="000000"/>
            </w:tcBorders>
          </w:tcPr>
          <w:p w:rsidR="00E8309B" w:rsidRDefault="009D0949">
            <w:pPr>
              <w:spacing w:after="0" w:line="259" w:lineRule="auto"/>
              <w:ind w:left="5" w:right="0" w:firstLine="0"/>
              <w:jc w:val="center"/>
            </w:pPr>
            <w:r>
              <w:rPr>
                <w:sz w:val="20"/>
              </w:rPr>
              <w:t xml:space="preserve">2593,29 </w:t>
            </w:r>
          </w:p>
        </w:tc>
        <w:tc>
          <w:tcPr>
            <w:tcW w:w="1611" w:type="dxa"/>
            <w:tcBorders>
              <w:top w:val="single" w:sz="8" w:space="0" w:color="000000"/>
              <w:left w:val="dashed" w:sz="4" w:space="0" w:color="000000"/>
              <w:bottom w:val="dashed" w:sz="4" w:space="0" w:color="000000"/>
              <w:right w:val="double" w:sz="6" w:space="0" w:color="000000"/>
            </w:tcBorders>
          </w:tcPr>
          <w:p w:rsidR="00E8309B" w:rsidRDefault="009D0949">
            <w:pPr>
              <w:spacing w:after="0" w:line="259" w:lineRule="auto"/>
              <w:ind w:left="0" w:right="0" w:firstLine="0"/>
              <w:jc w:val="center"/>
            </w:pPr>
            <w:r>
              <w:rPr>
                <w:sz w:val="20"/>
              </w:rPr>
              <w:t xml:space="preserve">2728,12 </w:t>
            </w:r>
          </w:p>
        </w:tc>
      </w:tr>
      <w:tr w:rsidR="00E8309B">
        <w:trPr>
          <w:trHeight w:val="360"/>
        </w:trPr>
        <w:tc>
          <w:tcPr>
            <w:tcW w:w="5581" w:type="dxa"/>
            <w:tcBorders>
              <w:top w:val="dashed" w:sz="4" w:space="0" w:color="000000"/>
              <w:left w:val="double" w:sz="6" w:space="0" w:color="000000"/>
              <w:bottom w:val="dashed" w:sz="4" w:space="0" w:color="000000"/>
              <w:right w:val="nil"/>
            </w:tcBorders>
          </w:tcPr>
          <w:p w:rsidR="00E8309B" w:rsidRDefault="009D0949">
            <w:pPr>
              <w:spacing w:after="0" w:line="259" w:lineRule="auto"/>
              <w:ind w:left="110" w:right="0" w:firstLine="0"/>
              <w:jc w:val="left"/>
            </w:pPr>
            <w:r>
              <w:rPr>
                <w:sz w:val="20"/>
              </w:rPr>
              <w:t xml:space="preserve">7. Укупни расходи[1] </w:t>
            </w:r>
          </w:p>
        </w:tc>
        <w:tc>
          <w:tcPr>
            <w:tcW w:w="1560" w:type="dxa"/>
            <w:tcBorders>
              <w:top w:val="dashed" w:sz="4" w:space="0" w:color="000000"/>
              <w:left w:val="nil"/>
              <w:bottom w:val="dashed" w:sz="4" w:space="0" w:color="000000"/>
              <w:right w:val="single" w:sz="8" w:space="0" w:color="000000"/>
            </w:tcBorders>
            <w:vAlign w:val="bottom"/>
          </w:tcPr>
          <w:p w:rsidR="00E8309B" w:rsidRDefault="009D0949">
            <w:pPr>
              <w:spacing w:after="0" w:line="259" w:lineRule="auto"/>
              <w:ind w:left="0" w:right="169" w:firstLine="0"/>
              <w:jc w:val="right"/>
            </w:pPr>
            <w:r>
              <w:rPr>
                <w:sz w:val="20"/>
              </w:rPr>
              <w:t xml:space="preserve"> </w:t>
            </w:r>
          </w:p>
        </w:tc>
        <w:tc>
          <w:tcPr>
            <w:tcW w:w="1145" w:type="dxa"/>
            <w:tcBorders>
              <w:top w:val="dashed" w:sz="4" w:space="0" w:color="000000"/>
              <w:left w:val="single" w:sz="8" w:space="0" w:color="000000"/>
              <w:bottom w:val="dashed" w:sz="4" w:space="0" w:color="000000"/>
              <w:right w:val="single" w:sz="8" w:space="0" w:color="000000"/>
            </w:tcBorders>
          </w:tcPr>
          <w:p w:rsidR="00E8309B" w:rsidRDefault="009D0949">
            <w:pPr>
              <w:spacing w:after="0" w:line="259" w:lineRule="auto"/>
              <w:ind w:left="0" w:right="1" w:firstLine="0"/>
              <w:jc w:val="center"/>
            </w:pPr>
            <w:r>
              <w:rPr>
                <w:sz w:val="20"/>
              </w:rPr>
              <w:t xml:space="preserve">TE </w:t>
            </w:r>
          </w:p>
        </w:tc>
        <w:tc>
          <w:tcPr>
            <w:tcW w:w="1169" w:type="dxa"/>
            <w:tcBorders>
              <w:top w:val="dashed" w:sz="4" w:space="0" w:color="000000"/>
              <w:left w:val="single" w:sz="8" w:space="0" w:color="000000"/>
              <w:bottom w:val="dashed" w:sz="4" w:space="0" w:color="000000"/>
              <w:right w:val="dashed" w:sz="4" w:space="0" w:color="000000"/>
            </w:tcBorders>
          </w:tcPr>
          <w:p w:rsidR="00E8309B" w:rsidRDefault="009D0949">
            <w:pPr>
              <w:spacing w:after="0" w:line="259" w:lineRule="auto"/>
              <w:ind w:left="6" w:right="0" w:firstLine="0"/>
              <w:jc w:val="center"/>
            </w:pPr>
            <w:r>
              <w:rPr>
                <w:sz w:val="20"/>
              </w:rPr>
              <w:t xml:space="preserve">2289,67 </w:t>
            </w:r>
          </w:p>
        </w:tc>
        <w:tc>
          <w:tcPr>
            <w:tcW w:w="1169"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4" w:right="0" w:firstLine="0"/>
              <w:jc w:val="center"/>
            </w:pPr>
            <w:r>
              <w:rPr>
                <w:sz w:val="20"/>
              </w:rPr>
              <w:t xml:space="preserve">2715,82 </w:t>
            </w:r>
          </w:p>
        </w:tc>
        <w:tc>
          <w:tcPr>
            <w:tcW w:w="1169"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5" w:right="0" w:firstLine="0"/>
              <w:jc w:val="center"/>
            </w:pPr>
            <w:r>
              <w:rPr>
                <w:sz w:val="20"/>
              </w:rPr>
              <w:t xml:space="preserve">2603,29 </w:t>
            </w:r>
          </w:p>
        </w:tc>
        <w:tc>
          <w:tcPr>
            <w:tcW w:w="1169"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5" w:right="0" w:firstLine="0"/>
              <w:jc w:val="center"/>
            </w:pPr>
            <w:r>
              <w:rPr>
                <w:sz w:val="20"/>
              </w:rPr>
              <w:t xml:space="preserve">2698,84 </w:t>
            </w:r>
          </w:p>
        </w:tc>
        <w:tc>
          <w:tcPr>
            <w:tcW w:w="1611" w:type="dxa"/>
            <w:tcBorders>
              <w:top w:val="dashed" w:sz="4" w:space="0" w:color="000000"/>
              <w:left w:val="dashed" w:sz="4" w:space="0" w:color="000000"/>
              <w:bottom w:val="dashed" w:sz="4" w:space="0" w:color="000000"/>
              <w:right w:val="double" w:sz="6" w:space="0" w:color="000000"/>
            </w:tcBorders>
          </w:tcPr>
          <w:p w:rsidR="00E8309B" w:rsidRDefault="009D0949">
            <w:pPr>
              <w:spacing w:after="0" w:line="259" w:lineRule="auto"/>
              <w:ind w:left="0" w:right="0" w:firstLine="0"/>
              <w:jc w:val="center"/>
            </w:pPr>
            <w:r>
              <w:rPr>
                <w:sz w:val="20"/>
              </w:rPr>
              <w:t xml:space="preserve">2799,52 </w:t>
            </w:r>
          </w:p>
        </w:tc>
      </w:tr>
      <w:tr w:rsidR="00E8309B">
        <w:trPr>
          <w:trHeight w:val="360"/>
        </w:trPr>
        <w:tc>
          <w:tcPr>
            <w:tcW w:w="5581" w:type="dxa"/>
            <w:tcBorders>
              <w:top w:val="dashed" w:sz="4" w:space="0" w:color="000000"/>
              <w:left w:val="double" w:sz="6" w:space="0" w:color="000000"/>
              <w:bottom w:val="dashed" w:sz="4" w:space="0" w:color="000000"/>
              <w:right w:val="nil"/>
            </w:tcBorders>
          </w:tcPr>
          <w:p w:rsidR="00E8309B" w:rsidRDefault="009D0949">
            <w:pPr>
              <w:spacing w:after="0" w:line="259" w:lineRule="auto"/>
              <w:ind w:left="110" w:right="0" w:firstLine="0"/>
              <w:jc w:val="left"/>
            </w:pPr>
            <w:r>
              <w:rPr>
                <w:sz w:val="20"/>
              </w:rPr>
              <w:t xml:space="preserve">8. Нето узете/дате позајмице </w:t>
            </w:r>
          </w:p>
        </w:tc>
        <w:tc>
          <w:tcPr>
            <w:tcW w:w="1560" w:type="dxa"/>
            <w:tcBorders>
              <w:top w:val="dashed" w:sz="4" w:space="0" w:color="000000"/>
              <w:left w:val="nil"/>
              <w:bottom w:val="dashed" w:sz="4" w:space="0" w:color="000000"/>
              <w:right w:val="single" w:sz="8" w:space="0" w:color="000000"/>
            </w:tcBorders>
            <w:vAlign w:val="bottom"/>
          </w:tcPr>
          <w:p w:rsidR="00E8309B" w:rsidRDefault="009D0949">
            <w:pPr>
              <w:spacing w:after="0" w:line="259" w:lineRule="auto"/>
              <w:ind w:left="0" w:right="169" w:firstLine="0"/>
              <w:jc w:val="right"/>
            </w:pPr>
            <w:r>
              <w:rPr>
                <w:sz w:val="20"/>
              </w:rPr>
              <w:t xml:space="preserve"> </w:t>
            </w:r>
          </w:p>
        </w:tc>
        <w:tc>
          <w:tcPr>
            <w:tcW w:w="1145" w:type="dxa"/>
            <w:tcBorders>
              <w:top w:val="dashed" w:sz="4" w:space="0" w:color="000000"/>
              <w:left w:val="single" w:sz="8" w:space="0" w:color="000000"/>
              <w:bottom w:val="dashed" w:sz="4" w:space="0" w:color="000000"/>
              <w:right w:val="single" w:sz="8" w:space="0" w:color="000000"/>
            </w:tcBorders>
          </w:tcPr>
          <w:p w:rsidR="00E8309B" w:rsidRDefault="009D0949">
            <w:pPr>
              <w:spacing w:after="0" w:line="259" w:lineRule="auto"/>
              <w:ind w:left="0" w:right="2" w:firstLine="0"/>
              <w:jc w:val="center"/>
            </w:pPr>
            <w:r>
              <w:rPr>
                <w:sz w:val="20"/>
              </w:rPr>
              <w:t xml:space="preserve">EDP.B9 </w:t>
            </w:r>
          </w:p>
        </w:tc>
        <w:tc>
          <w:tcPr>
            <w:tcW w:w="1169" w:type="dxa"/>
            <w:tcBorders>
              <w:top w:val="dashed" w:sz="4" w:space="0" w:color="000000"/>
              <w:left w:val="single" w:sz="8" w:space="0" w:color="000000"/>
              <w:bottom w:val="dashed" w:sz="4" w:space="0" w:color="000000"/>
              <w:right w:val="dashed" w:sz="4" w:space="0" w:color="000000"/>
            </w:tcBorders>
          </w:tcPr>
          <w:p w:rsidR="00E8309B" w:rsidRDefault="009D0949">
            <w:pPr>
              <w:spacing w:after="0" w:line="259" w:lineRule="auto"/>
              <w:ind w:left="5" w:right="0" w:firstLine="0"/>
              <w:jc w:val="center"/>
            </w:pPr>
            <w:r>
              <w:rPr>
                <w:sz w:val="20"/>
              </w:rPr>
              <w:t xml:space="preserve">-11,11 </w:t>
            </w:r>
          </w:p>
        </w:tc>
        <w:tc>
          <w:tcPr>
            <w:tcW w:w="1169"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4" w:right="0" w:firstLine="0"/>
              <w:jc w:val="center"/>
            </w:pPr>
            <w:r>
              <w:rPr>
                <w:sz w:val="20"/>
              </w:rPr>
              <w:t xml:space="preserve">-492,32 </w:t>
            </w:r>
          </w:p>
        </w:tc>
        <w:tc>
          <w:tcPr>
            <w:tcW w:w="1169"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5" w:right="0" w:firstLine="0"/>
              <w:jc w:val="center"/>
            </w:pPr>
            <w:r>
              <w:rPr>
                <w:sz w:val="20"/>
              </w:rPr>
              <w:t xml:space="preserve">-179,35 </w:t>
            </w:r>
          </w:p>
        </w:tc>
        <w:tc>
          <w:tcPr>
            <w:tcW w:w="1169"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5" w:right="0" w:firstLine="0"/>
              <w:jc w:val="center"/>
            </w:pPr>
            <w:r>
              <w:rPr>
                <w:sz w:val="20"/>
              </w:rPr>
              <w:t xml:space="preserve">-105,55 </w:t>
            </w:r>
          </w:p>
        </w:tc>
        <w:tc>
          <w:tcPr>
            <w:tcW w:w="1611" w:type="dxa"/>
            <w:tcBorders>
              <w:top w:val="dashed" w:sz="4" w:space="0" w:color="000000"/>
              <w:left w:val="dashed" w:sz="4" w:space="0" w:color="000000"/>
              <w:bottom w:val="dashed" w:sz="4" w:space="0" w:color="000000"/>
              <w:right w:val="double" w:sz="6" w:space="0" w:color="000000"/>
            </w:tcBorders>
          </w:tcPr>
          <w:p w:rsidR="00E8309B" w:rsidRDefault="009D0949">
            <w:pPr>
              <w:spacing w:after="0" w:line="259" w:lineRule="auto"/>
              <w:ind w:left="0" w:right="0" w:firstLine="0"/>
              <w:jc w:val="center"/>
            </w:pPr>
            <w:r>
              <w:rPr>
                <w:sz w:val="20"/>
              </w:rPr>
              <w:t xml:space="preserve">-71,40 </w:t>
            </w:r>
          </w:p>
        </w:tc>
      </w:tr>
      <w:tr w:rsidR="00E8309B">
        <w:trPr>
          <w:trHeight w:val="818"/>
        </w:trPr>
        <w:tc>
          <w:tcPr>
            <w:tcW w:w="5581" w:type="dxa"/>
            <w:tcBorders>
              <w:top w:val="dashed" w:sz="4" w:space="0" w:color="000000"/>
              <w:left w:val="double" w:sz="6" w:space="0" w:color="000000"/>
              <w:bottom w:val="dashed" w:sz="4" w:space="0" w:color="000000"/>
              <w:right w:val="nil"/>
            </w:tcBorders>
          </w:tcPr>
          <w:p w:rsidR="00E8309B" w:rsidRDefault="009D0949">
            <w:pPr>
              <w:spacing w:after="0" w:line="259" w:lineRule="auto"/>
              <w:ind w:left="110" w:right="0" w:firstLine="0"/>
              <w:jc w:val="left"/>
            </w:pPr>
            <w:r>
              <w:rPr>
                <w:sz w:val="20"/>
              </w:rPr>
              <w:t xml:space="preserve">9. Расходи за камате </w:t>
            </w:r>
          </w:p>
        </w:tc>
        <w:tc>
          <w:tcPr>
            <w:tcW w:w="1560" w:type="dxa"/>
            <w:tcBorders>
              <w:top w:val="dashed" w:sz="4" w:space="0" w:color="000000"/>
              <w:left w:val="nil"/>
              <w:bottom w:val="dashed" w:sz="4" w:space="0" w:color="000000"/>
              <w:right w:val="single" w:sz="8" w:space="0" w:color="000000"/>
            </w:tcBorders>
            <w:vAlign w:val="bottom"/>
          </w:tcPr>
          <w:p w:rsidR="00E8309B" w:rsidRDefault="009D0949">
            <w:pPr>
              <w:spacing w:after="0" w:line="259" w:lineRule="auto"/>
              <w:ind w:left="0" w:right="169" w:firstLine="0"/>
              <w:jc w:val="right"/>
            </w:pPr>
            <w:r>
              <w:rPr>
                <w:sz w:val="20"/>
              </w:rPr>
              <w:t xml:space="preserve"> </w:t>
            </w:r>
          </w:p>
        </w:tc>
        <w:tc>
          <w:tcPr>
            <w:tcW w:w="1145" w:type="dxa"/>
            <w:tcBorders>
              <w:top w:val="dashed" w:sz="4" w:space="0" w:color="000000"/>
              <w:left w:val="single" w:sz="8" w:space="0" w:color="000000"/>
              <w:bottom w:val="dashed" w:sz="4" w:space="0" w:color="000000"/>
              <w:right w:val="single" w:sz="8" w:space="0" w:color="000000"/>
            </w:tcBorders>
          </w:tcPr>
          <w:p w:rsidR="00E8309B" w:rsidRDefault="009D0949">
            <w:pPr>
              <w:spacing w:after="2" w:line="237" w:lineRule="auto"/>
              <w:ind w:left="11" w:right="0" w:firstLine="0"/>
              <w:jc w:val="center"/>
            </w:pPr>
            <w:r>
              <w:rPr>
                <w:sz w:val="20"/>
              </w:rPr>
              <w:t xml:space="preserve">EDP.D41 incl. </w:t>
            </w:r>
          </w:p>
          <w:p w:rsidR="00E8309B" w:rsidRDefault="009D0949">
            <w:pPr>
              <w:spacing w:after="0" w:line="259" w:lineRule="auto"/>
              <w:ind w:left="0" w:right="3" w:firstLine="0"/>
              <w:jc w:val="center"/>
            </w:pPr>
            <w:r>
              <w:rPr>
                <w:sz w:val="20"/>
              </w:rPr>
              <w:t xml:space="preserve">FISIM </w:t>
            </w:r>
          </w:p>
          <w:p w:rsidR="00E8309B" w:rsidRDefault="009D0949">
            <w:pPr>
              <w:spacing w:after="0" w:line="259" w:lineRule="auto"/>
              <w:ind w:left="47" w:right="0" w:firstLine="0"/>
              <w:jc w:val="center"/>
            </w:pPr>
            <w:r>
              <w:rPr>
                <w:sz w:val="20"/>
              </w:rPr>
              <w:t xml:space="preserve"> </w:t>
            </w:r>
          </w:p>
        </w:tc>
        <w:tc>
          <w:tcPr>
            <w:tcW w:w="1169" w:type="dxa"/>
            <w:tcBorders>
              <w:top w:val="dashed" w:sz="4" w:space="0" w:color="000000"/>
              <w:left w:val="single" w:sz="8" w:space="0" w:color="000000"/>
              <w:bottom w:val="dashed" w:sz="4" w:space="0" w:color="000000"/>
              <w:right w:val="dashed" w:sz="4" w:space="0" w:color="000000"/>
            </w:tcBorders>
          </w:tcPr>
          <w:p w:rsidR="00E8309B" w:rsidRDefault="009D0949">
            <w:pPr>
              <w:spacing w:after="0" w:line="259" w:lineRule="auto"/>
              <w:ind w:left="5" w:right="0" w:firstLine="0"/>
              <w:jc w:val="center"/>
            </w:pPr>
            <w:r>
              <w:rPr>
                <w:sz w:val="20"/>
              </w:rPr>
              <w:t xml:space="preserve">108,94 </w:t>
            </w:r>
          </w:p>
        </w:tc>
        <w:tc>
          <w:tcPr>
            <w:tcW w:w="1169"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5" w:right="0" w:firstLine="0"/>
              <w:jc w:val="center"/>
            </w:pPr>
            <w:r>
              <w:rPr>
                <w:sz w:val="20"/>
              </w:rPr>
              <w:t xml:space="preserve">110,50 </w:t>
            </w:r>
          </w:p>
        </w:tc>
        <w:tc>
          <w:tcPr>
            <w:tcW w:w="1169"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5" w:right="0" w:firstLine="0"/>
              <w:jc w:val="center"/>
            </w:pPr>
            <w:r>
              <w:rPr>
                <w:sz w:val="20"/>
              </w:rPr>
              <w:t xml:space="preserve">113,60 </w:t>
            </w:r>
          </w:p>
        </w:tc>
        <w:tc>
          <w:tcPr>
            <w:tcW w:w="1169"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5" w:right="0" w:firstLine="0"/>
              <w:jc w:val="center"/>
            </w:pPr>
            <w:r>
              <w:rPr>
                <w:sz w:val="20"/>
              </w:rPr>
              <w:t xml:space="preserve">111,90 </w:t>
            </w:r>
          </w:p>
        </w:tc>
        <w:tc>
          <w:tcPr>
            <w:tcW w:w="1611" w:type="dxa"/>
            <w:tcBorders>
              <w:top w:val="dashed" w:sz="4" w:space="0" w:color="000000"/>
              <w:left w:val="dashed" w:sz="4" w:space="0" w:color="000000"/>
              <w:bottom w:val="dashed" w:sz="4" w:space="0" w:color="000000"/>
              <w:right w:val="double" w:sz="6" w:space="0" w:color="000000"/>
            </w:tcBorders>
          </w:tcPr>
          <w:p w:rsidR="00E8309B" w:rsidRDefault="009D0949">
            <w:pPr>
              <w:spacing w:after="0" w:line="259" w:lineRule="auto"/>
              <w:ind w:left="0" w:right="0" w:firstLine="0"/>
              <w:jc w:val="center"/>
            </w:pPr>
            <w:r>
              <w:rPr>
                <w:sz w:val="20"/>
              </w:rPr>
              <w:t xml:space="preserve">111,20 </w:t>
            </w:r>
          </w:p>
        </w:tc>
      </w:tr>
      <w:tr w:rsidR="00E8309B">
        <w:trPr>
          <w:trHeight w:val="360"/>
        </w:trPr>
        <w:tc>
          <w:tcPr>
            <w:tcW w:w="5581" w:type="dxa"/>
            <w:tcBorders>
              <w:top w:val="dashed" w:sz="4" w:space="0" w:color="000000"/>
              <w:left w:val="double" w:sz="6" w:space="0" w:color="000000"/>
              <w:bottom w:val="dashed" w:sz="4" w:space="0" w:color="000000"/>
              <w:right w:val="nil"/>
            </w:tcBorders>
          </w:tcPr>
          <w:p w:rsidR="00E8309B" w:rsidRDefault="009D0949">
            <w:pPr>
              <w:spacing w:after="0" w:line="259" w:lineRule="auto"/>
              <w:ind w:left="110" w:right="0" w:firstLine="0"/>
              <w:jc w:val="left"/>
            </w:pPr>
            <w:r>
              <w:rPr>
                <w:sz w:val="20"/>
              </w:rPr>
              <w:t xml:space="preserve">10. Примарни резултат[2] </w:t>
            </w:r>
          </w:p>
        </w:tc>
        <w:tc>
          <w:tcPr>
            <w:tcW w:w="1560" w:type="dxa"/>
            <w:tcBorders>
              <w:top w:val="dashed" w:sz="4" w:space="0" w:color="000000"/>
              <w:left w:val="nil"/>
              <w:bottom w:val="dashed" w:sz="4" w:space="0" w:color="000000"/>
              <w:right w:val="single" w:sz="8" w:space="0" w:color="000000"/>
            </w:tcBorders>
            <w:vAlign w:val="bottom"/>
          </w:tcPr>
          <w:p w:rsidR="00E8309B" w:rsidRDefault="009D0949">
            <w:pPr>
              <w:spacing w:after="0" w:line="259" w:lineRule="auto"/>
              <w:ind w:left="0" w:right="169" w:firstLine="0"/>
              <w:jc w:val="right"/>
            </w:pPr>
            <w:r>
              <w:rPr>
                <w:sz w:val="20"/>
              </w:rPr>
              <w:t xml:space="preserve"> </w:t>
            </w:r>
          </w:p>
        </w:tc>
        <w:tc>
          <w:tcPr>
            <w:tcW w:w="1145" w:type="dxa"/>
            <w:tcBorders>
              <w:top w:val="dashed" w:sz="4" w:space="0" w:color="000000"/>
              <w:left w:val="single" w:sz="8" w:space="0" w:color="000000"/>
              <w:bottom w:val="dashed" w:sz="4" w:space="0" w:color="000000"/>
              <w:right w:val="single" w:sz="8" w:space="0" w:color="000000"/>
            </w:tcBorders>
            <w:vAlign w:val="bottom"/>
          </w:tcPr>
          <w:p w:rsidR="00E8309B" w:rsidRDefault="009D0949">
            <w:pPr>
              <w:spacing w:after="0" w:line="259" w:lineRule="auto"/>
              <w:ind w:left="47" w:right="0" w:firstLine="0"/>
              <w:jc w:val="center"/>
            </w:pPr>
            <w:r>
              <w:rPr>
                <w:sz w:val="20"/>
              </w:rPr>
              <w:t xml:space="preserve"> </w:t>
            </w:r>
          </w:p>
        </w:tc>
        <w:tc>
          <w:tcPr>
            <w:tcW w:w="1169" w:type="dxa"/>
            <w:tcBorders>
              <w:top w:val="dashed" w:sz="4" w:space="0" w:color="000000"/>
              <w:left w:val="single" w:sz="8" w:space="0" w:color="000000"/>
              <w:bottom w:val="dashed" w:sz="4" w:space="0" w:color="000000"/>
              <w:right w:val="dashed" w:sz="4" w:space="0" w:color="000000"/>
            </w:tcBorders>
          </w:tcPr>
          <w:p w:rsidR="00E8309B" w:rsidRDefault="009D0949">
            <w:pPr>
              <w:spacing w:after="0" w:line="259" w:lineRule="auto"/>
              <w:ind w:left="3" w:right="0" w:firstLine="0"/>
              <w:jc w:val="center"/>
            </w:pPr>
            <w:r>
              <w:rPr>
                <w:sz w:val="20"/>
              </w:rPr>
              <w:t xml:space="preserve">97,82 </w:t>
            </w:r>
          </w:p>
        </w:tc>
        <w:tc>
          <w:tcPr>
            <w:tcW w:w="1169"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4" w:right="0" w:firstLine="0"/>
              <w:jc w:val="center"/>
            </w:pPr>
            <w:r>
              <w:rPr>
                <w:sz w:val="20"/>
              </w:rPr>
              <w:t xml:space="preserve">-381,82 </w:t>
            </w:r>
          </w:p>
        </w:tc>
        <w:tc>
          <w:tcPr>
            <w:tcW w:w="1169"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5" w:right="0" w:firstLine="0"/>
              <w:jc w:val="center"/>
            </w:pPr>
            <w:r>
              <w:rPr>
                <w:sz w:val="20"/>
              </w:rPr>
              <w:t xml:space="preserve">-65,75 </w:t>
            </w:r>
          </w:p>
        </w:tc>
        <w:tc>
          <w:tcPr>
            <w:tcW w:w="1169"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3" w:right="0" w:firstLine="0"/>
              <w:jc w:val="center"/>
            </w:pPr>
            <w:r>
              <w:rPr>
                <w:sz w:val="20"/>
              </w:rPr>
              <w:t xml:space="preserve">6,35 </w:t>
            </w:r>
          </w:p>
        </w:tc>
        <w:tc>
          <w:tcPr>
            <w:tcW w:w="1611" w:type="dxa"/>
            <w:tcBorders>
              <w:top w:val="dashed" w:sz="4" w:space="0" w:color="000000"/>
              <w:left w:val="dashed" w:sz="4" w:space="0" w:color="000000"/>
              <w:bottom w:val="dashed" w:sz="4" w:space="0" w:color="000000"/>
              <w:right w:val="double" w:sz="6" w:space="0" w:color="000000"/>
            </w:tcBorders>
          </w:tcPr>
          <w:p w:rsidR="00E8309B" w:rsidRDefault="009D0949">
            <w:pPr>
              <w:spacing w:after="0" w:line="259" w:lineRule="auto"/>
              <w:ind w:left="2" w:right="0" w:firstLine="0"/>
              <w:jc w:val="center"/>
            </w:pPr>
            <w:r>
              <w:rPr>
                <w:sz w:val="20"/>
              </w:rPr>
              <w:t xml:space="preserve">39,80 </w:t>
            </w:r>
          </w:p>
        </w:tc>
      </w:tr>
      <w:tr w:rsidR="00E8309B">
        <w:trPr>
          <w:trHeight w:val="365"/>
        </w:trPr>
        <w:tc>
          <w:tcPr>
            <w:tcW w:w="5581" w:type="dxa"/>
            <w:tcBorders>
              <w:top w:val="dashed" w:sz="4" w:space="0" w:color="000000"/>
              <w:left w:val="double" w:sz="6" w:space="0" w:color="000000"/>
              <w:bottom w:val="single" w:sz="8" w:space="0" w:color="000000"/>
              <w:right w:val="nil"/>
            </w:tcBorders>
          </w:tcPr>
          <w:p w:rsidR="00E8309B" w:rsidRDefault="009D0949">
            <w:pPr>
              <w:spacing w:after="0" w:line="259" w:lineRule="auto"/>
              <w:ind w:left="110" w:right="0" w:firstLine="0"/>
              <w:jc w:val="left"/>
            </w:pPr>
            <w:r>
              <w:rPr>
                <w:sz w:val="20"/>
              </w:rPr>
              <w:t xml:space="preserve">11. Једнократне и друге привремене мере [3] </w:t>
            </w:r>
          </w:p>
        </w:tc>
        <w:tc>
          <w:tcPr>
            <w:tcW w:w="1560" w:type="dxa"/>
            <w:tcBorders>
              <w:top w:val="dashed" w:sz="4" w:space="0" w:color="000000"/>
              <w:left w:val="nil"/>
              <w:bottom w:val="single" w:sz="8" w:space="0" w:color="000000"/>
              <w:right w:val="single" w:sz="8" w:space="0" w:color="000000"/>
            </w:tcBorders>
          </w:tcPr>
          <w:p w:rsidR="00E8309B" w:rsidRDefault="00E8309B">
            <w:pPr>
              <w:spacing w:after="160" w:line="259" w:lineRule="auto"/>
              <w:ind w:left="0" w:right="0" w:firstLine="0"/>
              <w:jc w:val="left"/>
            </w:pPr>
          </w:p>
        </w:tc>
        <w:tc>
          <w:tcPr>
            <w:tcW w:w="1145" w:type="dxa"/>
            <w:tcBorders>
              <w:top w:val="dashed" w:sz="4" w:space="0" w:color="000000"/>
              <w:left w:val="single" w:sz="8" w:space="0" w:color="000000"/>
              <w:bottom w:val="single" w:sz="8" w:space="0" w:color="000000"/>
              <w:right w:val="single" w:sz="8" w:space="0" w:color="000000"/>
            </w:tcBorders>
          </w:tcPr>
          <w:p w:rsidR="00E8309B" w:rsidRDefault="00E8309B">
            <w:pPr>
              <w:spacing w:after="160" w:line="259" w:lineRule="auto"/>
              <w:ind w:left="0" w:right="0" w:firstLine="0"/>
              <w:jc w:val="left"/>
            </w:pPr>
          </w:p>
        </w:tc>
        <w:tc>
          <w:tcPr>
            <w:tcW w:w="1169" w:type="dxa"/>
            <w:tcBorders>
              <w:top w:val="dashed" w:sz="4" w:space="0" w:color="000000"/>
              <w:left w:val="single" w:sz="8" w:space="0" w:color="000000"/>
              <w:bottom w:val="single" w:sz="8" w:space="0" w:color="000000"/>
              <w:right w:val="dashed" w:sz="4" w:space="0" w:color="000000"/>
            </w:tcBorders>
          </w:tcPr>
          <w:p w:rsidR="00E8309B" w:rsidRDefault="009D0949">
            <w:pPr>
              <w:spacing w:after="0" w:line="259" w:lineRule="auto"/>
              <w:ind w:left="5" w:right="0" w:firstLine="0"/>
              <w:jc w:val="center"/>
            </w:pPr>
            <w:r>
              <w:rPr>
                <w:sz w:val="20"/>
              </w:rPr>
              <w:t xml:space="preserve">: </w:t>
            </w:r>
          </w:p>
        </w:tc>
        <w:tc>
          <w:tcPr>
            <w:tcW w:w="1169" w:type="dxa"/>
            <w:tcBorders>
              <w:top w:val="dashed" w:sz="4" w:space="0" w:color="000000"/>
              <w:left w:val="dashed" w:sz="4" w:space="0" w:color="000000"/>
              <w:bottom w:val="single" w:sz="8" w:space="0" w:color="000000"/>
              <w:right w:val="dashed" w:sz="4" w:space="0" w:color="000000"/>
            </w:tcBorders>
          </w:tcPr>
          <w:p w:rsidR="00E8309B" w:rsidRDefault="009D0949">
            <w:pPr>
              <w:spacing w:after="0" w:line="259" w:lineRule="auto"/>
              <w:ind w:left="4" w:right="0" w:firstLine="0"/>
              <w:jc w:val="center"/>
            </w:pPr>
            <w:r>
              <w:rPr>
                <w:sz w:val="20"/>
              </w:rPr>
              <w:t xml:space="preserve">: </w:t>
            </w:r>
          </w:p>
        </w:tc>
        <w:tc>
          <w:tcPr>
            <w:tcW w:w="1169" w:type="dxa"/>
            <w:tcBorders>
              <w:top w:val="dashed" w:sz="4" w:space="0" w:color="000000"/>
              <w:left w:val="dashed" w:sz="4" w:space="0" w:color="000000"/>
              <w:bottom w:val="single" w:sz="8" w:space="0" w:color="000000"/>
              <w:right w:val="dashed" w:sz="4" w:space="0" w:color="000000"/>
            </w:tcBorders>
          </w:tcPr>
          <w:p w:rsidR="00E8309B" w:rsidRDefault="009D0949">
            <w:pPr>
              <w:spacing w:after="0" w:line="259" w:lineRule="auto"/>
              <w:ind w:left="5" w:right="0" w:firstLine="0"/>
              <w:jc w:val="center"/>
            </w:pPr>
            <w:r>
              <w:rPr>
                <w:sz w:val="20"/>
              </w:rPr>
              <w:t xml:space="preserve">: </w:t>
            </w:r>
          </w:p>
        </w:tc>
        <w:tc>
          <w:tcPr>
            <w:tcW w:w="1169" w:type="dxa"/>
            <w:tcBorders>
              <w:top w:val="dashed" w:sz="4" w:space="0" w:color="000000"/>
              <w:left w:val="dashed" w:sz="4" w:space="0" w:color="000000"/>
              <w:bottom w:val="single" w:sz="8" w:space="0" w:color="000000"/>
              <w:right w:val="dashed" w:sz="4" w:space="0" w:color="000000"/>
            </w:tcBorders>
          </w:tcPr>
          <w:p w:rsidR="00E8309B" w:rsidRDefault="009D0949">
            <w:pPr>
              <w:spacing w:after="0" w:line="259" w:lineRule="auto"/>
              <w:ind w:left="5" w:right="0" w:firstLine="0"/>
              <w:jc w:val="center"/>
            </w:pPr>
            <w:r>
              <w:rPr>
                <w:sz w:val="20"/>
              </w:rPr>
              <w:t xml:space="preserve">: </w:t>
            </w:r>
          </w:p>
        </w:tc>
        <w:tc>
          <w:tcPr>
            <w:tcW w:w="1611" w:type="dxa"/>
            <w:tcBorders>
              <w:top w:val="dashed" w:sz="4" w:space="0" w:color="000000"/>
              <w:left w:val="dashed" w:sz="4" w:space="0" w:color="000000"/>
              <w:bottom w:val="single" w:sz="8" w:space="0" w:color="000000"/>
              <w:right w:val="double" w:sz="6" w:space="0" w:color="000000"/>
            </w:tcBorders>
          </w:tcPr>
          <w:p w:rsidR="00E8309B" w:rsidRDefault="009D0949">
            <w:pPr>
              <w:spacing w:after="0" w:line="259" w:lineRule="auto"/>
              <w:ind w:left="1" w:right="0" w:firstLine="0"/>
              <w:jc w:val="center"/>
            </w:pPr>
            <w:r>
              <w:rPr>
                <w:sz w:val="20"/>
              </w:rPr>
              <w:t xml:space="preserve">: </w:t>
            </w:r>
          </w:p>
        </w:tc>
      </w:tr>
      <w:tr w:rsidR="00E8309B">
        <w:trPr>
          <w:trHeight w:val="418"/>
        </w:trPr>
        <w:tc>
          <w:tcPr>
            <w:tcW w:w="5581" w:type="dxa"/>
            <w:tcBorders>
              <w:top w:val="single" w:sz="8" w:space="0" w:color="000000"/>
              <w:left w:val="double" w:sz="6" w:space="0" w:color="000000"/>
              <w:bottom w:val="single" w:sz="8" w:space="0" w:color="000000"/>
              <w:right w:val="nil"/>
            </w:tcBorders>
          </w:tcPr>
          <w:p w:rsidR="00E8309B" w:rsidRDefault="00E8309B">
            <w:pPr>
              <w:spacing w:after="160" w:line="259" w:lineRule="auto"/>
              <w:ind w:left="0" w:right="0" w:firstLine="0"/>
              <w:jc w:val="left"/>
            </w:pPr>
          </w:p>
        </w:tc>
        <w:tc>
          <w:tcPr>
            <w:tcW w:w="3874" w:type="dxa"/>
            <w:gridSpan w:val="3"/>
            <w:tcBorders>
              <w:top w:val="single" w:sz="8" w:space="0" w:color="000000"/>
              <w:left w:val="nil"/>
              <w:bottom w:val="single" w:sz="8" w:space="0" w:color="000000"/>
              <w:right w:val="nil"/>
            </w:tcBorders>
            <w:vAlign w:val="bottom"/>
          </w:tcPr>
          <w:p w:rsidR="00E8309B" w:rsidRDefault="009D0949">
            <w:pPr>
              <w:spacing w:after="0" w:line="259" w:lineRule="auto"/>
              <w:ind w:left="1341" w:right="1169" w:hanging="583"/>
              <w:jc w:val="left"/>
            </w:pPr>
            <w:r>
              <w:rPr>
                <w:b/>
                <w:sz w:val="20"/>
              </w:rPr>
              <w:t xml:space="preserve">Компоненте прихода </w:t>
            </w:r>
            <w:r>
              <w:rPr>
                <w:sz w:val="20"/>
              </w:rPr>
              <w:t xml:space="preserve"> </w:t>
            </w:r>
            <w:r>
              <w:rPr>
                <w:sz w:val="20"/>
              </w:rPr>
              <w:tab/>
              <w:t xml:space="preserve"> </w:t>
            </w:r>
          </w:p>
        </w:tc>
        <w:tc>
          <w:tcPr>
            <w:tcW w:w="1169" w:type="dxa"/>
            <w:tcBorders>
              <w:top w:val="single" w:sz="8" w:space="0" w:color="000000"/>
              <w:left w:val="nil"/>
              <w:bottom w:val="single" w:sz="8" w:space="0" w:color="000000"/>
              <w:right w:val="nil"/>
            </w:tcBorders>
          </w:tcPr>
          <w:p w:rsidR="00E8309B" w:rsidRDefault="00E8309B">
            <w:pPr>
              <w:spacing w:after="160" w:line="259" w:lineRule="auto"/>
              <w:ind w:left="0" w:right="0" w:firstLine="0"/>
              <w:jc w:val="left"/>
            </w:pPr>
          </w:p>
        </w:tc>
        <w:tc>
          <w:tcPr>
            <w:tcW w:w="1169" w:type="dxa"/>
            <w:tcBorders>
              <w:top w:val="single" w:sz="8" w:space="0" w:color="000000"/>
              <w:left w:val="nil"/>
              <w:bottom w:val="single" w:sz="8" w:space="0" w:color="000000"/>
              <w:right w:val="nil"/>
            </w:tcBorders>
          </w:tcPr>
          <w:p w:rsidR="00E8309B" w:rsidRDefault="00E8309B">
            <w:pPr>
              <w:spacing w:after="160" w:line="259" w:lineRule="auto"/>
              <w:ind w:left="0" w:right="0" w:firstLine="0"/>
              <w:jc w:val="left"/>
            </w:pPr>
          </w:p>
        </w:tc>
        <w:tc>
          <w:tcPr>
            <w:tcW w:w="1169" w:type="dxa"/>
            <w:tcBorders>
              <w:top w:val="single" w:sz="8" w:space="0" w:color="000000"/>
              <w:left w:val="nil"/>
              <w:bottom w:val="single" w:sz="8" w:space="0" w:color="000000"/>
              <w:right w:val="nil"/>
            </w:tcBorders>
          </w:tcPr>
          <w:p w:rsidR="00E8309B" w:rsidRDefault="00E8309B">
            <w:pPr>
              <w:spacing w:after="160" w:line="259" w:lineRule="auto"/>
              <w:ind w:left="0" w:right="0" w:firstLine="0"/>
              <w:jc w:val="left"/>
            </w:pPr>
          </w:p>
        </w:tc>
        <w:tc>
          <w:tcPr>
            <w:tcW w:w="1611" w:type="dxa"/>
            <w:tcBorders>
              <w:top w:val="single" w:sz="8" w:space="0" w:color="000000"/>
              <w:left w:val="nil"/>
              <w:bottom w:val="single" w:sz="8" w:space="0" w:color="000000"/>
              <w:right w:val="double" w:sz="6" w:space="0" w:color="000000"/>
            </w:tcBorders>
          </w:tcPr>
          <w:p w:rsidR="00E8309B" w:rsidRDefault="00E8309B">
            <w:pPr>
              <w:spacing w:after="160" w:line="259" w:lineRule="auto"/>
              <w:ind w:left="0" w:right="0" w:firstLine="0"/>
              <w:jc w:val="left"/>
            </w:pPr>
          </w:p>
        </w:tc>
      </w:tr>
      <w:tr w:rsidR="00E8309B">
        <w:trPr>
          <w:trHeight w:val="365"/>
        </w:trPr>
        <w:tc>
          <w:tcPr>
            <w:tcW w:w="5581" w:type="dxa"/>
            <w:tcBorders>
              <w:top w:val="single" w:sz="8" w:space="0" w:color="000000"/>
              <w:left w:val="double" w:sz="6" w:space="0" w:color="000000"/>
              <w:bottom w:val="dashed" w:sz="4" w:space="0" w:color="000000"/>
              <w:right w:val="nil"/>
            </w:tcBorders>
          </w:tcPr>
          <w:p w:rsidR="00E8309B" w:rsidRDefault="009D0949">
            <w:pPr>
              <w:spacing w:after="0" w:line="259" w:lineRule="auto"/>
              <w:ind w:left="110" w:right="0" w:firstLine="0"/>
              <w:jc w:val="left"/>
            </w:pPr>
            <w:r>
              <w:rPr>
                <w:sz w:val="20"/>
              </w:rPr>
              <w:t xml:space="preserve">12. Укупни порези  (12 = 12a+12b+12c) </w:t>
            </w:r>
          </w:p>
        </w:tc>
        <w:tc>
          <w:tcPr>
            <w:tcW w:w="1560" w:type="dxa"/>
            <w:tcBorders>
              <w:top w:val="single" w:sz="8" w:space="0" w:color="000000"/>
              <w:left w:val="nil"/>
              <w:bottom w:val="dashed" w:sz="4" w:space="0" w:color="000000"/>
              <w:right w:val="single" w:sz="8" w:space="0" w:color="000000"/>
            </w:tcBorders>
            <w:vAlign w:val="bottom"/>
          </w:tcPr>
          <w:p w:rsidR="00E8309B" w:rsidRDefault="009D0949">
            <w:pPr>
              <w:spacing w:after="0" w:line="259" w:lineRule="auto"/>
              <w:ind w:left="0" w:right="169" w:firstLine="0"/>
              <w:jc w:val="right"/>
            </w:pPr>
            <w:r>
              <w:rPr>
                <w:sz w:val="20"/>
              </w:rPr>
              <w:t xml:space="preserve"> </w:t>
            </w:r>
          </w:p>
        </w:tc>
        <w:tc>
          <w:tcPr>
            <w:tcW w:w="1145" w:type="dxa"/>
            <w:tcBorders>
              <w:top w:val="single" w:sz="8" w:space="0" w:color="000000"/>
              <w:left w:val="single" w:sz="8" w:space="0" w:color="000000"/>
              <w:bottom w:val="dashed" w:sz="4" w:space="0" w:color="000000"/>
              <w:right w:val="single" w:sz="8" w:space="0" w:color="000000"/>
            </w:tcBorders>
          </w:tcPr>
          <w:p w:rsidR="00E8309B" w:rsidRDefault="00E8309B">
            <w:pPr>
              <w:spacing w:after="160" w:line="259" w:lineRule="auto"/>
              <w:ind w:left="0" w:right="0" w:firstLine="0"/>
              <w:jc w:val="left"/>
            </w:pPr>
          </w:p>
        </w:tc>
        <w:tc>
          <w:tcPr>
            <w:tcW w:w="1169" w:type="dxa"/>
            <w:tcBorders>
              <w:top w:val="single" w:sz="8" w:space="0" w:color="000000"/>
              <w:left w:val="single" w:sz="8" w:space="0" w:color="000000"/>
              <w:bottom w:val="dashed" w:sz="4" w:space="0" w:color="000000"/>
              <w:right w:val="dashed" w:sz="4" w:space="0" w:color="000000"/>
            </w:tcBorders>
          </w:tcPr>
          <w:p w:rsidR="00E8309B" w:rsidRDefault="009D0949">
            <w:pPr>
              <w:spacing w:after="0" w:line="259" w:lineRule="auto"/>
              <w:ind w:left="5" w:right="0" w:firstLine="0"/>
              <w:jc w:val="center"/>
            </w:pPr>
            <w:r>
              <w:rPr>
                <w:sz w:val="20"/>
              </w:rPr>
              <w:t xml:space="preserve">1317,80 </w:t>
            </w:r>
          </w:p>
        </w:tc>
        <w:tc>
          <w:tcPr>
            <w:tcW w:w="1169" w:type="dxa"/>
            <w:tcBorders>
              <w:top w:val="single" w:sz="8" w:space="0" w:color="000000"/>
              <w:left w:val="dashed" w:sz="4" w:space="0" w:color="000000"/>
              <w:bottom w:val="dashed" w:sz="4" w:space="0" w:color="000000"/>
              <w:right w:val="dashed" w:sz="4" w:space="0" w:color="000000"/>
            </w:tcBorders>
          </w:tcPr>
          <w:p w:rsidR="00E8309B" w:rsidRDefault="009D0949">
            <w:pPr>
              <w:spacing w:after="0" w:line="259" w:lineRule="auto"/>
              <w:ind w:left="4" w:right="0" w:firstLine="0"/>
              <w:jc w:val="center"/>
            </w:pPr>
            <w:r>
              <w:rPr>
                <w:sz w:val="20"/>
              </w:rPr>
              <w:t xml:space="preserve">1302,24 </w:t>
            </w:r>
          </w:p>
        </w:tc>
        <w:tc>
          <w:tcPr>
            <w:tcW w:w="1169" w:type="dxa"/>
            <w:tcBorders>
              <w:top w:val="single" w:sz="8" w:space="0" w:color="000000"/>
              <w:left w:val="dashed" w:sz="4" w:space="0" w:color="000000"/>
              <w:bottom w:val="dashed" w:sz="4" w:space="0" w:color="000000"/>
              <w:right w:val="dashed" w:sz="4" w:space="0" w:color="000000"/>
            </w:tcBorders>
          </w:tcPr>
          <w:p w:rsidR="00E8309B" w:rsidRDefault="009D0949">
            <w:pPr>
              <w:spacing w:after="0" w:line="259" w:lineRule="auto"/>
              <w:ind w:left="5" w:right="0" w:firstLine="0"/>
              <w:jc w:val="center"/>
            </w:pPr>
            <w:r>
              <w:rPr>
                <w:sz w:val="20"/>
              </w:rPr>
              <w:t xml:space="preserve">1386,62 </w:t>
            </w:r>
          </w:p>
        </w:tc>
        <w:tc>
          <w:tcPr>
            <w:tcW w:w="1169" w:type="dxa"/>
            <w:tcBorders>
              <w:top w:val="single" w:sz="8" w:space="0" w:color="000000"/>
              <w:left w:val="dashed" w:sz="4" w:space="0" w:color="000000"/>
              <w:bottom w:val="dashed" w:sz="4" w:space="0" w:color="000000"/>
              <w:right w:val="dashed" w:sz="4" w:space="0" w:color="000000"/>
            </w:tcBorders>
          </w:tcPr>
          <w:p w:rsidR="00E8309B" w:rsidRDefault="009D0949">
            <w:pPr>
              <w:spacing w:after="0" w:line="259" w:lineRule="auto"/>
              <w:ind w:left="5" w:right="0" w:firstLine="0"/>
              <w:jc w:val="center"/>
            </w:pPr>
            <w:r>
              <w:rPr>
                <w:sz w:val="20"/>
              </w:rPr>
              <w:t xml:space="preserve">1476,97 </w:t>
            </w:r>
          </w:p>
        </w:tc>
        <w:tc>
          <w:tcPr>
            <w:tcW w:w="1611" w:type="dxa"/>
            <w:tcBorders>
              <w:top w:val="single" w:sz="8" w:space="0" w:color="000000"/>
              <w:left w:val="dashed" w:sz="4" w:space="0" w:color="000000"/>
              <w:bottom w:val="dashed" w:sz="4" w:space="0" w:color="000000"/>
              <w:right w:val="double" w:sz="6" w:space="0" w:color="000000"/>
            </w:tcBorders>
          </w:tcPr>
          <w:p w:rsidR="00E8309B" w:rsidRDefault="009D0949">
            <w:pPr>
              <w:spacing w:after="0" w:line="259" w:lineRule="auto"/>
              <w:ind w:left="0" w:right="0" w:firstLine="0"/>
              <w:jc w:val="center"/>
            </w:pPr>
            <w:r>
              <w:rPr>
                <w:sz w:val="20"/>
              </w:rPr>
              <w:t xml:space="preserve">1560,08 </w:t>
            </w:r>
          </w:p>
        </w:tc>
      </w:tr>
      <w:tr w:rsidR="00E8309B">
        <w:trPr>
          <w:trHeight w:val="360"/>
        </w:trPr>
        <w:tc>
          <w:tcPr>
            <w:tcW w:w="5581" w:type="dxa"/>
            <w:tcBorders>
              <w:top w:val="dashed" w:sz="4" w:space="0" w:color="000000"/>
              <w:left w:val="double" w:sz="6" w:space="0" w:color="000000"/>
              <w:bottom w:val="dashed" w:sz="4" w:space="0" w:color="000000"/>
              <w:right w:val="nil"/>
            </w:tcBorders>
          </w:tcPr>
          <w:p w:rsidR="00E8309B" w:rsidRDefault="009D0949">
            <w:pPr>
              <w:spacing w:after="0" w:line="259" w:lineRule="auto"/>
              <w:ind w:left="110" w:right="0" w:firstLine="0"/>
              <w:jc w:val="left"/>
            </w:pPr>
            <w:r>
              <w:rPr>
                <w:sz w:val="20"/>
              </w:rPr>
              <w:t xml:space="preserve">12a. Порези на производњу и увоз </w:t>
            </w:r>
          </w:p>
        </w:tc>
        <w:tc>
          <w:tcPr>
            <w:tcW w:w="1560" w:type="dxa"/>
            <w:tcBorders>
              <w:top w:val="dashed" w:sz="4" w:space="0" w:color="000000"/>
              <w:left w:val="nil"/>
              <w:bottom w:val="dashed" w:sz="4" w:space="0" w:color="000000"/>
              <w:right w:val="single" w:sz="8" w:space="0" w:color="000000"/>
            </w:tcBorders>
            <w:vAlign w:val="bottom"/>
          </w:tcPr>
          <w:p w:rsidR="00E8309B" w:rsidRDefault="009D0949">
            <w:pPr>
              <w:spacing w:after="0" w:line="259" w:lineRule="auto"/>
              <w:ind w:left="0" w:right="169" w:firstLine="0"/>
              <w:jc w:val="right"/>
            </w:pPr>
            <w:r>
              <w:rPr>
                <w:sz w:val="20"/>
              </w:rPr>
              <w:t xml:space="preserve"> </w:t>
            </w:r>
          </w:p>
        </w:tc>
        <w:tc>
          <w:tcPr>
            <w:tcW w:w="1145" w:type="dxa"/>
            <w:tcBorders>
              <w:top w:val="dashed" w:sz="4" w:space="0" w:color="000000"/>
              <w:left w:val="single" w:sz="8" w:space="0" w:color="000000"/>
              <w:bottom w:val="dashed" w:sz="4" w:space="0" w:color="000000"/>
              <w:right w:val="single" w:sz="8" w:space="0" w:color="000000"/>
            </w:tcBorders>
          </w:tcPr>
          <w:p w:rsidR="00E8309B" w:rsidRDefault="009D0949">
            <w:pPr>
              <w:spacing w:after="0" w:line="259" w:lineRule="auto"/>
              <w:ind w:left="0" w:right="4" w:firstLine="0"/>
              <w:jc w:val="center"/>
            </w:pPr>
            <w:r>
              <w:rPr>
                <w:sz w:val="20"/>
              </w:rPr>
              <w:t xml:space="preserve">D2 </w:t>
            </w:r>
          </w:p>
        </w:tc>
        <w:tc>
          <w:tcPr>
            <w:tcW w:w="1169" w:type="dxa"/>
            <w:tcBorders>
              <w:top w:val="dashed" w:sz="4" w:space="0" w:color="000000"/>
              <w:left w:val="single" w:sz="8" w:space="0" w:color="000000"/>
              <w:bottom w:val="dashed" w:sz="4" w:space="0" w:color="000000"/>
              <w:right w:val="dashed" w:sz="4" w:space="0" w:color="000000"/>
            </w:tcBorders>
          </w:tcPr>
          <w:p w:rsidR="00E8309B" w:rsidRDefault="009D0949">
            <w:pPr>
              <w:spacing w:after="0" w:line="259" w:lineRule="auto"/>
              <w:ind w:left="5" w:right="0" w:firstLine="0"/>
              <w:jc w:val="center"/>
            </w:pPr>
            <w:r>
              <w:rPr>
                <w:sz w:val="20"/>
              </w:rPr>
              <w:t xml:space="preserve">943,45 </w:t>
            </w:r>
          </w:p>
        </w:tc>
        <w:tc>
          <w:tcPr>
            <w:tcW w:w="1169"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5" w:right="0" w:firstLine="0"/>
              <w:jc w:val="center"/>
            </w:pPr>
            <w:r>
              <w:rPr>
                <w:sz w:val="20"/>
              </w:rPr>
              <w:t xml:space="preserve">930,22 </w:t>
            </w:r>
          </w:p>
        </w:tc>
        <w:tc>
          <w:tcPr>
            <w:tcW w:w="1169"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5" w:right="0" w:firstLine="0"/>
              <w:jc w:val="center"/>
            </w:pPr>
            <w:r>
              <w:rPr>
                <w:sz w:val="20"/>
              </w:rPr>
              <w:t xml:space="preserve">1002,56 </w:t>
            </w:r>
          </w:p>
        </w:tc>
        <w:tc>
          <w:tcPr>
            <w:tcW w:w="1169"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5" w:right="0" w:firstLine="0"/>
              <w:jc w:val="center"/>
            </w:pPr>
            <w:r>
              <w:rPr>
                <w:sz w:val="20"/>
              </w:rPr>
              <w:t xml:space="preserve">1061,33 </w:t>
            </w:r>
          </w:p>
        </w:tc>
        <w:tc>
          <w:tcPr>
            <w:tcW w:w="1611" w:type="dxa"/>
            <w:tcBorders>
              <w:top w:val="dashed" w:sz="4" w:space="0" w:color="000000"/>
              <w:left w:val="dashed" w:sz="4" w:space="0" w:color="000000"/>
              <w:bottom w:val="dashed" w:sz="4" w:space="0" w:color="000000"/>
              <w:right w:val="double" w:sz="6" w:space="0" w:color="000000"/>
            </w:tcBorders>
          </w:tcPr>
          <w:p w:rsidR="00E8309B" w:rsidRDefault="009D0949">
            <w:pPr>
              <w:spacing w:after="0" w:line="259" w:lineRule="auto"/>
              <w:ind w:left="0" w:right="0" w:firstLine="0"/>
              <w:jc w:val="center"/>
            </w:pPr>
            <w:r>
              <w:rPr>
                <w:sz w:val="20"/>
              </w:rPr>
              <w:t xml:space="preserve">1118,37 </w:t>
            </w:r>
          </w:p>
        </w:tc>
      </w:tr>
      <w:tr w:rsidR="00E8309B">
        <w:trPr>
          <w:trHeight w:val="360"/>
        </w:trPr>
        <w:tc>
          <w:tcPr>
            <w:tcW w:w="5581" w:type="dxa"/>
            <w:tcBorders>
              <w:top w:val="dashed" w:sz="4" w:space="0" w:color="000000"/>
              <w:left w:val="double" w:sz="6" w:space="0" w:color="000000"/>
              <w:bottom w:val="dashed" w:sz="4" w:space="0" w:color="000000"/>
              <w:right w:val="nil"/>
            </w:tcBorders>
          </w:tcPr>
          <w:p w:rsidR="00E8309B" w:rsidRDefault="009D0949">
            <w:pPr>
              <w:spacing w:after="0" w:line="259" w:lineRule="auto"/>
              <w:ind w:left="110" w:right="0" w:firstLine="0"/>
              <w:jc w:val="left"/>
            </w:pPr>
            <w:r>
              <w:rPr>
                <w:sz w:val="20"/>
              </w:rPr>
              <w:t xml:space="preserve">12б. Текући порези на доходак и имовину </w:t>
            </w:r>
          </w:p>
        </w:tc>
        <w:tc>
          <w:tcPr>
            <w:tcW w:w="1560" w:type="dxa"/>
            <w:tcBorders>
              <w:top w:val="dashed" w:sz="4" w:space="0" w:color="000000"/>
              <w:left w:val="nil"/>
              <w:bottom w:val="dashed" w:sz="4" w:space="0" w:color="000000"/>
              <w:right w:val="single" w:sz="8" w:space="0" w:color="000000"/>
            </w:tcBorders>
            <w:vAlign w:val="bottom"/>
          </w:tcPr>
          <w:p w:rsidR="00E8309B" w:rsidRDefault="009D0949">
            <w:pPr>
              <w:spacing w:after="0" w:line="259" w:lineRule="auto"/>
              <w:ind w:left="0" w:right="169" w:firstLine="0"/>
              <w:jc w:val="right"/>
            </w:pPr>
            <w:r>
              <w:rPr>
                <w:sz w:val="20"/>
              </w:rPr>
              <w:t xml:space="preserve"> </w:t>
            </w:r>
          </w:p>
        </w:tc>
        <w:tc>
          <w:tcPr>
            <w:tcW w:w="1145" w:type="dxa"/>
            <w:tcBorders>
              <w:top w:val="dashed" w:sz="4" w:space="0" w:color="000000"/>
              <w:left w:val="single" w:sz="8" w:space="0" w:color="000000"/>
              <w:bottom w:val="dashed" w:sz="4" w:space="0" w:color="000000"/>
              <w:right w:val="single" w:sz="8" w:space="0" w:color="000000"/>
            </w:tcBorders>
          </w:tcPr>
          <w:p w:rsidR="00E8309B" w:rsidRDefault="009D0949">
            <w:pPr>
              <w:spacing w:after="0" w:line="259" w:lineRule="auto"/>
              <w:ind w:left="0" w:right="4" w:firstLine="0"/>
              <w:jc w:val="center"/>
            </w:pPr>
            <w:r>
              <w:rPr>
                <w:sz w:val="20"/>
              </w:rPr>
              <w:t xml:space="preserve">D5 </w:t>
            </w:r>
          </w:p>
        </w:tc>
        <w:tc>
          <w:tcPr>
            <w:tcW w:w="1169" w:type="dxa"/>
            <w:tcBorders>
              <w:top w:val="dashed" w:sz="4" w:space="0" w:color="000000"/>
              <w:left w:val="single" w:sz="8" w:space="0" w:color="000000"/>
              <w:bottom w:val="dashed" w:sz="4" w:space="0" w:color="000000"/>
              <w:right w:val="dashed" w:sz="4" w:space="0" w:color="000000"/>
            </w:tcBorders>
          </w:tcPr>
          <w:p w:rsidR="00E8309B" w:rsidRDefault="009D0949">
            <w:pPr>
              <w:spacing w:after="0" w:line="259" w:lineRule="auto"/>
              <w:ind w:left="5" w:right="0" w:firstLine="0"/>
              <w:jc w:val="center"/>
            </w:pPr>
            <w:r>
              <w:rPr>
                <w:sz w:val="20"/>
              </w:rPr>
              <w:t xml:space="preserve">373,19 </w:t>
            </w:r>
          </w:p>
        </w:tc>
        <w:tc>
          <w:tcPr>
            <w:tcW w:w="1169"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5" w:right="0" w:firstLine="0"/>
              <w:jc w:val="center"/>
            </w:pPr>
            <w:r>
              <w:rPr>
                <w:sz w:val="20"/>
              </w:rPr>
              <w:t xml:space="preserve">370,59 </w:t>
            </w:r>
          </w:p>
        </w:tc>
        <w:tc>
          <w:tcPr>
            <w:tcW w:w="1169"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5" w:right="0" w:firstLine="0"/>
              <w:jc w:val="center"/>
            </w:pPr>
            <w:r>
              <w:rPr>
                <w:sz w:val="20"/>
              </w:rPr>
              <w:t xml:space="preserve">382,28 </w:t>
            </w:r>
          </w:p>
        </w:tc>
        <w:tc>
          <w:tcPr>
            <w:tcW w:w="1169"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5" w:right="0" w:firstLine="0"/>
              <w:jc w:val="center"/>
            </w:pPr>
            <w:r>
              <w:rPr>
                <w:sz w:val="20"/>
              </w:rPr>
              <w:t xml:space="preserve">413,44 </w:t>
            </w:r>
          </w:p>
        </w:tc>
        <w:tc>
          <w:tcPr>
            <w:tcW w:w="1611" w:type="dxa"/>
            <w:tcBorders>
              <w:top w:val="dashed" w:sz="4" w:space="0" w:color="000000"/>
              <w:left w:val="dashed" w:sz="4" w:space="0" w:color="000000"/>
              <w:bottom w:val="dashed" w:sz="4" w:space="0" w:color="000000"/>
              <w:right w:val="double" w:sz="6" w:space="0" w:color="000000"/>
            </w:tcBorders>
          </w:tcPr>
          <w:p w:rsidR="00E8309B" w:rsidRDefault="009D0949">
            <w:pPr>
              <w:spacing w:after="0" w:line="259" w:lineRule="auto"/>
              <w:ind w:left="0" w:right="0" w:firstLine="0"/>
              <w:jc w:val="center"/>
            </w:pPr>
            <w:r>
              <w:rPr>
                <w:sz w:val="20"/>
              </w:rPr>
              <w:t xml:space="preserve">438,98 </w:t>
            </w:r>
          </w:p>
        </w:tc>
      </w:tr>
      <w:tr w:rsidR="00E8309B">
        <w:trPr>
          <w:trHeight w:val="360"/>
        </w:trPr>
        <w:tc>
          <w:tcPr>
            <w:tcW w:w="5581" w:type="dxa"/>
            <w:tcBorders>
              <w:top w:val="dashed" w:sz="4" w:space="0" w:color="000000"/>
              <w:left w:val="double" w:sz="6" w:space="0" w:color="000000"/>
              <w:bottom w:val="dashed" w:sz="4" w:space="0" w:color="000000"/>
              <w:right w:val="nil"/>
            </w:tcBorders>
          </w:tcPr>
          <w:p w:rsidR="00E8309B" w:rsidRDefault="009D0949">
            <w:pPr>
              <w:spacing w:after="0" w:line="259" w:lineRule="auto"/>
              <w:ind w:left="110" w:right="0" w:firstLine="0"/>
              <w:jc w:val="left"/>
            </w:pPr>
            <w:r>
              <w:rPr>
                <w:sz w:val="20"/>
              </w:rPr>
              <w:t xml:space="preserve">12ц. Порези на капитал </w:t>
            </w:r>
          </w:p>
        </w:tc>
        <w:tc>
          <w:tcPr>
            <w:tcW w:w="1560" w:type="dxa"/>
            <w:tcBorders>
              <w:top w:val="dashed" w:sz="4" w:space="0" w:color="000000"/>
              <w:left w:val="nil"/>
              <w:bottom w:val="dashed" w:sz="4" w:space="0" w:color="000000"/>
              <w:right w:val="single" w:sz="8" w:space="0" w:color="000000"/>
            </w:tcBorders>
            <w:vAlign w:val="bottom"/>
          </w:tcPr>
          <w:p w:rsidR="00E8309B" w:rsidRDefault="009D0949">
            <w:pPr>
              <w:spacing w:after="0" w:line="259" w:lineRule="auto"/>
              <w:ind w:left="0" w:right="169" w:firstLine="0"/>
              <w:jc w:val="right"/>
            </w:pPr>
            <w:r>
              <w:rPr>
                <w:sz w:val="20"/>
              </w:rPr>
              <w:t xml:space="preserve"> </w:t>
            </w:r>
          </w:p>
        </w:tc>
        <w:tc>
          <w:tcPr>
            <w:tcW w:w="1145" w:type="dxa"/>
            <w:tcBorders>
              <w:top w:val="dashed" w:sz="4" w:space="0" w:color="000000"/>
              <w:left w:val="single" w:sz="8" w:space="0" w:color="000000"/>
              <w:bottom w:val="dashed" w:sz="4" w:space="0" w:color="000000"/>
              <w:right w:val="single" w:sz="8" w:space="0" w:color="000000"/>
            </w:tcBorders>
          </w:tcPr>
          <w:p w:rsidR="00E8309B" w:rsidRDefault="009D0949">
            <w:pPr>
              <w:spacing w:after="0" w:line="259" w:lineRule="auto"/>
              <w:ind w:left="0" w:right="4" w:firstLine="0"/>
              <w:jc w:val="center"/>
            </w:pPr>
            <w:r>
              <w:rPr>
                <w:sz w:val="20"/>
              </w:rPr>
              <w:t xml:space="preserve">D91 </w:t>
            </w:r>
          </w:p>
        </w:tc>
        <w:tc>
          <w:tcPr>
            <w:tcW w:w="1169" w:type="dxa"/>
            <w:tcBorders>
              <w:top w:val="dashed" w:sz="4" w:space="0" w:color="000000"/>
              <w:left w:val="single" w:sz="8" w:space="0" w:color="000000"/>
              <w:bottom w:val="dashed" w:sz="4" w:space="0" w:color="000000"/>
              <w:right w:val="dashed" w:sz="4" w:space="0" w:color="000000"/>
            </w:tcBorders>
          </w:tcPr>
          <w:p w:rsidR="00E8309B" w:rsidRDefault="009D0949">
            <w:pPr>
              <w:spacing w:after="0" w:line="259" w:lineRule="auto"/>
              <w:ind w:left="3" w:right="0" w:firstLine="0"/>
              <w:jc w:val="center"/>
            </w:pPr>
            <w:r>
              <w:rPr>
                <w:sz w:val="20"/>
              </w:rPr>
              <w:t xml:space="preserve">1,16 </w:t>
            </w:r>
          </w:p>
        </w:tc>
        <w:tc>
          <w:tcPr>
            <w:tcW w:w="1169"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2" w:right="0" w:firstLine="0"/>
              <w:jc w:val="center"/>
            </w:pPr>
            <w:r>
              <w:rPr>
                <w:sz w:val="20"/>
              </w:rPr>
              <w:t xml:space="preserve">1,44 </w:t>
            </w:r>
          </w:p>
        </w:tc>
        <w:tc>
          <w:tcPr>
            <w:tcW w:w="1169"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3" w:right="0" w:firstLine="0"/>
              <w:jc w:val="center"/>
            </w:pPr>
            <w:r>
              <w:rPr>
                <w:sz w:val="20"/>
              </w:rPr>
              <w:t xml:space="preserve">1,78 </w:t>
            </w:r>
          </w:p>
        </w:tc>
        <w:tc>
          <w:tcPr>
            <w:tcW w:w="1169"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3" w:right="0" w:firstLine="0"/>
              <w:jc w:val="center"/>
            </w:pPr>
            <w:r>
              <w:rPr>
                <w:sz w:val="20"/>
              </w:rPr>
              <w:t xml:space="preserve">2,20 </w:t>
            </w:r>
          </w:p>
        </w:tc>
        <w:tc>
          <w:tcPr>
            <w:tcW w:w="1611" w:type="dxa"/>
            <w:tcBorders>
              <w:top w:val="dashed" w:sz="4" w:space="0" w:color="000000"/>
              <w:left w:val="dashed" w:sz="4" w:space="0" w:color="000000"/>
              <w:bottom w:val="dashed" w:sz="4" w:space="0" w:color="000000"/>
              <w:right w:val="double" w:sz="6" w:space="0" w:color="000000"/>
            </w:tcBorders>
          </w:tcPr>
          <w:p w:rsidR="00E8309B" w:rsidRDefault="009D0949">
            <w:pPr>
              <w:spacing w:after="0" w:line="259" w:lineRule="auto"/>
              <w:ind w:left="3" w:right="0" w:firstLine="0"/>
              <w:jc w:val="center"/>
            </w:pPr>
            <w:r>
              <w:rPr>
                <w:sz w:val="20"/>
              </w:rPr>
              <w:t xml:space="preserve">2,73 </w:t>
            </w:r>
          </w:p>
        </w:tc>
      </w:tr>
      <w:tr w:rsidR="00E8309B">
        <w:trPr>
          <w:trHeight w:val="360"/>
        </w:trPr>
        <w:tc>
          <w:tcPr>
            <w:tcW w:w="5581" w:type="dxa"/>
            <w:tcBorders>
              <w:top w:val="dashed" w:sz="4" w:space="0" w:color="000000"/>
              <w:left w:val="double" w:sz="6" w:space="0" w:color="000000"/>
              <w:bottom w:val="dashed" w:sz="4" w:space="0" w:color="000000"/>
              <w:right w:val="nil"/>
            </w:tcBorders>
          </w:tcPr>
          <w:p w:rsidR="00E8309B" w:rsidRDefault="009D0949">
            <w:pPr>
              <w:spacing w:after="0" w:line="259" w:lineRule="auto"/>
              <w:ind w:left="110" w:right="0" w:firstLine="0"/>
              <w:jc w:val="left"/>
            </w:pPr>
            <w:r>
              <w:rPr>
                <w:sz w:val="20"/>
              </w:rPr>
              <w:t xml:space="preserve">13. Доприноси за социјално осигурање </w:t>
            </w:r>
          </w:p>
        </w:tc>
        <w:tc>
          <w:tcPr>
            <w:tcW w:w="1560" w:type="dxa"/>
            <w:tcBorders>
              <w:top w:val="dashed" w:sz="4" w:space="0" w:color="000000"/>
              <w:left w:val="nil"/>
              <w:bottom w:val="dashed" w:sz="4" w:space="0" w:color="000000"/>
              <w:right w:val="single" w:sz="8" w:space="0" w:color="000000"/>
            </w:tcBorders>
            <w:vAlign w:val="bottom"/>
          </w:tcPr>
          <w:p w:rsidR="00E8309B" w:rsidRDefault="009D0949">
            <w:pPr>
              <w:spacing w:after="0" w:line="259" w:lineRule="auto"/>
              <w:ind w:left="0" w:right="169" w:firstLine="0"/>
              <w:jc w:val="right"/>
            </w:pPr>
            <w:r>
              <w:rPr>
                <w:sz w:val="20"/>
              </w:rPr>
              <w:t xml:space="preserve"> </w:t>
            </w:r>
          </w:p>
        </w:tc>
        <w:tc>
          <w:tcPr>
            <w:tcW w:w="1145" w:type="dxa"/>
            <w:tcBorders>
              <w:top w:val="dashed" w:sz="4" w:space="0" w:color="000000"/>
              <w:left w:val="single" w:sz="8" w:space="0" w:color="000000"/>
              <w:bottom w:val="dashed" w:sz="4" w:space="0" w:color="000000"/>
              <w:right w:val="single" w:sz="8" w:space="0" w:color="000000"/>
            </w:tcBorders>
          </w:tcPr>
          <w:p w:rsidR="00E8309B" w:rsidRDefault="009D0949">
            <w:pPr>
              <w:spacing w:after="0" w:line="259" w:lineRule="auto"/>
              <w:ind w:left="0" w:right="4" w:firstLine="0"/>
              <w:jc w:val="center"/>
            </w:pPr>
            <w:r>
              <w:rPr>
                <w:sz w:val="20"/>
              </w:rPr>
              <w:t xml:space="preserve">D61 </w:t>
            </w:r>
          </w:p>
        </w:tc>
        <w:tc>
          <w:tcPr>
            <w:tcW w:w="1169" w:type="dxa"/>
            <w:tcBorders>
              <w:top w:val="dashed" w:sz="4" w:space="0" w:color="000000"/>
              <w:left w:val="single" w:sz="8" w:space="0" w:color="000000"/>
              <w:bottom w:val="dashed" w:sz="4" w:space="0" w:color="000000"/>
              <w:right w:val="dashed" w:sz="4" w:space="0" w:color="000000"/>
            </w:tcBorders>
          </w:tcPr>
          <w:p w:rsidR="00E8309B" w:rsidRDefault="009D0949">
            <w:pPr>
              <w:spacing w:after="0" w:line="259" w:lineRule="auto"/>
              <w:ind w:left="5" w:right="0" w:firstLine="0"/>
              <w:jc w:val="center"/>
            </w:pPr>
            <w:r>
              <w:rPr>
                <w:sz w:val="20"/>
              </w:rPr>
              <w:t xml:space="preserve">675,88 </w:t>
            </w:r>
          </w:p>
        </w:tc>
        <w:tc>
          <w:tcPr>
            <w:tcW w:w="1169"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5" w:right="0" w:firstLine="0"/>
              <w:jc w:val="center"/>
            </w:pPr>
            <w:r>
              <w:rPr>
                <w:sz w:val="20"/>
              </w:rPr>
              <w:t xml:space="preserve">673,13 </w:t>
            </w:r>
          </w:p>
        </w:tc>
        <w:tc>
          <w:tcPr>
            <w:tcW w:w="1169"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5" w:right="0" w:firstLine="0"/>
              <w:jc w:val="center"/>
            </w:pPr>
            <w:r>
              <w:rPr>
                <w:sz w:val="20"/>
              </w:rPr>
              <w:t xml:space="preserve">784,50 </w:t>
            </w:r>
          </w:p>
        </w:tc>
        <w:tc>
          <w:tcPr>
            <w:tcW w:w="1169"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5" w:right="0" w:firstLine="0"/>
              <w:jc w:val="center"/>
            </w:pPr>
            <w:r>
              <w:rPr>
                <w:sz w:val="20"/>
              </w:rPr>
              <w:t xml:space="preserve">848,85 </w:t>
            </w:r>
          </w:p>
        </w:tc>
        <w:tc>
          <w:tcPr>
            <w:tcW w:w="1611" w:type="dxa"/>
            <w:tcBorders>
              <w:top w:val="dashed" w:sz="4" w:space="0" w:color="000000"/>
              <w:left w:val="dashed" w:sz="4" w:space="0" w:color="000000"/>
              <w:bottom w:val="dashed" w:sz="4" w:space="0" w:color="000000"/>
              <w:right w:val="double" w:sz="6" w:space="0" w:color="000000"/>
            </w:tcBorders>
          </w:tcPr>
          <w:p w:rsidR="00E8309B" w:rsidRDefault="009D0949">
            <w:pPr>
              <w:spacing w:after="0" w:line="259" w:lineRule="auto"/>
              <w:ind w:left="0" w:right="0" w:firstLine="0"/>
              <w:jc w:val="center"/>
            </w:pPr>
            <w:r>
              <w:rPr>
                <w:sz w:val="20"/>
              </w:rPr>
              <w:t xml:space="preserve">882,70 </w:t>
            </w:r>
          </w:p>
        </w:tc>
      </w:tr>
      <w:tr w:rsidR="00E8309B">
        <w:trPr>
          <w:trHeight w:val="360"/>
        </w:trPr>
        <w:tc>
          <w:tcPr>
            <w:tcW w:w="5581" w:type="dxa"/>
            <w:tcBorders>
              <w:top w:val="dashed" w:sz="4" w:space="0" w:color="000000"/>
              <w:left w:val="double" w:sz="6" w:space="0" w:color="000000"/>
              <w:bottom w:val="dashed" w:sz="4" w:space="0" w:color="000000"/>
              <w:right w:val="nil"/>
            </w:tcBorders>
          </w:tcPr>
          <w:p w:rsidR="00E8309B" w:rsidRDefault="009D0949">
            <w:pPr>
              <w:spacing w:after="0" w:line="259" w:lineRule="auto"/>
              <w:ind w:left="110" w:right="0" w:firstLine="0"/>
              <w:jc w:val="left"/>
            </w:pPr>
            <w:r>
              <w:rPr>
                <w:sz w:val="20"/>
              </w:rPr>
              <w:t xml:space="preserve">14. Доходак од непокретне имовине </w:t>
            </w:r>
          </w:p>
        </w:tc>
        <w:tc>
          <w:tcPr>
            <w:tcW w:w="1560" w:type="dxa"/>
            <w:tcBorders>
              <w:top w:val="dashed" w:sz="4" w:space="0" w:color="000000"/>
              <w:left w:val="nil"/>
              <w:bottom w:val="dashed" w:sz="4" w:space="0" w:color="000000"/>
              <w:right w:val="single" w:sz="8" w:space="0" w:color="000000"/>
            </w:tcBorders>
            <w:vAlign w:val="bottom"/>
          </w:tcPr>
          <w:p w:rsidR="00E8309B" w:rsidRDefault="009D0949">
            <w:pPr>
              <w:spacing w:after="0" w:line="259" w:lineRule="auto"/>
              <w:ind w:left="0" w:right="169" w:firstLine="0"/>
              <w:jc w:val="right"/>
            </w:pPr>
            <w:r>
              <w:rPr>
                <w:sz w:val="20"/>
              </w:rPr>
              <w:t xml:space="preserve"> </w:t>
            </w:r>
          </w:p>
        </w:tc>
        <w:tc>
          <w:tcPr>
            <w:tcW w:w="1145" w:type="dxa"/>
            <w:tcBorders>
              <w:top w:val="dashed" w:sz="4" w:space="0" w:color="000000"/>
              <w:left w:val="single" w:sz="8" w:space="0" w:color="000000"/>
              <w:bottom w:val="dashed" w:sz="4" w:space="0" w:color="000000"/>
              <w:right w:val="single" w:sz="8" w:space="0" w:color="000000"/>
            </w:tcBorders>
          </w:tcPr>
          <w:p w:rsidR="00E8309B" w:rsidRDefault="009D0949">
            <w:pPr>
              <w:spacing w:after="0" w:line="259" w:lineRule="auto"/>
              <w:ind w:left="0" w:right="4" w:firstLine="0"/>
              <w:jc w:val="center"/>
            </w:pPr>
            <w:r>
              <w:rPr>
                <w:sz w:val="20"/>
              </w:rPr>
              <w:t xml:space="preserve">D4 </w:t>
            </w:r>
          </w:p>
          <w:p w:rsidR="00E8309B" w:rsidRDefault="009D0949">
            <w:pPr>
              <w:spacing w:after="0" w:line="259" w:lineRule="auto"/>
              <w:ind w:left="47" w:right="0" w:firstLine="0"/>
              <w:jc w:val="center"/>
            </w:pPr>
            <w:r>
              <w:rPr>
                <w:sz w:val="20"/>
              </w:rPr>
              <w:t xml:space="preserve"> </w:t>
            </w:r>
          </w:p>
        </w:tc>
        <w:tc>
          <w:tcPr>
            <w:tcW w:w="1169" w:type="dxa"/>
            <w:tcBorders>
              <w:top w:val="dashed" w:sz="4" w:space="0" w:color="000000"/>
              <w:left w:val="single" w:sz="8" w:space="0" w:color="000000"/>
              <w:bottom w:val="dashed" w:sz="4" w:space="0" w:color="000000"/>
              <w:right w:val="dashed" w:sz="4" w:space="0" w:color="000000"/>
            </w:tcBorders>
          </w:tcPr>
          <w:p w:rsidR="00E8309B" w:rsidRDefault="009D0949">
            <w:pPr>
              <w:spacing w:after="0" w:line="259" w:lineRule="auto"/>
              <w:ind w:left="3" w:right="0" w:firstLine="0"/>
              <w:jc w:val="center"/>
            </w:pPr>
            <w:r>
              <w:rPr>
                <w:sz w:val="20"/>
              </w:rPr>
              <w:t xml:space="preserve">68,76 </w:t>
            </w:r>
          </w:p>
        </w:tc>
        <w:tc>
          <w:tcPr>
            <w:tcW w:w="1169"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2" w:right="0" w:firstLine="0"/>
              <w:jc w:val="center"/>
            </w:pPr>
            <w:r>
              <w:rPr>
                <w:sz w:val="20"/>
              </w:rPr>
              <w:t xml:space="preserve">77,55 </w:t>
            </w:r>
          </w:p>
        </w:tc>
        <w:tc>
          <w:tcPr>
            <w:tcW w:w="1169"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3" w:right="0" w:firstLine="0"/>
              <w:jc w:val="center"/>
            </w:pPr>
            <w:r>
              <w:rPr>
                <w:sz w:val="20"/>
              </w:rPr>
              <w:t xml:space="preserve">75,76 </w:t>
            </w:r>
          </w:p>
        </w:tc>
        <w:tc>
          <w:tcPr>
            <w:tcW w:w="1169"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3" w:right="0" w:firstLine="0"/>
              <w:jc w:val="center"/>
            </w:pPr>
            <w:r>
              <w:rPr>
                <w:sz w:val="20"/>
              </w:rPr>
              <w:t xml:space="preserve">78,49 </w:t>
            </w:r>
          </w:p>
        </w:tc>
        <w:tc>
          <w:tcPr>
            <w:tcW w:w="1611" w:type="dxa"/>
            <w:tcBorders>
              <w:top w:val="dashed" w:sz="4" w:space="0" w:color="000000"/>
              <w:left w:val="dashed" w:sz="4" w:space="0" w:color="000000"/>
              <w:bottom w:val="dashed" w:sz="4" w:space="0" w:color="000000"/>
              <w:right w:val="double" w:sz="6" w:space="0" w:color="000000"/>
            </w:tcBorders>
          </w:tcPr>
          <w:p w:rsidR="00E8309B" w:rsidRDefault="009D0949">
            <w:pPr>
              <w:spacing w:after="0" w:line="259" w:lineRule="auto"/>
              <w:ind w:left="2" w:right="0" w:firstLine="0"/>
              <w:jc w:val="center"/>
            </w:pPr>
            <w:r>
              <w:rPr>
                <w:sz w:val="20"/>
              </w:rPr>
              <w:t xml:space="preserve">81,31 </w:t>
            </w:r>
          </w:p>
        </w:tc>
      </w:tr>
      <w:tr w:rsidR="00E8309B">
        <w:trPr>
          <w:trHeight w:val="360"/>
        </w:trPr>
        <w:tc>
          <w:tcPr>
            <w:tcW w:w="5581" w:type="dxa"/>
            <w:tcBorders>
              <w:top w:val="dashed" w:sz="4" w:space="0" w:color="000000"/>
              <w:left w:val="double" w:sz="6" w:space="0" w:color="000000"/>
              <w:bottom w:val="dashed" w:sz="4" w:space="0" w:color="000000"/>
              <w:right w:val="nil"/>
            </w:tcBorders>
          </w:tcPr>
          <w:p w:rsidR="00E8309B" w:rsidRDefault="009D0949">
            <w:pPr>
              <w:spacing w:after="0" w:line="259" w:lineRule="auto"/>
              <w:ind w:left="110" w:right="0" w:firstLine="0"/>
              <w:jc w:val="left"/>
            </w:pPr>
            <w:r>
              <w:rPr>
                <w:sz w:val="20"/>
              </w:rPr>
              <w:t xml:space="preserve">15. Друго (15 = 16-(12+13+14)) [4] </w:t>
            </w:r>
          </w:p>
        </w:tc>
        <w:tc>
          <w:tcPr>
            <w:tcW w:w="1560" w:type="dxa"/>
            <w:tcBorders>
              <w:top w:val="dashed" w:sz="4" w:space="0" w:color="000000"/>
              <w:left w:val="nil"/>
              <w:bottom w:val="dashed" w:sz="4" w:space="0" w:color="000000"/>
              <w:right w:val="single" w:sz="8" w:space="0" w:color="000000"/>
            </w:tcBorders>
          </w:tcPr>
          <w:p w:rsidR="00E8309B" w:rsidRDefault="00E8309B">
            <w:pPr>
              <w:spacing w:after="160" w:line="259" w:lineRule="auto"/>
              <w:ind w:left="0" w:right="0" w:firstLine="0"/>
              <w:jc w:val="left"/>
            </w:pPr>
          </w:p>
        </w:tc>
        <w:tc>
          <w:tcPr>
            <w:tcW w:w="1145" w:type="dxa"/>
            <w:tcBorders>
              <w:top w:val="dashed" w:sz="4" w:space="0" w:color="000000"/>
              <w:left w:val="single" w:sz="8" w:space="0" w:color="000000"/>
              <w:bottom w:val="dashed" w:sz="4" w:space="0" w:color="000000"/>
              <w:right w:val="single" w:sz="8" w:space="0" w:color="000000"/>
            </w:tcBorders>
          </w:tcPr>
          <w:p w:rsidR="00E8309B" w:rsidRDefault="00E8309B">
            <w:pPr>
              <w:spacing w:after="160" w:line="259" w:lineRule="auto"/>
              <w:ind w:left="0" w:right="0" w:firstLine="0"/>
              <w:jc w:val="left"/>
            </w:pPr>
          </w:p>
        </w:tc>
        <w:tc>
          <w:tcPr>
            <w:tcW w:w="1169" w:type="dxa"/>
            <w:tcBorders>
              <w:top w:val="dashed" w:sz="4" w:space="0" w:color="000000"/>
              <w:left w:val="single" w:sz="8" w:space="0" w:color="000000"/>
              <w:bottom w:val="dashed" w:sz="4" w:space="0" w:color="000000"/>
              <w:right w:val="dashed" w:sz="4" w:space="0" w:color="000000"/>
            </w:tcBorders>
          </w:tcPr>
          <w:p w:rsidR="00E8309B" w:rsidRDefault="009D0949">
            <w:pPr>
              <w:spacing w:after="0" w:line="259" w:lineRule="auto"/>
              <w:ind w:left="5" w:right="0" w:firstLine="0"/>
              <w:jc w:val="center"/>
            </w:pPr>
            <w:r>
              <w:rPr>
                <w:sz w:val="20"/>
              </w:rPr>
              <w:t xml:space="preserve">216,12 </w:t>
            </w:r>
          </w:p>
        </w:tc>
        <w:tc>
          <w:tcPr>
            <w:tcW w:w="1169"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5" w:right="0" w:firstLine="0"/>
              <w:jc w:val="center"/>
            </w:pPr>
            <w:r>
              <w:rPr>
                <w:sz w:val="20"/>
              </w:rPr>
              <w:t xml:space="preserve">170,58 </w:t>
            </w:r>
          </w:p>
        </w:tc>
        <w:tc>
          <w:tcPr>
            <w:tcW w:w="1169"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5" w:right="0" w:firstLine="0"/>
              <w:jc w:val="center"/>
            </w:pPr>
            <w:r>
              <w:rPr>
                <w:sz w:val="20"/>
              </w:rPr>
              <w:t xml:space="preserve">177,06 </w:t>
            </w:r>
          </w:p>
        </w:tc>
        <w:tc>
          <w:tcPr>
            <w:tcW w:w="1169"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5" w:right="0" w:firstLine="0"/>
              <w:jc w:val="center"/>
            </w:pPr>
            <w:r>
              <w:rPr>
                <w:sz w:val="20"/>
              </w:rPr>
              <w:t xml:space="preserve">188,99 </w:t>
            </w:r>
          </w:p>
        </w:tc>
        <w:tc>
          <w:tcPr>
            <w:tcW w:w="1611" w:type="dxa"/>
            <w:tcBorders>
              <w:top w:val="dashed" w:sz="4" w:space="0" w:color="000000"/>
              <w:left w:val="dashed" w:sz="4" w:space="0" w:color="000000"/>
              <w:bottom w:val="dashed" w:sz="4" w:space="0" w:color="000000"/>
              <w:right w:val="double" w:sz="6" w:space="0" w:color="000000"/>
            </w:tcBorders>
          </w:tcPr>
          <w:p w:rsidR="00E8309B" w:rsidRDefault="009D0949">
            <w:pPr>
              <w:spacing w:after="0" w:line="259" w:lineRule="auto"/>
              <w:ind w:left="0" w:right="0" w:firstLine="0"/>
              <w:jc w:val="center"/>
            </w:pPr>
            <w:r>
              <w:rPr>
                <w:sz w:val="20"/>
              </w:rPr>
              <w:t xml:space="preserve">204,03 </w:t>
            </w:r>
          </w:p>
        </w:tc>
      </w:tr>
    </w:tbl>
    <w:p w:rsidR="00E8309B" w:rsidRDefault="009D0949">
      <w:pPr>
        <w:spacing w:after="0" w:line="259" w:lineRule="auto"/>
        <w:ind w:left="0" w:right="627" w:firstLine="0"/>
        <w:jc w:val="center"/>
      </w:pPr>
      <w:r>
        <w:rPr>
          <w:sz w:val="20"/>
        </w:rPr>
        <w:t xml:space="preserve"> </w:t>
      </w:r>
    </w:p>
    <w:tbl>
      <w:tblPr>
        <w:tblStyle w:val="TableGrid"/>
        <w:tblW w:w="14573" w:type="dxa"/>
        <w:tblInd w:w="0" w:type="dxa"/>
        <w:tblCellMar>
          <w:top w:w="10" w:type="dxa"/>
          <w:left w:w="110" w:type="dxa"/>
          <w:bottom w:w="0" w:type="dxa"/>
          <w:right w:w="73" w:type="dxa"/>
        </w:tblCellMar>
        <w:tblLook w:val="04A0" w:firstRow="1" w:lastRow="0" w:firstColumn="1" w:lastColumn="0" w:noHBand="0" w:noVBand="1"/>
      </w:tblPr>
      <w:tblGrid>
        <w:gridCol w:w="5766"/>
        <w:gridCol w:w="1376"/>
        <w:gridCol w:w="1145"/>
        <w:gridCol w:w="1169"/>
        <w:gridCol w:w="1169"/>
        <w:gridCol w:w="1169"/>
        <w:gridCol w:w="1169"/>
        <w:gridCol w:w="1611"/>
      </w:tblGrid>
      <w:tr w:rsidR="00E8309B">
        <w:trPr>
          <w:trHeight w:val="360"/>
        </w:trPr>
        <w:tc>
          <w:tcPr>
            <w:tcW w:w="7141" w:type="dxa"/>
            <w:gridSpan w:val="2"/>
            <w:tcBorders>
              <w:top w:val="dashed" w:sz="4" w:space="0" w:color="000000"/>
              <w:left w:val="double" w:sz="6" w:space="0" w:color="000000"/>
              <w:bottom w:val="dashed" w:sz="4" w:space="0" w:color="000000"/>
              <w:right w:val="single" w:sz="8" w:space="0" w:color="000000"/>
            </w:tcBorders>
          </w:tcPr>
          <w:p w:rsidR="00E8309B" w:rsidRDefault="009D0949">
            <w:pPr>
              <w:spacing w:after="0" w:line="259" w:lineRule="auto"/>
              <w:ind w:left="0" w:right="0" w:firstLine="0"/>
              <w:jc w:val="left"/>
            </w:pPr>
            <w:r>
              <w:rPr>
                <w:sz w:val="20"/>
              </w:rPr>
              <w:t xml:space="preserve">16 = 6. Укупни приходи </w:t>
            </w:r>
          </w:p>
          <w:p w:rsidR="00E8309B" w:rsidRDefault="009D0949">
            <w:pPr>
              <w:spacing w:after="0" w:line="259" w:lineRule="auto"/>
              <w:ind w:left="0" w:right="96" w:firstLine="0"/>
              <w:jc w:val="right"/>
            </w:pPr>
            <w:r>
              <w:rPr>
                <w:sz w:val="20"/>
              </w:rPr>
              <w:t xml:space="preserve"> </w:t>
            </w:r>
          </w:p>
        </w:tc>
        <w:tc>
          <w:tcPr>
            <w:tcW w:w="1145" w:type="dxa"/>
            <w:tcBorders>
              <w:top w:val="dashed" w:sz="4" w:space="0" w:color="000000"/>
              <w:left w:val="single" w:sz="8" w:space="0" w:color="000000"/>
              <w:bottom w:val="dashed" w:sz="4" w:space="0" w:color="000000"/>
              <w:right w:val="single" w:sz="8" w:space="0" w:color="000000"/>
            </w:tcBorders>
          </w:tcPr>
          <w:p w:rsidR="00E8309B" w:rsidRDefault="009D0949">
            <w:pPr>
              <w:spacing w:after="0" w:line="259" w:lineRule="auto"/>
              <w:ind w:left="0" w:right="37" w:firstLine="0"/>
              <w:jc w:val="center"/>
            </w:pPr>
            <w:r>
              <w:rPr>
                <w:sz w:val="20"/>
              </w:rPr>
              <w:t xml:space="preserve">TR </w:t>
            </w:r>
          </w:p>
          <w:p w:rsidR="00E8309B" w:rsidRDefault="009D0949">
            <w:pPr>
              <w:spacing w:after="0" w:line="259" w:lineRule="auto"/>
              <w:ind w:right="0" w:firstLine="0"/>
              <w:jc w:val="center"/>
            </w:pPr>
            <w:r>
              <w:rPr>
                <w:sz w:val="20"/>
              </w:rPr>
              <w:t xml:space="preserve"> </w:t>
            </w:r>
          </w:p>
        </w:tc>
        <w:tc>
          <w:tcPr>
            <w:tcW w:w="1169" w:type="dxa"/>
            <w:tcBorders>
              <w:top w:val="dashed" w:sz="4" w:space="0" w:color="000000"/>
              <w:left w:val="single" w:sz="8" w:space="0" w:color="000000"/>
              <w:bottom w:val="dashed" w:sz="4" w:space="0" w:color="000000"/>
              <w:right w:val="dashed" w:sz="4" w:space="0" w:color="000000"/>
            </w:tcBorders>
          </w:tcPr>
          <w:p w:rsidR="00E8309B" w:rsidRDefault="009D0949">
            <w:pPr>
              <w:spacing w:after="0" w:line="259" w:lineRule="auto"/>
              <w:ind w:left="0" w:right="33" w:firstLine="0"/>
              <w:jc w:val="center"/>
            </w:pPr>
            <w:r>
              <w:rPr>
                <w:sz w:val="20"/>
              </w:rPr>
              <w:t xml:space="preserve">2278,56 </w:t>
            </w:r>
          </w:p>
        </w:tc>
        <w:tc>
          <w:tcPr>
            <w:tcW w:w="1169"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33" w:firstLine="0"/>
              <w:jc w:val="center"/>
            </w:pPr>
            <w:r>
              <w:rPr>
                <w:sz w:val="20"/>
              </w:rPr>
              <w:t xml:space="preserve">2223,50 </w:t>
            </w:r>
          </w:p>
        </w:tc>
        <w:tc>
          <w:tcPr>
            <w:tcW w:w="1169"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33" w:firstLine="0"/>
              <w:jc w:val="center"/>
            </w:pPr>
            <w:r>
              <w:rPr>
                <w:sz w:val="20"/>
              </w:rPr>
              <w:t xml:space="preserve">2423,94 </w:t>
            </w:r>
          </w:p>
        </w:tc>
        <w:tc>
          <w:tcPr>
            <w:tcW w:w="1169"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33" w:firstLine="0"/>
              <w:jc w:val="center"/>
            </w:pPr>
            <w:r>
              <w:rPr>
                <w:sz w:val="20"/>
              </w:rPr>
              <w:t xml:space="preserve">2593,29 </w:t>
            </w:r>
          </w:p>
        </w:tc>
        <w:tc>
          <w:tcPr>
            <w:tcW w:w="1611" w:type="dxa"/>
            <w:tcBorders>
              <w:top w:val="dashed" w:sz="4" w:space="0" w:color="000000"/>
              <w:left w:val="dashed" w:sz="4" w:space="0" w:color="000000"/>
              <w:bottom w:val="dashed" w:sz="4" w:space="0" w:color="000000"/>
              <w:right w:val="double" w:sz="6" w:space="0" w:color="000000"/>
            </w:tcBorders>
          </w:tcPr>
          <w:p w:rsidR="00E8309B" w:rsidRDefault="009D0949">
            <w:pPr>
              <w:spacing w:after="0" w:line="259" w:lineRule="auto"/>
              <w:ind w:left="0" w:right="38" w:firstLine="0"/>
              <w:jc w:val="center"/>
            </w:pPr>
            <w:r>
              <w:rPr>
                <w:sz w:val="20"/>
              </w:rPr>
              <w:t xml:space="preserve">2728,12 </w:t>
            </w:r>
          </w:p>
        </w:tc>
      </w:tr>
      <w:tr w:rsidR="00E8309B">
        <w:trPr>
          <w:trHeight w:val="365"/>
        </w:trPr>
        <w:tc>
          <w:tcPr>
            <w:tcW w:w="7141" w:type="dxa"/>
            <w:gridSpan w:val="2"/>
            <w:tcBorders>
              <w:top w:val="dashed" w:sz="4" w:space="0" w:color="000000"/>
              <w:left w:val="double" w:sz="6" w:space="0" w:color="000000"/>
              <w:bottom w:val="single" w:sz="8" w:space="0" w:color="000000"/>
              <w:right w:val="single" w:sz="8" w:space="0" w:color="000000"/>
            </w:tcBorders>
          </w:tcPr>
          <w:p w:rsidR="00E8309B" w:rsidRDefault="009D0949">
            <w:pPr>
              <w:spacing w:after="0" w:line="259" w:lineRule="auto"/>
              <w:ind w:left="0" w:right="0" w:firstLine="0"/>
              <w:jc w:val="left"/>
            </w:pPr>
            <w:r>
              <w:rPr>
                <w:sz w:val="20"/>
              </w:rPr>
              <w:t xml:space="preserve">Информативно: Пореско оптерећење (D2+D5+D61+D91-D995) [5] </w:t>
            </w:r>
          </w:p>
        </w:tc>
        <w:tc>
          <w:tcPr>
            <w:tcW w:w="1145" w:type="dxa"/>
            <w:tcBorders>
              <w:top w:val="dashed" w:sz="4" w:space="0" w:color="000000"/>
              <w:left w:val="single" w:sz="8" w:space="0" w:color="000000"/>
              <w:bottom w:val="single" w:sz="8" w:space="0" w:color="000000"/>
              <w:right w:val="single" w:sz="8" w:space="0" w:color="000000"/>
            </w:tcBorders>
          </w:tcPr>
          <w:p w:rsidR="00E8309B" w:rsidRDefault="00E8309B">
            <w:pPr>
              <w:spacing w:after="160" w:line="259" w:lineRule="auto"/>
              <w:ind w:left="0" w:right="0" w:firstLine="0"/>
              <w:jc w:val="left"/>
            </w:pPr>
          </w:p>
        </w:tc>
        <w:tc>
          <w:tcPr>
            <w:tcW w:w="1169" w:type="dxa"/>
            <w:tcBorders>
              <w:top w:val="dashed" w:sz="4" w:space="0" w:color="000000"/>
              <w:left w:val="single" w:sz="8" w:space="0" w:color="000000"/>
              <w:bottom w:val="single" w:sz="8" w:space="0" w:color="000000"/>
              <w:right w:val="dashed" w:sz="4" w:space="0" w:color="000000"/>
            </w:tcBorders>
          </w:tcPr>
          <w:p w:rsidR="00E8309B" w:rsidRDefault="009D0949">
            <w:pPr>
              <w:spacing w:after="0" w:line="259" w:lineRule="auto"/>
              <w:ind w:left="0" w:right="33" w:firstLine="0"/>
              <w:jc w:val="center"/>
            </w:pPr>
            <w:r>
              <w:rPr>
                <w:sz w:val="20"/>
              </w:rPr>
              <w:t xml:space="preserve">1993,68 </w:t>
            </w:r>
          </w:p>
        </w:tc>
        <w:tc>
          <w:tcPr>
            <w:tcW w:w="1169" w:type="dxa"/>
            <w:tcBorders>
              <w:top w:val="dashed" w:sz="4" w:space="0" w:color="000000"/>
              <w:left w:val="dashed" w:sz="4" w:space="0" w:color="000000"/>
              <w:bottom w:val="single" w:sz="8" w:space="0" w:color="000000"/>
              <w:right w:val="dashed" w:sz="4" w:space="0" w:color="000000"/>
            </w:tcBorders>
          </w:tcPr>
          <w:p w:rsidR="00E8309B" w:rsidRDefault="009D0949">
            <w:pPr>
              <w:spacing w:after="0" w:line="259" w:lineRule="auto"/>
              <w:ind w:left="0" w:right="33" w:firstLine="0"/>
              <w:jc w:val="center"/>
            </w:pPr>
            <w:r>
              <w:rPr>
                <w:sz w:val="20"/>
              </w:rPr>
              <w:t xml:space="preserve">1975,37 </w:t>
            </w:r>
          </w:p>
        </w:tc>
        <w:tc>
          <w:tcPr>
            <w:tcW w:w="1169" w:type="dxa"/>
            <w:tcBorders>
              <w:top w:val="dashed" w:sz="4" w:space="0" w:color="000000"/>
              <w:left w:val="dashed" w:sz="4" w:space="0" w:color="000000"/>
              <w:bottom w:val="single" w:sz="8" w:space="0" w:color="000000"/>
              <w:right w:val="dashed" w:sz="4" w:space="0" w:color="000000"/>
            </w:tcBorders>
          </w:tcPr>
          <w:p w:rsidR="00E8309B" w:rsidRDefault="009D0949">
            <w:pPr>
              <w:spacing w:after="0" w:line="259" w:lineRule="auto"/>
              <w:ind w:left="0" w:right="33" w:firstLine="0"/>
              <w:jc w:val="center"/>
            </w:pPr>
            <w:r>
              <w:rPr>
                <w:sz w:val="20"/>
              </w:rPr>
              <w:t xml:space="preserve">2171,12 </w:t>
            </w:r>
          </w:p>
        </w:tc>
        <w:tc>
          <w:tcPr>
            <w:tcW w:w="1169" w:type="dxa"/>
            <w:tcBorders>
              <w:top w:val="dashed" w:sz="4" w:space="0" w:color="000000"/>
              <w:left w:val="dashed" w:sz="4" w:space="0" w:color="000000"/>
              <w:bottom w:val="single" w:sz="8" w:space="0" w:color="000000"/>
              <w:right w:val="dashed" w:sz="4" w:space="0" w:color="000000"/>
            </w:tcBorders>
          </w:tcPr>
          <w:p w:rsidR="00E8309B" w:rsidRDefault="009D0949">
            <w:pPr>
              <w:spacing w:after="0" w:line="259" w:lineRule="auto"/>
              <w:ind w:left="0" w:right="33" w:firstLine="0"/>
              <w:jc w:val="center"/>
            </w:pPr>
            <w:r>
              <w:rPr>
                <w:sz w:val="20"/>
              </w:rPr>
              <w:t xml:space="preserve">2325,82 </w:t>
            </w:r>
          </w:p>
        </w:tc>
        <w:tc>
          <w:tcPr>
            <w:tcW w:w="1611" w:type="dxa"/>
            <w:tcBorders>
              <w:top w:val="dashed" w:sz="4" w:space="0" w:color="000000"/>
              <w:left w:val="dashed" w:sz="4" w:space="0" w:color="000000"/>
              <w:bottom w:val="single" w:sz="8" w:space="0" w:color="000000"/>
              <w:right w:val="double" w:sz="6" w:space="0" w:color="000000"/>
            </w:tcBorders>
          </w:tcPr>
          <w:p w:rsidR="00E8309B" w:rsidRDefault="009D0949">
            <w:pPr>
              <w:spacing w:after="0" w:line="259" w:lineRule="auto"/>
              <w:ind w:left="0" w:right="38" w:firstLine="0"/>
              <w:jc w:val="center"/>
            </w:pPr>
            <w:r>
              <w:rPr>
                <w:sz w:val="20"/>
              </w:rPr>
              <w:t xml:space="preserve">2442,78 </w:t>
            </w:r>
          </w:p>
        </w:tc>
      </w:tr>
      <w:tr w:rsidR="00E8309B">
        <w:trPr>
          <w:trHeight w:val="418"/>
        </w:trPr>
        <w:tc>
          <w:tcPr>
            <w:tcW w:w="5766" w:type="dxa"/>
            <w:tcBorders>
              <w:top w:val="single" w:sz="8" w:space="0" w:color="000000"/>
              <w:left w:val="double" w:sz="6" w:space="0" w:color="000000"/>
              <w:bottom w:val="single" w:sz="8" w:space="0" w:color="000000"/>
              <w:right w:val="nil"/>
            </w:tcBorders>
          </w:tcPr>
          <w:p w:rsidR="00E8309B" w:rsidRDefault="00E8309B">
            <w:pPr>
              <w:spacing w:after="160" w:line="259" w:lineRule="auto"/>
              <w:ind w:left="0" w:right="0" w:firstLine="0"/>
              <w:jc w:val="left"/>
            </w:pPr>
          </w:p>
        </w:tc>
        <w:tc>
          <w:tcPr>
            <w:tcW w:w="3689" w:type="dxa"/>
            <w:gridSpan w:val="3"/>
            <w:tcBorders>
              <w:top w:val="single" w:sz="8" w:space="0" w:color="000000"/>
              <w:left w:val="nil"/>
              <w:bottom w:val="single" w:sz="8" w:space="0" w:color="000000"/>
              <w:right w:val="nil"/>
            </w:tcBorders>
            <w:vAlign w:val="bottom"/>
          </w:tcPr>
          <w:p w:rsidR="00E8309B" w:rsidRDefault="009D0949">
            <w:pPr>
              <w:spacing w:after="0" w:line="259" w:lineRule="auto"/>
              <w:ind w:left="1046" w:right="682" w:hanging="996"/>
              <w:jc w:val="left"/>
            </w:pPr>
            <w:r>
              <w:rPr>
                <w:b/>
                <w:sz w:val="20"/>
              </w:rPr>
              <w:t xml:space="preserve">Изабране компоненте расхода </w:t>
            </w:r>
            <w:r>
              <w:rPr>
                <w:sz w:val="20"/>
              </w:rPr>
              <w:t xml:space="preserve"> </w:t>
            </w:r>
          </w:p>
        </w:tc>
        <w:tc>
          <w:tcPr>
            <w:tcW w:w="1169" w:type="dxa"/>
            <w:tcBorders>
              <w:top w:val="single" w:sz="8" w:space="0" w:color="000000"/>
              <w:left w:val="nil"/>
              <w:bottom w:val="single" w:sz="8" w:space="0" w:color="000000"/>
              <w:right w:val="nil"/>
            </w:tcBorders>
          </w:tcPr>
          <w:p w:rsidR="00E8309B" w:rsidRDefault="00E8309B">
            <w:pPr>
              <w:spacing w:after="160" w:line="259" w:lineRule="auto"/>
              <w:ind w:left="0" w:right="0" w:firstLine="0"/>
              <w:jc w:val="left"/>
            </w:pPr>
          </w:p>
        </w:tc>
        <w:tc>
          <w:tcPr>
            <w:tcW w:w="1169" w:type="dxa"/>
            <w:tcBorders>
              <w:top w:val="single" w:sz="8" w:space="0" w:color="000000"/>
              <w:left w:val="nil"/>
              <w:bottom w:val="single" w:sz="8" w:space="0" w:color="000000"/>
              <w:right w:val="nil"/>
            </w:tcBorders>
          </w:tcPr>
          <w:p w:rsidR="00E8309B" w:rsidRDefault="00E8309B">
            <w:pPr>
              <w:spacing w:after="160" w:line="259" w:lineRule="auto"/>
              <w:ind w:left="0" w:right="0" w:firstLine="0"/>
              <w:jc w:val="left"/>
            </w:pPr>
          </w:p>
        </w:tc>
        <w:tc>
          <w:tcPr>
            <w:tcW w:w="1169" w:type="dxa"/>
            <w:tcBorders>
              <w:top w:val="single" w:sz="8" w:space="0" w:color="000000"/>
              <w:left w:val="nil"/>
              <w:bottom w:val="single" w:sz="8" w:space="0" w:color="000000"/>
              <w:right w:val="nil"/>
            </w:tcBorders>
          </w:tcPr>
          <w:p w:rsidR="00E8309B" w:rsidRDefault="00E8309B">
            <w:pPr>
              <w:spacing w:after="160" w:line="259" w:lineRule="auto"/>
              <w:ind w:left="0" w:right="0" w:firstLine="0"/>
              <w:jc w:val="left"/>
            </w:pPr>
          </w:p>
        </w:tc>
        <w:tc>
          <w:tcPr>
            <w:tcW w:w="1611" w:type="dxa"/>
            <w:tcBorders>
              <w:top w:val="single" w:sz="8" w:space="0" w:color="000000"/>
              <w:left w:val="nil"/>
              <w:bottom w:val="single" w:sz="8" w:space="0" w:color="000000"/>
              <w:right w:val="double" w:sz="6" w:space="0" w:color="000000"/>
            </w:tcBorders>
          </w:tcPr>
          <w:p w:rsidR="00E8309B" w:rsidRDefault="00E8309B">
            <w:pPr>
              <w:spacing w:after="160" w:line="259" w:lineRule="auto"/>
              <w:ind w:left="0" w:right="0" w:firstLine="0"/>
              <w:jc w:val="left"/>
            </w:pPr>
          </w:p>
        </w:tc>
      </w:tr>
      <w:tr w:rsidR="00E8309B">
        <w:trPr>
          <w:trHeight w:val="365"/>
        </w:trPr>
        <w:tc>
          <w:tcPr>
            <w:tcW w:w="5766" w:type="dxa"/>
            <w:tcBorders>
              <w:top w:val="single" w:sz="8" w:space="0" w:color="000000"/>
              <w:left w:val="double" w:sz="6" w:space="0" w:color="000000"/>
              <w:bottom w:val="dashed" w:sz="4" w:space="0" w:color="000000"/>
              <w:right w:val="nil"/>
            </w:tcBorders>
          </w:tcPr>
          <w:p w:rsidR="00E8309B" w:rsidRDefault="009D0949">
            <w:pPr>
              <w:spacing w:after="0" w:line="259" w:lineRule="auto"/>
              <w:ind w:left="0" w:right="0" w:firstLine="0"/>
              <w:jc w:val="left"/>
            </w:pPr>
            <w:r>
              <w:rPr>
                <w:sz w:val="20"/>
              </w:rPr>
              <w:t xml:space="preserve">17. Колективна потрошња </w:t>
            </w:r>
          </w:p>
        </w:tc>
        <w:tc>
          <w:tcPr>
            <w:tcW w:w="1376" w:type="dxa"/>
            <w:tcBorders>
              <w:top w:val="single" w:sz="8" w:space="0" w:color="000000"/>
              <w:left w:val="nil"/>
              <w:bottom w:val="dashed" w:sz="4" w:space="0" w:color="000000"/>
              <w:right w:val="single" w:sz="8" w:space="0" w:color="000000"/>
            </w:tcBorders>
            <w:vAlign w:val="bottom"/>
          </w:tcPr>
          <w:p w:rsidR="00E8309B" w:rsidRDefault="009D0949">
            <w:pPr>
              <w:spacing w:after="0" w:line="259" w:lineRule="auto"/>
              <w:ind w:left="0" w:right="96" w:firstLine="0"/>
              <w:jc w:val="right"/>
            </w:pPr>
            <w:r>
              <w:rPr>
                <w:sz w:val="20"/>
              </w:rPr>
              <w:t xml:space="preserve"> </w:t>
            </w:r>
          </w:p>
        </w:tc>
        <w:tc>
          <w:tcPr>
            <w:tcW w:w="1145" w:type="dxa"/>
            <w:tcBorders>
              <w:top w:val="single" w:sz="8" w:space="0" w:color="000000"/>
              <w:left w:val="single" w:sz="8" w:space="0" w:color="000000"/>
              <w:bottom w:val="dashed" w:sz="4" w:space="0" w:color="000000"/>
              <w:right w:val="single" w:sz="8" w:space="0" w:color="000000"/>
            </w:tcBorders>
          </w:tcPr>
          <w:p w:rsidR="00E8309B" w:rsidRDefault="009D0949">
            <w:pPr>
              <w:spacing w:after="0" w:line="259" w:lineRule="auto"/>
              <w:ind w:left="0" w:right="39" w:firstLine="0"/>
              <w:jc w:val="center"/>
            </w:pPr>
            <w:r>
              <w:rPr>
                <w:sz w:val="20"/>
              </w:rPr>
              <w:t xml:space="preserve">P32 </w:t>
            </w:r>
          </w:p>
        </w:tc>
        <w:tc>
          <w:tcPr>
            <w:tcW w:w="1169" w:type="dxa"/>
            <w:tcBorders>
              <w:top w:val="single" w:sz="8" w:space="0" w:color="000000"/>
              <w:left w:val="single" w:sz="8" w:space="0" w:color="000000"/>
              <w:bottom w:val="dashed" w:sz="4" w:space="0" w:color="000000"/>
              <w:right w:val="dashed" w:sz="4" w:space="0" w:color="000000"/>
            </w:tcBorders>
          </w:tcPr>
          <w:p w:rsidR="00E8309B" w:rsidRDefault="009D0949">
            <w:pPr>
              <w:spacing w:after="0" w:line="259" w:lineRule="auto"/>
              <w:ind w:left="0" w:right="33" w:firstLine="0"/>
              <w:jc w:val="center"/>
            </w:pPr>
            <w:r>
              <w:rPr>
                <w:sz w:val="20"/>
              </w:rPr>
              <w:t xml:space="preserve">895,55 </w:t>
            </w:r>
          </w:p>
        </w:tc>
        <w:tc>
          <w:tcPr>
            <w:tcW w:w="1169" w:type="dxa"/>
            <w:tcBorders>
              <w:top w:val="single" w:sz="8" w:space="0" w:color="000000"/>
              <w:left w:val="dashed" w:sz="4" w:space="0" w:color="000000"/>
              <w:bottom w:val="dashed" w:sz="4" w:space="0" w:color="000000"/>
              <w:right w:val="dashed" w:sz="4" w:space="0" w:color="000000"/>
            </w:tcBorders>
          </w:tcPr>
          <w:p w:rsidR="00E8309B" w:rsidRDefault="009D0949">
            <w:pPr>
              <w:spacing w:after="0" w:line="259" w:lineRule="auto"/>
              <w:ind w:left="0" w:right="33" w:firstLine="0"/>
              <w:jc w:val="center"/>
            </w:pPr>
            <w:r>
              <w:rPr>
                <w:sz w:val="20"/>
              </w:rPr>
              <w:t xml:space="preserve">1029,54 </w:t>
            </w:r>
          </w:p>
        </w:tc>
        <w:tc>
          <w:tcPr>
            <w:tcW w:w="1169" w:type="dxa"/>
            <w:tcBorders>
              <w:top w:val="single" w:sz="8" w:space="0" w:color="000000"/>
              <w:left w:val="dashed" w:sz="4" w:space="0" w:color="000000"/>
              <w:bottom w:val="dashed" w:sz="4" w:space="0" w:color="000000"/>
              <w:right w:val="dashed" w:sz="4" w:space="0" w:color="000000"/>
            </w:tcBorders>
          </w:tcPr>
          <w:p w:rsidR="00E8309B" w:rsidRDefault="009D0949">
            <w:pPr>
              <w:spacing w:after="0" w:line="259" w:lineRule="auto"/>
              <w:ind w:left="0" w:right="33" w:firstLine="0"/>
              <w:jc w:val="center"/>
            </w:pPr>
            <w:r>
              <w:rPr>
                <w:sz w:val="20"/>
              </w:rPr>
              <w:t xml:space="preserve">1060,95 </w:t>
            </w:r>
          </w:p>
        </w:tc>
        <w:tc>
          <w:tcPr>
            <w:tcW w:w="1169" w:type="dxa"/>
            <w:tcBorders>
              <w:top w:val="single" w:sz="8" w:space="0" w:color="000000"/>
              <w:left w:val="dashed" w:sz="4" w:space="0" w:color="000000"/>
              <w:bottom w:val="dashed" w:sz="4" w:space="0" w:color="000000"/>
              <w:right w:val="dashed" w:sz="4" w:space="0" w:color="000000"/>
            </w:tcBorders>
          </w:tcPr>
          <w:p w:rsidR="00E8309B" w:rsidRDefault="009D0949">
            <w:pPr>
              <w:spacing w:after="0" w:line="259" w:lineRule="auto"/>
              <w:ind w:left="0" w:right="33" w:firstLine="0"/>
              <w:jc w:val="center"/>
            </w:pPr>
            <w:r>
              <w:rPr>
                <w:sz w:val="20"/>
              </w:rPr>
              <w:t xml:space="preserve">1104,38 </w:t>
            </w:r>
          </w:p>
        </w:tc>
        <w:tc>
          <w:tcPr>
            <w:tcW w:w="1611" w:type="dxa"/>
            <w:tcBorders>
              <w:top w:val="single" w:sz="8" w:space="0" w:color="000000"/>
              <w:left w:val="dashed" w:sz="4" w:space="0" w:color="000000"/>
              <w:bottom w:val="dashed" w:sz="4" w:space="0" w:color="000000"/>
              <w:right w:val="double" w:sz="6" w:space="0" w:color="000000"/>
            </w:tcBorders>
          </w:tcPr>
          <w:p w:rsidR="00E8309B" w:rsidRDefault="009D0949">
            <w:pPr>
              <w:spacing w:after="0" w:line="259" w:lineRule="auto"/>
              <w:ind w:left="0" w:right="38" w:firstLine="0"/>
              <w:jc w:val="center"/>
            </w:pPr>
            <w:r>
              <w:rPr>
                <w:sz w:val="20"/>
              </w:rPr>
              <w:t xml:space="preserve">1144,28 </w:t>
            </w:r>
          </w:p>
        </w:tc>
      </w:tr>
      <w:tr w:rsidR="00E8309B">
        <w:trPr>
          <w:trHeight w:val="360"/>
        </w:trPr>
        <w:tc>
          <w:tcPr>
            <w:tcW w:w="5766" w:type="dxa"/>
            <w:tcBorders>
              <w:top w:val="dashed" w:sz="4" w:space="0" w:color="000000"/>
              <w:left w:val="double" w:sz="6" w:space="0" w:color="000000"/>
              <w:bottom w:val="dashed" w:sz="4" w:space="0" w:color="000000"/>
              <w:right w:val="nil"/>
            </w:tcBorders>
          </w:tcPr>
          <w:p w:rsidR="00E8309B" w:rsidRDefault="009D0949">
            <w:pPr>
              <w:spacing w:after="0" w:line="259" w:lineRule="auto"/>
              <w:ind w:left="0" w:right="0" w:firstLine="0"/>
              <w:jc w:val="left"/>
            </w:pPr>
            <w:r>
              <w:rPr>
                <w:sz w:val="20"/>
              </w:rPr>
              <w:t xml:space="preserve">18. Укупни социјални трансфери </w:t>
            </w:r>
          </w:p>
        </w:tc>
        <w:tc>
          <w:tcPr>
            <w:tcW w:w="1376" w:type="dxa"/>
            <w:tcBorders>
              <w:top w:val="dashed" w:sz="4" w:space="0" w:color="000000"/>
              <w:left w:val="nil"/>
              <w:bottom w:val="dashed" w:sz="4" w:space="0" w:color="000000"/>
              <w:right w:val="single" w:sz="8" w:space="0" w:color="000000"/>
            </w:tcBorders>
            <w:vAlign w:val="bottom"/>
          </w:tcPr>
          <w:p w:rsidR="00E8309B" w:rsidRDefault="009D0949">
            <w:pPr>
              <w:spacing w:after="0" w:line="259" w:lineRule="auto"/>
              <w:ind w:left="0" w:right="96" w:firstLine="0"/>
              <w:jc w:val="right"/>
            </w:pPr>
            <w:r>
              <w:rPr>
                <w:sz w:val="20"/>
              </w:rPr>
              <w:t xml:space="preserve"> </w:t>
            </w:r>
          </w:p>
        </w:tc>
        <w:tc>
          <w:tcPr>
            <w:tcW w:w="1145" w:type="dxa"/>
            <w:tcBorders>
              <w:top w:val="dashed" w:sz="4" w:space="0" w:color="000000"/>
              <w:left w:val="single" w:sz="8" w:space="0" w:color="000000"/>
              <w:bottom w:val="dashed" w:sz="4" w:space="0" w:color="000000"/>
              <w:right w:val="single" w:sz="8" w:space="0" w:color="000000"/>
            </w:tcBorders>
          </w:tcPr>
          <w:p w:rsidR="00E8309B" w:rsidRDefault="009D0949">
            <w:pPr>
              <w:spacing w:after="0" w:line="259" w:lineRule="auto"/>
              <w:ind w:right="0" w:firstLine="0"/>
              <w:jc w:val="left"/>
            </w:pPr>
            <w:r>
              <w:rPr>
                <w:sz w:val="20"/>
              </w:rPr>
              <w:t xml:space="preserve">D62 + D63 </w:t>
            </w:r>
          </w:p>
        </w:tc>
        <w:tc>
          <w:tcPr>
            <w:tcW w:w="1169" w:type="dxa"/>
            <w:tcBorders>
              <w:top w:val="dashed" w:sz="4" w:space="0" w:color="000000"/>
              <w:left w:val="single" w:sz="8" w:space="0" w:color="000000"/>
              <w:bottom w:val="dashed" w:sz="4" w:space="0" w:color="000000"/>
              <w:right w:val="dashed" w:sz="4" w:space="0" w:color="000000"/>
            </w:tcBorders>
          </w:tcPr>
          <w:p w:rsidR="00E8309B" w:rsidRDefault="009D0949">
            <w:pPr>
              <w:spacing w:after="0" w:line="259" w:lineRule="auto"/>
              <w:ind w:left="0" w:right="33" w:firstLine="0"/>
              <w:jc w:val="center"/>
            </w:pPr>
            <w:r>
              <w:rPr>
                <w:sz w:val="20"/>
              </w:rPr>
              <w:t xml:space="preserve">782,94 </w:t>
            </w:r>
          </w:p>
        </w:tc>
        <w:tc>
          <w:tcPr>
            <w:tcW w:w="1169"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33" w:firstLine="0"/>
              <w:jc w:val="center"/>
            </w:pPr>
            <w:r>
              <w:rPr>
                <w:sz w:val="20"/>
              </w:rPr>
              <w:t xml:space="preserve">814,14 </w:t>
            </w:r>
          </w:p>
        </w:tc>
        <w:tc>
          <w:tcPr>
            <w:tcW w:w="1169"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33" w:firstLine="0"/>
              <w:jc w:val="center"/>
            </w:pPr>
            <w:r>
              <w:rPr>
                <w:sz w:val="20"/>
              </w:rPr>
              <w:t xml:space="preserve">847,81 </w:t>
            </w:r>
          </w:p>
        </w:tc>
        <w:tc>
          <w:tcPr>
            <w:tcW w:w="1169"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33" w:firstLine="0"/>
              <w:jc w:val="center"/>
            </w:pPr>
            <w:r>
              <w:rPr>
                <w:sz w:val="20"/>
              </w:rPr>
              <w:t xml:space="preserve">897,80 </w:t>
            </w:r>
          </w:p>
        </w:tc>
        <w:tc>
          <w:tcPr>
            <w:tcW w:w="1611" w:type="dxa"/>
            <w:tcBorders>
              <w:top w:val="dashed" w:sz="4" w:space="0" w:color="000000"/>
              <w:left w:val="dashed" w:sz="4" w:space="0" w:color="000000"/>
              <w:bottom w:val="dashed" w:sz="4" w:space="0" w:color="000000"/>
              <w:right w:val="double" w:sz="6" w:space="0" w:color="000000"/>
            </w:tcBorders>
          </w:tcPr>
          <w:p w:rsidR="00E8309B" w:rsidRDefault="009D0949">
            <w:pPr>
              <w:spacing w:after="0" w:line="259" w:lineRule="auto"/>
              <w:ind w:left="0" w:right="38" w:firstLine="0"/>
              <w:jc w:val="center"/>
            </w:pPr>
            <w:r>
              <w:rPr>
                <w:sz w:val="20"/>
              </w:rPr>
              <w:t xml:space="preserve">938,05 </w:t>
            </w:r>
          </w:p>
        </w:tc>
      </w:tr>
      <w:tr w:rsidR="00E8309B">
        <w:trPr>
          <w:trHeight w:val="360"/>
        </w:trPr>
        <w:tc>
          <w:tcPr>
            <w:tcW w:w="5766" w:type="dxa"/>
            <w:tcBorders>
              <w:top w:val="dashed" w:sz="4" w:space="0" w:color="000000"/>
              <w:left w:val="double" w:sz="6" w:space="0" w:color="000000"/>
              <w:bottom w:val="dashed" w:sz="4" w:space="0" w:color="000000"/>
              <w:right w:val="nil"/>
            </w:tcBorders>
          </w:tcPr>
          <w:p w:rsidR="00E8309B" w:rsidRDefault="009D0949">
            <w:pPr>
              <w:spacing w:after="0" w:line="259" w:lineRule="auto"/>
              <w:ind w:left="0" w:right="0" w:firstLine="0"/>
              <w:jc w:val="left"/>
            </w:pPr>
            <w:r>
              <w:rPr>
                <w:sz w:val="20"/>
              </w:rPr>
              <w:t xml:space="preserve">18a. Неновчани социјални трансфери </w:t>
            </w:r>
          </w:p>
        </w:tc>
        <w:tc>
          <w:tcPr>
            <w:tcW w:w="1376" w:type="dxa"/>
            <w:tcBorders>
              <w:top w:val="dashed" w:sz="4" w:space="0" w:color="000000"/>
              <w:left w:val="nil"/>
              <w:bottom w:val="dashed" w:sz="4" w:space="0" w:color="000000"/>
              <w:right w:val="single" w:sz="8" w:space="0" w:color="000000"/>
            </w:tcBorders>
            <w:vAlign w:val="bottom"/>
          </w:tcPr>
          <w:p w:rsidR="00E8309B" w:rsidRDefault="009D0949">
            <w:pPr>
              <w:spacing w:after="0" w:line="259" w:lineRule="auto"/>
              <w:ind w:left="0" w:right="96" w:firstLine="0"/>
              <w:jc w:val="right"/>
            </w:pPr>
            <w:r>
              <w:rPr>
                <w:sz w:val="20"/>
              </w:rPr>
              <w:t xml:space="preserve"> </w:t>
            </w:r>
          </w:p>
        </w:tc>
        <w:tc>
          <w:tcPr>
            <w:tcW w:w="1145" w:type="dxa"/>
            <w:tcBorders>
              <w:top w:val="dashed" w:sz="4" w:space="0" w:color="000000"/>
              <w:left w:val="single" w:sz="8" w:space="0" w:color="000000"/>
              <w:bottom w:val="dashed" w:sz="4" w:space="0" w:color="000000"/>
              <w:right w:val="single" w:sz="8" w:space="0" w:color="000000"/>
            </w:tcBorders>
          </w:tcPr>
          <w:p w:rsidR="00E8309B" w:rsidRDefault="009D0949">
            <w:pPr>
              <w:spacing w:after="0" w:line="259" w:lineRule="auto"/>
              <w:ind w:left="26" w:right="0" w:firstLine="0"/>
              <w:jc w:val="left"/>
            </w:pPr>
            <w:r>
              <w:rPr>
                <w:sz w:val="20"/>
              </w:rPr>
              <w:t xml:space="preserve">P31 = D63 </w:t>
            </w:r>
          </w:p>
        </w:tc>
        <w:tc>
          <w:tcPr>
            <w:tcW w:w="1169" w:type="dxa"/>
            <w:tcBorders>
              <w:top w:val="dashed" w:sz="4" w:space="0" w:color="000000"/>
              <w:left w:val="single" w:sz="8" w:space="0" w:color="000000"/>
              <w:bottom w:val="dashed" w:sz="4" w:space="0" w:color="000000"/>
              <w:right w:val="dashed" w:sz="4" w:space="0" w:color="000000"/>
            </w:tcBorders>
          </w:tcPr>
          <w:p w:rsidR="00E8309B" w:rsidRDefault="009D0949">
            <w:pPr>
              <w:spacing w:after="0" w:line="259" w:lineRule="auto"/>
              <w:ind w:left="0" w:right="35" w:firstLine="0"/>
              <w:jc w:val="center"/>
            </w:pPr>
            <w:r>
              <w:rPr>
                <w:sz w:val="20"/>
              </w:rPr>
              <w:t xml:space="preserve">0,00 </w:t>
            </w:r>
          </w:p>
        </w:tc>
        <w:tc>
          <w:tcPr>
            <w:tcW w:w="1169"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35" w:firstLine="0"/>
              <w:jc w:val="center"/>
            </w:pPr>
            <w:r>
              <w:rPr>
                <w:sz w:val="20"/>
              </w:rPr>
              <w:t xml:space="preserve">0,00 </w:t>
            </w:r>
          </w:p>
        </w:tc>
        <w:tc>
          <w:tcPr>
            <w:tcW w:w="1169"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35" w:firstLine="0"/>
              <w:jc w:val="center"/>
            </w:pPr>
            <w:r>
              <w:rPr>
                <w:sz w:val="20"/>
              </w:rPr>
              <w:t xml:space="preserve">0,00 </w:t>
            </w:r>
          </w:p>
        </w:tc>
        <w:tc>
          <w:tcPr>
            <w:tcW w:w="1169"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35" w:firstLine="0"/>
              <w:jc w:val="center"/>
            </w:pPr>
            <w:r>
              <w:rPr>
                <w:sz w:val="20"/>
              </w:rPr>
              <w:t xml:space="preserve">0,00 </w:t>
            </w:r>
          </w:p>
        </w:tc>
        <w:tc>
          <w:tcPr>
            <w:tcW w:w="1611" w:type="dxa"/>
            <w:tcBorders>
              <w:top w:val="dashed" w:sz="4" w:space="0" w:color="000000"/>
              <w:left w:val="dashed" w:sz="4" w:space="0" w:color="000000"/>
              <w:bottom w:val="dashed" w:sz="4" w:space="0" w:color="000000"/>
              <w:right w:val="double" w:sz="6" w:space="0" w:color="000000"/>
            </w:tcBorders>
          </w:tcPr>
          <w:p w:rsidR="00E8309B" w:rsidRDefault="009D0949">
            <w:pPr>
              <w:spacing w:after="0" w:line="259" w:lineRule="auto"/>
              <w:ind w:left="0" w:right="35" w:firstLine="0"/>
              <w:jc w:val="center"/>
            </w:pPr>
            <w:r>
              <w:rPr>
                <w:sz w:val="20"/>
              </w:rPr>
              <w:t xml:space="preserve">0,00 </w:t>
            </w:r>
          </w:p>
        </w:tc>
      </w:tr>
      <w:tr w:rsidR="00E8309B">
        <w:trPr>
          <w:trHeight w:val="361"/>
        </w:trPr>
        <w:tc>
          <w:tcPr>
            <w:tcW w:w="5766" w:type="dxa"/>
            <w:tcBorders>
              <w:top w:val="dashed" w:sz="4" w:space="0" w:color="000000"/>
              <w:left w:val="double" w:sz="6" w:space="0" w:color="000000"/>
              <w:bottom w:val="dashed" w:sz="4" w:space="0" w:color="000000"/>
              <w:right w:val="nil"/>
            </w:tcBorders>
          </w:tcPr>
          <w:p w:rsidR="00E8309B" w:rsidRDefault="009D0949">
            <w:pPr>
              <w:spacing w:after="0" w:line="259" w:lineRule="auto"/>
              <w:ind w:left="0" w:right="0" w:firstLine="0"/>
              <w:jc w:val="left"/>
            </w:pPr>
            <w:r>
              <w:rPr>
                <w:sz w:val="20"/>
              </w:rPr>
              <w:t xml:space="preserve">18б. Социјални трансфери осим неновчаних </w:t>
            </w:r>
          </w:p>
        </w:tc>
        <w:tc>
          <w:tcPr>
            <w:tcW w:w="1376" w:type="dxa"/>
            <w:tcBorders>
              <w:top w:val="dashed" w:sz="4" w:space="0" w:color="000000"/>
              <w:left w:val="nil"/>
              <w:bottom w:val="dashed" w:sz="4" w:space="0" w:color="000000"/>
              <w:right w:val="single" w:sz="8" w:space="0" w:color="000000"/>
            </w:tcBorders>
            <w:vAlign w:val="bottom"/>
          </w:tcPr>
          <w:p w:rsidR="00E8309B" w:rsidRDefault="009D0949">
            <w:pPr>
              <w:spacing w:after="0" w:line="259" w:lineRule="auto"/>
              <w:ind w:left="0" w:right="96" w:firstLine="0"/>
              <w:jc w:val="right"/>
            </w:pPr>
            <w:r>
              <w:rPr>
                <w:sz w:val="20"/>
              </w:rPr>
              <w:t xml:space="preserve"> </w:t>
            </w:r>
          </w:p>
        </w:tc>
        <w:tc>
          <w:tcPr>
            <w:tcW w:w="1145" w:type="dxa"/>
            <w:tcBorders>
              <w:top w:val="dashed" w:sz="4" w:space="0" w:color="000000"/>
              <w:left w:val="single" w:sz="8" w:space="0" w:color="000000"/>
              <w:bottom w:val="dashed" w:sz="4" w:space="0" w:color="000000"/>
              <w:right w:val="single" w:sz="8" w:space="0" w:color="000000"/>
            </w:tcBorders>
          </w:tcPr>
          <w:p w:rsidR="00E8309B" w:rsidRDefault="009D0949">
            <w:pPr>
              <w:spacing w:after="0" w:line="259" w:lineRule="auto"/>
              <w:ind w:left="0" w:right="42" w:firstLine="0"/>
              <w:jc w:val="center"/>
            </w:pPr>
            <w:r>
              <w:rPr>
                <w:sz w:val="20"/>
              </w:rPr>
              <w:t xml:space="preserve">D62 </w:t>
            </w:r>
          </w:p>
        </w:tc>
        <w:tc>
          <w:tcPr>
            <w:tcW w:w="1169" w:type="dxa"/>
            <w:tcBorders>
              <w:top w:val="dashed" w:sz="4" w:space="0" w:color="000000"/>
              <w:left w:val="single" w:sz="8" w:space="0" w:color="000000"/>
              <w:bottom w:val="dashed" w:sz="4" w:space="0" w:color="000000"/>
              <w:right w:val="dashed" w:sz="4" w:space="0" w:color="000000"/>
            </w:tcBorders>
          </w:tcPr>
          <w:p w:rsidR="00E8309B" w:rsidRDefault="009D0949">
            <w:pPr>
              <w:spacing w:after="0" w:line="259" w:lineRule="auto"/>
              <w:ind w:left="0" w:right="33" w:firstLine="0"/>
              <w:jc w:val="center"/>
            </w:pPr>
            <w:r>
              <w:rPr>
                <w:sz w:val="20"/>
              </w:rPr>
              <w:t xml:space="preserve">782,94 </w:t>
            </w:r>
          </w:p>
        </w:tc>
        <w:tc>
          <w:tcPr>
            <w:tcW w:w="1169"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33" w:firstLine="0"/>
              <w:jc w:val="center"/>
            </w:pPr>
            <w:r>
              <w:rPr>
                <w:sz w:val="20"/>
              </w:rPr>
              <w:t xml:space="preserve">814,14 </w:t>
            </w:r>
          </w:p>
        </w:tc>
        <w:tc>
          <w:tcPr>
            <w:tcW w:w="1169"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33" w:firstLine="0"/>
              <w:jc w:val="center"/>
            </w:pPr>
            <w:r>
              <w:rPr>
                <w:sz w:val="20"/>
              </w:rPr>
              <w:t xml:space="preserve">847,81 </w:t>
            </w:r>
          </w:p>
        </w:tc>
        <w:tc>
          <w:tcPr>
            <w:tcW w:w="1169"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33" w:firstLine="0"/>
              <w:jc w:val="center"/>
            </w:pPr>
            <w:r>
              <w:rPr>
                <w:sz w:val="20"/>
              </w:rPr>
              <w:t xml:space="preserve">897,80 </w:t>
            </w:r>
          </w:p>
        </w:tc>
        <w:tc>
          <w:tcPr>
            <w:tcW w:w="1611" w:type="dxa"/>
            <w:tcBorders>
              <w:top w:val="dashed" w:sz="4" w:space="0" w:color="000000"/>
              <w:left w:val="dashed" w:sz="4" w:space="0" w:color="000000"/>
              <w:bottom w:val="dashed" w:sz="4" w:space="0" w:color="000000"/>
              <w:right w:val="double" w:sz="6" w:space="0" w:color="000000"/>
            </w:tcBorders>
          </w:tcPr>
          <w:p w:rsidR="00E8309B" w:rsidRDefault="009D0949">
            <w:pPr>
              <w:spacing w:after="0" w:line="259" w:lineRule="auto"/>
              <w:ind w:left="0" w:right="38" w:firstLine="0"/>
              <w:jc w:val="center"/>
            </w:pPr>
            <w:r>
              <w:rPr>
                <w:sz w:val="20"/>
              </w:rPr>
              <w:t xml:space="preserve">938,05 </w:t>
            </w:r>
          </w:p>
        </w:tc>
      </w:tr>
      <w:tr w:rsidR="00E8309B">
        <w:trPr>
          <w:trHeight w:val="590"/>
        </w:trPr>
        <w:tc>
          <w:tcPr>
            <w:tcW w:w="5766" w:type="dxa"/>
            <w:tcBorders>
              <w:top w:val="dashed" w:sz="4" w:space="0" w:color="000000"/>
              <w:left w:val="double" w:sz="6" w:space="0" w:color="000000"/>
              <w:bottom w:val="dashed" w:sz="4" w:space="0" w:color="000000"/>
              <w:right w:val="nil"/>
            </w:tcBorders>
          </w:tcPr>
          <w:p w:rsidR="00E8309B" w:rsidRDefault="009D0949">
            <w:pPr>
              <w:spacing w:after="0" w:line="259" w:lineRule="auto"/>
              <w:ind w:left="0" w:right="0" w:firstLine="0"/>
              <w:jc w:val="left"/>
            </w:pPr>
            <w:r>
              <w:rPr>
                <w:sz w:val="20"/>
              </w:rPr>
              <w:t xml:space="preserve">18 = 9. Расходи за камате (укљ. FISIM)  </w:t>
            </w:r>
          </w:p>
        </w:tc>
        <w:tc>
          <w:tcPr>
            <w:tcW w:w="1376" w:type="dxa"/>
            <w:tcBorders>
              <w:top w:val="dashed" w:sz="4" w:space="0" w:color="000000"/>
              <w:left w:val="nil"/>
              <w:bottom w:val="dashed" w:sz="4" w:space="0" w:color="000000"/>
              <w:right w:val="single" w:sz="8" w:space="0" w:color="000000"/>
            </w:tcBorders>
            <w:vAlign w:val="bottom"/>
          </w:tcPr>
          <w:p w:rsidR="00E8309B" w:rsidRDefault="009D0949">
            <w:pPr>
              <w:spacing w:after="0" w:line="259" w:lineRule="auto"/>
              <w:ind w:left="0" w:right="96" w:firstLine="0"/>
              <w:jc w:val="right"/>
            </w:pPr>
            <w:r>
              <w:rPr>
                <w:sz w:val="20"/>
              </w:rPr>
              <w:t xml:space="preserve"> </w:t>
            </w:r>
          </w:p>
        </w:tc>
        <w:tc>
          <w:tcPr>
            <w:tcW w:w="1145" w:type="dxa"/>
            <w:tcBorders>
              <w:top w:val="dashed" w:sz="4" w:space="0" w:color="000000"/>
              <w:left w:val="single" w:sz="8" w:space="0" w:color="000000"/>
              <w:bottom w:val="dashed" w:sz="4" w:space="0" w:color="000000"/>
              <w:right w:val="single" w:sz="8" w:space="0" w:color="000000"/>
            </w:tcBorders>
          </w:tcPr>
          <w:p w:rsidR="00E8309B" w:rsidRDefault="009D0949">
            <w:pPr>
              <w:spacing w:after="0" w:line="259" w:lineRule="auto"/>
              <w:ind w:left="18" w:right="7" w:firstLine="0"/>
              <w:jc w:val="center"/>
            </w:pPr>
            <w:r>
              <w:rPr>
                <w:sz w:val="20"/>
              </w:rPr>
              <w:t xml:space="preserve">EDP.D41 + FISIM </w:t>
            </w:r>
          </w:p>
        </w:tc>
        <w:tc>
          <w:tcPr>
            <w:tcW w:w="1169" w:type="dxa"/>
            <w:tcBorders>
              <w:top w:val="dashed" w:sz="4" w:space="0" w:color="000000"/>
              <w:left w:val="single" w:sz="8" w:space="0" w:color="000000"/>
              <w:bottom w:val="dashed" w:sz="4" w:space="0" w:color="000000"/>
              <w:right w:val="dashed" w:sz="4" w:space="0" w:color="000000"/>
            </w:tcBorders>
          </w:tcPr>
          <w:p w:rsidR="00E8309B" w:rsidRDefault="009D0949">
            <w:pPr>
              <w:spacing w:after="0" w:line="259" w:lineRule="auto"/>
              <w:ind w:left="0" w:right="33" w:firstLine="0"/>
              <w:jc w:val="center"/>
            </w:pPr>
            <w:r>
              <w:rPr>
                <w:sz w:val="20"/>
              </w:rPr>
              <w:t xml:space="preserve">108,94 </w:t>
            </w:r>
          </w:p>
        </w:tc>
        <w:tc>
          <w:tcPr>
            <w:tcW w:w="1169"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33" w:firstLine="0"/>
              <w:jc w:val="center"/>
            </w:pPr>
            <w:r>
              <w:rPr>
                <w:sz w:val="20"/>
              </w:rPr>
              <w:t xml:space="preserve">110,50 </w:t>
            </w:r>
          </w:p>
        </w:tc>
        <w:tc>
          <w:tcPr>
            <w:tcW w:w="1169"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33" w:firstLine="0"/>
              <w:jc w:val="center"/>
            </w:pPr>
            <w:r>
              <w:rPr>
                <w:sz w:val="20"/>
              </w:rPr>
              <w:t xml:space="preserve">113,60 </w:t>
            </w:r>
          </w:p>
        </w:tc>
        <w:tc>
          <w:tcPr>
            <w:tcW w:w="1169"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33" w:firstLine="0"/>
              <w:jc w:val="center"/>
            </w:pPr>
            <w:r>
              <w:rPr>
                <w:sz w:val="20"/>
              </w:rPr>
              <w:t xml:space="preserve">111,90 </w:t>
            </w:r>
          </w:p>
        </w:tc>
        <w:tc>
          <w:tcPr>
            <w:tcW w:w="1611" w:type="dxa"/>
            <w:tcBorders>
              <w:top w:val="dashed" w:sz="4" w:space="0" w:color="000000"/>
              <w:left w:val="dashed" w:sz="4" w:space="0" w:color="000000"/>
              <w:bottom w:val="dashed" w:sz="4" w:space="0" w:color="000000"/>
              <w:right w:val="double" w:sz="6" w:space="0" w:color="000000"/>
            </w:tcBorders>
          </w:tcPr>
          <w:p w:rsidR="00E8309B" w:rsidRDefault="009D0949">
            <w:pPr>
              <w:spacing w:after="0" w:line="259" w:lineRule="auto"/>
              <w:ind w:left="0" w:right="38" w:firstLine="0"/>
              <w:jc w:val="center"/>
            </w:pPr>
            <w:r>
              <w:rPr>
                <w:sz w:val="20"/>
              </w:rPr>
              <w:t xml:space="preserve">111,20 </w:t>
            </w:r>
          </w:p>
        </w:tc>
      </w:tr>
      <w:tr w:rsidR="00E8309B">
        <w:trPr>
          <w:trHeight w:val="360"/>
        </w:trPr>
        <w:tc>
          <w:tcPr>
            <w:tcW w:w="5766" w:type="dxa"/>
            <w:tcBorders>
              <w:top w:val="dashed" w:sz="4" w:space="0" w:color="000000"/>
              <w:left w:val="double" w:sz="6" w:space="0" w:color="000000"/>
              <w:bottom w:val="dashed" w:sz="4" w:space="0" w:color="000000"/>
              <w:right w:val="nil"/>
            </w:tcBorders>
          </w:tcPr>
          <w:p w:rsidR="00E8309B" w:rsidRDefault="009D0949">
            <w:pPr>
              <w:spacing w:after="0" w:line="259" w:lineRule="auto"/>
              <w:ind w:left="0" w:right="0" w:firstLine="0"/>
              <w:jc w:val="left"/>
            </w:pPr>
            <w:r>
              <w:rPr>
                <w:sz w:val="20"/>
              </w:rPr>
              <w:t xml:space="preserve">19. Субвенције </w:t>
            </w:r>
          </w:p>
        </w:tc>
        <w:tc>
          <w:tcPr>
            <w:tcW w:w="1376" w:type="dxa"/>
            <w:tcBorders>
              <w:top w:val="dashed" w:sz="4" w:space="0" w:color="000000"/>
              <w:left w:val="nil"/>
              <w:bottom w:val="dashed" w:sz="4" w:space="0" w:color="000000"/>
              <w:right w:val="single" w:sz="8" w:space="0" w:color="000000"/>
            </w:tcBorders>
            <w:vAlign w:val="bottom"/>
          </w:tcPr>
          <w:p w:rsidR="00E8309B" w:rsidRDefault="009D0949">
            <w:pPr>
              <w:spacing w:after="0" w:line="259" w:lineRule="auto"/>
              <w:ind w:left="0" w:right="96" w:firstLine="0"/>
              <w:jc w:val="right"/>
            </w:pPr>
            <w:r>
              <w:rPr>
                <w:sz w:val="20"/>
              </w:rPr>
              <w:t xml:space="preserve"> </w:t>
            </w:r>
          </w:p>
        </w:tc>
        <w:tc>
          <w:tcPr>
            <w:tcW w:w="1145" w:type="dxa"/>
            <w:tcBorders>
              <w:top w:val="dashed" w:sz="4" w:space="0" w:color="000000"/>
              <w:left w:val="single" w:sz="8" w:space="0" w:color="000000"/>
              <w:bottom w:val="dashed" w:sz="4" w:space="0" w:color="000000"/>
              <w:right w:val="single" w:sz="8" w:space="0" w:color="000000"/>
            </w:tcBorders>
          </w:tcPr>
          <w:p w:rsidR="00E8309B" w:rsidRDefault="009D0949">
            <w:pPr>
              <w:spacing w:after="0" w:line="259" w:lineRule="auto"/>
              <w:ind w:left="0" w:right="41" w:firstLine="0"/>
              <w:jc w:val="center"/>
            </w:pPr>
            <w:r>
              <w:rPr>
                <w:sz w:val="20"/>
              </w:rPr>
              <w:t xml:space="preserve">D3 </w:t>
            </w:r>
          </w:p>
        </w:tc>
        <w:tc>
          <w:tcPr>
            <w:tcW w:w="1169" w:type="dxa"/>
            <w:tcBorders>
              <w:top w:val="dashed" w:sz="4" w:space="0" w:color="000000"/>
              <w:left w:val="single" w:sz="8" w:space="0" w:color="000000"/>
              <w:bottom w:val="dashed" w:sz="4" w:space="0" w:color="000000"/>
              <w:right w:val="dashed" w:sz="4" w:space="0" w:color="000000"/>
            </w:tcBorders>
          </w:tcPr>
          <w:p w:rsidR="00E8309B" w:rsidRDefault="009D0949">
            <w:pPr>
              <w:spacing w:after="0" w:line="259" w:lineRule="auto"/>
              <w:ind w:left="0" w:right="33" w:firstLine="0"/>
              <w:jc w:val="center"/>
            </w:pPr>
            <w:r>
              <w:rPr>
                <w:sz w:val="20"/>
              </w:rPr>
              <w:t xml:space="preserve">121,18 </w:t>
            </w:r>
          </w:p>
        </w:tc>
        <w:tc>
          <w:tcPr>
            <w:tcW w:w="1169"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33" w:firstLine="0"/>
              <w:jc w:val="center"/>
            </w:pPr>
            <w:r>
              <w:rPr>
                <w:sz w:val="20"/>
              </w:rPr>
              <w:t xml:space="preserve">258,30 </w:t>
            </w:r>
          </w:p>
        </w:tc>
        <w:tc>
          <w:tcPr>
            <w:tcW w:w="1169"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33" w:firstLine="0"/>
              <w:jc w:val="center"/>
            </w:pPr>
            <w:r>
              <w:rPr>
                <w:sz w:val="20"/>
              </w:rPr>
              <w:t xml:space="preserve">130,72 </w:t>
            </w:r>
          </w:p>
        </w:tc>
        <w:tc>
          <w:tcPr>
            <w:tcW w:w="1169"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33" w:firstLine="0"/>
              <w:jc w:val="center"/>
            </w:pPr>
            <w:r>
              <w:rPr>
                <w:sz w:val="20"/>
              </w:rPr>
              <w:t xml:space="preserve">117,86 </w:t>
            </w:r>
          </w:p>
        </w:tc>
        <w:tc>
          <w:tcPr>
            <w:tcW w:w="1611" w:type="dxa"/>
            <w:tcBorders>
              <w:top w:val="dashed" w:sz="4" w:space="0" w:color="000000"/>
              <w:left w:val="dashed" w:sz="4" w:space="0" w:color="000000"/>
              <w:bottom w:val="dashed" w:sz="4" w:space="0" w:color="000000"/>
              <w:right w:val="double" w:sz="6" w:space="0" w:color="000000"/>
            </w:tcBorders>
          </w:tcPr>
          <w:p w:rsidR="00E8309B" w:rsidRDefault="009D0949">
            <w:pPr>
              <w:spacing w:after="0" w:line="259" w:lineRule="auto"/>
              <w:ind w:left="0" w:right="38" w:firstLine="0"/>
              <w:jc w:val="center"/>
            </w:pPr>
            <w:r>
              <w:rPr>
                <w:sz w:val="20"/>
              </w:rPr>
              <w:t xml:space="preserve">116,42 </w:t>
            </w:r>
          </w:p>
        </w:tc>
      </w:tr>
      <w:tr w:rsidR="00E8309B">
        <w:trPr>
          <w:trHeight w:val="360"/>
        </w:trPr>
        <w:tc>
          <w:tcPr>
            <w:tcW w:w="5766" w:type="dxa"/>
            <w:tcBorders>
              <w:top w:val="dashed" w:sz="4" w:space="0" w:color="000000"/>
              <w:left w:val="double" w:sz="6" w:space="0" w:color="000000"/>
              <w:bottom w:val="dashed" w:sz="4" w:space="0" w:color="000000"/>
              <w:right w:val="nil"/>
            </w:tcBorders>
          </w:tcPr>
          <w:p w:rsidR="00E8309B" w:rsidRDefault="009D0949">
            <w:pPr>
              <w:spacing w:after="0" w:line="259" w:lineRule="auto"/>
              <w:ind w:left="0" w:right="0" w:firstLine="0"/>
              <w:jc w:val="left"/>
            </w:pPr>
            <w:r>
              <w:rPr>
                <w:sz w:val="20"/>
              </w:rPr>
              <w:t xml:space="preserve">20. Бруто инвестиције у основна средства </w:t>
            </w:r>
          </w:p>
        </w:tc>
        <w:tc>
          <w:tcPr>
            <w:tcW w:w="1376" w:type="dxa"/>
            <w:tcBorders>
              <w:top w:val="dashed" w:sz="4" w:space="0" w:color="000000"/>
              <w:left w:val="nil"/>
              <w:bottom w:val="dashed" w:sz="4" w:space="0" w:color="000000"/>
              <w:right w:val="single" w:sz="8" w:space="0" w:color="000000"/>
            </w:tcBorders>
            <w:vAlign w:val="bottom"/>
          </w:tcPr>
          <w:p w:rsidR="00E8309B" w:rsidRDefault="009D0949">
            <w:pPr>
              <w:spacing w:after="0" w:line="259" w:lineRule="auto"/>
              <w:ind w:left="0" w:right="96" w:firstLine="0"/>
              <w:jc w:val="right"/>
            </w:pPr>
            <w:r>
              <w:rPr>
                <w:sz w:val="20"/>
              </w:rPr>
              <w:t xml:space="preserve"> </w:t>
            </w:r>
          </w:p>
        </w:tc>
        <w:tc>
          <w:tcPr>
            <w:tcW w:w="1145" w:type="dxa"/>
            <w:tcBorders>
              <w:top w:val="dashed" w:sz="4" w:space="0" w:color="000000"/>
              <w:left w:val="single" w:sz="8" w:space="0" w:color="000000"/>
              <w:bottom w:val="dashed" w:sz="4" w:space="0" w:color="000000"/>
              <w:right w:val="single" w:sz="8" w:space="0" w:color="000000"/>
            </w:tcBorders>
          </w:tcPr>
          <w:p w:rsidR="00E8309B" w:rsidRDefault="009D0949">
            <w:pPr>
              <w:spacing w:after="0" w:line="259" w:lineRule="auto"/>
              <w:ind w:left="0" w:right="39" w:firstLine="0"/>
              <w:jc w:val="center"/>
            </w:pPr>
            <w:r>
              <w:rPr>
                <w:sz w:val="20"/>
              </w:rPr>
              <w:t xml:space="preserve">P51 </w:t>
            </w:r>
          </w:p>
          <w:p w:rsidR="00E8309B" w:rsidRDefault="009D0949">
            <w:pPr>
              <w:spacing w:after="0" w:line="259" w:lineRule="auto"/>
              <w:ind w:right="0" w:firstLine="0"/>
              <w:jc w:val="center"/>
            </w:pPr>
            <w:r>
              <w:rPr>
                <w:sz w:val="20"/>
              </w:rPr>
              <w:t xml:space="preserve"> </w:t>
            </w:r>
          </w:p>
        </w:tc>
        <w:tc>
          <w:tcPr>
            <w:tcW w:w="1169" w:type="dxa"/>
            <w:tcBorders>
              <w:top w:val="dashed" w:sz="4" w:space="0" w:color="000000"/>
              <w:left w:val="single" w:sz="8" w:space="0" w:color="000000"/>
              <w:bottom w:val="dashed" w:sz="4" w:space="0" w:color="000000"/>
              <w:right w:val="dashed" w:sz="4" w:space="0" w:color="000000"/>
            </w:tcBorders>
          </w:tcPr>
          <w:p w:rsidR="00E8309B" w:rsidRDefault="009D0949">
            <w:pPr>
              <w:spacing w:after="0" w:line="259" w:lineRule="auto"/>
              <w:ind w:left="0" w:firstLine="0"/>
              <w:jc w:val="center"/>
            </w:pPr>
            <w:r>
              <w:rPr>
                <w:sz w:val="20"/>
              </w:rPr>
              <w:t xml:space="preserve">266,25 </w:t>
            </w:r>
          </w:p>
        </w:tc>
        <w:tc>
          <w:tcPr>
            <w:tcW w:w="1169"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33" w:firstLine="0"/>
              <w:jc w:val="center"/>
            </w:pPr>
            <w:r>
              <w:rPr>
                <w:sz w:val="20"/>
              </w:rPr>
              <w:t xml:space="preserve">286,65 </w:t>
            </w:r>
          </w:p>
        </w:tc>
        <w:tc>
          <w:tcPr>
            <w:tcW w:w="1169"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33" w:firstLine="0"/>
              <w:jc w:val="center"/>
            </w:pPr>
            <w:r>
              <w:rPr>
                <w:sz w:val="20"/>
              </w:rPr>
              <w:t xml:space="preserve">330,64 </w:t>
            </w:r>
          </w:p>
        </w:tc>
        <w:tc>
          <w:tcPr>
            <w:tcW w:w="1169"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33" w:firstLine="0"/>
              <w:jc w:val="center"/>
            </w:pPr>
            <w:r>
              <w:rPr>
                <w:sz w:val="20"/>
              </w:rPr>
              <w:t xml:space="preserve">360,00 </w:t>
            </w:r>
          </w:p>
        </w:tc>
        <w:tc>
          <w:tcPr>
            <w:tcW w:w="1611" w:type="dxa"/>
            <w:tcBorders>
              <w:top w:val="dashed" w:sz="4" w:space="0" w:color="000000"/>
              <w:left w:val="dashed" w:sz="4" w:space="0" w:color="000000"/>
              <w:bottom w:val="dashed" w:sz="4" w:space="0" w:color="000000"/>
              <w:right w:val="double" w:sz="6" w:space="0" w:color="000000"/>
            </w:tcBorders>
          </w:tcPr>
          <w:p w:rsidR="00E8309B" w:rsidRDefault="009D0949">
            <w:pPr>
              <w:spacing w:after="0" w:line="259" w:lineRule="auto"/>
              <w:ind w:left="0" w:right="38" w:firstLine="0"/>
              <w:jc w:val="center"/>
            </w:pPr>
            <w:r>
              <w:rPr>
                <w:sz w:val="20"/>
              </w:rPr>
              <w:t xml:space="preserve">388,30 </w:t>
            </w:r>
          </w:p>
        </w:tc>
      </w:tr>
      <w:tr w:rsidR="00E8309B">
        <w:trPr>
          <w:trHeight w:val="360"/>
        </w:trPr>
        <w:tc>
          <w:tcPr>
            <w:tcW w:w="5766" w:type="dxa"/>
            <w:tcBorders>
              <w:top w:val="dashed" w:sz="4" w:space="0" w:color="000000"/>
              <w:left w:val="double" w:sz="6" w:space="0" w:color="000000"/>
              <w:bottom w:val="dashed" w:sz="4" w:space="0" w:color="000000"/>
              <w:right w:val="nil"/>
            </w:tcBorders>
          </w:tcPr>
          <w:p w:rsidR="00E8309B" w:rsidRDefault="009D0949">
            <w:pPr>
              <w:spacing w:after="0" w:line="259" w:lineRule="auto"/>
              <w:ind w:left="0" w:right="0" w:firstLine="0"/>
              <w:jc w:val="left"/>
            </w:pPr>
            <w:r>
              <w:rPr>
                <w:sz w:val="20"/>
              </w:rPr>
              <w:t xml:space="preserve">21. Друго (21 = 22-(16+17+18+19+20) [6] </w:t>
            </w:r>
          </w:p>
        </w:tc>
        <w:tc>
          <w:tcPr>
            <w:tcW w:w="1376" w:type="dxa"/>
            <w:tcBorders>
              <w:top w:val="dashed" w:sz="4" w:space="0" w:color="000000"/>
              <w:left w:val="nil"/>
              <w:bottom w:val="dashed" w:sz="4" w:space="0" w:color="000000"/>
              <w:right w:val="single" w:sz="8" w:space="0" w:color="000000"/>
            </w:tcBorders>
            <w:vAlign w:val="bottom"/>
          </w:tcPr>
          <w:p w:rsidR="00E8309B" w:rsidRDefault="009D0949">
            <w:pPr>
              <w:spacing w:after="0" w:line="259" w:lineRule="auto"/>
              <w:ind w:left="0" w:right="96" w:firstLine="0"/>
              <w:jc w:val="right"/>
            </w:pPr>
            <w:r>
              <w:rPr>
                <w:sz w:val="20"/>
              </w:rPr>
              <w:t xml:space="preserve"> </w:t>
            </w:r>
          </w:p>
        </w:tc>
        <w:tc>
          <w:tcPr>
            <w:tcW w:w="1145" w:type="dxa"/>
            <w:tcBorders>
              <w:top w:val="dashed" w:sz="4" w:space="0" w:color="000000"/>
              <w:left w:val="single" w:sz="8" w:space="0" w:color="000000"/>
              <w:bottom w:val="dashed" w:sz="4" w:space="0" w:color="000000"/>
              <w:right w:val="single" w:sz="8" w:space="0" w:color="000000"/>
            </w:tcBorders>
          </w:tcPr>
          <w:p w:rsidR="00E8309B" w:rsidRDefault="00E8309B">
            <w:pPr>
              <w:spacing w:after="160" w:line="259" w:lineRule="auto"/>
              <w:ind w:left="0" w:right="0" w:firstLine="0"/>
              <w:jc w:val="left"/>
            </w:pPr>
          </w:p>
        </w:tc>
        <w:tc>
          <w:tcPr>
            <w:tcW w:w="1169" w:type="dxa"/>
            <w:tcBorders>
              <w:top w:val="dashed" w:sz="4" w:space="0" w:color="000000"/>
              <w:left w:val="single" w:sz="8" w:space="0" w:color="000000"/>
              <w:bottom w:val="dashed" w:sz="4" w:space="0" w:color="000000"/>
              <w:right w:val="dashed" w:sz="4" w:space="0" w:color="000000"/>
            </w:tcBorders>
          </w:tcPr>
          <w:p w:rsidR="00E8309B" w:rsidRDefault="009D0949">
            <w:pPr>
              <w:spacing w:after="0" w:line="259" w:lineRule="auto"/>
              <w:ind w:left="0" w:right="33" w:firstLine="0"/>
              <w:jc w:val="center"/>
            </w:pPr>
            <w:r>
              <w:rPr>
                <w:sz w:val="20"/>
              </w:rPr>
              <w:t xml:space="preserve">114,82 </w:t>
            </w:r>
          </w:p>
        </w:tc>
        <w:tc>
          <w:tcPr>
            <w:tcW w:w="1169"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33" w:firstLine="0"/>
              <w:jc w:val="center"/>
            </w:pPr>
            <w:r>
              <w:rPr>
                <w:sz w:val="20"/>
              </w:rPr>
              <w:t xml:space="preserve">216,69 </w:t>
            </w:r>
          </w:p>
        </w:tc>
        <w:tc>
          <w:tcPr>
            <w:tcW w:w="1169"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33" w:firstLine="0"/>
              <w:jc w:val="center"/>
            </w:pPr>
            <w:r>
              <w:rPr>
                <w:sz w:val="20"/>
              </w:rPr>
              <w:t xml:space="preserve">119,57 </w:t>
            </w:r>
          </w:p>
        </w:tc>
        <w:tc>
          <w:tcPr>
            <w:tcW w:w="1169"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33" w:firstLine="0"/>
              <w:jc w:val="center"/>
            </w:pPr>
            <w:r>
              <w:rPr>
                <w:sz w:val="20"/>
              </w:rPr>
              <w:t xml:space="preserve">106,89 </w:t>
            </w:r>
          </w:p>
        </w:tc>
        <w:tc>
          <w:tcPr>
            <w:tcW w:w="1611" w:type="dxa"/>
            <w:tcBorders>
              <w:top w:val="dashed" w:sz="4" w:space="0" w:color="000000"/>
              <w:left w:val="dashed" w:sz="4" w:space="0" w:color="000000"/>
              <w:bottom w:val="dashed" w:sz="4" w:space="0" w:color="000000"/>
              <w:right w:val="double" w:sz="6" w:space="0" w:color="000000"/>
            </w:tcBorders>
          </w:tcPr>
          <w:p w:rsidR="00E8309B" w:rsidRDefault="009D0949">
            <w:pPr>
              <w:spacing w:after="0" w:line="259" w:lineRule="auto"/>
              <w:ind w:left="0" w:right="38" w:firstLine="0"/>
              <w:jc w:val="center"/>
            </w:pPr>
            <w:r>
              <w:rPr>
                <w:sz w:val="20"/>
              </w:rPr>
              <w:t xml:space="preserve">101,28 </w:t>
            </w:r>
          </w:p>
        </w:tc>
      </w:tr>
      <w:tr w:rsidR="00E8309B">
        <w:trPr>
          <w:trHeight w:val="360"/>
        </w:trPr>
        <w:tc>
          <w:tcPr>
            <w:tcW w:w="5766" w:type="dxa"/>
            <w:tcBorders>
              <w:top w:val="dashed" w:sz="4" w:space="0" w:color="000000"/>
              <w:left w:val="double" w:sz="6" w:space="0" w:color="000000"/>
              <w:bottom w:val="dashed" w:sz="4" w:space="0" w:color="000000"/>
              <w:right w:val="nil"/>
            </w:tcBorders>
          </w:tcPr>
          <w:p w:rsidR="00E8309B" w:rsidRDefault="009D0949">
            <w:pPr>
              <w:spacing w:after="0" w:line="259" w:lineRule="auto"/>
              <w:ind w:left="0" w:right="0" w:firstLine="0"/>
              <w:jc w:val="left"/>
            </w:pPr>
            <w:r>
              <w:rPr>
                <w:sz w:val="20"/>
              </w:rPr>
              <w:t xml:space="preserve">22. Укупни расходи </w:t>
            </w:r>
          </w:p>
        </w:tc>
        <w:tc>
          <w:tcPr>
            <w:tcW w:w="1376" w:type="dxa"/>
            <w:tcBorders>
              <w:top w:val="dashed" w:sz="4" w:space="0" w:color="000000"/>
              <w:left w:val="nil"/>
              <w:bottom w:val="dashed" w:sz="4" w:space="0" w:color="000000"/>
              <w:right w:val="single" w:sz="8" w:space="0" w:color="000000"/>
            </w:tcBorders>
            <w:vAlign w:val="bottom"/>
          </w:tcPr>
          <w:p w:rsidR="00E8309B" w:rsidRDefault="009D0949">
            <w:pPr>
              <w:spacing w:after="0" w:line="259" w:lineRule="auto"/>
              <w:ind w:left="0" w:right="96" w:firstLine="0"/>
              <w:jc w:val="right"/>
            </w:pPr>
            <w:r>
              <w:rPr>
                <w:sz w:val="20"/>
              </w:rPr>
              <w:t xml:space="preserve"> </w:t>
            </w:r>
          </w:p>
        </w:tc>
        <w:tc>
          <w:tcPr>
            <w:tcW w:w="1145" w:type="dxa"/>
            <w:tcBorders>
              <w:top w:val="dashed" w:sz="4" w:space="0" w:color="000000"/>
              <w:left w:val="single" w:sz="8" w:space="0" w:color="000000"/>
              <w:bottom w:val="dashed" w:sz="4" w:space="0" w:color="000000"/>
              <w:right w:val="single" w:sz="8" w:space="0" w:color="000000"/>
            </w:tcBorders>
          </w:tcPr>
          <w:p w:rsidR="00E8309B" w:rsidRDefault="009D0949">
            <w:pPr>
              <w:spacing w:after="0" w:line="259" w:lineRule="auto"/>
              <w:ind w:left="0" w:right="40" w:firstLine="0"/>
              <w:jc w:val="center"/>
            </w:pPr>
            <w:r>
              <w:rPr>
                <w:sz w:val="20"/>
              </w:rPr>
              <w:t xml:space="preserve">TE [1] </w:t>
            </w:r>
          </w:p>
        </w:tc>
        <w:tc>
          <w:tcPr>
            <w:tcW w:w="1169" w:type="dxa"/>
            <w:tcBorders>
              <w:top w:val="dashed" w:sz="4" w:space="0" w:color="000000"/>
              <w:left w:val="single" w:sz="8" w:space="0" w:color="000000"/>
              <w:bottom w:val="dashed" w:sz="4" w:space="0" w:color="000000"/>
              <w:right w:val="dashed" w:sz="4" w:space="0" w:color="000000"/>
            </w:tcBorders>
          </w:tcPr>
          <w:p w:rsidR="00E8309B" w:rsidRDefault="009D0949">
            <w:pPr>
              <w:spacing w:after="0" w:line="259" w:lineRule="auto"/>
              <w:ind w:left="0" w:right="33" w:firstLine="0"/>
              <w:jc w:val="center"/>
            </w:pPr>
            <w:r>
              <w:rPr>
                <w:sz w:val="20"/>
              </w:rPr>
              <w:t xml:space="preserve">2289,67 </w:t>
            </w:r>
          </w:p>
        </w:tc>
        <w:tc>
          <w:tcPr>
            <w:tcW w:w="1169"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33" w:firstLine="0"/>
              <w:jc w:val="center"/>
            </w:pPr>
            <w:r>
              <w:rPr>
                <w:sz w:val="20"/>
              </w:rPr>
              <w:t xml:space="preserve">2715,82 </w:t>
            </w:r>
          </w:p>
        </w:tc>
        <w:tc>
          <w:tcPr>
            <w:tcW w:w="1169"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33" w:firstLine="0"/>
              <w:jc w:val="center"/>
            </w:pPr>
            <w:r>
              <w:rPr>
                <w:sz w:val="20"/>
              </w:rPr>
              <w:t xml:space="preserve">2603,29 </w:t>
            </w:r>
          </w:p>
        </w:tc>
        <w:tc>
          <w:tcPr>
            <w:tcW w:w="1169"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33" w:firstLine="0"/>
              <w:jc w:val="center"/>
            </w:pPr>
            <w:r>
              <w:rPr>
                <w:sz w:val="20"/>
              </w:rPr>
              <w:t xml:space="preserve">2698,84 </w:t>
            </w:r>
          </w:p>
        </w:tc>
        <w:tc>
          <w:tcPr>
            <w:tcW w:w="1611" w:type="dxa"/>
            <w:tcBorders>
              <w:top w:val="dashed" w:sz="4" w:space="0" w:color="000000"/>
              <w:left w:val="dashed" w:sz="4" w:space="0" w:color="000000"/>
              <w:bottom w:val="dashed" w:sz="4" w:space="0" w:color="000000"/>
              <w:right w:val="double" w:sz="6" w:space="0" w:color="000000"/>
            </w:tcBorders>
          </w:tcPr>
          <w:p w:rsidR="00E8309B" w:rsidRDefault="009D0949">
            <w:pPr>
              <w:spacing w:after="0" w:line="259" w:lineRule="auto"/>
              <w:ind w:left="0" w:right="38" w:firstLine="0"/>
              <w:jc w:val="center"/>
            </w:pPr>
            <w:r>
              <w:rPr>
                <w:sz w:val="20"/>
              </w:rPr>
              <w:t xml:space="preserve">2799,52 </w:t>
            </w:r>
          </w:p>
        </w:tc>
      </w:tr>
      <w:tr w:rsidR="00E8309B">
        <w:trPr>
          <w:trHeight w:val="483"/>
        </w:trPr>
        <w:tc>
          <w:tcPr>
            <w:tcW w:w="7141" w:type="dxa"/>
            <w:gridSpan w:val="2"/>
            <w:tcBorders>
              <w:top w:val="dashed" w:sz="4" w:space="0" w:color="000000"/>
              <w:left w:val="double" w:sz="6" w:space="0" w:color="000000"/>
              <w:bottom w:val="double" w:sz="6" w:space="0" w:color="000000"/>
              <w:right w:val="single" w:sz="8" w:space="0" w:color="000000"/>
            </w:tcBorders>
          </w:tcPr>
          <w:p w:rsidR="00E8309B" w:rsidRDefault="009D0949">
            <w:pPr>
              <w:spacing w:after="0" w:line="259" w:lineRule="auto"/>
              <w:ind w:left="0" w:right="0" w:firstLine="0"/>
              <w:jc w:val="left"/>
            </w:pPr>
            <w:r>
              <w:rPr>
                <w:sz w:val="20"/>
              </w:rPr>
              <w:t xml:space="preserve">Информативно: Зараде и накнаде запосленима у јавном сектору </w:t>
            </w:r>
          </w:p>
        </w:tc>
        <w:tc>
          <w:tcPr>
            <w:tcW w:w="1145" w:type="dxa"/>
            <w:tcBorders>
              <w:top w:val="dashed" w:sz="4" w:space="0" w:color="000000"/>
              <w:left w:val="single" w:sz="8" w:space="0" w:color="000000"/>
              <w:bottom w:val="double" w:sz="6" w:space="0" w:color="000000"/>
              <w:right w:val="single" w:sz="8" w:space="0" w:color="000000"/>
            </w:tcBorders>
          </w:tcPr>
          <w:p w:rsidR="00E8309B" w:rsidRDefault="009D0949">
            <w:pPr>
              <w:spacing w:after="0" w:line="259" w:lineRule="auto"/>
              <w:ind w:left="0" w:right="41" w:firstLine="0"/>
              <w:jc w:val="center"/>
            </w:pPr>
            <w:r>
              <w:rPr>
                <w:sz w:val="20"/>
              </w:rPr>
              <w:t xml:space="preserve">D1 </w:t>
            </w:r>
          </w:p>
        </w:tc>
        <w:tc>
          <w:tcPr>
            <w:tcW w:w="1169" w:type="dxa"/>
            <w:tcBorders>
              <w:top w:val="dashed" w:sz="4" w:space="0" w:color="000000"/>
              <w:left w:val="single" w:sz="8" w:space="0" w:color="000000"/>
              <w:bottom w:val="double" w:sz="6" w:space="0" w:color="000000"/>
              <w:right w:val="dashed" w:sz="4" w:space="0" w:color="000000"/>
            </w:tcBorders>
          </w:tcPr>
          <w:p w:rsidR="00E8309B" w:rsidRDefault="009D0949">
            <w:pPr>
              <w:spacing w:after="0" w:line="259" w:lineRule="auto"/>
              <w:ind w:left="0" w:right="33" w:firstLine="0"/>
              <w:jc w:val="center"/>
            </w:pPr>
            <w:r>
              <w:rPr>
                <w:sz w:val="20"/>
              </w:rPr>
              <w:t xml:space="preserve">516,30 </w:t>
            </w:r>
          </w:p>
        </w:tc>
        <w:tc>
          <w:tcPr>
            <w:tcW w:w="1169" w:type="dxa"/>
            <w:tcBorders>
              <w:top w:val="dashed" w:sz="4" w:space="0" w:color="000000"/>
              <w:left w:val="dashed" w:sz="4" w:space="0" w:color="000000"/>
              <w:bottom w:val="double" w:sz="6" w:space="0" w:color="000000"/>
              <w:right w:val="dashed" w:sz="4" w:space="0" w:color="000000"/>
            </w:tcBorders>
          </w:tcPr>
          <w:p w:rsidR="00E8309B" w:rsidRDefault="009D0949">
            <w:pPr>
              <w:spacing w:after="0" w:line="259" w:lineRule="auto"/>
              <w:ind w:left="0" w:right="33" w:firstLine="0"/>
              <w:jc w:val="center"/>
            </w:pPr>
            <w:r>
              <w:rPr>
                <w:sz w:val="20"/>
              </w:rPr>
              <w:t xml:space="preserve">575,92 </w:t>
            </w:r>
          </w:p>
        </w:tc>
        <w:tc>
          <w:tcPr>
            <w:tcW w:w="1169" w:type="dxa"/>
            <w:tcBorders>
              <w:top w:val="dashed" w:sz="4" w:space="0" w:color="000000"/>
              <w:left w:val="dashed" w:sz="4" w:space="0" w:color="000000"/>
              <w:bottom w:val="double" w:sz="6" w:space="0" w:color="000000"/>
              <w:right w:val="dashed" w:sz="4" w:space="0" w:color="000000"/>
            </w:tcBorders>
          </w:tcPr>
          <w:p w:rsidR="00E8309B" w:rsidRDefault="009D0949">
            <w:pPr>
              <w:spacing w:after="0" w:line="259" w:lineRule="auto"/>
              <w:ind w:left="0" w:firstLine="0"/>
              <w:jc w:val="center"/>
            </w:pPr>
            <w:r>
              <w:rPr>
                <w:sz w:val="20"/>
              </w:rPr>
              <w:t xml:space="preserve">602,49 </w:t>
            </w:r>
          </w:p>
        </w:tc>
        <w:tc>
          <w:tcPr>
            <w:tcW w:w="1169" w:type="dxa"/>
            <w:tcBorders>
              <w:top w:val="dashed" w:sz="4" w:space="0" w:color="000000"/>
              <w:left w:val="dashed" w:sz="4" w:space="0" w:color="000000"/>
              <w:bottom w:val="double" w:sz="6" w:space="0" w:color="000000"/>
              <w:right w:val="dashed" w:sz="4" w:space="0" w:color="000000"/>
            </w:tcBorders>
          </w:tcPr>
          <w:p w:rsidR="00E8309B" w:rsidRDefault="009D0949">
            <w:pPr>
              <w:spacing w:after="0" w:line="259" w:lineRule="auto"/>
              <w:ind w:left="0" w:right="33" w:firstLine="0"/>
              <w:jc w:val="center"/>
            </w:pPr>
            <w:r>
              <w:rPr>
                <w:sz w:val="20"/>
              </w:rPr>
              <w:t xml:space="preserve">630,11 </w:t>
            </w:r>
          </w:p>
        </w:tc>
        <w:tc>
          <w:tcPr>
            <w:tcW w:w="1611" w:type="dxa"/>
            <w:tcBorders>
              <w:top w:val="dashed" w:sz="4" w:space="0" w:color="000000"/>
              <w:left w:val="dashed" w:sz="4" w:space="0" w:color="000000"/>
              <w:bottom w:val="double" w:sz="6" w:space="0" w:color="000000"/>
              <w:right w:val="double" w:sz="6" w:space="0" w:color="000000"/>
            </w:tcBorders>
          </w:tcPr>
          <w:p w:rsidR="00E8309B" w:rsidRDefault="009D0949">
            <w:pPr>
              <w:spacing w:after="0" w:line="259" w:lineRule="auto"/>
              <w:ind w:left="0" w:right="38" w:firstLine="0"/>
              <w:jc w:val="center"/>
            </w:pPr>
            <w:r>
              <w:rPr>
                <w:sz w:val="20"/>
              </w:rPr>
              <w:t xml:space="preserve">658,99 </w:t>
            </w:r>
          </w:p>
        </w:tc>
      </w:tr>
    </w:tbl>
    <w:p w:rsidR="00E8309B" w:rsidRDefault="009D0949">
      <w:pPr>
        <w:numPr>
          <w:ilvl w:val="0"/>
          <w:numId w:val="56"/>
        </w:numPr>
        <w:spacing w:after="13" w:line="269" w:lineRule="auto"/>
        <w:ind w:right="0" w:hanging="385"/>
        <w:jc w:val="left"/>
      </w:pPr>
      <w:r>
        <w:rPr>
          <w:sz w:val="20"/>
        </w:rPr>
        <w:t xml:space="preserve">Коригован за следећи ток по основу свопова, тако да је TR-TE = EDP.B9. </w:t>
      </w:r>
      <w:r>
        <w:rPr>
          <w:sz w:val="20"/>
        </w:rPr>
        <w:tab/>
        <w:t xml:space="preserve"> </w:t>
      </w:r>
      <w:r>
        <w:rPr>
          <w:sz w:val="20"/>
        </w:rPr>
        <w:tab/>
        <w:t xml:space="preserve"> </w:t>
      </w:r>
      <w:r>
        <w:rPr>
          <w:sz w:val="20"/>
        </w:rPr>
        <w:tab/>
        <w:t xml:space="preserve"> </w:t>
      </w:r>
      <w:r>
        <w:rPr>
          <w:sz w:val="20"/>
        </w:rPr>
        <w:tab/>
        <w:t xml:space="preserve"> </w:t>
      </w:r>
      <w:r>
        <w:rPr>
          <w:sz w:val="20"/>
        </w:rPr>
        <w:tab/>
        <w:t xml:space="preserve"> </w:t>
      </w:r>
      <w:r>
        <w:rPr>
          <w:sz w:val="20"/>
        </w:rPr>
        <w:tab/>
        <w:t xml:space="preserve"> </w:t>
      </w:r>
      <w:r>
        <w:rPr>
          <w:sz w:val="20"/>
        </w:rPr>
        <w:tab/>
        <w:t xml:space="preserve"> </w:t>
      </w:r>
    </w:p>
    <w:p w:rsidR="00E8309B" w:rsidRDefault="009D0949">
      <w:pPr>
        <w:numPr>
          <w:ilvl w:val="0"/>
          <w:numId w:val="56"/>
        </w:numPr>
        <w:spacing w:after="13" w:line="269" w:lineRule="auto"/>
        <w:ind w:right="0" w:hanging="385"/>
        <w:jc w:val="left"/>
      </w:pPr>
      <w:r>
        <w:rPr>
          <w:sz w:val="20"/>
        </w:rPr>
        <w:t xml:space="preserve">Примарни резултат се израчунава као (EDP.B9, ставка 8) плус (EDP D41 + FISIM приказан као међуфазна потрошња, ставка 9). </w:t>
      </w:r>
      <w:r>
        <w:rPr>
          <w:sz w:val="20"/>
        </w:rPr>
        <w:tab/>
        <w:t xml:space="preserve"> </w:t>
      </w:r>
      <w:r>
        <w:rPr>
          <w:sz w:val="20"/>
        </w:rPr>
        <w:tab/>
        <w:t xml:space="preserve"> </w:t>
      </w:r>
      <w:r>
        <w:rPr>
          <w:sz w:val="20"/>
        </w:rPr>
        <w:tab/>
        <w:t xml:space="preserve"> </w:t>
      </w:r>
    </w:p>
    <w:p w:rsidR="00E8309B" w:rsidRDefault="009D0949">
      <w:pPr>
        <w:numPr>
          <w:ilvl w:val="0"/>
          <w:numId w:val="56"/>
        </w:numPr>
        <w:spacing w:after="13" w:line="269" w:lineRule="auto"/>
        <w:ind w:right="0" w:hanging="385"/>
        <w:jc w:val="left"/>
      </w:pPr>
      <w:r>
        <w:rPr>
          <w:sz w:val="20"/>
        </w:rPr>
        <w:t xml:space="preserve">Позитиван знак значи једнократне мере за смањење дефицита.  </w:t>
      </w:r>
      <w:r>
        <w:rPr>
          <w:sz w:val="20"/>
        </w:rPr>
        <w:tab/>
        <w:t xml:space="preserve"> </w:t>
      </w:r>
      <w:r>
        <w:rPr>
          <w:sz w:val="20"/>
        </w:rPr>
        <w:tab/>
        <w:t xml:space="preserve"> </w:t>
      </w:r>
      <w:r>
        <w:rPr>
          <w:sz w:val="20"/>
        </w:rPr>
        <w:tab/>
        <w:t xml:space="preserve"> </w:t>
      </w:r>
      <w:r>
        <w:rPr>
          <w:sz w:val="20"/>
        </w:rPr>
        <w:tab/>
        <w:t xml:space="preserve"> </w:t>
      </w:r>
      <w:r>
        <w:rPr>
          <w:sz w:val="20"/>
        </w:rPr>
        <w:tab/>
        <w:t xml:space="preserve"> </w:t>
      </w:r>
      <w:r>
        <w:rPr>
          <w:sz w:val="20"/>
        </w:rPr>
        <w:tab/>
        <w:t xml:space="preserve"> </w:t>
      </w:r>
    </w:p>
    <w:p w:rsidR="00E8309B" w:rsidRDefault="009D0949">
      <w:pPr>
        <w:numPr>
          <w:ilvl w:val="0"/>
          <w:numId w:val="56"/>
        </w:numPr>
        <w:spacing w:after="13" w:line="269" w:lineRule="auto"/>
        <w:ind w:right="0" w:hanging="385"/>
        <w:jc w:val="left"/>
      </w:pPr>
      <w:r>
        <w:rPr>
          <w:sz w:val="20"/>
        </w:rPr>
        <w:t xml:space="preserve">P.11+P.12+P.131+D.39+D.7+D.9 (осим D.91).  </w:t>
      </w:r>
      <w:r>
        <w:rPr>
          <w:sz w:val="20"/>
        </w:rPr>
        <w:tab/>
        <w:t xml:space="preserve"> </w:t>
      </w:r>
      <w:r>
        <w:rPr>
          <w:sz w:val="20"/>
        </w:rPr>
        <w:tab/>
        <w:t xml:space="preserve"> </w:t>
      </w:r>
      <w:r>
        <w:rPr>
          <w:sz w:val="20"/>
        </w:rPr>
        <w:tab/>
        <w:t xml:space="preserve"> </w:t>
      </w:r>
      <w:r>
        <w:rPr>
          <w:sz w:val="20"/>
        </w:rPr>
        <w:tab/>
        <w:t xml:space="preserve"> </w:t>
      </w:r>
      <w:r>
        <w:rPr>
          <w:sz w:val="20"/>
        </w:rPr>
        <w:tab/>
        <w:t xml:space="preserve"> </w:t>
      </w:r>
      <w:r>
        <w:rPr>
          <w:sz w:val="20"/>
        </w:rPr>
        <w:tab/>
        <w:t xml:space="preserve"> </w:t>
      </w:r>
    </w:p>
    <w:p w:rsidR="00E8309B" w:rsidRDefault="009D0949">
      <w:pPr>
        <w:numPr>
          <w:ilvl w:val="0"/>
          <w:numId w:val="56"/>
        </w:numPr>
        <w:spacing w:after="13" w:line="269" w:lineRule="auto"/>
        <w:ind w:right="0" w:hanging="385"/>
        <w:jc w:val="left"/>
      </w:pPr>
      <w:r>
        <w:rPr>
          <w:sz w:val="20"/>
        </w:rPr>
        <w:t xml:space="preserve">Укључујући оне које наплаћује ЕУ и укључујући корекцију за ненаплаћене порезе и доприносе за социјално осигурање (D995), где је то случај. </w:t>
      </w:r>
      <w:r>
        <w:rPr>
          <w:sz w:val="20"/>
        </w:rPr>
        <w:tab/>
        <w:t xml:space="preserve"> </w:t>
      </w:r>
    </w:p>
    <w:p w:rsidR="00E8309B" w:rsidRDefault="009D0949">
      <w:pPr>
        <w:numPr>
          <w:ilvl w:val="0"/>
          <w:numId w:val="56"/>
        </w:numPr>
        <w:spacing w:after="13" w:line="269" w:lineRule="auto"/>
        <w:ind w:right="0" w:hanging="385"/>
        <w:jc w:val="left"/>
      </w:pPr>
      <w:r>
        <w:rPr>
          <w:sz w:val="20"/>
        </w:rPr>
        <w:t xml:space="preserve">D.29+D4 (осим D.41)+ D.5+D.7+D.9+P.52+P.53+K.2+D.8 </w:t>
      </w:r>
      <w:r>
        <w:rPr>
          <w:sz w:val="20"/>
        </w:rPr>
        <w:tab/>
        <w:t xml:space="preserve"> </w:t>
      </w:r>
      <w:r>
        <w:rPr>
          <w:sz w:val="20"/>
        </w:rPr>
        <w:tab/>
        <w:t xml:space="preserve"> </w:t>
      </w:r>
      <w:r>
        <w:rPr>
          <w:sz w:val="20"/>
        </w:rPr>
        <w:tab/>
        <w:t xml:space="preserve"> </w:t>
      </w:r>
      <w:r>
        <w:rPr>
          <w:sz w:val="20"/>
        </w:rPr>
        <w:tab/>
        <w:t xml:space="preserve"> </w:t>
      </w:r>
      <w:r>
        <w:rPr>
          <w:sz w:val="20"/>
        </w:rPr>
        <w:tab/>
        <w:t xml:space="preserve"> </w:t>
      </w:r>
      <w:r>
        <w:rPr>
          <w:sz w:val="20"/>
        </w:rPr>
        <w:tab/>
        <w:t xml:space="preserve"> </w:t>
      </w:r>
      <w:r>
        <w:rPr>
          <w:sz w:val="20"/>
        </w:rPr>
        <w:tab/>
        <w:t xml:space="preserve"> </w:t>
      </w:r>
    </w:p>
    <w:p w:rsidR="00E8309B" w:rsidRDefault="009D0949">
      <w:pPr>
        <w:spacing w:after="0" w:line="259" w:lineRule="auto"/>
        <w:ind w:left="0" w:right="0" w:firstLine="0"/>
        <w:jc w:val="left"/>
      </w:pPr>
      <w:r>
        <w:rPr>
          <w:b/>
          <w:sz w:val="20"/>
        </w:rPr>
        <w:t xml:space="preserve"> </w:t>
      </w:r>
      <w:r>
        <w:rPr>
          <w:b/>
          <w:sz w:val="20"/>
        </w:rPr>
        <w:tab/>
        <w:t xml:space="preserve"> </w:t>
      </w:r>
    </w:p>
    <w:p w:rsidR="00E8309B" w:rsidRDefault="009D0949">
      <w:pPr>
        <w:pStyle w:val="Heading3"/>
      </w:pPr>
      <w:r>
        <w:t xml:space="preserve">Tабела 3: Расходи општег нивоа државе по функцијама (у млрд РСД) </w:t>
      </w:r>
    </w:p>
    <w:tbl>
      <w:tblPr>
        <w:tblStyle w:val="TableGrid"/>
        <w:tblW w:w="14314" w:type="dxa"/>
        <w:tblInd w:w="0" w:type="dxa"/>
        <w:tblCellMar>
          <w:top w:w="0" w:type="dxa"/>
          <w:left w:w="108" w:type="dxa"/>
          <w:bottom w:w="0" w:type="dxa"/>
          <w:right w:w="97" w:type="dxa"/>
        </w:tblCellMar>
        <w:tblLook w:val="04A0" w:firstRow="1" w:lastRow="0" w:firstColumn="1" w:lastColumn="0" w:noHBand="0" w:noVBand="1"/>
      </w:tblPr>
      <w:tblGrid>
        <w:gridCol w:w="6757"/>
        <w:gridCol w:w="1606"/>
        <w:gridCol w:w="998"/>
        <w:gridCol w:w="994"/>
        <w:gridCol w:w="987"/>
        <w:gridCol w:w="989"/>
        <w:gridCol w:w="991"/>
        <w:gridCol w:w="992"/>
      </w:tblGrid>
      <w:tr w:rsidR="00E8309B">
        <w:trPr>
          <w:trHeight w:val="329"/>
        </w:trPr>
        <w:tc>
          <w:tcPr>
            <w:tcW w:w="6757" w:type="dxa"/>
            <w:tcBorders>
              <w:top w:val="double" w:sz="6" w:space="0" w:color="000000"/>
              <w:left w:val="double" w:sz="6" w:space="0" w:color="000000"/>
              <w:bottom w:val="double" w:sz="6" w:space="0" w:color="000000"/>
              <w:right w:val="single" w:sz="8" w:space="0" w:color="000000"/>
            </w:tcBorders>
          </w:tcPr>
          <w:p w:rsidR="00E8309B" w:rsidRDefault="009D0949">
            <w:pPr>
              <w:spacing w:after="0" w:line="259" w:lineRule="auto"/>
              <w:ind w:left="2" w:right="0" w:firstLine="0"/>
              <w:jc w:val="left"/>
            </w:pPr>
            <w:r>
              <w:rPr>
                <w:sz w:val="20"/>
              </w:rPr>
              <w:t xml:space="preserve"> </w:t>
            </w:r>
          </w:p>
        </w:tc>
        <w:tc>
          <w:tcPr>
            <w:tcW w:w="1606" w:type="dxa"/>
            <w:tcBorders>
              <w:top w:val="double" w:sz="6" w:space="0" w:color="000000"/>
              <w:left w:val="single" w:sz="8" w:space="0" w:color="000000"/>
              <w:bottom w:val="double" w:sz="6" w:space="0" w:color="000000"/>
              <w:right w:val="single" w:sz="8" w:space="0" w:color="000000"/>
            </w:tcBorders>
          </w:tcPr>
          <w:p w:rsidR="00E8309B" w:rsidRDefault="009D0949">
            <w:pPr>
              <w:spacing w:after="0" w:line="259" w:lineRule="auto"/>
              <w:ind w:left="43" w:right="0" w:firstLine="0"/>
              <w:jc w:val="left"/>
            </w:pPr>
            <w:r>
              <w:rPr>
                <w:sz w:val="20"/>
              </w:rPr>
              <w:t xml:space="preserve">COFOG шифра </w:t>
            </w:r>
          </w:p>
        </w:tc>
        <w:tc>
          <w:tcPr>
            <w:tcW w:w="998" w:type="dxa"/>
            <w:tcBorders>
              <w:top w:val="double" w:sz="6" w:space="0" w:color="000000"/>
              <w:left w:val="single" w:sz="8" w:space="0" w:color="000000"/>
              <w:bottom w:val="double" w:sz="6" w:space="0" w:color="000000"/>
              <w:right w:val="dashed" w:sz="4" w:space="0" w:color="000000"/>
            </w:tcBorders>
          </w:tcPr>
          <w:p w:rsidR="00E8309B" w:rsidRDefault="009D0949">
            <w:pPr>
              <w:spacing w:after="0" w:line="259" w:lineRule="auto"/>
              <w:ind w:left="0" w:right="8" w:firstLine="0"/>
              <w:jc w:val="center"/>
            </w:pPr>
            <w:r>
              <w:rPr>
                <w:b/>
                <w:sz w:val="20"/>
              </w:rPr>
              <w:t xml:space="preserve">2018 </w:t>
            </w:r>
          </w:p>
        </w:tc>
        <w:tc>
          <w:tcPr>
            <w:tcW w:w="994" w:type="dxa"/>
            <w:tcBorders>
              <w:top w:val="double" w:sz="6" w:space="0" w:color="000000"/>
              <w:left w:val="dashed" w:sz="4" w:space="0" w:color="000000"/>
              <w:bottom w:val="double" w:sz="6" w:space="0" w:color="000000"/>
              <w:right w:val="dashed" w:sz="4" w:space="0" w:color="000000"/>
            </w:tcBorders>
          </w:tcPr>
          <w:p w:rsidR="00E8309B" w:rsidRDefault="009D0949">
            <w:pPr>
              <w:spacing w:after="0" w:line="259" w:lineRule="auto"/>
              <w:ind w:left="0" w:right="13" w:firstLine="0"/>
              <w:jc w:val="center"/>
            </w:pPr>
            <w:r>
              <w:rPr>
                <w:b/>
                <w:sz w:val="20"/>
              </w:rPr>
              <w:t xml:space="preserve">2019 </w:t>
            </w:r>
          </w:p>
        </w:tc>
        <w:tc>
          <w:tcPr>
            <w:tcW w:w="987" w:type="dxa"/>
            <w:tcBorders>
              <w:top w:val="double" w:sz="6" w:space="0" w:color="000000"/>
              <w:left w:val="dashed" w:sz="4" w:space="0" w:color="000000"/>
              <w:bottom w:val="double" w:sz="6" w:space="0" w:color="000000"/>
              <w:right w:val="dashed" w:sz="4" w:space="0" w:color="000000"/>
            </w:tcBorders>
          </w:tcPr>
          <w:p w:rsidR="00E8309B" w:rsidRDefault="009D0949">
            <w:pPr>
              <w:spacing w:after="0" w:line="259" w:lineRule="auto"/>
              <w:ind w:left="0" w:right="10" w:firstLine="0"/>
              <w:jc w:val="center"/>
            </w:pPr>
            <w:r>
              <w:rPr>
                <w:b/>
                <w:sz w:val="20"/>
              </w:rPr>
              <w:t xml:space="preserve">2020 </w:t>
            </w:r>
          </w:p>
        </w:tc>
        <w:tc>
          <w:tcPr>
            <w:tcW w:w="989" w:type="dxa"/>
            <w:tcBorders>
              <w:top w:val="double" w:sz="6" w:space="0" w:color="000000"/>
              <w:left w:val="dashed" w:sz="4" w:space="0" w:color="000000"/>
              <w:bottom w:val="double" w:sz="6" w:space="0" w:color="000000"/>
              <w:right w:val="dashed" w:sz="4" w:space="0" w:color="000000"/>
            </w:tcBorders>
          </w:tcPr>
          <w:p w:rsidR="00E8309B" w:rsidRDefault="009D0949">
            <w:pPr>
              <w:spacing w:after="0" w:line="259" w:lineRule="auto"/>
              <w:ind w:left="0" w:right="8" w:firstLine="0"/>
              <w:jc w:val="center"/>
            </w:pPr>
            <w:r>
              <w:rPr>
                <w:b/>
                <w:sz w:val="20"/>
              </w:rPr>
              <w:t xml:space="preserve">2021 </w:t>
            </w:r>
          </w:p>
        </w:tc>
        <w:tc>
          <w:tcPr>
            <w:tcW w:w="991" w:type="dxa"/>
            <w:tcBorders>
              <w:top w:val="double" w:sz="6" w:space="0" w:color="000000"/>
              <w:left w:val="dashed" w:sz="4" w:space="0" w:color="000000"/>
              <w:bottom w:val="double" w:sz="6" w:space="0" w:color="000000"/>
              <w:right w:val="dashed" w:sz="4" w:space="0" w:color="000000"/>
            </w:tcBorders>
          </w:tcPr>
          <w:p w:rsidR="00E8309B" w:rsidRDefault="009D0949">
            <w:pPr>
              <w:spacing w:after="0" w:line="259" w:lineRule="auto"/>
              <w:ind w:left="0" w:right="5" w:firstLine="0"/>
              <w:jc w:val="center"/>
            </w:pPr>
            <w:r>
              <w:rPr>
                <w:b/>
                <w:sz w:val="20"/>
              </w:rPr>
              <w:t xml:space="preserve">2022 </w:t>
            </w:r>
          </w:p>
        </w:tc>
        <w:tc>
          <w:tcPr>
            <w:tcW w:w="992" w:type="dxa"/>
            <w:tcBorders>
              <w:top w:val="double" w:sz="6" w:space="0" w:color="000000"/>
              <w:left w:val="dashed" w:sz="4" w:space="0" w:color="000000"/>
              <w:bottom w:val="double" w:sz="6" w:space="0" w:color="000000"/>
              <w:right w:val="double" w:sz="6" w:space="0" w:color="000000"/>
            </w:tcBorders>
          </w:tcPr>
          <w:p w:rsidR="00E8309B" w:rsidRDefault="009D0949">
            <w:pPr>
              <w:spacing w:after="0" w:line="259" w:lineRule="auto"/>
              <w:ind w:left="0" w:right="11" w:firstLine="0"/>
              <w:jc w:val="center"/>
            </w:pPr>
            <w:r>
              <w:rPr>
                <w:b/>
                <w:sz w:val="20"/>
              </w:rPr>
              <w:t xml:space="preserve">2023 </w:t>
            </w:r>
          </w:p>
        </w:tc>
      </w:tr>
      <w:tr w:rsidR="00E8309B">
        <w:trPr>
          <w:trHeight w:val="312"/>
        </w:trPr>
        <w:tc>
          <w:tcPr>
            <w:tcW w:w="6757" w:type="dxa"/>
            <w:tcBorders>
              <w:top w:val="double" w:sz="6" w:space="0" w:color="000000"/>
              <w:left w:val="double" w:sz="6" w:space="0" w:color="000000"/>
              <w:bottom w:val="dashed" w:sz="4" w:space="0" w:color="000000"/>
              <w:right w:val="single" w:sz="8" w:space="0" w:color="000000"/>
            </w:tcBorders>
          </w:tcPr>
          <w:p w:rsidR="00E8309B" w:rsidRDefault="009D0949">
            <w:pPr>
              <w:spacing w:after="0" w:line="259" w:lineRule="auto"/>
              <w:ind w:left="2" w:right="0" w:firstLine="0"/>
              <w:jc w:val="left"/>
            </w:pPr>
            <w:r>
              <w:rPr>
                <w:sz w:val="20"/>
              </w:rPr>
              <w:t xml:space="preserve">1. Опште јавне услуге </w:t>
            </w:r>
          </w:p>
        </w:tc>
        <w:tc>
          <w:tcPr>
            <w:tcW w:w="1606" w:type="dxa"/>
            <w:tcBorders>
              <w:top w:val="double" w:sz="6" w:space="0" w:color="000000"/>
              <w:left w:val="single" w:sz="8" w:space="0" w:color="000000"/>
              <w:bottom w:val="dashed" w:sz="4" w:space="0" w:color="000000"/>
              <w:right w:val="single" w:sz="8" w:space="0" w:color="000000"/>
            </w:tcBorders>
          </w:tcPr>
          <w:p w:rsidR="00E8309B" w:rsidRDefault="009D0949">
            <w:pPr>
              <w:spacing w:after="0" w:line="259" w:lineRule="auto"/>
              <w:ind w:left="2" w:right="0" w:firstLine="0"/>
              <w:jc w:val="left"/>
            </w:pPr>
            <w:r>
              <w:rPr>
                <w:sz w:val="20"/>
              </w:rPr>
              <w:t xml:space="preserve">1 </w:t>
            </w:r>
          </w:p>
        </w:tc>
        <w:tc>
          <w:tcPr>
            <w:tcW w:w="998" w:type="dxa"/>
            <w:tcBorders>
              <w:top w:val="double" w:sz="6" w:space="0" w:color="000000"/>
              <w:left w:val="single" w:sz="8" w:space="0" w:color="000000"/>
              <w:bottom w:val="dashed" w:sz="4" w:space="0" w:color="000000"/>
              <w:right w:val="dashed" w:sz="4" w:space="0" w:color="000000"/>
            </w:tcBorders>
          </w:tcPr>
          <w:p w:rsidR="00E8309B" w:rsidRDefault="009D0949">
            <w:pPr>
              <w:spacing w:after="0" w:line="259" w:lineRule="auto"/>
              <w:ind w:left="2" w:right="0" w:firstLine="0"/>
              <w:jc w:val="left"/>
            </w:pPr>
            <w:r>
              <w:rPr>
                <w:sz w:val="20"/>
              </w:rPr>
              <w:t xml:space="preserve">301,755 </w:t>
            </w:r>
          </w:p>
        </w:tc>
        <w:tc>
          <w:tcPr>
            <w:tcW w:w="994" w:type="dxa"/>
            <w:tcBorders>
              <w:top w:val="double" w:sz="6" w:space="0" w:color="000000"/>
              <w:left w:val="dashed" w:sz="4" w:space="0" w:color="000000"/>
              <w:bottom w:val="dashed" w:sz="4" w:space="0" w:color="000000"/>
              <w:right w:val="dashed" w:sz="4" w:space="0" w:color="000000"/>
            </w:tcBorders>
          </w:tcPr>
          <w:p w:rsidR="00E8309B" w:rsidRDefault="009D0949">
            <w:pPr>
              <w:spacing w:after="0" w:line="259" w:lineRule="auto"/>
              <w:ind w:left="0" w:right="0" w:firstLine="0"/>
              <w:jc w:val="left"/>
            </w:pPr>
            <w:r>
              <w:rPr>
                <w:sz w:val="20"/>
              </w:rPr>
              <w:t xml:space="preserve">329,998 </w:t>
            </w:r>
          </w:p>
        </w:tc>
        <w:tc>
          <w:tcPr>
            <w:tcW w:w="987" w:type="dxa"/>
            <w:tcBorders>
              <w:top w:val="double" w:sz="6" w:space="0" w:color="000000"/>
              <w:left w:val="dashed" w:sz="4" w:space="0" w:color="000000"/>
              <w:bottom w:val="dashed" w:sz="4" w:space="0" w:color="000000"/>
              <w:right w:val="dashed" w:sz="4" w:space="0" w:color="000000"/>
            </w:tcBorders>
          </w:tcPr>
          <w:p w:rsidR="00E8309B" w:rsidRDefault="009D0949">
            <w:pPr>
              <w:spacing w:after="0" w:line="259" w:lineRule="auto"/>
              <w:ind w:left="1" w:right="0" w:firstLine="0"/>
              <w:jc w:val="left"/>
            </w:pPr>
            <w:r>
              <w:rPr>
                <w:sz w:val="20"/>
              </w:rPr>
              <w:t xml:space="preserve">424,358 </w:t>
            </w:r>
          </w:p>
        </w:tc>
        <w:tc>
          <w:tcPr>
            <w:tcW w:w="989" w:type="dxa"/>
            <w:tcBorders>
              <w:top w:val="double" w:sz="6" w:space="0" w:color="000000"/>
              <w:left w:val="dashed" w:sz="4" w:space="0" w:color="000000"/>
              <w:bottom w:val="dashed" w:sz="4" w:space="0" w:color="000000"/>
              <w:right w:val="dashed" w:sz="4" w:space="0" w:color="000000"/>
            </w:tcBorders>
          </w:tcPr>
          <w:p w:rsidR="00E8309B" w:rsidRDefault="009D0949">
            <w:pPr>
              <w:spacing w:after="0" w:line="259" w:lineRule="auto"/>
              <w:ind w:left="2" w:right="0" w:firstLine="0"/>
              <w:jc w:val="left"/>
            </w:pPr>
            <w:r>
              <w:rPr>
                <w:sz w:val="20"/>
              </w:rPr>
              <w:t xml:space="preserve">363,074 </w:t>
            </w:r>
          </w:p>
        </w:tc>
        <w:tc>
          <w:tcPr>
            <w:tcW w:w="991" w:type="dxa"/>
            <w:tcBorders>
              <w:top w:val="double" w:sz="6" w:space="0" w:color="000000"/>
              <w:left w:val="dashed" w:sz="4" w:space="0" w:color="000000"/>
              <w:bottom w:val="dashed" w:sz="4" w:space="0" w:color="000000"/>
              <w:right w:val="dashed" w:sz="4" w:space="0" w:color="000000"/>
            </w:tcBorders>
          </w:tcPr>
          <w:p w:rsidR="00E8309B" w:rsidRDefault="009D0949">
            <w:pPr>
              <w:spacing w:after="0" w:line="259" w:lineRule="auto"/>
              <w:ind w:left="2" w:right="0" w:firstLine="0"/>
              <w:jc w:val="left"/>
            </w:pPr>
            <w:r>
              <w:rPr>
                <w:sz w:val="20"/>
              </w:rPr>
              <w:t xml:space="preserve">379,105 </w:t>
            </w:r>
          </w:p>
        </w:tc>
        <w:tc>
          <w:tcPr>
            <w:tcW w:w="992" w:type="dxa"/>
            <w:tcBorders>
              <w:top w:val="double" w:sz="6" w:space="0" w:color="000000"/>
              <w:left w:val="dashed" w:sz="4" w:space="0" w:color="000000"/>
              <w:bottom w:val="dashed" w:sz="4" w:space="0" w:color="000000"/>
              <w:right w:val="double" w:sz="6" w:space="0" w:color="000000"/>
            </w:tcBorders>
          </w:tcPr>
          <w:p w:rsidR="00E8309B" w:rsidRDefault="009D0949">
            <w:pPr>
              <w:spacing w:after="0" w:line="259" w:lineRule="auto"/>
              <w:ind w:left="0" w:right="0" w:firstLine="0"/>
              <w:jc w:val="left"/>
            </w:pPr>
            <w:r>
              <w:rPr>
                <w:sz w:val="20"/>
              </w:rPr>
              <w:t xml:space="preserve">391,664 </w:t>
            </w:r>
          </w:p>
        </w:tc>
      </w:tr>
      <w:tr w:rsidR="00E8309B">
        <w:trPr>
          <w:trHeight w:val="293"/>
        </w:trPr>
        <w:tc>
          <w:tcPr>
            <w:tcW w:w="6757" w:type="dxa"/>
            <w:tcBorders>
              <w:top w:val="dashed" w:sz="4" w:space="0" w:color="000000"/>
              <w:left w:val="double" w:sz="6" w:space="0" w:color="000000"/>
              <w:bottom w:val="dashed" w:sz="4" w:space="0" w:color="000000"/>
              <w:right w:val="single" w:sz="8" w:space="0" w:color="000000"/>
            </w:tcBorders>
          </w:tcPr>
          <w:p w:rsidR="00E8309B" w:rsidRDefault="009D0949">
            <w:pPr>
              <w:spacing w:after="0" w:line="259" w:lineRule="auto"/>
              <w:ind w:left="2" w:right="0" w:firstLine="0"/>
              <w:jc w:val="left"/>
            </w:pPr>
            <w:r>
              <w:rPr>
                <w:sz w:val="20"/>
              </w:rPr>
              <w:t xml:space="preserve">2. Одбрана </w:t>
            </w:r>
          </w:p>
        </w:tc>
        <w:tc>
          <w:tcPr>
            <w:tcW w:w="1606" w:type="dxa"/>
            <w:tcBorders>
              <w:top w:val="dashed" w:sz="4" w:space="0" w:color="000000"/>
              <w:left w:val="single" w:sz="8" w:space="0" w:color="000000"/>
              <w:bottom w:val="dashed" w:sz="4" w:space="0" w:color="000000"/>
              <w:right w:val="single" w:sz="8" w:space="0" w:color="000000"/>
            </w:tcBorders>
          </w:tcPr>
          <w:p w:rsidR="00E8309B" w:rsidRDefault="009D0949">
            <w:pPr>
              <w:spacing w:after="0" w:line="259" w:lineRule="auto"/>
              <w:ind w:left="2" w:right="0" w:firstLine="0"/>
              <w:jc w:val="left"/>
            </w:pPr>
            <w:r>
              <w:rPr>
                <w:sz w:val="20"/>
              </w:rPr>
              <w:t xml:space="preserve">2 </w:t>
            </w:r>
          </w:p>
        </w:tc>
        <w:tc>
          <w:tcPr>
            <w:tcW w:w="998" w:type="dxa"/>
            <w:tcBorders>
              <w:top w:val="dashed" w:sz="4" w:space="0" w:color="000000"/>
              <w:left w:val="single" w:sz="8" w:space="0" w:color="000000"/>
              <w:bottom w:val="dashed" w:sz="4" w:space="0" w:color="000000"/>
              <w:right w:val="dashed" w:sz="4" w:space="0" w:color="000000"/>
            </w:tcBorders>
          </w:tcPr>
          <w:p w:rsidR="00E8309B" w:rsidRDefault="009D0949">
            <w:pPr>
              <w:spacing w:after="0" w:line="259" w:lineRule="auto"/>
              <w:ind w:left="2" w:right="0" w:firstLine="0"/>
              <w:jc w:val="left"/>
            </w:pPr>
            <w:r>
              <w:rPr>
                <w:sz w:val="20"/>
              </w:rPr>
              <w:t xml:space="preserve">85,294 </w:t>
            </w:r>
          </w:p>
        </w:tc>
        <w:tc>
          <w:tcPr>
            <w:tcW w:w="994"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0" w:firstLine="0"/>
              <w:jc w:val="left"/>
            </w:pPr>
            <w:r>
              <w:rPr>
                <w:sz w:val="20"/>
              </w:rPr>
              <w:t xml:space="preserve">100,130 </w:t>
            </w:r>
          </w:p>
        </w:tc>
        <w:tc>
          <w:tcPr>
            <w:tcW w:w="987"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1" w:right="0" w:firstLine="0"/>
              <w:jc w:val="left"/>
            </w:pPr>
            <w:r>
              <w:rPr>
                <w:sz w:val="20"/>
              </w:rPr>
              <w:t xml:space="preserve">103,586 </w:t>
            </w:r>
          </w:p>
        </w:tc>
        <w:tc>
          <w:tcPr>
            <w:tcW w:w="989"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2" w:right="0" w:firstLine="0"/>
              <w:jc w:val="left"/>
            </w:pPr>
            <w:r>
              <w:rPr>
                <w:sz w:val="20"/>
              </w:rPr>
              <w:t xml:space="preserve">102,183 </w:t>
            </w:r>
          </w:p>
        </w:tc>
        <w:tc>
          <w:tcPr>
            <w:tcW w:w="991"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2" w:right="0" w:firstLine="0"/>
              <w:jc w:val="left"/>
            </w:pPr>
            <w:r>
              <w:rPr>
                <w:sz w:val="20"/>
              </w:rPr>
              <w:t>108,938</w:t>
            </w:r>
            <w:r>
              <w:rPr>
                <w:sz w:val="20"/>
              </w:rPr>
              <w:t xml:space="preserve"> </w:t>
            </w:r>
          </w:p>
        </w:tc>
        <w:tc>
          <w:tcPr>
            <w:tcW w:w="992" w:type="dxa"/>
            <w:tcBorders>
              <w:top w:val="dashed" w:sz="4" w:space="0" w:color="000000"/>
              <w:left w:val="dashed" w:sz="4" w:space="0" w:color="000000"/>
              <w:bottom w:val="dashed" w:sz="4" w:space="0" w:color="000000"/>
              <w:right w:val="double" w:sz="6" w:space="0" w:color="000000"/>
            </w:tcBorders>
          </w:tcPr>
          <w:p w:rsidR="00E8309B" w:rsidRDefault="009D0949">
            <w:pPr>
              <w:spacing w:after="0" w:line="259" w:lineRule="auto"/>
              <w:ind w:left="0" w:right="0" w:firstLine="0"/>
              <w:jc w:val="left"/>
            </w:pPr>
            <w:r>
              <w:rPr>
                <w:sz w:val="20"/>
              </w:rPr>
              <w:t xml:space="preserve">109,941 </w:t>
            </w:r>
          </w:p>
        </w:tc>
      </w:tr>
      <w:tr w:rsidR="00E8309B">
        <w:trPr>
          <w:trHeight w:val="293"/>
        </w:trPr>
        <w:tc>
          <w:tcPr>
            <w:tcW w:w="6757" w:type="dxa"/>
            <w:tcBorders>
              <w:top w:val="dashed" w:sz="4" w:space="0" w:color="000000"/>
              <w:left w:val="double" w:sz="6" w:space="0" w:color="000000"/>
              <w:bottom w:val="dashed" w:sz="4" w:space="0" w:color="000000"/>
              <w:right w:val="single" w:sz="8" w:space="0" w:color="000000"/>
            </w:tcBorders>
          </w:tcPr>
          <w:p w:rsidR="00E8309B" w:rsidRDefault="009D0949">
            <w:pPr>
              <w:spacing w:after="0" w:line="259" w:lineRule="auto"/>
              <w:ind w:left="2" w:right="0" w:firstLine="0"/>
              <w:jc w:val="left"/>
            </w:pPr>
            <w:r>
              <w:rPr>
                <w:sz w:val="20"/>
              </w:rPr>
              <w:t xml:space="preserve">3. Јавни ред и безбедност </w:t>
            </w:r>
          </w:p>
        </w:tc>
        <w:tc>
          <w:tcPr>
            <w:tcW w:w="1606" w:type="dxa"/>
            <w:tcBorders>
              <w:top w:val="dashed" w:sz="4" w:space="0" w:color="000000"/>
              <w:left w:val="single" w:sz="8" w:space="0" w:color="000000"/>
              <w:bottom w:val="dashed" w:sz="4" w:space="0" w:color="000000"/>
              <w:right w:val="single" w:sz="8" w:space="0" w:color="000000"/>
            </w:tcBorders>
          </w:tcPr>
          <w:p w:rsidR="00E8309B" w:rsidRDefault="009D0949">
            <w:pPr>
              <w:spacing w:after="0" w:line="259" w:lineRule="auto"/>
              <w:ind w:left="2" w:right="0" w:firstLine="0"/>
              <w:jc w:val="left"/>
            </w:pPr>
            <w:r>
              <w:rPr>
                <w:sz w:val="20"/>
              </w:rPr>
              <w:t xml:space="preserve">3 </w:t>
            </w:r>
          </w:p>
        </w:tc>
        <w:tc>
          <w:tcPr>
            <w:tcW w:w="998" w:type="dxa"/>
            <w:tcBorders>
              <w:top w:val="dashed" w:sz="4" w:space="0" w:color="000000"/>
              <w:left w:val="single" w:sz="8" w:space="0" w:color="000000"/>
              <w:bottom w:val="dashed" w:sz="4" w:space="0" w:color="000000"/>
              <w:right w:val="dashed" w:sz="4" w:space="0" w:color="000000"/>
            </w:tcBorders>
          </w:tcPr>
          <w:p w:rsidR="00E8309B" w:rsidRDefault="009D0949">
            <w:pPr>
              <w:spacing w:after="0" w:line="259" w:lineRule="auto"/>
              <w:ind w:left="2" w:right="0" w:firstLine="0"/>
              <w:jc w:val="left"/>
            </w:pPr>
            <w:r>
              <w:rPr>
                <w:sz w:val="20"/>
              </w:rPr>
              <w:t xml:space="preserve">129,240 </w:t>
            </w:r>
          </w:p>
        </w:tc>
        <w:tc>
          <w:tcPr>
            <w:tcW w:w="994"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0" w:firstLine="0"/>
              <w:jc w:val="left"/>
            </w:pPr>
            <w:r>
              <w:rPr>
                <w:sz w:val="20"/>
              </w:rPr>
              <w:t xml:space="preserve">145,021 </w:t>
            </w:r>
          </w:p>
        </w:tc>
        <w:tc>
          <w:tcPr>
            <w:tcW w:w="987"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1" w:right="0" w:firstLine="0"/>
              <w:jc w:val="left"/>
            </w:pPr>
            <w:r>
              <w:rPr>
                <w:sz w:val="20"/>
              </w:rPr>
              <w:t xml:space="preserve">150,814 </w:t>
            </w:r>
          </w:p>
        </w:tc>
        <w:tc>
          <w:tcPr>
            <w:tcW w:w="989"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2" w:right="0" w:firstLine="0"/>
              <w:jc w:val="left"/>
            </w:pPr>
            <w:r>
              <w:rPr>
                <w:sz w:val="20"/>
              </w:rPr>
              <w:t xml:space="preserve">157,284 </w:t>
            </w:r>
          </w:p>
        </w:tc>
        <w:tc>
          <w:tcPr>
            <w:tcW w:w="991"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2" w:right="0" w:firstLine="0"/>
              <w:jc w:val="left"/>
            </w:pPr>
            <w:r>
              <w:rPr>
                <w:sz w:val="20"/>
              </w:rPr>
              <w:t xml:space="preserve">166,611 </w:t>
            </w:r>
          </w:p>
        </w:tc>
        <w:tc>
          <w:tcPr>
            <w:tcW w:w="992" w:type="dxa"/>
            <w:tcBorders>
              <w:top w:val="dashed" w:sz="4" w:space="0" w:color="000000"/>
              <w:left w:val="dashed" w:sz="4" w:space="0" w:color="000000"/>
              <w:bottom w:val="dashed" w:sz="4" w:space="0" w:color="000000"/>
              <w:right w:val="double" w:sz="6" w:space="0" w:color="000000"/>
            </w:tcBorders>
          </w:tcPr>
          <w:p w:rsidR="00E8309B" w:rsidRDefault="009D0949">
            <w:pPr>
              <w:spacing w:after="0" w:line="259" w:lineRule="auto"/>
              <w:ind w:left="0" w:right="0" w:firstLine="0"/>
              <w:jc w:val="left"/>
            </w:pPr>
            <w:r>
              <w:rPr>
                <w:sz w:val="20"/>
              </w:rPr>
              <w:t xml:space="preserve">171,783 </w:t>
            </w:r>
          </w:p>
        </w:tc>
      </w:tr>
      <w:tr w:rsidR="00E8309B">
        <w:trPr>
          <w:trHeight w:val="293"/>
        </w:trPr>
        <w:tc>
          <w:tcPr>
            <w:tcW w:w="6757" w:type="dxa"/>
            <w:tcBorders>
              <w:top w:val="dashed" w:sz="4" w:space="0" w:color="000000"/>
              <w:left w:val="double" w:sz="6" w:space="0" w:color="000000"/>
              <w:bottom w:val="dashed" w:sz="4" w:space="0" w:color="000000"/>
              <w:right w:val="single" w:sz="8" w:space="0" w:color="000000"/>
            </w:tcBorders>
          </w:tcPr>
          <w:p w:rsidR="00E8309B" w:rsidRDefault="009D0949">
            <w:pPr>
              <w:spacing w:after="0" w:line="259" w:lineRule="auto"/>
              <w:ind w:left="2" w:right="0" w:firstLine="0"/>
              <w:jc w:val="left"/>
            </w:pPr>
            <w:r>
              <w:rPr>
                <w:sz w:val="20"/>
              </w:rPr>
              <w:t xml:space="preserve">4. Економски послови </w:t>
            </w:r>
          </w:p>
        </w:tc>
        <w:tc>
          <w:tcPr>
            <w:tcW w:w="1606" w:type="dxa"/>
            <w:tcBorders>
              <w:top w:val="dashed" w:sz="4" w:space="0" w:color="000000"/>
              <w:left w:val="single" w:sz="8" w:space="0" w:color="000000"/>
              <w:bottom w:val="dashed" w:sz="4" w:space="0" w:color="000000"/>
              <w:right w:val="single" w:sz="8" w:space="0" w:color="000000"/>
            </w:tcBorders>
          </w:tcPr>
          <w:p w:rsidR="00E8309B" w:rsidRDefault="009D0949">
            <w:pPr>
              <w:spacing w:after="0" w:line="259" w:lineRule="auto"/>
              <w:ind w:left="2" w:right="0" w:firstLine="0"/>
              <w:jc w:val="left"/>
            </w:pPr>
            <w:r>
              <w:rPr>
                <w:sz w:val="20"/>
              </w:rPr>
              <w:t xml:space="preserve">4 </w:t>
            </w:r>
          </w:p>
        </w:tc>
        <w:tc>
          <w:tcPr>
            <w:tcW w:w="998" w:type="dxa"/>
            <w:tcBorders>
              <w:top w:val="dashed" w:sz="4" w:space="0" w:color="000000"/>
              <w:left w:val="single" w:sz="8" w:space="0" w:color="000000"/>
              <w:bottom w:val="dashed" w:sz="4" w:space="0" w:color="000000"/>
              <w:right w:val="dashed" w:sz="4" w:space="0" w:color="000000"/>
            </w:tcBorders>
          </w:tcPr>
          <w:p w:rsidR="00E8309B" w:rsidRDefault="009D0949">
            <w:pPr>
              <w:spacing w:after="0" w:line="259" w:lineRule="auto"/>
              <w:ind w:left="2" w:right="0" w:firstLine="0"/>
              <w:jc w:val="left"/>
            </w:pPr>
            <w:r>
              <w:rPr>
                <w:sz w:val="20"/>
              </w:rPr>
              <w:t xml:space="preserve">265,275 </w:t>
            </w:r>
          </w:p>
        </w:tc>
        <w:tc>
          <w:tcPr>
            <w:tcW w:w="994"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0" w:firstLine="0"/>
              <w:jc w:val="left"/>
            </w:pPr>
            <w:r>
              <w:rPr>
                <w:sz w:val="20"/>
              </w:rPr>
              <w:t xml:space="preserve">321,040 </w:t>
            </w:r>
          </w:p>
        </w:tc>
        <w:tc>
          <w:tcPr>
            <w:tcW w:w="987"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1" w:right="0" w:firstLine="0"/>
              <w:jc w:val="left"/>
            </w:pPr>
            <w:r>
              <w:rPr>
                <w:sz w:val="20"/>
              </w:rPr>
              <w:t xml:space="preserve">507,727 </w:t>
            </w:r>
          </w:p>
        </w:tc>
        <w:tc>
          <w:tcPr>
            <w:tcW w:w="989"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2" w:right="0" w:firstLine="0"/>
              <w:jc w:val="left"/>
            </w:pPr>
            <w:r>
              <w:rPr>
                <w:sz w:val="20"/>
              </w:rPr>
              <w:t xml:space="preserve">402,147 </w:t>
            </w:r>
          </w:p>
        </w:tc>
        <w:tc>
          <w:tcPr>
            <w:tcW w:w="991"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2" w:right="0" w:firstLine="0"/>
              <w:jc w:val="left"/>
            </w:pPr>
            <w:r>
              <w:rPr>
                <w:sz w:val="20"/>
              </w:rPr>
              <w:t xml:space="preserve">384,486 </w:t>
            </w:r>
          </w:p>
        </w:tc>
        <w:tc>
          <w:tcPr>
            <w:tcW w:w="992" w:type="dxa"/>
            <w:tcBorders>
              <w:top w:val="dashed" w:sz="4" w:space="0" w:color="000000"/>
              <w:left w:val="dashed" w:sz="4" w:space="0" w:color="000000"/>
              <w:bottom w:val="dashed" w:sz="4" w:space="0" w:color="000000"/>
              <w:right w:val="double" w:sz="6" w:space="0" w:color="000000"/>
            </w:tcBorders>
          </w:tcPr>
          <w:p w:rsidR="00E8309B" w:rsidRDefault="009D0949">
            <w:pPr>
              <w:spacing w:after="0" w:line="259" w:lineRule="auto"/>
              <w:ind w:left="0" w:right="0" w:firstLine="0"/>
              <w:jc w:val="left"/>
            </w:pPr>
            <w:r>
              <w:rPr>
                <w:sz w:val="20"/>
              </w:rPr>
              <w:t xml:space="preserve">384,793 </w:t>
            </w:r>
          </w:p>
        </w:tc>
      </w:tr>
      <w:tr w:rsidR="00E8309B">
        <w:trPr>
          <w:trHeight w:val="293"/>
        </w:trPr>
        <w:tc>
          <w:tcPr>
            <w:tcW w:w="6757" w:type="dxa"/>
            <w:tcBorders>
              <w:top w:val="dashed" w:sz="4" w:space="0" w:color="000000"/>
              <w:left w:val="double" w:sz="6" w:space="0" w:color="000000"/>
              <w:bottom w:val="dashed" w:sz="4" w:space="0" w:color="000000"/>
              <w:right w:val="single" w:sz="8" w:space="0" w:color="000000"/>
            </w:tcBorders>
          </w:tcPr>
          <w:p w:rsidR="00E8309B" w:rsidRDefault="009D0949">
            <w:pPr>
              <w:spacing w:after="0" w:line="259" w:lineRule="auto"/>
              <w:ind w:left="2" w:right="0" w:firstLine="0"/>
              <w:jc w:val="left"/>
            </w:pPr>
            <w:r>
              <w:rPr>
                <w:sz w:val="20"/>
              </w:rPr>
              <w:t xml:space="preserve">5. Заштита животне средине </w:t>
            </w:r>
          </w:p>
        </w:tc>
        <w:tc>
          <w:tcPr>
            <w:tcW w:w="1606" w:type="dxa"/>
            <w:tcBorders>
              <w:top w:val="dashed" w:sz="4" w:space="0" w:color="000000"/>
              <w:left w:val="single" w:sz="8" w:space="0" w:color="000000"/>
              <w:bottom w:val="dashed" w:sz="4" w:space="0" w:color="000000"/>
              <w:right w:val="single" w:sz="8" w:space="0" w:color="000000"/>
            </w:tcBorders>
          </w:tcPr>
          <w:p w:rsidR="00E8309B" w:rsidRDefault="009D0949">
            <w:pPr>
              <w:spacing w:after="0" w:line="259" w:lineRule="auto"/>
              <w:ind w:left="2" w:right="0" w:firstLine="0"/>
              <w:jc w:val="left"/>
            </w:pPr>
            <w:r>
              <w:rPr>
                <w:sz w:val="20"/>
              </w:rPr>
              <w:t xml:space="preserve">5 </w:t>
            </w:r>
          </w:p>
        </w:tc>
        <w:tc>
          <w:tcPr>
            <w:tcW w:w="998" w:type="dxa"/>
            <w:tcBorders>
              <w:top w:val="dashed" w:sz="4" w:space="0" w:color="000000"/>
              <w:left w:val="single" w:sz="8" w:space="0" w:color="000000"/>
              <w:bottom w:val="dashed" w:sz="4" w:space="0" w:color="000000"/>
              <w:right w:val="dashed" w:sz="4" w:space="0" w:color="000000"/>
            </w:tcBorders>
          </w:tcPr>
          <w:p w:rsidR="00E8309B" w:rsidRDefault="009D0949">
            <w:pPr>
              <w:spacing w:after="0" w:line="259" w:lineRule="auto"/>
              <w:ind w:left="2" w:right="0" w:firstLine="0"/>
              <w:jc w:val="left"/>
            </w:pPr>
            <w:r>
              <w:rPr>
                <w:sz w:val="20"/>
              </w:rPr>
              <w:t xml:space="preserve">14,477 </w:t>
            </w:r>
          </w:p>
        </w:tc>
        <w:tc>
          <w:tcPr>
            <w:tcW w:w="994"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0" w:firstLine="0"/>
              <w:jc w:val="left"/>
            </w:pPr>
            <w:r>
              <w:rPr>
                <w:sz w:val="20"/>
              </w:rPr>
              <w:t xml:space="preserve">17,217 </w:t>
            </w:r>
          </w:p>
        </w:tc>
        <w:tc>
          <w:tcPr>
            <w:tcW w:w="987"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1" w:right="0" w:firstLine="0"/>
              <w:jc w:val="left"/>
            </w:pPr>
            <w:r>
              <w:rPr>
                <w:sz w:val="20"/>
              </w:rPr>
              <w:t xml:space="preserve">16,390 </w:t>
            </w:r>
          </w:p>
        </w:tc>
        <w:tc>
          <w:tcPr>
            <w:tcW w:w="989"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2" w:right="0" w:firstLine="0"/>
              <w:jc w:val="left"/>
            </w:pPr>
            <w:r>
              <w:rPr>
                <w:sz w:val="20"/>
              </w:rPr>
              <w:t xml:space="preserve">18,199 </w:t>
            </w:r>
          </w:p>
        </w:tc>
        <w:tc>
          <w:tcPr>
            <w:tcW w:w="991"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2" w:right="0" w:firstLine="0"/>
              <w:jc w:val="left"/>
            </w:pPr>
            <w:r>
              <w:rPr>
                <w:sz w:val="20"/>
              </w:rPr>
              <w:t xml:space="preserve">19,224 </w:t>
            </w:r>
          </w:p>
        </w:tc>
        <w:tc>
          <w:tcPr>
            <w:tcW w:w="992" w:type="dxa"/>
            <w:tcBorders>
              <w:top w:val="dashed" w:sz="4" w:space="0" w:color="000000"/>
              <w:left w:val="dashed" w:sz="4" w:space="0" w:color="000000"/>
              <w:bottom w:val="dashed" w:sz="4" w:space="0" w:color="000000"/>
              <w:right w:val="double" w:sz="6" w:space="0" w:color="000000"/>
            </w:tcBorders>
          </w:tcPr>
          <w:p w:rsidR="00E8309B" w:rsidRDefault="009D0949">
            <w:pPr>
              <w:spacing w:after="0" w:line="259" w:lineRule="auto"/>
              <w:ind w:left="0" w:right="0" w:firstLine="0"/>
              <w:jc w:val="left"/>
            </w:pPr>
            <w:r>
              <w:rPr>
                <w:sz w:val="20"/>
              </w:rPr>
              <w:t xml:space="preserve">20,614 </w:t>
            </w:r>
          </w:p>
        </w:tc>
      </w:tr>
      <w:tr w:rsidR="00E8309B">
        <w:trPr>
          <w:trHeight w:val="293"/>
        </w:trPr>
        <w:tc>
          <w:tcPr>
            <w:tcW w:w="6757" w:type="dxa"/>
            <w:tcBorders>
              <w:top w:val="dashed" w:sz="4" w:space="0" w:color="000000"/>
              <w:left w:val="double" w:sz="6" w:space="0" w:color="000000"/>
              <w:bottom w:val="dashed" w:sz="4" w:space="0" w:color="000000"/>
              <w:right w:val="single" w:sz="8" w:space="0" w:color="000000"/>
            </w:tcBorders>
          </w:tcPr>
          <w:p w:rsidR="00E8309B" w:rsidRDefault="009D0949">
            <w:pPr>
              <w:spacing w:after="0" w:line="259" w:lineRule="auto"/>
              <w:ind w:left="2" w:right="0" w:firstLine="0"/>
              <w:jc w:val="left"/>
            </w:pPr>
            <w:r>
              <w:rPr>
                <w:sz w:val="20"/>
              </w:rPr>
              <w:t xml:space="preserve">6. Послови становања и заједнице </w:t>
            </w:r>
          </w:p>
        </w:tc>
        <w:tc>
          <w:tcPr>
            <w:tcW w:w="1606" w:type="dxa"/>
            <w:tcBorders>
              <w:top w:val="dashed" w:sz="4" w:space="0" w:color="000000"/>
              <w:left w:val="single" w:sz="8" w:space="0" w:color="000000"/>
              <w:bottom w:val="dashed" w:sz="4" w:space="0" w:color="000000"/>
              <w:right w:val="single" w:sz="8" w:space="0" w:color="000000"/>
            </w:tcBorders>
          </w:tcPr>
          <w:p w:rsidR="00E8309B" w:rsidRDefault="009D0949">
            <w:pPr>
              <w:spacing w:after="0" w:line="259" w:lineRule="auto"/>
              <w:ind w:left="2" w:right="0" w:firstLine="0"/>
              <w:jc w:val="left"/>
            </w:pPr>
            <w:r>
              <w:rPr>
                <w:sz w:val="20"/>
              </w:rPr>
              <w:t xml:space="preserve">6 </w:t>
            </w:r>
          </w:p>
        </w:tc>
        <w:tc>
          <w:tcPr>
            <w:tcW w:w="998" w:type="dxa"/>
            <w:tcBorders>
              <w:top w:val="dashed" w:sz="4" w:space="0" w:color="000000"/>
              <w:left w:val="single" w:sz="8" w:space="0" w:color="000000"/>
              <w:bottom w:val="dashed" w:sz="4" w:space="0" w:color="000000"/>
              <w:right w:val="dashed" w:sz="4" w:space="0" w:color="000000"/>
            </w:tcBorders>
          </w:tcPr>
          <w:p w:rsidR="00E8309B" w:rsidRDefault="009D0949">
            <w:pPr>
              <w:spacing w:after="0" w:line="259" w:lineRule="auto"/>
              <w:ind w:left="2" w:right="0" w:firstLine="0"/>
              <w:jc w:val="left"/>
            </w:pPr>
            <w:r>
              <w:rPr>
                <w:sz w:val="20"/>
              </w:rPr>
              <w:t xml:space="preserve">73,764 </w:t>
            </w:r>
          </w:p>
        </w:tc>
        <w:tc>
          <w:tcPr>
            <w:tcW w:w="994"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0" w:firstLine="0"/>
              <w:jc w:val="left"/>
            </w:pPr>
            <w:r>
              <w:rPr>
                <w:sz w:val="20"/>
              </w:rPr>
              <w:t xml:space="preserve">81,931 </w:t>
            </w:r>
          </w:p>
        </w:tc>
        <w:tc>
          <w:tcPr>
            <w:tcW w:w="987"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1" w:right="0" w:firstLine="0"/>
              <w:jc w:val="left"/>
            </w:pPr>
            <w:r>
              <w:rPr>
                <w:sz w:val="20"/>
              </w:rPr>
              <w:t xml:space="preserve">79,158 </w:t>
            </w:r>
          </w:p>
        </w:tc>
        <w:tc>
          <w:tcPr>
            <w:tcW w:w="989"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2" w:right="0" w:firstLine="0"/>
              <w:jc w:val="left"/>
            </w:pPr>
            <w:r>
              <w:rPr>
                <w:sz w:val="20"/>
              </w:rPr>
              <w:t xml:space="preserve">83,870 </w:t>
            </w:r>
          </w:p>
        </w:tc>
        <w:tc>
          <w:tcPr>
            <w:tcW w:w="991"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2" w:right="0" w:firstLine="0"/>
              <w:jc w:val="left"/>
            </w:pPr>
            <w:r>
              <w:rPr>
                <w:sz w:val="20"/>
              </w:rPr>
              <w:t xml:space="preserve">89,713 </w:t>
            </w:r>
          </w:p>
        </w:tc>
        <w:tc>
          <w:tcPr>
            <w:tcW w:w="992" w:type="dxa"/>
            <w:tcBorders>
              <w:top w:val="dashed" w:sz="4" w:space="0" w:color="000000"/>
              <w:left w:val="dashed" w:sz="4" w:space="0" w:color="000000"/>
              <w:bottom w:val="dashed" w:sz="4" w:space="0" w:color="000000"/>
              <w:right w:val="double" w:sz="6" w:space="0" w:color="000000"/>
            </w:tcBorders>
          </w:tcPr>
          <w:p w:rsidR="00E8309B" w:rsidRDefault="009D0949">
            <w:pPr>
              <w:spacing w:after="0" w:line="259" w:lineRule="auto"/>
              <w:ind w:left="0" w:right="0" w:firstLine="0"/>
              <w:jc w:val="left"/>
            </w:pPr>
            <w:r>
              <w:rPr>
                <w:sz w:val="20"/>
              </w:rPr>
              <w:t xml:space="preserve">96,198 </w:t>
            </w:r>
          </w:p>
        </w:tc>
      </w:tr>
      <w:tr w:rsidR="00E8309B">
        <w:trPr>
          <w:trHeight w:val="296"/>
        </w:trPr>
        <w:tc>
          <w:tcPr>
            <w:tcW w:w="6757" w:type="dxa"/>
            <w:tcBorders>
              <w:top w:val="dashed" w:sz="4" w:space="0" w:color="000000"/>
              <w:left w:val="double" w:sz="6" w:space="0" w:color="000000"/>
              <w:bottom w:val="dashed" w:sz="4" w:space="0" w:color="000000"/>
              <w:right w:val="single" w:sz="8" w:space="0" w:color="000000"/>
            </w:tcBorders>
          </w:tcPr>
          <w:p w:rsidR="00E8309B" w:rsidRDefault="009D0949">
            <w:pPr>
              <w:spacing w:after="0" w:line="259" w:lineRule="auto"/>
              <w:ind w:left="2" w:right="0" w:firstLine="0"/>
              <w:jc w:val="left"/>
            </w:pPr>
            <w:r>
              <w:rPr>
                <w:sz w:val="20"/>
              </w:rPr>
              <w:t xml:space="preserve">7. Здравство </w:t>
            </w:r>
          </w:p>
        </w:tc>
        <w:tc>
          <w:tcPr>
            <w:tcW w:w="1606" w:type="dxa"/>
            <w:tcBorders>
              <w:top w:val="dashed" w:sz="4" w:space="0" w:color="000000"/>
              <w:left w:val="single" w:sz="8" w:space="0" w:color="000000"/>
              <w:bottom w:val="dashed" w:sz="4" w:space="0" w:color="000000"/>
              <w:right w:val="single" w:sz="8" w:space="0" w:color="000000"/>
            </w:tcBorders>
          </w:tcPr>
          <w:p w:rsidR="00E8309B" w:rsidRDefault="009D0949">
            <w:pPr>
              <w:spacing w:after="0" w:line="259" w:lineRule="auto"/>
              <w:ind w:left="2" w:right="0" w:firstLine="0"/>
              <w:jc w:val="left"/>
            </w:pPr>
            <w:r>
              <w:rPr>
                <w:sz w:val="20"/>
              </w:rPr>
              <w:t xml:space="preserve">7 </w:t>
            </w:r>
          </w:p>
        </w:tc>
        <w:tc>
          <w:tcPr>
            <w:tcW w:w="998" w:type="dxa"/>
            <w:tcBorders>
              <w:top w:val="dashed" w:sz="4" w:space="0" w:color="000000"/>
              <w:left w:val="single" w:sz="8" w:space="0" w:color="000000"/>
              <w:bottom w:val="dashed" w:sz="4" w:space="0" w:color="000000"/>
              <w:right w:val="dashed" w:sz="4" w:space="0" w:color="000000"/>
            </w:tcBorders>
          </w:tcPr>
          <w:p w:rsidR="00E8309B" w:rsidRDefault="009D0949">
            <w:pPr>
              <w:spacing w:after="0" w:line="259" w:lineRule="auto"/>
              <w:ind w:left="2" w:right="0" w:firstLine="0"/>
              <w:jc w:val="left"/>
            </w:pPr>
            <w:r>
              <w:rPr>
                <w:sz w:val="20"/>
              </w:rPr>
              <w:t xml:space="preserve">276,032 </w:t>
            </w:r>
          </w:p>
        </w:tc>
        <w:tc>
          <w:tcPr>
            <w:tcW w:w="994"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0" w:firstLine="0"/>
              <w:jc w:val="left"/>
            </w:pPr>
            <w:r>
              <w:rPr>
                <w:sz w:val="20"/>
              </w:rPr>
              <w:t xml:space="preserve">287,147 </w:t>
            </w:r>
          </w:p>
        </w:tc>
        <w:tc>
          <w:tcPr>
            <w:tcW w:w="987"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1" w:right="0" w:firstLine="0"/>
              <w:jc w:val="left"/>
            </w:pPr>
            <w:r>
              <w:rPr>
                <w:sz w:val="20"/>
              </w:rPr>
              <w:t xml:space="preserve">392,152 </w:t>
            </w:r>
          </w:p>
        </w:tc>
        <w:tc>
          <w:tcPr>
            <w:tcW w:w="989"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2" w:right="0" w:firstLine="0"/>
              <w:jc w:val="left"/>
            </w:pPr>
            <w:r>
              <w:rPr>
                <w:sz w:val="20"/>
              </w:rPr>
              <w:t xml:space="preserve">383,112 </w:t>
            </w:r>
          </w:p>
        </w:tc>
        <w:tc>
          <w:tcPr>
            <w:tcW w:w="991"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2" w:right="0" w:firstLine="0"/>
              <w:jc w:val="left"/>
            </w:pPr>
            <w:r>
              <w:rPr>
                <w:sz w:val="20"/>
              </w:rPr>
              <w:t xml:space="preserve">397,302 </w:t>
            </w:r>
          </w:p>
        </w:tc>
        <w:tc>
          <w:tcPr>
            <w:tcW w:w="992" w:type="dxa"/>
            <w:tcBorders>
              <w:top w:val="dashed" w:sz="4" w:space="0" w:color="000000"/>
              <w:left w:val="dashed" w:sz="4" w:space="0" w:color="000000"/>
              <w:bottom w:val="dashed" w:sz="4" w:space="0" w:color="000000"/>
              <w:right w:val="double" w:sz="6" w:space="0" w:color="000000"/>
            </w:tcBorders>
          </w:tcPr>
          <w:p w:rsidR="00E8309B" w:rsidRDefault="009D0949">
            <w:pPr>
              <w:spacing w:after="0" w:line="259" w:lineRule="auto"/>
              <w:ind w:left="0" w:right="0" w:firstLine="0"/>
              <w:jc w:val="left"/>
            </w:pPr>
            <w:r>
              <w:rPr>
                <w:sz w:val="20"/>
              </w:rPr>
              <w:t xml:space="preserve">419,149 </w:t>
            </w:r>
          </w:p>
        </w:tc>
      </w:tr>
      <w:tr w:rsidR="00E8309B">
        <w:trPr>
          <w:trHeight w:val="293"/>
        </w:trPr>
        <w:tc>
          <w:tcPr>
            <w:tcW w:w="6757" w:type="dxa"/>
            <w:tcBorders>
              <w:top w:val="dashed" w:sz="4" w:space="0" w:color="000000"/>
              <w:left w:val="double" w:sz="6" w:space="0" w:color="000000"/>
              <w:bottom w:val="dashed" w:sz="4" w:space="0" w:color="000000"/>
              <w:right w:val="single" w:sz="8" w:space="0" w:color="000000"/>
            </w:tcBorders>
          </w:tcPr>
          <w:p w:rsidR="00E8309B" w:rsidRDefault="009D0949">
            <w:pPr>
              <w:spacing w:after="0" w:line="259" w:lineRule="auto"/>
              <w:ind w:left="2" w:right="0" w:firstLine="0"/>
              <w:jc w:val="left"/>
            </w:pPr>
            <w:r>
              <w:rPr>
                <w:sz w:val="20"/>
              </w:rPr>
              <w:t xml:space="preserve">8. Рекреација, култура и религија </w:t>
            </w:r>
          </w:p>
        </w:tc>
        <w:tc>
          <w:tcPr>
            <w:tcW w:w="1606" w:type="dxa"/>
            <w:tcBorders>
              <w:top w:val="dashed" w:sz="4" w:space="0" w:color="000000"/>
              <w:left w:val="single" w:sz="8" w:space="0" w:color="000000"/>
              <w:bottom w:val="dashed" w:sz="4" w:space="0" w:color="000000"/>
              <w:right w:val="single" w:sz="8" w:space="0" w:color="000000"/>
            </w:tcBorders>
          </w:tcPr>
          <w:p w:rsidR="00E8309B" w:rsidRDefault="009D0949">
            <w:pPr>
              <w:spacing w:after="0" w:line="259" w:lineRule="auto"/>
              <w:ind w:left="2" w:right="0" w:firstLine="0"/>
              <w:jc w:val="left"/>
            </w:pPr>
            <w:r>
              <w:rPr>
                <w:sz w:val="20"/>
              </w:rPr>
              <w:t xml:space="preserve">8 </w:t>
            </w:r>
          </w:p>
        </w:tc>
        <w:tc>
          <w:tcPr>
            <w:tcW w:w="998" w:type="dxa"/>
            <w:tcBorders>
              <w:top w:val="dashed" w:sz="4" w:space="0" w:color="000000"/>
              <w:left w:val="single" w:sz="8" w:space="0" w:color="000000"/>
              <w:bottom w:val="dashed" w:sz="4" w:space="0" w:color="000000"/>
              <w:right w:val="dashed" w:sz="4" w:space="0" w:color="000000"/>
            </w:tcBorders>
          </w:tcPr>
          <w:p w:rsidR="00E8309B" w:rsidRDefault="009D0949">
            <w:pPr>
              <w:spacing w:after="0" w:line="259" w:lineRule="auto"/>
              <w:ind w:left="2" w:right="0" w:firstLine="0"/>
              <w:jc w:val="left"/>
            </w:pPr>
            <w:r>
              <w:rPr>
                <w:sz w:val="20"/>
              </w:rPr>
              <w:t xml:space="preserve">47,688 </w:t>
            </w:r>
          </w:p>
        </w:tc>
        <w:tc>
          <w:tcPr>
            <w:tcW w:w="994"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0" w:firstLine="0"/>
              <w:jc w:val="left"/>
            </w:pPr>
            <w:r>
              <w:rPr>
                <w:sz w:val="20"/>
              </w:rPr>
              <w:t xml:space="preserve">50,169 </w:t>
            </w:r>
          </w:p>
        </w:tc>
        <w:tc>
          <w:tcPr>
            <w:tcW w:w="987"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1" w:right="0" w:firstLine="0"/>
              <w:jc w:val="left"/>
            </w:pPr>
            <w:r>
              <w:rPr>
                <w:sz w:val="20"/>
              </w:rPr>
              <w:t xml:space="preserve">48,466 </w:t>
            </w:r>
          </w:p>
        </w:tc>
        <w:tc>
          <w:tcPr>
            <w:tcW w:w="989"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2" w:right="0" w:firstLine="0"/>
              <w:jc w:val="left"/>
            </w:pPr>
            <w:r>
              <w:rPr>
                <w:sz w:val="20"/>
              </w:rPr>
              <w:t xml:space="preserve">50,903 </w:t>
            </w:r>
          </w:p>
        </w:tc>
        <w:tc>
          <w:tcPr>
            <w:tcW w:w="991"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2" w:right="0" w:firstLine="0"/>
              <w:jc w:val="left"/>
            </w:pPr>
            <w:r>
              <w:rPr>
                <w:sz w:val="20"/>
              </w:rPr>
              <w:t xml:space="preserve">57,673 </w:t>
            </w:r>
          </w:p>
        </w:tc>
        <w:tc>
          <w:tcPr>
            <w:tcW w:w="992" w:type="dxa"/>
            <w:tcBorders>
              <w:top w:val="dashed" w:sz="4" w:space="0" w:color="000000"/>
              <w:left w:val="dashed" w:sz="4" w:space="0" w:color="000000"/>
              <w:bottom w:val="dashed" w:sz="4" w:space="0" w:color="000000"/>
              <w:right w:val="double" w:sz="6" w:space="0" w:color="000000"/>
            </w:tcBorders>
          </w:tcPr>
          <w:p w:rsidR="00E8309B" w:rsidRDefault="009D0949">
            <w:pPr>
              <w:spacing w:after="0" w:line="259" w:lineRule="auto"/>
              <w:ind w:left="0" w:right="0" w:firstLine="0"/>
              <w:jc w:val="left"/>
            </w:pPr>
            <w:r>
              <w:rPr>
                <w:sz w:val="20"/>
              </w:rPr>
              <w:t xml:space="preserve">61,842 </w:t>
            </w:r>
          </w:p>
        </w:tc>
      </w:tr>
      <w:tr w:rsidR="00E8309B">
        <w:trPr>
          <w:trHeight w:val="293"/>
        </w:trPr>
        <w:tc>
          <w:tcPr>
            <w:tcW w:w="6757" w:type="dxa"/>
            <w:tcBorders>
              <w:top w:val="dashed" w:sz="4" w:space="0" w:color="000000"/>
              <w:left w:val="double" w:sz="6" w:space="0" w:color="000000"/>
              <w:bottom w:val="dashed" w:sz="4" w:space="0" w:color="000000"/>
              <w:right w:val="single" w:sz="8" w:space="0" w:color="000000"/>
            </w:tcBorders>
          </w:tcPr>
          <w:p w:rsidR="00E8309B" w:rsidRDefault="009D0949">
            <w:pPr>
              <w:spacing w:after="0" w:line="259" w:lineRule="auto"/>
              <w:ind w:left="2" w:right="0" w:firstLine="0"/>
              <w:jc w:val="left"/>
            </w:pPr>
            <w:r>
              <w:rPr>
                <w:sz w:val="20"/>
              </w:rPr>
              <w:t xml:space="preserve">9. Образовање </w:t>
            </w:r>
          </w:p>
        </w:tc>
        <w:tc>
          <w:tcPr>
            <w:tcW w:w="1606" w:type="dxa"/>
            <w:tcBorders>
              <w:top w:val="dashed" w:sz="4" w:space="0" w:color="000000"/>
              <w:left w:val="single" w:sz="8" w:space="0" w:color="000000"/>
              <w:bottom w:val="dashed" w:sz="4" w:space="0" w:color="000000"/>
              <w:right w:val="single" w:sz="8" w:space="0" w:color="000000"/>
            </w:tcBorders>
          </w:tcPr>
          <w:p w:rsidR="00E8309B" w:rsidRDefault="009D0949">
            <w:pPr>
              <w:spacing w:after="0" w:line="259" w:lineRule="auto"/>
              <w:ind w:left="2" w:right="0" w:firstLine="0"/>
              <w:jc w:val="left"/>
            </w:pPr>
            <w:r>
              <w:rPr>
                <w:sz w:val="20"/>
              </w:rPr>
              <w:t xml:space="preserve">9 </w:t>
            </w:r>
          </w:p>
        </w:tc>
        <w:tc>
          <w:tcPr>
            <w:tcW w:w="998" w:type="dxa"/>
            <w:tcBorders>
              <w:top w:val="dashed" w:sz="4" w:space="0" w:color="000000"/>
              <w:left w:val="single" w:sz="8" w:space="0" w:color="000000"/>
              <w:bottom w:val="dashed" w:sz="4" w:space="0" w:color="000000"/>
              <w:right w:val="dashed" w:sz="4" w:space="0" w:color="000000"/>
            </w:tcBorders>
          </w:tcPr>
          <w:p w:rsidR="00E8309B" w:rsidRDefault="009D0949">
            <w:pPr>
              <w:spacing w:after="0" w:line="259" w:lineRule="auto"/>
              <w:ind w:left="2" w:right="0" w:firstLine="0"/>
              <w:jc w:val="left"/>
            </w:pPr>
            <w:r>
              <w:rPr>
                <w:sz w:val="20"/>
              </w:rPr>
              <w:t xml:space="preserve">162,627 </w:t>
            </w:r>
          </w:p>
        </w:tc>
        <w:tc>
          <w:tcPr>
            <w:tcW w:w="994"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0" w:firstLine="0"/>
              <w:jc w:val="left"/>
            </w:pPr>
            <w:r>
              <w:rPr>
                <w:sz w:val="20"/>
              </w:rPr>
              <w:t xml:space="preserve">176,712 </w:t>
            </w:r>
          </w:p>
        </w:tc>
        <w:tc>
          <w:tcPr>
            <w:tcW w:w="987"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1" w:right="0" w:firstLine="0"/>
              <w:jc w:val="left"/>
            </w:pPr>
            <w:r>
              <w:rPr>
                <w:sz w:val="20"/>
              </w:rPr>
              <w:t xml:space="preserve">181,841 </w:t>
            </w:r>
          </w:p>
        </w:tc>
        <w:tc>
          <w:tcPr>
            <w:tcW w:w="989"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2" w:right="0" w:firstLine="0"/>
              <w:jc w:val="left"/>
            </w:pPr>
            <w:r>
              <w:rPr>
                <w:sz w:val="20"/>
              </w:rPr>
              <w:t xml:space="preserve">193,029 </w:t>
            </w:r>
          </w:p>
        </w:tc>
        <w:tc>
          <w:tcPr>
            <w:tcW w:w="991"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2" w:right="0" w:firstLine="0"/>
              <w:jc w:val="left"/>
            </w:pPr>
            <w:r>
              <w:rPr>
                <w:sz w:val="20"/>
              </w:rPr>
              <w:t xml:space="preserve">211,467 </w:t>
            </w:r>
          </w:p>
        </w:tc>
        <w:tc>
          <w:tcPr>
            <w:tcW w:w="992" w:type="dxa"/>
            <w:tcBorders>
              <w:top w:val="dashed" w:sz="4" w:space="0" w:color="000000"/>
              <w:left w:val="dashed" w:sz="4" w:space="0" w:color="000000"/>
              <w:bottom w:val="dashed" w:sz="4" w:space="0" w:color="000000"/>
              <w:right w:val="double" w:sz="6" w:space="0" w:color="000000"/>
            </w:tcBorders>
          </w:tcPr>
          <w:p w:rsidR="00E8309B" w:rsidRDefault="009D0949">
            <w:pPr>
              <w:spacing w:after="0" w:line="259" w:lineRule="auto"/>
              <w:ind w:left="0" w:right="0" w:firstLine="0"/>
              <w:jc w:val="left"/>
            </w:pPr>
            <w:r>
              <w:rPr>
                <w:sz w:val="20"/>
              </w:rPr>
              <w:t xml:space="preserve">226,753 </w:t>
            </w:r>
          </w:p>
        </w:tc>
      </w:tr>
      <w:tr w:rsidR="00E8309B">
        <w:trPr>
          <w:trHeight w:val="293"/>
        </w:trPr>
        <w:tc>
          <w:tcPr>
            <w:tcW w:w="6757" w:type="dxa"/>
            <w:tcBorders>
              <w:top w:val="dashed" w:sz="4" w:space="0" w:color="000000"/>
              <w:left w:val="double" w:sz="6" w:space="0" w:color="000000"/>
              <w:bottom w:val="single" w:sz="4" w:space="0" w:color="000000"/>
              <w:right w:val="single" w:sz="8" w:space="0" w:color="000000"/>
            </w:tcBorders>
          </w:tcPr>
          <w:p w:rsidR="00E8309B" w:rsidRDefault="009D0949">
            <w:pPr>
              <w:spacing w:after="0" w:line="259" w:lineRule="auto"/>
              <w:ind w:left="2" w:right="0" w:firstLine="0"/>
              <w:jc w:val="left"/>
            </w:pPr>
            <w:r>
              <w:rPr>
                <w:sz w:val="20"/>
              </w:rPr>
              <w:t xml:space="preserve">10. Социјална заштита </w:t>
            </w:r>
          </w:p>
        </w:tc>
        <w:tc>
          <w:tcPr>
            <w:tcW w:w="1606" w:type="dxa"/>
            <w:tcBorders>
              <w:top w:val="dashed" w:sz="4" w:space="0" w:color="000000"/>
              <w:left w:val="single" w:sz="8" w:space="0" w:color="000000"/>
              <w:bottom w:val="single" w:sz="4" w:space="0" w:color="000000"/>
              <w:right w:val="single" w:sz="8" w:space="0" w:color="000000"/>
            </w:tcBorders>
          </w:tcPr>
          <w:p w:rsidR="00E8309B" w:rsidRDefault="009D0949">
            <w:pPr>
              <w:spacing w:after="0" w:line="259" w:lineRule="auto"/>
              <w:ind w:left="2" w:right="0" w:firstLine="0"/>
              <w:jc w:val="left"/>
            </w:pPr>
            <w:r>
              <w:rPr>
                <w:sz w:val="20"/>
              </w:rPr>
              <w:t xml:space="preserve">10 </w:t>
            </w:r>
          </w:p>
          <w:p w:rsidR="00E8309B" w:rsidRDefault="009D0949">
            <w:pPr>
              <w:spacing w:after="0" w:line="259" w:lineRule="auto"/>
              <w:ind w:left="2" w:right="0" w:firstLine="0"/>
              <w:jc w:val="left"/>
            </w:pPr>
            <w:r>
              <w:rPr>
                <w:sz w:val="20"/>
              </w:rPr>
              <w:t xml:space="preserve"> </w:t>
            </w:r>
          </w:p>
        </w:tc>
        <w:tc>
          <w:tcPr>
            <w:tcW w:w="998" w:type="dxa"/>
            <w:tcBorders>
              <w:top w:val="dashed" w:sz="4" w:space="0" w:color="000000"/>
              <w:left w:val="single" w:sz="8" w:space="0" w:color="000000"/>
              <w:bottom w:val="single" w:sz="4" w:space="0" w:color="000000"/>
              <w:right w:val="dashed" w:sz="4" w:space="0" w:color="000000"/>
            </w:tcBorders>
          </w:tcPr>
          <w:p w:rsidR="00E8309B" w:rsidRDefault="009D0949">
            <w:pPr>
              <w:spacing w:after="0" w:line="259" w:lineRule="auto"/>
              <w:ind w:left="2" w:right="0" w:firstLine="0"/>
              <w:jc w:val="left"/>
            </w:pPr>
            <w:r>
              <w:rPr>
                <w:sz w:val="20"/>
              </w:rPr>
              <w:t xml:space="preserve">716,890 </w:t>
            </w:r>
          </w:p>
        </w:tc>
        <w:tc>
          <w:tcPr>
            <w:tcW w:w="994" w:type="dxa"/>
            <w:tcBorders>
              <w:top w:val="dashed" w:sz="4" w:space="0" w:color="000000"/>
              <w:left w:val="dashed" w:sz="4" w:space="0" w:color="000000"/>
              <w:bottom w:val="single" w:sz="4" w:space="0" w:color="000000"/>
              <w:right w:val="dashed" w:sz="4" w:space="0" w:color="000000"/>
            </w:tcBorders>
          </w:tcPr>
          <w:p w:rsidR="00E8309B" w:rsidRDefault="009D0949">
            <w:pPr>
              <w:spacing w:after="0" w:line="259" w:lineRule="auto"/>
              <w:ind w:left="0" w:right="0" w:firstLine="0"/>
              <w:jc w:val="left"/>
            </w:pPr>
            <w:r>
              <w:rPr>
                <w:sz w:val="20"/>
              </w:rPr>
              <w:t xml:space="preserve">780,306 </w:t>
            </w:r>
          </w:p>
        </w:tc>
        <w:tc>
          <w:tcPr>
            <w:tcW w:w="987" w:type="dxa"/>
            <w:tcBorders>
              <w:top w:val="dashed" w:sz="4" w:space="0" w:color="000000"/>
              <w:left w:val="dashed" w:sz="4" w:space="0" w:color="000000"/>
              <w:bottom w:val="single" w:sz="4" w:space="0" w:color="000000"/>
              <w:right w:val="dashed" w:sz="4" w:space="0" w:color="000000"/>
            </w:tcBorders>
          </w:tcPr>
          <w:p w:rsidR="00E8309B" w:rsidRDefault="009D0949">
            <w:pPr>
              <w:spacing w:after="0" w:line="259" w:lineRule="auto"/>
              <w:ind w:left="1" w:right="0" w:firstLine="0"/>
              <w:jc w:val="left"/>
            </w:pPr>
            <w:r>
              <w:rPr>
                <w:sz w:val="20"/>
              </w:rPr>
              <w:t xml:space="preserve">811,331 </w:t>
            </w:r>
          </w:p>
        </w:tc>
        <w:tc>
          <w:tcPr>
            <w:tcW w:w="989" w:type="dxa"/>
            <w:tcBorders>
              <w:top w:val="dashed" w:sz="4" w:space="0" w:color="000000"/>
              <w:left w:val="dashed" w:sz="4" w:space="0" w:color="000000"/>
              <w:bottom w:val="single" w:sz="4" w:space="0" w:color="000000"/>
              <w:right w:val="dashed" w:sz="4" w:space="0" w:color="000000"/>
            </w:tcBorders>
          </w:tcPr>
          <w:p w:rsidR="00E8309B" w:rsidRDefault="009D0949">
            <w:pPr>
              <w:spacing w:after="0" w:line="259" w:lineRule="auto"/>
              <w:ind w:left="2" w:right="0" w:firstLine="0"/>
              <w:jc w:val="left"/>
            </w:pPr>
            <w:r>
              <w:rPr>
                <w:sz w:val="20"/>
              </w:rPr>
              <w:t xml:space="preserve">849,488 </w:t>
            </w:r>
          </w:p>
        </w:tc>
        <w:tc>
          <w:tcPr>
            <w:tcW w:w="991" w:type="dxa"/>
            <w:tcBorders>
              <w:top w:val="dashed" w:sz="4" w:space="0" w:color="000000"/>
              <w:left w:val="dashed" w:sz="4" w:space="0" w:color="000000"/>
              <w:bottom w:val="single" w:sz="4" w:space="0" w:color="000000"/>
              <w:right w:val="dashed" w:sz="4" w:space="0" w:color="000000"/>
            </w:tcBorders>
          </w:tcPr>
          <w:p w:rsidR="00E8309B" w:rsidRDefault="009D0949">
            <w:pPr>
              <w:spacing w:after="0" w:line="259" w:lineRule="auto"/>
              <w:ind w:left="2" w:right="0" w:firstLine="0"/>
              <w:jc w:val="left"/>
            </w:pPr>
            <w:r>
              <w:rPr>
                <w:sz w:val="20"/>
              </w:rPr>
              <w:t xml:space="preserve">884,318 </w:t>
            </w:r>
          </w:p>
        </w:tc>
        <w:tc>
          <w:tcPr>
            <w:tcW w:w="992" w:type="dxa"/>
            <w:tcBorders>
              <w:top w:val="dashed" w:sz="4" w:space="0" w:color="000000"/>
              <w:left w:val="dashed" w:sz="4" w:space="0" w:color="000000"/>
              <w:bottom w:val="single" w:sz="4" w:space="0" w:color="000000"/>
              <w:right w:val="double" w:sz="6" w:space="0" w:color="000000"/>
            </w:tcBorders>
          </w:tcPr>
          <w:p w:rsidR="00E8309B" w:rsidRDefault="009D0949">
            <w:pPr>
              <w:spacing w:after="0" w:line="259" w:lineRule="auto"/>
              <w:ind w:left="0" w:right="0" w:firstLine="0"/>
              <w:jc w:val="left"/>
            </w:pPr>
            <w:r>
              <w:rPr>
                <w:sz w:val="20"/>
              </w:rPr>
              <w:t xml:space="preserve">916,788 </w:t>
            </w:r>
          </w:p>
        </w:tc>
      </w:tr>
      <w:tr w:rsidR="00E8309B">
        <w:trPr>
          <w:trHeight w:val="293"/>
        </w:trPr>
        <w:tc>
          <w:tcPr>
            <w:tcW w:w="6757" w:type="dxa"/>
            <w:tcBorders>
              <w:top w:val="single" w:sz="4" w:space="0" w:color="000000"/>
              <w:left w:val="double" w:sz="6" w:space="0" w:color="000000"/>
              <w:bottom w:val="single" w:sz="4" w:space="0" w:color="000000"/>
              <w:right w:val="single" w:sz="8" w:space="0" w:color="000000"/>
            </w:tcBorders>
          </w:tcPr>
          <w:p w:rsidR="00E8309B" w:rsidRDefault="009D0949">
            <w:pPr>
              <w:spacing w:after="0" w:line="259" w:lineRule="auto"/>
              <w:ind w:left="2" w:right="0" w:firstLine="0"/>
              <w:jc w:val="left"/>
            </w:pPr>
            <w:r>
              <w:rPr>
                <w:sz w:val="20"/>
              </w:rPr>
              <w:t xml:space="preserve">Друге релевантне променљиве </w:t>
            </w:r>
          </w:p>
        </w:tc>
        <w:tc>
          <w:tcPr>
            <w:tcW w:w="1606" w:type="dxa"/>
            <w:tcBorders>
              <w:top w:val="single" w:sz="4" w:space="0" w:color="000000"/>
              <w:left w:val="single" w:sz="8" w:space="0" w:color="000000"/>
              <w:bottom w:val="single" w:sz="4" w:space="0" w:color="000000"/>
              <w:right w:val="single" w:sz="8" w:space="0" w:color="000000"/>
            </w:tcBorders>
          </w:tcPr>
          <w:p w:rsidR="00E8309B" w:rsidRDefault="00E8309B">
            <w:pPr>
              <w:spacing w:after="160" w:line="259" w:lineRule="auto"/>
              <w:ind w:left="0" w:right="0" w:firstLine="0"/>
              <w:jc w:val="left"/>
            </w:pPr>
          </w:p>
        </w:tc>
        <w:tc>
          <w:tcPr>
            <w:tcW w:w="998" w:type="dxa"/>
            <w:tcBorders>
              <w:top w:val="single" w:sz="4" w:space="0" w:color="000000"/>
              <w:left w:val="single" w:sz="8" w:space="0" w:color="000000"/>
              <w:bottom w:val="single" w:sz="4" w:space="0" w:color="000000"/>
              <w:right w:val="dashed" w:sz="4" w:space="0" w:color="000000"/>
            </w:tcBorders>
          </w:tcPr>
          <w:p w:rsidR="00E8309B" w:rsidRDefault="009D0949">
            <w:pPr>
              <w:spacing w:after="0" w:line="259" w:lineRule="auto"/>
              <w:ind w:left="2" w:right="0" w:firstLine="0"/>
              <w:jc w:val="left"/>
            </w:pPr>
            <w:r>
              <w:rPr>
                <w:sz w:val="20"/>
              </w:rPr>
              <w:t xml:space="preserve"> </w:t>
            </w:r>
          </w:p>
        </w:tc>
        <w:tc>
          <w:tcPr>
            <w:tcW w:w="994" w:type="dxa"/>
            <w:tcBorders>
              <w:top w:val="single" w:sz="4" w:space="0" w:color="000000"/>
              <w:left w:val="dashed" w:sz="4" w:space="0" w:color="000000"/>
              <w:bottom w:val="single" w:sz="4" w:space="0" w:color="000000"/>
              <w:right w:val="dashed" w:sz="4" w:space="0" w:color="000000"/>
            </w:tcBorders>
          </w:tcPr>
          <w:p w:rsidR="00E8309B" w:rsidRDefault="009D0949">
            <w:pPr>
              <w:spacing w:after="0" w:line="259" w:lineRule="auto"/>
              <w:ind w:left="0" w:right="0" w:firstLine="0"/>
              <w:jc w:val="left"/>
            </w:pPr>
            <w:r>
              <w:rPr>
                <w:sz w:val="20"/>
              </w:rPr>
              <w:t xml:space="preserve"> </w:t>
            </w:r>
          </w:p>
        </w:tc>
        <w:tc>
          <w:tcPr>
            <w:tcW w:w="987" w:type="dxa"/>
            <w:tcBorders>
              <w:top w:val="single" w:sz="4" w:space="0" w:color="000000"/>
              <w:left w:val="dashed" w:sz="4" w:space="0" w:color="000000"/>
              <w:bottom w:val="single" w:sz="4" w:space="0" w:color="000000"/>
              <w:right w:val="dashed" w:sz="4" w:space="0" w:color="000000"/>
            </w:tcBorders>
          </w:tcPr>
          <w:p w:rsidR="00E8309B" w:rsidRDefault="009D0949">
            <w:pPr>
              <w:spacing w:after="0" w:line="259" w:lineRule="auto"/>
              <w:ind w:left="1" w:right="0" w:firstLine="0"/>
              <w:jc w:val="left"/>
            </w:pPr>
            <w:r>
              <w:rPr>
                <w:sz w:val="20"/>
              </w:rPr>
              <w:t xml:space="preserve"> </w:t>
            </w:r>
          </w:p>
        </w:tc>
        <w:tc>
          <w:tcPr>
            <w:tcW w:w="989" w:type="dxa"/>
            <w:tcBorders>
              <w:top w:val="single" w:sz="4" w:space="0" w:color="000000"/>
              <w:left w:val="dashed" w:sz="4" w:space="0" w:color="000000"/>
              <w:bottom w:val="single" w:sz="4" w:space="0" w:color="000000"/>
              <w:right w:val="dashed" w:sz="4" w:space="0" w:color="000000"/>
            </w:tcBorders>
          </w:tcPr>
          <w:p w:rsidR="00E8309B" w:rsidRDefault="009D0949">
            <w:pPr>
              <w:spacing w:after="0" w:line="259" w:lineRule="auto"/>
              <w:ind w:left="2" w:right="0" w:firstLine="0"/>
              <w:jc w:val="left"/>
            </w:pPr>
            <w:r>
              <w:rPr>
                <w:sz w:val="20"/>
              </w:rPr>
              <w:t xml:space="preserve"> </w:t>
            </w:r>
          </w:p>
        </w:tc>
        <w:tc>
          <w:tcPr>
            <w:tcW w:w="991" w:type="dxa"/>
            <w:tcBorders>
              <w:top w:val="single" w:sz="4" w:space="0" w:color="000000"/>
              <w:left w:val="dashed" w:sz="4" w:space="0" w:color="000000"/>
              <w:bottom w:val="single" w:sz="4" w:space="0" w:color="000000"/>
              <w:right w:val="dashed" w:sz="4" w:space="0" w:color="000000"/>
            </w:tcBorders>
          </w:tcPr>
          <w:p w:rsidR="00E8309B" w:rsidRDefault="009D0949">
            <w:pPr>
              <w:spacing w:after="0" w:line="259" w:lineRule="auto"/>
              <w:ind w:left="2" w:right="0" w:firstLine="0"/>
              <w:jc w:val="left"/>
            </w:pPr>
            <w:r>
              <w:rPr>
                <w:sz w:val="20"/>
              </w:rPr>
              <w:t xml:space="preserve"> </w:t>
            </w:r>
          </w:p>
        </w:tc>
        <w:tc>
          <w:tcPr>
            <w:tcW w:w="992" w:type="dxa"/>
            <w:tcBorders>
              <w:top w:val="single" w:sz="4" w:space="0" w:color="000000"/>
              <w:left w:val="dashed" w:sz="4" w:space="0" w:color="000000"/>
              <w:bottom w:val="single" w:sz="4" w:space="0" w:color="000000"/>
              <w:right w:val="double" w:sz="6" w:space="0" w:color="000000"/>
            </w:tcBorders>
          </w:tcPr>
          <w:p w:rsidR="00E8309B" w:rsidRDefault="009D0949">
            <w:pPr>
              <w:spacing w:after="0" w:line="259" w:lineRule="auto"/>
              <w:ind w:left="0" w:right="0" w:firstLine="0"/>
              <w:jc w:val="left"/>
            </w:pPr>
            <w:r>
              <w:rPr>
                <w:sz w:val="20"/>
              </w:rPr>
              <w:t xml:space="preserve"> </w:t>
            </w:r>
          </w:p>
        </w:tc>
      </w:tr>
      <w:tr w:rsidR="00E8309B">
        <w:trPr>
          <w:trHeight w:val="312"/>
        </w:trPr>
        <w:tc>
          <w:tcPr>
            <w:tcW w:w="6757" w:type="dxa"/>
            <w:tcBorders>
              <w:top w:val="single" w:sz="4" w:space="0" w:color="000000"/>
              <w:left w:val="double" w:sz="6" w:space="0" w:color="000000"/>
              <w:bottom w:val="double" w:sz="6" w:space="0" w:color="000000"/>
              <w:right w:val="single" w:sz="8" w:space="0" w:color="000000"/>
            </w:tcBorders>
          </w:tcPr>
          <w:p w:rsidR="00E8309B" w:rsidRDefault="009D0949">
            <w:pPr>
              <w:spacing w:after="0" w:line="259" w:lineRule="auto"/>
              <w:ind w:left="2" w:right="0" w:firstLine="0"/>
              <w:jc w:val="left"/>
            </w:pPr>
            <w:r>
              <w:rPr>
                <w:sz w:val="20"/>
              </w:rPr>
              <w:t xml:space="preserve">11. Укупни расходи (ставка 7 = 23 у Табели 2) </w:t>
            </w:r>
          </w:p>
        </w:tc>
        <w:tc>
          <w:tcPr>
            <w:tcW w:w="1606" w:type="dxa"/>
            <w:tcBorders>
              <w:top w:val="single" w:sz="4" w:space="0" w:color="000000"/>
              <w:left w:val="single" w:sz="8" w:space="0" w:color="000000"/>
              <w:bottom w:val="double" w:sz="6" w:space="0" w:color="000000"/>
              <w:right w:val="single" w:sz="8" w:space="0" w:color="000000"/>
            </w:tcBorders>
          </w:tcPr>
          <w:p w:rsidR="00E8309B" w:rsidRDefault="009D0949">
            <w:pPr>
              <w:spacing w:after="0" w:line="259" w:lineRule="auto"/>
              <w:ind w:left="2" w:right="0" w:firstLine="0"/>
              <w:jc w:val="left"/>
            </w:pPr>
            <w:r>
              <w:rPr>
                <w:sz w:val="20"/>
              </w:rPr>
              <w:t xml:space="preserve">TE </w:t>
            </w:r>
          </w:p>
        </w:tc>
        <w:tc>
          <w:tcPr>
            <w:tcW w:w="998" w:type="dxa"/>
            <w:tcBorders>
              <w:top w:val="single" w:sz="4" w:space="0" w:color="000000"/>
              <w:left w:val="single" w:sz="8" w:space="0" w:color="000000"/>
              <w:bottom w:val="double" w:sz="6" w:space="0" w:color="000000"/>
              <w:right w:val="dashed" w:sz="4" w:space="0" w:color="000000"/>
            </w:tcBorders>
          </w:tcPr>
          <w:p w:rsidR="00E8309B" w:rsidRDefault="009D0949">
            <w:pPr>
              <w:spacing w:after="0" w:line="259" w:lineRule="auto"/>
              <w:ind w:left="2" w:right="0" w:firstLine="0"/>
              <w:jc w:val="left"/>
            </w:pPr>
            <w:r>
              <w:rPr>
                <w:sz w:val="20"/>
              </w:rPr>
              <w:t xml:space="preserve">2.073,0 </w:t>
            </w:r>
          </w:p>
        </w:tc>
        <w:tc>
          <w:tcPr>
            <w:tcW w:w="994" w:type="dxa"/>
            <w:tcBorders>
              <w:top w:val="single" w:sz="4" w:space="0" w:color="000000"/>
              <w:left w:val="dashed" w:sz="4" w:space="0" w:color="000000"/>
              <w:bottom w:val="double" w:sz="6" w:space="0" w:color="000000"/>
              <w:right w:val="dashed" w:sz="4" w:space="0" w:color="000000"/>
            </w:tcBorders>
          </w:tcPr>
          <w:p w:rsidR="00E8309B" w:rsidRDefault="009D0949">
            <w:pPr>
              <w:spacing w:after="0" w:line="259" w:lineRule="auto"/>
              <w:ind w:left="0" w:right="0" w:firstLine="0"/>
              <w:jc w:val="left"/>
            </w:pPr>
            <w:r>
              <w:rPr>
                <w:sz w:val="20"/>
              </w:rPr>
              <w:t xml:space="preserve">2.289,7 </w:t>
            </w:r>
          </w:p>
        </w:tc>
        <w:tc>
          <w:tcPr>
            <w:tcW w:w="987" w:type="dxa"/>
            <w:tcBorders>
              <w:top w:val="single" w:sz="4" w:space="0" w:color="000000"/>
              <w:left w:val="dashed" w:sz="4" w:space="0" w:color="000000"/>
              <w:bottom w:val="double" w:sz="6" w:space="0" w:color="000000"/>
              <w:right w:val="dashed" w:sz="4" w:space="0" w:color="000000"/>
            </w:tcBorders>
          </w:tcPr>
          <w:p w:rsidR="00E8309B" w:rsidRDefault="009D0949">
            <w:pPr>
              <w:spacing w:after="0" w:line="259" w:lineRule="auto"/>
              <w:ind w:left="1" w:right="0" w:firstLine="0"/>
              <w:jc w:val="left"/>
            </w:pPr>
            <w:r>
              <w:rPr>
                <w:sz w:val="20"/>
              </w:rPr>
              <w:t xml:space="preserve">2.715,8 </w:t>
            </w:r>
          </w:p>
        </w:tc>
        <w:tc>
          <w:tcPr>
            <w:tcW w:w="989" w:type="dxa"/>
            <w:tcBorders>
              <w:top w:val="single" w:sz="4" w:space="0" w:color="000000"/>
              <w:left w:val="dashed" w:sz="4" w:space="0" w:color="000000"/>
              <w:bottom w:val="double" w:sz="6" w:space="0" w:color="000000"/>
              <w:right w:val="dashed" w:sz="4" w:space="0" w:color="000000"/>
            </w:tcBorders>
          </w:tcPr>
          <w:p w:rsidR="00E8309B" w:rsidRDefault="009D0949">
            <w:pPr>
              <w:spacing w:after="0" w:line="259" w:lineRule="auto"/>
              <w:ind w:left="2" w:right="0" w:firstLine="0"/>
              <w:jc w:val="left"/>
            </w:pPr>
            <w:r>
              <w:rPr>
                <w:sz w:val="20"/>
              </w:rPr>
              <w:t xml:space="preserve">2.603,3 </w:t>
            </w:r>
          </w:p>
        </w:tc>
        <w:tc>
          <w:tcPr>
            <w:tcW w:w="991" w:type="dxa"/>
            <w:tcBorders>
              <w:top w:val="single" w:sz="4" w:space="0" w:color="000000"/>
              <w:left w:val="dashed" w:sz="4" w:space="0" w:color="000000"/>
              <w:bottom w:val="double" w:sz="6" w:space="0" w:color="000000"/>
              <w:right w:val="dashed" w:sz="4" w:space="0" w:color="000000"/>
            </w:tcBorders>
          </w:tcPr>
          <w:p w:rsidR="00E8309B" w:rsidRDefault="009D0949">
            <w:pPr>
              <w:spacing w:after="0" w:line="259" w:lineRule="auto"/>
              <w:ind w:left="2" w:right="0" w:firstLine="0"/>
              <w:jc w:val="left"/>
            </w:pPr>
            <w:r>
              <w:rPr>
                <w:sz w:val="20"/>
              </w:rPr>
              <w:t xml:space="preserve">2.698,8 </w:t>
            </w:r>
          </w:p>
        </w:tc>
        <w:tc>
          <w:tcPr>
            <w:tcW w:w="992" w:type="dxa"/>
            <w:tcBorders>
              <w:top w:val="single" w:sz="4" w:space="0" w:color="000000"/>
              <w:left w:val="dashed" w:sz="4" w:space="0" w:color="000000"/>
              <w:bottom w:val="double" w:sz="6" w:space="0" w:color="000000"/>
              <w:right w:val="double" w:sz="6" w:space="0" w:color="000000"/>
            </w:tcBorders>
          </w:tcPr>
          <w:p w:rsidR="00E8309B" w:rsidRDefault="009D0949">
            <w:pPr>
              <w:spacing w:after="0" w:line="259" w:lineRule="auto"/>
              <w:ind w:left="0" w:right="0" w:firstLine="0"/>
              <w:jc w:val="left"/>
            </w:pPr>
            <w:r>
              <w:rPr>
                <w:sz w:val="20"/>
              </w:rPr>
              <w:t xml:space="preserve">2.799,5 </w:t>
            </w:r>
          </w:p>
        </w:tc>
      </w:tr>
    </w:tbl>
    <w:p w:rsidR="00E8309B" w:rsidRDefault="009D0949">
      <w:pPr>
        <w:spacing w:after="171" w:line="259" w:lineRule="auto"/>
        <w:ind w:left="0" w:right="0" w:firstLine="0"/>
        <w:jc w:val="left"/>
      </w:pPr>
      <w:r>
        <w:rPr>
          <w:sz w:val="22"/>
        </w:rPr>
        <w:t xml:space="preserve"> </w:t>
      </w:r>
    </w:p>
    <w:p w:rsidR="00E8309B" w:rsidRDefault="009D0949">
      <w:pPr>
        <w:tabs>
          <w:tab w:val="center" w:pos="8629"/>
          <w:tab w:val="center" w:pos="9880"/>
          <w:tab w:val="center" w:pos="11131"/>
          <w:tab w:val="center" w:pos="13209"/>
        </w:tabs>
        <w:spacing w:after="0" w:line="259" w:lineRule="auto"/>
        <w:ind w:left="0" w:right="0" w:firstLine="0"/>
        <w:jc w:val="left"/>
      </w:pPr>
      <w:r>
        <w:rPr>
          <w:b/>
          <w:sz w:val="20"/>
        </w:rPr>
        <w:t xml:space="preserve">Табела 3: Расходи општег нивоа државе по функцијама </w:t>
      </w:r>
      <w:r>
        <w:rPr>
          <w:b/>
          <w:sz w:val="20"/>
        </w:rPr>
        <w:tab/>
      </w:r>
      <w:r>
        <w:rPr>
          <w:sz w:val="20"/>
        </w:rPr>
        <w:t xml:space="preserve">  </w:t>
      </w:r>
      <w:r>
        <w:rPr>
          <w:sz w:val="20"/>
        </w:rPr>
        <w:tab/>
        <w:t xml:space="preserve">  </w:t>
      </w:r>
      <w:r>
        <w:rPr>
          <w:sz w:val="20"/>
        </w:rPr>
        <w:tab/>
        <w:t xml:space="preserve">  </w:t>
      </w:r>
      <w:r>
        <w:rPr>
          <w:sz w:val="20"/>
        </w:rPr>
        <w:tab/>
      </w:r>
      <w:r>
        <w:rPr>
          <w:b/>
          <w:sz w:val="20"/>
        </w:rPr>
        <w:t>Република Србија</w:t>
      </w:r>
      <w:r>
        <w:rPr>
          <w:sz w:val="20"/>
        </w:rPr>
        <w:t xml:space="preserve"> </w:t>
      </w:r>
    </w:p>
    <w:tbl>
      <w:tblPr>
        <w:tblStyle w:val="TableGrid"/>
        <w:tblW w:w="14573" w:type="dxa"/>
        <w:tblInd w:w="0" w:type="dxa"/>
        <w:tblCellMar>
          <w:top w:w="10" w:type="dxa"/>
          <w:left w:w="110" w:type="dxa"/>
          <w:bottom w:w="0" w:type="dxa"/>
          <w:right w:w="89" w:type="dxa"/>
        </w:tblCellMar>
        <w:tblLook w:val="04A0" w:firstRow="1" w:lastRow="0" w:firstColumn="1" w:lastColumn="0" w:noHBand="0" w:noVBand="1"/>
      </w:tblPr>
      <w:tblGrid>
        <w:gridCol w:w="5612"/>
        <w:gridCol w:w="1589"/>
        <w:gridCol w:w="1474"/>
        <w:gridCol w:w="1476"/>
        <w:gridCol w:w="1474"/>
        <w:gridCol w:w="1476"/>
        <w:gridCol w:w="1472"/>
      </w:tblGrid>
      <w:tr w:rsidR="00E8309B">
        <w:trPr>
          <w:trHeight w:val="390"/>
        </w:trPr>
        <w:tc>
          <w:tcPr>
            <w:tcW w:w="5612" w:type="dxa"/>
            <w:vMerge w:val="restart"/>
            <w:tcBorders>
              <w:top w:val="double" w:sz="6" w:space="0" w:color="000000"/>
              <w:left w:val="double" w:sz="6" w:space="0" w:color="000000"/>
              <w:bottom w:val="single" w:sz="8" w:space="0" w:color="000000"/>
              <w:right w:val="dashed" w:sz="4" w:space="0" w:color="000000"/>
            </w:tcBorders>
            <w:vAlign w:val="center"/>
          </w:tcPr>
          <w:p w:rsidR="00E8309B" w:rsidRDefault="009D0949">
            <w:pPr>
              <w:spacing w:after="0" w:line="259" w:lineRule="auto"/>
              <w:ind w:left="0" w:right="19" w:firstLine="0"/>
              <w:jc w:val="center"/>
            </w:pPr>
            <w:r>
              <w:rPr>
                <w:sz w:val="20"/>
              </w:rPr>
              <w:t xml:space="preserve">% БДП </w:t>
            </w:r>
          </w:p>
        </w:tc>
        <w:tc>
          <w:tcPr>
            <w:tcW w:w="1589" w:type="dxa"/>
            <w:vMerge w:val="restart"/>
            <w:tcBorders>
              <w:top w:val="double" w:sz="6" w:space="0" w:color="000000"/>
              <w:left w:val="dashed" w:sz="4" w:space="0" w:color="000000"/>
              <w:bottom w:val="single" w:sz="8" w:space="0" w:color="000000"/>
              <w:right w:val="single" w:sz="8" w:space="0" w:color="000000"/>
            </w:tcBorders>
            <w:vAlign w:val="center"/>
          </w:tcPr>
          <w:p w:rsidR="00E8309B" w:rsidRDefault="009D0949">
            <w:pPr>
              <w:spacing w:after="0" w:line="259" w:lineRule="auto"/>
              <w:ind w:left="31" w:right="0" w:firstLine="0"/>
              <w:jc w:val="left"/>
            </w:pPr>
            <w:r>
              <w:rPr>
                <w:sz w:val="20"/>
              </w:rPr>
              <w:t xml:space="preserve">COFOG шифра </w:t>
            </w:r>
          </w:p>
        </w:tc>
        <w:tc>
          <w:tcPr>
            <w:tcW w:w="1474" w:type="dxa"/>
            <w:tcBorders>
              <w:top w:val="double" w:sz="6" w:space="0" w:color="000000"/>
              <w:left w:val="single" w:sz="8" w:space="0" w:color="000000"/>
              <w:bottom w:val="single" w:sz="18" w:space="0" w:color="FFFFFF"/>
              <w:right w:val="dashed" w:sz="4" w:space="0" w:color="000000"/>
            </w:tcBorders>
          </w:tcPr>
          <w:p w:rsidR="00E8309B" w:rsidRDefault="009D0949">
            <w:pPr>
              <w:spacing w:after="0" w:line="259" w:lineRule="auto"/>
              <w:ind w:left="0" w:right="24" w:firstLine="0"/>
              <w:jc w:val="center"/>
            </w:pPr>
            <w:r>
              <w:rPr>
                <w:sz w:val="20"/>
              </w:rPr>
              <w:t xml:space="preserve">год. </w:t>
            </w:r>
          </w:p>
        </w:tc>
        <w:tc>
          <w:tcPr>
            <w:tcW w:w="1476" w:type="dxa"/>
            <w:vMerge w:val="restart"/>
            <w:tcBorders>
              <w:top w:val="double" w:sz="6" w:space="0" w:color="000000"/>
              <w:left w:val="dashed" w:sz="4" w:space="0" w:color="000000"/>
              <w:bottom w:val="single" w:sz="8" w:space="0" w:color="000000"/>
              <w:right w:val="dashed" w:sz="4" w:space="0" w:color="000000"/>
            </w:tcBorders>
          </w:tcPr>
          <w:p w:rsidR="00E8309B" w:rsidRDefault="009D0949">
            <w:pPr>
              <w:spacing w:after="142" w:line="259" w:lineRule="auto"/>
              <w:ind w:left="0" w:right="16" w:firstLine="0"/>
              <w:jc w:val="center"/>
            </w:pPr>
            <w:r>
              <w:rPr>
                <w:sz w:val="20"/>
              </w:rPr>
              <w:t xml:space="preserve">год. </w:t>
            </w:r>
          </w:p>
          <w:p w:rsidR="00E8309B" w:rsidRDefault="009D0949">
            <w:pPr>
              <w:spacing w:after="0" w:line="259" w:lineRule="auto"/>
              <w:ind w:left="0" w:right="15" w:firstLine="0"/>
              <w:jc w:val="center"/>
            </w:pPr>
            <w:r>
              <w:rPr>
                <w:sz w:val="20"/>
              </w:rPr>
              <w:t xml:space="preserve">2020 </w:t>
            </w:r>
          </w:p>
        </w:tc>
        <w:tc>
          <w:tcPr>
            <w:tcW w:w="1474" w:type="dxa"/>
            <w:vMerge w:val="restart"/>
            <w:tcBorders>
              <w:top w:val="double" w:sz="6" w:space="0" w:color="000000"/>
              <w:left w:val="dashed" w:sz="4" w:space="0" w:color="000000"/>
              <w:bottom w:val="single" w:sz="8" w:space="0" w:color="000000"/>
              <w:right w:val="dashed" w:sz="4" w:space="0" w:color="000000"/>
            </w:tcBorders>
          </w:tcPr>
          <w:p w:rsidR="00E8309B" w:rsidRDefault="009D0949">
            <w:pPr>
              <w:spacing w:after="142" w:line="259" w:lineRule="auto"/>
              <w:ind w:left="0" w:right="23" w:firstLine="0"/>
              <w:jc w:val="center"/>
            </w:pPr>
            <w:r>
              <w:rPr>
                <w:sz w:val="20"/>
              </w:rPr>
              <w:t xml:space="preserve">год. </w:t>
            </w:r>
          </w:p>
          <w:p w:rsidR="00E8309B" w:rsidRDefault="009D0949">
            <w:pPr>
              <w:spacing w:after="0" w:line="259" w:lineRule="auto"/>
              <w:ind w:left="0" w:right="22" w:firstLine="0"/>
              <w:jc w:val="center"/>
            </w:pPr>
            <w:r>
              <w:rPr>
                <w:sz w:val="20"/>
              </w:rPr>
              <w:t xml:space="preserve">2021 </w:t>
            </w:r>
          </w:p>
        </w:tc>
        <w:tc>
          <w:tcPr>
            <w:tcW w:w="1476" w:type="dxa"/>
            <w:vMerge w:val="restart"/>
            <w:tcBorders>
              <w:top w:val="double" w:sz="6" w:space="0" w:color="000000"/>
              <w:left w:val="dashed" w:sz="4" w:space="0" w:color="000000"/>
              <w:bottom w:val="single" w:sz="8" w:space="0" w:color="000000"/>
              <w:right w:val="dashed" w:sz="4" w:space="0" w:color="000000"/>
            </w:tcBorders>
          </w:tcPr>
          <w:p w:rsidR="00E8309B" w:rsidRDefault="009D0949">
            <w:pPr>
              <w:spacing w:after="142" w:line="259" w:lineRule="auto"/>
              <w:ind w:left="0" w:right="21" w:firstLine="0"/>
              <w:jc w:val="center"/>
            </w:pPr>
            <w:r>
              <w:rPr>
                <w:sz w:val="20"/>
              </w:rPr>
              <w:t xml:space="preserve">год. </w:t>
            </w:r>
          </w:p>
          <w:p w:rsidR="00E8309B" w:rsidRDefault="009D0949">
            <w:pPr>
              <w:spacing w:after="0" w:line="259" w:lineRule="auto"/>
              <w:ind w:left="0" w:right="20" w:firstLine="0"/>
              <w:jc w:val="center"/>
            </w:pPr>
            <w:r>
              <w:rPr>
                <w:sz w:val="20"/>
              </w:rPr>
              <w:t xml:space="preserve">2022 </w:t>
            </w:r>
          </w:p>
        </w:tc>
        <w:tc>
          <w:tcPr>
            <w:tcW w:w="1472" w:type="dxa"/>
            <w:tcBorders>
              <w:top w:val="double" w:sz="6" w:space="0" w:color="000000"/>
              <w:left w:val="dashed" w:sz="4" w:space="0" w:color="000000"/>
              <w:bottom w:val="single" w:sz="18" w:space="0" w:color="FFFFFF"/>
              <w:right w:val="double" w:sz="6" w:space="0" w:color="000000"/>
            </w:tcBorders>
          </w:tcPr>
          <w:p w:rsidR="00E8309B" w:rsidRDefault="009D0949">
            <w:pPr>
              <w:spacing w:after="0" w:line="259" w:lineRule="auto"/>
              <w:ind w:left="0" w:right="22" w:firstLine="0"/>
              <w:jc w:val="center"/>
            </w:pPr>
            <w:r>
              <w:rPr>
                <w:sz w:val="20"/>
              </w:rPr>
              <w:t xml:space="preserve">год. </w:t>
            </w:r>
          </w:p>
        </w:tc>
      </w:tr>
      <w:tr w:rsidR="00E8309B">
        <w:trPr>
          <w:trHeight w:val="263"/>
        </w:trPr>
        <w:tc>
          <w:tcPr>
            <w:tcW w:w="0" w:type="auto"/>
            <w:vMerge/>
            <w:tcBorders>
              <w:top w:val="nil"/>
              <w:left w:val="double" w:sz="6" w:space="0" w:color="000000"/>
              <w:bottom w:val="single" w:sz="8" w:space="0" w:color="000000"/>
              <w:right w:val="dashed" w:sz="4" w:space="0" w:color="000000"/>
            </w:tcBorders>
          </w:tcPr>
          <w:p w:rsidR="00E8309B" w:rsidRDefault="00E8309B">
            <w:pPr>
              <w:spacing w:after="160" w:line="259" w:lineRule="auto"/>
              <w:ind w:left="0" w:right="0" w:firstLine="0"/>
              <w:jc w:val="left"/>
            </w:pPr>
          </w:p>
        </w:tc>
        <w:tc>
          <w:tcPr>
            <w:tcW w:w="0" w:type="auto"/>
            <w:vMerge/>
            <w:tcBorders>
              <w:top w:val="nil"/>
              <w:left w:val="dashed" w:sz="4" w:space="0" w:color="000000"/>
              <w:bottom w:val="single" w:sz="8" w:space="0" w:color="000000"/>
              <w:right w:val="single" w:sz="8" w:space="0" w:color="000000"/>
            </w:tcBorders>
          </w:tcPr>
          <w:p w:rsidR="00E8309B" w:rsidRDefault="00E8309B">
            <w:pPr>
              <w:spacing w:after="160" w:line="259" w:lineRule="auto"/>
              <w:ind w:left="0" w:right="0" w:firstLine="0"/>
              <w:jc w:val="left"/>
            </w:pPr>
          </w:p>
        </w:tc>
        <w:tc>
          <w:tcPr>
            <w:tcW w:w="1474" w:type="dxa"/>
            <w:tcBorders>
              <w:top w:val="single" w:sz="18" w:space="0" w:color="FFFFFF"/>
              <w:left w:val="single" w:sz="8" w:space="0" w:color="000000"/>
              <w:bottom w:val="single" w:sz="8" w:space="0" w:color="000000"/>
              <w:right w:val="dashed" w:sz="4" w:space="0" w:color="000000"/>
            </w:tcBorders>
          </w:tcPr>
          <w:p w:rsidR="00E8309B" w:rsidRDefault="009D0949">
            <w:pPr>
              <w:spacing w:after="0" w:line="259" w:lineRule="auto"/>
              <w:ind w:left="0" w:right="22" w:firstLine="0"/>
              <w:jc w:val="center"/>
            </w:pPr>
            <w:r>
              <w:rPr>
                <w:sz w:val="20"/>
              </w:rPr>
              <w:t xml:space="preserve">2019 </w:t>
            </w:r>
          </w:p>
        </w:tc>
        <w:tc>
          <w:tcPr>
            <w:tcW w:w="0" w:type="auto"/>
            <w:vMerge/>
            <w:tcBorders>
              <w:top w:val="nil"/>
              <w:left w:val="dashed" w:sz="4" w:space="0" w:color="000000"/>
              <w:bottom w:val="single" w:sz="8" w:space="0" w:color="000000"/>
              <w:right w:val="dashed" w:sz="4" w:space="0" w:color="000000"/>
            </w:tcBorders>
          </w:tcPr>
          <w:p w:rsidR="00E8309B" w:rsidRDefault="00E8309B">
            <w:pPr>
              <w:spacing w:after="160" w:line="259" w:lineRule="auto"/>
              <w:ind w:left="0" w:right="0" w:firstLine="0"/>
              <w:jc w:val="left"/>
            </w:pPr>
          </w:p>
        </w:tc>
        <w:tc>
          <w:tcPr>
            <w:tcW w:w="0" w:type="auto"/>
            <w:vMerge/>
            <w:tcBorders>
              <w:top w:val="nil"/>
              <w:left w:val="dashed" w:sz="4" w:space="0" w:color="000000"/>
              <w:bottom w:val="single" w:sz="8" w:space="0" w:color="000000"/>
              <w:right w:val="dashed" w:sz="4" w:space="0" w:color="000000"/>
            </w:tcBorders>
          </w:tcPr>
          <w:p w:rsidR="00E8309B" w:rsidRDefault="00E8309B">
            <w:pPr>
              <w:spacing w:after="160" w:line="259" w:lineRule="auto"/>
              <w:ind w:left="0" w:right="0" w:firstLine="0"/>
              <w:jc w:val="left"/>
            </w:pPr>
          </w:p>
        </w:tc>
        <w:tc>
          <w:tcPr>
            <w:tcW w:w="0" w:type="auto"/>
            <w:vMerge/>
            <w:tcBorders>
              <w:top w:val="nil"/>
              <w:left w:val="dashed" w:sz="4" w:space="0" w:color="000000"/>
              <w:bottom w:val="single" w:sz="8" w:space="0" w:color="000000"/>
              <w:right w:val="dashed" w:sz="4" w:space="0" w:color="000000"/>
            </w:tcBorders>
          </w:tcPr>
          <w:p w:rsidR="00E8309B" w:rsidRDefault="00E8309B">
            <w:pPr>
              <w:spacing w:after="160" w:line="259" w:lineRule="auto"/>
              <w:ind w:left="0" w:right="0" w:firstLine="0"/>
              <w:jc w:val="left"/>
            </w:pPr>
          </w:p>
        </w:tc>
        <w:tc>
          <w:tcPr>
            <w:tcW w:w="1472" w:type="dxa"/>
            <w:tcBorders>
              <w:top w:val="single" w:sz="18" w:space="0" w:color="FFFFFF"/>
              <w:left w:val="dashed" w:sz="4" w:space="0" w:color="000000"/>
              <w:bottom w:val="single" w:sz="8" w:space="0" w:color="000000"/>
              <w:right w:val="double" w:sz="6" w:space="0" w:color="000000"/>
            </w:tcBorders>
          </w:tcPr>
          <w:p w:rsidR="00E8309B" w:rsidRDefault="009D0949">
            <w:pPr>
              <w:spacing w:after="0" w:line="259" w:lineRule="auto"/>
              <w:ind w:left="0" w:right="20" w:firstLine="0"/>
              <w:jc w:val="center"/>
            </w:pPr>
            <w:r>
              <w:rPr>
                <w:sz w:val="20"/>
              </w:rPr>
              <w:t xml:space="preserve">2023 </w:t>
            </w:r>
          </w:p>
        </w:tc>
      </w:tr>
      <w:tr w:rsidR="00E8309B">
        <w:trPr>
          <w:trHeight w:val="298"/>
        </w:trPr>
        <w:tc>
          <w:tcPr>
            <w:tcW w:w="5612" w:type="dxa"/>
            <w:tcBorders>
              <w:top w:val="single" w:sz="8" w:space="0" w:color="000000"/>
              <w:left w:val="double" w:sz="6" w:space="0" w:color="000000"/>
              <w:bottom w:val="dashed" w:sz="4" w:space="0" w:color="000000"/>
              <w:right w:val="dashed" w:sz="4" w:space="0" w:color="000000"/>
            </w:tcBorders>
          </w:tcPr>
          <w:p w:rsidR="00E8309B" w:rsidRDefault="009D0949">
            <w:pPr>
              <w:spacing w:after="0" w:line="259" w:lineRule="auto"/>
              <w:ind w:left="0" w:right="0" w:firstLine="0"/>
              <w:jc w:val="left"/>
            </w:pPr>
            <w:r>
              <w:rPr>
                <w:sz w:val="20"/>
              </w:rPr>
              <w:t xml:space="preserve">1. Опште јавне услуге </w:t>
            </w:r>
          </w:p>
        </w:tc>
        <w:tc>
          <w:tcPr>
            <w:tcW w:w="1589" w:type="dxa"/>
            <w:tcBorders>
              <w:top w:val="single" w:sz="8" w:space="0" w:color="000000"/>
              <w:left w:val="dashed" w:sz="4" w:space="0" w:color="000000"/>
              <w:bottom w:val="dashed" w:sz="4" w:space="0" w:color="000000"/>
              <w:right w:val="single" w:sz="8" w:space="0" w:color="000000"/>
            </w:tcBorders>
          </w:tcPr>
          <w:p w:rsidR="00E8309B" w:rsidRDefault="009D0949">
            <w:pPr>
              <w:spacing w:after="0" w:line="259" w:lineRule="auto"/>
              <w:ind w:left="0" w:right="18" w:firstLine="0"/>
              <w:jc w:val="center"/>
            </w:pPr>
            <w:r>
              <w:rPr>
                <w:sz w:val="20"/>
              </w:rPr>
              <w:t xml:space="preserve">1 </w:t>
            </w:r>
          </w:p>
        </w:tc>
        <w:tc>
          <w:tcPr>
            <w:tcW w:w="1474" w:type="dxa"/>
            <w:tcBorders>
              <w:top w:val="single" w:sz="8" w:space="0" w:color="000000"/>
              <w:left w:val="single" w:sz="8" w:space="0" w:color="000000"/>
              <w:bottom w:val="dashed" w:sz="4" w:space="0" w:color="000000"/>
              <w:right w:val="dashed" w:sz="4" w:space="0" w:color="000000"/>
            </w:tcBorders>
          </w:tcPr>
          <w:p w:rsidR="00E8309B" w:rsidRDefault="009D0949">
            <w:pPr>
              <w:spacing w:after="0" w:line="259" w:lineRule="auto"/>
              <w:ind w:left="0" w:right="20" w:firstLine="0"/>
              <w:jc w:val="center"/>
            </w:pPr>
            <w:r>
              <w:rPr>
                <w:sz w:val="20"/>
              </w:rPr>
              <w:t xml:space="preserve">6,1 </w:t>
            </w:r>
          </w:p>
        </w:tc>
        <w:tc>
          <w:tcPr>
            <w:tcW w:w="1476" w:type="dxa"/>
            <w:tcBorders>
              <w:top w:val="single" w:sz="8" w:space="0" w:color="000000"/>
              <w:left w:val="dashed" w:sz="4" w:space="0" w:color="000000"/>
              <w:bottom w:val="dashed" w:sz="4" w:space="0" w:color="000000"/>
              <w:right w:val="dashed" w:sz="4" w:space="0" w:color="000000"/>
            </w:tcBorders>
          </w:tcPr>
          <w:p w:rsidR="00E8309B" w:rsidRDefault="009D0949">
            <w:pPr>
              <w:spacing w:after="0" w:line="259" w:lineRule="auto"/>
              <w:ind w:left="0" w:right="18" w:firstLine="0"/>
              <w:jc w:val="center"/>
            </w:pPr>
            <w:r>
              <w:rPr>
                <w:sz w:val="20"/>
              </w:rPr>
              <w:t xml:space="preserve">7,7 </w:t>
            </w:r>
          </w:p>
        </w:tc>
        <w:tc>
          <w:tcPr>
            <w:tcW w:w="1474" w:type="dxa"/>
            <w:tcBorders>
              <w:top w:val="single" w:sz="8" w:space="0" w:color="000000"/>
              <w:left w:val="dashed" w:sz="4" w:space="0" w:color="000000"/>
              <w:bottom w:val="dashed" w:sz="4" w:space="0" w:color="000000"/>
              <w:right w:val="dashed" w:sz="4" w:space="0" w:color="000000"/>
            </w:tcBorders>
          </w:tcPr>
          <w:p w:rsidR="00E8309B" w:rsidRDefault="009D0949">
            <w:pPr>
              <w:spacing w:after="0" w:line="259" w:lineRule="auto"/>
              <w:ind w:left="0" w:right="20" w:firstLine="0"/>
              <w:jc w:val="center"/>
            </w:pPr>
            <w:r>
              <w:rPr>
                <w:sz w:val="20"/>
              </w:rPr>
              <w:t xml:space="preserve">6,1 </w:t>
            </w:r>
          </w:p>
        </w:tc>
        <w:tc>
          <w:tcPr>
            <w:tcW w:w="1476" w:type="dxa"/>
            <w:tcBorders>
              <w:top w:val="single" w:sz="8" w:space="0" w:color="000000"/>
              <w:left w:val="dashed" w:sz="4" w:space="0" w:color="000000"/>
              <w:bottom w:val="dashed" w:sz="4" w:space="0" w:color="000000"/>
              <w:right w:val="dashed" w:sz="4" w:space="0" w:color="000000"/>
            </w:tcBorders>
          </w:tcPr>
          <w:p w:rsidR="00E8309B" w:rsidRDefault="009D0949">
            <w:pPr>
              <w:spacing w:after="0" w:line="259" w:lineRule="auto"/>
              <w:ind w:left="0" w:right="23" w:firstLine="0"/>
              <w:jc w:val="center"/>
            </w:pPr>
            <w:r>
              <w:rPr>
                <w:sz w:val="20"/>
              </w:rPr>
              <w:t xml:space="preserve">5,9 </w:t>
            </w:r>
          </w:p>
        </w:tc>
        <w:tc>
          <w:tcPr>
            <w:tcW w:w="1472" w:type="dxa"/>
            <w:tcBorders>
              <w:top w:val="single" w:sz="8" w:space="0" w:color="000000"/>
              <w:left w:val="dashed" w:sz="4" w:space="0" w:color="000000"/>
              <w:bottom w:val="dashed" w:sz="4" w:space="0" w:color="000000"/>
              <w:right w:val="double" w:sz="6" w:space="0" w:color="000000"/>
            </w:tcBorders>
          </w:tcPr>
          <w:p w:rsidR="00E8309B" w:rsidRDefault="009D0949">
            <w:pPr>
              <w:spacing w:after="0" w:line="259" w:lineRule="auto"/>
              <w:ind w:left="0" w:right="22" w:firstLine="0"/>
              <w:jc w:val="center"/>
            </w:pPr>
            <w:r>
              <w:rPr>
                <w:sz w:val="20"/>
              </w:rPr>
              <w:t xml:space="preserve">5,7 </w:t>
            </w:r>
          </w:p>
        </w:tc>
      </w:tr>
      <w:tr w:rsidR="00E8309B">
        <w:trPr>
          <w:trHeight w:val="293"/>
        </w:trPr>
        <w:tc>
          <w:tcPr>
            <w:tcW w:w="5612" w:type="dxa"/>
            <w:tcBorders>
              <w:top w:val="dashed" w:sz="4" w:space="0" w:color="000000"/>
              <w:left w:val="double" w:sz="6" w:space="0" w:color="000000"/>
              <w:bottom w:val="dashed" w:sz="4" w:space="0" w:color="000000"/>
              <w:right w:val="dashed" w:sz="4" w:space="0" w:color="000000"/>
            </w:tcBorders>
          </w:tcPr>
          <w:p w:rsidR="00E8309B" w:rsidRDefault="009D0949">
            <w:pPr>
              <w:spacing w:after="0" w:line="259" w:lineRule="auto"/>
              <w:ind w:left="0" w:right="0" w:firstLine="0"/>
              <w:jc w:val="left"/>
            </w:pPr>
            <w:r>
              <w:rPr>
                <w:sz w:val="20"/>
              </w:rPr>
              <w:t xml:space="preserve">2. Одбрана </w:t>
            </w:r>
          </w:p>
        </w:tc>
        <w:tc>
          <w:tcPr>
            <w:tcW w:w="1589" w:type="dxa"/>
            <w:tcBorders>
              <w:top w:val="dashed" w:sz="4" w:space="0" w:color="000000"/>
              <w:left w:val="dashed" w:sz="4" w:space="0" w:color="000000"/>
              <w:bottom w:val="dashed" w:sz="4" w:space="0" w:color="000000"/>
              <w:right w:val="single" w:sz="8" w:space="0" w:color="000000"/>
            </w:tcBorders>
          </w:tcPr>
          <w:p w:rsidR="00E8309B" w:rsidRDefault="009D0949">
            <w:pPr>
              <w:spacing w:after="0" w:line="259" w:lineRule="auto"/>
              <w:ind w:left="0" w:right="18" w:firstLine="0"/>
              <w:jc w:val="center"/>
            </w:pPr>
            <w:r>
              <w:rPr>
                <w:sz w:val="20"/>
              </w:rPr>
              <w:t xml:space="preserve">2 </w:t>
            </w:r>
          </w:p>
        </w:tc>
        <w:tc>
          <w:tcPr>
            <w:tcW w:w="1474" w:type="dxa"/>
            <w:tcBorders>
              <w:top w:val="dashed" w:sz="4" w:space="0" w:color="000000"/>
              <w:left w:val="single" w:sz="8" w:space="0" w:color="000000"/>
              <w:bottom w:val="dashed" w:sz="4" w:space="0" w:color="000000"/>
              <w:right w:val="dashed" w:sz="4" w:space="0" w:color="000000"/>
            </w:tcBorders>
          </w:tcPr>
          <w:p w:rsidR="00E8309B" w:rsidRDefault="009D0949">
            <w:pPr>
              <w:spacing w:after="0" w:line="259" w:lineRule="auto"/>
              <w:ind w:left="0" w:right="20" w:firstLine="0"/>
              <w:jc w:val="center"/>
            </w:pPr>
            <w:r>
              <w:rPr>
                <w:sz w:val="20"/>
              </w:rPr>
              <w:t xml:space="preserve">1,8 </w:t>
            </w:r>
          </w:p>
        </w:tc>
        <w:tc>
          <w:tcPr>
            <w:tcW w:w="1476"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18" w:firstLine="0"/>
              <w:jc w:val="center"/>
            </w:pPr>
            <w:r>
              <w:rPr>
                <w:sz w:val="20"/>
              </w:rPr>
              <w:t xml:space="preserve">1,9 </w:t>
            </w:r>
          </w:p>
        </w:tc>
        <w:tc>
          <w:tcPr>
            <w:tcW w:w="1474"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20" w:firstLine="0"/>
              <w:jc w:val="center"/>
            </w:pPr>
            <w:r>
              <w:rPr>
                <w:sz w:val="20"/>
              </w:rPr>
              <w:t xml:space="preserve">1,7 </w:t>
            </w:r>
          </w:p>
        </w:tc>
        <w:tc>
          <w:tcPr>
            <w:tcW w:w="1476"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23" w:firstLine="0"/>
              <w:jc w:val="center"/>
            </w:pPr>
            <w:r>
              <w:rPr>
                <w:sz w:val="20"/>
              </w:rPr>
              <w:t xml:space="preserve">1,7 </w:t>
            </w:r>
          </w:p>
        </w:tc>
        <w:tc>
          <w:tcPr>
            <w:tcW w:w="1472" w:type="dxa"/>
            <w:tcBorders>
              <w:top w:val="dashed" w:sz="4" w:space="0" w:color="000000"/>
              <w:left w:val="dashed" w:sz="4" w:space="0" w:color="000000"/>
              <w:bottom w:val="dashed" w:sz="4" w:space="0" w:color="000000"/>
              <w:right w:val="double" w:sz="6" w:space="0" w:color="000000"/>
            </w:tcBorders>
          </w:tcPr>
          <w:p w:rsidR="00E8309B" w:rsidRDefault="009D0949">
            <w:pPr>
              <w:spacing w:after="0" w:line="259" w:lineRule="auto"/>
              <w:ind w:left="0" w:right="22" w:firstLine="0"/>
              <w:jc w:val="center"/>
            </w:pPr>
            <w:r>
              <w:rPr>
                <w:sz w:val="20"/>
              </w:rPr>
              <w:t xml:space="preserve">1,6 </w:t>
            </w:r>
          </w:p>
        </w:tc>
      </w:tr>
      <w:tr w:rsidR="00E8309B">
        <w:trPr>
          <w:trHeight w:val="293"/>
        </w:trPr>
        <w:tc>
          <w:tcPr>
            <w:tcW w:w="5612" w:type="dxa"/>
            <w:tcBorders>
              <w:top w:val="dashed" w:sz="4" w:space="0" w:color="000000"/>
              <w:left w:val="double" w:sz="6" w:space="0" w:color="000000"/>
              <w:bottom w:val="dashed" w:sz="4" w:space="0" w:color="000000"/>
              <w:right w:val="dashed" w:sz="4" w:space="0" w:color="000000"/>
            </w:tcBorders>
          </w:tcPr>
          <w:p w:rsidR="00E8309B" w:rsidRDefault="009D0949">
            <w:pPr>
              <w:spacing w:after="0" w:line="259" w:lineRule="auto"/>
              <w:ind w:left="0" w:right="0" w:firstLine="0"/>
              <w:jc w:val="left"/>
            </w:pPr>
            <w:r>
              <w:rPr>
                <w:sz w:val="20"/>
              </w:rPr>
              <w:t xml:space="preserve">3. Јавни ред и безбедност </w:t>
            </w:r>
          </w:p>
        </w:tc>
        <w:tc>
          <w:tcPr>
            <w:tcW w:w="1589" w:type="dxa"/>
            <w:tcBorders>
              <w:top w:val="dashed" w:sz="4" w:space="0" w:color="000000"/>
              <w:left w:val="dashed" w:sz="4" w:space="0" w:color="000000"/>
              <w:bottom w:val="dashed" w:sz="4" w:space="0" w:color="000000"/>
              <w:right w:val="single" w:sz="8" w:space="0" w:color="000000"/>
            </w:tcBorders>
          </w:tcPr>
          <w:p w:rsidR="00E8309B" w:rsidRDefault="009D0949">
            <w:pPr>
              <w:spacing w:after="0" w:line="259" w:lineRule="auto"/>
              <w:ind w:left="0" w:right="18" w:firstLine="0"/>
              <w:jc w:val="center"/>
            </w:pPr>
            <w:r>
              <w:rPr>
                <w:sz w:val="20"/>
              </w:rPr>
              <w:t xml:space="preserve">3 </w:t>
            </w:r>
          </w:p>
        </w:tc>
        <w:tc>
          <w:tcPr>
            <w:tcW w:w="1474" w:type="dxa"/>
            <w:tcBorders>
              <w:top w:val="dashed" w:sz="4" w:space="0" w:color="000000"/>
              <w:left w:val="single" w:sz="8" w:space="0" w:color="000000"/>
              <w:bottom w:val="dashed" w:sz="4" w:space="0" w:color="000000"/>
              <w:right w:val="dashed" w:sz="4" w:space="0" w:color="000000"/>
            </w:tcBorders>
          </w:tcPr>
          <w:p w:rsidR="00E8309B" w:rsidRDefault="009D0949">
            <w:pPr>
              <w:spacing w:after="0" w:line="259" w:lineRule="auto"/>
              <w:ind w:left="0" w:right="20" w:firstLine="0"/>
              <w:jc w:val="center"/>
            </w:pPr>
            <w:r>
              <w:rPr>
                <w:sz w:val="20"/>
              </w:rPr>
              <w:t xml:space="preserve">2,7 </w:t>
            </w:r>
          </w:p>
        </w:tc>
        <w:tc>
          <w:tcPr>
            <w:tcW w:w="1476"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18" w:firstLine="0"/>
              <w:jc w:val="center"/>
            </w:pPr>
            <w:r>
              <w:rPr>
                <w:sz w:val="20"/>
              </w:rPr>
              <w:t xml:space="preserve">2,7 </w:t>
            </w:r>
          </w:p>
        </w:tc>
        <w:tc>
          <w:tcPr>
            <w:tcW w:w="1474"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20" w:firstLine="0"/>
              <w:jc w:val="center"/>
            </w:pPr>
            <w:r>
              <w:rPr>
                <w:sz w:val="20"/>
              </w:rPr>
              <w:t xml:space="preserve">2,6 </w:t>
            </w:r>
          </w:p>
        </w:tc>
        <w:tc>
          <w:tcPr>
            <w:tcW w:w="1476"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23" w:firstLine="0"/>
              <w:jc w:val="center"/>
            </w:pPr>
            <w:r>
              <w:rPr>
                <w:sz w:val="20"/>
              </w:rPr>
              <w:t xml:space="preserve">2,6 </w:t>
            </w:r>
          </w:p>
        </w:tc>
        <w:tc>
          <w:tcPr>
            <w:tcW w:w="1472" w:type="dxa"/>
            <w:tcBorders>
              <w:top w:val="dashed" w:sz="4" w:space="0" w:color="000000"/>
              <w:left w:val="dashed" w:sz="4" w:space="0" w:color="000000"/>
              <w:bottom w:val="dashed" w:sz="4" w:space="0" w:color="000000"/>
              <w:right w:val="double" w:sz="6" w:space="0" w:color="000000"/>
            </w:tcBorders>
          </w:tcPr>
          <w:p w:rsidR="00E8309B" w:rsidRDefault="009D0949">
            <w:pPr>
              <w:spacing w:after="0" w:line="259" w:lineRule="auto"/>
              <w:ind w:left="0" w:right="22" w:firstLine="0"/>
              <w:jc w:val="center"/>
            </w:pPr>
            <w:r>
              <w:rPr>
                <w:sz w:val="20"/>
              </w:rPr>
              <w:t xml:space="preserve">2,5 </w:t>
            </w:r>
          </w:p>
        </w:tc>
      </w:tr>
      <w:tr w:rsidR="00E8309B">
        <w:trPr>
          <w:trHeight w:val="293"/>
        </w:trPr>
        <w:tc>
          <w:tcPr>
            <w:tcW w:w="5612" w:type="dxa"/>
            <w:tcBorders>
              <w:top w:val="dashed" w:sz="4" w:space="0" w:color="000000"/>
              <w:left w:val="double" w:sz="6" w:space="0" w:color="000000"/>
              <w:bottom w:val="dashed" w:sz="4" w:space="0" w:color="000000"/>
              <w:right w:val="dashed" w:sz="4" w:space="0" w:color="000000"/>
            </w:tcBorders>
          </w:tcPr>
          <w:p w:rsidR="00E8309B" w:rsidRDefault="009D0949">
            <w:pPr>
              <w:spacing w:after="0" w:line="259" w:lineRule="auto"/>
              <w:ind w:left="0" w:right="0" w:firstLine="0"/>
              <w:jc w:val="left"/>
            </w:pPr>
            <w:r>
              <w:rPr>
                <w:sz w:val="20"/>
              </w:rPr>
              <w:t xml:space="preserve">4. Економски послови </w:t>
            </w:r>
          </w:p>
        </w:tc>
        <w:tc>
          <w:tcPr>
            <w:tcW w:w="1589" w:type="dxa"/>
            <w:tcBorders>
              <w:top w:val="dashed" w:sz="4" w:space="0" w:color="000000"/>
              <w:left w:val="dashed" w:sz="4" w:space="0" w:color="000000"/>
              <w:bottom w:val="dashed" w:sz="4" w:space="0" w:color="000000"/>
              <w:right w:val="single" w:sz="8" w:space="0" w:color="000000"/>
            </w:tcBorders>
          </w:tcPr>
          <w:p w:rsidR="00E8309B" w:rsidRDefault="009D0949">
            <w:pPr>
              <w:spacing w:after="0" w:line="259" w:lineRule="auto"/>
              <w:ind w:left="0" w:right="18" w:firstLine="0"/>
              <w:jc w:val="center"/>
            </w:pPr>
            <w:r>
              <w:rPr>
                <w:sz w:val="20"/>
              </w:rPr>
              <w:t xml:space="preserve">4 </w:t>
            </w:r>
          </w:p>
        </w:tc>
        <w:tc>
          <w:tcPr>
            <w:tcW w:w="1474" w:type="dxa"/>
            <w:tcBorders>
              <w:top w:val="dashed" w:sz="4" w:space="0" w:color="000000"/>
              <w:left w:val="single" w:sz="8" w:space="0" w:color="000000"/>
              <w:bottom w:val="dashed" w:sz="4" w:space="0" w:color="000000"/>
              <w:right w:val="dashed" w:sz="4" w:space="0" w:color="000000"/>
            </w:tcBorders>
          </w:tcPr>
          <w:p w:rsidR="00E8309B" w:rsidRDefault="009D0949">
            <w:pPr>
              <w:spacing w:after="0" w:line="259" w:lineRule="auto"/>
              <w:ind w:left="0" w:right="20" w:firstLine="0"/>
              <w:jc w:val="center"/>
            </w:pPr>
            <w:r>
              <w:rPr>
                <w:sz w:val="20"/>
              </w:rPr>
              <w:t xml:space="preserve">5,9 </w:t>
            </w:r>
          </w:p>
        </w:tc>
        <w:tc>
          <w:tcPr>
            <w:tcW w:w="1476"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18" w:firstLine="0"/>
              <w:jc w:val="center"/>
            </w:pPr>
            <w:r>
              <w:rPr>
                <w:sz w:val="20"/>
              </w:rPr>
              <w:t xml:space="preserve">9,2 </w:t>
            </w:r>
          </w:p>
        </w:tc>
        <w:tc>
          <w:tcPr>
            <w:tcW w:w="1474"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20" w:firstLine="0"/>
              <w:jc w:val="center"/>
            </w:pPr>
            <w:r>
              <w:rPr>
                <w:sz w:val="20"/>
              </w:rPr>
              <w:t xml:space="preserve">6,7 </w:t>
            </w:r>
          </w:p>
        </w:tc>
        <w:tc>
          <w:tcPr>
            <w:tcW w:w="1476"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23" w:firstLine="0"/>
              <w:jc w:val="center"/>
            </w:pPr>
            <w:r>
              <w:rPr>
                <w:sz w:val="20"/>
              </w:rPr>
              <w:t xml:space="preserve">6,0 </w:t>
            </w:r>
          </w:p>
        </w:tc>
        <w:tc>
          <w:tcPr>
            <w:tcW w:w="1472" w:type="dxa"/>
            <w:tcBorders>
              <w:top w:val="dashed" w:sz="4" w:space="0" w:color="000000"/>
              <w:left w:val="dashed" w:sz="4" w:space="0" w:color="000000"/>
              <w:bottom w:val="dashed" w:sz="4" w:space="0" w:color="000000"/>
              <w:right w:val="double" w:sz="6" w:space="0" w:color="000000"/>
            </w:tcBorders>
          </w:tcPr>
          <w:p w:rsidR="00E8309B" w:rsidRDefault="009D0949">
            <w:pPr>
              <w:spacing w:after="0" w:line="259" w:lineRule="auto"/>
              <w:ind w:left="0" w:right="22" w:firstLine="0"/>
              <w:jc w:val="center"/>
            </w:pPr>
            <w:r>
              <w:rPr>
                <w:sz w:val="20"/>
              </w:rPr>
              <w:t xml:space="preserve">5,6 </w:t>
            </w:r>
          </w:p>
        </w:tc>
      </w:tr>
      <w:tr w:rsidR="00E8309B">
        <w:trPr>
          <w:trHeight w:val="295"/>
        </w:trPr>
        <w:tc>
          <w:tcPr>
            <w:tcW w:w="5612" w:type="dxa"/>
            <w:tcBorders>
              <w:top w:val="dashed" w:sz="4" w:space="0" w:color="000000"/>
              <w:left w:val="double" w:sz="6" w:space="0" w:color="000000"/>
              <w:bottom w:val="dashed" w:sz="4" w:space="0" w:color="000000"/>
              <w:right w:val="dashed" w:sz="4" w:space="0" w:color="000000"/>
            </w:tcBorders>
          </w:tcPr>
          <w:p w:rsidR="00E8309B" w:rsidRDefault="009D0949">
            <w:pPr>
              <w:spacing w:after="0" w:line="259" w:lineRule="auto"/>
              <w:ind w:left="0" w:right="0" w:firstLine="0"/>
              <w:jc w:val="left"/>
            </w:pPr>
            <w:r>
              <w:rPr>
                <w:sz w:val="20"/>
              </w:rPr>
              <w:t xml:space="preserve">5. Заштита животне средине </w:t>
            </w:r>
          </w:p>
        </w:tc>
        <w:tc>
          <w:tcPr>
            <w:tcW w:w="1589" w:type="dxa"/>
            <w:tcBorders>
              <w:top w:val="dashed" w:sz="4" w:space="0" w:color="000000"/>
              <w:left w:val="dashed" w:sz="4" w:space="0" w:color="000000"/>
              <w:bottom w:val="dashed" w:sz="4" w:space="0" w:color="000000"/>
              <w:right w:val="single" w:sz="8" w:space="0" w:color="000000"/>
            </w:tcBorders>
          </w:tcPr>
          <w:p w:rsidR="00E8309B" w:rsidRDefault="009D0949">
            <w:pPr>
              <w:spacing w:after="0" w:line="259" w:lineRule="auto"/>
              <w:ind w:left="0" w:right="18" w:firstLine="0"/>
              <w:jc w:val="center"/>
            </w:pPr>
            <w:r>
              <w:rPr>
                <w:sz w:val="20"/>
              </w:rPr>
              <w:t xml:space="preserve">5 </w:t>
            </w:r>
          </w:p>
        </w:tc>
        <w:tc>
          <w:tcPr>
            <w:tcW w:w="1474" w:type="dxa"/>
            <w:tcBorders>
              <w:top w:val="dashed" w:sz="4" w:space="0" w:color="000000"/>
              <w:left w:val="single" w:sz="8" w:space="0" w:color="000000"/>
              <w:bottom w:val="dashed" w:sz="4" w:space="0" w:color="000000"/>
              <w:right w:val="dashed" w:sz="4" w:space="0" w:color="000000"/>
            </w:tcBorders>
          </w:tcPr>
          <w:p w:rsidR="00E8309B" w:rsidRDefault="009D0949">
            <w:pPr>
              <w:spacing w:after="0" w:line="259" w:lineRule="auto"/>
              <w:ind w:left="0" w:right="20" w:firstLine="0"/>
              <w:jc w:val="center"/>
            </w:pPr>
            <w:r>
              <w:rPr>
                <w:sz w:val="20"/>
              </w:rPr>
              <w:t xml:space="preserve">0,3 </w:t>
            </w:r>
          </w:p>
        </w:tc>
        <w:tc>
          <w:tcPr>
            <w:tcW w:w="1476"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18" w:firstLine="0"/>
              <w:jc w:val="center"/>
            </w:pPr>
            <w:r>
              <w:rPr>
                <w:sz w:val="20"/>
              </w:rPr>
              <w:t xml:space="preserve">0,3 </w:t>
            </w:r>
          </w:p>
        </w:tc>
        <w:tc>
          <w:tcPr>
            <w:tcW w:w="1474"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20" w:firstLine="0"/>
              <w:jc w:val="center"/>
            </w:pPr>
            <w:r>
              <w:rPr>
                <w:sz w:val="20"/>
              </w:rPr>
              <w:t xml:space="preserve">0,3 </w:t>
            </w:r>
          </w:p>
        </w:tc>
        <w:tc>
          <w:tcPr>
            <w:tcW w:w="1476"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23" w:firstLine="0"/>
              <w:jc w:val="center"/>
            </w:pPr>
            <w:r>
              <w:rPr>
                <w:sz w:val="20"/>
              </w:rPr>
              <w:t xml:space="preserve">0,3 </w:t>
            </w:r>
          </w:p>
        </w:tc>
        <w:tc>
          <w:tcPr>
            <w:tcW w:w="1472" w:type="dxa"/>
            <w:tcBorders>
              <w:top w:val="dashed" w:sz="4" w:space="0" w:color="000000"/>
              <w:left w:val="dashed" w:sz="4" w:space="0" w:color="000000"/>
              <w:bottom w:val="dashed" w:sz="4" w:space="0" w:color="000000"/>
              <w:right w:val="double" w:sz="6" w:space="0" w:color="000000"/>
            </w:tcBorders>
          </w:tcPr>
          <w:p w:rsidR="00E8309B" w:rsidRDefault="009D0949">
            <w:pPr>
              <w:spacing w:after="0" w:line="259" w:lineRule="auto"/>
              <w:ind w:left="0" w:right="22" w:firstLine="0"/>
              <w:jc w:val="center"/>
            </w:pPr>
            <w:r>
              <w:rPr>
                <w:sz w:val="20"/>
              </w:rPr>
              <w:t xml:space="preserve">0,3 </w:t>
            </w:r>
          </w:p>
        </w:tc>
      </w:tr>
      <w:tr w:rsidR="00E8309B">
        <w:trPr>
          <w:trHeight w:val="293"/>
        </w:trPr>
        <w:tc>
          <w:tcPr>
            <w:tcW w:w="5612" w:type="dxa"/>
            <w:tcBorders>
              <w:top w:val="dashed" w:sz="4" w:space="0" w:color="000000"/>
              <w:left w:val="double" w:sz="6" w:space="0" w:color="000000"/>
              <w:bottom w:val="dashed" w:sz="4" w:space="0" w:color="000000"/>
              <w:right w:val="dashed" w:sz="4" w:space="0" w:color="000000"/>
            </w:tcBorders>
          </w:tcPr>
          <w:p w:rsidR="00E8309B" w:rsidRDefault="009D0949">
            <w:pPr>
              <w:spacing w:after="0" w:line="259" w:lineRule="auto"/>
              <w:ind w:left="0" w:right="0" w:firstLine="0"/>
              <w:jc w:val="left"/>
            </w:pPr>
            <w:r>
              <w:rPr>
                <w:sz w:val="20"/>
              </w:rPr>
              <w:t xml:space="preserve">6. Послови становања и заједнице </w:t>
            </w:r>
          </w:p>
        </w:tc>
        <w:tc>
          <w:tcPr>
            <w:tcW w:w="1589" w:type="dxa"/>
            <w:tcBorders>
              <w:top w:val="dashed" w:sz="4" w:space="0" w:color="000000"/>
              <w:left w:val="dashed" w:sz="4" w:space="0" w:color="000000"/>
              <w:bottom w:val="dashed" w:sz="4" w:space="0" w:color="000000"/>
              <w:right w:val="single" w:sz="8" w:space="0" w:color="000000"/>
            </w:tcBorders>
          </w:tcPr>
          <w:p w:rsidR="00E8309B" w:rsidRDefault="009D0949">
            <w:pPr>
              <w:spacing w:after="0" w:line="259" w:lineRule="auto"/>
              <w:ind w:left="0" w:right="18" w:firstLine="0"/>
              <w:jc w:val="center"/>
            </w:pPr>
            <w:r>
              <w:rPr>
                <w:sz w:val="20"/>
              </w:rPr>
              <w:t xml:space="preserve">6 </w:t>
            </w:r>
          </w:p>
        </w:tc>
        <w:tc>
          <w:tcPr>
            <w:tcW w:w="1474" w:type="dxa"/>
            <w:tcBorders>
              <w:top w:val="dashed" w:sz="4" w:space="0" w:color="000000"/>
              <w:left w:val="single" w:sz="8" w:space="0" w:color="000000"/>
              <w:bottom w:val="dashed" w:sz="4" w:space="0" w:color="000000"/>
              <w:right w:val="dashed" w:sz="4" w:space="0" w:color="000000"/>
            </w:tcBorders>
          </w:tcPr>
          <w:p w:rsidR="00E8309B" w:rsidRDefault="009D0949">
            <w:pPr>
              <w:spacing w:after="0" w:line="259" w:lineRule="auto"/>
              <w:ind w:left="0" w:right="20" w:firstLine="0"/>
              <w:jc w:val="center"/>
            </w:pPr>
            <w:r>
              <w:rPr>
                <w:sz w:val="20"/>
              </w:rPr>
              <w:t xml:space="preserve">1,5 </w:t>
            </w:r>
          </w:p>
        </w:tc>
        <w:tc>
          <w:tcPr>
            <w:tcW w:w="1476"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18" w:firstLine="0"/>
              <w:jc w:val="center"/>
            </w:pPr>
            <w:r>
              <w:rPr>
                <w:sz w:val="20"/>
              </w:rPr>
              <w:t xml:space="preserve">1,4 </w:t>
            </w:r>
          </w:p>
        </w:tc>
        <w:tc>
          <w:tcPr>
            <w:tcW w:w="1474"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20" w:firstLine="0"/>
              <w:jc w:val="center"/>
            </w:pPr>
            <w:r>
              <w:rPr>
                <w:sz w:val="20"/>
              </w:rPr>
              <w:t xml:space="preserve">1,4 </w:t>
            </w:r>
          </w:p>
        </w:tc>
        <w:tc>
          <w:tcPr>
            <w:tcW w:w="1476"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23" w:firstLine="0"/>
              <w:jc w:val="center"/>
            </w:pPr>
            <w:r>
              <w:rPr>
                <w:sz w:val="20"/>
              </w:rPr>
              <w:t xml:space="preserve">1,4 </w:t>
            </w:r>
          </w:p>
        </w:tc>
        <w:tc>
          <w:tcPr>
            <w:tcW w:w="1472" w:type="dxa"/>
            <w:tcBorders>
              <w:top w:val="dashed" w:sz="4" w:space="0" w:color="000000"/>
              <w:left w:val="dashed" w:sz="4" w:space="0" w:color="000000"/>
              <w:bottom w:val="dashed" w:sz="4" w:space="0" w:color="000000"/>
              <w:right w:val="double" w:sz="6" w:space="0" w:color="000000"/>
            </w:tcBorders>
          </w:tcPr>
          <w:p w:rsidR="00E8309B" w:rsidRDefault="009D0949">
            <w:pPr>
              <w:spacing w:after="0" w:line="259" w:lineRule="auto"/>
              <w:ind w:left="0" w:right="22" w:firstLine="0"/>
              <w:jc w:val="center"/>
            </w:pPr>
            <w:r>
              <w:rPr>
                <w:sz w:val="20"/>
              </w:rPr>
              <w:t xml:space="preserve">1,4 </w:t>
            </w:r>
          </w:p>
        </w:tc>
      </w:tr>
      <w:tr w:rsidR="00E8309B">
        <w:trPr>
          <w:trHeight w:val="293"/>
        </w:trPr>
        <w:tc>
          <w:tcPr>
            <w:tcW w:w="5612" w:type="dxa"/>
            <w:tcBorders>
              <w:top w:val="dashed" w:sz="4" w:space="0" w:color="000000"/>
              <w:left w:val="double" w:sz="6" w:space="0" w:color="000000"/>
              <w:bottom w:val="dashed" w:sz="4" w:space="0" w:color="000000"/>
              <w:right w:val="dashed" w:sz="4" w:space="0" w:color="000000"/>
            </w:tcBorders>
          </w:tcPr>
          <w:p w:rsidR="00E8309B" w:rsidRDefault="009D0949">
            <w:pPr>
              <w:spacing w:after="0" w:line="259" w:lineRule="auto"/>
              <w:ind w:left="0" w:right="0" w:firstLine="0"/>
              <w:jc w:val="left"/>
            </w:pPr>
            <w:r>
              <w:rPr>
                <w:sz w:val="20"/>
              </w:rPr>
              <w:t xml:space="preserve">7. Здравство </w:t>
            </w:r>
          </w:p>
        </w:tc>
        <w:tc>
          <w:tcPr>
            <w:tcW w:w="1589" w:type="dxa"/>
            <w:tcBorders>
              <w:top w:val="dashed" w:sz="4" w:space="0" w:color="000000"/>
              <w:left w:val="dashed" w:sz="4" w:space="0" w:color="000000"/>
              <w:bottom w:val="dashed" w:sz="4" w:space="0" w:color="000000"/>
              <w:right w:val="single" w:sz="8" w:space="0" w:color="000000"/>
            </w:tcBorders>
          </w:tcPr>
          <w:p w:rsidR="00E8309B" w:rsidRDefault="009D0949">
            <w:pPr>
              <w:spacing w:after="0" w:line="259" w:lineRule="auto"/>
              <w:ind w:left="0" w:right="18" w:firstLine="0"/>
              <w:jc w:val="center"/>
            </w:pPr>
            <w:r>
              <w:rPr>
                <w:sz w:val="20"/>
              </w:rPr>
              <w:t xml:space="preserve">7 </w:t>
            </w:r>
          </w:p>
        </w:tc>
        <w:tc>
          <w:tcPr>
            <w:tcW w:w="1474" w:type="dxa"/>
            <w:tcBorders>
              <w:top w:val="dashed" w:sz="4" w:space="0" w:color="000000"/>
              <w:left w:val="single" w:sz="8" w:space="0" w:color="000000"/>
              <w:bottom w:val="dashed" w:sz="4" w:space="0" w:color="000000"/>
              <w:right w:val="dashed" w:sz="4" w:space="0" w:color="000000"/>
            </w:tcBorders>
          </w:tcPr>
          <w:p w:rsidR="00E8309B" w:rsidRDefault="009D0949">
            <w:pPr>
              <w:spacing w:after="0" w:line="259" w:lineRule="auto"/>
              <w:ind w:left="0" w:right="20" w:firstLine="0"/>
              <w:jc w:val="center"/>
            </w:pPr>
            <w:r>
              <w:rPr>
                <w:sz w:val="20"/>
              </w:rPr>
              <w:t xml:space="preserve">5,3 </w:t>
            </w:r>
          </w:p>
        </w:tc>
        <w:tc>
          <w:tcPr>
            <w:tcW w:w="1476"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18" w:firstLine="0"/>
              <w:jc w:val="center"/>
            </w:pPr>
            <w:r>
              <w:rPr>
                <w:sz w:val="20"/>
              </w:rPr>
              <w:t xml:space="preserve">7,1 </w:t>
            </w:r>
          </w:p>
        </w:tc>
        <w:tc>
          <w:tcPr>
            <w:tcW w:w="1474"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20" w:firstLine="0"/>
              <w:jc w:val="center"/>
            </w:pPr>
            <w:r>
              <w:rPr>
                <w:sz w:val="20"/>
              </w:rPr>
              <w:t xml:space="preserve">6,4 </w:t>
            </w:r>
          </w:p>
        </w:tc>
        <w:tc>
          <w:tcPr>
            <w:tcW w:w="1476"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23" w:firstLine="0"/>
              <w:jc w:val="center"/>
            </w:pPr>
            <w:r>
              <w:rPr>
                <w:sz w:val="20"/>
              </w:rPr>
              <w:t xml:space="preserve">6,2 </w:t>
            </w:r>
          </w:p>
        </w:tc>
        <w:tc>
          <w:tcPr>
            <w:tcW w:w="1472" w:type="dxa"/>
            <w:tcBorders>
              <w:top w:val="dashed" w:sz="4" w:space="0" w:color="000000"/>
              <w:left w:val="dashed" w:sz="4" w:space="0" w:color="000000"/>
              <w:bottom w:val="dashed" w:sz="4" w:space="0" w:color="000000"/>
              <w:right w:val="double" w:sz="6" w:space="0" w:color="000000"/>
            </w:tcBorders>
          </w:tcPr>
          <w:p w:rsidR="00E8309B" w:rsidRDefault="009D0949">
            <w:pPr>
              <w:spacing w:after="0" w:line="259" w:lineRule="auto"/>
              <w:ind w:left="0" w:right="22" w:firstLine="0"/>
              <w:jc w:val="center"/>
            </w:pPr>
            <w:r>
              <w:rPr>
                <w:sz w:val="20"/>
              </w:rPr>
              <w:t xml:space="preserve">6,1 </w:t>
            </w:r>
          </w:p>
        </w:tc>
      </w:tr>
      <w:tr w:rsidR="00E8309B">
        <w:trPr>
          <w:trHeight w:val="293"/>
        </w:trPr>
        <w:tc>
          <w:tcPr>
            <w:tcW w:w="5612" w:type="dxa"/>
            <w:tcBorders>
              <w:top w:val="dashed" w:sz="4" w:space="0" w:color="000000"/>
              <w:left w:val="double" w:sz="6" w:space="0" w:color="000000"/>
              <w:bottom w:val="dashed" w:sz="4" w:space="0" w:color="000000"/>
              <w:right w:val="dashed" w:sz="4" w:space="0" w:color="000000"/>
            </w:tcBorders>
          </w:tcPr>
          <w:p w:rsidR="00E8309B" w:rsidRDefault="009D0949">
            <w:pPr>
              <w:spacing w:after="0" w:line="259" w:lineRule="auto"/>
              <w:ind w:left="0" w:right="0" w:firstLine="0"/>
              <w:jc w:val="left"/>
            </w:pPr>
            <w:r>
              <w:rPr>
                <w:sz w:val="20"/>
              </w:rPr>
              <w:t xml:space="preserve">8. Рекреација, култура и религија </w:t>
            </w:r>
          </w:p>
        </w:tc>
        <w:tc>
          <w:tcPr>
            <w:tcW w:w="1589" w:type="dxa"/>
            <w:tcBorders>
              <w:top w:val="dashed" w:sz="4" w:space="0" w:color="000000"/>
              <w:left w:val="dashed" w:sz="4" w:space="0" w:color="000000"/>
              <w:bottom w:val="dashed" w:sz="4" w:space="0" w:color="000000"/>
              <w:right w:val="single" w:sz="8" w:space="0" w:color="000000"/>
            </w:tcBorders>
          </w:tcPr>
          <w:p w:rsidR="00E8309B" w:rsidRDefault="009D0949">
            <w:pPr>
              <w:spacing w:after="0" w:line="259" w:lineRule="auto"/>
              <w:ind w:left="0" w:right="18" w:firstLine="0"/>
              <w:jc w:val="center"/>
            </w:pPr>
            <w:r>
              <w:rPr>
                <w:sz w:val="20"/>
              </w:rPr>
              <w:t xml:space="preserve">8 </w:t>
            </w:r>
          </w:p>
        </w:tc>
        <w:tc>
          <w:tcPr>
            <w:tcW w:w="1474" w:type="dxa"/>
            <w:tcBorders>
              <w:top w:val="dashed" w:sz="4" w:space="0" w:color="000000"/>
              <w:left w:val="single" w:sz="8" w:space="0" w:color="000000"/>
              <w:bottom w:val="dashed" w:sz="4" w:space="0" w:color="000000"/>
              <w:right w:val="dashed" w:sz="4" w:space="0" w:color="000000"/>
            </w:tcBorders>
          </w:tcPr>
          <w:p w:rsidR="00E8309B" w:rsidRDefault="009D0949">
            <w:pPr>
              <w:spacing w:after="0" w:line="259" w:lineRule="auto"/>
              <w:ind w:left="0" w:right="20" w:firstLine="0"/>
              <w:jc w:val="center"/>
            </w:pPr>
            <w:r>
              <w:rPr>
                <w:sz w:val="20"/>
              </w:rPr>
              <w:t xml:space="preserve">0,9 </w:t>
            </w:r>
          </w:p>
        </w:tc>
        <w:tc>
          <w:tcPr>
            <w:tcW w:w="1476"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18" w:firstLine="0"/>
              <w:jc w:val="center"/>
            </w:pPr>
            <w:r>
              <w:rPr>
                <w:sz w:val="20"/>
              </w:rPr>
              <w:t xml:space="preserve">0,9 </w:t>
            </w:r>
          </w:p>
        </w:tc>
        <w:tc>
          <w:tcPr>
            <w:tcW w:w="1474"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20" w:firstLine="0"/>
              <w:jc w:val="center"/>
            </w:pPr>
            <w:r>
              <w:rPr>
                <w:sz w:val="20"/>
              </w:rPr>
              <w:t xml:space="preserve">0,8 </w:t>
            </w:r>
          </w:p>
        </w:tc>
        <w:tc>
          <w:tcPr>
            <w:tcW w:w="1476"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23" w:firstLine="0"/>
              <w:jc w:val="center"/>
            </w:pPr>
            <w:r>
              <w:rPr>
                <w:sz w:val="20"/>
              </w:rPr>
              <w:t xml:space="preserve">0,9 </w:t>
            </w:r>
          </w:p>
        </w:tc>
        <w:tc>
          <w:tcPr>
            <w:tcW w:w="1472" w:type="dxa"/>
            <w:tcBorders>
              <w:top w:val="dashed" w:sz="4" w:space="0" w:color="000000"/>
              <w:left w:val="dashed" w:sz="4" w:space="0" w:color="000000"/>
              <w:bottom w:val="dashed" w:sz="4" w:space="0" w:color="000000"/>
              <w:right w:val="double" w:sz="6" w:space="0" w:color="000000"/>
            </w:tcBorders>
          </w:tcPr>
          <w:p w:rsidR="00E8309B" w:rsidRDefault="009D0949">
            <w:pPr>
              <w:spacing w:after="0" w:line="259" w:lineRule="auto"/>
              <w:ind w:left="0" w:right="22" w:firstLine="0"/>
              <w:jc w:val="center"/>
            </w:pPr>
            <w:r>
              <w:rPr>
                <w:sz w:val="20"/>
              </w:rPr>
              <w:t xml:space="preserve">0,9 </w:t>
            </w:r>
          </w:p>
        </w:tc>
      </w:tr>
      <w:tr w:rsidR="00E8309B">
        <w:trPr>
          <w:trHeight w:val="293"/>
        </w:trPr>
        <w:tc>
          <w:tcPr>
            <w:tcW w:w="5612" w:type="dxa"/>
            <w:tcBorders>
              <w:top w:val="dashed" w:sz="4" w:space="0" w:color="000000"/>
              <w:left w:val="double" w:sz="6" w:space="0" w:color="000000"/>
              <w:bottom w:val="dashed" w:sz="4" w:space="0" w:color="000000"/>
              <w:right w:val="dashed" w:sz="4" w:space="0" w:color="000000"/>
            </w:tcBorders>
          </w:tcPr>
          <w:p w:rsidR="00E8309B" w:rsidRDefault="009D0949">
            <w:pPr>
              <w:spacing w:after="0" w:line="259" w:lineRule="auto"/>
              <w:ind w:left="0" w:right="0" w:firstLine="0"/>
              <w:jc w:val="left"/>
            </w:pPr>
            <w:r>
              <w:rPr>
                <w:sz w:val="20"/>
              </w:rPr>
              <w:t xml:space="preserve">9. Образовање </w:t>
            </w:r>
          </w:p>
        </w:tc>
        <w:tc>
          <w:tcPr>
            <w:tcW w:w="1589" w:type="dxa"/>
            <w:tcBorders>
              <w:top w:val="dashed" w:sz="4" w:space="0" w:color="000000"/>
              <w:left w:val="dashed" w:sz="4" w:space="0" w:color="000000"/>
              <w:bottom w:val="dashed" w:sz="4" w:space="0" w:color="000000"/>
              <w:right w:val="single" w:sz="8" w:space="0" w:color="000000"/>
            </w:tcBorders>
          </w:tcPr>
          <w:p w:rsidR="00E8309B" w:rsidRDefault="009D0949">
            <w:pPr>
              <w:spacing w:after="0" w:line="259" w:lineRule="auto"/>
              <w:ind w:left="0" w:right="18" w:firstLine="0"/>
              <w:jc w:val="center"/>
            </w:pPr>
            <w:r>
              <w:rPr>
                <w:sz w:val="20"/>
              </w:rPr>
              <w:t xml:space="preserve">9 </w:t>
            </w:r>
          </w:p>
        </w:tc>
        <w:tc>
          <w:tcPr>
            <w:tcW w:w="1474" w:type="dxa"/>
            <w:tcBorders>
              <w:top w:val="dashed" w:sz="4" w:space="0" w:color="000000"/>
              <w:left w:val="single" w:sz="8" w:space="0" w:color="000000"/>
              <w:bottom w:val="dashed" w:sz="4" w:space="0" w:color="000000"/>
              <w:right w:val="dashed" w:sz="4" w:space="0" w:color="000000"/>
            </w:tcBorders>
          </w:tcPr>
          <w:p w:rsidR="00E8309B" w:rsidRDefault="009D0949">
            <w:pPr>
              <w:spacing w:after="0" w:line="259" w:lineRule="auto"/>
              <w:ind w:left="0" w:right="20" w:firstLine="0"/>
              <w:jc w:val="center"/>
            </w:pPr>
            <w:r>
              <w:rPr>
                <w:sz w:val="20"/>
              </w:rPr>
              <w:t xml:space="preserve">3,3 </w:t>
            </w:r>
          </w:p>
        </w:tc>
        <w:tc>
          <w:tcPr>
            <w:tcW w:w="1476"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18" w:firstLine="0"/>
              <w:jc w:val="center"/>
            </w:pPr>
            <w:r>
              <w:rPr>
                <w:sz w:val="20"/>
              </w:rPr>
              <w:t xml:space="preserve">3,3 </w:t>
            </w:r>
          </w:p>
        </w:tc>
        <w:tc>
          <w:tcPr>
            <w:tcW w:w="1474"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20" w:firstLine="0"/>
              <w:jc w:val="center"/>
            </w:pPr>
            <w:r>
              <w:rPr>
                <w:sz w:val="20"/>
              </w:rPr>
              <w:t xml:space="preserve">3,2 </w:t>
            </w:r>
          </w:p>
        </w:tc>
        <w:tc>
          <w:tcPr>
            <w:tcW w:w="1476"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23" w:firstLine="0"/>
              <w:jc w:val="center"/>
            </w:pPr>
            <w:r>
              <w:rPr>
                <w:sz w:val="20"/>
              </w:rPr>
              <w:t xml:space="preserve">3,3 </w:t>
            </w:r>
          </w:p>
        </w:tc>
        <w:tc>
          <w:tcPr>
            <w:tcW w:w="1472" w:type="dxa"/>
            <w:tcBorders>
              <w:top w:val="dashed" w:sz="4" w:space="0" w:color="000000"/>
              <w:left w:val="dashed" w:sz="4" w:space="0" w:color="000000"/>
              <w:bottom w:val="dashed" w:sz="4" w:space="0" w:color="000000"/>
              <w:right w:val="double" w:sz="6" w:space="0" w:color="000000"/>
            </w:tcBorders>
          </w:tcPr>
          <w:p w:rsidR="00E8309B" w:rsidRDefault="009D0949">
            <w:pPr>
              <w:spacing w:after="0" w:line="259" w:lineRule="auto"/>
              <w:ind w:left="0" w:right="22" w:firstLine="0"/>
              <w:jc w:val="center"/>
            </w:pPr>
            <w:r>
              <w:rPr>
                <w:sz w:val="20"/>
              </w:rPr>
              <w:t xml:space="preserve">3,3 </w:t>
            </w:r>
          </w:p>
        </w:tc>
      </w:tr>
      <w:tr w:rsidR="00E8309B">
        <w:trPr>
          <w:trHeight w:val="293"/>
        </w:trPr>
        <w:tc>
          <w:tcPr>
            <w:tcW w:w="5612" w:type="dxa"/>
            <w:tcBorders>
              <w:top w:val="dashed" w:sz="4" w:space="0" w:color="000000"/>
              <w:left w:val="double" w:sz="6" w:space="0" w:color="000000"/>
              <w:bottom w:val="dashed" w:sz="4" w:space="0" w:color="000000"/>
              <w:right w:val="dashed" w:sz="4" w:space="0" w:color="000000"/>
            </w:tcBorders>
          </w:tcPr>
          <w:p w:rsidR="00E8309B" w:rsidRDefault="009D0949">
            <w:pPr>
              <w:spacing w:after="0" w:line="259" w:lineRule="auto"/>
              <w:ind w:left="0" w:right="0" w:firstLine="0"/>
              <w:jc w:val="left"/>
            </w:pPr>
            <w:r>
              <w:rPr>
                <w:sz w:val="20"/>
              </w:rPr>
              <w:t xml:space="preserve">10. Социјална заштита </w:t>
            </w:r>
          </w:p>
        </w:tc>
        <w:tc>
          <w:tcPr>
            <w:tcW w:w="1589" w:type="dxa"/>
            <w:tcBorders>
              <w:top w:val="dashed" w:sz="4" w:space="0" w:color="000000"/>
              <w:left w:val="dashed" w:sz="4" w:space="0" w:color="000000"/>
              <w:bottom w:val="dashed" w:sz="4" w:space="0" w:color="000000"/>
              <w:right w:val="single" w:sz="8" w:space="0" w:color="000000"/>
            </w:tcBorders>
          </w:tcPr>
          <w:p w:rsidR="00E8309B" w:rsidRDefault="009D0949">
            <w:pPr>
              <w:spacing w:after="0" w:line="259" w:lineRule="auto"/>
              <w:ind w:left="0" w:right="18" w:firstLine="0"/>
              <w:jc w:val="center"/>
            </w:pPr>
            <w:r>
              <w:rPr>
                <w:sz w:val="20"/>
              </w:rPr>
              <w:t xml:space="preserve">10 </w:t>
            </w:r>
          </w:p>
        </w:tc>
        <w:tc>
          <w:tcPr>
            <w:tcW w:w="1474" w:type="dxa"/>
            <w:tcBorders>
              <w:top w:val="dashed" w:sz="4" w:space="0" w:color="000000"/>
              <w:left w:val="single" w:sz="8" w:space="0" w:color="000000"/>
              <w:bottom w:val="dashed" w:sz="4" w:space="0" w:color="000000"/>
              <w:right w:val="dashed" w:sz="4" w:space="0" w:color="000000"/>
            </w:tcBorders>
          </w:tcPr>
          <w:p w:rsidR="00E8309B" w:rsidRDefault="009D0949">
            <w:pPr>
              <w:spacing w:after="0" w:line="259" w:lineRule="auto"/>
              <w:ind w:left="0" w:right="20" w:firstLine="0"/>
              <w:jc w:val="center"/>
            </w:pPr>
            <w:r>
              <w:rPr>
                <w:sz w:val="20"/>
              </w:rPr>
              <w:t xml:space="preserve">14,4 </w:t>
            </w:r>
          </w:p>
        </w:tc>
        <w:tc>
          <w:tcPr>
            <w:tcW w:w="1476"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18" w:firstLine="0"/>
              <w:jc w:val="center"/>
            </w:pPr>
            <w:r>
              <w:rPr>
                <w:sz w:val="20"/>
              </w:rPr>
              <w:t xml:space="preserve">14,7 </w:t>
            </w:r>
          </w:p>
        </w:tc>
        <w:tc>
          <w:tcPr>
            <w:tcW w:w="1474"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20" w:firstLine="0"/>
              <w:jc w:val="center"/>
            </w:pPr>
            <w:r>
              <w:rPr>
                <w:sz w:val="20"/>
              </w:rPr>
              <w:t xml:space="preserve">14,2 </w:t>
            </w:r>
          </w:p>
        </w:tc>
        <w:tc>
          <w:tcPr>
            <w:tcW w:w="1476"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23" w:firstLine="0"/>
              <w:jc w:val="center"/>
            </w:pPr>
            <w:r>
              <w:rPr>
                <w:sz w:val="20"/>
              </w:rPr>
              <w:t xml:space="preserve">13,8 </w:t>
            </w:r>
          </w:p>
        </w:tc>
        <w:tc>
          <w:tcPr>
            <w:tcW w:w="1472" w:type="dxa"/>
            <w:tcBorders>
              <w:top w:val="dashed" w:sz="4" w:space="0" w:color="000000"/>
              <w:left w:val="dashed" w:sz="4" w:space="0" w:color="000000"/>
              <w:bottom w:val="dashed" w:sz="4" w:space="0" w:color="000000"/>
              <w:right w:val="double" w:sz="6" w:space="0" w:color="000000"/>
            </w:tcBorders>
          </w:tcPr>
          <w:p w:rsidR="00E8309B" w:rsidRDefault="009D0949">
            <w:pPr>
              <w:spacing w:after="0" w:line="259" w:lineRule="auto"/>
              <w:ind w:left="0" w:right="23" w:firstLine="0"/>
              <w:jc w:val="center"/>
            </w:pPr>
            <w:r>
              <w:rPr>
                <w:sz w:val="20"/>
              </w:rPr>
              <w:t xml:space="preserve">13,3 </w:t>
            </w:r>
          </w:p>
        </w:tc>
      </w:tr>
      <w:tr w:rsidR="00E8309B">
        <w:trPr>
          <w:trHeight w:val="312"/>
        </w:trPr>
        <w:tc>
          <w:tcPr>
            <w:tcW w:w="5612" w:type="dxa"/>
            <w:tcBorders>
              <w:top w:val="dashed" w:sz="4" w:space="0" w:color="000000"/>
              <w:left w:val="double" w:sz="6" w:space="0" w:color="000000"/>
              <w:bottom w:val="double" w:sz="6" w:space="0" w:color="000000"/>
              <w:right w:val="dashed" w:sz="4" w:space="0" w:color="000000"/>
            </w:tcBorders>
          </w:tcPr>
          <w:p w:rsidR="00E8309B" w:rsidRDefault="009D0949">
            <w:pPr>
              <w:spacing w:after="0" w:line="259" w:lineRule="auto"/>
              <w:ind w:left="0" w:right="0" w:firstLine="0"/>
              <w:jc w:val="left"/>
            </w:pPr>
            <w:r>
              <w:rPr>
                <w:sz w:val="20"/>
              </w:rPr>
              <w:t xml:space="preserve">11. Укупни расходи (ставка 7 = 23 у Табели 2) </w:t>
            </w:r>
          </w:p>
        </w:tc>
        <w:tc>
          <w:tcPr>
            <w:tcW w:w="1589" w:type="dxa"/>
            <w:tcBorders>
              <w:top w:val="dashed" w:sz="4" w:space="0" w:color="000000"/>
              <w:left w:val="dashed" w:sz="4" w:space="0" w:color="000000"/>
              <w:bottom w:val="double" w:sz="6" w:space="0" w:color="000000"/>
              <w:right w:val="single" w:sz="8" w:space="0" w:color="000000"/>
            </w:tcBorders>
          </w:tcPr>
          <w:p w:rsidR="00E8309B" w:rsidRDefault="009D0949">
            <w:pPr>
              <w:spacing w:after="0" w:line="259" w:lineRule="auto"/>
              <w:ind w:left="0" w:right="15" w:firstLine="0"/>
              <w:jc w:val="center"/>
            </w:pPr>
            <w:r>
              <w:rPr>
                <w:sz w:val="20"/>
              </w:rPr>
              <w:t xml:space="preserve">TE </w:t>
            </w:r>
          </w:p>
        </w:tc>
        <w:tc>
          <w:tcPr>
            <w:tcW w:w="1474" w:type="dxa"/>
            <w:tcBorders>
              <w:top w:val="dashed" w:sz="4" w:space="0" w:color="000000"/>
              <w:left w:val="single" w:sz="8" w:space="0" w:color="000000"/>
              <w:bottom w:val="double" w:sz="6" w:space="0" w:color="000000"/>
              <w:right w:val="dashed" w:sz="4" w:space="0" w:color="000000"/>
            </w:tcBorders>
          </w:tcPr>
          <w:p w:rsidR="00E8309B" w:rsidRDefault="009D0949">
            <w:pPr>
              <w:spacing w:after="0" w:line="259" w:lineRule="auto"/>
              <w:ind w:left="0" w:right="20" w:firstLine="0"/>
              <w:jc w:val="center"/>
            </w:pPr>
            <w:r>
              <w:rPr>
                <w:sz w:val="20"/>
              </w:rPr>
              <w:t xml:space="preserve">42,3 </w:t>
            </w:r>
          </w:p>
        </w:tc>
        <w:tc>
          <w:tcPr>
            <w:tcW w:w="1476" w:type="dxa"/>
            <w:tcBorders>
              <w:top w:val="dashed" w:sz="4" w:space="0" w:color="000000"/>
              <w:left w:val="dashed" w:sz="4" w:space="0" w:color="000000"/>
              <w:bottom w:val="double" w:sz="6" w:space="0" w:color="000000"/>
              <w:right w:val="dashed" w:sz="4" w:space="0" w:color="000000"/>
            </w:tcBorders>
          </w:tcPr>
          <w:p w:rsidR="00E8309B" w:rsidRDefault="009D0949">
            <w:pPr>
              <w:spacing w:after="0" w:line="259" w:lineRule="auto"/>
              <w:ind w:left="0" w:right="18" w:firstLine="0"/>
              <w:jc w:val="center"/>
            </w:pPr>
            <w:r>
              <w:rPr>
                <w:sz w:val="20"/>
              </w:rPr>
              <w:t xml:space="preserve">49,2 </w:t>
            </w:r>
          </w:p>
        </w:tc>
        <w:tc>
          <w:tcPr>
            <w:tcW w:w="1474" w:type="dxa"/>
            <w:tcBorders>
              <w:top w:val="dashed" w:sz="4" w:space="0" w:color="000000"/>
              <w:left w:val="dashed" w:sz="4" w:space="0" w:color="000000"/>
              <w:bottom w:val="double" w:sz="6" w:space="0" w:color="000000"/>
              <w:right w:val="dashed" w:sz="4" w:space="0" w:color="000000"/>
            </w:tcBorders>
          </w:tcPr>
          <w:p w:rsidR="00E8309B" w:rsidRDefault="009D0949">
            <w:pPr>
              <w:spacing w:after="0" w:line="259" w:lineRule="auto"/>
              <w:ind w:left="0" w:right="20" w:firstLine="0"/>
              <w:jc w:val="center"/>
            </w:pPr>
            <w:r>
              <w:rPr>
                <w:sz w:val="20"/>
              </w:rPr>
              <w:t xml:space="preserve">43,4 </w:t>
            </w:r>
          </w:p>
        </w:tc>
        <w:tc>
          <w:tcPr>
            <w:tcW w:w="1476" w:type="dxa"/>
            <w:tcBorders>
              <w:top w:val="dashed" w:sz="4" w:space="0" w:color="000000"/>
              <w:left w:val="dashed" w:sz="4" w:space="0" w:color="000000"/>
              <w:bottom w:val="double" w:sz="6" w:space="0" w:color="000000"/>
              <w:right w:val="dashed" w:sz="4" w:space="0" w:color="000000"/>
            </w:tcBorders>
          </w:tcPr>
          <w:p w:rsidR="00E8309B" w:rsidRDefault="009D0949">
            <w:pPr>
              <w:spacing w:after="0" w:line="259" w:lineRule="auto"/>
              <w:ind w:left="0" w:right="23" w:firstLine="0"/>
              <w:jc w:val="center"/>
            </w:pPr>
            <w:r>
              <w:rPr>
                <w:sz w:val="20"/>
              </w:rPr>
              <w:t xml:space="preserve">42,1 </w:t>
            </w:r>
          </w:p>
        </w:tc>
        <w:tc>
          <w:tcPr>
            <w:tcW w:w="1472" w:type="dxa"/>
            <w:tcBorders>
              <w:top w:val="dashed" w:sz="4" w:space="0" w:color="000000"/>
              <w:left w:val="dashed" w:sz="4" w:space="0" w:color="000000"/>
              <w:bottom w:val="double" w:sz="6" w:space="0" w:color="000000"/>
              <w:right w:val="double" w:sz="6" w:space="0" w:color="000000"/>
            </w:tcBorders>
          </w:tcPr>
          <w:p w:rsidR="00E8309B" w:rsidRDefault="009D0949">
            <w:pPr>
              <w:spacing w:after="0" w:line="259" w:lineRule="auto"/>
              <w:ind w:left="0" w:right="23" w:firstLine="0"/>
              <w:jc w:val="center"/>
            </w:pPr>
            <w:r>
              <w:rPr>
                <w:sz w:val="20"/>
              </w:rPr>
              <w:t xml:space="preserve">40,7 </w:t>
            </w:r>
          </w:p>
        </w:tc>
      </w:tr>
    </w:tbl>
    <w:p w:rsidR="00E8309B" w:rsidRDefault="009D0949">
      <w:pPr>
        <w:spacing w:after="0" w:line="259" w:lineRule="auto"/>
        <w:ind w:left="0" w:right="0" w:firstLine="0"/>
        <w:jc w:val="left"/>
      </w:pPr>
      <w:r>
        <w:rPr>
          <w:sz w:val="22"/>
        </w:rPr>
        <w:t xml:space="preserve"> </w:t>
      </w:r>
    </w:p>
    <w:p w:rsidR="00E8309B" w:rsidRDefault="009D0949">
      <w:pPr>
        <w:pStyle w:val="Heading3"/>
      </w:pPr>
      <w:r>
        <w:t xml:space="preserve">Табела 4: Кретање дуга општег нивоа државе </w:t>
      </w:r>
    </w:p>
    <w:tbl>
      <w:tblPr>
        <w:tblStyle w:val="TableGrid"/>
        <w:tblW w:w="14573" w:type="dxa"/>
        <w:tblInd w:w="0" w:type="dxa"/>
        <w:tblCellMar>
          <w:top w:w="0" w:type="dxa"/>
          <w:left w:w="108" w:type="dxa"/>
          <w:bottom w:w="0" w:type="dxa"/>
          <w:right w:w="51" w:type="dxa"/>
        </w:tblCellMar>
        <w:tblLook w:val="04A0" w:firstRow="1" w:lastRow="0" w:firstColumn="1" w:lastColumn="0" w:noHBand="0" w:noVBand="1"/>
      </w:tblPr>
      <w:tblGrid>
        <w:gridCol w:w="6757"/>
        <w:gridCol w:w="1608"/>
        <w:gridCol w:w="996"/>
        <w:gridCol w:w="994"/>
        <w:gridCol w:w="987"/>
        <w:gridCol w:w="989"/>
        <w:gridCol w:w="991"/>
        <w:gridCol w:w="992"/>
        <w:gridCol w:w="259"/>
      </w:tblGrid>
      <w:tr w:rsidR="00E8309B">
        <w:trPr>
          <w:trHeight w:val="329"/>
        </w:trPr>
        <w:tc>
          <w:tcPr>
            <w:tcW w:w="6757" w:type="dxa"/>
            <w:tcBorders>
              <w:top w:val="double" w:sz="6" w:space="0" w:color="000000"/>
              <w:left w:val="double" w:sz="6" w:space="0" w:color="000000"/>
              <w:bottom w:val="double" w:sz="6" w:space="0" w:color="000000"/>
              <w:right w:val="single" w:sz="8" w:space="0" w:color="000000"/>
            </w:tcBorders>
          </w:tcPr>
          <w:p w:rsidR="00E8309B" w:rsidRDefault="009D0949">
            <w:pPr>
              <w:spacing w:after="0" w:line="259" w:lineRule="auto"/>
              <w:ind w:left="2" w:right="0" w:firstLine="0"/>
              <w:jc w:val="left"/>
            </w:pPr>
            <w:r>
              <w:rPr>
                <w:sz w:val="20"/>
              </w:rPr>
              <w:t xml:space="preserve"> </w:t>
            </w:r>
          </w:p>
        </w:tc>
        <w:tc>
          <w:tcPr>
            <w:tcW w:w="1608" w:type="dxa"/>
            <w:tcBorders>
              <w:top w:val="double" w:sz="6" w:space="0" w:color="000000"/>
              <w:left w:val="single" w:sz="8" w:space="0" w:color="000000"/>
              <w:bottom w:val="double" w:sz="6" w:space="0" w:color="000000"/>
              <w:right w:val="single" w:sz="8" w:space="0" w:color="000000"/>
            </w:tcBorders>
          </w:tcPr>
          <w:p w:rsidR="00E8309B" w:rsidRDefault="009D0949">
            <w:pPr>
              <w:spacing w:after="0" w:line="259" w:lineRule="auto"/>
              <w:ind w:left="0" w:right="4" w:firstLine="0"/>
              <w:jc w:val="center"/>
            </w:pPr>
            <w:r>
              <w:rPr>
                <w:sz w:val="20"/>
              </w:rPr>
              <w:t xml:space="preserve">  </w:t>
            </w:r>
          </w:p>
        </w:tc>
        <w:tc>
          <w:tcPr>
            <w:tcW w:w="996" w:type="dxa"/>
            <w:tcBorders>
              <w:top w:val="double" w:sz="6" w:space="0" w:color="000000"/>
              <w:left w:val="single" w:sz="8" w:space="0" w:color="000000"/>
              <w:bottom w:val="double" w:sz="6" w:space="0" w:color="000000"/>
              <w:right w:val="dashed" w:sz="4" w:space="0" w:color="000000"/>
            </w:tcBorders>
          </w:tcPr>
          <w:p w:rsidR="00E8309B" w:rsidRDefault="009D0949">
            <w:pPr>
              <w:spacing w:after="0" w:line="259" w:lineRule="auto"/>
              <w:ind w:left="0" w:right="56" w:firstLine="0"/>
              <w:jc w:val="center"/>
            </w:pPr>
            <w:r>
              <w:rPr>
                <w:b/>
                <w:sz w:val="20"/>
              </w:rPr>
              <w:t xml:space="preserve">2018 </w:t>
            </w:r>
          </w:p>
        </w:tc>
        <w:tc>
          <w:tcPr>
            <w:tcW w:w="994" w:type="dxa"/>
            <w:tcBorders>
              <w:top w:val="double" w:sz="6" w:space="0" w:color="000000"/>
              <w:left w:val="dashed" w:sz="4" w:space="0" w:color="000000"/>
              <w:bottom w:val="double" w:sz="6" w:space="0" w:color="000000"/>
              <w:right w:val="dashed" w:sz="4" w:space="0" w:color="000000"/>
            </w:tcBorders>
          </w:tcPr>
          <w:p w:rsidR="00E8309B" w:rsidRDefault="009D0949">
            <w:pPr>
              <w:spacing w:after="0" w:line="259" w:lineRule="auto"/>
              <w:ind w:left="0" w:right="58" w:firstLine="0"/>
              <w:jc w:val="center"/>
            </w:pPr>
            <w:r>
              <w:rPr>
                <w:b/>
                <w:sz w:val="20"/>
              </w:rPr>
              <w:t xml:space="preserve">2019 </w:t>
            </w:r>
          </w:p>
        </w:tc>
        <w:tc>
          <w:tcPr>
            <w:tcW w:w="987" w:type="dxa"/>
            <w:tcBorders>
              <w:top w:val="double" w:sz="6" w:space="0" w:color="000000"/>
              <w:left w:val="dashed" w:sz="4" w:space="0" w:color="000000"/>
              <w:bottom w:val="double" w:sz="6" w:space="0" w:color="000000"/>
              <w:right w:val="dashed" w:sz="4" w:space="0" w:color="000000"/>
            </w:tcBorders>
          </w:tcPr>
          <w:p w:rsidR="00E8309B" w:rsidRDefault="009D0949">
            <w:pPr>
              <w:spacing w:after="0" w:line="259" w:lineRule="auto"/>
              <w:ind w:left="0" w:right="55" w:firstLine="0"/>
              <w:jc w:val="center"/>
            </w:pPr>
            <w:r>
              <w:rPr>
                <w:b/>
                <w:sz w:val="20"/>
              </w:rPr>
              <w:t xml:space="preserve">2020 </w:t>
            </w:r>
          </w:p>
        </w:tc>
        <w:tc>
          <w:tcPr>
            <w:tcW w:w="989" w:type="dxa"/>
            <w:tcBorders>
              <w:top w:val="double" w:sz="6" w:space="0" w:color="000000"/>
              <w:left w:val="dashed" w:sz="4" w:space="0" w:color="000000"/>
              <w:bottom w:val="double" w:sz="6" w:space="0" w:color="000000"/>
              <w:right w:val="dashed" w:sz="4" w:space="0" w:color="000000"/>
            </w:tcBorders>
          </w:tcPr>
          <w:p w:rsidR="00E8309B" w:rsidRDefault="009D0949">
            <w:pPr>
              <w:spacing w:after="0" w:line="259" w:lineRule="auto"/>
              <w:ind w:left="0" w:right="53" w:firstLine="0"/>
              <w:jc w:val="center"/>
            </w:pPr>
            <w:r>
              <w:rPr>
                <w:b/>
                <w:sz w:val="20"/>
              </w:rPr>
              <w:t xml:space="preserve">2021 </w:t>
            </w:r>
          </w:p>
        </w:tc>
        <w:tc>
          <w:tcPr>
            <w:tcW w:w="991" w:type="dxa"/>
            <w:tcBorders>
              <w:top w:val="double" w:sz="6" w:space="0" w:color="000000"/>
              <w:left w:val="dashed" w:sz="4" w:space="0" w:color="000000"/>
              <w:bottom w:val="double" w:sz="6" w:space="0" w:color="000000"/>
              <w:right w:val="dashed" w:sz="4" w:space="0" w:color="000000"/>
            </w:tcBorders>
          </w:tcPr>
          <w:p w:rsidR="00E8309B" w:rsidRDefault="009D0949">
            <w:pPr>
              <w:spacing w:after="0" w:line="259" w:lineRule="auto"/>
              <w:ind w:left="0" w:right="51" w:firstLine="0"/>
              <w:jc w:val="center"/>
            </w:pPr>
            <w:r>
              <w:rPr>
                <w:b/>
                <w:sz w:val="20"/>
              </w:rPr>
              <w:t xml:space="preserve">2022 </w:t>
            </w:r>
          </w:p>
        </w:tc>
        <w:tc>
          <w:tcPr>
            <w:tcW w:w="992" w:type="dxa"/>
            <w:tcBorders>
              <w:top w:val="double" w:sz="6" w:space="0" w:color="000000"/>
              <w:left w:val="dashed" w:sz="4" w:space="0" w:color="000000"/>
              <w:bottom w:val="double" w:sz="6" w:space="0" w:color="000000"/>
              <w:right w:val="double" w:sz="6" w:space="0" w:color="000000"/>
            </w:tcBorders>
          </w:tcPr>
          <w:p w:rsidR="00E8309B" w:rsidRDefault="009D0949">
            <w:pPr>
              <w:spacing w:after="0" w:line="259" w:lineRule="auto"/>
              <w:ind w:left="0" w:right="56" w:firstLine="0"/>
              <w:jc w:val="center"/>
            </w:pPr>
            <w:r>
              <w:rPr>
                <w:b/>
                <w:sz w:val="20"/>
              </w:rPr>
              <w:t xml:space="preserve">2023 </w:t>
            </w:r>
          </w:p>
        </w:tc>
        <w:tc>
          <w:tcPr>
            <w:tcW w:w="259" w:type="dxa"/>
            <w:vMerge w:val="restart"/>
            <w:tcBorders>
              <w:top w:val="nil"/>
              <w:left w:val="double" w:sz="6" w:space="0" w:color="000000"/>
              <w:bottom w:val="single" w:sz="18" w:space="0" w:color="FFFFFF"/>
              <w:right w:val="nil"/>
            </w:tcBorders>
          </w:tcPr>
          <w:p w:rsidR="00E8309B" w:rsidRDefault="009D0949">
            <w:pPr>
              <w:spacing w:after="82" w:line="259" w:lineRule="auto"/>
              <w:ind w:left="0" w:right="0" w:firstLine="0"/>
              <w:jc w:val="center"/>
            </w:pPr>
            <w:r>
              <w:rPr>
                <w:sz w:val="20"/>
              </w:rPr>
              <w:t xml:space="preserve">  </w:t>
            </w:r>
          </w:p>
          <w:p w:rsidR="00E8309B" w:rsidRDefault="009D0949">
            <w:pPr>
              <w:spacing w:after="24" w:line="259" w:lineRule="auto"/>
              <w:ind w:left="0" w:right="0" w:firstLine="0"/>
              <w:jc w:val="center"/>
            </w:pPr>
            <w:r>
              <w:rPr>
                <w:sz w:val="20"/>
              </w:rPr>
              <w:t xml:space="preserve">  </w:t>
            </w:r>
          </w:p>
          <w:p w:rsidR="00E8309B" w:rsidRDefault="009D0949">
            <w:pPr>
              <w:spacing w:after="65" w:line="259" w:lineRule="auto"/>
              <w:ind w:left="0" w:right="0" w:firstLine="0"/>
              <w:jc w:val="center"/>
            </w:pPr>
            <w:r>
              <w:rPr>
                <w:sz w:val="20"/>
              </w:rPr>
              <w:t xml:space="preserve">  </w:t>
            </w:r>
          </w:p>
          <w:p w:rsidR="00E8309B" w:rsidRDefault="009D0949">
            <w:pPr>
              <w:spacing w:after="0" w:line="259" w:lineRule="auto"/>
              <w:ind w:left="36" w:right="0" w:firstLine="0"/>
              <w:jc w:val="center"/>
            </w:pPr>
            <w:r>
              <w:rPr>
                <w:sz w:val="20"/>
              </w:rPr>
              <w:t xml:space="preserve"> </w:t>
            </w:r>
          </w:p>
          <w:p w:rsidR="00E8309B" w:rsidRDefault="009D0949">
            <w:pPr>
              <w:spacing w:after="17" w:line="259" w:lineRule="auto"/>
              <w:ind w:left="0" w:right="0" w:firstLine="0"/>
              <w:jc w:val="center"/>
            </w:pPr>
            <w:r>
              <w:rPr>
                <w:sz w:val="20"/>
              </w:rPr>
              <w:t xml:space="preserve">  </w:t>
            </w:r>
          </w:p>
          <w:p w:rsidR="00E8309B" w:rsidRDefault="009D0949">
            <w:pPr>
              <w:spacing w:after="15" w:line="259" w:lineRule="auto"/>
              <w:ind w:left="0" w:right="0" w:firstLine="0"/>
              <w:jc w:val="center"/>
            </w:pPr>
            <w:r>
              <w:rPr>
                <w:sz w:val="20"/>
              </w:rPr>
              <w:t xml:space="preserve">  </w:t>
            </w:r>
          </w:p>
          <w:p w:rsidR="00E8309B" w:rsidRDefault="009D0949">
            <w:pPr>
              <w:spacing w:after="18" w:line="259" w:lineRule="auto"/>
              <w:ind w:left="0" w:right="0" w:firstLine="0"/>
              <w:jc w:val="center"/>
            </w:pPr>
            <w:r>
              <w:rPr>
                <w:sz w:val="20"/>
              </w:rPr>
              <w:t xml:space="preserve">  </w:t>
            </w:r>
          </w:p>
          <w:p w:rsidR="00E8309B" w:rsidRDefault="009D0949">
            <w:pPr>
              <w:spacing w:after="15" w:line="259" w:lineRule="auto"/>
              <w:ind w:left="0" w:right="0" w:firstLine="0"/>
              <w:jc w:val="center"/>
            </w:pPr>
            <w:r>
              <w:rPr>
                <w:sz w:val="20"/>
              </w:rPr>
              <w:t xml:space="preserve">  </w:t>
            </w:r>
          </w:p>
          <w:p w:rsidR="00E8309B" w:rsidRDefault="009D0949">
            <w:pPr>
              <w:spacing w:after="15" w:line="259" w:lineRule="auto"/>
              <w:ind w:left="0" w:right="0" w:firstLine="0"/>
              <w:jc w:val="center"/>
            </w:pPr>
            <w:r>
              <w:rPr>
                <w:sz w:val="20"/>
              </w:rPr>
              <w:t xml:space="preserve">  </w:t>
            </w:r>
          </w:p>
          <w:p w:rsidR="00E8309B" w:rsidRDefault="009D0949">
            <w:pPr>
              <w:spacing w:after="17" w:line="259" w:lineRule="auto"/>
              <w:ind w:left="0" w:right="0" w:firstLine="0"/>
              <w:jc w:val="center"/>
            </w:pPr>
            <w:r>
              <w:rPr>
                <w:sz w:val="20"/>
              </w:rPr>
              <w:t xml:space="preserve">  </w:t>
            </w:r>
          </w:p>
          <w:p w:rsidR="00E8309B" w:rsidRDefault="009D0949">
            <w:pPr>
              <w:spacing w:after="29" w:line="259" w:lineRule="auto"/>
              <w:ind w:left="0" w:right="0" w:firstLine="0"/>
              <w:jc w:val="center"/>
            </w:pPr>
            <w:r>
              <w:rPr>
                <w:sz w:val="20"/>
              </w:rPr>
              <w:t xml:space="preserve">  </w:t>
            </w:r>
          </w:p>
          <w:p w:rsidR="00E8309B" w:rsidRDefault="009D0949">
            <w:pPr>
              <w:spacing w:after="0" w:line="259" w:lineRule="auto"/>
              <w:ind w:left="0" w:right="0" w:firstLine="0"/>
              <w:jc w:val="center"/>
            </w:pPr>
            <w:r>
              <w:rPr>
                <w:sz w:val="20"/>
              </w:rPr>
              <w:t xml:space="preserve">  </w:t>
            </w:r>
          </w:p>
        </w:tc>
      </w:tr>
      <w:tr w:rsidR="00E8309B">
        <w:trPr>
          <w:trHeight w:val="319"/>
        </w:trPr>
        <w:tc>
          <w:tcPr>
            <w:tcW w:w="6757" w:type="dxa"/>
            <w:tcBorders>
              <w:top w:val="double" w:sz="6" w:space="0" w:color="000000"/>
              <w:left w:val="double" w:sz="6" w:space="0" w:color="000000"/>
              <w:bottom w:val="single" w:sz="8" w:space="0" w:color="000000"/>
              <w:right w:val="single" w:sz="8" w:space="0" w:color="000000"/>
            </w:tcBorders>
          </w:tcPr>
          <w:p w:rsidR="00E8309B" w:rsidRDefault="009D0949">
            <w:pPr>
              <w:spacing w:after="0" w:line="259" w:lineRule="auto"/>
              <w:ind w:left="2" w:right="0" w:firstLine="0"/>
              <w:jc w:val="left"/>
            </w:pPr>
            <w:r>
              <w:rPr>
                <w:sz w:val="20"/>
              </w:rPr>
              <w:t xml:space="preserve">1. Бруто дуг [1] </w:t>
            </w:r>
          </w:p>
        </w:tc>
        <w:tc>
          <w:tcPr>
            <w:tcW w:w="1608" w:type="dxa"/>
            <w:tcBorders>
              <w:top w:val="double" w:sz="6" w:space="0" w:color="000000"/>
              <w:left w:val="single" w:sz="8" w:space="0" w:color="000000"/>
              <w:bottom w:val="single" w:sz="8" w:space="0" w:color="000000"/>
              <w:right w:val="single" w:sz="8" w:space="0" w:color="000000"/>
            </w:tcBorders>
            <w:vAlign w:val="bottom"/>
          </w:tcPr>
          <w:p w:rsidR="00E8309B" w:rsidRDefault="009D0949">
            <w:pPr>
              <w:spacing w:after="0" w:line="259" w:lineRule="auto"/>
              <w:ind w:left="0" w:right="53" w:firstLine="0"/>
              <w:jc w:val="center"/>
            </w:pPr>
            <w:r>
              <w:rPr>
                <w:sz w:val="20"/>
              </w:rPr>
              <w:t xml:space="preserve">млрд РСД </w:t>
            </w:r>
          </w:p>
          <w:p w:rsidR="00E8309B" w:rsidRDefault="009D0949">
            <w:pPr>
              <w:spacing w:after="0" w:line="259" w:lineRule="auto"/>
              <w:ind w:left="0" w:right="2" w:firstLine="0"/>
              <w:jc w:val="center"/>
            </w:pPr>
            <w:r>
              <w:rPr>
                <w:sz w:val="20"/>
              </w:rPr>
              <w:t xml:space="preserve"> </w:t>
            </w:r>
          </w:p>
        </w:tc>
        <w:tc>
          <w:tcPr>
            <w:tcW w:w="996" w:type="dxa"/>
            <w:tcBorders>
              <w:top w:val="double" w:sz="6" w:space="0" w:color="000000"/>
              <w:left w:val="single" w:sz="8" w:space="0" w:color="000000"/>
              <w:bottom w:val="single" w:sz="8" w:space="0" w:color="000000"/>
              <w:right w:val="dashed" w:sz="4" w:space="0" w:color="000000"/>
            </w:tcBorders>
          </w:tcPr>
          <w:p w:rsidR="00E8309B" w:rsidRDefault="009D0949">
            <w:pPr>
              <w:spacing w:after="0" w:line="259" w:lineRule="auto"/>
              <w:ind w:left="0" w:right="57" w:firstLine="0"/>
              <w:jc w:val="right"/>
            </w:pPr>
            <w:r>
              <w:rPr>
                <w:sz w:val="20"/>
              </w:rPr>
              <w:t xml:space="preserve">2.757,3 </w:t>
            </w:r>
          </w:p>
          <w:p w:rsidR="00E8309B" w:rsidRDefault="009D0949">
            <w:pPr>
              <w:spacing w:after="0" w:line="259" w:lineRule="auto"/>
              <w:ind w:left="0" w:right="7" w:firstLine="0"/>
              <w:jc w:val="right"/>
            </w:pPr>
            <w:r>
              <w:rPr>
                <w:sz w:val="20"/>
              </w:rPr>
              <w:t xml:space="preserve"> </w:t>
            </w:r>
          </w:p>
        </w:tc>
        <w:tc>
          <w:tcPr>
            <w:tcW w:w="994" w:type="dxa"/>
            <w:tcBorders>
              <w:top w:val="double" w:sz="6" w:space="0" w:color="000000"/>
              <w:left w:val="dashed" w:sz="4" w:space="0" w:color="000000"/>
              <w:bottom w:val="single" w:sz="8" w:space="0" w:color="000000"/>
              <w:right w:val="dashed" w:sz="4" w:space="0" w:color="000000"/>
            </w:tcBorders>
          </w:tcPr>
          <w:p w:rsidR="00E8309B" w:rsidRDefault="009D0949">
            <w:pPr>
              <w:spacing w:after="0" w:line="259" w:lineRule="auto"/>
              <w:ind w:left="0" w:right="57" w:firstLine="0"/>
              <w:jc w:val="right"/>
            </w:pPr>
            <w:r>
              <w:rPr>
                <w:sz w:val="20"/>
              </w:rPr>
              <w:t xml:space="preserve">2.864,0 </w:t>
            </w:r>
          </w:p>
          <w:p w:rsidR="00E8309B" w:rsidRDefault="009D0949">
            <w:pPr>
              <w:spacing w:after="0" w:line="259" w:lineRule="auto"/>
              <w:ind w:left="0" w:right="7" w:firstLine="0"/>
              <w:jc w:val="right"/>
            </w:pPr>
            <w:r>
              <w:rPr>
                <w:sz w:val="20"/>
              </w:rPr>
              <w:t xml:space="preserve"> </w:t>
            </w:r>
          </w:p>
        </w:tc>
        <w:tc>
          <w:tcPr>
            <w:tcW w:w="987" w:type="dxa"/>
            <w:tcBorders>
              <w:top w:val="double" w:sz="6" w:space="0" w:color="000000"/>
              <w:left w:val="dashed" w:sz="4" w:space="0" w:color="000000"/>
              <w:bottom w:val="single" w:sz="8" w:space="0" w:color="000000"/>
              <w:right w:val="dashed" w:sz="4" w:space="0" w:color="000000"/>
            </w:tcBorders>
          </w:tcPr>
          <w:p w:rsidR="00E8309B" w:rsidRDefault="009D0949">
            <w:pPr>
              <w:spacing w:after="0" w:line="259" w:lineRule="auto"/>
              <w:ind w:left="0" w:right="54" w:firstLine="0"/>
              <w:jc w:val="right"/>
            </w:pPr>
            <w:r>
              <w:rPr>
                <w:sz w:val="20"/>
              </w:rPr>
              <w:t xml:space="preserve">3.255,2 </w:t>
            </w:r>
          </w:p>
          <w:p w:rsidR="00E8309B" w:rsidRDefault="009D0949">
            <w:pPr>
              <w:spacing w:after="0" w:line="259" w:lineRule="auto"/>
              <w:ind w:left="0" w:right="5" w:firstLine="0"/>
              <w:jc w:val="right"/>
            </w:pPr>
            <w:r>
              <w:rPr>
                <w:sz w:val="20"/>
              </w:rPr>
              <w:t xml:space="preserve"> </w:t>
            </w:r>
          </w:p>
        </w:tc>
        <w:tc>
          <w:tcPr>
            <w:tcW w:w="989" w:type="dxa"/>
            <w:tcBorders>
              <w:top w:val="double" w:sz="6" w:space="0" w:color="000000"/>
              <w:left w:val="dashed" w:sz="4" w:space="0" w:color="000000"/>
              <w:bottom w:val="single" w:sz="8" w:space="0" w:color="000000"/>
              <w:right w:val="dashed" w:sz="4" w:space="0" w:color="000000"/>
            </w:tcBorders>
          </w:tcPr>
          <w:p w:rsidR="00E8309B" w:rsidRDefault="009D0949">
            <w:pPr>
              <w:spacing w:after="0" w:line="259" w:lineRule="auto"/>
              <w:ind w:left="0" w:right="54" w:firstLine="0"/>
              <w:jc w:val="right"/>
            </w:pPr>
            <w:r>
              <w:rPr>
                <w:sz w:val="20"/>
              </w:rPr>
              <w:t xml:space="preserve">3.520,6 </w:t>
            </w:r>
          </w:p>
          <w:p w:rsidR="00E8309B" w:rsidRDefault="009D0949">
            <w:pPr>
              <w:spacing w:after="0" w:line="259" w:lineRule="auto"/>
              <w:ind w:left="0" w:right="5" w:firstLine="0"/>
              <w:jc w:val="right"/>
            </w:pPr>
            <w:r>
              <w:rPr>
                <w:sz w:val="20"/>
              </w:rPr>
              <w:t xml:space="preserve"> </w:t>
            </w:r>
          </w:p>
        </w:tc>
        <w:tc>
          <w:tcPr>
            <w:tcW w:w="991" w:type="dxa"/>
            <w:tcBorders>
              <w:top w:val="double" w:sz="6" w:space="0" w:color="000000"/>
              <w:left w:val="dashed" w:sz="4" w:space="0" w:color="000000"/>
              <w:bottom w:val="single" w:sz="8" w:space="0" w:color="000000"/>
              <w:right w:val="dashed" w:sz="4" w:space="0" w:color="000000"/>
            </w:tcBorders>
          </w:tcPr>
          <w:p w:rsidR="00E8309B" w:rsidRDefault="009D0949">
            <w:pPr>
              <w:spacing w:after="0" w:line="259" w:lineRule="auto"/>
              <w:ind w:left="0" w:right="54" w:firstLine="0"/>
              <w:jc w:val="right"/>
            </w:pPr>
            <w:r>
              <w:rPr>
                <w:sz w:val="20"/>
              </w:rPr>
              <w:t xml:space="preserve">3.710,3 </w:t>
            </w:r>
          </w:p>
          <w:p w:rsidR="00E8309B" w:rsidRDefault="009D0949">
            <w:pPr>
              <w:spacing w:after="0" w:line="259" w:lineRule="auto"/>
              <w:ind w:left="0" w:right="5" w:firstLine="0"/>
              <w:jc w:val="right"/>
            </w:pPr>
            <w:r>
              <w:rPr>
                <w:sz w:val="20"/>
              </w:rPr>
              <w:t xml:space="preserve"> </w:t>
            </w:r>
          </w:p>
        </w:tc>
        <w:tc>
          <w:tcPr>
            <w:tcW w:w="992" w:type="dxa"/>
            <w:tcBorders>
              <w:top w:val="double" w:sz="6" w:space="0" w:color="000000"/>
              <w:left w:val="dashed" w:sz="4" w:space="0" w:color="000000"/>
              <w:bottom w:val="single" w:sz="8" w:space="0" w:color="000000"/>
              <w:right w:val="double" w:sz="6" w:space="0" w:color="000000"/>
            </w:tcBorders>
          </w:tcPr>
          <w:p w:rsidR="00E8309B" w:rsidRDefault="009D0949">
            <w:pPr>
              <w:spacing w:after="0" w:line="259" w:lineRule="auto"/>
              <w:ind w:left="0" w:right="57" w:firstLine="0"/>
              <w:jc w:val="right"/>
            </w:pPr>
            <w:r>
              <w:rPr>
                <w:sz w:val="20"/>
              </w:rPr>
              <w:t xml:space="preserve">3.847,9 </w:t>
            </w:r>
          </w:p>
          <w:p w:rsidR="00E8309B" w:rsidRDefault="009D0949">
            <w:pPr>
              <w:spacing w:after="0" w:line="259" w:lineRule="auto"/>
              <w:ind w:left="0" w:right="7" w:firstLine="0"/>
              <w:jc w:val="right"/>
            </w:pPr>
            <w:r>
              <w:rPr>
                <w:sz w:val="20"/>
              </w:rPr>
              <w:t xml:space="preserve"> </w:t>
            </w:r>
          </w:p>
        </w:tc>
        <w:tc>
          <w:tcPr>
            <w:tcW w:w="0" w:type="auto"/>
            <w:vMerge/>
            <w:tcBorders>
              <w:top w:val="nil"/>
              <w:left w:val="double" w:sz="6" w:space="0" w:color="000000"/>
              <w:bottom w:val="nil"/>
              <w:right w:val="nil"/>
            </w:tcBorders>
          </w:tcPr>
          <w:p w:rsidR="00E8309B" w:rsidRDefault="00E8309B">
            <w:pPr>
              <w:spacing w:after="160" w:line="259" w:lineRule="auto"/>
              <w:ind w:left="0" w:right="0" w:firstLine="0"/>
              <w:jc w:val="left"/>
            </w:pPr>
          </w:p>
        </w:tc>
      </w:tr>
      <w:tr w:rsidR="00E8309B">
        <w:trPr>
          <w:trHeight w:val="269"/>
        </w:trPr>
        <w:tc>
          <w:tcPr>
            <w:tcW w:w="6757" w:type="dxa"/>
            <w:tcBorders>
              <w:top w:val="single" w:sz="8" w:space="0" w:color="000000"/>
              <w:left w:val="double" w:sz="6" w:space="0" w:color="000000"/>
              <w:bottom w:val="single" w:sz="4" w:space="0" w:color="000000"/>
              <w:right w:val="single" w:sz="8" w:space="0" w:color="000000"/>
            </w:tcBorders>
          </w:tcPr>
          <w:p w:rsidR="00E8309B" w:rsidRDefault="009D0949">
            <w:pPr>
              <w:spacing w:after="0" w:line="259" w:lineRule="auto"/>
              <w:ind w:left="2" w:right="0" w:firstLine="0"/>
              <w:jc w:val="left"/>
            </w:pPr>
            <w:r>
              <w:rPr>
                <w:b/>
                <w:sz w:val="20"/>
              </w:rPr>
              <w:t xml:space="preserve">Доприноси промени бруто дуга </w:t>
            </w:r>
          </w:p>
        </w:tc>
        <w:tc>
          <w:tcPr>
            <w:tcW w:w="1608" w:type="dxa"/>
            <w:tcBorders>
              <w:top w:val="single" w:sz="8" w:space="0" w:color="000000"/>
              <w:left w:val="single" w:sz="8" w:space="0" w:color="000000"/>
              <w:bottom w:val="single" w:sz="4" w:space="0" w:color="000000"/>
              <w:right w:val="single" w:sz="8" w:space="0" w:color="000000"/>
            </w:tcBorders>
          </w:tcPr>
          <w:p w:rsidR="00E8309B" w:rsidRDefault="00E8309B">
            <w:pPr>
              <w:spacing w:after="160" w:line="259" w:lineRule="auto"/>
              <w:ind w:left="0" w:right="0" w:firstLine="0"/>
              <w:jc w:val="left"/>
            </w:pPr>
          </w:p>
        </w:tc>
        <w:tc>
          <w:tcPr>
            <w:tcW w:w="996" w:type="dxa"/>
            <w:tcBorders>
              <w:top w:val="single" w:sz="8" w:space="0" w:color="000000"/>
              <w:left w:val="single" w:sz="8" w:space="0" w:color="000000"/>
              <w:bottom w:val="single" w:sz="4" w:space="0" w:color="000000"/>
              <w:right w:val="nil"/>
            </w:tcBorders>
          </w:tcPr>
          <w:p w:rsidR="00E8309B" w:rsidRDefault="00E8309B">
            <w:pPr>
              <w:spacing w:after="160" w:line="259" w:lineRule="auto"/>
              <w:ind w:left="0" w:right="0" w:firstLine="0"/>
              <w:jc w:val="left"/>
            </w:pPr>
          </w:p>
        </w:tc>
        <w:tc>
          <w:tcPr>
            <w:tcW w:w="994" w:type="dxa"/>
            <w:tcBorders>
              <w:top w:val="single" w:sz="8" w:space="0" w:color="000000"/>
              <w:left w:val="nil"/>
              <w:bottom w:val="single" w:sz="4" w:space="0" w:color="000000"/>
              <w:right w:val="nil"/>
            </w:tcBorders>
          </w:tcPr>
          <w:p w:rsidR="00E8309B" w:rsidRDefault="00E8309B">
            <w:pPr>
              <w:spacing w:after="160" w:line="259" w:lineRule="auto"/>
              <w:ind w:left="0" w:right="0" w:firstLine="0"/>
              <w:jc w:val="left"/>
            </w:pPr>
          </w:p>
        </w:tc>
        <w:tc>
          <w:tcPr>
            <w:tcW w:w="987" w:type="dxa"/>
            <w:tcBorders>
              <w:top w:val="single" w:sz="8" w:space="0" w:color="000000"/>
              <w:left w:val="nil"/>
              <w:bottom w:val="single" w:sz="4" w:space="0" w:color="000000"/>
              <w:right w:val="nil"/>
            </w:tcBorders>
          </w:tcPr>
          <w:p w:rsidR="00E8309B" w:rsidRDefault="00E8309B">
            <w:pPr>
              <w:spacing w:after="160" w:line="259" w:lineRule="auto"/>
              <w:ind w:left="0" w:right="0" w:firstLine="0"/>
              <w:jc w:val="left"/>
            </w:pPr>
          </w:p>
        </w:tc>
        <w:tc>
          <w:tcPr>
            <w:tcW w:w="989" w:type="dxa"/>
            <w:tcBorders>
              <w:top w:val="single" w:sz="8" w:space="0" w:color="000000"/>
              <w:left w:val="nil"/>
              <w:bottom w:val="single" w:sz="4" w:space="0" w:color="000000"/>
              <w:right w:val="nil"/>
            </w:tcBorders>
          </w:tcPr>
          <w:p w:rsidR="00E8309B" w:rsidRDefault="00E8309B">
            <w:pPr>
              <w:spacing w:after="160" w:line="259" w:lineRule="auto"/>
              <w:ind w:left="0" w:right="0" w:firstLine="0"/>
              <w:jc w:val="left"/>
            </w:pPr>
          </w:p>
        </w:tc>
        <w:tc>
          <w:tcPr>
            <w:tcW w:w="991" w:type="dxa"/>
            <w:tcBorders>
              <w:top w:val="single" w:sz="8" w:space="0" w:color="000000"/>
              <w:left w:val="nil"/>
              <w:bottom w:val="single" w:sz="4" w:space="0" w:color="000000"/>
              <w:right w:val="nil"/>
            </w:tcBorders>
          </w:tcPr>
          <w:p w:rsidR="00E8309B" w:rsidRDefault="00E8309B">
            <w:pPr>
              <w:spacing w:after="160" w:line="259" w:lineRule="auto"/>
              <w:ind w:left="0" w:right="0" w:firstLine="0"/>
              <w:jc w:val="left"/>
            </w:pPr>
          </w:p>
        </w:tc>
        <w:tc>
          <w:tcPr>
            <w:tcW w:w="992" w:type="dxa"/>
            <w:tcBorders>
              <w:top w:val="single" w:sz="8" w:space="0" w:color="000000"/>
              <w:left w:val="nil"/>
              <w:bottom w:val="single" w:sz="4" w:space="0" w:color="000000"/>
              <w:right w:val="double" w:sz="6" w:space="0" w:color="000000"/>
            </w:tcBorders>
          </w:tcPr>
          <w:p w:rsidR="00E8309B" w:rsidRDefault="00E8309B">
            <w:pPr>
              <w:spacing w:after="160" w:line="259" w:lineRule="auto"/>
              <w:ind w:left="0" w:right="0" w:firstLine="0"/>
              <w:jc w:val="left"/>
            </w:pPr>
          </w:p>
        </w:tc>
        <w:tc>
          <w:tcPr>
            <w:tcW w:w="0" w:type="auto"/>
            <w:vMerge/>
            <w:tcBorders>
              <w:top w:val="nil"/>
              <w:left w:val="double" w:sz="6" w:space="0" w:color="000000"/>
              <w:bottom w:val="nil"/>
              <w:right w:val="nil"/>
            </w:tcBorders>
          </w:tcPr>
          <w:p w:rsidR="00E8309B" w:rsidRDefault="00E8309B">
            <w:pPr>
              <w:spacing w:after="160" w:line="259" w:lineRule="auto"/>
              <w:ind w:left="0" w:right="0" w:firstLine="0"/>
              <w:jc w:val="left"/>
            </w:pPr>
          </w:p>
        </w:tc>
      </w:tr>
      <w:tr w:rsidR="00E8309B">
        <w:trPr>
          <w:trHeight w:val="266"/>
        </w:trPr>
        <w:tc>
          <w:tcPr>
            <w:tcW w:w="6757" w:type="dxa"/>
            <w:tcBorders>
              <w:top w:val="single" w:sz="4" w:space="0" w:color="000000"/>
              <w:left w:val="double" w:sz="6" w:space="0" w:color="000000"/>
              <w:bottom w:val="dashed" w:sz="4" w:space="0" w:color="000000"/>
              <w:right w:val="single" w:sz="8" w:space="0" w:color="000000"/>
            </w:tcBorders>
          </w:tcPr>
          <w:p w:rsidR="00E8309B" w:rsidRDefault="009D0949">
            <w:pPr>
              <w:spacing w:after="0" w:line="259" w:lineRule="auto"/>
              <w:ind w:left="2" w:right="0" w:firstLine="0"/>
              <w:jc w:val="left"/>
            </w:pPr>
            <w:r>
              <w:rPr>
                <w:sz w:val="20"/>
              </w:rPr>
              <w:t xml:space="preserve">Прилагођавање стања и промена дуга (stock-flow adjustment) </w:t>
            </w:r>
          </w:p>
        </w:tc>
        <w:tc>
          <w:tcPr>
            <w:tcW w:w="1608" w:type="dxa"/>
            <w:tcBorders>
              <w:top w:val="single" w:sz="4" w:space="0" w:color="000000"/>
              <w:left w:val="single" w:sz="8" w:space="0" w:color="000000"/>
              <w:bottom w:val="dashed" w:sz="4" w:space="0" w:color="000000"/>
              <w:right w:val="single" w:sz="8" w:space="0" w:color="000000"/>
            </w:tcBorders>
          </w:tcPr>
          <w:p w:rsidR="00E8309B" w:rsidRDefault="009D0949">
            <w:pPr>
              <w:tabs>
                <w:tab w:val="center" w:pos="698"/>
                <w:tab w:val="center" w:pos="1128"/>
              </w:tabs>
              <w:spacing w:after="0" w:line="259" w:lineRule="auto"/>
              <w:ind w:left="0" w:right="0" w:firstLine="0"/>
              <w:jc w:val="left"/>
            </w:pPr>
            <w:r>
              <w:rPr>
                <w:rFonts w:ascii="Calibri" w:eastAsia="Calibri" w:hAnsi="Calibri" w:cs="Calibri"/>
                <w:sz w:val="22"/>
              </w:rPr>
              <w:tab/>
            </w:r>
            <w:r>
              <w:rPr>
                <w:sz w:val="20"/>
              </w:rPr>
              <w:t xml:space="preserve">млрд РСД </w:t>
            </w:r>
            <w:r>
              <w:rPr>
                <w:sz w:val="20"/>
              </w:rPr>
              <w:tab/>
              <w:t xml:space="preserve"> </w:t>
            </w:r>
          </w:p>
        </w:tc>
        <w:tc>
          <w:tcPr>
            <w:tcW w:w="996" w:type="dxa"/>
            <w:tcBorders>
              <w:top w:val="single" w:sz="4" w:space="0" w:color="000000"/>
              <w:left w:val="single" w:sz="8" w:space="0" w:color="000000"/>
              <w:bottom w:val="dashed" w:sz="4" w:space="0" w:color="000000"/>
              <w:right w:val="dashed" w:sz="4" w:space="0" w:color="000000"/>
            </w:tcBorders>
          </w:tcPr>
          <w:p w:rsidR="00E8309B" w:rsidRDefault="009D0949">
            <w:pPr>
              <w:tabs>
                <w:tab w:val="right" w:pos="837"/>
              </w:tabs>
              <w:spacing w:after="0" w:line="259" w:lineRule="auto"/>
              <w:ind w:left="0" w:right="0" w:firstLine="0"/>
              <w:jc w:val="left"/>
            </w:pPr>
            <w:r>
              <w:rPr>
                <w:sz w:val="20"/>
              </w:rPr>
              <w:t xml:space="preserve"> </w:t>
            </w:r>
            <w:r>
              <w:rPr>
                <w:sz w:val="20"/>
              </w:rPr>
              <w:tab/>
              <w:t xml:space="preserve">-1,0 </w:t>
            </w:r>
          </w:p>
        </w:tc>
        <w:tc>
          <w:tcPr>
            <w:tcW w:w="994" w:type="dxa"/>
            <w:tcBorders>
              <w:top w:val="single" w:sz="4" w:space="0" w:color="000000"/>
              <w:left w:val="dashed" w:sz="4" w:space="0" w:color="000000"/>
              <w:bottom w:val="dashed" w:sz="4" w:space="0" w:color="000000"/>
              <w:right w:val="dashed" w:sz="4" w:space="0" w:color="000000"/>
            </w:tcBorders>
          </w:tcPr>
          <w:p w:rsidR="00E8309B" w:rsidRDefault="009D0949">
            <w:pPr>
              <w:tabs>
                <w:tab w:val="right" w:pos="835"/>
              </w:tabs>
              <w:spacing w:after="0" w:line="259" w:lineRule="auto"/>
              <w:ind w:left="0" w:right="0" w:firstLine="0"/>
              <w:jc w:val="left"/>
            </w:pPr>
            <w:r>
              <w:rPr>
                <w:sz w:val="20"/>
              </w:rPr>
              <w:t xml:space="preserve"> </w:t>
            </w:r>
            <w:r>
              <w:rPr>
                <w:sz w:val="20"/>
              </w:rPr>
              <w:tab/>
              <w:t xml:space="preserve">95,5 </w:t>
            </w:r>
          </w:p>
        </w:tc>
        <w:tc>
          <w:tcPr>
            <w:tcW w:w="987" w:type="dxa"/>
            <w:tcBorders>
              <w:top w:val="single" w:sz="4" w:space="0" w:color="000000"/>
              <w:left w:val="dashed" w:sz="4" w:space="0" w:color="000000"/>
              <w:bottom w:val="dashed" w:sz="4" w:space="0" w:color="000000"/>
              <w:right w:val="dashed" w:sz="4" w:space="0" w:color="000000"/>
            </w:tcBorders>
          </w:tcPr>
          <w:p w:rsidR="00E8309B" w:rsidRDefault="009D0949">
            <w:pPr>
              <w:tabs>
                <w:tab w:val="right" w:pos="828"/>
              </w:tabs>
              <w:spacing w:after="0" w:line="259" w:lineRule="auto"/>
              <w:ind w:left="0" w:right="0" w:firstLine="0"/>
              <w:jc w:val="left"/>
            </w:pPr>
            <w:r>
              <w:rPr>
                <w:sz w:val="20"/>
              </w:rPr>
              <w:t xml:space="preserve"> </w:t>
            </w:r>
            <w:r>
              <w:rPr>
                <w:sz w:val="20"/>
              </w:rPr>
              <w:tab/>
              <w:t xml:space="preserve">-101,1 </w:t>
            </w:r>
          </w:p>
        </w:tc>
        <w:tc>
          <w:tcPr>
            <w:tcW w:w="989" w:type="dxa"/>
            <w:tcBorders>
              <w:top w:val="single" w:sz="4" w:space="0" w:color="000000"/>
              <w:left w:val="dashed" w:sz="4" w:space="0" w:color="000000"/>
              <w:bottom w:val="dashed" w:sz="4" w:space="0" w:color="000000"/>
              <w:right w:val="dashed" w:sz="4" w:space="0" w:color="000000"/>
            </w:tcBorders>
          </w:tcPr>
          <w:p w:rsidR="00E8309B" w:rsidRDefault="009D0949">
            <w:pPr>
              <w:tabs>
                <w:tab w:val="right" w:pos="830"/>
              </w:tabs>
              <w:spacing w:after="0" w:line="259" w:lineRule="auto"/>
              <w:ind w:left="0" w:right="0" w:firstLine="0"/>
              <w:jc w:val="left"/>
            </w:pPr>
            <w:r>
              <w:rPr>
                <w:sz w:val="20"/>
              </w:rPr>
              <w:t xml:space="preserve"> </w:t>
            </w:r>
            <w:r>
              <w:rPr>
                <w:sz w:val="20"/>
              </w:rPr>
              <w:tab/>
              <w:t xml:space="preserve">86,1 </w:t>
            </w:r>
          </w:p>
        </w:tc>
        <w:tc>
          <w:tcPr>
            <w:tcW w:w="991" w:type="dxa"/>
            <w:tcBorders>
              <w:top w:val="single" w:sz="4" w:space="0" w:color="000000"/>
              <w:left w:val="dashed" w:sz="4" w:space="0" w:color="000000"/>
              <w:bottom w:val="dashed" w:sz="4" w:space="0" w:color="000000"/>
              <w:right w:val="dashed" w:sz="4" w:space="0" w:color="000000"/>
            </w:tcBorders>
          </w:tcPr>
          <w:p w:rsidR="00E8309B" w:rsidRDefault="009D0949">
            <w:pPr>
              <w:tabs>
                <w:tab w:val="right" w:pos="832"/>
              </w:tabs>
              <w:spacing w:after="0" w:line="259" w:lineRule="auto"/>
              <w:ind w:left="0" w:right="0" w:firstLine="0"/>
              <w:jc w:val="left"/>
            </w:pPr>
            <w:r>
              <w:rPr>
                <w:sz w:val="20"/>
              </w:rPr>
              <w:t xml:space="preserve"> </w:t>
            </w:r>
            <w:r>
              <w:rPr>
                <w:sz w:val="20"/>
              </w:rPr>
              <w:tab/>
              <w:t xml:space="preserve">84,1 </w:t>
            </w:r>
          </w:p>
        </w:tc>
        <w:tc>
          <w:tcPr>
            <w:tcW w:w="992" w:type="dxa"/>
            <w:tcBorders>
              <w:top w:val="single" w:sz="4" w:space="0" w:color="000000"/>
              <w:left w:val="dashed" w:sz="4" w:space="0" w:color="000000"/>
              <w:bottom w:val="dashed" w:sz="4" w:space="0" w:color="000000"/>
              <w:right w:val="double" w:sz="6" w:space="0" w:color="000000"/>
            </w:tcBorders>
          </w:tcPr>
          <w:p w:rsidR="00E8309B" w:rsidRDefault="009D0949">
            <w:pPr>
              <w:tabs>
                <w:tab w:val="right" w:pos="833"/>
              </w:tabs>
              <w:spacing w:after="0" w:line="259" w:lineRule="auto"/>
              <w:ind w:left="0" w:right="0" w:firstLine="0"/>
              <w:jc w:val="left"/>
            </w:pPr>
            <w:r>
              <w:rPr>
                <w:sz w:val="20"/>
              </w:rPr>
              <w:t xml:space="preserve"> </w:t>
            </w:r>
            <w:r>
              <w:rPr>
                <w:sz w:val="20"/>
              </w:rPr>
              <w:tab/>
              <w:t xml:space="preserve">66,2 </w:t>
            </w:r>
          </w:p>
        </w:tc>
        <w:tc>
          <w:tcPr>
            <w:tcW w:w="0" w:type="auto"/>
            <w:vMerge/>
            <w:tcBorders>
              <w:top w:val="nil"/>
              <w:left w:val="double" w:sz="6" w:space="0" w:color="000000"/>
              <w:bottom w:val="nil"/>
              <w:right w:val="nil"/>
            </w:tcBorders>
          </w:tcPr>
          <w:p w:rsidR="00E8309B" w:rsidRDefault="00E8309B">
            <w:pPr>
              <w:spacing w:after="160" w:line="259" w:lineRule="auto"/>
              <w:ind w:left="0" w:right="0" w:firstLine="0"/>
              <w:jc w:val="left"/>
            </w:pPr>
          </w:p>
        </w:tc>
      </w:tr>
      <w:tr w:rsidR="00E8309B">
        <w:trPr>
          <w:trHeight w:val="264"/>
        </w:trPr>
        <w:tc>
          <w:tcPr>
            <w:tcW w:w="6757" w:type="dxa"/>
            <w:tcBorders>
              <w:top w:val="dashed" w:sz="4" w:space="0" w:color="000000"/>
              <w:left w:val="double" w:sz="6" w:space="0" w:color="000000"/>
              <w:bottom w:val="dashed" w:sz="4" w:space="0" w:color="000000"/>
              <w:right w:val="single" w:sz="8" w:space="0" w:color="000000"/>
            </w:tcBorders>
          </w:tcPr>
          <w:p w:rsidR="00E8309B" w:rsidRDefault="009D0949">
            <w:pPr>
              <w:spacing w:after="0" w:line="259" w:lineRule="auto"/>
              <w:ind w:left="2" w:right="0" w:firstLine="0"/>
              <w:jc w:val="left"/>
            </w:pPr>
            <w:r>
              <w:rPr>
                <w:i/>
                <w:sz w:val="20"/>
              </w:rPr>
              <w:t xml:space="preserve">од чега: </w:t>
            </w:r>
          </w:p>
        </w:tc>
        <w:tc>
          <w:tcPr>
            <w:tcW w:w="1608" w:type="dxa"/>
            <w:tcBorders>
              <w:top w:val="dashed" w:sz="4" w:space="0" w:color="000000"/>
              <w:left w:val="single" w:sz="8" w:space="0" w:color="000000"/>
              <w:bottom w:val="dashed" w:sz="4" w:space="0" w:color="000000"/>
              <w:right w:val="single" w:sz="8" w:space="0" w:color="000000"/>
            </w:tcBorders>
          </w:tcPr>
          <w:p w:rsidR="00E8309B" w:rsidRDefault="00E8309B">
            <w:pPr>
              <w:spacing w:after="160" w:line="259" w:lineRule="auto"/>
              <w:ind w:left="0" w:right="0" w:firstLine="0"/>
              <w:jc w:val="left"/>
            </w:pPr>
          </w:p>
        </w:tc>
        <w:tc>
          <w:tcPr>
            <w:tcW w:w="996" w:type="dxa"/>
            <w:tcBorders>
              <w:top w:val="dashed" w:sz="4" w:space="0" w:color="000000"/>
              <w:left w:val="single" w:sz="8" w:space="0" w:color="000000"/>
              <w:bottom w:val="dashed" w:sz="4" w:space="0" w:color="000000"/>
              <w:right w:val="dashed" w:sz="4" w:space="0" w:color="000000"/>
            </w:tcBorders>
            <w:vAlign w:val="bottom"/>
          </w:tcPr>
          <w:p w:rsidR="00E8309B" w:rsidRDefault="009D0949">
            <w:pPr>
              <w:spacing w:after="0" w:line="259" w:lineRule="auto"/>
              <w:ind w:left="2" w:right="0" w:firstLine="0"/>
              <w:jc w:val="left"/>
            </w:pPr>
            <w:r>
              <w:rPr>
                <w:sz w:val="20"/>
              </w:rPr>
              <w:t xml:space="preserve"> </w:t>
            </w:r>
          </w:p>
        </w:tc>
        <w:tc>
          <w:tcPr>
            <w:tcW w:w="994" w:type="dxa"/>
            <w:tcBorders>
              <w:top w:val="dashed" w:sz="4" w:space="0" w:color="000000"/>
              <w:left w:val="dashed" w:sz="4" w:space="0" w:color="000000"/>
              <w:bottom w:val="dashed" w:sz="4" w:space="0" w:color="000000"/>
              <w:right w:val="dashed" w:sz="4" w:space="0" w:color="000000"/>
            </w:tcBorders>
            <w:vAlign w:val="bottom"/>
          </w:tcPr>
          <w:p w:rsidR="00E8309B" w:rsidRDefault="009D0949">
            <w:pPr>
              <w:spacing w:after="0" w:line="259" w:lineRule="auto"/>
              <w:ind w:left="0" w:right="0" w:firstLine="0"/>
              <w:jc w:val="left"/>
            </w:pPr>
            <w:r>
              <w:rPr>
                <w:sz w:val="20"/>
              </w:rPr>
              <w:t xml:space="preserve"> </w:t>
            </w:r>
          </w:p>
        </w:tc>
        <w:tc>
          <w:tcPr>
            <w:tcW w:w="987" w:type="dxa"/>
            <w:tcBorders>
              <w:top w:val="dashed" w:sz="4" w:space="0" w:color="000000"/>
              <w:left w:val="dashed" w:sz="4" w:space="0" w:color="000000"/>
              <w:bottom w:val="dashed" w:sz="4" w:space="0" w:color="000000"/>
              <w:right w:val="dashed" w:sz="4" w:space="0" w:color="000000"/>
            </w:tcBorders>
            <w:vAlign w:val="bottom"/>
          </w:tcPr>
          <w:p w:rsidR="00E8309B" w:rsidRDefault="009D0949">
            <w:pPr>
              <w:spacing w:after="0" w:line="259" w:lineRule="auto"/>
              <w:ind w:left="1" w:right="0" w:firstLine="0"/>
              <w:jc w:val="left"/>
            </w:pPr>
            <w:r>
              <w:rPr>
                <w:sz w:val="20"/>
              </w:rPr>
              <w:t xml:space="preserve"> </w:t>
            </w:r>
          </w:p>
        </w:tc>
        <w:tc>
          <w:tcPr>
            <w:tcW w:w="989" w:type="dxa"/>
            <w:tcBorders>
              <w:top w:val="dashed" w:sz="4" w:space="0" w:color="000000"/>
              <w:left w:val="dashed" w:sz="4" w:space="0" w:color="000000"/>
              <w:bottom w:val="dashed" w:sz="4" w:space="0" w:color="000000"/>
              <w:right w:val="dashed" w:sz="4" w:space="0" w:color="000000"/>
            </w:tcBorders>
            <w:vAlign w:val="bottom"/>
          </w:tcPr>
          <w:p w:rsidR="00E8309B" w:rsidRDefault="009D0949">
            <w:pPr>
              <w:spacing w:after="0" w:line="259" w:lineRule="auto"/>
              <w:ind w:left="2" w:right="0" w:firstLine="0"/>
              <w:jc w:val="left"/>
            </w:pPr>
            <w:r>
              <w:rPr>
                <w:sz w:val="20"/>
              </w:rPr>
              <w:t xml:space="preserve"> </w:t>
            </w:r>
          </w:p>
        </w:tc>
        <w:tc>
          <w:tcPr>
            <w:tcW w:w="991" w:type="dxa"/>
            <w:tcBorders>
              <w:top w:val="dashed" w:sz="4" w:space="0" w:color="000000"/>
              <w:left w:val="dashed" w:sz="4" w:space="0" w:color="000000"/>
              <w:bottom w:val="dashed" w:sz="4" w:space="0" w:color="000000"/>
              <w:right w:val="dashed" w:sz="4" w:space="0" w:color="000000"/>
            </w:tcBorders>
            <w:vAlign w:val="bottom"/>
          </w:tcPr>
          <w:p w:rsidR="00E8309B" w:rsidRDefault="009D0949">
            <w:pPr>
              <w:spacing w:after="0" w:line="259" w:lineRule="auto"/>
              <w:ind w:left="2" w:right="0" w:firstLine="0"/>
              <w:jc w:val="left"/>
            </w:pPr>
            <w:r>
              <w:rPr>
                <w:sz w:val="20"/>
              </w:rPr>
              <w:t xml:space="preserve"> </w:t>
            </w:r>
          </w:p>
        </w:tc>
        <w:tc>
          <w:tcPr>
            <w:tcW w:w="992" w:type="dxa"/>
            <w:tcBorders>
              <w:top w:val="dashed" w:sz="4" w:space="0" w:color="000000"/>
              <w:left w:val="dashed" w:sz="4" w:space="0" w:color="000000"/>
              <w:bottom w:val="dashed" w:sz="4" w:space="0" w:color="000000"/>
              <w:right w:val="double" w:sz="6" w:space="0" w:color="000000"/>
            </w:tcBorders>
            <w:vAlign w:val="bottom"/>
          </w:tcPr>
          <w:p w:rsidR="00E8309B" w:rsidRDefault="009D0949">
            <w:pPr>
              <w:spacing w:after="0" w:line="259" w:lineRule="auto"/>
              <w:ind w:left="0" w:right="0" w:firstLine="0"/>
              <w:jc w:val="left"/>
            </w:pPr>
            <w:r>
              <w:rPr>
                <w:sz w:val="20"/>
              </w:rPr>
              <w:t xml:space="preserve"> </w:t>
            </w:r>
          </w:p>
        </w:tc>
        <w:tc>
          <w:tcPr>
            <w:tcW w:w="0" w:type="auto"/>
            <w:vMerge/>
            <w:tcBorders>
              <w:top w:val="nil"/>
              <w:left w:val="double" w:sz="6" w:space="0" w:color="000000"/>
              <w:bottom w:val="nil"/>
              <w:right w:val="nil"/>
            </w:tcBorders>
          </w:tcPr>
          <w:p w:rsidR="00E8309B" w:rsidRDefault="00E8309B">
            <w:pPr>
              <w:spacing w:after="160" w:line="259" w:lineRule="auto"/>
              <w:ind w:left="0" w:right="0" w:firstLine="0"/>
              <w:jc w:val="left"/>
            </w:pPr>
          </w:p>
        </w:tc>
      </w:tr>
      <w:tr w:rsidR="00E8309B">
        <w:trPr>
          <w:trHeight w:val="266"/>
        </w:trPr>
        <w:tc>
          <w:tcPr>
            <w:tcW w:w="6757" w:type="dxa"/>
            <w:tcBorders>
              <w:top w:val="dashed" w:sz="4" w:space="0" w:color="000000"/>
              <w:left w:val="double" w:sz="6" w:space="0" w:color="000000"/>
              <w:bottom w:val="dashed" w:sz="4" w:space="0" w:color="000000"/>
              <w:right w:val="single" w:sz="8" w:space="0" w:color="000000"/>
            </w:tcBorders>
          </w:tcPr>
          <w:p w:rsidR="00E8309B" w:rsidRDefault="009D0949">
            <w:pPr>
              <w:spacing w:after="0" w:line="259" w:lineRule="auto"/>
              <w:ind w:left="2" w:right="0" w:firstLine="0"/>
              <w:jc w:val="left"/>
            </w:pPr>
            <w:r>
              <w:rPr>
                <w:sz w:val="20"/>
              </w:rPr>
              <w:t xml:space="preserve">- Разлике између готовинске и обрачунске основе (4) </w:t>
            </w:r>
          </w:p>
        </w:tc>
        <w:tc>
          <w:tcPr>
            <w:tcW w:w="1608" w:type="dxa"/>
            <w:tcBorders>
              <w:top w:val="dashed" w:sz="4" w:space="0" w:color="000000"/>
              <w:left w:val="single" w:sz="8" w:space="0" w:color="000000"/>
              <w:bottom w:val="dashed" w:sz="4" w:space="0" w:color="000000"/>
              <w:right w:val="single" w:sz="8" w:space="0" w:color="000000"/>
            </w:tcBorders>
          </w:tcPr>
          <w:p w:rsidR="00E8309B" w:rsidRDefault="009D0949">
            <w:pPr>
              <w:spacing w:after="0" w:line="259" w:lineRule="auto"/>
              <w:ind w:left="0" w:right="53" w:firstLine="0"/>
              <w:jc w:val="center"/>
            </w:pPr>
            <w:r>
              <w:rPr>
                <w:sz w:val="20"/>
              </w:rPr>
              <w:t xml:space="preserve">млрд РСД </w:t>
            </w:r>
          </w:p>
        </w:tc>
        <w:tc>
          <w:tcPr>
            <w:tcW w:w="996" w:type="dxa"/>
            <w:tcBorders>
              <w:top w:val="dashed" w:sz="4" w:space="0" w:color="000000"/>
              <w:left w:val="single" w:sz="8" w:space="0" w:color="000000"/>
              <w:bottom w:val="dashed" w:sz="4" w:space="0" w:color="000000"/>
              <w:right w:val="dashed" w:sz="4" w:space="0" w:color="000000"/>
            </w:tcBorders>
            <w:vAlign w:val="bottom"/>
          </w:tcPr>
          <w:p w:rsidR="00E8309B" w:rsidRDefault="009D0949">
            <w:pPr>
              <w:spacing w:after="0" w:line="259" w:lineRule="auto"/>
              <w:ind w:left="2" w:right="0" w:firstLine="0"/>
              <w:jc w:val="left"/>
            </w:pPr>
            <w:r>
              <w:rPr>
                <w:sz w:val="20"/>
              </w:rPr>
              <w:t xml:space="preserve"> </w:t>
            </w:r>
          </w:p>
        </w:tc>
        <w:tc>
          <w:tcPr>
            <w:tcW w:w="994" w:type="dxa"/>
            <w:tcBorders>
              <w:top w:val="dashed" w:sz="4" w:space="0" w:color="000000"/>
              <w:left w:val="dashed" w:sz="4" w:space="0" w:color="000000"/>
              <w:bottom w:val="dashed" w:sz="4" w:space="0" w:color="000000"/>
              <w:right w:val="dashed" w:sz="4" w:space="0" w:color="000000"/>
            </w:tcBorders>
            <w:vAlign w:val="bottom"/>
          </w:tcPr>
          <w:p w:rsidR="00E8309B" w:rsidRDefault="009D0949">
            <w:pPr>
              <w:spacing w:after="0" w:line="259" w:lineRule="auto"/>
              <w:ind w:left="0" w:right="0" w:firstLine="0"/>
              <w:jc w:val="left"/>
            </w:pPr>
            <w:r>
              <w:rPr>
                <w:sz w:val="20"/>
              </w:rPr>
              <w:t xml:space="preserve"> </w:t>
            </w:r>
          </w:p>
        </w:tc>
        <w:tc>
          <w:tcPr>
            <w:tcW w:w="987" w:type="dxa"/>
            <w:tcBorders>
              <w:top w:val="dashed" w:sz="4" w:space="0" w:color="000000"/>
              <w:left w:val="dashed" w:sz="4" w:space="0" w:color="000000"/>
              <w:bottom w:val="dashed" w:sz="4" w:space="0" w:color="000000"/>
              <w:right w:val="dashed" w:sz="4" w:space="0" w:color="000000"/>
            </w:tcBorders>
            <w:vAlign w:val="bottom"/>
          </w:tcPr>
          <w:p w:rsidR="00E8309B" w:rsidRDefault="009D0949">
            <w:pPr>
              <w:spacing w:after="0" w:line="259" w:lineRule="auto"/>
              <w:ind w:left="1" w:right="0" w:firstLine="0"/>
              <w:jc w:val="left"/>
            </w:pPr>
            <w:r>
              <w:rPr>
                <w:sz w:val="20"/>
              </w:rPr>
              <w:t xml:space="preserve"> </w:t>
            </w:r>
          </w:p>
        </w:tc>
        <w:tc>
          <w:tcPr>
            <w:tcW w:w="989" w:type="dxa"/>
            <w:tcBorders>
              <w:top w:val="dashed" w:sz="4" w:space="0" w:color="000000"/>
              <w:left w:val="dashed" w:sz="4" w:space="0" w:color="000000"/>
              <w:bottom w:val="dashed" w:sz="4" w:space="0" w:color="000000"/>
              <w:right w:val="dashed" w:sz="4" w:space="0" w:color="000000"/>
            </w:tcBorders>
            <w:vAlign w:val="bottom"/>
          </w:tcPr>
          <w:p w:rsidR="00E8309B" w:rsidRDefault="009D0949">
            <w:pPr>
              <w:spacing w:after="0" w:line="259" w:lineRule="auto"/>
              <w:ind w:left="2" w:right="0" w:firstLine="0"/>
              <w:jc w:val="left"/>
            </w:pPr>
            <w:r>
              <w:rPr>
                <w:sz w:val="20"/>
              </w:rPr>
              <w:t xml:space="preserve"> </w:t>
            </w:r>
          </w:p>
        </w:tc>
        <w:tc>
          <w:tcPr>
            <w:tcW w:w="991" w:type="dxa"/>
            <w:tcBorders>
              <w:top w:val="dashed" w:sz="4" w:space="0" w:color="000000"/>
              <w:left w:val="dashed" w:sz="4" w:space="0" w:color="000000"/>
              <w:bottom w:val="dashed" w:sz="4" w:space="0" w:color="000000"/>
              <w:right w:val="dashed" w:sz="4" w:space="0" w:color="000000"/>
            </w:tcBorders>
            <w:vAlign w:val="bottom"/>
          </w:tcPr>
          <w:p w:rsidR="00E8309B" w:rsidRDefault="009D0949">
            <w:pPr>
              <w:spacing w:after="0" w:line="259" w:lineRule="auto"/>
              <w:ind w:left="2" w:right="0" w:firstLine="0"/>
              <w:jc w:val="left"/>
            </w:pPr>
            <w:r>
              <w:rPr>
                <w:sz w:val="20"/>
              </w:rPr>
              <w:t xml:space="preserve"> </w:t>
            </w:r>
          </w:p>
        </w:tc>
        <w:tc>
          <w:tcPr>
            <w:tcW w:w="992" w:type="dxa"/>
            <w:tcBorders>
              <w:top w:val="dashed" w:sz="4" w:space="0" w:color="000000"/>
              <w:left w:val="dashed" w:sz="4" w:space="0" w:color="000000"/>
              <w:bottom w:val="dashed" w:sz="4" w:space="0" w:color="000000"/>
              <w:right w:val="double" w:sz="6" w:space="0" w:color="000000"/>
            </w:tcBorders>
            <w:vAlign w:val="bottom"/>
          </w:tcPr>
          <w:p w:rsidR="00E8309B" w:rsidRDefault="009D0949">
            <w:pPr>
              <w:spacing w:after="0" w:line="259" w:lineRule="auto"/>
              <w:ind w:left="0" w:right="0" w:firstLine="0"/>
              <w:jc w:val="left"/>
            </w:pPr>
            <w:r>
              <w:rPr>
                <w:sz w:val="20"/>
              </w:rPr>
              <w:t xml:space="preserve"> </w:t>
            </w:r>
          </w:p>
        </w:tc>
        <w:tc>
          <w:tcPr>
            <w:tcW w:w="0" w:type="auto"/>
            <w:vMerge/>
            <w:tcBorders>
              <w:top w:val="nil"/>
              <w:left w:val="double" w:sz="6" w:space="0" w:color="000000"/>
              <w:bottom w:val="nil"/>
              <w:right w:val="nil"/>
            </w:tcBorders>
          </w:tcPr>
          <w:p w:rsidR="00E8309B" w:rsidRDefault="00E8309B">
            <w:pPr>
              <w:spacing w:after="160" w:line="259" w:lineRule="auto"/>
              <w:ind w:left="0" w:right="0" w:firstLine="0"/>
              <w:jc w:val="left"/>
            </w:pPr>
          </w:p>
        </w:tc>
      </w:tr>
      <w:tr w:rsidR="00E8309B">
        <w:trPr>
          <w:trHeight w:val="264"/>
        </w:trPr>
        <w:tc>
          <w:tcPr>
            <w:tcW w:w="6757" w:type="dxa"/>
            <w:tcBorders>
              <w:top w:val="dashed" w:sz="4" w:space="0" w:color="000000"/>
              <w:left w:val="double" w:sz="6" w:space="0" w:color="000000"/>
              <w:bottom w:val="dashed" w:sz="4" w:space="0" w:color="000000"/>
              <w:right w:val="single" w:sz="8" w:space="0" w:color="000000"/>
            </w:tcBorders>
          </w:tcPr>
          <w:p w:rsidR="00E8309B" w:rsidRDefault="009D0949">
            <w:pPr>
              <w:spacing w:after="0" w:line="259" w:lineRule="auto"/>
              <w:ind w:left="2" w:right="0" w:firstLine="0"/>
              <w:jc w:val="left"/>
            </w:pPr>
            <w:r>
              <w:rPr>
                <w:sz w:val="20"/>
              </w:rPr>
              <w:t xml:space="preserve">- Нето акумулација финансијских средстава (5) </w:t>
            </w:r>
          </w:p>
        </w:tc>
        <w:tc>
          <w:tcPr>
            <w:tcW w:w="1608" w:type="dxa"/>
            <w:tcBorders>
              <w:top w:val="dashed" w:sz="4" w:space="0" w:color="000000"/>
              <w:left w:val="single" w:sz="8" w:space="0" w:color="000000"/>
              <w:bottom w:val="dashed" w:sz="4" w:space="0" w:color="000000"/>
              <w:right w:val="single" w:sz="8" w:space="0" w:color="000000"/>
            </w:tcBorders>
          </w:tcPr>
          <w:p w:rsidR="00E8309B" w:rsidRDefault="009D0949">
            <w:pPr>
              <w:tabs>
                <w:tab w:val="center" w:pos="698"/>
                <w:tab w:val="center" w:pos="1128"/>
              </w:tabs>
              <w:spacing w:after="0" w:line="259" w:lineRule="auto"/>
              <w:ind w:left="0" w:right="0" w:firstLine="0"/>
              <w:jc w:val="left"/>
            </w:pPr>
            <w:r>
              <w:rPr>
                <w:rFonts w:ascii="Calibri" w:eastAsia="Calibri" w:hAnsi="Calibri" w:cs="Calibri"/>
                <w:sz w:val="22"/>
              </w:rPr>
              <w:tab/>
            </w:r>
            <w:r>
              <w:rPr>
                <w:sz w:val="20"/>
              </w:rPr>
              <w:t xml:space="preserve">млрд РСД </w:t>
            </w:r>
            <w:r>
              <w:rPr>
                <w:sz w:val="20"/>
              </w:rPr>
              <w:tab/>
              <w:t xml:space="preserve"> </w:t>
            </w:r>
          </w:p>
        </w:tc>
        <w:tc>
          <w:tcPr>
            <w:tcW w:w="996" w:type="dxa"/>
            <w:tcBorders>
              <w:top w:val="dashed" w:sz="4" w:space="0" w:color="000000"/>
              <w:left w:val="single" w:sz="8" w:space="0" w:color="000000"/>
              <w:bottom w:val="dashed" w:sz="4" w:space="0" w:color="000000"/>
              <w:right w:val="dashed" w:sz="4" w:space="0" w:color="000000"/>
            </w:tcBorders>
            <w:vAlign w:val="bottom"/>
          </w:tcPr>
          <w:p w:rsidR="00E8309B" w:rsidRDefault="009D0949">
            <w:pPr>
              <w:spacing w:after="0" w:line="259" w:lineRule="auto"/>
              <w:ind w:left="2" w:right="0" w:firstLine="0"/>
              <w:jc w:val="left"/>
            </w:pPr>
            <w:r>
              <w:rPr>
                <w:sz w:val="20"/>
              </w:rPr>
              <w:t xml:space="preserve"> </w:t>
            </w:r>
          </w:p>
        </w:tc>
        <w:tc>
          <w:tcPr>
            <w:tcW w:w="994" w:type="dxa"/>
            <w:tcBorders>
              <w:top w:val="dashed" w:sz="4" w:space="0" w:color="000000"/>
              <w:left w:val="dashed" w:sz="4" w:space="0" w:color="000000"/>
              <w:bottom w:val="dashed" w:sz="4" w:space="0" w:color="000000"/>
              <w:right w:val="dashed" w:sz="4" w:space="0" w:color="000000"/>
            </w:tcBorders>
            <w:vAlign w:val="bottom"/>
          </w:tcPr>
          <w:p w:rsidR="00E8309B" w:rsidRDefault="009D0949">
            <w:pPr>
              <w:spacing w:after="0" w:line="259" w:lineRule="auto"/>
              <w:ind w:left="0" w:right="0" w:firstLine="0"/>
              <w:jc w:val="left"/>
            </w:pPr>
            <w:r>
              <w:rPr>
                <w:sz w:val="20"/>
              </w:rPr>
              <w:t xml:space="preserve"> </w:t>
            </w:r>
          </w:p>
        </w:tc>
        <w:tc>
          <w:tcPr>
            <w:tcW w:w="987" w:type="dxa"/>
            <w:tcBorders>
              <w:top w:val="dashed" w:sz="4" w:space="0" w:color="000000"/>
              <w:left w:val="dashed" w:sz="4" w:space="0" w:color="000000"/>
              <w:bottom w:val="dashed" w:sz="4" w:space="0" w:color="000000"/>
              <w:right w:val="dashed" w:sz="4" w:space="0" w:color="000000"/>
            </w:tcBorders>
            <w:vAlign w:val="bottom"/>
          </w:tcPr>
          <w:p w:rsidR="00E8309B" w:rsidRDefault="009D0949">
            <w:pPr>
              <w:spacing w:after="0" w:line="259" w:lineRule="auto"/>
              <w:ind w:left="1" w:right="0" w:firstLine="0"/>
              <w:jc w:val="left"/>
            </w:pPr>
            <w:r>
              <w:rPr>
                <w:sz w:val="20"/>
              </w:rPr>
              <w:t xml:space="preserve"> </w:t>
            </w:r>
          </w:p>
        </w:tc>
        <w:tc>
          <w:tcPr>
            <w:tcW w:w="989" w:type="dxa"/>
            <w:tcBorders>
              <w:top w:val="dashed" w:sz="4" w:space="0" w:color="000000"/>
              <w:left w:val="dashed" w:sz="4" w:space="0" w:color="000000"/>
              <w:bottom w:val="dashed" w:sz="4" w:space="0" w:color="000000"/>
              <w:right w:val="dashed" w:sz="4" w:space="0" w:color="000000"/>
            </w:tcBorders>
            <w:vAlign w:val="bottom"/>
          </w:tcPr>
          <w:p w:rsidR="00E8309B" w:rsidRDefault="009D0949">
            <w:pPr>
              <w:spacing w:after="0" w:line="259" w:lineRule="auto"/>
              <w:ind w:left="2" w:right="0" w:firstLine="0"/>
              <w:jc w:val="left"/>
            </w:pPr>
            <w:r>
              <w:rPr>
                <w:sz w:val="20"/>
              </w:rPr>
              <w:t xml:space="preserve"> </w:t>
            </w:r>
          </w:p>
        </w:tc>
        <w:tc>
          <w:tcPr>
            <w:tcW w:w="991" w:type="dxa"/>
            <w:tcBorders>
              <w:top w:val="dashed" w:sz="4" w:space="0" w:color="000000"/>
              <w:left w:val="dashed" w:sz="4" w:space="0" w:color="000000"/>
              <w:bottom w:val="dashed" w:sz="4" w:space="0" w:color="000000"/>
              <w:right w:val="dashed" w:sz="4" w:space="0" w:color="000000"/>
            </w:tcBorders>
            <w:vAlign w:val="bottom"/>
          </w:tcPr>
          <w:p w:rsidR="00E8309B" w:rsidRDefault="009D0949">
            <w:pPr>
              <w:spacing w:after="0" w:line="259" w:lineRule="auto"/>
              <w:ind w:left="2" w:right="0" w:firstLine="0"/>
              <w:jc w:val="left"/>
            </w:pPr>
            <w:r>
              <w:rPr>
                <w:sz w:val="20"/>
              </w:rPr>
              <w:t xml:space="preserve"> </w:t>
            </w:r>
          </w:p>
        </w:tc>
        <w:tc>
          <w:tcPr>
            <w:tcW w:w="992" w:type="dxa"/>
            <w:tcBorders>
              <w:top w:val="dashed" w:sz="4" w:space="0" w:color="000000"/>
              <w:left w:val="dashed" w:sz="4" w:space="0" w:color="000000"/>
              <w:bottom w:val="dashed" w:sz="4" w:space="0" w:color="000000"/>
              <w:right w:val="double" w:sz="6" w:space="0" w:color="000000"/>
            </w:tcBorders>
            <w:vAlign w:val="bottom"/>
          </w:tcPr>
          <w:p w:rsidR="00E8309B" w:rsidRDefault="009D0949">
            <w:pPr>
              <w:spacing w:after="0" w:line="259" w:lineRule="auto"/>
              <w:ind w:left="0" w:right="0" w:firstLine="0"/>
              <w:jc w:val="left"/>
            </w:pPr>
            <w:r>
              <w:rPr>
                <w:sz w:val="20"/>
              </w:rPr>
              <w:t xml:space="preserve"> </w:t>
            </w:r>
          </w:p>
        </w:tc>
        <w:tc>
          <w:tcPr>
            <w:tcW w:w="0" w:type="auto"/>
            <w:vMerge/>
            <w:tcBorders>
              <w:top w:val="nil"/>
              <w:left w:val="double" w:sz="6" w:space="0" w:color="000000"/>
              <w:bottom w:val="nil"/>
              <w:right w:val="nil"/>
            </w:tcBorders>
          </w:tcPr>
          <w:p w:rsidR="00E8309B" w:rsidRDefault="00E8309B">
            <w:pPr>
              <w:spacing w:after="160" w:line="259" w:lineRule="auto"/>
              <w:ind w:left="0" w:right="0" w:firstLine="0"/>
              <w:jc w:val="left"/>
            </w:pPr>
          </w:p>
        </w:tc>
      </w:tr>
      <w:tr w:rsidR="00E8309B">
        <w:trPr>
          <w:trHeight w:val="267"/>
        </w:trPr>
        <w:tc>
          <w:tcPr>
            <w:tcW w:w="6757" w:type="dxa"/>
            <w:tcBorders>
              <w:top w:val="dashed" w:sz="4" w:space="0" w:color="000000"/>
              <w:left w:val="double" w:sz="6" w:space="0" w:color="000000"/>
              <w:bottom w:val="dashed" w:sz="4" w:space="0" w:color="000000"/>
              <w:right w:val="single" w:sz="8" w:space="0" w:color="000000"/>
            </w:tcBorders>
          </w:tcPr>
          <w:p w:rsidR="00E8309B" w:rsidRDefault="009D0949">
            <w:pPr>
              <w:spacing w:after="0" w:line="259" w:lineRule="auto"/>
              <w:ind w:left="2" w:right="0" w:firstLine="0"/>
              <w:jc w:val="left"/>
            </w:pPr>
            <w:r>
              <w:rPr>
                <w:i/>
                <w:sz w:val="20"/>
              </w:rPr>
              <w:t xml:space="preserve">од чега: </w:t>
            </w:r>
          </w:p>
        </w:tc>
        <w:tc>
          <w:tcPr>
            <w:tcW w:w="1608" w:type="dxa"/>
            <w:tcBorders>
              <w:top w:val="dashed" w:sz="4" w:space="0" w:color="000000"/>
              <w:left w:val="single" w:sz="8" w:space="0" w:color="000000"/>
              <w:bottom w:val="dashed" w:sz="4" w:space="0" w:color="000000"/>
              <w:right w:val="single" w:sz="8" w:space="0" w:color="000000"/>
            </w:tcBorders>
          </w:tcPr>
          <w:p w:rsidR="00E8309B" w:rsidRDefault="00E8309B">
            <w:pPr>
              <w:spacing w:after="160" w:line="259" w:lineRule="auto"/>
              <w:ind w:left="0" w:right="0" w:firstLine="0"/>
              <w:jc w:val="left"/>
            </w:pPr>
          </w:p>
        </w:tc>
        <w:tc>
          <w:tcPr>
            <w:tcW w:w="996" w:type="dxa"/>
            <w:tcBorders>
              <w:top w:val="dashed" w:sz="4" w:space="0" w:color="000000"/>
              <w:left w:val="single" w:sz="8" w:space="0" w:color="000000"/>
              <w:bottom w:val="dashed" w:sz="4" w:space="0" w:color="000000"/>
              <w:right w:val="dashed" w:sz="4" w:space="0" w:color="000000"/>
            </w:tcBorders>
            <w:vAlign w:val="bottom"/>
          </w:tcPr>
          <w:p w:rsidR="00E8309B" w:rsidRDefault="009D0949">
            <w:pPr>
              <w:spacing w:after="0" w:line="259" w:lineRule="auto"/>
              <w:ind w:left="2" w:right="0" w:firstLine="0"/>
              <w:jc w:val="left"/>
            </w:pPr>
            <w:r>
              <w:rPr>
                <w:sz w:val="20"/>
              </w:rPr>
              <w:t xml:space="preserve"> </w:t>
            </w:r>
          </w:p>
        </w:tc>
        <w:tc>
          <w:tcPr>
            <w:tcW w:w="994" w:type="dxa"/>
            <w:tcBorders>
              <w:top w:val="dashed" w:sz="4" w:space="0" w:color="000000"/>
              <w:left w:val="dashed" w:sz="4" w:space="0" w:color="000000"/>
              <w:bottom w:val="dashed" w:sz="4" w:space="0" w:color="000000"/>
              <w:right w:val="dashed" w:sz="4" w:space="0" w:color="000000"/>
            </w:tcBorders>
            <w:vAlign w:val="bottom"/>
          </w:tcPr>
          <w:p w:rsidR="00E8309B" w:rsidRDefault="009D0949">
            <w:pPr>
              <w:spacing w:after="0" w:line="259" w:lineRule="auto"/>
              <w:ind w:left="0" w:right="0" w:firstLine="0"/>
              <w:jc w:val="left"/>
            </w:pPr>
            <w:r>
              <w:rPr>
                <w:sz w:val="20"/>
              </w:rPr>
              <w:t xml:space="preserve"> </w:t>
            </w:r>
          </w:p>
        </w:tc>
        <w:tc>
          <w:tcPr>
            <w:tcW w:w="987" w:type="dxa"/>
            <w:tcBorders>
              <w:top w:val="dashed" w:sz="4" w:space="0" w:color="000000"/>
              <w:left w:val="dashed" w:sz="4" w:space="0" w:color="000000"/>
              <w:bottom w:val="dashed" w:sz="4" w:space="0" w:color="000000"/>
              <w:right w:val="dashed" w:sz="4" w:space="0" w:color="000000"/>
            </w:tcBorders>
            <w:vAlign w:val="bottom"/>
          </w:tcPr>
          <w:p w:rsidR="00E8309B" w:rsidRDefault="009D0949">
            <w:pPr>
              <w:spacing w:after="0" w:line="259" w:lineRule="auto"/>
              <w:ind w:left="1" w:right="0" w:firstLine="0"/>
              <w:jc w:val="left"/>
            </w:pPr>
            <w:r>
              <w:rPr>
                <w:sz w:val="20"/>
              </w:rPr>
              <w:t xml:space="preserve"> </w:t>
            </w:r>
          </w:p>
        </w:tc>
        <w:tc>
          <w:tcPr>
            <w:tcW w:w="989" w:type="dxa"/>
            <w:tcBorders>
              <w:top w:val="dashed" w:sz="4" w:space="0" w:color="000000"/>
              <w:left w:val="dashed" w:sz="4" w:space="0" w:color="000000"/>
              <w:bottom w:val="dashed" w:sz="4" w:space="0" w:color="000000"/>
              <w:right w:val="dashed" w:sz="4" w:space="0" w:color="000000"/>
            </w:tcBorders>
            <w:vAlign w:val="bottom"/>
          </w:tcPr>
          <w:p w:rsidR="00E8309B" w:rsidRDefault="009D0949">
            <w:pPr>
              <w:spacing w:after="0" w:line="259" w:lineRule="auto"/>
              <w:ind w:left="2" w:right="0" w:firstLine="0"/>
              <w:jc w:val="left"/>
            </w:pPr>
            <w:r>
              <w:rPr>
                <w:sz w:val="20"/>
              </w:rPr>
              <w:t xml:space="preserve"> </w:t>
            </w:r>
          </w:p>
        </w:tc>
        <w:tc>
          <w:tcPr>
            <w:tcW w:w="991" w:type="dxa"/>
            <w:tcBorders>
              <w:top w:val="dashed" w:sz="4" w:space="0" w:color="000000"/>
              <w:left w:val="dashed" w:sz="4" w:space="0" w:color="000000"/>
              <w:bottom w:val="dashed" w:sz="4" w:space="0" w:color="000000"/>
              <w:right w:val="dashed" w:sz="4" w:space="0" w:color="000000"/>
            </w:tcBorders>
            <w:vAlign w:val="bottom"/>
          </w:tcPr>
          <w:p w:rsidR="00E8309B" w:rsidRDefault="009D0949">
            <w:pPr>
              <w:spacing w:after="0" w:line="259" w:lineRule="auto"/>
              <w:ind w:left="2" w:right="0" w:firstLine="0"/>
              <w:jc w:val="left"/>
            </w:pPr>
            <w:r>
              <w:rPr>
                <w:sz w:val="20"/>
              </w:rPr>
              <w:t xml:space="preserve"> </w:t>
            </w:r>
          </w:p>
        </w:tc>
        <w:tc>
          <w:tcPr>
            <w:tcW w:w="992" w:type="dxa"/>
            <w:tcBorders>
              <w:top w:val="dashed" w:sz="4" w:space="0" w:color="000000"/>
              <w:left w:val="dashed" w:sz="4" w:space="0" w:color="000000"/>
              <w:bottom w:val="dashed" w:sz="4" w:space="0" w:color="000000"/>
              <w:right w:val="double" w:sz="6" w:space="0" w:color="000000"/>
            </w:tcBorders>
            <w:vAlign w:val="bottom"/>
          </w:tcPr>
          <w:p w:rsidR="00E8309B" w:rsidRDefault="009D0949">
            <w:pPr>
              <w:spacing w:after="0" w:line="259" w:lineRule="auto"/>
              <w:ind w:left="0" w:right="0" w:firstLine="0"/>
              <w:jc w:val="left"/>
            </w:pPr>
            <w:r>
              <w:rPr>
                <w:sz w:val="20"/>
              </w:rPr>
              <w:t xml:space="preserve"> </w:t>
            </w:r>
          </w:p>
        </w:tc>
        <w:tc>
          <w:tcPr>
            <w:tcW w:w="0" w:type="auto"/>
            <w:vMerge/>
            <w:tcBorders>
              <w:top w:val="nil"/>
              <w:left w:val="double" w:sz="6" w:space="0" w:color="000000"/>
              <w:bottom w:val="nil"/>
              <w:right w:val="nil"/>
            </w:tcBorders>
          </w:tcPr>
          <w:p w:rsidR="00E8309B" w:rsidRDefault="00E8309B">
            <w:pPr>
              <w:spacing w:after="160" w:line="259" w:lineRule="auto"/>
              <w:ind w:left="0" w:right="0" w:firstLine="0"/>
              <w:jc w:val="left"/>
            </w:pPr>
          </w:p>
        </w:tc>
      </w:tr>
      <w:tr w:rsidR="00E8309B">
        <w:trPr>
          <w:trHeight w:val="264"/>
        </w:trPr>
        <w:tc>
          <w:tcPr>
            <w:tcW w:w="6757" w:type="dxa"/>
            <w:tcBorders>
              <w:top w:val="dashed" w:sz="4" w:space="0" w:color="000000"/>
              <w:left w:val="double" w:sz="6" w:space="0" w:color="000000"/>
              <w:bottom w:val="dashed" w:sz="4" w:space="0" w:color="000000"/>
              <w:right w:val="single" w:sz="8" w:space="0" w:color="000000"/>
            </w:tcBorders>
          </w:tcPr>
          <w:p w:rsidR="00E8309B" w:rsidRDefault="009D0949">
            <w:pPr>
              <w:spacing w:after="0" w:line="259" w:lineRule="auto"/>
              <w:ind w:left="2" w:right="0" w:firstLine="0"/>
              <w:jc w:val="left"/>
            </w:pPr>
            <w:r>
              <w:rPr>
                <w:sz w:val="20"/>
              </w:rPr>
              <w:t xml:space="preserve">- Приходи од приватизације </w:t>
            </w:r>
          </w:p>
        </w:tc>
        <w:tc>
          <w:tcPr>
            <w:tcW w:w="1608" w:type="dxa"/>
            <w:tcBorders>
              <w:top w:val="dashed" w:sz="4" w:space="0" w:color="000000"/>
              <w:left w:val="single" w:sz="8" w:space="0" w:color="000000"/>
              <w:bottom w:val="dashed" w:sz="4" w:space="0" w:color="000000"/>
              <w:right w:val="single" w:sz="8" w:space="0" w:color="000000"/>
            </w:tcBorders>
          </w:tcPr>
          <w:p w:rsidR="00E8309B" w:rsidRDefault="009D0949">
            <w:pPr>
              <w:spacing w:after="0" w:line="259" w:lineRule="auto"/>
              <w:ind w:left="0" w:right="53" w:firstLine="0"/>
              <w:jc w:val="center"/>
            </w:pPr>
            <w:r>
              <w:rPr>
                <w:sz w:val="20"/>
              </w:rPr>
              <w:t xml:space="preserve">млрд РСД </w:t>
            </w:r>
          </w:p>
        </w:tc>
        <w:tc>
          <w:tcPr>
            <w:tcW w:w="996" w:type="dxa"/>
            <w:tcBorders>
              <w:top w:val="dashed" w:sz="4" w:space="0" w:color="000000"/>
              <w:left w:val="single" w:sz="8" w:space="0" w:color="000000"/>
              <w:bottom w:val="dashed" w:sz="4" w:space="0" w:color="000000"/>
              <w:right w:val="dashed" w:sz="4" w:space="0" w:color="000000"/>
            </w:tcBorders>
            <w:vAlign w:val="bottom"/>
          </w:tcPr>
          <w:p w:rsidR="00E8309B" w:rsidRDefault="009D0949">
            <w:pPr>
              <w:spacing w:after="0" w:line="259" w:lineRule="auto"/>
              <w:ind w:left="2" w:right="0" w:firstLine="0"/>
              <w:jc w:val="left"/>
            </w:pPr>
            <w:r>
              <w:rPr>
                <w:sz w:val="20"/>
              </w:rPr>
              <w:t xml:space="preserve"> </w:t>
            </w:r>
          </w:p>
        </w:tc>
        <w:tc>
          <w:tcPr>
            <w:tcW w:w="994" w:type="dxa"/>
            <w:tcBorders>
              <w:top w:val="dashed" w:sz="4" w:space="0" w:color="000000"/>
              <w:left w:val="dashed" w:sz="4" w:space="0" w:color="000000"/>
              <w:bottom w:val="dashed" w:sz="4" w:space="0" w:color="000000"/>
              <w:right w:val="dashed" w:sz="4" w:space="0" w:color="000000"/>
            </w:tcBorders>
            <w:vAlign w:val="bottom"/>
          </w:tcPr>
          <w:p w:rsidR="00E8309B" w:rsidRDefault="009D0949">
            <w:pPr>
              <w:spacing w:after="0" w:line="259" w:lineRule="auto"/>
              <w:ind w:left="0" w:right="0" w:firstLine="0"/>
              <w:jc w:val="left"/>
            </w:pPr>
            <w:r>
              <w:rPr>
                <w:sz w:val="20"/>
              </w:rPr>
              <w:t xml:space="preserve"> </w:t>
            </w:r>
          </w:p>
        </w:tc>
        <w:tc>
          <w:tcPr>
            <w:tcW w:w="987" w:type="dxa"/>
            <w:tcBorders>
              <w:top w:val="dashed" w:sz="4" w:space="0" w:color="000000"/>
              <w:left w:val="dashed" w:sz="4" w:space="0" w:color="000000"/>
              <w:bottom w:val="dashed" w:sz="4" w:space="0" w:color="000000"/>
              <w:right w:val="dashed" w:sz="4" w:space="0" w:color="000000"/>
            </w:tcBorders>
            <w:vAlign w:val="bottom"/>
          </w:tcPr>
          <w:p w:rsidR="00E8309B" w:rsidRDefault="009D0949">
            <w:pPr>
              <w:spacing w:after="0" w:line="259" w:lineRule="auto"/>
              <w:ind w:left="1" w:right="0" w:firstLine="0"/>
              <w:jc w:val="left"/>
            </w:pPr>
            <w:r>
              <w:rPr>
                <w:sz w:val="20"/>
              </w:rPr>
              <w:t xml:space="preserve"> </w:t>
            </w:r>
          </w:p>
        </w:tc>
        <w:tc>
          <w:tcPr>
            <w:tcW w:w="989" w:type="dxa"/>
            <w:tcBorders>
              <w:top w:val="dashed" w:sz="4" w:space="0" w:color="000000"/>
              <w:left w:val="dashed" w:sz="4" w:space="0" w:color="000000"/>
              <w:bottom w:val="dashed" w:sz="4" w:space="0" w:color="000000"/>
              <w:right w:val="dashed" w:sz="4" w:space="0" w:color="000000"/>
            </w:tcBorders>
            <w:vAlign w:val="bottom"/>
          </w:tcPr>
          <w:p w:rsidR="00E8309B" w:rsidRDefault="009D0949">
            <w:pPr>
              <w:spacing w:after="0" w:line="259" w:lineRule="auto"/>
              <w:ind w:left="2" w:right="0" w:firstLine="0"/>
              <w:jc w:val="left"/>
            </w:pPr>
            <w:r>
              <w:rPr>
                <w:sz w:val="20"/>
              </w:rPr>
              <w:t xml:space="preserve"> </w:t>
            </w:r>
          </w:p>
        </w:tc>
        <w:tc>
          <w:tcPr>
            <w:tcW w:w="991" w:type="dxa"/>
            <w:tcBorders>
              <w:top w:val="dashed" w:sz="4" w:space="0" w:color="000000"/>
              <w:left w:val="dashed" w:sz="4" w:space="0" w:color="000000"/>
              <w:bottom w:val="dashed" w:sz="4" w:space="0" w:color="000000"/>
              <w:right w:val="dashed" w:sz="4" w:space="0" w:color="000000"/>
            </w:tcBorders>
            <w:vAlign w:val="bottom"/>
          </w:tcPr>
          <w:p w:rsidR="00E8309B" w:rsidRDefault="009D0949">
            <w:pPr>
              <w:spacing w:after="0" w:line="259" w:lineRule="auto"/>
              <w:ind w:left="2" w:right="0" w:firstLine="0"/>
              <w:jc w:val="left"/>
            </w:pPr>
            <w:r>
              <w:rPr>
                <w:sz w:val="20"/>
              </w:rPr>
              <w:t xml:space="preserve"> </w:t>
            </w:r>
          </w:p>
        </w:tc>
        <w:tc>
          <w:tcPr>
            <w:tcW w:w="992" w:type="dxa"/>
            <w:tcBorders>
              <w:top w:val="dashed" w:sz="4" w:space="0" w:color="000000"/>
              <w:left w:val="dashed" w:sz="4" w:space="0" w:color="000000"/>
              <w:bottom w:val="dashed" w:sz="4" w:space="0" w:color="000000"/>
              <w:right w:val="double" w:sz="6" w:space="0" w:color="000000"/>
            </w:tcBorders>
            <w:vAlign w:val="bottom"/>
          </w:tcPr>
          <w:p w:rsidR="00E8309B" w:rsidRDefault="009D0949">
            <w:pPr>
              <w:spacing w:after="0" w:line="259" w:lineRule="auto"/>
              <w:ind w:left="0" w:right="0" w:firstLine="0"/>
              <w:jc w:val="left"/>
            </w:pPr>
            <w:r>
              <w:rPr>
                <w:sz w:val="20"/>
              </w:rPr>
              <w:t xml:space="preserve"> </w:t>
            </w:r>
          </w:p>
        </w:tc>
        <w:tc>
          <w:tcPr>
            <w:tcW w:w="0" w:type="auto"/>
            <w:vMerge/>
            <w:tcBorders>
              <w:top w:val="nil"/>
              <w:left w:val="double" w:sz="6" w:space="0" w:color="000000"/>
              <w:bottom w:val="nil"/>
              <w:right w:val="nil"/>
            </w:tcBorders>
          </w:tcPr>
          <w:p w:rsidR="00E8309B" w:rsidRDefault="00E8309B">
            <w:pPr>
              <w:spacing w:after="160" w:line="259" w:lineRule="auto"/>
              <w:ind w:left="0" w:right="0" w:firstLine="0"/>
              <w:jc w:val="left"/>
            </w:pPr>
          </w:p>
        </w:tc>
      </w:tr>
      <w:tr w:rsidR="00E8309B">
        <w:trPr>
          <w:trHeight w:val="264"/>
        </w:trPr>
        <w:tc>
          <w:tcPr>
            <w:tcW w:w="6757" w:type="dxa"/>
            <w:tcBorders>
              <w:top w:val="dashed" w:sz="4" w:space="0" w:color="000000"/>
              <w:left w:val="double" w:sz="6" w:space="0" w:color="000000"/>
              <w:bottom w:val="single" w:sz="4" w:space="0" w:color="000000"/>
              <w:right w:val="single" w:sz="8" w:space="0" w:color="000000"/>
            </w:tcBorders>
          </w:tcPr>
          <w:p w:rsidR="00E8309B" w:rsidRDefault="009D0949">
            <w:pPr>
              <w:spacing w:after="0" w:line="259" w:lineRule="auto"/>
              <w:ind w:left="2" w:right="0" w:firstLine="0"/>
              <w:jc w:val="left"/>
            </w:pPr>
            <w:r>
              <w:rPr>
                <w:sz w:val="20"/>
              </w:rPr>
              <w:t xml:space="preserve">- </w:t>
            </w:r>
            <w:r>
              <w:rPr>
                <w:sz w:val="20"/>
              </w:rPr>
              <w:t xml:space="preserve">Ефекти вредновања и др. (6) </w:t>
            </w:r>
          </w:p>
        </w:tc>
        <w:tc>
          <w:tcPr>
            <w:tcW w:w="1608" w:type="dxa"/>
            <w:tcBorders>
              <w:top w:val="dashed" w:sz="4" w:space="0" w:color="000000"/>
              <w:left w:val="single" w:sz="8" w:space="0" w:color="000000"/>
              <w:bottom w:val="single" w:sz="4" w:space="0" w:color="000000"/>
              <w:right w:val="single" w:sz="8" w:space="0" w:color="000000"/>
            </w:tcBorders>
          </w:tcPr>
          <w:p w:rsidR="00E8309B" w:rsidRDefault="009D0949">
            <w:pPr>
              <w:tabs>
                <w:tab w:val="center" w:pos="698"/>
                <w:tab w:val="center" w:pos="1128"/>
              </w:tabs>
              <w:spacing w:after="0" w:line="259" w:lineRule="auto"/>
              <w:ind w:left="0" w:right="0" w:firstLine="0"/>
              <w:jc w:val="left"/>
            </w:pPr>
            <w:r>
              <w:rPr>
                <w:rFonts w:ascii="Calibri" w:eastAsia="Calibri" w:hAnsi="Calibri" w:cs="Calibri"/>
                <w:sz w:val="22"/>
              </w:rPr>
              <w:tab/>
            </w:r>
            <w:r>
              <w:rPr>
                <w:sz w:val="20"/>
              </w:rPr>
              <w:t xml:space="preserve">млрд РСД </w:t>
            </w:r>
            <w:r>
              <w:rPr>
                <w:sz w:val="20"/>
              </w:rPr>
              <w:tab/>
              <w:t xml:space="preserve"> </w:t>
            </w:r>
          </w:p>
        </w:tc>
        <w:tc>
          <w:tcPr>
            <w:tcW w:w="996" w:type="dxa"/>
            <w:tcBorders>
              <w:top w:val="dashed" w:sz="4" w:space="0" w:color="000000"/>
              <w:left w:val="single" w:sz="8" w:space="0" w:color="000000"/>
              <w:bottom w:val="single" w:sz="4" w:space="0" w:color="000000"/>
              <w:right w:val="dashed" w:sz="4" w:space="0" w:color="000000"/>
            </w:tcBorders>
            <w:vAlign w:val="bottom"/>
          </w:tcPr>
          <w:p w:rsidR="00E8309B" w:rsidRDefault="009D0949">
            <w:pPr>
              <w:spacing w:after="0" w:line="259" w:lineRule="auto"/>
              <w:ind w:left="2" w:right="0" w:firstLine="0"/>
              <w:jc w:val="left"/>
            </w:pPr>
            <w:r>
              <w:rPr>
                <w:sz w:val="20"/>
              </w:rPr>
              <w:t xml:space="preserve"> </w:t>
            </w:r>
          </w:p>
        </w:tc>
        <w:tc>
          <w:tcPr>
            <w:tcW w:w="994" w:type="dxa"/>
            <w:tcBorders>
              <w:top w:val="dashed" w:sz="4" w:space="0" w:color="000000"/>
              <w:left w:val="dashed" w:sz="4" w:space="0" w:color="000000"/>
              <w:bottom w:val="single" w:sz="4" w:space="0" w:color="000000"/>
              <w:right w:val="dashed" w:sz="4" w:space="0" w:color="000000"/>
            </w:tcBorders>
            <w:vAlign w:val="bottom"/>
          </w:tcPr>
          <w:p w:rsidR="00E8309B" w:rsidRDefault="009D0949">
            <w:pPr>
              <w:spacing w:after="0" w:line="259" w:lineRule="auto"/>
              <w:ind w:left="0" w:right="0" w:firstLine="0"/>
              <w:jc w:val="left"/>
            </w:pPr>
            <w:r>
              <w:rPr>
                <w:sz w:val="20"/>
              </w:rPr>
              <w:t xml:space="preserve"> </w:t>
            </w:r>
          </w:p>
        </w:tc>
        <w:tc>
          <w:tcPr>
            <w:tcW w:w="987" w:type="dxa"/>
            <w:tcBorders>
              <w:top w:val="dashed" w:sz="4" w:space="0" w:color="000000"/>
              <w:left w:val="dashed" w:sz="4" w:space="0" w:color="000000"/>
              <w:bottom w:val="single" w:sz="4" w:space="0" w:color="000000"/>
              <w:right w:val="dashed" w:sz="4" w:space="0" w:color="000000"/>
            </w:tcBorders>
            <w:vAlign w:val="bottom"/>
          </w:tcPr>
          <w:p w:rsidR="00E8309B" w:rsidRDefault="009D0949">
            <w:pPr>
              <w:spacing w:after="0" w:line="259" w:lineRule="auto"/>
              <w:ind w:left="1" w:right="0" w:firstLine="0"/>
              <w:jc w:val="left"/>
            </w:pPr>
            <w:r>
              <w:rPr>
                <w:sz w:val="20"/>
              </w:rPr>
              <w:t xml:space="preserve"> </w:t>
            </w:r>
          </w:p>
        </w:tc>
        <w:tc>
          <w:tcPr>
            <w:tcW w:w="989" w:type="dxa"/>
            <w:tcBorders>
              <w:top w:val="dashed" w:sz="4" w:space="0" w:color="000000"/>
              <w:left w:val="dashed" w:sz="4" w:space="0" w:color="000000"/>
              <w:bottom w:val="single" w:sz="4" w:space="0" w:color="000000"/>
              <w:right w:val="dashed" w:sz="4" w:space="0" w:color="000000"/>
            </w:tcBorders>
            <w:vAlign w:val="bottom"/>
          </w:tcPr>
          <w:p w:rsidR="00E8309B" w:rsidRDefault="009D0949">
            <w:pPr>
              <w:spacing w:after="0" w:line="259" w:lineRule="auto"/>
              <w:ind w:left="2" w:right="0" w:firstLine="0"/>
              <w:jc w:val="left"/>
            </w:pPr>
            <w:r>
              <w:rPr>
                <w:sz w:val="20"/>
              </w:rPr>
              <w:t xml:space="preserve"> </w:t>
            </w:r>
          </w:p>
        </w:tc>
        <w:tc>
          <w:tcPr>
            <w:tcW w:w="991" w:type="dxa"/>
            <w:tcBorders>
              <w:top w:val="dashed" w:sz="4" w:space="0" w:color="000000"/>
              <w:left w:val="dashed" w:sz="4" w:space="0" w:color="000000"/>
              <w:bottom w:val="single" w:sz="4" w:space="0" w:color="000000"/>
              <w:right w:val="dashed" w:sz="4" w:space="0" w:color="000000"/>
            </w:tcBorders>
            <w:vAlign w:val="bottom"/>
          </w:tcPr>
          <w:p w:rsidR="00E8309B" w:rsidRDefault="009D0949">
            <w:pPr>
              <w:spacing w:after="0" w:line="259" w:lineRule="auto"/>
              <w:ind w:left="2" w:right="0" w:firstLine="0"/>
              <w:jc w:val="left"/>
            </w:pPr>
            <w:r>
              <w:rPr>
                <w:sz w:val="20"/>
              </w:rPr>
              <w:t xml:space="preserve"> </w:t>
            </w:r>
          </w:p>
        </w:tc>
        <w:tc>
          <w:tcPr>
            <w:tcW w:w="992" w:type="dxa"/>
            <w:tcBorders>
              <w:top w:val="dashed" w:sz="4" w:space="0" w:color="000000"/>
              <w:left w:val="dashed" w:sz="4" w:space="0" w:color="000000"/>
              <w:bottom w:val="single" w:sz="4" w:space="0" w:color="000000"/>
              <w:right w:val="double" w:sz="6" w:space="0" w:color="000000"/>
            </w:tcBorders>
            <w:vAlign w:val="bottom"/>
          </w:tcPr>
          <w:p w:rsidR="00E8309B" w:rsidRDefault="009D0949">
            <w:pPr>
              <w:spacing w:after="0" w:line="259" w:lineRule="auto"/>
              <w:ind w:left="0" w:right="0" w:firstLine="0"/>
              <w:jc w:val="left"/>
            </w:pPr>
            <w:r>
              <w:rPr>
                <w:sz w:val="20"/>
              </w:rPr>
              <w:t xml:space="preserve"> </w:t>
            </w:r>
          </w:p>
        </w:tc>
        <w:tc>
          <w:tcPr>
            <w:tcW w:w="0" w:type="auto"/>
            <w:vMerge/>
            <w:tcBorders>
              <w:top w:val="nil"/>
              <w:left w:val="double" w:sz="6" w:space="0" w:color="000000"/>
              <w:bottom w:val="nil"/>
              <w:right w:val="nil"/>
            </w:tcBorders>
          </w:tcPr>
          <w:p w:rsidR="00E8309B" w:rsidRDefault="00E8309B">
            <w:pPr>
              <w:spacing w:after="160" w:line="259" w:lineRule="auto"/>
              <w:ind w:left="0" w:right="0" w:firstLine="0"/>
              <w:jc w:val="left"/>
            </w:pPr>
          </w:p>
        </w:tc>
      </w:tr>
      <w:tr w:rsidR="00E8309B">
        <w:trPr>
          <w:trHeight w:val="266"/>
        </w:trPr>
        <w:tc>
          <w:tcPr>
            <w:tcW w:w="6757" w:type="dxa"/>
            <w:tcBorders>
              <w:top w:val="single" w:sz="4" w:space="0" w:color="000000"/>
              <w:left w:val="double" w:sz="6" w:space="0" w:color="000000"/>
              <w:bottom w:val="single" w:sz="4" w:space="0" w:color="000000"/>
              <w:right w:val="single" w:sz="8" w:space="0" w:color="000000"/>
            </w:tcBorders>
          </w:tcPr>
          <w:p w:rsidR="00E8309B" w:rsidRDefault="009D0949">
            <w:pPr>
              <w:spacing w:after="0" w:line="259" w:lineRule="auto"/>
              <w:ind w:left="2" w:right="0" w:firstLine="0"/>
              <w:jc w:val="left"/>
            </w:pPr>
            <w:r>
              <w:rPr>
                <w:b/>
                <w:sz w:val="20"/>
              </w:rPr>
              <w:t xml:space="preserve">Остале релевантне променљиве </w:t>
            </w:r>
          </w:p>
        </w:tc>
        <w:tc>
          <w:tcPr>
            <w:tcW w:w="1608" w:type="dxa"/>
            <w:tcBorders>
              <w:top w:val="single" w:sz="4" w:space="0" w:color="000000"/>
              <w:left w:val="single" w:sz="8" w:space="0" w:color="000000"/>
              <w:bottom w:val="single" w:sz="4" w:space="0" w:color="000000"/>
              <w:right w:val="single" w:sz="8" w:space="0" w:color="000000"/>
            </w:tcBorders>
          </w:tcPr>
          <w:p w:rsidR="00E8309B" w:rsidRDefault="00E8309B">
            <w:pPr>
              <w:spacing w:after="160" w:line="259" w:lineRule="auto"/>
              <w:ind w:left="0" w:right="0" w:firstLine="0"/>
              <w:jc w:val="left"/>
            </w:pPr>
          </w:p>
        </w:tc>
        <w:tc>
          <w:tcPr>
            <w:tcW w:w="996" w:type="dxa"/>
            <w:tcBorders>
              <w:top w:val="single" w:sz="4" w:space="0" w:color="000000"/>
              <w:left w:val="single" w:sz="8" w:space="0" w:color="000000"/>
              <w:bottom w:val="single" w:sz="4" w:space="0" w:color="000000"/>
              <w:right w:val="nil"/>
            </w:tcBorders>
            <w:vAlign w:val="bottom"/>
          </w:tcPr>
          <w:p w:rsidR="00E8309B" w:rsidRDefault="009D0949">
            <w:pPr>
              <w:spacing w:after="0" w:line="259" w:lineRule="auto"/>
              <w:ind w:left="2" w:right="0" w:firstLine="0"/>
              <w:jc w:val="left"/>
            </w:pPr>
            <w:r>
              <w:rPr>
                <w:sz w:val="20"/>
              </w:rPr>
              <w:t xml:space="preserve"> </w:t>
            </w:r>
          </w:p>
        </w:tc>
        <w:tc>
          <w:tcPr>
            <w:tcW w:w="994" w:type="dxa"/>
            <w:tcBorders>
              <w:top w:val="single" w:sz="4" w:space="0" w:color="000000"/>
              <w:left w:val="nil"/>
              <w:bottom w:val="single" w:sz="4" w:space="0" w:color="000000"/>
              <w:right w:val="nil"/>
            </w:tcBorders>
            <w:vAlign w:val="bottom"/>
          </w:tcPr>
          <w:p w:rsidR="00E8309B" w:rsidRDefault="009D0949">
            <w:pPr>
              <w:spacing w:after="0" w:line="259" w:lineRule="auto"/>
              <w:ind w:left="0" w:right="0" w:firstLine="0"/>
              <w:jc w:val="left"/>
            </w:pPr>
            <w:r>
              <w:rPr>
                <w:sz w:val="20"/>
              </w:rPr>
              <w:t xml:space="preserve"> </w:t>
            </w:r>
          </w:p>
        </w:tc>
        <w:tc>
          <w:tcPr>
            <w:tcW w:w="987" w:type="dxa"/>
            <w:tcBorders>
              <w:top w:val="single" w:sz="4" w:space="0" w:color="000000"/>
              <w:left w:val="nil"/>
              <w:bottom w:val="single" w:sz="4" w:space="0" w:color="000000"/>
              <w:right w:val="nil"/>
            </w:tcBorders>
            <w:vAlign w:val="bottom"/>
          </w:tcPr>
          <w:p w:rsidR="00E8309B" w:rsidRDefault="009D0949">
            <w:pPr>
              <w:spacing w:after="0" w:line="259" w:lineRule="auto"/>
              <w:ind w:left="1" w:right="0" w:firstLine="0"/>
              <w:jc w:val="left"/>
            </w:pPr>
            <w:r>
              <w:rPr>
                <w:sz w:val="20"/>
              </w:rPr>
              <w:t xml:space="preserve"> </w:t>
            </w:r>
          </w:p>
        </w:tc>
        <w:tc>
          <w:tcPr>
            <w:tcW w:w="989" w:type="dxa"/>
            <w:tcBorders>
              <w:top w:val="single" w:sz="4" w:space="0" w:color="000000"/>
              <w:left w:val="nil"/>
              <w:bottom w:val="single" w:sz="4" w:space="0" w:color="000000"/>
              <w:right w:val="nil"/>
            </w:tcBorders>
            <w:vAlign w:val="bottom"/>
          </w:tcPr>
          <w:p w:rsidR="00E8309B" w:rsidRDefault="009D0949">
            <w:pPr>
              <w:spacing w:after="0" w:line="259" w:lineRule="auto"/>
              <w:ind w:left="2" w:right="0" w:firstLine="0"/>
              <w:jc w:val="left"/>
            </w:pPr>
            <w:r>
              <w:rPr>
                <w:sz w:val="20"/>
              </w:rPr>
              <w:t xml:space="preserve"> </w:t>
            </w:r>
          </w:p>
        </w:tc>
        <w:tc>
          <w:tcPr>
            <w:tcW w:w="991" w:type="dxa"/>
            <w:tcBorders>
              <w:top w:val="single" w:sz="4" w:space="0" w:color="000000"/>
              <w:left w:val="nil"/>
              <w:bottom w:val="single" w:sz="4" w:space="0" w:color="000000"/>
              <w:right w:val="nil"/>
            </w:tcBorders>
            <w:vAlign w:val="bottom"/>
          </w:tcPr>
          <w:p w:rsidR="00E8309B" w:rsidRDefault="009D0949">
            <w:pPr>
              <w:spacing w:after="0" w:line="259" w:lineRule="auto"/>
              <w:ind w:left="2" w:right="0" w:firstLine="0"/>
              <w:jc w:val="left"/>
            </w:pPr>
            <w:r>
              <w:rPr>
                <w:sz w:val="20"/>
              </w:rPr>
              <w:t xml:space="preserve"> </w:t>
            </w:r>
          </w:p>
        </w:tc>
        <w:tc>
          <w:tcPr>
            <w:tcW w:w="992" w:type="dxa"/>
            <w:tcBorders>
              <w:top w:val="single" w:sz="4" w:space="0" w:color="000000"/>
              <w:left w:val="nil"/>
              <w:bottom w:val="single" w:sz="4" w:space="0" w:color="000000"/>
              <w:right w:val="double" w:sz="6" w:space="0" w:color="000000"/>
            </w:tcBorders>
            <w:vAlign w:val="bottom"/>
          </w:tcPr>
          <w:p w:rsidR="00E8309B" w:rsidRDefault="009D0949">
            <w:pPr>
              <w:spacing w:after="0" w:line="259" w:lineRule="auto"/>
              <w:ind w:left="0" w:right="0" w:firstLine="0"/>
              <w:jc w:val="left"/>
            </w:pPr>
            <w:r>
              <w:rPr>
                <w:sz w:val="20"/>
              </w:rPr>
              <w:t xml:space="preserve"> </w:t>
            </w:r>
          </w:p>
        </w:tc>
        <w:tc>
          <w:tcPr>
            <w:tcW w:w="0" w:type="auto"/>
            <w:vMerge/>
            <w:tcBorders>
              <w:top w:val="nil"/>
              <w:left w:val="double" w:sz="6" w:space="0" w:color="000000"/>
              <w:bottom w:val="nil"/>
              <w:right w:val="nil"/>
            </w:tcBorders>
          </w:tcPr>
          <w:p w:rsidR="00E8309B" w:rsidRDefault="00E8309B">
            <w:pPr>
              <w:spacing w:after="160" w:line="259" w:lineRule="auto"/>
              <w:ind w:left="0" w:right="0" w:firstLine="0"/>
              <w:jc w:val="left"/>
            </w:pPr>
          </w:p>
        </w:tc>
      </w:tr>
      <w:tr w:rsidR="00E8309B">
        <w:trPr>
          <w:trHeight w:val="298"/>
        </w:trPr>
        <w:tc>
          <w:tcPr>
            <w:tcW w:w="6757" w:type="dxa"/>
            <w:tcBorders>
              <w:top w:val="single" w:sz="4" w:space="0" w:color="000000"/>
              <w:left w:val="double" w:sz="6" w:space="0" w:color="000000"/>
              <w:bottom w:val="double" w:sz="6" w:space="0" w:color="000000"/>
              <w:right w:val="single" w:sz="8" w:space="0" w:color="000000"/>
            </w:tcBorders>
          </w:tcPr>
          <w:p w:rsidR="00E8309B" w:rsidRDefault="009D0949">
            <w:pPr>
              <w:spacing w:after="0" w:line="259" w:lineRule="auto"/>
              <w:ind w:left="2" w:right="0" w:firstLine="0"/>
              <w:jc w:val="left"/>
            </w:pPr>
            <w:r>
              <w:rPr>
                <w:sz w:val="20"/>
              </w:rPr>
              <w:t xml:space="preserve">6. Ликвидна финансијска средства (8) </w:t>
            </w:r>
          </w:p>
        </w:tc>
        <w:tc>
          <w:tcPr>
            <w:tcW w:w="1608" w:type="dxa"/>
            <w:tcBorders>
              <w:top w:val="single" w:sz="4" w:space="0" w:color="000000"/>
              <w:left w:val="single" w:sz="8" w:space="0" w:color="000000"/>
              <w:bottom w:val="double" w:sz="6" w:space="0" w:color="000000"/>
              <w:right w:val="single" w:sz="8" w:space="0" w:color="000000"/>
            </w:tcBorders>
          </w:tcPr>
          <w:p w:rsidR="00E8309B" w:rsidRDefault="009D0949">
            <w:pPr>
              <w:spacing w:after="0" w:line="259" w:lineRule="auto"/>
              <w:ind w:left="0" w:right="53" w:firstLine="0"/>
              <w:jc w:val="center"/>
            </w:pPr>
            <w:r>
              <w:rPr>
                <w:sz w:val="20"/>
              </w:rPr>
              <w:t xml:space="preserve">млрд РСД </w:t>
            </w:r>
          </w:p>
        </w:tc>
        <w:tc>
          <w:tcPr>
            <w:tcW w:w="996" w:type="dxa"/>
            <w:tcBorders>
              <w:top w:val="single" w:sz="4" w:space="0" w:color="000000"/>
              <w:left w:val="single" w:sz="8" w:space="0" w:color="000000"/>
              <w:bottom w:val="double" w:sz="6" w:space="0" w:color="000000"/>
              <w:right w:val="dashed" w:sz="4" w:space="0" w:color="000000"/>
            </w:tcBorders>
          </w:tcPr>
          <w:p w:rsidR="00E8309B" w:rsidRDefault="00E8309B">
            <w:pPr>
              <w:spacing w:after="160" w:line="259" w:lineRule="auto"/>
              <w:ind w:left="0" w:right="0" w:firstLine="0"/>
              <w:jc w:val="left"/>
            </w:pPr>
          </w:p>
        </w:tc>
        <w:tc>
          <w:tcPr>
            <w:tcW w:w="994" w:type="dxa"/>
            <w:tcBorders>
              <w:top w:val="single" w:sz="4" w:space="0" w:color="000000"/>
              <w:left w:val="dashed" w:sz="4" w:space="0" w:color="000000"/>
              <w:bottom w:val="double" w:sz="6" w:space="0" w:color="000000"/>
              <w:right w:val="dashed" w:sz="4" w:space="0" w:color="000000"/>
            </w:tcBorders>
          </w:tcPr>
          <w:p w:rsidR="00E8309B" w:rsidRDefault="00E8309B">
            <w:pPr>
              <w:spacing w:after="160" w:line="259" w:lineRule="auto"/>
              <w:ind w:left="0" w:right="0" w:firstLine="0"/>
              <w:jc w:val="left"/>
            </w:pPr>
          </w:p>
        </w:tc>
        <w:tc>
          <w:tcPr>
            <w:tcW w:w="987" w:type="dxa"/>
            <w:tcBorders>
              <w:top w:val="single" w:sz="4" w:space="0" w:color="000000"/>
              <w:left w:val="dashed" w:sz="4" w:space="0" w:color="000000"/>
              <w:bottom w:val="double" w:sz="6" w:space="0" w:color="000000"/>
              <w:right w:val="dashed" w:sz="4" w:space="0" w:color="000000"/>
            </w:tcBorders>
          </w:tcPr>
          <w:p w:rsidR="00E8309B" w:rsidRDefault="00E8309B">
            <w:pPr>
              <w:spacing w:after="160" w:line="259" w:lineRule="auto"/>
              <w:ind w:left="0" w:right="0" w:firstLine="0"/>
              <w:jc w:val="left"/>
            </w:pPr>
          </w:p>
        </w:tc>
        <w:tc>
          <w:tcPr>
            <w:tcW w:w="989" w:type="dxa"/>
            <w:tcBorders>
              <w:top w:val="single" w:sz="4" w:space="0" w:color="000000"/>
              <w:left w:val="dashed" w:sz="4" w:space="0" w:color="000000"/>
              <w:bottom w:val="double" w:sz="6" w:space="0" w:color="000000"/>
              <w:right w:val="dashed" w:sz="4" w:space="0" w:color="000000"/>
            </w:tcBorders>
          </w:tcPr>
          <w:p w:rsidR="00E8309B" w:rsidRDefault="00E8309B">
            <w:pPr>
              <w:spacing w:after="160" w:line="259" w:lineRule="auto"/>
              <w:ind w:left="0" w:right="0" w:firstLine="0"/>
              <w:jc w:val="left"/>
            </w:pPr>
          </w:p>
        </w:tc>
        <w:tc>
          <w:tcPr>
            <w:tcW w:w="991" w:type="dxa"/>
            <w:tcBorders>
              <w:top w:val="single" w:sz="4" w:space="0" w:color="000000"/>
              <w:left w:val="dashed" w:sz="4" w:space="0" w:color="000000"/>
              <w:bottom w:val="double" w:sz="6" w:space="0" w:color="000000"/>
              <w:right w:val="dashed" w:sz="4" w:space="0" w:color="000000"/>
            </w:tcBorders>
          </w:tcPr>
          <w:p w:rsidR="00E8309B" w:rsidRDefault="00E8309B">
            <w:pPr>
              <w:spacing w:after="160" w:line="259" w:lineRule="auto"/>
              <w:ind w:left="0" w:right="0" w:firstLine="0"/>
              <w:jc w:val="left"/>
            </w:pPr>
          </w:p>
        </w:tc>
        <w:tc>
          <w:tcPr>
            <w:tcW w:w="992" w:type="dxa"/>
            <w:tcBorders>
              <w:top w:val="single" w:sz="4" w:space="0" w:color="000000"/>
              <w:left w:val="dashed" w:sz="4" w:space="0" w:color="000000"/>
              <w:bottom w:val="double" w:sz="6" w:space="0" w:color="000000"/>
              <w:right w:val="double" w:sz="6" w:space="0" w:color="000000"/>
            </w:tcBorders>
          </w:tcPr>
          <w:p w:rsidR="00E8309B" w:rsidRDefault="00E8309B">
            <w:pPr>
              <w:spacing w:after="160" w:line="259" w:lineRule="auto"/>
              <w:ind w:left="0" w:right="0" w:firstLine="0"/>
              <w:jc w:val="left"/>
            </w:pPr>
          </w:p>
        </w:tc>
        <w:tc>
          <w:tcPr>
            <w:tcW w:w="0" w:type="auto"/>
            <w:vMerge/>
            <w:tcBorders>
              <w:top w:val="nil"/>
              <w:left w:val="double" w:sz="6" w:space="0" w:color="000000"/>
              <w:bottom w:val="single" w:sz="18" w:space="0" w:color="FFFFFF"/>
              <w:right w:val="nil"/>
            </w:tcBorders>
          </w:tcPr>
          <w:p w:rsidR="00E8309B" w:rsidRDefault="00E8309B">
            <w:pPr>
              <w:spacing w:after="160" w:line="259" w:lineRule="auto"/>
              <w:ind w:left="0" w:right="0" w:firstLine="0"/>
              <w:jc w:val="left"/>
            </w:pPr>
          </w:p>
        </w:tc>
      </w:tr>
    </w:tbl>
    <w:p w:rsidR="00E8309B" w:rsidRDefault="009D0949">
      <w:pPr>
        <w:spacing w:after="38" w:line="259" w:lineRule="auto"/>
        <w:ind w:left="0" w:right="1" w:firstLine="0"/>
        <w:jc w:val="right"/>
      </w:pPr>
      <w:r>
        <w:rPr>
          <w:sz w:val="20"/>
        </w:rPr>
        <w:t xml:space="preserve"> </w:t>
      </w:r>
      <w:r>
        <w:rPr>
          <w:sz w:val="20"/>
        </w:rPr>
        <w:tab/>
        <w:t xml:space="preserve"> </w:t>
      </w:r>
      <w:r>
        <w:rPr>
          <w:sz w:val="20"/>
        </w:rPr>
        <w:tab/>
        <w:t xml:space="preserve"> </w:t>
      </w:r>
      <w:r>
        <w:rPr>
          <w:sz w:val="20"/>
        </w:rPr>
        <w:tab/>
        <w:t xml:space="preserve"> </w:t>
      </w:r>
      <w:r>
        <w:rPr>
          <w:sz w:val="20"/>
        </w:rPr>
        <w:tab/>
        <w:t xml:space="preserve"> </w:t>
      </w:r>
      <w:r>
        <w:rPr>
          <w:sz w:val="20"/>
        </w:rPr>
        <w:tab/>
        <w:t xml:space="preserve">  </w:t>
      </w:r>
      <w:r>
        <w:rPr>
          <w:sz w:val="20"/>
        </w:rPr>
        <w:tab/>
        <w:t xml:space="preserve">  </w:t>
      </w:r>
      <w:r>
        <w:rPr>
          <w:sz w:val="20"/>
        </w:rPr>
        <w:tab/>
        <w:t xml:space="preserve">  </w:t>
      </w:r>
    </w:p>
    <w:p w:rsidR="00E8309B" w:rsidRDefault="009D0949">
      <w:pPr>
        <w:spacing w:after="36" w:line="269" w:lineRule="auto"/>
        <w:ind w:left="103" w:right="0"/>
        <w:jc w:val="left"/>
      </w:pPr>
      <w:r>
        <w:rPr>
          <w:sz w:val="20"/>
        </w:rPr>
        <w:t xml:space="preserve">[1]   Као што је дефинисано у Уредби 3605/93 (није појам из ESA). </w:t>
      </w:r>
    </w:p>
    <w:p w:rsidR="00E8309B" w:rsidRDefault="009D0949">
      <w:pPr>
        <w:spacing w:after="13" w:line="269" w:lineRule="auto"/>
        <w:ind w:left="103" w:right="4699"/>
        <w:jc w:val="left"/>
      </w:pPr>
      <w:r>
        <w:rPr>
          <w:sz w:val="20"/>
        </w:rPr>
        <w:t>[4]   Где је то релевантно, може се направити разлика између расхода на камату, других расхода и прихода. [5]   Где је то релевантно, може се направити разлика између ликвидних средстава, средстава у трећим државама, предузећа под контролом државе, и котир</w:t>
      </w:r>
      <w:r>
        <w:rPr>
          <w:sz w:val="20"/>
        </w:rPr>
        <w:t xml:space="preserve">аних и некотираних средстава. </w:t>
      </w:r>
    </w:p>
    <w:p w:rsidR="00E8309B" w:rsidRDefault="009D0949">
      <w:pPr>
        <w:spacing w:after="13" w:line="269" w:lineRule="auto"/>
        <w:ind w:left="103" w:right="3432"/>
        <w:jc w:val="left"/>
      </w:pPr>
      <w:r>
        <w:rPr>
          <w:sz w:val="20"/>
        </w:rPr>
        <w:t xml:space="preserve">[6]  Где је то релевантно, може се направити разлика између промена услед кретања девизног курса и операција на секундарном тржишту. </w:t>
      </w:r>
    </w:p>
    <w:p w:rsidR="00E8309B" w:rsidRDefault="009D0949">
      <w:pPr>
        <w:spacing w:after="13" w:line="269" w:lineRule="auto"/>
        <w:ind w:left="103" w:right="3545"/>
        <w:jc w:val="left"/>
      </w:pPr>
      <w:r>
        <w:rPr>
          <w:sz w:val="20"/>
        </w:rPr>
        <w:t>[8]   AF1, AF2, AF3 (консолидовани по тржишној вредности, AF5 (уколико су котирани на берзи</w:t>
      </w:r>
      <w:r>
        <w:rPr>
          <w:sz w:val="20"/>
        </w:rPr>
        <w:t xml:space="preserve">; укључујући акције узајамних фондова). </w:t>
      </w:r>
    </w:p>
    <w:p w:rsidR="00E8309B" w:rsidRDefault="009D0949">
      <w:pPr>
        <w:spacing w:after="96" w:line="259" w:lineRule="auto"/>
        <w:ind w:left="0" w:right="0" w:firstLine="0"/>
        <w:jc w:val="left"/>
      </w:pPr>
      <w:r>
        <w:rPr>
          <w:sz w:val="22"/>
        </w:rPr>
        <w:t xml:space="preserve"> </w:t>
      </w:r>
    </w:p>
    <w:p w:rsidR="00E8309B" w:rsidRDefault="009D0949">
      <w:pPr>
        <w:spacing w:after="0" w:line="259" w:lineRule="auto"/>
        <w:ind w:left="0" w:right="0" w:firstLine="0"/>
        <w:jc w:val="left"/>
      </w:pPr>
      <w:r>
        <w:rPr>
          <w:sz w:val="22"/>
        </w:rPr>
        <w:t xml:space="preserve"> </w:t>
      </w:r>
      <w:r>
        <w:rPr>
          <w:sz w:val="22"/>
        </w:rPr>
        <w:tab/>
        <w:t xml:space="preserve"> </w:t>
      </w:r>
    </w:p>
    <w:p w:rsidR="00E8309B" w:rsidRDefault="009D0949">
      <w:pPr>
        <w:tabs>
          <w:tab w:val="center" w:pos="7624"/>
          <w:tab w:val="center" w:pos="8932"/>
          <w:tab w:val="center" w:pos="10117"/>
          <w:tab w:val="center" w:pos="11304"/>
          <w:tab w:val="center" w:pos="13317"/>
        </w:tabs>
        <w:spacing w:after="0" w:line="259" w:lineRule="auto"/>
        <w:ind w:left="0" w:right="0" w:firstLine="0"/>
        <w:jc w:val="left"/>
      </w:pPr>
      <w:r>
        <w:rPr>
          <w:b/>
          <w:sz w:val="20"/>
        </w:rPr>
        <w:t xml:space="preserve">Табела 4: Кретање дуга општег нивоа државе </w:t>
      </w:r>
      <w:r>
        <w:rPr>
          <w:b/>
          <w:sz w:val="20"/>
        </w:rPr>
        <w:tab/>
      </w:r>
      <w:r>
        <w:rPr>
          <w:sz w:val="20"/>
        </w:rPr>
        <w:t xml:space="preserve">  </w:t>
      </w:r>
      <w:r>
        <w:rPr>
          <w:sz w:val="20"/>
        </w:rPr>
        <w:tab/>
        <w:t xml:space="preserve">  </w:t>
      </w:r>
      <w:r>
        <w:rPr>
          <w:sz w:val="20"/>
        </w:rPr>
        <w:tab/>
        <w:t xml:space="preserve">  </w:t>
      </w:r>
      <w:r>
        <w:rPr>
          <w:sz w:val="20"/>
        </w:rPr>
        <w:tab/>
        <w:t xml:space="preserve">  </w:t>
      </w:r>
      <w:r>
        <w:rPr>
          <w:sz w:val="20"/>
        </w:rPr>
        <w:tab/>
      </w:r>
      <w:r>
        <w:rPr>
          <w:b/>
          <w:sz w:val="20"/>
        </w:rPr>
        <w:t>Република Србија</w:t>
      </w:r>
      <w:r>
        <w:rPr>
          <w:sz w:val="20"/>
        </w:rPr>
        <w:t xml:space="preserve"> </w:t>
      </w:r>
    </w:p>
    <w:tbl>
      <w:tblPr>
        <w:tblStyle w:val="TableGrid"/>
        <w:tblW w:w="14571" w:type="dxa"/>
        <w:tblInd w:w="0" w:type="dxa"/>
        <w:tblCellMar>
          <w:top w:w="5" w:type="dxa"/>
          <w:left w:w="110" w:type="dxa"/>
          <w:bottom w:w="0" w:type="dxa"/>
          <w:right w:w="65" w:type="dxa"/>
        </w:tblCellMar>
        <w:tblLook w:val="04A0" w:firstRow="1" w:lastRow="0" w:firstColumn="1" w:lastColumn="0" w:noHBand="0" w:noVBand="1"/>
      </w:tblPr>
      <w:tblGrid>
        <w:gridCol w:w="6075"/>
        <w:gridCol w:w="1438"/>
        <w:gridCol w:w="1411"/>
        <w:gridCol w:w="1409"/>
        <w:gridCol w:w="1412"/>
        <w:gridCol w:w="1412"/>
        <w:gridCol w:w="1413"/>
      </w:tblGrid>
      <w:tr w:rsidR="00E8309B">
        <w:trPr>
          <w:trHeight w:val="369"/>
        </w:trPr>
        <w:tc>
          <w:tcPr>
            <w:tcW w:w="6075" w:type="dxa"/>
            <w:vMerge w:val="restart"/>
            <w:tcBorders>
              <w:top w:val="double" w:sz="6" w:space="0" w:color="000000"/>
              <w:left w:val="double" w:sz="6" w:space="0" w:color="000000"/>
              <w:bottom w:val="single" w:sz="4" w:space="0" w:color="000000"/>
              <w:right w:val="dashed" w:sz="4" w:space="0" w:color="000000"/>
            </w:tcBorders>
            <w:vAlign w:val="bottom"/>
          </w:tcPr>
          <w:p w:rsidR="00E8309B" w:rsidRDefault="009D0949">
            <w:pPr>
              <w:spacing w:after="5" w:line="259" w:lineRule="auto"/>
              <w:ind w:left="0" w:right="46" w:firstLine="0"/>
              <w:jc w:val="center"/>
            </w:pPr>
            <w:r>
              <w:rPr>
                <w:sz w:val="20"/>
              </w:rPr>
              <w:t xml:space="preserve">% БДП </w:t>
            </w:r>
          </w:p>
          <w:p w:rsidR="00E8309B" w:rsidRDefault="009D0949">
            <w:pPr>
              <w:spacing w:after="0" w:line="259" w:lineRule="auto"/>
              <w:ind w:left="5" w:right="0" w:firstLine="0"/>
              <w:jc w:val="center"/>
            </w:pPr>
            <w:r>
              <w:rPr>
                <w:sz w:val="20"/>
              </w:rPr>
              <w:t xml:space="preserve">  </w:t>
            </w:r>
          </w:p>
        </w:tc>
        <w:tc>
          <w:tcPr>
            <w:tcW w:w="1438" w:type="dxa"/>
            <w:tcBorders>
              <w:top w:val="double" w:sz="6" w:space="0" w:color="000000"/>
              <w:left w:val="dashed" w:sz="4" w:space="0" w:color="000000"/>
              <w:bottom w:val="nil"/>
              <w:right w:val="single" w:sz="4" w:space="0" w:color="000000"/>
            </w:tcBorders>
            <w:vAlign w:val="bottom"/>
          </w:tcPr>
          <w:p w:rsidR="00E8309B" w:rsidRDefault="009D0949">
            <w:pPr>
              <w:spacing w:after="0" w:line="259" w:lineRule="auto"/>
              <w:ind w:left="0" w:right="47" w:firstLine="0"/>
              <w:jc w:val="center"/>
            </w:pPr>
            <w:r>
              <w:rPr>
                <w:sz w:val="20"/>
              </w:rPr>
              <w:t xml:space="preserve">ESA шифра </w:t>
            </w:r>
          </w:p>
        </w:tc>
        <w:tc>
          <w:tcPr>
            <w:tcW w:w="1411" w:type="dxa"/>
            <w:vMerge w:val="restart"/>
            <w:tcBorders>
              <w:top w:val="double" w:sz="6" w:space="0" w:color="000000"/>
              <w:left w:val="single" w:sz="4" w:space="0" w:color="000000"/>
              <w:bottom w:val="single" w:sz="4" w:space="0" w:color="000000"/>
              <w:right w:val="dashed" w:sz="4" w:space="0" w:color="000000"/>
            </w:tcBorders>
          </w:tcPr>
          <w:p w:rsidR="00E8309B" w:rsidRDefault="009D0949">
            <w:pPr>
              <w:spacing w:after="101" w:line="259" w:lineRule="auto"/>
              <w:ind w:left="0" w:right="43" w:firstLine="0"/>
              <w:jc w:val="center"/>
            </w:pPr>
            <w:r>
              <w:rPr>
                <w:sz w:val="20"/>
              </w:rPr>
              <w:t xml:space="preserve">год. </w:t>
            </w:r>
          </w:p>
          <w:p w:rsidR="00E8309B" w:rsidRDefault="009D0949">
            <w:pPr>
              <w:spacing w:after="0" w:line="259" w:lineRule="auto"/>
              <w:ind w:left="0" w:right="41" w:firstLine="0"/>
              <w:jc w:val="center"/>
            </w:pPr>
            <w:r>
              <w:rPr>
                <w:sz w:val="20"/>
              </w:rPr>
              <w:t xml:space="preserve">2019 </w:t>
            </w:r>
          </w:p>
        </w:tc>
        <w:tc>
          <w:tcPr>
            <w:tcW w:w="1409" w:type="dxa"/>
            <w:tcBorders>
              <w:top w:val="double" w:sz="6" w:space="0" w:color="000000"/>
              <w:left w:val="dashed" w:sz="4" w:space="0" w:color="000000"/>
              <w:bottom w:val="nil"/>
              <w:right w:val="dashed" w:sz="4" w:space="0" w:color="000000"/>
            </w:tcBorders>
          </w:tcPr>
          <w:p w:rsidR="00E8309B" w:rsidRDefault="009D0949">
            <w:pPr>
              <w:spacing w:after="0" w:line="259" w:lineRule="auto"/>
              <w:ind w:left="0" w:right="45" w:firstLine="0"/>
              <w:jc w:val="center"/>
            </w:pPr>
            <w:r>
              <w:rPr>
                <w:sz w:val="20"/>
              </w:rPr>
              <w:t xml:space="preserve">год. </w:t>
            </w:r>
          </w:p>
        </w:tc>
        <w:tc>
          <w:tcPr>
            <w:tcW w:w="1412" w:type="dxa"/>
            <w:vMerge w:val="restart"/>
            <w:tcBorders>
              <w:top w:val="double" w:sz="6" w:space="0" w:color="000000"/>
              <w:left w:val="dashed" w:sz="4" w:space="0" w:color="000000"/>
              <w:bottom w:val="single" w:sz="4" w:space="0" w:color="000000"/>
              <w:right w:val="dashed" w:sz="4" w:space="0" w:color="000000"/>
            </w:tcBorders>
          </w:tcPr>
          <w:p w:rsidR="00E8309B" w:rsidRDefault="009D0949">
            <w:pPr>
              <w:spacing w:after="101" w:line="259" w:lineRule="auto"/>
              <w:ind w:left="0" w:right="42" w:firstLine="0"/>
              <w:jc w:val="center"/>
            </w:pPr>
            <w:r>
              <w:rPr>
                <w:sz w:val="20"/>
              </w:rPr>
              <w:t xml:space="preserve">год. </w:t>
            </w:r>
          </w:p>
          <w:p w:rsidR="00E8309B" w:rsidRDefault="009D0949">
            <w:pPr>
              <w:spacing w:after="0" w:line="259" w:lineRule="auto"/>
              <w:ind w:left="0" w:right="41" w:firstLine="0"/>
              <w:jc w:val="center"/>
            </w:pPr>
            <w:r>
              <w:rPr>
                <w:sz w:val="20"/>
              </w:rPr>
              <w:t xml:space="preserve">2021 </w:t>
            </w:r>
          </w:p>
        </w:tc>
        <w:tc>
          <w:tcPr>
            <w:tcW w:w="1412" w:type="dxa"/>
            <w:vMerge w:val="restart"/>
            <w:tcBorders>
              <w:top w:val="double" w:sz="6" w:space="0" w:color="000000"/>
              <w:left w:val="dashed" w:sz="4" w:space="0" w:color="000000"/>
              <w:bottom w:val="single" w:sz="4" w:space="0" w:color="000000"/>
              <w:right w:val="dashed" w:sz="4" w:space="0" w:color="000000"/>
            </w:tcBorders>
          </w:tcPr>
          <w:p w:rsidR="00E8309B" w:rsidRDefault="009D0949">
            <w:pPr>
              <w:spacing w:after="101" w:line="259" w:lineRule="auto"/>
              <w:ind w:left="0" w:right="44" w:firstLine="0"/>
              <w:jc w:val="center"/>
            </w:pPr>
            <w:r>
              <w:rPr>
                <w:sz w:val="20"/>
              </w:rPr>
              <w:t xml:space="preserve">год. </w:t>
            </w:r>
          </w:p>
          <w:p w:rsidR="00E8309B" w:rsidRDefault="009D0949">
            <w:pPr>
              <w:spacing w:after="0" w:line="259" w:lineRule="auto"/>
              <w:ind w:left="0" w:right="43" w:firstLine="0"/>
              <w:jc w:val="center"/>
            </w:pPr>
            <w:r>
              <w:rPr>
                <w:sz w:val="20"/>
              </w:rPr>
              <w:t xml:space="preserve">2022 </w:t>
            </w:r>
          </w:p>
        </w:tc>
        <w:tc>
          <w:tcPr>
            <w:tcW w:w="1413" w:type="dxa"/>
            <w:tcBorders>
              <w:top w:val="double" w:sz="6" w:space="0" w:color="000000"/>
              <w:left w:val="dashed" w:sz="4" w:space="0" w:color="000000"/>
              <w:bottom w:val="nil"/>
              <w:right w:val="double" w:sz="6" w:space="0" w:color="000000"/>
            </w:tcBorders>
          </w:tcPr>
          <w:p w:rsidR="00E8309B" w:rsidRDefault="009D0949">
            <w:pPr>
              <w:spacing w:after="0" w:line="259" w:lineRule="auto"/>
              <w:ind w:left="0" w:right="47" w:firstLine="0"/>
              <w:jc w:val="center"/>
            </w:pPr>
            <w:r>
              <w:rPr>
                <w:sz w:val="20"/>
              </w:rPr>
              <w:t xml:space="preserve">год. </w:t>
            </w:r>
          </w:p>
        </w:tc>
      </w:tr>
      <w:tr w:rsidR="00E8309B">
        <w:trPr>
          <w:trHeight w:val="258"/>
        </w:trPr>
        <w:tc>
          <w:tcPr>
            <w:tcW w:w="0" w:type="auto"/>
            <w:vMerge/>
            <w:tcBorders>
              <w:top w:val="nil"/>
              <w:left w:val="double" w:sz="6" w:space="0" w:color="000000"/>
              <w:bottom w:val="single" w:sz="4" w:space="0" w:color="000000"/>
              <w:right w:val="dashed" w:sz="4" w:space="0" w:color="000000"/>
            </w:tcBorders>
          </w:tcPr>
          <w:p w:rsidR="00E8309B" w:rsidRDefault="00E8309B">
            <w:pPr>
              <w:spacing w:after="160" w:line="259" w:lineRule="auto"/>
              <w:ind w:left="0" w:right="0" w:firstLine="0"/>
              <w:jc w:val="left"/>
            </w:pPr>
          </w:p>
        </w:tc>
        <w:tc>
          <w:tcPr>
            <w:tcW w:w="1438" w:type="dxa"/>
            <w:tcBorders>
              <w:top w:val="nil"/>
              <w:left w:val="dashed" w:sz="4" w:space="0" w:color="000000"/>
              <w:bottom w:val="single" w:sz="4" w:space="0" w:color="000000"/>
              <w:right w:val="single" w:sz="4" w:space="0" w:color="000000"/>
            </w:tcBorders>
            <w:shd w:val="clear" w:color="auto" w:fill="FFFFFF"/>
            <w:vAlign w:val="bottom"/>
          </w:tcPr>
          <w:p w:rsidR="00E8309B" w:rsidRDefault="009D0949">
            <w:pPr>
              <w:spacing w:after="0" w:line="259" w:lineRule="auto"/>
              <w:ind w:left="7" w:right="0" w:firstLine="0"/>
              <w:jc w:val="center"/>
            </w:pPr>
            <w:r>
              <w:rPr>
                <w:sz w:val="20"/>
              </w:rPr>
              <w:t xml:space="preserve"> </w:t>
            </w:r>
          </w:p>
        </w:tc>
        <w:tc>
          <w:tcPr>
            <w:tcW w:w="0" w:type="auto"/>
            <w:vMerge/>
            <w:tcBorders>
              <w:top w:val="nil"/>
              <w:left w:val="single" w:sz="4" w:space="0" w:color="000000"/>
              <w:bottom w:val="single" w:sz="4" w:space="0" w:color="000000"/>
              <w:right w:val="dashed" w:sz="4" w:space="0" w:color="000000"/>
            </w:tcBorders>
          </w:tcPr>
          <w:p w:rsidR="00E8309B" w:rsidRDefault="00E8309B">
            <w:pPr>
              <w:spacing w:after="160" w:line="259" w:lineRule="auto"/>
              <w:ind w:left="0" w:right="0" w:firstLine="0"/>
              <w:jc w:val="left"/>
            </w:pPr>
          </w:p>
        </w:tc>
        <w:tc>
          <w:tcPr>
            <w:tcW w:w="1409" w:type="dxa"/>
            <w:tcBorders>
              <w:top w:val="nil"/>
              <w:left w:val="dashed" w:sz="4" w:space="0" w:color="000000"/>
              <w:bottom w:val="single" w:sz="4" w:space="0" w:color="000000"/>
              <w:right w:val="dashed" w:sz="4" w:space="0" w:color="000000"/>
            </w:tcBorders>
            <w:shd w:val="clear" w:color="auto" w:fill="FFFFFF"/>
          </w:tcPr>
          <w:p w:rsidR="00E8309B" w:rsidRDefault="009D0949">
            <w:pPr>
              <w:spacing w:after="0" w:line="259" w:lineRule="auto"/>
              <w:ind w:left="0" w:right="44" w:firstLine="0"/>
              <w:jc w:val="center"/>
            </w:pPr>
            <w:r>
              <w:rPr>
                <w:sz w:val="20"/>
              </w:rPr>
              <w:t xml:space="preserve">2020 </w:t>
            </w:r>
          </w:p>
        </w:tc>
        <w:tc>
          <w:tcPr>
            <w:tcW w:w="0" w:type="auto"/>
            <w:vMerge/>
            <w:tcBorders>
              <w:top w:val="nil"/>
              <w:left w:val="dashed" w:sz="4" w:space="0" w:color="000000"/>
              <w:bottom w:val="single" w:sz="4" w:space="0" w:color="000000"/>
              <w:right w:val="dashed" w:sz="4" w:space="0" w:color="000000"/>
            </w:tcBorders>
          </w:tcPr>
          <w:p w:rsidR="00E8309B" w:rsidRDefault="00E8309B">
            <w:pPr>
              <w:spacing w:after="160" w:line="259" w:lineRule="auto"/>
              <w:ind w:left="0" w:right="0" w:firstLine="0"/>
              <w:jc w:val="left"/>
            </w:pPr>
          </w:p>
        </w:tc>
        <w:tc>
          <w:tcPr>
            <w:tcW w:w="0" w:type="auto"/>
            <w:vMerge/>
            <w:tcBorders>
              <w:top w:val="nil"/>
              <w:left w:val="dashed" w:sz="4" w:space="0" w:color="000000"/>
              <w:bottom w:val="single" w:sz="4" w:space="0" w:color="000000"/>
              <w:right w:val="dashed" w:sz="4" w:space="0" w:color="000000"/>
            </w:tcBorders>
          </w:tcPr>
          <w:p w:rsidR="00E8309B" w:rsidRDefault="00E8309B">
            <w:pPr>
              <w:spacing w:after="160" w:line="259" w:lineRule="auto"/>
              <w:ind w:left="0" w:right="0" w:firstLine="0"/>
              <w:jc w:val="left"/>
            </w:pPr>
          </w:p>
        </w:tc>
        <w:tc>
          <w:tcPr>
            <w:tcW w:w="1413" w:type="dxa"/>
            <w:tcBorders>
              <w:top w:val="nil"/>
              <w:left w:val="dashed" w:sz="4" w:space="0" w:color="000000"/>
              <w:bottom w:val="single" w:sz="4" w:space="0" w:color="000000"/>
              <w:right w:val="double" w:sz="6" w:space="0" w:color="000000"/>
            </w:tcBorders>
            <w:shd w:val="clear" w:color="auto" w:fill="FFFFFF"/>
          </w:tcPr>
          <w:p w:rsidR="00E8309B" w:rsidRDefault="009D0949">
            <w:pPr>
              <w:spacing w:after="0" w:line="259" w:lineRule="auto"/>
              <w:ind w:left="0" w:right="46" w:firstLine="0"/>
              <w:jc w:val="center"/>
            </w:pPr>
            <w:r>
              <w:rPr>
                <w:sz w:val="20"/>
              </w:rPr>
              <w:t xml:space="preserve">2023 </w:t>
            </w:r>
          </w:p>
        </w:tc>
      </w:tr>
      <w:tr w:rsidR="00E8309B">
        <w:trPr>
          <w:trHeight w:val="409"/>
        </w:trPr>
        <w:tc>
          <w:tcPr>
            <w:tcW w:w="8925" w:type="dxa"/>
            <w:gridSpan w:val="3"/>
            <w:tcBorders>
              <w:top w:val="single" w:sz="4" w:space="0" w:color="000000"/>
              <w:left w:val="double" w:sz="6" w:space="0" w:color="000000"/>
              <w:bottom w:val="single" w:sz="4" w:space="0" w:color="000000"/>
              <w:right w:val="nil"/>
            </w:tcBorders>
            <w:vAlign w:val="bottom"/>
          </w:tcPr>
          <w:p w:rsidR="00E8309B" w:rsidRDefault="009D0949">
            <w:pPr>
              <w:tabs>
                <w:tab w:val="center" w:pos="6855"/>
                <w:tab w:val="center" w:pos="7675"/>
              </w:tabs>
              <w:spacing w:after="0" w:line="259" w:lineRule="auto"/>
              <w:ind w:left="0" w:right="0" w:firstLine="0"/>
              <w:jc w:val="left"/>
            </w:pPr>
            <w:r>
              <w:rPr>
                <w:rFonts w:ascii="Calibri" w:eastAsia="Calibri" w:hAnsi="Calibri" w:cs="Calibri"/>
                <w:sz w:val="22"/>
              </w:rPr>
              <w:tab/>
            </w:r>
            <w:r>
              <w:rPr>
                <w:sz w:val="20"/>
              </w:rPr>
              <w:t xml:space="preserve">БДП и инве </w:t>
            </w:r>
            <w:r>
              <w:rPr>
                <w:sz w:val="20"/>
              </w:rPr>
              <w:tab/>
              <w:t xml:space="preserve">стиције </w:t>
            </w:r>
          </w:p>
        </w:tc>
        <w:tc>
          <w:tcPr>
            <w:tcW w:w="1409" w:type="dxa"/>
            <w:tcBorders>
              <w:top w:val="single" w:sz="4" w:space="0" w:color="000000"/>
              <w:left w:val="nil"/>
              <w:bottom w:val="single" w:sz="4" w:space="0" w:color="000000"/>
              <w:right w:val="nil"/>
            </w:tcBorders>
          </w:tcPr>
          <w:p w:rsidR="00E8309B" w:rsidRDefault="00E8309B">
            <w:pPr>
              <w:spacing w:after="160" w:line="259" w:lineRule="auto"/>
              <w:ind w:left="0" w:right="0" w:firstLine="0"/>
              <w:jc w:val="left"/>
            </w:pPr>
          </w:p>
        </w:tc>
        <w:tc>
          <w:tcPr>
            <w:tcW w:w="1412" w:type="dxa"/>
            <w:tcBorders>
              <w:top w:val="single" w:sz="4" w:space="0" w:color="000000"/>
              <w:left w:val="nil"/>
              <w:bottom w:val="single" w:sz="4" w:space="0" w:color="000000"/>
              <w:right w:val="nil"/>
            </w:tcBorders>
          </w:tcPr>
          <w:p w:rsidR="00E8309B" w:rsidRDefault="00E8309B">
            <w:pPr>
              <w:spacing w:after="160" w:line="259" w:lineRule="auto"/>
              <w:ind w:left="0" w:right="0" w:firstLine="0"/>
              <w:jc w:val="left"/>
            </w:pPr>
          </w:p>
        </w:tc>
        <w:tc>
          <w:tcPr>
            <w:tcW w:w="1412" w:type="dxa"/>
            <w:tcBorders>
              <w:top w:val="single" w:sz="4" w:space="0" w:color="000000"/>
              <w:left w:val="nil"/>
              <w:bottom w:val="single" w:sz="4" w:space="0" w:color="000000"/>
              <w:right w:val="nil"/>
            </w:tcBorders>
          </w:tcPr>
          <w:p w:rsidR="00E8309B" w:rsidRDefault="00E8309B">
            <w:pPr>
              <w:spacing w:after="160" w:line="259" w:lineRule="auto"/>
              <w:ind w:left="0" w:right="0" w:firstLine="0"/>
              <w:jc w:val="left"/>
            </w:pPr>
          </w:p>
        </w:tc>
        <w:tc>
          <w:tcPr>
            <w:tcW w:w="1413" w:type="dxa"/>
            <w:tcBorders>
              <w:top w:val="single" w:sz="4" w:space="0" w:color="000000"/>
              <w:left w:val="nil"/>
              <w:bottom w:val="single" w:sz="4" w:space="0" w:color="000000"/>
              <w:right w:val="double" w:sz="6" w:space="0" w:color="000000"/>
            </w:tcBorders>
          </w:tcPr>
          <w:p w:rsidR="00E8309B" w:rsidRDefault="00E8309B">
            <w:pPr>
              <w:spacing w:after="160" w:line="259" w:lineRule="auto"/>
              <w:ind w:left="0" w:right="0" w:firstLine="0"/>
              <w:jc w:val="left"/>
            </w:pPr>
          </w:p>
        </w:tc>
      </w:tr>
      <w:tr w:rsidR="00E8309B">
        <w:trPr>
          <w:trHeight w:val="293"/>
        </w:trPr>
        <w:tc>
          <w:tcPr>
            <w:tcW w:w="6075" w:type="dxa"/>
            <w:tcBorders>
              <w:top w:val="single" w:sz="4" w:space="0" w:color="000000"/>
              <w:left w:val="double" w:sz="6" w:space="0" w:color="000000"/>
              <w:bottom w:val="dashed" w:sz="4" w:space="0" w:color="000000"/>
              <w:right w:val="dashed" w:sz="4" w:space="0" w:color="000000"/>
            </w:tcBorders>
          </w:tcPr>
          <w:p w:rsidR="00E8309B" w:rsidRDefault="009D0949">
            <w:pPr>
              <w:spacing w:after="0" w:line="259" w:lineRule="auto"/>
              <w:ind w:left="0" w:right="0" w:firstLine="0"/>
              <w:jc w:val="left"/>
            </w:pPr>
            <w:r>
              <w:rPr>
                <w:b/>
                <w:sz w:val="20"/>
              </w:rPr>
              <w:t xml:space="preserve">  1. Бруто дуг [1] </w:t>
            </w:r>
          </w:p>
        </w:tc>
        <w:tc>
          <w:tcPr>
            <w:tcW w:w="1438" w:type="dxa"/>
            <w:tcBorders>
              <w:top w:val="single" w:sz="4" w:space="0" w:color="000000"/>
              <w:left w:val="dashed" w:sz="4" w:space="0" w:color="000000"/>
              <w:bottom w:val="dashed" w:sz="4" w:space="0" w:color="000000"/>
              <w:right w:val="single" w:sz="4" w:space="0" w:color="000000"/>
            </w:tcBorders>
            <w:vAlign w:val="bottom"/>
          </w:tcPr>
          <w:p w:rsidR="00E8309B" w:rsidRDefault="009D0949">
            <w:pPr>
              <w:spacing w:after="0" w:line="259" w:lineRule="auto"/>
              <w:ind w:left="7" w:right="0" w:firstLine="0"/>
              <w:jc w:val="center"/>
            </w:pPr>
            <w:r>
              <w:rPr>
                <w:sz w:val="20"/>
              </w:rPr>
              <w:t xml:space="preserve"> </w:t>
            </w:r>
          </w:p>
        </w:tc>
        <w:tc>
          <w:tcPr>
            <w:tcW w:w="1411" w:type="dxa"/>
            <w:tcBorders>
              <w:top w:val="single" w:sz="4" w:space="0" w:color="000000"/>
              <w:left w:val="single" w:sz="4" w:space="0" w:color="000000"/>
              <w:bottom w:val="dashed" w:sz="4" w:space="0" w:color="000000"/>
              <w:right w:val="dashed" w:sz="4" w:space="0" w:color="000000"/>
            </w:tcBorders>
          </w:tcPr>
          <w:p w:rsidR="00E8309B" w:rsidRDefault="009D0949">
            <w:pPr>
              <w:spacing w:after="0" w:line="259" w:lineRule="auto"/>
              <w:ind w:left="0" w:right="44" w:firstLine="0"/>
              <w:jc w:val="center"/>
            </w:pPr>
            <w:r>
              <w:rPr>
                <w:sz w:val="20"/>
              </w:rPr>
              <w:t xml:space="preserve">52,9 </w:t>
            </w:r>
          </w:p>
        </w:tc>
        <w:tc>
          <w:tcPr>
            <w:tcW w:w="1409" w:type="dxa"/>
            <w:tcBorders>
              <w:top w:val="single" w:sz="4" w:space="0" w:color="000000"/>
              <w:left w:val="dashed" w:sz="4" w:space="0" w:color="000000"/>
              <w:bottom w:val="dashed" w:sz="4" w:space="0" w:color="000000"/>
              <w:right w:val="dashed" w:sz="4" w:space="0" w:color="000000"/>
            </w:tcBorders>
          </w:tcPr>
          <w:p w:rsidR="00E8309B" w:rsidRDefault="009D0949">
            <w:pPr>
              <w:spacing w:after="0" w:line="259" w:lineRule="auto"/>
              <w:ind w:left="0" w:right="47" w:firstLine="0"/>
              <w:jc w:val="center"/>
            </w:pPr>
            <w:r>
              <w:rPr>
                <w:sz w:val="20"/>
              </w:rPr>
              <w:t xml:space="preserve">59,0 </w:t>
            </w:r>
          </w:p>
        </w:tc>
        <w:tc>
          <w:tcPr>
            <w:tcW w:w="1412" w:type="dxa"/>
            <w:tcBorders>
              <w:top w:val="single" w:sz="4" w:space="0" w:color="000000"/>
              <w:left w:val="dashed" w:sz="4" w:space="0" w:color="000000"/>
              <w:bottom w:val="dashed" w:sz="4" w:space="0" w:color="000000"/>
              <w:right w:val="dashed" w:sz="4" w:space="0" w:color="000000"/>
            </w:tcBorders>
          </w:tcPr>
          <w:p w:rsidR="00E8309B" w:rsidRDefault="009D0949">
            <w:pPr>
              <w:spacing w:after="0" w:line="259" w:lineRule="auto"/>
              <w:ind w:left="0" w:right="39" w:firstLine="0"/>
              <w:jc w:val="center"/>
            </w:pPr>
            <w:r>
              <w:rPr>
                <w:sz w:val="20"/>
              </w:rPr>
              <w:t xml:space="preserve">58,7 </w:t>
            </w:r>
          </w:p>
        </w:tc>
        <w:tc>
          <w:tcPr>
            <w:tcW w:w="1412" w:type="dxa"/>
            <w:tcBorders>
              <w:top w:val="single" w:sz="4" w:space="0" w:color="000000"/>
              <w:left w:val="dashed" w:sz="4" w:space="0" w:color="000000"/>
              <w:bottom w:val="dashed" w:sz="4" w:space="0" w:color="000000"/>
              <w:right w:val="dashed" w:sz="4" w:space="0" w:color="000000"/>
            </w:tcBorders>
          </w:tcPr>
          <w:p w:rsidR="00E8309B" w:rsidRDefault="009D0949">
            <w:pPr>
              <w:spacing w:after="0" w:line="259" w:lineRule="auto"/>
              <w:ind w:left="0" w:right="46" w:firstLine="0"/>
              <w:jc w:val="center"/>
            </w:pPr>
            <w:r>
              <w:rPr>
                <w:sz w:val="20"/>
              </w:rPr>
              <w:t xml:space="preserve">57,9 </w:t>
            </w:r>
          </w:p>
        </w:tc>
        <w:tc>
          <w:tcPr>
            <w:tcW w:w="1413" w:type="dxa"/>
            <w:tcBorders>
              <w:top w:val="single" w:sz="4" w:space="0" w:color="000000"/>
              <w:left w:val="dashed" w:sz="4" w:space="0" w:color="000000"/>
              <w:bottom w:val="dashed" w:sz="4" w:space="0" w:color="000000"/>
              <w:right w:val="double" w:sz="6" w:space="0" w:color="000000"/>
            </w:tcBorders>
          </w:tcPr>
          <w:p w:rsidR="00E8309B" w:rsidRDefault="009D0949">
            <w:pPr>
              <w:spacing w:after="0" w:line="259" w:lineRule="auto"/>
              <w:ind w:left="0" w:right="43" w:firstLine="0"/>
              <w:jc w:val="center"/>
            </w:pPr>
            <w:r>
              <w:rPr>
                <w:sz w:val="20"/>
              </w:rPr>
              <w:t xml:space="preserve">56,0 </w:t>
            </w:r>
          </w:p>
        </w:tc>
      </w:tr>
      <w:tr w:rsidR="00E8309B">
        <w:trPr>
          <w:trHeight w:val="293"/>
        </w:trPr>
        <w:tc>
          <w:tcPr>
            <w:tcW w:w="6075" w:type="dxa"/>
            <w:tcBorders>
              <w:top w:val="dashed" w:sz="4" w:space="0" w:color="000000"/>
              <w:left w:val="double" w:sz="6" w:space="0" w:color="000000"/>
              <w:bottom w:val="single" w:sz="4" w:space="0" w:color="000000"/>
              <w:right w:val="dashed" w:sz="4" w:space="0" w:color="000000"/>
            </w:tcBorders>
          </w:tcPr>
          <w:p w:rsidR="00E8309B" w:rsidRDefault="009D0949">
            <w:pPr>
              <w:spacing w:after="0" w:line="259" w:lineRule="auto"/>
              <w:ind w:left="0" w:right="0" w:firstLine="0"/>
              <w:jc w:val="left"/>
            </w:pPr>
            <w:r>
              <w:rPr>
                <w:b/>
                <w:sz w:val="20"/>
              </w:rPr>
              <w:t xml:space="preserve">  2. Промена учешћа бруто дуга </w:t>
            </w:r>
          </w:p>
        </w:tc>
        <w:tc>
          <w:tcPr>
            <w:tcW w:w="1438" w:type="dxa"/>
            <w:tcBorders>
              <w:top w:val="dashed" w:sz="4" w:space="0" w:color="000000"/>
              <w:left w:val="dashed" w:sz="4" w:space="0" w:color="000000"/>
              <w:bottom w:val="single" w:sz="4" w:space="0" w:color="000000"/>
              <w:right w:val="single" w:sz="4" w:space="0" w:color="000000"/>
            </w:tcBorders>
          </w:tcPr>
          <w:p w:rsidR="00E8309B" w:rsidRDefault="00E8309B">
            <w:pPr>
              <w:spacing w:after="160" w:line="259" w:lineRule="auto"/>
              <w:ind w:left="0" w:right="0" w:firstLine="0"/>
              <w:jc w:val="left"/>
            </w:pPr>
          </w:p>
        </w:tc>
        <w:tc>
          <w:tcPr>
            <w:tcW w:w="1411" w:type="dxa"/>
            <w:tcBorders>
              <w:top w:val="dashed" w:sz="4" w:space="0" w:color="000000"/>
              <w:left w:val="single" w:sz="4" w:space="0" w:color="000000"/>
              <w:bottom w:val="single" w:sz="4" w:space="0" w:color="000000"/>
              <w:right w:val="dashed" w:sz="4" w:space="0" w:color="000000"/>
            </w:tcBorders>
          </w:tcPr>
          <w:p w:rsidR="00E8309B" w:rsidRDefault="009D0949">
            <w:pPr>
              <w:spacing w:after="0" w:line="259" w:lineRule="auto"/>
              <w:ind w:left="5" w:right="0" w:firstLine="0"/>
              <w:jc w:val="center"/>
            </w:pPr>
            <w:r>
              <w:rPr>
                <w:sz w:val="20"/>
              </w:rPr>
              <w:t xml:space="preserve"> </w:t>
            </w:r>
          </w:p>
        </w:tc>
        <w:tc>
          <w:tcPr>
            <w:tcW w:w="1409" w:type="dxa"/>
            <w:tcBorders>
              <w:top w:val="dashed" w:sz="4" w:space="0" w:color="000000"/>
              <w:left w:val="dashed" w:sz="4" w:space="0" w:color="000000"/>
              <w:bottom w:val="single" w:sz="4" w:space="0" w:color="000000"/>
              <w:right w:val="dashed" w:sz="4" w:space="0" w:color="000000"/>
            </w:tcBorders>
          </w:tcPr>
          <w:p w:rsidR="00E8309B" w:rsidRDefault="009D0949">
            <w:pPr>
              <w:spacing w:after="0" w:line="259" w:lineRule="auto"/>
              <w:ind w:left="0" w:right="47" w:firstLine="0"/>
              <w:jc w:val="center"/>
            </w:pPr>
            <w:r>
              <w:rPr>
                <w:sz w:val="20"/>
              </w:rPr>
              <w:t xml:space="preserve">6,1 </w:t>
            </w:r>
          </w:p>
        </w:tc>
        <w:tc>
          <w:tcPr>
            <w:tcW w:w="1412" w:type="dxa"/>
            <w:tcBorders>
              <w:top w:val="dashed" w:sz="4" w:space="0" w:color="000000"/>
              <w:left w:val="dashed" w:sz="4" w:space="0" w:color="000000"/>
              <w:bottom w:val="single" w:sz="4" w:space="0" w:color="000000"/>
              <w:right w:val="dashed" w:sz="4" w:space="0" w:color="000000"/>
            </w:tcBorders>
          </w:tcPr>
          <w:p w:rsidR="00E8309B" w:rsidRDefault="009D0949">
            <w:pPr>
              <w:spacing w:after="0" w:line="259" w:lineRule="auto"/>
              <w:ind w:left="0" w:right="41" w:firstLine="0"/>
              <w:jc w:val="center"/>
            </w:pPr>
            <w:r>
              <w:rPr>
                <w:sz w:val="20"/>
              </w:rPr>
              <w:t xml:space="preserve">-0,3 </w:t>
            </w:r>
          </w:p>
        </w:tc>
        <w:tc>
          <w:tcPr>
            <w:tcW w:w="1412" w:type="dxa"/>
            <w:tcBorders>
              <w:top w:val="dashed" w:sz="4" w:space="0" w:color="000000"/>
              <w:left w:val="dashed" w:sz="4" w:space="0" w:color="000000"/>
              <w:bottom w:val="single" w:sz="4" w:space="0" w:color="000000"/>
              <w:right w:val="dashed" w:sz="4" w:space="0" w:color="000000"/>
            </w:tcBorders>
          </w:tcPr>
          <w:p w:rsidR="00E8309B" w:rsidRDefault="009D0949">
            <w:pPr>
              <w:spacing w:after="0" w:line="259" w:lineRule="auto"/>
              <w:ind w:left="0" w:right="48" w:firstLine="0"/>
              <w:jc w:val="center"/>
            </w:pPr>
            <w:r>
              <w:rPr>
                <w:sz w:val="20"/>
              </w:rPr>
              <w:t xml:space="preserve">-0,8 </w:t>
            </w:r>
          </w:p>
        </w:tc>
        <w:tc>
          <w:tcPr>
            <w:tcW w:w="1413" w:type="dxa"/>
            <w:tcBorders>
              <w:top w:val="dashed" w:sz="4" w:space="0" w:color="000000"/>
              <w:left w:val="dashed" w:sz="4" w:space="0" w:color="000000"/>
              <w:bottom w:val="single" w:sz="4" w:space="0" w:color="000000"/>
              <w:right w:val="double" w:sz="6" w:space="0" w:color="000000"/>
            </w:tcBorders>
          </w:tcPr>
          <w:p w:rsidR="00E8309B" w:rsidRDefault="009D0949">
            <w:pPr>
              <w:spacing w:after="0" w:line="259" w:lineRule="auto"/>
              <w:ind w:left="0" w:right="46" w:firstLine="0"/>
              <w:jc w:val="center"/>
            </w:pPr>
            <w:r>
              <w:rPr>
                <w:sz w:val="20"/>
              </w:rPr>
              <w:t xml:space="preserve">-1,9 </w:t>
            </w:r>
          </w:p>
        </w:tc>
      </w:tr>
      <w:tr w:rsidR="00E8309B">
        <w:trPr>
          <w:trHeight w:val="406"/>
        </w:trPr>
        <w:tc>
          <w:tcPr>
            <w:tcW w:w="8925" w:type="dxa"/>
            <w:gridSpan w:val="3"/>
            <w:tcBorders>
              <w:top w:val="single" w:sz="4" w:space="0" w:color="000000"/>
              <w:left w:val="double" w:sz="6" w:space="0" w:color="000000"/>
              <w:bottom w:val="single" w:sz="4" w:space="0" w:color="000000"/>
              <w:right w:val="nil"/>
            </w:tcBorders>
          </w:tcPr>
          <w:p w:rsidR="00E8309B" w:rsidRDefault="009D0949">
            <w:pPr>
              <w:spacing w:after="0" w:line="259" w:lineRule="auto"/>
              <w:ind w:left="0" w:right="157" w:firstLine="0"/>
              <w:jc w:val="right"/>
            </w:pPr>
            <w:r>
              <w:rPr>
                <w:b/>
                <w:sz w:val="20"/>
              </w:rPr>
              <w:t xml:space="preserve">Доприноси промени бруто дуга </w:t>
            </w:r>
          </w:p>
        </w:tc>
        <w:tc>
          <w:tcPr>
            <w:tcW w:w="1409" w:type="dxa"/>
            <w:tcBorders>
              <w:top w:val="single" w:sz="4" w:space="0" w:color="000000"/>
              <w:left w:val="nil"/>
              <w:bottom w:val="single" w:sz="4" w:space="0" w:color="000000"/>
              <w:right w:val="nil"/>
            </w:tcBorders>
          </w:tcPr>
          <w:p w:rsidR="00E8309B" w:rsidRDefault="00E8309B">
            <w:pPr>
              <w:spacing w:after="160" w:line="259" w:lineRule="auto"/>
              <w:ind w:left="0" w:right="0" w:firstLine="0"/>
              <w:jc w:val="left"/>
            </w:pPr>
          </w:p>
        </w:tc>
        <w:tc>
          <w:tcPr>
            <w:tcW w:w="1412" w:type="dxa"/>
            <w:tcBorders>
              <w:top w:val="single" w:sz="4" w:space="0" w:color="000000"/>
              <w:left w:val="nil"/>
              <w:bottom w:val="single" w:sz="4" w:space="0" w:color="000000"/>
              <w:right w:val="nil"/>
            </w:tcBorders>
          </w:tcPr>
          <w:p w:rsidR="00E8309B" w:rsidRDefault="00E8309B">
            <w:pPr>
              <w:spacing w:after="160" w:line="259" w:lineRule="auto"/>
              <w:ind w:left="0" w:right="0" w:firstLine="0"/>
              <w:jc w:val="left"/>
            </w:pPr>
          </w:p>
        </w:tc>
        <w:tc>
          <w:tcPr>
            <w:tcW w:w="1412" w:type="dxa"/>
            <w:tcBorders>
              <w:top w:val="single" w:sz="4" w:space="0" w:color="000000"/>
              <w:left w:val="nil"/>
              <w:bottom w:val="single" w:sz="4" w:space="0" w:color="000000"/>
              <w:right w:val="nil"/>
            </w:tcBorders>
          </w:tcPr>
          <w:p w:rsidR="00E8309B" w:rsidRDefault="00E8309B">
            <w:pPr>
              <w:spacing w:after="160" w:line="259" w:lineRule="auto"/>
              <w:ind w:left="0" w:right="0" w:firstLine="0"/>
              <w:jc w:val="left"/>
            </w:pPr>
          </w:p>
        </w:tc>
        <w:tc>
          <w:tcPr>
            <w:tcW w:w="1413" w:type="dxa"/>
            <w:tcBorders>
              <w:top w:val="single" w:sz="4" w:space="0" w:color="000000"/>
              <w:left w:val="nil"/>
              <w:bottom w:val="single" w:sz="4" w:space="0" w:color="000000"/>
              <w:right w:val="double" w:sz="6" w:space="0" w:color="000000"/>
            </w:tcBorders>
          </w:tcPr>
          <w:p w:rsidR="00E8309B" w:rsidRDefault="00E8309B">
            <w:pPr>
              <w:spacing w:after="160" w:line="259" w:lineRule="auto"/>
              <w:ind w:left="0" w:right="0" w:firstLine="0"/>
              <w:jc w:val="left"/>
            </w:pPr>
          </w:p>
        </w:tc>
      </w:tr>
      <w:tr w:rsidR="00E8309B">
        <w:trPr>
          <w:trHeight w:val="296"/>
        </w:trPr>
        <w:tc>
          <w:tcPr>
            <w:tcW w:w="6075" w:type="dxa"/>
            <w:tcBorders>
              <w:top w:val="single" w:sz="4" w:space="0" w:color="000000"/>
              <w:left w:val="double" w:sz="6" w:space="0" w:color="000000"/>
              <w:bottom w:val="dashed" w:sz="4" w:space="0" w:color="000000"/>
              <w:right w:val="dashed" w:sz="4" w:space="0" w:color="000000"/>
            </w:tcBorders>
          </w:tcPr>
          <w:p w:rsidR="00E8309B" w:rsidRDefault="009D0949">
            <w:pPr>
              <w:spacing w:after="0" w:line="259" w:lineRule="auto"/>
              <w:ind w:left="0" w:right="0" w:firstLine="0"/>
              <w:jc w:val="left"/>
            </w:pPr>
            <w:r>
              <w:rPr>
                <w:b/>
                <w:sz w:val="20"/>
              </w:rPr>
              <w:t xml:space="preserve">  3. Примарни резултат [2] </w:t>
            </w:r>
          </w:p>
        </w:tc>
        <w:tc>
          <w:tcPr>
            <w:tcW w:w="1438" w:type="dxa"/>
            <w:tcBorders>
              <w:top w:val="single" w:sz="4" w:space="0" w:color="000000"/>
              <w:left w:val="dashed" w:sz="4" w:space="0" w:color="000000"/>
              <w:bottom w:val="dashed" w:sz="4" w:space="0" w:color="000000"/>
              <w:right w:val="single" w:sz="4" w:space="0" w:color="000000"/>
            </w:tcBorders>
          </w:tcPr>
          <w:p w:rsidR="00E8309B" w:rsidRDefault="009D0949">
            <w:pPr>
              <w:spacing w:after="0" w:line="259" w:lineRule="auto"/>
              <w:ind w:left="7" w:right="0" w:firstLine="0"/>
              <w:jc w:val="center"/>
            </w:pPr>
            <w:r>
              <w:rPr>
                <w:sz w:val="20"/>
              </w:rPr>
              <w:t xml:space="preserve"> </w:t>
            </w:r>
          </w:p>
        </w:tc>
        <w:tc>
          <w:tcPr>
            <w:tcW w:w="1411" w:type="dxa"/>
            <w:tcBorders>
              <w:top w:val="single" w:sz="4" w:space="0" w:color="000000"/>
              <w:left w:val="single" w:sz="4" w:space="0" w:color="000000"/>
              <w:bottom w:val="dashed" w:sz="4" w:space="0" w:color="000000"/>
              <w:right w:val="dashed" w:sz="4" w:space="0" w:color="000000"/>
            </w:tcBorders>
          </w:tcPr>
          <w:p w:rsidR="00E8309B" w:rsidRDefault="009D0949">
            <w:pPr>
              <w:spacing w:after="0" w:line="259" w:lineRule="auto"/>
              <w:ind w:left="0" w:right="47" w:firstLine="0"/>
              <w:jc w:val="center"/>
            </w:pPr>
            <w:r>
              <w:rPr>
                <w:sz w:val="20"/>
              </w:rPr>
              <w:t xml:space="preserve">-1,81 </w:t>
            </w:r>
          </w:p>
        </w:tc>
        <w:tc>
          <w:tcPr>
            <w:tcW w:w="1409" w:type="dxa"/>
            <w:tcBorders>
              <w:top w:val="single" w:sz="4" w:space="0" w:color="000000"/>
              <w:left w:val="dashed" w:sz="4" w:space="0" w:color="000000"/>
              <w:bottom w:val="dashed" w:sz="4" w:space="0" w:color="000000"/>
              <w:right w:val="dashed" w:sz="4" w:space="0" w:color="000000"/>
            </w:tcBorders>
          </w:tcPr>
          <w:p w:rsidR="00E8309B" w:rsidRDefault="009D0949">
            <w:pPr>
              <w:spacing w:after="0" w:line="259" w:lineRule="auto"/>
              <w:ind w:left="0" w:right="47" w:firstLine="0"/>
              <w:jc w:val="center"/>
            </w:pPr>
            <w:r>
              <w:rPr>
                <w:sz w:val="20"/>
              </w:rPr>
              <w:t xml:space="preserve">6,9 </w:t>
            </w:r>
          </w:p>
        </w:tc>
        <w:tc>
          <w:tcPr>
            <w:tcW w:w="1412" w:type="dxa"/>
            <w:tcBorders>
              <w:top w:val="single" w:sz="4" w:space="0" w:color="000000"/>
              <w:left w:val="dashed" w:sz="4" w:space="0" w:color="000000"/>
              <w:bottom w:val="dashed" w:sz="4" w:space="0" w:color="000000"/>
              <w:right w:val="dashed" w:sz="4" w:space="0" w:color="000000"/>
            </w:tcBorders>
          </w:tcPr>
          <w:p w:rsidR="00E8309B" w:rsidRDefault="009D0949">
            <w:pPr>
              <w:spacing w:after="0" w:line="259" w:lineRule="auto"/>
              <w:ind w:left="0" w:right="39" w:firstLine="0"/>
              <w:jc w:val="center"/>
            </w:pPr>
            <w:r>
              <w:rPr>
                <w:sz w:val="20"/>
              </w:rPr>
              <w:t xml:space="preserve">1,1 </w:t>
            </w:r>
          </w:p>
        </w:tc>
        <w:tc>
          <w:tcPr>
            <w:tcW w:w="1412" w:type="dxa"/>
            <w:tcBorders>
              <w:top w:val="single" w:sz="4" w:space="0" w:color="000000"/>
              <w:left w:val="dashed" w:sz="4" w:space="0" w:color="000000"/>
              <w:bottom w:val="dashed" w:sz="4" w:space="0" w:color="000000"/>
              <w:right w:val="dashed" w:sz="4" w:space="0" w:color="000000"/>
            </w:tcBorders>
          </w:tcPr>
          <w:p w:rsidR="00E8309B" w:rsidRDefault="009D0949">
            <w:pPr>
              <w:spacing w:after="0" w:line="259" w:lineRule="auto"/>
              <w:ind w:left="0" w:right="48" w:firstLine="0"/>
              <w:jc w:val="center"/>
            </w:pPr>
            <w:r>
              <w:rPr>
                <w:sz w:val="20"/>
              </w:rPr>
              <w:t xml:space="preserve">-0,1 </w:t>
            </w:r>
          </w:p>
        </w:tc>
        <w:tc>
          <w:tcPr>
            <w:tcW w:w="1413" w:type="dxa"/>
            <w:tcBorders>
              <w:top w:val="single" w:sz="4" w:space="0" w:color="000000"/>
              <w:left w:val="dashed" w:sz="4" w:space="0" w:color="000000"/>
              <w:bottom w:val="dashed" w:sz="4" w:space="0" w:color="000000"/>
              <w:right w:val="double" w:sz="6" w:space="0" w:color="000000"/>
            </w:tcBorders>
          </w:tcPr>
          <w:p w:rsidR="00E8309B" w:rsidRDefault="009D0949">
            <w:pPr>
              <w:spacing w:after="0" w:line="259" w:lineRule="auto"/>
              <w:ind w:left="0" w:right="46" w:firstLine="0"/>
              <w:jc w:val="center"/>
            </w:pPr>
            <w:r>
              <w:rPr>
                <w:sz w:val="20"/>
              </w:rPr>
              <w:t xml:space="preserve">-0,6 </w:t>
            </w:r>
          </w:p>
        </w:tc>
      </w:tr>
      <w:tr w:rsidR="00E8309B">
        <w:trPr>
          <w:trHeight w:val="293"/>
        </w:trPr>
        <w:tc>
          <w:tcPr>
            <w:tcW w:w="6075" w:type="dxa"/>
            <w:tcBorders>
              <w:top w:val="dashed" w:sz="4" w:space="0" w:color="000000"/>
              <w:left w:val="double" w:sz="6" w:space="0" w:color="000000"/>
              <w:bottom w:val="dashed" w:sz="4" w:space="0" w:color="000000"/>
              <w:right w:val="dashed" w:sz="4" w:space="0" w:color="000000"/>
            </w:tcBorders>
          </w:tcPr>
          <w:p w:rsidR="00E8309B" w:rsidRDefault="009D0949">
            <w:pPr>
              <w:spacing w:after="0" w:line="259" w:lineRule="auto"/>
              <w:ind w:left="0" w:right="0" w:firstLine="0"/>
              <w:jc w:val="left"/>
            </w:pPr>
            <w:r>
              <w:rPr>
                <w:b/>
                <w:sz w:val="20"/>
              </w:rPr>
              <w:t xml:space="preserve">  4. Расходи за камате  [3] </w:t>
            </w:r>
          </w:p>
        </w:tc>
        <w:tc>
          <w:tcPr>
            <w:tcW w:w="1438" w:type="dxa"/>
            <w:tcBorders>
              <w:top w:val="dashed" w:sz="4" w:space="0" w:color="000000"/>
              <w:left w:val="dashed" w:sz="4" w:space="0" w:color="000000"/>
              <w:bottom w:val="dashed" w:sz="4" w:space="0" w:color="000000"/>
              <w:right w:val="single" w:sz="4" w:space="0" w:color="000000"/>
            </w:tcBorders>
          </w:tcPr>
          <w:p w:rsidR="00E8309B" w:rsidRDefault="009D0949">
            <w:pPr>
              <w:spacing w:after="0" w:line="259" w:lineRule="auto"/>
              <w:ind w:left="0" w:right="45" w:firstLine="0"/>
              <w:jc w:val="center"/>
            </w:pPr>
            <w:r>
              <w:rPr>
                <w:sz w:val="20"/>
              </w:rPr>
              <w:t xml:space="preserve">EDP D.41 </w:t>
            </w:r>
          </w:p>
        </w:tc>
        <w:tc>
          <w:tcPr>
            <w:tcW w:w="1411" w:type="dxa"/>
            <w:tcBorders>
              <w:top w:val="dashed" w:sz="4" w:space="0" w:color="000000"/>
              <w:left w:val="single" w:sz="4" w:space="0" w:color="000000"/>
              <w:bottom w:val="dashed" w:sz="4" w:space="0" w:color="000000"/>
              <w:right w:val="dashed" w:sz="4" w:space="0" w:color="000000"/>
            </w:tcBorders>
          </w:tcPr>
          <w:p w:rsidR="00E8309B" w:rsidRDefault="009D0949">
            <w:pPr>
              <w:spacing w:after="0" w:line="259" w:lineRule="auto"/>
              <w:ind w:left="0" w:right="44" w:firstLine="0"/>
              <w:jc w:val="center"/>
            </w:pPr>
            <w:r>
              <w:rPr>
                <w:sz w:val="20"/>
              </w:rPr>
              <w:t xml:space="preserve">2,01 </w:t>
            </w:r>
          </w:p>
        </w:tc>
        <w:tc>
          <w:tcPr>
            <w:tcW w:w="1409"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47" w:firstLine="0"/>
              <w:jc w:val="center"/>
            </w:pPr>
            <w:r>
              <w:rPr>
                <w:sz w:val="20"/>
              </w:rPr>
              <w:t xml:space="preserve">2,0 </w:t>
            </w:r>
          </w:p>
        </w:tc>
        <w:tc>
          <w:tcPr>
            <w:tcW w:w="1412"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39" w:firstLine="0"/>
              <w:jc w:val="center"/>
            </w:pPr>
            <w:r>
              <w:rPr>
                <w:sz w:val="20"/>
              </w:rPr>
              <w:t xml:space="preserve">1,9 </w:t>
            </w:r>
          </w:p>
        </w:tc>
        <w:tc>
          <w:tcPr>
            <w:tcW w:w="1412"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45" w:firstLine="0"/>
              <w:jc w:val="center"/>
            </w:pPr>
            <w:r>
              <w:rPr>
                <w:sz w:val="20"/>
              </w:rPr>
              <w:t xml:space="preserve">1,7 </w:t>
            </w:r>
          </w:p>
        </w:tc>
        <w:tc>
          <w:tcPr>
            <w:tcW w:w="1413" w:type="dxa"/>
            <w:tcBorders>
              <w:top w:val="dashed" w:sz="4" w:space="0" w:color="000000"/>
              <w:left w:val="dashed" w:sz="4" w:space="0" w:color="000000"/>
              <w:bottom w:val="dashed" w:sz="4" w:space="0" w:color="000000"/>
              <w:right w:val="double" w:sz="6" w:space="0" w:color="000000"/>
            </w:tcBorders>
          </w:tcPr>
          <w:p w:rsidR="00E8309B" w:rsidRDefault="009D0949">
            <w:pPr>
              <w:spacing w:after="0" w:line="259" w:lineRule="auto"/>
              <w:ind w:left="0" w:right="43" w:firstLine="0"/>
              <w:jc w:val="center"/>
            </w:pPr>
            <w:r>
              <w:rPr>
                <w:sz w:val="20"/>
              </w:rPr>
              <w:t xml:space="preserve">1,6 </w:t>
            </w:r>
          </w:p>
        </w:tc>
      </w:tr>
      <w:tr w:rsidR="00E8309B">
        <w:trPr>
          <w:trHeight w:val="293"/>
        </w:trPr>
        <w:tc>
          <w:tcPr>
            <w:tcW w:w="6075" w:type="dxa"/>
            <w:tcBorders>
              <w:top w:val="dashed" w:sz="4" w:space="0" w:color="000000"/>
              <w:left w:val="double" w:sz="6" w:space="0" w:color="000000"/>
              <w:bottom w:val="dashed" w:sz="4" w:space="0" w:color="000000"/>
              <w:right w:val="dashed" w:sz="4" w:space="0" w:color="000000"/>
            </w:tcBorders>
          </w:tcPr>
          <w:p w:rsidR="00E8309B" w:rsidRDefault="009D0949">
            <w:pPr>
              <w:spacing w:after="0" w:line="259" w:lineRule="auto"/>
              <w:ind w:left="0" w:right="0" w:firstLine="0"/>
              <w:jc w:val="left"/>
            </w:pPr>
            <w:r>
              <w:rPr>
                <w:b/>
                <w:sz w:val="20"/>
              </w:rPr>
              <w:t xml:space="preserve">  </w:t>
            </w:r>
            <w:r>
              <w:rPr>
                <w:b/>
                <w:sz w:val="20"/>
              </w:rPr>
              <w:t xml:space="preserve">5. Прилагођавање стања и промена дуга (stock-flow adjustment) </w:t>
            </w:r>
          </w:p>
        </w:tc>
        <w:tc>
          <w:tcPr>
            <w:tcW w:w="1438" w:type="dxa"/>
            <w:tcBorders>
              <w:top w:val="dashed" w:sz="4" w:space="0" w:color="000000"/>
              <w:left w:val="dashed" w:sz="4" w:space="0" w:color="000000"/>
              <w:bottom w:val="dashed" w:sz="4" w:space="0" w:color="000000"/>
              <w:right w:val="single" w:sz="4" w:space="0" w:color="000000"/>
            </w:tcBorders>
          </w:tcPr>
          <w:p w:rsidR="00E8309B" w:rsidRDefault="009D0949">
            <w:pPr>
              <w:spacing w:after="0" w:line="259" w:lineRule="auto"/>
              <w:ind w:left="7" w:right="0" w:firstLine="0"/>
              <w:jc w:val="center"/>
            </w:pPr>
            <w:r>
              <w:rPr>
                <w:sz w:val="20"/>
              </w:rPr>
              <w:t xml:space="preserve"> </w:t>
            </w:r>
          </w:p>
        </w:tc>
        <w:tc>
          <w:tcPr>
            <w:tcW w:w="1411" w:type="dxa"/>
            <w:tcBorders>
              <w:top w:val="dashed" w:sz="4" w:space="0" w:color="000000"/>
              <w:left w:val="single" w:sz="4" w:space="0" w:color="000000"/>
              <w:bottom w:val="dashed" w:sz="4" w:space="0" w:color="000000"/>
              <w:right w:val="dashed" w:sz="4" w:space="0" w:color="000000"/>
            </w:tcBorders>
          </w:tcPr>
          <w:p w:rsidR="00E8309B" w:rsidRDefault="009D0949">
            <w:pPr>
              <w:spacing w:after="0" w:line="259" w:lineRule="auto"/>
              <w:ind w:left="0" w:right="47" w:firstLine="0"/>
              <w:jc w:val="center"/>
            </w:pPr>
            <w:r>
              <w:rPr>
                <w:sz w:val="20"/>
              </w:rPr>
              <w:t xml:space="preserve">-0,2 </w:t>
            </w:r>
          </w:p>
        </w:tc>
        <w:tc>
          <w:tcPr>
            <w:tcW w:w="1409"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49" w:firstLine="0"/>
              <w:jc w:val="center"/>
            </w:pPr>
            <w:r>
              <w:rPr>
                <w:sz w:val="20"/>
              </w:rPr>
              <w:t xml:space="preserve">-2,8 </w:t>
            </w:r>
          </w:p>
        </w:tc>
        <w:tc>
          <w:tcPr>
            <w:tcW w:w="1412"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41" w:firstLine="0"/>
              <w:jc w:val="center"/>
            </w:pPr>
            <w:r>
              <w:rPr>
                <w:sz w:val="20"/>
              </w:rPr>
              <w:t xml:space="preserve">-3,3 </w:t>
            </w:r>
          </w:p>
        </w:tc>
        <w:tc>
          <w:tcPr>
            <w:tcW w:w="1412"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48" w:firstLine="0"/>
              <w:jc w:val="center"/>
            </w:pPr>
            <w:r>
              <w:rPr>
                <w:sz w:val="20"/>
              </w:rPr>
              <w:t xml:space="preserve">-2,4 </w:t>
            </w:r>
          </w:p>
        </w:tc>
        <w:tc>
          <w:tcPr>
            <w:tcW w:w="1413" w:type="dxa"/>
            <w:tcBorders>
              <w:top w:val="dashed" w:sz="4" w:space="0" w:color="000000"/>
              <w:left w:val="dashed" w:sz="4" w:space="0" w:color="000000"/>
              <w:bottom w:val="dashed" w:sz="4" w:space="0" w:color="000000"/>
              <w:right w:val="double" w:sz="6" w:space="0" w:color="000000"/>
            </w:tcBorders>
          </w:tcPr>
          <w:p w:rsidR="00E8309B" w:rsidRDefault="009D0949">
            <w:pPr>
              <w:spacing w:after="0" w:line="259" w:lineRule="auto"/>
              <w:ind w:left="0" w:right="46" w:firstLine="0"/>
              <w:jc w:val="center"/>
            </w:pPr>
            <w:r>
              <w:rPr>
                <w:sz w:val="20"/>
              </w:rPr>
              <w:t xml:space="preserve">-2,9 </w:t>
            </w:r>
          </w:p>
        </w:tc>
      </w:tr>
      <w:tr w:rsidR="00E8309B">
        <w:trPr>
          <w:trHeight w:val="288"/>
        </w:trPr>
        <w:tc>
          <w:tcPr>
            <w:tcW w:w="6075" w:type="dxa"/>
            <w:vMerge w:val="restart"/>
            <w:tcBorders>
              <w:top w:val="dashed" w:sz="4" w:space="0" w:color="000000"/>
              <w:left w:val="double" w:sz="6" w:space="0" w:color="000000"/>
              <w:bottom w:val="nil"/>
              <w:right w:val="dashed" w:sz="4" w:space="0" w:color="000000"/>
            </w:tcBorders>
          </w:tcPr>
          <w:p w:rsidR="00E8309B" w:rsidRDefault="009D0949">
            <w:pPr>
              <w:spacing w:after="71" w:line="259" w:lineRule="auto"/>
              <w:ind w:left="0" w:right="0" w:firstLine="0"/>
              <w:jc w:val="left"/>
            </w:pPr>
            <w:r>
              <w:rPr>
                <w:i/>
                <w:sz w:val="20"/>
              </w:rPr>
              <w:t xml:space="preserve">од чега: </w:t>
            </w:r>
          </w:p>
          <w:p w:rsidR="00E8309B" w:rsidRDefault="009D0949">
            <w:pPr>
              <w:spacing w:after="0" w:line="259" w:lineRule="auto"/>
              <w:ind w:left="0" w:right="0" w:firstLine="0"/>
              <w:jc w:val="left"/>
            </w:pPr>
            <w:r>
              <w:rPr>
                <w:sz w:val="20"/>
              </w:rPr>
              <w:t xml:space="preserve">   - Разлике између готовинске и обрачунске основе[4] </w:t>
            </w:r>
          </w:p>
        </w:tc>
        <w:tc>
          <w:tcPr>
            <w:tcW w:w="1438" w:type="dxa"/>
            <w:tcBorders>
              <w:top w:val="dashed" w:sz="4" w:space="0" w:color="000000"/>
              <w:left w:val="dashed" w:sz="4" w:space="0" w:color="000000"/>
              <w:bottom w:val="nil"/>
              <w:right w:val="single" w:sz="4" w:space="0" w:color="000000"/>
            </w:tcBorders>
          </w:tcPr>
          <w:p w:rsidR="00E8309B" w:rsidRDefault="009D0949">
            <w:pPr>
              <w:spacing w:after="0" w:line="259" w:lineRule="auto"/>
              <w:ind w:left="7" w:right="0" w:firstLine="0"/>
              <w:jc w:val="center"/>
            </w:pPr>
            <w:r>
              <w:rPr>
                <w:sz w:val="20"/>
              </w:rPr>
              <w:t xml:space="preserve"> </w:t>
            </w:r>
          </w:p>
        </w:tc>
        <w:tc>
          <w:tcPr>
            <w:tcW w:w="1411" w:type="dxa"/>
            <w:vMerge w:val="restart"/>
            <w:tcBorders>
              <w:top w:val="dashed" w:sz="4" w:space="0" w:color="000000"/>
              <w:left w:val="single" w:sz="4" w:space="0" w:color="000000"/>
              <w:bottom w:val="nil"/>
              <w:right w:val="dashed" w:sz="4" w:space="0" w:color="000000"/>
            </w:tcBorders>
          </w:tcPr>
          <w:p w:rsidR="00E8309B" w:rsidRDefault="009D0949">
            <w:pPr>
              <w:spacing w:after="34" w:line="259" w:lineRule="auto"/>
              <w:ind w:left="5" w:right="0" w:firstLine="0"/>
              <w:jc w:val="center"/>
            </w:pPr>
            <w:r>
              <w:rPr>
                <w:sz w:val="20"/>
              </w:rPr>
              <w:t xml:space="preserve"> </w:t>
            </w:r>
          </w:p>
          <w:p w:rsidR="00E8309B" w:rsidRDefault="009D0949">
            <w:pPr>
              <w:spacing w:after="0" w:line="259" w:lineRule="auto"/>
              <w:ind w:left="0" w:right="42" w:firstLine="0"/>
              <w:jc w:val="center"/>
            </w:pPr>
            <w:r>
              <w:rPr>
                <w:sz w:val="20"/>
              </w:rPr>
              <w:t xml:space="preserve">: </w:t>
            </w:r>
          </w:p>
        </w:tc>
        <w:tc>
          <w:tcPr>
            <w:tcW w:w="1409" w:type="dxa"/>
            <w:vMerge w:val="restart"/>
            <w:tcBorders>
              <w:top w:val="dashed" w:sz="4" w:space="0" w:color="000000"/>
              <w:left w:val="dashed" w:sz="4" w:space="0" w:color="000000"/>
              <w:bottom w:val="nil"/>
              <w:right w:val="dashed" w:sz="4" w:space="0" w:color="000000"/>
            </w:tcBorders>
          </w:tcPr>
          <w:p w:rsidR="00E8309B" w:rsidRDefault="009D0949">
            <w:pPr>
              <w:spacing w:after="34" w:line="259" w:lineRule="auto"/>
              <w:ind w:left="2" w:right="0" w:firstLine="0"/>
              <w:jc w:val="center"/>
            </w:pPr>
            <w:r>
              <w:rPr>
                <w:sz w:val="20"/>
              </w:rPr>
              <w:t xml:space="preserve"> </w:t>
            </w:r>
          </w:p>
          <w:p w:rsidR="00E8309B" w:rsidRDefault="009D0949">
            <w:pPr>
              <w:spacing w:after="0" w:line="259" w:lineRule="auto"/>
              <w:ind w:left="0" w:right="45" w:firstLine="0"/>
              <w:jc w:val="center"/>
            </w:pPr>
            <w:r>
              <w:rPr>
                <w:sz w:val="20"/>
              </w:rPr>
              <w:t xml:space="preserve">: </w:t>
            </w:r>
          </w:p>
        </w:tc>
        <w:tc>
          <w:tcPr>
            <w:tcW w:w="1412" w:type="dxa"/>
            <w:vMerge w:val="restart"/>
            <w:tcBorders>
              <w:top w:val="dashed" w:sz="4" w:space="0" w:color="000000"/>
              <w:left w:val="dashed" w:sz="4" w:space="0" w:color="000000"/>
              <w:bottom w:val="nil"/>
              <w:right w:val="dashed" w:sz="4" w:space="0" w:color="000000"/>
            </w:tcBorders>
          </w:tcPr>
          <w:p w:rsidR="00E8309B" w:rsidRDefault="009D0949">
            <w:pPr>
              <w:spacing w:after="34" w:line="259" w:lineRule="auto"/>
              <w:ind w:right="0" w:firstLine="0"/>
              <w:jc w:val="center"/>
            </w:pPr>
            <w:r>
              <w:rPr>
                <w:sz w:val="20"/>
              </w:rPr>
              <w:t xml:space="preserve"> </w:t>
            </w:r>
          </w:p>
          <w:p w:rsidR="00E8309B" w:rsidRDefault="009D0949">
            <w:pPr>
              <w:spacing w:after="0" w:line="259" w:lineRule="auto"/>
              <w:ind w:left="0" w:right="42" w:firstLine="0"/>
              <w:jc w:val="center"/>
            </w:pPr>
            <w:r>
              <w:rPr>
                <w:sz w:val="20"/>
              </w:rPr>
              <w:t xml:space="preserve">: </w:t>
            </w:r>
          </w:p>
        </w:tc>
        <w:tc>
          <w:tcPr>
            <w:tcW w:w="1412" w:type="dxa"/>
            <w:vMerge w:val="restart"/>
            <w:tcBorders>
              <w:top w:val="dashed" w:sz="4" w:space="0" w:color="000000"/>
              <w:left w:val="dashed" w:sz="4" w:space="0" w:color="000000"/>
              <w:bottom w:val="nil"/>
              <w:right w:val="dashed" w:sz="4" w:space="0" w:color="000000"/>
            </w:tcBorders>
          </w:tcPr>
          <w:p w:rsidR="00E8309B" w:rsidRDefault="009D0949">
            <w:pPr>
              <w:spacing w:after="34" w:line="259" w:lineRule="auto"/>
              <w:ind w:left="4" w:right="0" w:firstLine="0"/>
              <w:jc w:val="center"/>
            </w:pPr>
            <w:r>
              <w:rPr>
                <w:sz w:val="20"/>
              </w:rPr>
              <w:t xml:space="preserve"> </w:t>
            </w:r>
          </w:p>
          <w:p w:rsidR="00E8309B" w:rsidRDefault="009D0949">
            <w:pPr>
              <w:spacing w:after="0" w:line="259" w:lineRule="auto"/>
              <w:ind w:left="0" w:right="44" w:firstLine="0"/>
              <w:jc w:val="center"/>
            </w:pPr>
            <w:r>
              <w:rPr>
                <w:sz w:val="20"/>
              </w:rPr>
              <w:t xml:space="preserve">: </w:t>
            </w:r>
          </w:p>
        </w:tc>
        <w:tc>
          <w:tcPr>
            <w:tcW w:w="1413" w:type="dxa"/>
            <w:tcBorders>
              <w:top w:val="dashed" w:sz="4" w:space="0" w:color="000000"/>
              <w:left w:val="dashed" w:sz="4" w:space="0" w:color="000000"/>
              <w:bottom w:val="nil"/>
              <w:right w:val="double" w:sz="6" w:space="0" w:color="000000"/>
            </w:tcBorders>
          </w:tcPr>
          <w:p w:rsidR="00E8309B" w:rsidRDefault="009D0949">
            <w:pPr>
              <w:spacing w:after="0" w:line="259" w:lineRule="auto"/>
              <w:ind w:left="6" w:right="0" w:firstLine="0"/>
              <w:jc w:val="center"/>
            </w:pPr>
            <w:r>
              <w:rPr>
                <w:sz w:val="20"/>
              </w:rPr>
              <w:t xml:space="preserve"> </w:t>
            </w:r>
          </w:p>
        </w:tc>
      </w:tr>
      <w:tr w:rsidR="00E8309B">
        <w:trPr>
          <w:trHeight w:val="257"/>
        </w:trPr>
        <w:tc>
          <w:tcPr>
            <w:tcW w:w="0" w:type="auto"/>
            <w:vMerge/>
            <w:tcBorders>
              <w:top w:val="nil"/>
              <w:left w:val="double" w:sz="6" w:space="0" w:color="000000"/>
              <w:bottom w:val="nil"/>
              <w:right w:val="dashed" w:sz="4" w:space="0" w:color="000000"/>
            </w:tcBorders>
          </w:tcPr>
          <w:p w:rsidR="00E8309B" w:rsidRDefault="00E8309B">
            <w:pPr>
              <w:spacing w:after="160" w:line="259" w:lineRule="auto"/>
              <w:ind w:left="0" w:right="0" w:firstLine="0"/>
              <w:jc w:val="left"/>
            </w:pPr>
          </w:p>
        </w:tc>
        <w:tc>
          <w:tcPr>
            <w:tcW w:w="1438" w:type="dxa"/>
            <w:tcBorders>
              <w:top w:val="nil"/>
              <w:left w:val="dashed" w:sz="4" w:space="0" w:color="000000"/>
              <w:bottom w:val="nil"/>
              <w:right w:val="single" w:sz="4" w:space="0" w:color="000000"/>
            </w:tcBorders>
            <w:shd w:val="clear" w:color="auto" w:fill="FFFFFF"/>
          </w:tcPr>
          <w:p w:rsidR="00E8309B" w:rsidRDefault="009D0949">
            <w:pPr>
              <w:spacing w:after="0" w:line="259" w:lineRule="auto"/>
              <w:ind w:left="7" w:right="0" w:firstLine="0"/>
              <w:jc w:val="center"/>
            </w:pPr>
            <w:r>
              <w:rPr>
                <w:sz w:val="20"/>
              </w:rPr>
              <w:t xml:space="preserve"> </w:t>
            </w:r>
          </w:p>
        </w:tc>
        <w:tc>
          <w:tcPr>
            <w:tcW w:w="0" w:type="auto"/>
            <w:vMerge/>
            <w:tcBorders>
              <w:top w:val="nil"/>
              <w:left w:val="single" w:sz="4" w:space="0" w:color="000000"/>
              <w:bottom w:val="nil"/>
              <w:right w:val="dashed" w:sz="4" w:space="0" w:color="000000"/>
            </w:tcBorders>
          </w:tcPr>
          <w:p w:rsidR="00E8309B" w:rsidRDefault="00E8309B">
            <w:pPr>
              <w:spacing w:after="160" w:line="259" w:lineRule="auto"/>
              <w:ind w:left="0" w:right="0" w:firstLine="0"/>
              <w:jc w:val="left"/>
            </w:pPr>
          </w:p>
        </w:tc>
        <w:tc>
          <w:tcPr>
            <w:tcW w:w="0" w:type="auto"/>
            <w:vMerge/>
            <w:tcBorders>
              <w:top w:val="nil"/>
              <w:left w:val="dashed" w:sz="4" w:space="0" w:color="000000"/>
              <w:bottom w:val="nil"/>
              <w:right w:val="dashed" w:sz="4" w:space="0" w:color="000000"/>
            </w:tcBorders>
          </w:tcPr>
          <w:p w:rsidR="00E8309B" w:rsidRDefault="00E8309B">
            <w:pPr>
              <w:spacing w:after="160" w:line="259" w:lineRule="auto"/>
              <w:ind w:left="0" w:right="0" w:firstLine="0"/>
              <w:jc w:val="left"/>
            </w:pPr>
          </w:p>
        </w:tc>
        <w:tc>
          <w:tcPr>
            <w:tcW w:w="0" w:type="auto"/>
            <w:vMerge/>
            <w:tcBorders>
              <w:top w:val="nil"/>
              <w:left w:val="dashed" w:sz="4" w:space="0" w:color="000000"/>
              <w:bottom w:val="nil"/>
              <w:right w:val="dashed" w:sz="4" w:space="0" w:color="000000"/>
            </w:tcBorders>
          </w:tcPr>
          <w:p w:rsidR="00E8309B" w:rsidRDefault="00E8309B">
            <w:pPr>
              <w:spacing w:after="160" w:line="259" w:lineRule="auto"/>
              <w:ind w:left="0" w:right="0" w:firstLine="0"/>
              <w:jc w:val="left"/>
            </w:pPr>
          </w:p>
        </w:tc>
        <w:tc>
          <w:tcPr>
            <w:tcW w:w="0" w:type="auto"/>
            <w:vMerge/>
            <w:tcBorders>
              <w:top w:val="nil"/>
              <w:left w:val="dashed" w:sz="4" w:space="0" w:color="000000"/>
              <w:bottom w:val="nil"/>
              <w:right w:val="dashed" w:sz="4" w:space="0" w:color="000000"/>
            </w:tcBorders>
          </w:tcPr>
          <w:p w:rsidR="00E8309B" w:rsidRDefault="00E8309B">
            <w:pPr>
              <w:spacing w:after="160" w:line="259" w:lineRule="auto"/>
              <w:ind w:left="0" w:right="0" w:firstLine="0"/>
              <w:jc w:val="left"/>
            </w:pPr>
          </w:p>
        </w:tc>
        <w:tc>
          <w:tcPr>
            <w:tcW w:w="1413" w:type="dxa"/>
            <w:tcBorders>
              <w:top w:val="nil"/>
              <w:left w:val="dashed" w:sz="4" w:space="0" w:color="000000"/>
              <w:bottom w:val="nil"/>
              <w:right w:val="double" w:sz="6" w:space="0" w:color="000000"/>
            </w:tcBorders>
            <w:shd w:val="clear" w:color="auto" w:fill="FFFFFF"/>
          </w:tcPr>
          <w:p w:rsidR="00E8309B" w:rsidRDefault="009D0949">
            <w:pPr>
              <w:spacing w:after="0" w:line="259" w:lineRule="auto"/>
              <w:ind w:left="0" w:right="46" w:firstLine="0"/>
              <w:jc w:val="center"/>
            </w:pPr>
            <w:r>
              <w:rPr>
                <w:sz w:val="20"/>
              </w:rPr>
              <w:t xml:space="preserve">: </w:t>
            </w:r>
          </w:p>
        </w:tc>
      </w:tr>
      <w:tr w:rsidR="00E8309B">
        <w:trPr>
          <w:trHeight w:val="313"/>
        </w:trPr>
        <w:tc>
          <w:tcPr>
            <w:tcW w:w="6075" w:type="dxa"/>
            <w:tcBorders>
              <w:top w:val="nil"/>
              <w:left w:val="double" w:sz="6" w:space="0" w:color="000000"/>
              <w:bottom w:val="dashed" w:sz="4" w:space="0" w:color="000000"/>
              <w:right w:val="dashed" w:sz="4" w:space="0" w:color="000000"/>
            </w:tcBorders>
          </w:tcPr>
          <w:p w:rsidR="00E8309B" w:rsidRDefault="009D0949">
            <w:pPr>
              <w:spacing w:after="0" w:line="259" w:lineRule="auto"/>
              <w:ind w:left="0" w:right="0" w:firstLine="0"/>
              <w:jc w:val="left"/>
            </w:pPr>
            <w:r>
              <w:rPr>
                <w:sz w:val="20"/>
              </w:rPr>
              <w:t xml:space="preserve">  - Нето акумулација финансијских средстава [5] </w:t>
            </w:r>
          </w:p>
        </w:tc>
        <w:tc>
          <w:tcPr>
            <w:tcW w:w="1438" w:type="dxa"/>
            <w:tcBorders>
              <w:top w:val="nil"/>
              <w:left w:val="dashed" w:sz="4" w:space="0" w:color="000000"/>
              <w:bottom w:val="dashed" w:sz="4" w:space="0" w:color="000000"/>
              <w:right w:val="single" w:sz="4" w:space="0" w:color="000000"/>
            </w:tcBorders>
            <w:shd w:val="clear" w:color="auto" w:fill="FFFFFF"/>
          </w:tcPr>
          <w:p w:rsidR="00E8309B" w:rsidRDefault="009D0949">
            <w:pPr>
              <w:spacing w:after="0" w:line="259" w:lineRule="auto"/>
              <w:ind w:left="7" w:right="0" w:firstLine="0"/>
              <w:jc w:val="center"/>
            </w:pPr>
            <w:r>
              <w:rPr>
                <w:sz w:val="20"/>
              </w:rPr>
              <w:t xml:space="preserve"> </w:t>
            </w:r>
          </w:p>
        </w:tc>
        <w:tc>
          <w:tcPr>
            <w:tcW w:w="1411" w:type="dxa"/>
            <w:tcBorders>
              <w:top w:val="nil"/>
              <w:left w:val="single" w:sz="4" w:space="0" w:color="000000"/>
              <w:bottom w:val="dashed" w:sz="4" w:space="0" w:color="000000"/>
              <w:right w:val="dashed" w:sz="4" w:space="0" w:color="000000"/>
            </w:tcBorders>
          </w:tcPr>
          <w:p w:rsidR="00E8309B" w:rsidRDefault="009D0949">
            <w:pPr>
              <w:spacing w:after="0" w:line="259" w:lineRule="auto"/>
              <w:ind w:left="0" w:right="42" w:firstLine="0"/>
              <w:jc w:val="center"/>
            </w:pPr>
            <w:r>
              <w:rPr>
                <w:sz w:val="20"/>
              </w:rPr>
              <w:t xml:space="preserve">: </w:t>
            </w:r>
          </w:p>
        </w:tc>
        <w:tc>
          <w:tcPr>
            <w:tcW w:w="1409" w:type="dxa"/>
            <w:tcBorders>
              <w:top w:val="nil"/>
              <w:left w:val="dashed" w:sz="4" w:space="0" w:color="000000"/>
              <w:bottom w:val="dashed" w:sz="4" w:space="0" w:color="000000"/>
              <w:right w:val="dashed" w:sz="4" w:space="0" w:color="000000"/>
            </w:tcBorders>
          </w:tcPr>
          <w:p w:rsidR="00E8309B" w:rsidRDefault="009D0949">
            <w:pPr>
              <w:spacing w:after="0" w:line="259" w:lineRule="auto"/>
              <w:ind w:left="0" w:right="45" w:firstLine="0"/>
              <w:jc w:val="center"/>
            </w:pPr>
            <w:r>
              <w:rPr>
                <w:sz w:val="20"/>
              </w:rPr>
              <w:t xml:space="preserve">: </w:t>
            </w:r>
          </w:p>
        </w:tc>
        <w:tc>
          <w:tcPr>
            <w:tcW w:w="1412" w:type="dxa"/>
            <w:tcBorders>
              <w:top w:val="nil"/>
              <w:left w:val="dashed" w:sz="4" w:space="0" w:color="000000"/>
              <w:bottom w:val="dashed" w:sz="4" w:space="0" w:color="000000"/>
              <w:right w:val="dashed" w:sz="4" w:space="0" w:color="000000"/>
            </w:tcBorders>
          </w:tcPr>
          <w:p w:rsidR="00E8309B" w:rsidRDefault="009D0949">
            <w:pPr>
              <w:spacing w:after="0" w:line="259" w:lineRule="auto"/>
              <w:ind w:left="0" w:right="42" w:firstLine="0"/>
              <w:jc w:val="center"/>
            </w:pPr>
            <w:r>
              <w:rPr>
                <w:sz w:val="20"/>
              </w:rPr>
              <w:t xml:space="preserve">: </w:t>
            </w:r>
          </w:p>
        </w:tc>
        <w:tc>
          <w:tcPr>
            <w:tcW w:w="1412" w:type="dxa"/>
            <w:tcBorders>
              <w:top w:val="nil"/>
              <w:left w:val="dashed" w:sz="4" w:space="0" w:color="000000"/>
              <w:bottom w:val="dashed" w:sz="4" w:space="0" w:color="000000"/>
              <w:right w:val="dashed" w:sz="4" w:space="0" w:color="000000"/>
            </w:tcBorders>
          </w:tcPr>
          <w:p w:rsidR="00E8309B" w:rsidRDefault="009D0949">
            <w:pPr>
              <w:spacing w:after="0" w:line="259" w:lineRule="auto"/>
              <w:ind w:left="0" w:right="44" w:firstLine="0"/>
              <w:jc w:val="center"/>
            </w:pPr>
            <w:r>
              <w:rPr>
                <w:sz w:val="20"/>
              </w:rPr>
              <w:t xml:space="preserve">: </w:t>
            </w:r>
          </w:p>
        </w:tc>
        <w:tc>
          <w:tcPr>
            <w:tcW w:w="1413" w:type="dxa"/>
            <w:tcBorders>
              <w:top w:val="nil"/>
              <w:left w:val="dashed" w:sz="4" w:space="0" w:color="000000"/>
              <w:bottom w:val="dashed" w:sz="4" w:space="0" w:color="000000"/>
              <w:right w:val="double" w:sz="6" w:space="0" w:color="000000"/>
            </w:tcBorders>
            <w:shd w:val="clear" w:color="auto" w:fill="FFFFFF"/>
          </w:tcPr>
          <w:p w:rsidR="00E8309B" w:rsidRDefault="009D0949">
            <w:pPr>
              <w:spacing w:after="0" w:line="259" w:lineRule="auto"/>
              <w:ind w:left="0" w:right="46" w:firstLine="0"/>
              <w:jc w:val="center"/>
            </w:pPr>
            <w:r>
              <w:rPr>
                <w:sz w:val="20"/>
              </w:rPr>
              <w:t xml:space="preserve">: </w:t>
            </w:r>
          </w:p>
        </w:tc>
      </w:tr>
      <w:tr w:rsidR="00E8309B">
        <w:trPr>
          <w:trHeight w:val="289"/>
        </w:trPr>
        <w:tc>
          <w:tcPr>
            <w:tcW w:w="6075" w:type="dxa"/>
            <w:vMerge w:val="restart"/>
            <w:tcBorders>
              <w:top w:val="dashed" w:sz="4" w:space="0" w:color="000000"/>
              <w:left w:val="double" w:sz="6" w:space="0" w:color="000000"/>
              <w:bottom w:val="nil"/>
              <w:right w:val="dashed" w:sz="4" w:space="0" w:color="000000"/>
            </w:tcBorders>
          </w:tcPr>
          <w:p w:rsidR="00E8309B" w:rsidRDefault="009D0949">
            <w:pPr>
              <w:spacing w:after="68" w:line="259" w:lineRule="auto"/>
              <w:ind w:left="0" w:right="0" w:firstLine="0"/>
              <w:jc w:val="left"/>
            </w:pPr>
            <w:r>
              <w:rPr>
                <w:i/>
                <w:sz w:val="20"/>
              </w:rPr>
              <w:t xml:space="preserve">од чега: </w:t>
            </w:r>
          </w:p>
          <w:p w:rsidR="00E8309B" w:rsidRDefault="009D0949">
            <w:pPr>
              <w:spacing w:after="0" w:line="259" w:lineRule="auto"/>
              <w:ind w:left="0" w:right="0" w:firstLine="0"/>
              <w:jc w:val="left"/>
            </w:pPr>
            <w:r>
              <w:rPr>
                <w:sz w:val="20"/>
              </w:rPr>
              <w:t xml:space="preserve">   - приходи од приватизације </w:t>
            </w:r>
          </w:p>
        </w:tc>
        <w:tc>
          <w:tcPr>
            <w:tcW w:w="1438" w:type="dxa"/>
            <w:tcBorders>
              <w:top w:val="dashed" w:sz="4" w:space="0" w:color="000000"/>
              <w:left w:val="dashed" w:sz="4" w:space="0" w:color="000000"/>
              <w:bottom w:val="nil"/>
              <w:right w:val="single" w:sz="4" w:space="0" w:color="000000"/>
            </w:tcBorders>
          </w:tcPr>
          <w:p w:rsidR="00E8309B" w:rsidRDefault="009D0949">
            <w:pPr>
              <w:spacing w:after="0" w:line="259" w:lineRule="auto"/>
              <w:ind w:left="7" w:right="0" w:firstLine="0"/>
              <w:jc w:val="center"/>
            </w:pPr>
            <w:r>
              <w:rPr>
                <w:sz w:val="20"/>
              </w:rPr>
              <w:t xml:space="preserve"> </w:t>
            </w:r>
          </w:p>
        </w:tc>
        <w:tc>
          <w:tcPr>
            <w:tcW w:w="1411" w:type="dxa"/>
            <w:vMerge w:val="restart"/>
            <w:tcBorders>
              <w:top w:val="dashed" w:sz="4" w:space="0" w:color="000000"/>
              <w:left w:val="single" w:sz="4" w:space="0" w:color="000000"/>
              <w:bottom w:val="nil"/>
              <w:right w:val="dashed" w:sz="4" w:space="0" w:color="000000"/>
            </w:tcBorders>
          </w:tcPr>
          <w:p w:rsidR="00E8309B" w:rsidRDefault="009D0949">
            <w:pPr>
              <w:spacing w:after="34" w:line="259" w:lineRule="auto"/>
              <w:ind w:left="5" w:right="0" w:firstLine="0"/>
              <w:jc w:val="center"/>
            </w:pPr>
            <w:r>
              <w:rPr>
                <w:sz w:val="20"/>
              </w:rPr>
              <w:t xml:space="preserve"> </w:t>
            </w:r>
          </w:p>
          <w:p w:rsidR="00E8309B" w:rsidRDefault="009D0949">
            <w:pPr>
              <w:spacing w:after="0" w:line="259" w:lineRule="auto"/>
              <w:ind w:left="0" w:right="42" w:firstLine="0"/>
              <w:jc w:val="center"/>
            </w:pPr>
            <w:r>
              <w:rPr>
                <w:sz w:val="20"/>
              </w:rPr>
              <w:t xml:space="preserve">: </w:t>
            </w:r>
          </w:p>
        </w:tc>
        <w:tc>
          <w:tcPr>
            <w:tcW w:w="1409" w:type="dxa"/>
            <w:tcBorders>
              <w:top w:val="dashed" w:sz="4" w:space="0" w:color="000000"/>
              <w:left w:val="dashed" w:sz="4" w:space="0" w:color="000000"/>
              <w:bottom w:val="nil"/>
              <w:right w:val="dashed" w:sz="4" w:space="0" w:color="000000"/>
            </w:tcBorders>
          </w:tcPr>
          <w:p w:rsidR="00E8309B" w:rsidRDefault="009D0949">
            <w:pPr>
              <w:spacing w:after="0" w:line="259" w:lineRule="auto"/>
              <w:ind w:left="2" w:right="0" w:firstLine="0"/>
              <w:jc w:val="center"/>
            </w:pPr>
            <w:r>
              <w:rPr>
                <w:sz w:val="20"/>
              </w:rPr>
              <w:t xml:space="preserve"> </w:t>
            </w:r>
          </w:p>
        </w:tc>
        <w:tc>
          <w:tcPr>
            <w:tcW w:w="1412" w:type="dxa"/>
            <w:vMerge w:val="restart"/>
            <w:tcBorders>
              <w:top w:val="dashed" w:sz="4" w:space="0" w:color="000000"/>
              <w:left w:val="dashed" w:sz="4" w:space="0" w:color="000000"/>
              <w:bottom w:val="nil"/>
              <w:right w:val="dashed" w:sz="4" w:space="0" w:color="000000"/>
            </w:tcBorders>
          </w:tcPr>
          <w:p w:rsidR="00E8309B" w:rsidRDefault="009D0949">
            <w:pPr>
              <w:spacing w:after="34" w:line="259" w:lineRule="auto"/>
              <w:ind w:right="0" w:firstLine="0"/>
              <w:jc w:val="center"/>
            </w:pPr>
            <w:r>
              <w:rPr>
                <w:sz w:val="20"/>
              </w:rPr>
              <w:t xml:space="preserve"> </w:t>
            </w:r>
          </w:p>
          <w:p w:rsidR="00E8309B" w:rsidRDefault="009D0949">
            <w:pPr>
              <w:spacing w:after="0" w:line="259" w:lineRule="auto"/>
              <w:ind w:left="0" w:right="42" w:firstLine="0"/>
              <w:jc w:val="center"/>
            </w:pPr>
            <w:r>
              <w:rPr>
                <w:sz w:val="20"/>
              </w:rPr>
              <w:t xml:space="preserve">: </w:t>
            </w:r>
          </w:p>
        </w:tc>
        <w:tc>
          <w:tcPr>
            <w:tcW w:w="1412" w:type="dxa"/>
            <w:vMerge w:val="restart"/>
            <w:tcBorders>
              <w:top w:val="dashed" w:sz="4" w:space="0" w:color="000000"/>
              <w:left w:val="dashed" w:sz="4" w:space="0" w:color="000000"/>
              <w:bottom w:val="nil"/>
              <w:right w:val="dashed" w:sz="4" w:space="0" w:color="000000"/>
            </w:tcBorders>
          </w:tcPr>
          <w:p w:rsidR="00E8309B" w:rsidRDefault="009D0949">
            <w:pPr>
              <w:spacing w:after="34" w:line="259" w:lineRule="auto"/>
              <w:ind w:left="4" w:right="0" w:firstLine="0"/>
              <w:jc w:val="center"/>
            </w:pPr>
            <w:r>
              <w:rPr>
                <w:sz w:val="20"/>
              </w:rPr>
              <w:t xml:space="preserve"> </w:t>
            </w:r>
          </w:p>
          <w:p w:rsidR="00E8309B" w:rsidRDefault="009D0949">
            <w:pPr>
              <w:spacing w:after="0" w:line="259" w:lineRule="auto"/>
              <w:ind w:left="0" w:right="44" w:firstLine="0"/>
              <w:jc w:val="center"/>
            </w:pPr>
            <w:r>
              <w:rPr>
                <w:sz w:val="20"/>
              </w:rPr>
              <w:t xml:space="preserve">: </w:t>
            </w:r>
          </w:p>
        </w:tc>
        <w:tc>
          <w:tcPr>
            <w:tcW w:w="1413" w:type="dxa"/>
            <w:tcBorders>
              <w:top w:val="dashed" w:sz="4" w:space="0" w:color="000000"/>
              <w:left w:val="dashed" w:sz="4" w:space="0" w:color="000000"/>
              <w:bottom w:val="nil"/>
              <w:right w:val="double" w:sz="6" w:space="0" w:color="000000"/>
            </w:tcBorders>
          </w:tcPr>
          <w:p w:rsidR="00E8309B" w:rsidRDefault="009D0949">
            <w:pPr>
              <w:spacing w:after="0" w:line="259" w:lineRule="auto"/>
              <w:ind w:left="6" w:right="0" w:firstLine="0"/>
              <w:jc w:val="center"/>
            </w:pPr>
            <w:r>
              <w:rPr>
                <w:sz w:val="20"/>
              </w:rPr>
              <w:t xml:space="preserve"> </w:t>
            </w:r>
          </w:p>
        </w:tc>
      </w:tr>
      <w:tr w:rsidR="00E8309B">
        <w:trPr>
          <w:trHeight w:val="256"/>
        </w:trPr>
        <w:tc>
          <w:tcPr>
            <w:tcW w:w="0" w:type="auto"/>
            <w:vMerge/>
            <w:tcBorders>
              <w:top w:val="nil"/>
              <w:left w:val="double" w:sz="6" w:space="0" w:color="000000"/>
              <w:bottom w:val="nil"/>
              <w:right w:val="dashed" w:sz="4" w:space="0" w:color="000000"/>
            </w:tcBorders>
          </w:tcPr>
          <w:p w:rsidR="00E8309B" w:rsidRDefault="00E8309B">
            <w:pPr>
              <w:spacing w:after="160" w:line="259" w:lineRule="auto"/>
              <w:ind w:left="0" w:right="0" w:firstLine="0"/>
              <w:jc w:val="left"/>
            </w:pPr>
          </w:p>
        </w:tc>
        <w:tc>
          <w:tcPr>
            <w:tcW w:w="1438" w:type="dxa"/>
            <w:tcBorders>
              <w:top w:val="nil"/>
              <w:left w:val="dashed" w:sz="4" w:space="0" w:color="000000"/>
              <w:bottom w:val="nil"/>
              <w:right w:val="single" w:sz="4" w:space="0" w:color="000000"/>
            </w:tcBorders>
            <w:shd w:val="clear" w:color="auto" w:fill="FFFFFF"/>
          </w:tcPr>
          <w:p w:rsidR="00E8309B" w:rsidRDefault="009D0949">
            <w:pPr>
              <w:spacing w:after="0" w:line="259" w:lineRule="auto"/>
              <w:ind w:left="7" w:right="0" w:firstLine="0"/>
              <w:jc w:val="center"/>
            </w:pPr>
            <w:r>
              <w:rPr>
                <w:sz w:val="20"/>
              </w:rPr>
              <w:t xml:space="preserve"> </w:t>
            </w:r>
          </w:p>
        </w:tc>
        <w:tc>
          <w:tcPr>
            <w:tcW w:w="0" w:type="auto"/>
            <w:vMerge/>
            <w:tcBorders>
              <w:top w:val="nil"/>
              <w:left w:val="single" w:sz="4" w:space="0" w:color="000000"/>
              <w:bottom w:val="nil"/>
              <w:right w:val="dashed" w:sz="4" w:space="0" w:color="000000"/>
            </w:tcBorders>
          </w:tcPr>
          <w:p w:rsidR="00E8309B" w:rsidRDefault="00E8309B">
            <w:pPr>
              <w:spacing w:after="160" w:line="259" w:lineRule="auto"/>
              <w:ind w:left="0" w:right="0" w:firstLine="0"/>
              <w:jc w:val="left"/>
            </w:pPr>
          </w:p>
        </w:tc>
        <w:tc>
          <w:tcPr>
            <w:tcW w:w="1409" w:type="dxa"/>
            <w:tcBorders>
              <w:top w:val="nil"/>
              <w:left w:val="dashed" w:sz="4" w:space="0" w:color="000000"/>
              <w:bottom w:val="nil"/>
              <w:right w:val="dashed" w:sz="4" w:space="0" w:color="000000"/>
            </w:tcBorders>
            <w:shd w:val="clear" w:color="auto" w:fill="FFFFFF"/>
          </w:tcPr>
          <w:p w:rsidR="00E8309B" w:rsidRDefault="009D0949">
            <w:pPr>
              <w:spacing w:after="0" w:line="259" w:lineRule="auto"/>
              <w:ind w:left="0" w:right="45" w:firstLine="0"/>
              <w:jc w:val="center"/>
            </w:pPr>
            <w:r>
              <w:rPr>
                <w:sz w:val="20"/>
              </w:rPr>
              <w:t xml:space="preserve">: </w:t>
            </w:r>
          </w:p>
        </w:tc>
        <w:tc>
          <w:tcPr>
            <w:tcW w:w="0" w:type="auto"/>
            <w:vMerge/>
            <w:tcBorders>
              <w:top w:val="nil"/>
              <w:left w:val="dashed" w:sz="4" w:space="0" w:color="000000"/>
              <w:bottom w:val="nil"/>
              <w:right w:val="dashed" w:sz="4" w:space="0" w:color="000000"/>
            </w:tcBorders>
          </w:tcPr>
          <w:p w:rsidR="00E8309B" w:rsidRDefault="00E8309B">
            <w:pPr>
              <w:spacing w:after="160" w:line="259" w:lineRule="auto"/>
              <w:ind w:left="0" w:right="0" w:firstLine="0"/>
              <w:jc w:val="left"/>
            </w:pPr>
          </w:p>
        </w:tc>
        <w:tc>
          <w:tcPr>
            <w:tcW w:w="0" w:type="auto"/>
            <w:vMerge/>
            <w:tcBorders>
              <w:top w:val="nil"/>
              <w:left w:val="dashed" w:sz="4" w:space="0" w:color="000000"/>
              <w:bottom w:val="nil"/>
              <w:right w:val="dashed" w:sz="4" w:space="0" w:color="000000"/>
            </w:tcBorders>
          </w:tcPr>
          <w:p w:rsidR="00E8309B" w:rsidRDefault="00E8309B">
            <w:pPr>
              <w:spacing w:after="160" w:line="259" w:lineRule="auto"/>
              <w:ind w:left="0" w:right="0" w:firstLine="0"/>
              <w:jc w:val="left"/>
            </w:pPr>
          </w:p>
        </w:tc>
        <w:tc>
          <w:tcPr>
            <w:tcW w:w="1413" w:type="dxa"/>
            <w:tcBorders>
              <w:top w:val="nil"/>
              <w:left w:val="dashed" w:sz="4" w:space="0" w:color="000000"/>
              <w:bottom w:val="nil"/>
              <w:right w:val="double" w:sz="6" w:space="0" w:color="000000"/>
            </w:tcBorders>
            <w:shd w:val="clear" w:color="auto" w:fill="FFFFFF"/>
          </w:tcPr>
          <w:p w:rsidR="00E8309B" w:rsidRDefault="009D0949">
            <w:pPr>
              <w:spacing w:after="0" w:line="259" w:lineRule="auto"/>
              <w:ind w:left="0" w:right="46" w:firstLine="0"/>
              <w:jc w:val="center"/>
            </w:pPr>
            <w:r>
              <w:rPr>
                <w:sz w:val="20"/>
              </w:rPr>
              <w:t xml:space="preserve">: </w:t>
            </w:r>
          </w:p>
        </w:tc>
      </w:tr>
      <w:tr w:rsidR="00E8309B">
        <w:trPr>
          <w:trHeight w:val="315"/>
        </w:trPr>
        <w:tc>
          <w:tcPr>
            <w:tcW w:w="6075" w:type="dxa"/>
            <w:tcBorders>
              <w:top w:val="nil"/>
              <w:left w:val="double" w:sz="6" w:space="0" w:color="000000"/>
              <w:bottom w:val="single" w:sz="4" w:space="0" w:color="000000"/>
              <w:right w:val="dashed" w:sz="4" w:space="0" w:color="000000"/>
            </w:tcBorders>
          </w:tcPr>
          <w:p w:rsidR="00E8309B" w:rsidRDefault="009D0949">
            <w:pPr>
              <w:spacing w:after="0" w:line="259" w:lineRule="auto"/>
              <w:ind w:left="0" w:right="0" w:firstLine="0"/>
              <w:jc w:val="left"/>
            </w:pPr>
            <w:r>
              <w:rPr>
                <w:sz w:val="20"/>
              </w:rPr>
              <w:t xml:space="preserve">   - ефекти вредновања и другоr [6] </w:t>
            </w:r>
          </w:p>
        </w:tc>
        <w:tc>
          <w:tcPr>
            <w:tcW w:w="1438" w:type="dxa"/>
            <w:tcBorders>
              <w:top w:val="nil"/>
              <w:left w:val="dashed" w:sz="4" w:space="0" w:color="000000"/>
              <w:bottom w:val="single" w:sz="4" w:space="0" w:color="000000"/>
              <w:right w:val="single" w:sz="4" w:space="0" w:color="000000"/>
            </w:tcBorders>
            <w:shd w:val="clear" w:color="auto" w:fill="FFFFFF"/>
          </w:tcPr>
          <w:p w:rsidR="00E8309B" w:rsidRDefault="009D0949">
            <w:pPr>
              <w:spacing w:after="0" w:line="259" w:lineRule="auto"/>
              <w:ind w:left="7" w:right="0" w:firstLine="0"/>
              <w:jc w:val="center"/>
            </w:pPr>
            <w:r>
              <w:rPr>
                <w:sz w:val="20"/>
              </w:rPr>
              <w:t xml:space="preserve"> </w:t>
            </w:r>
          </w:p>
        </w:tc>
        <w:tc>
          <w:tcPr>
            <w:tcW w:w="1411" w:type="dxa"/>
            <w:tcBorders>
              <w:top w:val="nil"/>
              <w:left w:val="single" w:sz="4" w:space="0" w:color="000000"/>
              <w:bottom w:val="single" w:sz="4" w:space="0" w:color="000000"/>
              <w:right w:val="dashed" w:sz="4" w:space="0" w:color="000000"/>
            </w:tcBorders>
          </w:tcPr>
          <w:p w:rsidR="00E8309B" w:rsidRDefault="009D0949">
            <w:pPr>
              <w:spacing w:after="0" w:line="259" w:lineRule="auto"/>
              <w:ind w:left="0" w:right="42" w:firstLine="0"/>
              <w:jc w:val="center"/>
            </w:pPr>
            <w:r>
              <w:rPr>
                <w:sz w:val="20"/>
              </w:rPr>
              <w:t xml:space="preserve">: </w:t>
            </w:r>
          </w:p>
        </w:tc>
        <w:tc>
          <w:tcPr>
            <w:tcW w:w="1409" w:type="dxa"/>
            <w:tcBorders>
              <w:top w:val="nil"/>
              <w:left w:val="dashed" w:sz="4" w:space="0" w:color="000000"/>
              <w:bottom w:val="single" w:sz="4" w:space="0" w:color="000000"/>
              <w:right w:val="dashed" w:sz="4" w:space="0" w:color="000000"/>
            </w:tcBorders>
            <w:shd w:val="clear" w:color="auto" w:fill="FFFFFF"/>
          </w:tcPr>
          <w:p w:rsidR="00E8309B" w:rsidRDefault="009D0949">
            <w:pPr>
              <w:spacing w:after="0" w:line="259" w:lineRule="auto"/>
              <w:ind w:left="0" w:right="45" w:firstLine="0"/>
              <w:jc w:val="center"/>
            </w:pPr>
            <w:r>
              <w:rPr>
                <w:sz w:val="20"/>
              </w:rPr>
              <w:t xml:space="preserve">: </w:t>
            </w:r>
          </w:p>
        </w:tc>
        <w:tc>
          <w:tcPr>
            <w:tcW w:w="1412" w:type="dxa"/>
            <w:tcBorders>
              <w:top w:val="nil"/>
              <w:left w:val="dashed" w:sz="4" w:space="0" w:color="000000"/>
              <w:bottom w:val="single" w:sz="4" w:space="0" w:color="000000"/>
              <w:right w:val="dashed" w:sz="4" w:space="0" w:color="000000"/>
            </w:tcBorders>
          </w:tcPr>
          <w:p w:rsidR="00E8309B" w:rsidRDefault="009D0949">
            <w:pPr>
              <w:spacing w:after="0" w:line="259" w:lineRule="auto"/>
              <w:ind w:left="0" w:right="42" w:firstLine="0"/>
              <w:jc w:val="center"/>
            </w:pPr>
            <w:r>
              <w:rPr>
                <w:sz w:val="20"/>
              </w:rPr>
              <w:t xml:space="preserve">: </w:t>
            </w:r>
          </w:p>
        </w:tc>
        <w:tc>
          <w:tcPr>
            <w:tcW w:w="1412" w:type="dxa"/>
            <w:tcBorders>
              <w:top w:val="nil"/>
              <w:left w:val="dashed" w:sz="4" w:space="0" w:color="000000"/>
              <w:bottom w:val="single" w:sz="4" w:space="0" w:color="000000"/>
              <w:right w:val="dashed" w:sz="4" w:space="0" w:color="000000"/>
            </w:tcBorders>
          </w:tcPr>
          <w:p w:rsidR="00E8309B" w:rsidRDefault="009D0949">
            <w:pPr>
              <w:spacing w:after="0" w:line="259" w:lineRule="auto"/>
              <w:ind w:left="0" w:right="44" w:firstLine="0"/>
              <w:jc w:val="center"/>
            </w:pPr>
            <w:r>
              <w:rPr>
                <w:sz w:val="20"/>
              </w:rPr>
              <w:t xml:space="preserve">: </w:t>
            </w:r>
          </w:p>
        </w:tc>
        <w:tc>
          <w:tcPr>
            <w:tcW w:w="1413" w:type="dxa"/>
            <w:tcBorders>
              <w:top w:val="nil"/>
              <w:left w:val="dashed" w:sz="4" w:space="0" w:color="000000"/>
              <w:bottom w:val="single" w:sz="4" w:space="0" w:color="000000"/>
              <w:right w:val="double" w:sz="6" w:space="0" w:color="000000"/>
            </w:tcBorders>
            <w:shd w:val="clear" w:color="auto" w:fill="FFFFFF"/>
          </w:tcPr>
          <w:p w:rsidR="00E8309B" w:rsidRDefault="009D0949">
            <w:pPr>
              <w:spacing w:after="0" w:line="259" w:lineRule="auto"/>
              <w:ind w:left="0" w:right="46" w:firstLine="0"/>
              <w:jc w:val="center"/>
            </w:pPr>
            <w:r>
              <w:rPr>
                <w:sz w:val="20"/>
              </w:rPr>
              <w:t xml:space="preserve">: </w:t>
            </w:r>
          </w:p>
        </w:tc>
      </w:tr>
      <w:tr w:rsidR="00E8309B">
        <w:trPr>
          <w:trHeight w:val="407"/>
        </w:trPr>
        <w:tc>
          <w:tcPr>
            <w:tcW w:w="7513" w:type="dxa"/>
            <w:gridSpan w:val="2"/>
            <w:tcBorders>
              <w:top w:val="single" w:sz="4" w:space="0" w:color="000000"/>
              <w:left w:val="double" w:sz="6" w:space="0" w:color="000000"/>
              <w:bottom w:val="single" w:sz="4" w:space="0" w:color="000000"/>
              <w:right w:val="single" w:sz="4" w:space="0" w:color="000000"/>
            </w:tcBorders>
          </w:tcPr>
          <w:p w:rsidR="00E8309B" w:rsidRDefault="009D0949">
            <w:pPr>
              <w:spacing w:after="0" w:line="259" w:lineRule="auto"/>
              <w:ind w:left="0" w:right="0" w:firstLine="0"/>
              <w:jc w:val="left"/>
            </w:pPr>
            <w:r>
              <w:rPr>
                <w:sz w:val="20"/>
              </w:rPr>
              <w:t xml:space="preserve"> </w:t>
            </w:r>
            <w:r>
              <w:rPr>
                <w:b/>
                <w:sz w:val="20"/>
              </w:rPr>
              <w:t xml:space="preserve">Информативно: имплицитна каматна стопа на дуг [7] </w:t>
            </w:r>
          </w:p>
        </w:tc>
        <w:tc>
          <w:tcPr>
            <w:tcW w:w="1411" w:type="dxa"/>
            <w:tcBorders>
              <w:top w:val="single" w:sz="4" w:space="0" w:color="000000"/>
              <w:left w:val="single" w:sz="4" w:space="0" w:color="000000"/>
              <w:bottom w:val="single" w:sz="4" w:space="0" w:color="000000"/>
              <w:right w:val="dashed" w:sz="4" w:space="0" w:color="000000"/>
            </w:tcBorders>
          </w:tcPr>
          <w:p w:rsidR="00E8309B" w:rsidRDefault="009D0949">
            <w:pPr>
              <w:spacing w:after="0" w:line="259" w:lineRule="auto"/>
              <w:ind w:left="5" w:right="0" w:firstLine="0"/>
              <w:jc w:val="center"/>
            </w:pPr>
            <w:r>
              <w:rPr>
                <w:sz w:val="20"/>
              </w:rPr>
              <w:t xml:space="preserve"> </w:t>
            </w:r>
          </w:p>
        </w:tc>
        <w:tc>
          <w:tcPr>
            <w:tcW w:w="1409" w:type="dxa"/>
            <w:tcBorders>
              <w:top w:val="single" w:sz="4" w:space="0" w:color="000000"/>
              <w:left w:val="dashed" w:sz="4" w:space="0" w:color="000000"/>
              <w:bottom w:val="single" w:sz="4" w:space="0" w:color="000000"/>
              <w:right w:val="dashed" w:sz="4" w:space="0" w:color="000000"/>
            </w:tcBorders>
          </w:tcPr>
          <w:p w:rsidR="00E8309B" w:rsidRDefault="009D0949">
            <w:pPr>
              <w:spacing w:after="0" w:line="259" w:lineRule="auto"/>
              <w:ind w:left="0" w:right="47" w:firstLine="0"/>
              <w:jc w:val="center"/>
            </w:pPr>
            <w:r>
              <w:rPr>
                <w:sz w:val="20"/>
              </w:rPr>
              <w:t xml:space="preserve">4,0 </w:t>
            </w:r>
          </w:p>
        </w:tc>
        <w:tc>
          <w:tcPr>
            <w:tcW w:w="1412" w:type="dxa"/>
            <w:tcBorders>
              <w:top w:val="single" w:sz="4" w:space="0" w:color="000000"/>
              <w:left w:val="dashed" w:sz="4" w:space="0" w:color="000000"/>
              <w:bottom w:val="single" w:sz="4" w:space="0" w:color="000000"/>
              <w:right w:val="dashed" w:sz="4" w:space="0" w:color="000000"/>
            </w:tcBorders>
          </w:tcPr>
          <w:p w:rsidR="00E8309B" w:rsidRDefault="009D0949">
            <w:pPr>
              <w:spacing w:after="0" w:line="259" w:lineRule="auto"/>
              <w:ind w:left="0" w:right="39" w:firstLine="0"/>
              <w:jc w:val="center"/>
            </w:pPr>
            <w:r>
              <w:rPr>
                <w:sz w:val="20"/>
              </w:rPr>
              <w:t xml:space="preserve">3,9 </w:t>
            </w:r>
          </w:p>
        </w:tc>
        <w:tc>
          <w:tcPr>
            <w:tcW w:w="1412" w:type="dxa"/>
            <w:tcBorders>
              <w:top w:val="single" w:sz="4" w:space="0" w:color="000000"/>
              <w:left w:val="dashed" w:sz="4" w:space="0" w:color="000000"/>
              <w:bottom w:val="single" w:sz="4" w:space="0" w:color="000000"/>
              <w:right w:val="dashed" w:sz="4" w:space="0" w:color="000000"/>
            </w:tcBorders>
          </w:tcPr>
          <w:p w:rsidR="00E8309B" w:rsidRDefault="009D0949">
            <w:pPr>
              <w:spacing w:after="0" w:line="259" w:lineRule="auto"/>
              <w:ind w:left="0" w:right="45" w:firstLine="0"/>
              <w:jc w:val="center"/>
            </w:pPr>
            <w:r>
              <w:rPr>
                <w:sz w:val="20"/>
              </w:rPr>
              <w:t xml:space="preserve">3,5 </w:t>
            </w:r>
          </w:p>
        </w:tc>
        <w:tc>
          <w:tcPr>
            <w:tcW w:w="1413" w:type="dxa"/>
            <w:tcBorders>
              <w:top w:val="single" w:sz="4" w:space="0" w:color="000000"/>
              <w:left w:val="dashed" w:sz="4" w:space="0" w:color="000000"/>
              <w:bottom w:val="single" w:sz="4" w:space="0" w:color="000000"/>
              <w:right w:val="double" w:sz="6" w:space="0" w:color="000000"/>
            </w:tcBorders>
          </w:tcPr>
          <w:p w:rsidR="00E8309B" w:rsidRDefault="009D0949">
            <w:pPr>
              <w:spacing w:after="0" w:line="259" w:lineRule="auto"/>
              <w:ind w:left="0" w:right="43" w:firstLine="0"/>
              <w:jc w:val="center"/>
            </w:pPr>
            <w:r>
              <w:rPr>
                <w:sz w:val="20"/>
              </w:rPr>
              <w:t xml:space="preserve">3,2 </w:t>
            </w:r>
          </w:p>
        </w:tc>
      </w:tr>
      <w:tr w:rsidR="00E8309B">
        <w:trPr>
          <w:trHeight w:val="408"/>
        </w:trPr>
        <w:tc>
          <w:tcPr>
            <w:tcW w:w="8925" w:type="dxa"/>
            <w:gridSpan w:val="3"/>
            <w:tcBorders>
              <w:top w:val="single" w:sz="4" w:space="0" w:color="000000"/>
              <w:left w:val="double" w:sz="6" w:space="0" w:color="000000"/>
              <w:bottom w:val="single" w:sz="4" w:space="0" w:color="000000"/>
              <w:right w:val="nil"/>
            </w:tcBorders>
          </w:tcPr>
          <w:p w:rsidR="00E8309B" w:rsidRDefault="009D0949">
            <w:pPr>
              <w:spacing w:after="0" w:line="259" w:lineRule="auto"/>
              <w:ind w:left="0" w:right="122" w:firstLine="0"/>
              <w:jc w:val="right"/>
            </w:pPr>
            <w:r>
              <w:rPr>
                <w:b/>
                <w:sz w:val="20"/>
              </w:rPr>
              <w:t xml:space="preserve">Остале релевантне променљиве </w:t>
            </w:r>
          </w:p>
        </w:tc>
        <w:tc>
          <w:tcPr>
            <w:tcW w:w="1409" w:type="dxa"/>
            <w:tcBorders>
              <w:top w:val="single" w:sz="4" w:space="0" w:color="000000"/>
              <w:left w:val="nil"/>
              <w:bottom w:val="single" w:sz="4" w:space="0" w:color="000000"/>
              <w:right w:val="nil"/>
            </w:tcBorders>
          </w:tcPr>
          <w:p w:rsidR="00E8309B" w:rsidRDefault="00E8309B">
            <w:pPr>
              <w:spacing w:after="160" w:line="259" w:lineRule="auto"/>
              <w:ind w:left="0" w:right="0" w:firstLine="0"/>
              <w:jc w:val="left"/>
            </w:pPr>
          </w:p>
        </w:tc>
        <w:tc>
          <w:tcPr>
            <w:tcW w:w="1412" w:type="dxa"/>
            <w:tcBorders>
              <w:top w:val="single" w:sz="4" w:space="0" w:color="000000"/>
              <w:left w:val="nil"/>
              <w:bottom w:val="single" w:sz="4" w:space="0" w:color="000000"/>
              <w:right w:val="nil"/>
            </w:tcBorders>
          </w:tcPr>
          <w:p w:rsidR="00E8309B" w:rsidRDefault="00E8309B">
            <w:pPr>
              <w:spacing w:after="160" w:line="259" w:lineRule="auto"/>
              <w:ind w:left="0" w:right="0" w:firstLine="0"/>
              <w:jc w:val="left"/>
            </w:pPr>
          </w:p>
        </w:tc>
        <w:tc>
          <w:tcPr>
            <w:tcW w:w="1412" w:type="dxa"/>
            <w:tcBorders>
              <w:top w:val="single" w:sz="4" w:space="0" w:color="000000"/>
              <w:left w:val="nil"/>
              <w:bottom w:val="single" w:sz="4" w:space="0" w:color="000000"/>
              <w:right w:val="nil"/>
            </w:tcBorders>
          </w:tcPr>
          <w:p w:rsidR="00E8309B" w:rsidRDefault="00E8309B">
            <w:pPr>
              <w:spacing w:after="160" w:line="259" w:lineRule="auto"/>
              <w:ind w:left="0" w:right="0" w:firstLine="0"/>
              <w:jc w:val="left"/>
            </w:pPr>
          </w:p>
        </w:tc>
        <w:tc>
          <w:tcPr>
            <w:tcW w:w="1413" w:type="dxa"/>
            <w:tcBorders>
              <w:top w:val="single" w:sz="4" w:space="0" w:color="000000"/>
              <w:left w:val="nil"/>
              <w:bottom w:val="single" w:sz="4" w:space="0" w:color="000000"/>
              <w:right w:val="double" w:sz="6" w:space="0" w:color="000000"/>
            </w:tcBorders>
          </w:tcPr>
          <w:p w:rsidR="00E8309B" w:rsidRDefault="00E8309B">
            <w:pPr>
              <w:spacing w:after="160" w:line="259" w:lineRule="auto"/>
              <w:ind w:left="0" w:right="0" w:firstLine="0"/>
              <w:jc w:val="left"/>
            </w:pPr>
          </w:p>
        </w:tc>
      </w:tr>
      <w:tr w:rsidR="00E8309B">
        <w:trPr>
          <w:trHeight w:val="350"/>
        </w:trPr>
        <w:tc>
          <w:tcPr>
            <w:tcW w:w="6075" w:type="dxa"/>
            <w:tcBorders>
              <w:top w:val="single" w:sz="4" w:space="0" w:color="000000"/>
              <w:left w:val="double" w:sz="6" w:space="0" w:color="000000"/>
              <w:bottom w:val="single" w:sz="4" w:space="0" w:color="000000"/>
              <w:right w:val="single" w:sz="4" w:space="0" w:color="000000"/>
            </w:tcBorders>
          </w:tcPr>
          <w:p w:rsidR="00E8309B" w:rsidRDefault="009D0949">
            <w:pPr>
              <w:spacing w:after="0" w:line="259" w:lineRule="auto"/>
              <w:ind w:left="0" w:right="0" w:firstLine="0"/>
              <w:jc w:val="left"/>
            </w:pPr>
            <w:r>
              <w:rPr>
                <w:sz w:val="20"/>
              </w:rPr>
              <w:t xml:space="preserve">  </w:t>
            </w:r>
            <w:r>
              <w:rPr>
                <w:sz w:val="20"/>
              </w:rPr>
              <w:t xml:space="preserve">6. Ликвидна финансијска средства [8] </w:t>
            </w:r>
          </w:p>
        </w:tc>
        <w:tc>
          <w:tcPr>
            <w:tcW w:w="1438"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7" w:right="0" w:firstLine="0"/>
              <w:jc w:val="center"/>
            </w:pPr>
            <w:r>
              <w:rPr>
                <w:sz w:val="20"/>
              </w:rPr>
              <w:t xml:space="preserve"> </w:t>
            </w:r>
          </w:p>
        </w:tc>
        <w:tc>
          <w:tcPr>
            <w:tcW w:w="1411"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42" w:firstLine="0"/>
              <w:jc w:val="center"/>
            </w:pPr>
            <w:r>
              <w:rPr>
                <w:sz w:val="20"/>
              </w:rPr>
              <w:t xml:space="preserve">: </w:t>
            </w:r>
          </w:p>
        </w:tc>
        <w:tc>
          <w:tcPr>
            <w:tcW w:w="1409"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45" w:firstLine="0"/>
              <w:jc w:val="center"/>
            </w:pPr>
            <w:r>
              <w:rPr>
                <w:sz w:val="20"/>
              </w:rPr>
              <w:t xml:space="preserve">: </w:t>
            </w:r>
          </w:p>
        </w:tc>
        <w:tc>
          <w:tcPr>
            <w:tcW w:w="1412"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42" w:firstLine="0"/>
              <w:jc w:val="center"/>
            </w:pPr>
            <w:r>
              <w:rPr>
                <w:sz w:val="20"/>
              </w:rPr>
              <w:t xml:space="preserve">: </w:t>
            </w:r>
          </w:p>
        </w:tc>
        <w:tc>
          <w:tcPr>
            <w:tcW w:w="1412"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44" w:firstLine="0"/>
              <w:jc w:val="center"/>
            </w:pPr>
            <w:r>
              <w:rPr>
                <w:sz w:val="20"/>
              </w:rPr>
              <w:t xml:space="preserve">: </w:t>
            </w:r>
          </w:p>
        </w:tc>
        <w:tc>
          <w:tcPr>
            <w:tcW w:w="1413" w:type="dxa"/>
            <w:tcBorders>
              <w:top w:val="single" w:sz="4" w:space="0" w:color="000000"/>
              <w:left w:val="single" w:sz="4" w:space="0" w:color="000000"/>
              <w:bottom w:val="single" w:sz="4" w:space="0" w:color="000000"/>
              <w:right w:val="double" w:sz="6" w:space="0" w:color="000000"/>
            </w:tcBorders>
          </w:tcPr>
          <w:p w:rsidR="00E8309B" w:rsidRDefault="009D0949">
            <w:pPr>
              <w:spacing w:after="0" w:line="259" w:lineRule="auto"/>
              <w:ind w:left="0" w:right="46" w:firstLine="0"/>
              <w:jc w:val="center"/>
            </w:pPr>
            <w:r>
              <w:rPr>
                <w:sz w:val="20"/>
              </w:rPr>
              <w:t xml:space="preserve">: </w:t>
            </w:r>
          </w:p>
        </w:tc>
      </w:tr>
      <w:tr w:rsidR="00E8309B">
        <w:trPr>
          <w:trHeight w:val="358"/>
        </w:trPr>
        <w:tc>
          <w:tcPr>
            <w:tcW w:w="6075" w:type="dxa"/>
            <w:tcBorders>
              <w:top w:val="single" w:sz="4" w:space="0" w:color="000000"/>
              <w:left w:val="double" w:sz="6" w:space="0" w:color="000000"/>
              <w:bottom w:val="double" w:sz="4" w:space="0" w:color="000000"/>
              <w:right w:val="single" w:sz="4" w:space="0" w:color="000000"/>
            </w:tcBorders>
          </w:tcPr>
          <w:p w:rsidR="00E8309B" w:rsidRDefault="009D0949">
            <w:pPr>
              <w:spacing w:after="0" w:line="259" w:lineRule="auto"/>
              <w:ind w:left="0" w:right="0" w:firstLine="0"/>
              <w:jc w:val="left"/>
            </w:pPr>
            <w:r>
              <w:rPr>
                <w:sz w:val="20"/>
              </w:rPr>
              <w:t xml:space="preserve">  7. Нето финансијски дуг (7 = 1 - 6) </w:t>
            </w:r>
          </w:p>
        </w:tc>
        <w:tc>
          <w:tcPr>
            <w:tcW w:w="1438" w:type="dxa"/>
            <w:tcBorders>
              <w:top w:val="single" w:sz="4" w:space="0" w:color="000000"/>
              <w:left w:val="single" w:sz="4" w:space="0" w:color="000000"/>
              <w:bottom w:val="double" w:sz="4" w:space="0" w:color="000000"/>
              <w:right w:val="single" w:sz="4" w:space="0" w:color="000000"/>
            </w:tcBorders>
          </w:tcPr>
          <w:p w:rsidR="00E8309B" w:rsidRDefault="009D0949">
            <w:pPr>
              <w:spacing w:after="0" w:line="259" w:lineRule="auto"/>
              <w:ind w:left="7" w:right="0" w:firstLine="0"/>
              <w:jc w:val="center"/>
            </w:pPr>
            <w:r>
              <w:rPr>
                <w:sz w:val="20"/>
              </w:rPr>
              <w:t xml:space="preserve"> </w:t>
            </w:r>
          </w:p>
        </w:tc>
        <w:tc>
          <w:tcPr>
            <w:tcW w:w="1411" w:type="dxa"/>
            <w:tcBorders>
              <w:top w:val="single" w:sz="4" w:space="0" w:color="000000"/>
              <w:left w:val="single" w:sz="4" w:space="0" w:color="000000"/>
              <w:bottom w:val="double" w:sz="4" w:space="0" w:color="000000"/>
              <w:right w:val="single" w:sz="4" w:space="0" w:color="000000"/>
            </w:tcBorders>
          </w:tcPr>
          <w:p w:rsidR="00E8309B" w:rsidRDefault="009D0949">
            <w:pPr>
              <w:spacing w:after="0" w:line="259" w:lineRule="auto"/>
              <w:ind w:left="0" w:right="42" w:firstLine="0"/>
              <w:jc w:val="center"/>
            </w:pPr>
            <w:r>
              <w:rPr>
                <w:sz w:val="20"/>
              </w:rPr>
              <w:t xml:space="preserve">: </w:t>
            </w:r>
          </w:p>
        </w:tc>
        <w:tc>
          <w:tcPr>
            <w:tcW w:w="1409" w:type="dxa"/>
            <w:tcBorders>
              <w:top w:val="single" w:sz="4" w:space="0" w:color="000000"/>
              <w:left w:val="single" w:sz="4" w:space="0" w:color="000000"/>
              <w:bottom w:val="double" w:sz="4" w:space="0" w:color="000000"/>
              <w:right w:val="single" w:sz="4" w:space="0" w:color="000000"/>
            </w:tcBorders>
          </w:tcPr>
          <w:p w:rsidR="00E8309B" w:rsidRDefault="009D0949">
            <w:pPr>
              <w:spacing w:after="0" w:line="259" w:lineRule="auto"/>
              <w:ind w:left="0" w:right="45" w:firstLine="0"/>
              <w:jc w:val="center"/>
            </w:pPr>
            <w:r>
              <w:rPr>
                <w:sz w:val="20"/>
              </w:rPr>
              <w:t xml:space="preserve">: </w:t>
            </w:r>
          </w:p>
        </w:tc>
        <w:tc>
          <w:tcPr>
            <w:tcW w:w="1412" w:type="dxa"/>
            <w:tcBorders>
              <w:top w:val="single" w:sz="4" w:space="0" w:color="000000"/>
              <w:left w:val="single" w:sz="4" w:space="0" w:color="000000"/>
              <w:bottom w:val="double" w:sz="4" w:space="0" w:color="000000"/>
              <w:right w:val="single" w:sz="4" w:space="0" w:color="000000"/>
            </w:tcBorders>
          </w:tcPr>
          <w:p w:rsidR="00E8309B" w:rsidRDefault="009D0949">
            <w:pPr>
              <w:spacing w:after="0" w:line="259" w:lineRule="auto"/>
              <w:ind w:left="0" w:right="42" w:firstLine="0"/>
              <w:jc w:val="center"/>
            </w:pPr>
            <w:r>
              <w:rPr>
                <w:sz w:val="20"/>
              </w:rPr>
              <w:t xml:space="preserve">: </w:t>
            </w:r>
          </w:p>
        </w:tc>
        <w:tc>
          <w:tcPr>
            <w:tcW w:w="1412" w:type="dxa"/>
            <w:tcBorders>
              <w:top w:val="single" w:sz="4" w:space="0" w:color="000000"/>
              <w:left w:val="single" w:sz="4" w:space="0" w:color="000000"/>
              <w:bottom w:val="double" w:sz="4" w:space="0" w:color="000000"/>
              <w:right w:val="single" w:sz="4" w:space="0" w:color="000000"/>
            </w:tcBorders>
          </w:tcPr>
          <w:p w:rsidR="00E8309B" w:rsidRDefault="009D0949">
            <w:pPr>
              <w:spacing w:after="0" w:line="259" w:lineRule="auto"/>
              <w:ind w:left="0" w:right="44" w:firstLine="0"/>
              <w:jc w:val="center"/>
            </w:pPr>
            <w:r>
              <w:rPr>
                <w:sz w:val="20"/>
              </w:rPr>
              <w:t xml:space="preserve">: </w:t>
            </w:r>
          </w:p>
        </w:tc>
        <w:tc>
          <w:tcPr>
            <w:tcW w:w="1413" w:type="dxa"/>
            <w:tcBorders>
              <w:top w:val="single" w:sz="4" w:space="0" w:color="000000"/>
              <w:left w:val="single" w:sz="4" w:space="0" w:color="000000"/>
              <w:bottom w:val="double" w:sz="4" w:space="0" w:color="000000"/>
              <w:right w:val="double" w:sz="6" w:space="0" w:color="000000"/>
            </w:tcBorders>
          </w:tcPr>
          <w:p w:rsidR="00E8309B" w:rsidRDefault="009D0949">
            <w:pPr>
              <w:spacing w:after="0" w:line="259" w:lineRule="auto"/>
              <w:ind w:left="0" w:right="46" w:firstLine="0"/>
              <w:jc w:val="center"/>
            </w:pPr>
            <w:r>
              <w:rPr>
                <w:sz w:val="20"/>
              </w:rPr>
              <w:t xml:space="preserve">: </w:t>
            </w:r>
          </w:p>
        </w:tc>
      </w:tr>
    </w:tbl>
    <w:p w:rsidR="00E8309B" w:rsidRDefault="009D0949">
      <w:pPr>
        <w:numPr>
          <w:ilvl w:val="0"/>
          <w:numId w:val="57"/>
        </w:numPr>
        <w:spacing w:after="13" w:line="269" w:lineRule="auto"/>
        <w:ind w:right="0" w:hanging="387"/>
        <w:jc w:val="left"/>
      </w:pPr>
      <w:r>
        <w:rPr>
          <w:sz w:val="20"/>
        </w:rPr>
        <w:t xml:space="preserve">Као што је дефинисано у Уредби 3605/93 (није појам из ESA). </w:t>
      </w:r>
    </w:p>
    <w:p w:rsidR="00E8309B" w:rsidRDefault="009D0949">
      <w:pPr>
        <w:numPr>
          <w:ilvl w:val="0"/>
          <w:numId w:val="57"/>
        </w:numPr>
        <w:spacing w:after="13" w:line="269" w:lineRule="auto"/>
        <w:ind w:right="0" w:hanging="387"/>
        <w:jc w:val="left"/>
      </w:pPr>
      <w:r>
        <w:rPr>
          <w:sz w:val="20"/>
        </w:rPr>
        <w:t xml:space="preserve">Уп. ставку 10 у табели 2. </w:t>
      </w:r>
    </w:p>
    <w:p w:rsidR="00E8309B" w:rsidRDefault="009D0949">
      <w:pPr>
        <w:numPr>
          <w:ilvl w:val="0"/>
          <w:numId w:val="57"/>
        </w:numPr>
        <w:spacing w:after="13" w:line="269" w:lineRule="auto"/>
        <w:ind w:right="0" w:hanging="387"/>
        <w:jc w:val="left"/>
      </w:pPr>
      <w:r>
        <w:rPr>
          <w:sz w:val="20"/>
        </w:rPr>
        <w:t xml:space="preserve">Уп. ставку 9 у табели 2. </w:t>
      </w:r>
    </w:p>
    <w:p w:rsidR="00E8309B" w:rsidRDefault="009D0949">
      <w:pPr>
        <w:numPr>
          <w:ilvl w:val="0"/>
          <w:numId w:val="57"/>
        </w:numPr>
        <w:spacing w:after="13" w:line="269" w:lineRule="auto"/>
        <w:ind w:right="0" w:hanging="387"/>
        <w:jc w:val="left"/>
      </w:pPr>
      <w:r>
        <w:rPr>
          <w:sz w:val="20"/>
        </w:rPr>
        <w:t xml:space="preserve">Где је то релевантно, може се направити разлика између расхода на камату, других расхода и прихода. </w:t>
      </w:r>
    </w:p>
    <w:p w:rsidR="00E8309B" w:rsidRDefault="009D0949">
      <w:pPr>
        <w:numPr>
          <w:ilvl w:val="0"/>
          <w:numId w:val="57"/>
        </w:numPr>
        <w:spacing w:after="13" w:line="269" w:lineRule="auto"/>
        <w:ind w:right="0" w:hanging="387"/>
        <w:jc w:val="left"/>
      </w:pPr>
      <w:r>
        <w:rPr>
          <w:sz w:val="20"/>
        </w:rPr>
        <w:t>Где је то релевантно, може се направити разлика између ликвидних средстава, средстава у трећим државама, предузећа под контролом државе, и котираних и неко</w:t>
      </w:r>
      <w:r>
        <w:rPr>
          <w:sz w:val="20"/>
        </w:rPr>
        <w:t xml:space="preserve">тираних средстава. </w:t>
      </w:r>
    </w:p>
    <w:p w:rsidR="00E8309B" w:rsidRDefault="009D0949">
      <w:pPr>
        <w:numPr>
          <w:ilvl w:val="0"/>
          <w:numId w:val="57"/>
        </w:numPr>
        <w:spacing w:after="13" w:line="269" w:lineRule="auto"/>
        <w:ind w:right="0" w:hanging="387"/>
        <w:jc w:val="left"/>
      </w:pPr>
      <w:r>
        <w:rPr>
          <w:sz w:val="20"/>
        </w:rPr>
        <w:t xml:space="preserve">Где је то релевантно, може се направити разлика између промена услед кретања девизног курса и операција на секундарном тржишту. </w:t>
      </w:r>
    </w:p>
    <w:p w:rsidR="00E8309B" w:rsidRDefault="009D0949">
      <w:pPr>
        <w:numPr>
          <w:ilvl w:val="0"/>
          <w:numId w:val="57"/>
        </w:numPr>
        <w:spacing w:after="13" w:line="269" w:lineRule="auto"/>
        <w:ind w:right="0" w:hanging="387"/>
        <w:jc w:val="left"/>
      </w:pPr>
      <w:r>
        <w:rPr>
          <w:sz w:val="20"/>
        </w:rPr>
        <w:t>Као изведена мера се користе расходи на камате подељени са нивоом дуга из претходне године. [8]   AF1, AF2,</w:t>
      </w:r>
      <w:r>
        <w:rPr>
          <w:sz w:val="20"/>
        </w:rPr>
        <w:t xml:space="preserve"> AF3 (консолидовани по тржишној вредности, AF5 (уколико су котирани на берзи; укључујући акције узајамних фондова). </w:t>
      </w:r>
    </w:p>
    <w:p w:rsidR="00E8309B" w:rsidRDefault="009D0949">
      <w:pPr>
        <w:spacing w:after="84" w:line="259" w:lineRule="auto"/>
        <w:ind w:left="0" w:right="0" w:firstLine="0"/>
        <w:jc w:val="left"/>
      </w:pPr>
      <w:r>
        <w:rPr>
          <w:sz w:val="22"/>
        </w:rPr>
        <w:t xml:space="preserve"> </w:t>
      </w:r>
    </w:p>
    <w:p w:rsidR="00E8309B" w:rsidRDefault="009D0949">
      <w:pPr>
        <w:spacing w:after="0" w:line="259" w:lineRule="auto"/>
        <w:ind w:left="0" w:right="0" w:firstLine="0"/>
        <w:jc w:val="left"/>
      </w:pPr>
      <w:r>
        <w:rPr>
          <w:b/>
          <w:sz w:val="20"/>
        </w:rPr>
        <w:t xml:space="preserve"> </w:t>
      </w:r>
      <w:r>
        <w:rPr>
          <w:b/>
          <w:sz w:val="20"/>
        </w:rPr>
        <w:tab/>
        <w:t xml:space="preserve"> </w:t>
      </w:r>
    </w:p>
    <w:p w:rsidR="00E8309B" w:rsidRDefault="009D0949">
      <w:pPr>
        <w:pStyle w:val="Heading3"/>
      </w:pPr>
      <w:r>
        <w:t xml:space="preserve">Табела 5: Циклична кретања </w:t>
      </w:r>
    </w:p>
    <w:tbl>
      <w:tblPr>
        <w:tblStyle w:val="TableGrid"/>
        <w:tblW w:w="14573" w:type="dxa"/>
        <w:tblInd w:w="0" w:type="dxa"/>
        <w:tblCellMar>
          <w:top w:w="0" w:type="dxa"/>
          <w:left w:w="108" w:type="dxa"/>
          <w:bottom w:w="0" w:type="dxa"/>
          <w:right w:w="75" w:type="dxa"/>
        </w:tblCellMar>
        <w:tblLook w:val="04A0" w:firstRow="1" w:lastRow="0" w:firstColumn="1" w:lastColumn="0" w:noHBand="0" w:noVBand="1"/>
      </w:tblPr>
      <w:tblGrid>
        <w:gridCol w:w="6759"/>
        <w:gridCol w:w="2602"/>
        <w:gridCol w:w="984"/>
        <w:gridCol w:w="985"/>
        <w:gridCol w:w="986"/>
        <w:gridCol w:w="984"/>
        <w:gridCol w:w="989"/>
        <w:gridCol w:w="283"/>
      </w:tblGrid>
      <w:tr w:rsidR="00E8309B">
        <w:trPr>
          <w:trHeight w:val="283"/>
        </w:trPr>
        <w:tc>
          <w:tcPr>
            <w:tcW w:w="6759" w:type="dxa"/>
            <w:tcBorders>
              <w:top w:val="double" w:sz="6" w:space="0" w:color="000000"/>
              <w:left w:val="double" w:sz="6" w:space="0" w:color="000000"/>
              <w:bottom w:val="double" w:sz="6" w:space="0" w:color="000000"/>
              <w:right w:val="single" w:sz="8" w:space="0" w:color="000000"/>
            </w:tcBorders>
          </w:tcPr>
          <w:p w:rsidR="00E8309B" w:rsidRDefault="009D0949">
            <w:pPr>
              <w:spacing w:after="0" w:line="259" w:lineRule="auto"/>
              <w:ind w:left="2" w:right="0" w:firstLine="0"/>
              <w:jc w:val="left"/>
            </w:pPr>
            <w:r>
              <w:rPr>
                <w:b/>
                <w:sz w:val="20"/>
              </w:rPr>
              <w:t xml:space="preserve"> </w:t>
            </w:r>
          </w:p>
        </w:tc>
        <w:tc>
          <w:tcPr>
            <w:tcW w:w="2602" w:type="dxa"/>
            <w:tcBorders>
              <w:top w:val="double" w:sz="6" w:space="0" w:color="000000"/>
              <w:left w:val="single" w:sz="8" w:space="0" w:color="000000"/>
              <w:bottom w:val="double" w:sz="6" w:space="0" w:color="000000"/>
              <w:right w:val="single" w:sz="8" w:space="0" w:color="000000"/>
            </w:tcBorders>
          </w:tcPr>
          <w:p w:rsidR="00E8309B" w:rsidRDefault="009D0949">
            <w:pPr>
              <w:spacing w:after="0" w:line="259" w:lineRule="auto"/>
              <w:ind w:left="2" w:right="0" w:firstLine="0"/>
              <w:jc w:val="left"/>
            </w:pPr>
            <w:r>
              <w:rPr>
                <w:b/>
                <w:sz w:val="20"/>
              </w:rPr>
              <w:t xml:space="preserve">  </w:t>
            </w:r>
            <w:r>
              <w:rPr>
                <w:b/>
                <w:sz w:val="20"/>
              </w:rPr>
              <w:tab/>
              <w:t xml:space="preserve">  </w:t>
            </w:r>
          </w:p>
        </w:tc>
        <w:tc>
          <w:tcPr>
            <w:tcW w:w="984" w:type="dxa"/>
            <w:tcBorders>
              <w:top w:val="double" w:sz="6" w:space="0" w:color="000000"/>
              <w:left w:val="single" w:sz="8" w:space="0" w:color="000000"/>
              <w:bottom w:val="double" w:sz="6" w:space="0" w:color="000000"/>
              <w:right w:val="dashed" w:sz="4" w:space="0" w:color="000000"/>
            </w:tcBorders>
          </w:tcPr>
          <w:p w:rsidR="00E8309B" w:rsidRDefault="009D0949">
            <w:pPr>
              <w:spacing w:after="0" w:line="259" w:lineRule="auto"/>
              <w:ind w:left="0" w:right="34" w:firstLine="0"/>
              <w:jc w:val="center"/>
            </w:pPr>
            <w:r>
              <w:rPr>
                <w:b/>
                <w:sz w:val="20"/>
              </w:rPr>
              <w:t xml:space="preserve">2019 </w:t>
            </w:r>
          </w:p>
        </w:tc>
        <w:tc>
          <w:tcPr>
            <w:tcW w:w="985" w:type="dxa"/>
            <w:tcBorders>
              <w:top w:val="double" w:sz="6" w:space="0" w:color="000000"/>
              <w:left w:val="dashed" w:sz="4" w:space="0" w:color="000000"/>
              <w:bottom w:val="double" w:sz="6" w:space="0" w:color="000000"/>
              <w:right w:val="dashed" w:sz="4" w:space="0" w:color="000000"/>
            </w:tcBorders>
          </w:tcPr>
          <w:p w:rsidR="00E8309B" w:rsidRDefault="009D0949">
            <w:pPr>
              <w:spacing w:after="0" w:line="259" w:lineRule="auto"/>
              <w:ind w:left="0" w:right="34" w:firstLine="0"/>
              <w:jc w:val="center"/>
            </w:pPr>
            <w:r>
              <w:rPr>
                <w:b/>
                <w:sz w:val="20"/>
              </w:rPr>
              <w:t xml:space="preserve">2020 </w:t>
            </w:r>
          </w:p>
        </w:tc>
        <w:tc>
          <w:tcPr>
            <w:tcW w:w="986" w:type="dxa"/>
            <w:tcBorders>
              <w:top w:val="double" w:sz="6" w:space="0" w:color="000000"/>
              <w:left w:val="dashed" w:sz="4" w:space="0" w:color="000000"/>
              <w:bottom w:val="double" w:sz="6" w:space="0" w:color="000000"/>
              <w:right w:val="dashed" w:sz="4" w:space="0" w:color="000000"/>
            </w:tcBorders>
          </w:tcPr>
          <w:p w:rsidR="00E8309B" w:rsidRDefault="009D0949">
            <w:pPr>
              <w:spacing w:after="0" w:line="259" w:lineRule="auto"/>
              <w:ind w:left="0" w:firstLine="0"/>
              <w:jc w:val="center"/>
            </w:pPr>
            <w:r>
              <w:rPr>
                <w:b/>
                <w:sz w:val="20"/>
              </w:rPr>
              <w:t xml:space="preserve">2021 </w:t>
            </w:r>
          </w:p>
        </w:tc>
        <w:tc>
          <w:tcPr>
            <w:tcW w:w="984" w:type="dxa"/>
            <w:tcBorders>
              <w:top w:val="double" w:sz="6" w:space="0" w:color="000000"/>
              <w:left w:val="dashed" w:sz="4" w:space="0" w:color="000000"/>
              <w:bottom w:val="double" w:sz="6" w:space="0" w:color="000000"/>
              <w:right w:val="dashed" w:sz="4" w:space="0" w:color="000000"/>
            </w:tcBorders>
          </w:tcPr>
          <w:p w:rsidR="00E8309B" w:rsidRDefault="009D0949">
            <w:pPr>
              <w:spacing w:after="0" w:line="259" w:lineRule="auto"/>
              <w:ind w:left="0" w:right="34" w:firstLine="0"/>
              <w:jc w:val="center"/>
            </w:pPr>
            <w:r>
              <w:rPr>
                <w:b/>
                <w:sz w:val="20"/>
              </w:rPr>
              <w:t xml:space="preserve">2022 </w:t>
            </w:r>
          </w:p>
        </w:tc>
        <w:tc>
          <w:tcPr>
            <w:tcW w:w="989" w:type="dxa"/>
            <w:tcBorders>
              <w:top w:val="double" w:sz="6" w:space="0" w:color="000000"/>
              <w:left w:val="dashed" w:sz="4" w:space="0" w:color="000000"/>
              <w:bottom w:val="double" w:sz="6" w:space="0" w:color="000000"/>
              <w:right w:val="double" w:sz="6" w:space="0" w:color="000000"/>
            </w:tcBorders>
          </w:tcPr>
          <w:p w:rsidR="00E8309B" w:rsidRDefault="009D0949">
            <w:pPr>
              <w:spacing w:after="0" w:line="259" w:lineRule="auto"/>
              <w:ind w:left="0" w:right="30" w:firstLine="0"/>
              <w:jc w:val="center"/>
            </w:pPr>
            <w:r>
              <w:rPr>
                <w:b/>
                <w:sz w:val="20"/>
              </w:rPr>
              <w:t xml:space="preserve">2023 </w:t>
            </w:r>
          </w:p>
        </w:tc>
        <w:tc>
          <w:tcPr>
            <w:tcW w:w="283" w:type="dxa"/>
            <w:vMerge w:val="restart"/>
            <w:tcBorders>
              <w:top w:val="nil"/>
              <w:left w:val="double" w:sz="6" w:space="0" w:color="000000"/>
              <w:bottom w:val="single" w:sz="18" w:space="0" w:color="FFFFFF"/>
              <w:right w:val="nil"/>
            </w:tcBorders>
          </w:tcPr>
          <w:p w:rsidR="00E8309B" w:rsidRDefault="009D0949">
            <w:pPr>
              <w:spacing w:after="27" w:line="259" w:lineRule="auto"/>
              <w:ind w:left="0" w:right="0" w:firstLine="0"/>
              <w:jc w:val="center"/>
            </w:pPr>
            <w:r>
              <w:rPr>
                <w:b/>
                <w:sz w:val="20"/>
              </w:rPr>
              <w:t xml:space="preserve">  </w:t>
            </w:r>
          </w:p>
          <w:p w:rsidR="00E8309B" w:rsidRDefault="009D0949">
            <w:pPr>
              <w:spacing w:after="29" w:line="259" w:lineRule="auto"/>
              <w:ind w:left="0" w:right="50" w:firstLine="0"/>
              <w:jc w:val="center"/>
            </w:pPr>
            <w:r>
              <w:rPr>
                <w:b/>
                <w:sz w:val="20"/>
              </w:rPr>
              <w:t xml:space="preserve"> </w:t>
            </w:r>
          </w:p>
          <w:p w:rsidR="00E8309B" w:rsidRDefault="009D0949">
            <w:pPr>
              <w:spacing w:after="41" w:line="259" w:lineRule="auto"/>
              <w:ind w:left="0" w:right="50" w:firstLine="0"/>
              <w:jc w:val="center"/>
            </w:pPr>
            <w:r>
              <w:rPr>
                <w:b/>
                <w:sz w:val="20"/>
              </w:rPr>
              <w:t xml:space="preserve"> </w:t>
            </w:r>
          </w:p>
          <w:p w:rsidR="00E8309B" w:rsidRDefault="009D0949">
            <w:pPr>
              <w:spacing w:after="0" w:line="259" w:lineRule="auto"/>
              <w:ind w:left="0" w:right="50" w:firstLine="0"/>
              <w:jc w:val="center"/>
            </w:pPr>
            <w:r>
              <w:rPr>
                <w:b/>
                <w:sz w:val="20"/>
              </w:rPr>
              <w:t xml:space="preserve"> </w:t>
            </w:r>
          </w:p>
          <w:p w:rsidR="00E8309B" w:rsidRDefault="009D0949">
            <w:pPr>
              <w:spacing w:after="17" w:line="259" w:lineRule="auto"/>
              <w:ind w:left="0" w:right="50" w:firstLine="0"/>
              <w:jc w:val="center"/>
            </w:pPr>
            <w:r>
              <w:rPr>
                <w:b/>
                <w:sz w:val="20"/>
              </w:rPr>
              <w:t xml:space="preserve"> </w:t>
            </w:r>
          </w:p>
          <w:p w:rsidR="00E8309B" w:rsidRDefault="009D0949">
            <w:pPr>
              <w:spacing w:after="15" w:line="259" w:lineRule="auto"/>
              <w:ind w:left="0" w:right="50" w:firstLine="0"/>
              <w:jc w:val="center"/>
            </w:pPr>
            <w:r>
              <w:rPr>
                <w:b/>
                <w:sz w:val="20"/>
              </w:rPr>
              <w:t xml:space="preserve"> </w:t>
            </w:r>
          </w:p>
          <w:p w:rsidR="00E8309B" w:rsidRDefault="009D0949">
            <w:pPr>
              <w:spacing w:after="17" w:line="259" w:lineRule="auto"/>
              <w:ind w:left="0" w:right="50" w:firstLine="0"/>
              <w:jc w:val="center"/>
            </w:pPr>
            <w:r>
              <w:rPr>
                <w:b/>
                <w:sz w:val="20"/>
              </w:rPr>
              <w:t xml:space="preserve"> </w:t>
            </w:r>
          </w:p>
          <w:p w:rsidR="00E8309B" w:rsidRDefault="009D0949">
            <w:pPr>
              <w:spacing w:after="15" w:line="259" w:lineRule="auto"/>
              <w:ind w:left="0" w:right="50" w:firstLine="0"/>
              <w:jc w:val="center"/>
            </w:pPr>
            <w:r>
              <w:rPr>
                <w:b/>
                <w:sz w:val="20"/>
              </w:rPr>
              <w:t xml:space="preserve"> </w:t>
            </w:r>
          </w:p>
          <w:p w:rsidR="00E8309B" w:rsidRDefault="009D0949">
            <w:pPr>
              <w:spacing w:after="0" w:line="259" w:lineRule="auto"/>
              <w:ind w:left="0" w:right="50" w:firstLine="0"/>
              <w:jc w:val="center"/>
            </w:pPr>
            <w:r>
              <w:rPr>
                <w:b/>
                <w:sz w:val="20"/>
              </w:rPr>
              <w:t xml:space="preserve"> </w:t>
            </w:r>
          </w:p>
        </w:tc>
      </w:tr>
      <w:tr w:rsidR="00E8309B">
        <w:trPr>
          <w:trHeight w:val="298"/>
        </w:trPr>
        <w:tc>
          <w:tcPr>
            <w:tcW w:w="6759" w:type="dxa"/>
            <w:tcBorders>
              <w:top w:val="double" w:sz="6" w:space="0" w:color="000000"/>
              <w:left w:val="double" w:sz="6" w:space="0" w:color="000000"/>
              <w:bottom w:val="dashed" w:sz="4" w:space="0" w:color="000000"/>
              <w:right w:val="single" w:sz="8" w:space="0" w:color="000000"/>
            </w:tcBorders>
          </w:tcPr>
          <w:p w:rsidR="00E8309B" w:rsidRDefault="009D0949">
            <w:pPr>
              <w:spacing w:after="0" w:line="259" w:lineRule="auto"/>
              <w:ind w:left="2" w:right="0" w:firstLine="0"/>
              <w:jc w:val="left"/>
            </w:pPr>
            <w:r>
              <w:rPr>
                <w:sz w:val="20"/>
              </w:rPr>
              <w:t xml:space="preserve">4. Једнократне и друге привремене мере (1) </w:t>
            </w:r>
          </w:p>
        </w:tc>
        <w:tc>
          <w:tcPr>
            <w:tcW w:w="2602" w:type="dxa"/>
            <w:tcBorders>
              <w:top w:val="double" w:sz="6" w:space="0" w:color="000000"/>
              <w:left w:val="single" w:sz="8" w:space="0" w:color="000000"/>
              <w:bottom w:val="dashed" w:sz="4" w:space="0" w:color="000000"/>
              <w:right w:val="single" w:sz="8" w:space="0" w:color="000000"/>
            </w:tcBorders>
          </w:tcPr>
          <w:p w:rsidR="00E8309B" w:rsidRDefault="009D0949">
            <w:pPr>
              <w:spacing w:after="0" w:line="259" w:lineRule="auto"/>
              <w:ind w:left="0" w:right="31" w:firstLine="0"/>
              <w:jc w:val="center"/>
            </w:pPr>
            <w:r>
              <w:rPr>
                <w:sz w:val="20"/>
              </w:rPr>
              <w:t xml:space="preserve">% БДП </w:t>
            </w:r>
          </w:p>
        </w:tc>
        <w:tc>
          <w:tcPr>
            <w:tcW w:w="984" w:type="dxa"/>
            <w:tcBorders>
              <w:top w:val="double" w:sz="6" w:space="0" w:color="000000"/>
              <w:left w:val="single" w:sz="8" w:space="0" w:color="000000"/>
              <w:bottom w:val="dashed" w:sz="4" w:space="0" w:color="000000"/>
              <w:right w:val="dashed" w:sz="4" w:space="0" w:color="000000"/>
            </w:tcBorders>
          </w:tcPr>
          <w:p w:rsidR="00E8309B" w:rsidRDefault="009D0949">
            <w:pPr>
              <w:spacing w:after="0" w:line="259" w:lineRule="auto"/>
              <w:ind w:left="0" w:firstLine="0"/>
              <w:jc w:val="center"/>
            </w:pPr>
            <w:r>
              <w:rPr>
                <w:sz w:val="20"/>
              </w:rPr>
              <w:t xml:space="preserve">0,0 </w:t>
            </w:r>
          </w:p>
        </w:tc>
        <w:tc>
          <w:tcPr>
            <w:tcW w:w="985" w:type="dxa"/>
            <w:tcBorders>
              <w:top w:val="double" w:sz="6" w:space="0" w:color="000000"/>
              <w:left w:val="dashed" w:sz="4" w:space="0" w:color="000000"/>
              <w:bottom w:val="dashed" w:sz="4" w:space="0" w:color="000000"/>
              <w:right w:val="dashed" w:sz="4" w:space="0" w:color="000000"/>
            </w:tcBorders>
          </w:tcPr>
          <w:p w:rsidR="00E8309B" w:rsidRDefault="009D0949">
            <w:pPr>
              <w:spacing w:after="0" w:line="259" w:lineRule="auto"/>
              <w:ind w:left="0" w:right="34" w:firstLine="0"/>
              <w:jc w:val="center"/>
            </w:pPr>
            <w:r>
              <w:rPr>
                <w:sz w:val="20"/>
              </w:rPr>
              <w:t xml:space="preserve">-7,0 </w:t>
            </w:r>
          </w:p>
        </w:tc>
        <w:tc>
          <w:tcPr>
            <w:tcW w:w="986" w:type="dxa"/>
            <w:tcBorders>
              <w:top w:val="double" w:sz="6" w:space="0" w:color="000000"/>
              <w:left w:val="dashed" w:sz="4" w:space="0" w:color="000000"/>
              <w:bottom w:val="dashed" w:sz="4" w:space="0" w:color="000000"/>
              <w:right w:val="dashed" w:sz="4" w:space="0" w:color="000000"/>
            </w:tcBorders>
          </w:tcPr>
          <w:p w:rsidR="00E8309B" w:rsidRDefault="009D0949">
            <w:pPr>
              <w:spacing w:after="0" w:line="259" w:lineRule="auto"/>
              <w:ind w:left="0" w:right="30" w:firstLine="0"/>
              <w:jc w:val="center"/>
            </w:pPr>
            <w:r>
              <w:rPr>
                <w:sz w:val="20"/>
              </w:rPr>
              <w:t xml:space="preserve">0,6 </w:t>
            </w:r>
          </w:p>
        </w:tc>
        <w:tc>
          <w:tcPr>
            <w:tcW w:w="984" w:type="dxa"/>
            <w:tcBorders>
              <w:top w:val="double" w:sz="6" w:space="0" w:color="000000"/>
              <w:left w:val="dashed" w:sz="4" w:space="0" w:color="000000"/>
              <w:bottom w:val="dashed" w:sz="4" w:space="0" w:color="000000"/>
              <w:right w:val="dashed" w:sz="4" w:space="0" w:color="000000"/>
            </w:tcBorders>
          </w:tcPr>
          <w:p w:rsidR="00E8309B" w:rsidRDefault="009D0949">
            <w:pPr>
              <w:spacing w:after="0" w:line="259" w:lineRule="auto"/>
              <w:ind w:left="0" w:firstLine="0"/>
              <w:jc w:val="center"/>
            </w:pPr>
            <w:r>
              <w:rPr>
                <w:sz w:val="20"/>
              </w:rPr>
              <w:t xml:space="preserve">0,6 </w:t>
            </w:r>
          </w:p>
        </w:tc>
        <w:tc>
          <w:tcPr>
            <w:tcW w:w="989" w:type="dxa"/>
            <w:tcBorders>
              <w:top w:val="double" w:sz="6" w:space="0" w:color="000000"/>
              <w:left w:val="dashed" w:sz="4" w:space="0" w:color="000000"/>
              <w:bottom w:val="dashed" w:sz="4" w:space="0" w:color="000000"/>
              <w:right w:val="double" w:sz="6" w:space="0" w:color="000000"/>
            </w:tcBorders>
          </w:tcPr>
          <w:p w:rsidR="00E8309B" w:rsidRDefault="009D0949">
            <w:pPr>
              <w:spacing w:after="0" w:line="259" w:lineRule="auto"/>
              <w:ind w:left="0" w:right="28" w:firstLine="0"/>
              <w:jc w:val="center"/>
            </w:pPr>
            <w:r>
              <w:rPr>
                <w:sz w:val="20"/>
              </w:rPr>
              <w:t xml:space="preserve">0,0 </w:t>
            </w:r>
          </w:p>
        </w:tc>
        <w:tc>
          <w:tcPr>
            <w:tcW w:w="0" w:type="auto"/>
            <w:vMerge/>
            <w:tcBorders>
              <w:top w:val="nil"/>
              <w:left w:val="double" w:sz="6" w:space="0" w:color="000000"/>
              <w:bottom w:val="nil"/>
              <w:right w:val="nil"/>
            </w:tcBorders>
          </w:tcPr>
          <w:p w:rsidR="00E8309B" w:rsidRDefault="00E8309B">
            <w:pPr>
              <w:spacing w:after="160" w:line="259" w:lineRule="auto"/>
              <w:ind w:left="0" w:right="0" w:firstLine="0"/>
              <w:jc w:val="left"/>
            </w:pPr>
          </w:p>
        </w:tc>
      </w:tr>
      <w:tr w:rsidR="00E8309B">
        <w:trPr>
          <w:trHeight w:val="266"/>
        </w:trPr>
        <w:tc>
          <w:tcPr>
            <w:tcW w:w="6759" w:type="dxa"/>
            <w:tcBorders>
              <w:top w:val="dashed" w:sz="4" w:space="0" w:color="000000"/>
              <w:left w:val="double" w:sz="6" w:space="0" w:color="000000"/>
              <w:bottom w:val="single" w:sz="4" w:space="0" w:color="000000"/>
              <w:right w:val="single" w:sz="8" w:space="0" w:color="000000"/>
            </w:tcBorders>
          </w:tcPr>
          <w:p w:rsidR="00E8309B" w:rsidRDefault="009D0949">
            <w:pPr>
              <w:spacing w:after="0" w:line="259" w:lineRule="auto"/>
              <w:ind w:left="2" w:right="0" w:firstLine="0"/>
              <w:jc w:val="left"/>
            </w:pPr>
            <w:r>
              <w:rPr>
                <w:sz w:val="20"/>
              </w:rPr>
              <w:t xml:space="preserve">5. Потенцијални раст БДП-а (%) </w:t>
            </w:r>
          </w:p>
        </w:tc>
        <w:tc>
          <w:tcPr>
            <w:tcW w:w="2602" w:type="dxa"/>
            <w:tcBorders>
              <w:top w:val="dashed" w:sz="4" w:space="0" w:color="000000"/>
              <w:left w:val="single" w:sz="8" w:space="0" w:color="000000"/>
              <w:bottom w:val="single" w:sz="4" w:space="0" w:color="000000"/>
              <w:right w:val="single" w:sz="8" w:space="0" w:color="000000"/>
            </w:tcBorders>
          </w:tcPr>
          <w:p w:rsidR="00E8309B" w:rsidRDefault="009D0949">
            <w:pPr>
              <w:tabs>
                <w:tab w:val="center" w:pos="696"/>
                <w:tab w:val="center" w:pos="1193"/>
                <w:tab w:val="center" w:pos="1997"/>
              </w:tabs>
              <w:spacing w:after="0" w:line="259" w:lineRule="auto"/>
              <w:ind w:left="0" w:right="0" w:firstLine="0"/>
              <w:jc w:val="left"/>
            </w:pPr>
            <w:r>
              <w:rPr>
                <w:rFonts w:ascii="Calibri" w:eastAsia="Calibri" w:hAnsi="Calibri" w:cs="Calibri"/>
                <w:sz w:val="22"/>
              </w:rPr>
              <w:tab/>
            </w:r>
            <w:r>
              <w:rPr>
                <w:sz w:val="20"/>
              </w:rPr>
              <w:t xml:space="preserve"> </w:t>
            </w:r>
            <w:r>
              <w:rPr>
                <w:sz w:val="20"/>
              </w:rPr>
              <w:tab/>
              <w:t xml:space="preserve">%, мг </w:t>
            </w:r>
            <w:r>
              <w:rPr>
                <w:sz w:val="20"/>
              </w:rPr>
              <w:tab/>
              <w:t xml:space="preserve"> </w:t>
            </w:r>
          </w:p>
        </w:tc>
        <w:tc>
          <w:tcPr>
            <w:tcW w:w="984" w:type="dxa"/>
            <w:tcBorders>
              <w:top w:val="dashed" w:sz="4" w:space="0" w:color="000000"/>
              <w:left w:val="single" w:sz="8" w:space="0" w:color="000000"/>
              <w:bottom w:val="single" w:sz="4" w:space="0" w:color="000000"/>
              <w:right w:val="dashed" w:sz="4" w:space="0" w:color="000000"/>
            </w:tcBorders>
          </w:tcPr>
          <w:p w:rsidR="00E8309B" w:rsidRDefault="009D0949">
            <w:pPr>
              <w:spacing w:after="0" w:line="259" w:lineRule="auto"/>
              <w:ind w:left="0" w:firstLine="0"/>
              <w:jc w:val="center"/>
            </w:pPr>
            <w:r>
              <w:rPr>
                <w:sz w:val="20"/>
              </w:rPr>
              <w:t xml:space="preserve">3, 1 </w:t>
            </w:r>
          </w:p>
        </w:tc>
        <w:tc>
          <w:tcPr>
            <w:tcW w:w="985" w:type="dxa"/>
            <w:tcBorders>
              <w:top w:val="dashed" w:sz="4" w:space="0" w:color="000000"/>
              <w:left w:val="dashed" w:sz="4" w:space="0" w:color="000000"/>
              <w:bottom w:val="single" w:sz="4" w:space="0" w:color="000000"/>
              <w:right w:val="dashed" w:sz="4" w:space="0" w:color="000000"/>
            </w:tcBorders>
          </w:tcPr>
          <w:p w:rsidR="00E8309B" w:rsidRDefault="009D0949">
            <w:pPr>
              <w:spacing w:after="0" w:line="259" w:lineRule="auto"/>
              <w:ind w:left="0" w:firstLine="0"/>
              <w:jc w:val="center"/>
            </w:pPr>
            <w:r>
              <w:rPr>
                <w:sz w:val="20"/>
              </w:rPr>
              <w:t xml:space="preserve">3,2 </w:t>
            </w:r>
          </w:p>
        </w:tc>
        <w:tc>
          <w:tcPr>
            <w:tcW w:w="986" w:type="dxa"/>
            <w:tcBorders>
              <w:top w:val="dashed" w:sz="4" w:space="0" w:color="000000"/>
              <w:left w:val="dashed" w:sz="4" w:space="0" w:color="000000"/>
              <w:bottom w:val="single" w:sz="4" w:space="0" w:color="000000"/>
              <w:right w:val="dashed" w:sz="4" w:space="0" w:color="000000"/>
            </w:tcBorders>
          </w:tcPr>
          <w:p w:rsidR="00E8309B" w:rsidRDefault="009D0949">
            <w:pPr>
              <w:spacing w:after="0" w:line="259" w:lineRule="auto"/>
              <w:ind w:left="0" w:right="30" w:firstLine="0"/>
              <w:jc w:val="center"/>
            </w:pPr>
            <w:r>
              <w:rPr>
                <w:sz w:val="20"/>
              </w:rPr>
              <w:t xml:space="preserve">3,6 </w:t>
            </w:r>
          </w:p>
        </w:tc>
        <w:tc>
          <w:tcPr>
            <w:tcW w:w="984" w:type="dxa"/>
            <w:tcBorders>
              <w:top w:val="dashed" w:sz="4" w:space="0" w:color="000000"/>
              <w:left w:val="dashed" w:sz="4" w:space="0" w:color="000000"/>
              <w:bottom w:val="single" w:sz="4" w:space="0" w:color="000000"/>
              <w:right w:val="dashed" w:sz="4" w:space="0" w:color="000000"/>
            </w:tcBorders>
          </w:tcPr>
          <w:p w:rsidR="00E8309B" w:rsidRDefault="009D0949">
            <w:pPr>
              <w:spacing w:after="0" w:line="259" w:lineRule="auto"/>
              <w:ind w:left="0" w:firstLine="0"/>
              <w:jc w:val="center"/>
            </w:pPr>
            <w:r>
              <w:rPr>
                <w:sz w:val="20"/>
              </w:rPr>
              <w:t xml:space="preserve">3,8 </w:t>
            </w:r>
          </w:p>
        </w:tc>
        <w:tc>
          <w:tcPr>
            <w:tcW w:w="989" w:type="dxa"/>
            <w:tcBorders>
              <w:top w:val="dashed" w:sz="4" w:space="0" w:color="000000"/>
              <w:left w:val="dashed" w:sz="4" w:space="0" w:color="000000"/>
              <w:bottom w:val="single" w:sz="4" w:space="0" w:color="000000"/>
              <w:right w:val="double" w:sz="6" w:space="0" w:color="000000"/>
            </w:tcBorders>
          </w:tcPr>
          <w:p w:rsidR="00E8309B" w:rsidRDefault="009D0949">
            <w:pPr>
              <w:spacing w:after="0" w:line="259" w:lineRule="auto"/>
              <w:ind w:left="0" w:right="28" w:firstLine="0"/>
              <w:jc w:val="center"/>
            </w:pPr>
            <w:r>
              <w:rPr>
                <w:sz w:val="20"/>
              </w:rPr>
              <w:t xml:space="preserve">4,0 </w:t>
            </w:r>
          </w:p>
        </w:tc>
        <w:tc>
          <w:tcPr>
            <w:tcW w:w="0" w:type="auto"/>
            <w:vMerge/>
            <w:tcBorders>
              <w:top w:val="nil"/>
              <w:left w:val="double" w:sz="6" w:space="0" w:color="000000"/>
              <w:bottom w:val="nil"/>
              <w:right w:val="nil"/>
            </w:tcBorders>
          </w:tcPr>
          <w:p w:rsidR="00E8309B" w:rsidRDefault="00E8309B">
            <w:pPr>
              <w:spacing w:after="160" w:line="259" w:lineRule="auto"/>
              <w:ind w:left="0" w:right="0" w:firstLine="0"/>
              <w:jc w:val="left"/>
            </w:pPr>
          </w:p>
        </w:tc>
      </w:tr>
      <w:tr w:rsidR="00E8309B">
        <w:trPr>
          <w:trHeight w:val="264"/>
        </w:trPr>
        <w:tc>
          <w:tcPr>
            <w:tcW w:w="6759" w:type="dxa"/>
            <w:tcBorders>
              <w:top w:val="single" w:sz="4" w:space="0" w:color="000000"/>
              <w:left w:val="double" w:sz="6" w:space="0" w:color="000000"/>
              <w:bottom w:val="dashed" w:sz="4" w:space="0" w:color="000000"/>
              <w:right w:val="single" w:sz="8" w:space="0" w:color="000000"/>
            </w:tcBorders>
          </w:tcPr>
          <w:p w:rsidR="00E8309B" w:rsidRDefault="009D0949">
            <w:pPr>
              <w:spacing w:after="0" w:line="259" w:lineRule="auto"/>
              <w:ind w:left="2" w:right="0" w:firstLine="0"/>
              <w:jc w:val="left"/>
            </w:pPr>
            <w:r>
              <w:rPr>
                <w:sz w:val="20"/>
              </w:rPr>
              <w:t xml:space="preserve">       Доприноси: </w:t>
            </w:r>
          </w:p>
        </w:tc>
        <w:tc>
          <w:tcPr>
            <w:tcW w:w="2602" w:type="dxa"/>
            <w:tcBorders>
              <w:top w:val="single" w:sz="4" w:space="0" w:color="000000"/>
              <w:left w:val="single" w:sz="8" w:space="0" w:color="000000"/>
              <w:bottom w:val="dashed" w:sz="4" w:space="0" w:color="000000"/>
              <w:right w:val="single" w:sz="8" w:space="0" w:color="000000"/>
            </w:tcBorders>
            <w:vAlign w:val="bottom"/>
          </w:tcPr>
          <w:p w:rsidR="00E8309B" w:rsidRDefault="009D0949">
            <w:pPr>
              <w:spacing w:after="0" w:line="259" w:lineRule="auto"/>
              <w:ind w:left="17" w:right="0" w:firstLine="0"/>
              <w:jc w:val="center"/>
            </w:pPr>
            <w:r>
              <w:rPr>
                <w:sz w:val="20"/>
              </w:rPr>
              <w:t xml:space="preserve"> </w:t>
            </w:r>
          </w:p>
        </w:tc>
        <w:tc>
          <w:tcPr>
            <w:tcW w:w="984" w:type="dxa"/>
            <w:tcBorders>
              <w:top w:val="single" w:sz="4" w:space="0" w:color="000000"/>
              <w:left w:val="single" w:sz="8" w:space="0" w:color="000000"/>
              <w:bottom w:val="dashed" w:sz="4" w:space="0" w:color="000000"/>
              <w:right w:val="nil"/>
            </w:tcBorders>
          </w:tcPr>
          <w:p w:rsidR="00E8309B" w:rsidRDefault="00E8309B">
            <w:pPr>
              <w:spacing w:after="160" w:line="259" w:lineRule="auto"/>
              <w:ind w:left="0" w:right="0" w:firstLine="0"/>
              <w:jc w:val="left"/>
            </w:pPr>
          </w:p>
        </w:tc>
        <w:tc>
          <w:tcPr>
            <w:tcW w:w="985" w:type="dxa"/>
            <w:tcBorders>
              <w:top w:val="single" w:sz="4" w:space="0" w:color="000000"/>
              <w:left w:val="nil"/>
              <w:bottom w:val="dashed" w:sz="4" w:space="0" w:color="000000"/>
              <w:right w:val="nil"/>
            </w:tcBorders>
          </w:tcPr>
          <w:p w:rsidR="00E8309B" w:rsidRDefault="009D0949">
            <w:pPr>
              <w:spacing w:after="0" w:line="259" w:lineRule="auto"/>
              <w:ind w:left="17" w:right="0" w:firstLine="0"/>
              <w:jc w:val="center"/>
            </w:pPr>
            <w:r>
              <w:rPr>
                <w:sz w:val="20"/>
              </w:rPr>
              <w:t xml:space="preserve"> </w:t>
            </w:r>
          </w:p>
        </w:tc>
        <w:tc>
          <w:tcPr>
            <w:tcW w:w="986" w:type="dxa"/>
            <w:tcBorders>
              <w:top w:val="single" w:sz="4" w:space="0" w:color="000000"/>
              <w:left w:val="nil"/>
              <w:bottom w:val="dashed" w:sz="4" w:space="0" w:color="000000"/>
              <w:right w:val="nil"/>
            </w:tcBorders>
          </w:tcPr>
          <w:p w:rsidR="00E8309B" w:rsidRDefault="009D0949">
            <w:pPr>
              <w:spacing w:after="0" w:line="259" w:lineRule="auto"/>
              <w:ind w:left="19" w:right="0" w:firstLine="0"/>
              <w:jc w:val="center"/>
            </w:pPr>
            <w:r>
              <w:rPr>
                <w:sz w:val="20"/>
              </w:rPr>
              <w:t xml:space="preserve"> </w:t>
            </w:r>
          </w:p>
        </w:tc>
        <w:tc>
          <w:tcPr>
            <w:tcW w:w="984" w:type="dxa"/>
            <w:tcBorders>
              <w:top w:val="single" w:sz="4" w:space="0" w:color="000000"/>
              <w:left w:val="nil"/>
              <w:bottom w:val="dashed" w:sz="4" w:space="0" w:color="000000"/>
              <w:right w:val="nil"/>
            </w:tcBorders>
          </w:tcPr>
          <w:p w:rsidR="00E8309B" w:rsidRDefault="009D0949">
            <w:pPr>
              <w:spacing w:after="0" w:line="259" w:lineRule="auto"/>
              <w:ind w:left="17" w:right="0" w:firstLine="0"/>
              <w:jc w:val="center"/>
            </w:pPr>
            <w:r>
              <w:rPr>
                <w:sz w:val="20"/>
              </w:rPr>
              <w:t xml:space="preserve"> </w:t>
            </w:r>
          </w:p>
        </w:tc>
        <w:tc>
          <w:tcPr>
            <w:tcW w:w="989" w:type="dxa"/>
            <w:tcBorders>
              <w:top w:val="single" w:sz="4" w:space="0" w:color="000000"/>
              <w:left w:val="nil"/>
              <w:bottom w:val="dashed" w:sz="4" w:space="0" w:color="000000"/>
              <w:right w:val="double" w:sz="6" w:space="0" w:color="000000"/>
            </w:tcBorders>
          </w:tcPr>
          <w:p w:rsidR="00E8309B" w:rsidRDefault="009D0949">
            <w:pPr>
              <w:spacing w:after="0" w:line="259" w:lineRule="auto"/>
              <w:ind w:left="22" w:right="0" w:firstLine="0"/>
              <w:jc w:val="center"/>
            </w:pPr>
            <w:r>
              <w:rPr>
                <w:sz w:val="20"/>
              </w:rPr>
              <w:t xml:space="preserve"> </w:t>
            </w:r>
          </w:p>
        </w:tc>
        <w:tc>
          <w:tcPr>
            <w:tcW w:w="0" w:type="auto"/>
            <w:vMerge/>
            <w:tcBorders>
              <w:top w:val="nil"/>
              <w:left w:val="double" w:sz="6" w:space="0" w:color="000000"/>
              <w:bottom w:val="nil"/>
              <w:right w:val="nil"/>
            </w:tcBorders>
            <w:vAlign w:val="bottom"/>
          </w:tcPr>
          <w:p w:rsidR="00E8309B" w:rsidRDefault="00E8309B">
            <w:pPr>
              <w:spacing w:after="160" w:line="259" w:lineRule="auto"/>
              <w:ind w:left="0" w:right="0" w:firstLine="0"/>
              <w:jc w:val="left"/>
            </w:pPr>
          </w:p>
        </w:tc>
      </w:tr>
      <w:tr w:rsidR="00E8309B">
        <w:trPr>
          <w:trHeight w:val="266"/>
        </w:trPr>
        <w:tc>
          <w:tcPr>
            <w:tcW w:w="6759" w:type="dxa"/>
            <w:tcBorders>
              <w:top w:val="dashed" w:sz="4" w:space="0" w:color="000000"/>
              <w:left w:val="double" w:sz="6" w:space="0" w:color="000000"/>
              <w:bottom w:val="dashed" w:sz="4" w:space="0" w:color="000000"/>
              <w:right w:val="single" w:sz="8" w:space="0" w:color="000000"/>
            </w:tcBorders>
          </w:tcPr>
          <w:p w:rsidR="00E8309B" w:rsidRDefault="009D0949">
            <w:pPr>
              <w:spacing w:after="0" w:line="259" w:lineRule="auto"/>
              <w:ind w:left="2" w:right="0" w:firstLine="0"/>
              <w:jc w:val="left"/>
            </w:pPr>
            <w:r>
              <w:rPr>
                <w:sz w:val="20"/>
              </w:rPr>
              <w:t xml:space="preserve">             - рад </w:t>
            </w:r>
          </w:p>
        </w:tc>
        <w:tc>
          <w:tcPr>
            <w:tcW w:w="2602" w:type="dxa"/>
            <w:tcBorders>
              <w:top w:val="dashed" w:sz="4" w:space="0" w:color="000000"/>
              <w:left w:val="single" w:sz="8" w:space="0" w:color="000000"/>
              <w:bottom w:val="dashed" w:sz="4" w:space="0" w:color="000000"/>
              <w:right w:val="single" w:sz="8" w:space="0" w:color="000000"/>
            </w:tcBorders>
            <w:vAlign w:val="bottom"/>
          </w:tcPr>
          <w:p w:rsidR="00E8309B" w:rsidRDefault="009D0949">
            <w:pPr>
              <w:spacing w:after="0" w:line="259" w:lineRule="auto"/>
              <w:ind w:left="17" w:right="0" w:firstLine="0"/>
              <w:jc w:val="center"/>
            </w:pPr>
            <w:r>
              <w:rPr>
                <w:sz w:val="20"/>
              </w:rPr>
              <w:t xml:space="preserve"> </w:t>
            </w:r>
          </w:p>
        </w:tc>
        <w:tc>
          <w:tcPr>
            <w:tcW w:w="984" w:type="dxa"/>
            <w:tcBorders>
              <w:top w:val="dashed" w:sz="4" w:space="0" w:color="000000"/>
              <w:left w:val="single" w:sz="8" w:space="0" w:color="000000"/>
              <w:bottom w:val="dashed" w:sz="4" w:space="0" w:color="000000"/>
              <w:right w:val="dashed" w:sz="4" w:space="0" w:color="000000"/>
            </w:tcBorders>
          </w:tcPr>
          <w:p w:rsidR="00E8309B" w:rsidRDefault="009D0949">
            <w:pPr>
              <w:spacing w:after="0" w:line="259" w:lineRule="auto"/>
              <w:ind w:left="0" w:firstLine="0"/>
              <w:jc w:val="center"/>
            </w:pPr>
            <w:r>
              <w:rPr>
                <w:sz w:val="20"/>
              </w:rPr>
              <w:t xml:space="preserve">1,1 </w:t>
            </w:r>
          </w:p>
        </w:tc>
        <w:tc>
          <w:tcPr>
            <w:tcW w:w="985"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firstLine="0"/>
              <w:jc w:val="center"/>
            </w:pPr>
            <w:r>
              <w:rPr>
                <w:sz w:val="20"/>
              </w:rPr>
              <w:t xml:space="preserve">1,0 </w:t>
            </w:r>
          </w:p>
        </w:tc>
        <w:tc>
          <w:tcPr>
            <w:tcW w:w="986"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30" w:firstLine="0"/>
              <w:jc w:val="center"/>
            </w:pPr>
            <w:r>
              <w:rPr>
                <w:sz w:val="20"/>
              </w:rPr>
              <w:t xml:space="preserve">0,8 </w:t>
            </w:r>
          </w:p>
        </w:tc>
        <w:tc>
          <w:tcPr>
            <w:tcW w:w="984"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firstLine="0"/>
              <w:jc w:val="center"/>
            </w:pPr>
            <w:r>
              <w:rPr>
                <w:sz w:val="20"/>
              </w:rPr>
              <w:t xml:space="preserve">0,7 </w:t>
            </w:r>
          </w:p>
        </w:tc>
        <w:tc>
          <w:tcPr>
            <w:tcW w:w="989" w:type="dxa"/>
            <w:tcBorders>
              <w:top w:val="dashed" w:sz="4" w:space="0" w:color="000000"/>
              <w:left w:val="dashed" w:sz="4" w:space="0" w:color="000000"/>
              <w:bottom w:val="dashed" w:sz="4" w:space="0" w:color="000000"/>
              <w:right w:val="double" w:sz="6" w:space="0" w:color="000000"/>
            </w:tcBorders>
          </w:tcPr>
          <w:p w:rsidR="00E8309B" w:rsidRDefault="009D0949">
            <w:pPr>
              <w:spacing w:after="0" w:line="259" w:lineRule="auto"/>
              <w:ind w:left="0" w:right="28" w:firstLine="0"/>
              <w:jc w:val="center"/>
            </w:pPr>
            <w:r>
              <w:rPr>
                <w:sz w:val="20"/>
              </w:rPr>
              <w:t xml:space="preserve">0,6 </w:t>
            </w:r>
          </w:p>
        </w:tc>
        <w:tc>
          <w:tcPr>
            <w:tcW w:w="0" w:type="auto"/>
            <w:vMerge/>
            <w:tcBorders>
              <w:top w:val="nil"/>
              <w:left w:val="double" w:sz="6" w:space="0" w:color="000000"/>
              <w:bottom w:val="nil"/>
              <w:right w:val="nil"/>
            </w:tcBorders>
            <w:vAlign w:val="bottom"/>
          </w:tcPr>
          <w:p w:rsidR="00E8309B" w:rsidRDefault="00E8309B">
            <w:pPr>
              <w:spacing w:after="160" w:line="259" w:lineRule="auto"/>
              <w:ind w:left="0" w:right="0" w:firstLine="0"/>
              <w:jc w:val="left"/>
            </w:pPr>
          </w:p>
        </w:tc>
      </w:tr>
      <w:tr w:rsidR="00E8309B">
        <w:trPr>
          <w:trHeight w:val="264"/>
        </w:trPr>
        <w:tc>
          <w:tcPr>
            <w:tcW w:w="6759" w:type="dxa"/>
            <w:tcBorders>
              <w:top w:val="dashed" w:sz="4" w:space="0" w:color="000000"/>
              <w:left w:val="double" w:sz="6" w:space="0" w:color="000000"/>
              <w:bottom w:val="dashed" w:sz="4" w:space="0" w:color="000000"/>
              <w:right w:val="single" w:sz="8" w:space="0" w:color="000000"/>
            </w:tcBorders>
          </w:tcPr>
          <w:p w:rsidR="00E8309B" w:rsidRDefault="009D0949">
            <w:pPr>
              <w:spacing w:after="0" w:line="259" w:lineRule="auto"/>
              <w:ind w:left="2" w:right="0" w:firstLine="0"/>
              <w:jc w:val="left"/>
            </w:pPr>
            <w:r>
              <w:rPr>
                <w:sz w:val="20"/>
              </w:rPr>
              <w:t xml:space="preserve">             - капитал </w:t>
            </w:r>
          </w:p>
        </w:tc>
        <w:tc>
          <w:tcPr>
            <w:tcW w:w="2602" w:type="dxa"/>
            <w:tcBorders>
              <w:top w:val="dashed" w:sz="4" w:space="0" w:color="000000"/>
              <w:left w:val="single" w:sz="8" w:space="0" w:color="000000"/>
              <w:bottom w:val="dashed" w:sz="4" w:space="0" w:color="000000"/>
              <w:right w:val="single" w:sz="8" w:space="0" w:color="000000"/>
            </w:tcBorders>
            <w:vAlign w:val="bottom"/>
          </w:tcPr>
          <w:p w:rsidR="00E8309B" w:rsidRDefault="00E8309B">
            <w:pPr>
              <w:spacing w:after="160" w:line="259" w:lineRule="auto"/>
              <w:ind w:left="0" w:right="0" w:firstLine="0"/>
              <w:jc w:val="left"/>
            </w:pPr>
          </w:p>
        </w:tc>
        <w:tc>
          <w:tcPr>
            <w:tcW w:w="984" w:type="dxa"/>
            <w:tcBorders>
              <w:top w:val="dashed" w:sz="4" w:space="0" w:color="000000"/>
              <w:left w:val="single" w:sz="8" w:space="0" w:color="000000"/>
              <w:bottom w:val="dashed" w:sz="4" w:space="0" w:color="000000"/>
              <w:right w:val="dashed" w:sz="4" w:space="0" w:color="000000"/>
            </w:tcBorders>
          </w:tcPr>
          <w:p w:rsidR="00E8309B" w:rsidRDefault="009D0949">
            <w:pPr>
              <w:spacing w:after="0" w:line="259" w:lineRule="auto"/>
              <w:ind w:left="0" w:firstLine="0"/>
              <w:jc w:val="center"/>
            </w:pPr>
            <w:r>
              <w:rPr>
                <w:sz w:val="20"/>
              </w:rPr>
              <w:t xml:space="preserve">1,6 </w:t>
            </w:r>
          </w:p>
        </w:tc>
        <w:tc>
          <w:tcPr>
            <w:tcW w:w="985"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firstLine="0"/>
              <w:jc w:val="center"/>
            </w:pPr>
            <w:r>
              <w:rPr>
                <w:sz w:val="20"/>
              </w:rPr>
              <w:t xml:space="preserve">1,3 </w:t>
            </w:r>
          </w:p>
        </w:tc>
        <w:tc>
          <w:tcPr>
            <w:tcW w:w="986"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30" w:firstLine="0"/>
              <w:jc w:val="center"/>
            </w:pPr>
            <w:r>
              <w:rPr>
                <w:sz w:val="20"/>
              </w:rPr>
              <w:t xml:space="preserve">1,5 </w:t>
            </w:r>
          </w:p>
        </w:tc>
        <w:tc>
          <w:tcPr>
            <w:tcW w:w="984"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firstLine="0"/>
              <w:jc w:val="center"/>
            </w:pPr>
            <w:r>
              <w:rPr>
                <w:sz w:val="20"/>
              </w:rPr>
              <w:t xml:space="preserve">1,6 </w:t>
            </w:r>
          </w:p>
        </w:tc>
        <w:tc>
          <w:tcPr>
            <w:tcW w:w="989" w:type="dxa"/>
            <w:tcBorders>
              <w:top w:val="dashed" w:sz="4" w:space="0" w:color="000000"/>
              <w:left w:val="dashed" w:sz="4" w:space="0" w:color="000000"/>
              <w:bottom w:val="dashed" w:sz="4" w:space="0" w:color="000000"/>
              <w:right w:val="double" w:sz="6" w:space="0" w:color="000000"/>
            </w:tcBorders>
          </w:tcPr>
          <w:p w:rsidR="00E8309B" w:rsidRDefault="009D0949">
            <w:pPr>
              <w:spacing w:after="0" w:line="259" w:lineRule="auto"/>
              <w:ind w:left="0" w:right="28" w:firstLine="0"/>
              <w:jc w:val="center"/>
            </w:pPr>
            <w:r>
              <w:rPr>
                <w:sz w:val="20"/>
              </w:rPr>
              <w:t xml:space="preserve">1,7 </w:t>
            </w:r>
          </w:p>
        </w:tc>
        <w:tc>
          <w:tcPr>
            <w:tcW w:w="0" w:type="auto"/>
            <w:vMerge/>
            <w:tcBorders>
              <w:top w:val="nil"/>
              <w:left w:val="double" w:sz="6" w:space="0" w:color="000000"/>
              <w:bottom w:val="nil"/>
              <w:right w:val="nil"/>
            </w:tcBorders>
          </w:tcPr>
          <w:p w:rsidR="00E8309B" w:rsidRDefault="00E8309B">
            <w:pPr>
              <w:spacing w:after="160" w:line="259" w:lineRule="auto"/>
              <w:ind w:left="0" w:right="0" w:firstLine="0"/>
              <w:jc w:val="left"/>
            </w:pPr>
          </w:p>
        </w:tc>
      </w:tr>
      <w:tr w:rsidR="00E8309B">
        <w:trPr>
          <w:trHeight w:val="266"/>
        </w:trPr>
        <w:tc>
          <w:tcPr>
            <w:tcW w:w="6759" w:type="dxa"/>
            <w:tcBorders>
              <w:top w:val="dashed" w:sz="4" w:space="0" w:color="000000"/>
              <w:left w:val="double" w:sz="6" w:space="0" w:color="000000"/>
              <w:bottom w:val="single" w:sz="4" w:space="0" w:color="000000"/>
              <w:right w:val="single" w:sz="8" w:space="0" w:color="000000"/>
            </w:tcBorders>
          </w:tcPr>
          <w:p w:rsidR="00E8309B" w:rsidRDefault="009D0949">
            <w:pPr>
              <w:spacing w:after="0" w:line="259" w:lineRule="auto"/>
              <w:ind w:left="2" w:right="0" w:firstLine="0"/>
              <w:jc w:val="left"/>
            </w:pPr>
            <w:r>
              <w:rPr>
                <w:sz w:val="20"/>
              </w:rPr>
              <w:t xml:space="preserve">             - </w:t>
            </w:r>
            <w:r>
              <w:rPr>
                <w:sz w:val="20"/>
              </w:rPr>
              <w:t xml:space="preserve">укупна факторска продуктивност </w:t>
            </w:r>
          </w:p>
        </w:tc>
        <w:tc>
          <w:tcPr>
            <w:tcW w:w="2602" w:type="dxa"/>
            <w:tcBorders>
              <w:top w:val="dashed" w:sz="4" w:space="0" w:color="000000"/>
              <w:left w:val="single" w:sz="8" w:space="0" w:color="000000"/>
              <w:bottom w:val="single" w:sz="4" w:space="0" w:color="000000"/>
              <w:right w:val="single" w:sz="8" w:space="0" w:color="000000"/>
            </w:tcBorders>
          </w:tcPr>
          <w:p w:rsidR="00E8309B" w:rsidRDefault="009D0949">
            <w:pPr>
              <w:spacing w:after="0" w:line="259" w:lineRule="auto"/>
              <w:ind w:left="17" w:right="0" w:firstLine="0"/>
              <w:jc w:val="center"/>
            </w:pPr>
            <w:r>
              <w:rPr>
                <w:sz w:val="20"/>
              </w:rPr>
              <w:t xml:space="preserve"> </w:t>
            </w:r>
          </w:p>
        </w:tc>
        <w:tc>
          <w:tcPr>
            <w:tcW w:w="984" w:type="dxa"/>
            <w:tcBorders>
              <w:top w:val="dashed" w:sz="4" w:space="0" w:color="000000"/>
              <w:left w:val="single" w:sz="8" w:space="0" w:color="000000"/>
              <w:bottom w:val="single" w:sz="4" w:space="0" w:color="000000"/>
              <w:right w:val="dashed" w:sz="4" w:space="0" w:color="000000"/>
            </w:tcBorders>
          </w:tcPr>
          <w:p w:rsidR="00E8309B" w:rsidRDefault="009D0949">
            <w:pPr>
              <w:spacing w:after="0" w:line="259" w:lineRule="auto"/>
              <w:ind w:left="0" w:firstLine="0"/>
              <w:jc w:val="center"/>
            </w:pPr>
            <w:r>
              <w:rPr>
                <w:sz w:val="20"/>
              </w:rPr>
              <w:t xml:space="preserve">0,4 </w:t>
            </w:r>
          </w:p>
        </w:tc>
        <w:tc>
          <w:tcPr>
            <w:tcW w:w="985" w:type="dxa"/>
            <w:tcBorders>
              <w:top w:val="dashed" w:sz="4" w:space="0" w:color="000000"/>
              <w:left w:val="dashed" w:sz="4" w:space="0" w:color="000000"/>
              <w:bottom w:val="single" w:sz="4" w:space="0" w:color="000000"/>
              <w:right w:val="dashed" w:sz="4" w:space="0" w:color="000000"/>
            </w:tcBorders>
          </w:tcPr>
          <w:p w:rsidR="00E8309B" w:rsidRDefault="009D0949">
            <w:pPr>
              <w:spacing w:after="0" w:line="259" w:lineRule="auto"/>
              <w:ind w:left="0" w:firstLine="0"/>
              <w:jc w:val="center"/>
            </w:pPr>
            <w:r>
              <w:rPr>
                <w:sz w:val="20"/>
              </w:rPr>
              <w:t xml:space="preserve">1,0 </w:t>
            </w:r>
          </w:p>
        </w:tc>
        <w:tc>
          <w:tcPr>
            <w:tcW w:w="986" w:type="dxa"/>
            <w:tcBorders>
              <w:top w:val="dashed" w:sz="4" w:space="0" w:color="000000"/>
              <w:left w:val="dashed" w:sz="4" w:space="0" w:color="000000"/>
              <w:bottom w:val="single" w:sz="4" w:space="0" w:color="000000"/>
              <w:right w:val="dashed" w:sz="4" w:space="0" w:color="000000"/>
            </w:tcBorders>
          </w:tcPr>
          <w:p w:rsidR="00E8309B" w:rsidRDefault="009D0949">
            <w:pPr>
              <w:spacing w:after="0" w:line="259" w:lineRule="auto"/>
              <w:ind w:left="0" w:right="30" w:firstLine="0"/>
              <w:jc w:val="center"/>
            </w:pPr>
            <w:r>
              <w:rPr>
                <w:sz w:val="20"/>
              </w:rPr>
              <w:t xml:space="preserve">1,3 </w:t>
            </w:r>
          </w:p>
        </w:tc>
        <w:tc>
          <w:tcPr>
            <w:tcW w:w="984" w:type="dxa"/>
            <w:tcBorders>
              <w:top w:val="dashed" w:sz="4" w:space="0" w:color="000000"/>
              <w:left w:val="dashed" w:sz="4" w:space="0" w:color="000000"/>
              <w:bottom w:val="single" w:sz="4" w:space="0" w:color="000000"/>
              <w:right w:val="dashed" w:sz="4" w:space="0" w:color="000000"/>
            </w:tcBorders>
          </w:tcPr>
          <w:p w:rsidR="00E8309B" w:rsidRDefault="009D0949">
            <w:pPr>
              <w:spacing w:after="0" w:line="259" w:lineRule="auto"/>
              <w:ind w:left="0" w:firstLine="0"/>
              <w:jc w:val="center"/>
            </w:pPr>
            <w:r>
              <w:rPr>
                <w:sz w:val="20"/>
              </w:rPr>
              <w:t xml:space="preserve">1,5 </w:t>
            </w:r>
          </w:p>
        </w:tc>
        <w:tc>
          <w:tcPr>
            <w:tcW w:w="989" w:type="dxa"/>
            <w:tcBorders>
              <w:top w:val="dashed" w:sz="4" w:space="0" w:color="000000"/>
              <w:left w:val="dashed" w:sz="4" w:space="0" w:color="000000"/>
              <w:bottom w:val="single" w:sz="4" w:space="0" w:color="000000"/>
              <w:right w:val="double" w:sz="6" w:space="0" w:color="000000"/>
            </w:tcBorders>
          </w:tcPr>
          <w:p w:rsidR="00E8309B" w:rsidRDefault="009D0949">
            <w:pPr>
              <w:spacing w:after="0" w:line="259" w:lineRule="auto"/>
              <w:ind w:left="0" w:right="28" w:firstLine="0"/>
              <w:jc w:val="center"/>
            </w:pPr>
            <w:r>
              <w:rPr>
                <w:sz w:val="20"/>
              </w:rPr>
              <w:t xml:space="preserve">1,6 </w:t>
            </w:r>
          </w:p>
        </w:tc>
        <w:tc>
          <w:tcPr>
            <w:tcW w:w="0" w:type="auto"/>
            <w:vMerge/>
            <w:tcBorders>
              <w:top w:val="nil"/>
              <w:left w:val="double" w:sz="6" w:space="0" w:color="000000"/>
              <w:bottom w:val="nil"/>
              <w:right w:val="nil"/>
            </w:tcBorders>
          </w:tcPr>
          <w:p w:rsidR="00E8309B" w:rsidRDefault="00E8309B">
            <w:pPr>
              <w:spacing w:after="160" w:line="259" w:lineRule="auto"/>
              <w:ind w:left="0" w:right="0" w:firstLine="0"/>
              <w:jc w:val="left"/>
            </w:pPr>
          </w:p>
        </w:tc>
      </w:tr>
      <w:tr w:rsidR="00E8309B">
        <w:trPr>
          <w:trHeight w:val="265"/>
        </w:trPr>
        <w:tc>
          <w:tcPr>
            <w:tcW w:w="6759" w:type="dxa"/>
            <w:tcBorders>
              <w:top w:val="single" w:sz="4" w:space="0" w:color="000000"/>
              <w:left w:val="double" w:sz="6" w:space="0" w:color="000000"/>
              <w:bottom w:val="dashed" w:sz="4" w:space="0" w:color="000000"/>
              <w:right w:val="single" w:sz="8" w:space="0" w:color="000000"/>
            </w:tcBorders>
          </w:tcPr>
          <w:p w:rsidR="00E8309B" w:rsidRDefault="009D0949">
            <w:pPr>
              <w:spacing w:after="0" w:line="259" w:lineRule="auto"/>
              <w:ind w:left="2" w:right="0" w:firstLine="0"/>
              <w:jc w:val="left"/>
            </w:pPr>
            <w:r>
              <w:rPr>
                <w:sz w:val="20"/>
              </w:rPr>
              <w:t xml:space="preserve">6. Производни јаз </w:t>
            </w:r>
          </w:p>
        </w:tc>
        <w:tc>
          <w:tcPr>
            <w:tcW w:w="2602" w:type="dxa"/>
            <w:tcBorders>
              <w:top w:val="single" w:sz="4" w:space="0" w:color="000000"/>
              <w:left w:val="single" w:sz="8" w:space="0" w:color="000000"/>
              <w:bottom w:val="dashed" w:sz="4" w:space="0" w:color="000000"/>
              <w:right w:val="single" w:sz="8" w:space="0" w:color="000000"/>
            </w:tcBorders>
          </w:tcPr>
          <w:p w:rsidR="00E8309B" w:rsidRDefault="009D0949">
            <w:pPr>
              <w:spacing w:after="0" w:line="259" w:lineRule="auto"/>
              <w:ind w:left="0" w:right="31" w:firstLine="0"/>
              <w:jc w:val="center"/>
            </w:pPr>
            <w:r>
              <w:rPr>
                <w:sz w:val="20"/>
              </w:rPr>
              <w:t xml:space="preserve">% БДП </w:t>
            </w:r>
          </w:p>
        </w:tc>
        <w:tc>
          <w:tcPr>
            <w:tcW w:w="984" w:type="dxa"/>
            <w:tcBorders>
              <w:top w:val="single" w:sz="4" w:space="0" w:color="000000"/>
              <w:left w:val="single" w:sz="8" w:space="0" w:color="000000"/>
              <w:bottom w:val="dashed" w:sz="4" w:space="0" w:color="000000"/>
              <w:right w:val="dashed" w:sz="4" w:space="0" w:color="000000"/>
            </w:tcBorders>
          </w:tcPr>
          <w:p w:rsidR="00E8309B" w:rsidRDefault="009D0949">
            <w:pPr>
              <w:spacing w:after="0" w:line="259" w:lineRule="auto"/>
              <w:ind w:left="0" w:firstLine="0"/>
              <w:jc w:val="center"/>
            </w:pPr>
            <w:r>
              <w:rPr>
                <w:sz w:val="20"/>
              </w:rPr>
              <w:t xml:space="preserve">2,10 </w:t>
            </w:r>
          </w:p>
        </w:tc>
        <w:tc>
          <w:tcPr>
            <w:tcW w:w="985" w:type="dxa"/>
            <w:tcBorders>
              <w:top w:val="single" w:sz="4" w:space="0" w:color="000000"/>
              <w:left w:val="dashed" w:sz="4" w:space="0" w:color="000000"/>
              <w:bottom w:val="dashed" w:sz="4" w:space="0" w:color="000000"/>
              <w:right w:val="dashed" w:sz="4" w:space="0" w:color="000000"/>
            </w:tcBorders>
          </w:tcPr>
          <w:p w:rsidR="00E8309B" w:rsidRDefault="009D0949">
            <w:pPr>
              <w:spacing w:after="0" w:line="259" w:lineRule="auto"/>
              <w:ind w:left="0" w:right="34" w:firstLine="0"/>
              <w:jc w:val="center"/>
            </w:pPr>
            <w:r>
              <w:rPr>
                <w:sz w:val="20"/>
              </w:rPr>
              <w:t xml:space="preserve">-2,10 </w:t>
            </w:r>
          </w:p>
        </w:tc>
        <w:tc>
          <w:tcPr>
            <w:tcW w:w="986" w:type="dxa"/>
            <w:tcBorders>
              <w:top w:val="single" w:sz="4" w:space="0" w:color="000000"/>
              <w:left w:val="dashed" w:sz="4" w:space="0" w:color="000000"/>
              <w:bottom w:val="dashed" w:sz="4" w:space="0" w:color="000000"/>
              <w:right w:val="dashed" w:sz="4" w:space="0" w:color="000000"/>
            </w:tcBorders>
          </w:tcPr>
          <w:p w:rsidR="00E8309B" w:rsidRDefault="009D0949">
            <w:pPr>
              <w:spacing w:after="0" w:line="259" w:lineRule="auto"/>
              <w:ind w:left="0" w:right="30" w:firstLine="0"/>
              <w:jc w:val="center"/>
            </w:pPr>
            <w:r>
              <w:rPr>
                <w:sz w:val="20"/>
              </w:rPr>
              <w:t xml:space="preserve">0,20 </w:t>
            </w:r>
          </w:p>
        </w:tc>
        <w:tc>
          <w:tcPr>
            <w:tcW w:w="984" w:type="dxa"/>
            <w:tcBorders>
              <w:top w:val="single" w:sz="4" w:space="0" w:color="000000"/>
              <w:left w:val="dashed" w:sz="4" w:space="0" w:color="000000"/>
              <w:bottom w:val="dashed" w:sz="4" w:space="0" w:color="000000"/>
              <w:right w:val="dashed" w:sz="4" w:space="0" w:color="000000"/>
            </w:tcBorders>
          </w:tcPr>
          <w:p w:rsidR="00E8309B" w:rsidRDefault="009D0949">
            <w:pPr>
              <w:spacing w:after="0" w:line="259" w:lineRule="auto"/>
              <w:ind w:left="0" w:firstLine="0"/>
              <w:jc w:val="center"/>
            </w:pPr>
            <w:r>
              <w:rPr>
                <w:sz w:val="20"/>
              </w:rPr>
              <w:t xml:space="preserve">0,40 </w:t>
            </w:r>
          </w:p>
        </w:tc>
        <w:tc>
          <w:tcPr>
            <w:tcW w:w="989" w:type="dxa"/>
            <w:tcBorders>
              <w:top w:val="single" w:sz="4" w:space="0" w:color="000000"/>
              <w:left w:val="dashed" w:sz="4" w:space="0" w:color="000000"/>
              <w:bottom w:val="dashed" w:sz="4" w:space="0" w:color="000000"/>
              <w:right w:val="double" w:sz="6" w:space="0" w:color="000000"/>
            </w:tcBorders>
          </w:tcPr>
          <w:p w:rsidR="00E8309B" w:rsidRDefault="009D0949">
            <w:pPr>
              <w:spacing w:after="0" w:line="259" w:lineRule="auto"/>
              <w:ind w:left="0" w:right="28" w:firstLine="0"/>
              <w:jc w:val="center"/>
            </w:pPr>
            <w:r>
              <w:rPr>
                <w:sz w:val="20"/>
              </w:rPr>
              <w:t xml:space="preserve">0,40 </w:t>
            </w:r>
          </w:p>
        </w:tc>
        <w:tc>
          <w:tcPr>
            <w:tcW w:w="0" w:type="auto"/>
            <w:vMerge/>
            <w:tcBorders>
              <w:top w:val="nil"/>
              <w:left w:val="double" w:sz="6" w:space="0" w:color="000000"/>
              <w:bottom w:val="nil"/>
              <w:right w:val="nil"/>
            </w:tcBorders>
          </w:tcPr>
          <w:p w:rsidR="00E8309B" w:rsidRDefault="00E8309B">
            <w:pPr>
              <w:spacing w:after="160" w:line="259" w:lineRule="auto"/>
              <w:ind w:left="0" w:right="0" w:firstLine="0"/>
              <w:jc w:val="left"/>
            </w:pPr>
          </w:p>
        </w:tc>
      </w:tr>
      <w:tr w:rsidR="00E8309B">
        <w:trPr>
          <w:trHeight w:val="300"/>
        </w:trPr>
        <w:tc>
          <w:tcPr>
            <w:tcW w:w="6759" w:type="dxa"/>
            <w:tcBorders>
              <w:top w:val="dashed" w:sz="4" w:space="0" w:color="000000"/>
              <w:left w:val="double" w:sz="6" w:space="0" w:color="000000"/>
              <w:bottom w:val="double" w:sz="6" w:space="0" w:color="000000"/>
              <w:right w:val="single" w:sz="8" w:space="0" w:color="000000"/>
            </w:tcBorders>
          </w:tcPr>
          <w:p w:rsidR="00E8309B" w:rsidRDefault="009D0949">
            <w:pPr>
              <w:spacing w:after="0" w:line="259" w:lineRule="auto"/>
              <w:ind w:left="2" w:right="0" w:firstLine="0"/>
              <w:jc w:val="left"/>
            </w:pPr>
            <w:r>
              <w:rPr>
                <w:sz w:val="20"/>
              </w:rPr>
              <w:t xml:space="preserve">7. Циклична компонента буџета </w:t>
            </w:r>
          </w:p>
        </w:tc>
        <w:tc>
          <w:tcPr>
            <w:tcW w:w="2602" w:type="dxa"/>
            <w:tcBorders>
              <w:top w:val="dashed" w:sz="4" w:space="0" w:color="000000"/>
              <w:left w:val="single" w:sz="8" w:space="0" w:color="000000"/>
              <w:bottom w:val="double" w:sz="6" w:space="0" w:color="000000"/>
              <w:right w:val="single" w:sz="8" w:space="0" w:color="000000"/>
            </w:tcBorders>
          </w:tcPr>
          <w:p w:rsidR="00E8309B" w:rsidRDefault="009D0949">
            <w:pPr>
              <w:spacing w:after="0" w:line="259" w:lineRule="auto"/>
              <w:ind w:left="0" w:right="31" w:firstLine="0"/>
              <w:jc w:val="center"/>
            </w:pPr>
            <w:r>
              <w:rPr>
                <w:sz w:val="20"/>
              </w:rPr>
              <w:t xml:space="preserve">% БДП </w:t>
            </w:r>
          </w:p>
        </w:tc>
        <w:tc>
          <w:tcPr>
            <w:tcW w:w="984" w:type="dxa"/>
            <w:tcBorders>
              <w:top w:val="dashed" w:sz="4" w:space="0" w:color="000000"/>
              <w:left w:val="single" w:sz="8" w:space="0" w:color="000000"/>
              <w:bottom w:val="double" w:sz="6" w:space="0" w:color="000000"/>
              <w:right w:val="dashed" w:sz="4" w:space="0" w:color="000000"/>
            </w:tcBorders>
          </w:tcPr>
          <w:p w:rsidR="00E8309B" w:rsidRDefault="009D0949">
            <w:pPr>
              <w:spacing w:after="0" w:line="259" w:lineRule="auto"/>
              <w:ind w:left="0" w:firstLine="0"/>
              <w:jc w:val="center"/>
            </w:pPr>
            <w:r>
              <w:rPr>
                <w:sz w:val="20"/>
              </w:rPr>
              <w:t xml:space="preserve">0,80 </w:t>
            </w:r>
          </w:p>
        </w:tc>
        <w:tc>
          <w:tcPr>
            <w:tcW w:w="985" w:type="dxa"/>
            <w:tcBorders>
              <w:top w:val="dashed" w:sz="4" w:space="0" w:color="000000"/>
              <w:left w:val="dashed" w:sz="4" w:space="0" w:color="000000"/>
              <w:bottom w:val="double" w:sz="6" w:space="0" w:color="000000"/>
              <w:right w:val="dashed" w:sz="4" w:space="0" w:color="000000"/>
            </w:tcBorders>
          </w:tcPr>
          <w:p w:rsidR="00E8309B" w:rsidRDefault="009D0949">
            <w:pPr>
              <w:spacing w:after="0" w:line="259" w:lineRule="auto"/>
              <w:ind w:left="0" w:right="34" w:firstLine="0"/>
              <w:jc w:val="center"/>
            </w:pPr>
            <w:r>
              <w:rPr>
                <w:sz w:val="20"/>
              </w:rPr>
              <w:t xml:space="preserve">-0,80 </w:t>
            </w:r>
          </w:p>
        </w:tc>
        <w:tc>
          <w:tcPr>
            <w:tcW w:w="986" w:type="dxa"/>
            <w:tcBorders>
              <w:top w:val="dashed" w:sz="4" w:space="0" w:color="000000"/>
              <w:left w:val="dashed" w:sz="4" w:space="0" w:color="000000"/>
              <w:bottom w:val="double" w:sz="6" w:space="0" w:color="000000"/>
              <w:right w:val="dashed" w:sz="4" w:space="0" w:color="000000"/>
            </w:tcBorders>
          </w:tcPr>
          <w:p w:rsidR="00E8309B" w:rsidRDefault="009D0949">
            <w:pPr>
              <w:spacing w:after="0" w:line="259" w:lineRule="auto"/>
              <w:ind w:left="0" w:right="30" w:firstLine="0"/>
              <w:jc w:val="center"/>
            </w:pPr>
            <w:r>
              <w:rPr>
                <w:sz w:val="20"/>
              </w:rPr>
              <w:t xml:space="preserve">0,10 </w:t>
            </w:r>
          </w:p>
        </w:tc>
        <w:tc>
          <w:tcPr>
            <w:tcW w:w="984" w:type="dxa"/>
            <w:tcBorders>
              <w:top w:val="dashed" w:sz="4" w:space="0" w:color="000000"/>
              <w:left w:val="dashed" w:sz="4" w:space="0" w:color="000000"/>
              <w:bottom w:val="double" w:sz="6" w:space="0" w:color="000000"/>
              <w:right w:val="dashed" w:sz="4" w:space="0" w:color="000000"/>
            </w:tcBorders>
          </w:tcPr>
          <w:p w:rsidR="00E8309B" w:rsidRDefault="009D0949">
            <w:pPr>
              <w:spacing w:after="0" w:line="259" w:lineRule="auto"/>
              <w:ind w:left="0" w:firstLine="0"/>
              <w:jc w:val="center"/>
            </w:pPr>
            <w:r>
              <w:rPr>
                <w:sz w:val="20"/>
              </w:rPr>
              <w:t xml:space="preserve">0,10 </w:t>
            </w:r>
          </w:p>
        </w:tc>
        <w:tc>
          <w:tcPr>
            <w:tcW w:w="989" w:type="dxa"/>
            <w:tcBorders>
              <w:top w:val="dashed" w:sz="4" w:space="0" w:color="000000"/>
              <w:left w:val="dashed" w:sz="4" w:space="0" w:color="000000"/>
              <w:bottom w:val="double" w:sz="6" w:space="0" w:color="000000"/>
              <w:right w:val="double" w:sz="6" w:space="0" w:color="000000"/>
            </w:tcBorders>
          </w:tcPr>
          <w:p w:rsidR="00E8309B" w:rsidRDefault="009D0949">
            <w:pPr>
              <w:spacing w:after="0" w:line="259" w:lineRule="auto"/>
              <w:ind w:left="0" w:right="28" w:firstLine="0"/>
              <w:jc w:val="center"/>
            </w:pPr>
            <w:r>
              <w:rPr>
                <w:sz w:val="20"/>
              </w:rPr>
              <w:t xml:space="preserve">0,20 </w:t>
            </w:r>
          </w:p>
        </w:tc>
        <w:tc>
          <w:tcPr>
            <w:tcW w:w="0" w:type="auto"/>
            <w:vMerge/>
            <w:tcBorders>
              <w:top w:val="nil"/>
              <w:left w:val="double" w:sz="6" w:space="0" w:color="000000"/>
              <w:bottom w:val="single" w:sz="18" w:space="0" w:color="FFFFFF"/>
              <w:right w:val="nil"/>
            </w:tcBorders>
          </w:tcPr>
          <w:p w:rsidR="00E8309B" w:rsidRDefault="00E8309B">
            <w:pPr>
              <w:spacing w:after="160" w:line="259" w:lineRule="auto"/>
              <w:ind w:left="0" w:right="0" w:firstLine="0"/>
              <w:jc w:val="left"/>
            </w:pPr>
          </w:p>
        </w:tc>
      </w:tr>
    </w:tbl>
    <w:p w:rsidR="00E8309B" w:rsidRDefault="009D0949">
      <w:pPr>
        <w:tabs>
          <w:tab w:val="center" w:pos="6870"/>
          <w:tab w:val="center" w:pos="8476"/>
          <w:tab w:val="center" w:pos="9469"/>
          <w:tab w:val="center" w:pos="10464"/>
          <w:tab w:val="center" w:pos="11481"/>
          <w:tab w:val="center" w:pos="12453"/>
          <w:tab w:val="center" w:pos="14131"/>
          <w:tab w:val="center" w:pos="14398"/>
        </w:tabs>
        <w:spacing w:after="13" w:line="269" w:lineRule="auto"/>
        <w:ind w:left="0" w:right="0" w:firstLine="0"/>
        <w:jc w:val="left"/>
      </w:pPr>
      <w:r>
        <w:rPr>
          <w:sz w:val="20"/>
        </w:rPr>
        <w:t>[1]  Позитиван знак значи једнократне мере за смањење дефицита.</w:t>
      </w:r>
      <w:r>
        <w:rPr>
          <w:sz w:val="20"/>
        </w:rPr>
        <w:t xml:space="preserve"> </w:t>
      </w:r>
      <w:r>
        <w:rPr>
          <w:sz w:val="20"/>
        </w:rPr>
        <w:tab/>
        <w:t xml:space="preserve">  </w:t>
      </w:r>
      <w:r>
        <w:rPr>
          <w:sz w:val="20"/>
        </w:rPr>
        <w:tab/>
        <w:t xml:space="preserve">  </w:t>
      </w:r>
      <w:r>
        <w:rPr>
          <w:sz w:val="20"/>
        </w:rPr>
        <w:tab/>
        <w:t xml:space="preserve">  </w:t>
      </w:r>
      <w:r>
        <w:rPr>
          <w:sz w:val="20"/>
        </w:rPr>
        <w:tab/>
        <w:t xml:space="preserve">  </w:t>
      </w:r>
      <w:r>
        <w:rPr>
          <w:sz w:val="20"/>
        </w:rPr>
        <w:tab/>
        <w:t xml:space="preserve">  </w:t>
      </w:r>
      <w:r>
        <w:rPr>
          <w:sz w:val="20"/>
        </w:rPr>
        <w:tab/>
        <w:t xml:space="preserve">  </w:t>
      </w:r>
      <w:r>
        <w:rPr>
          <w:sz w:val="20"/>
        </w:rPr>
        <w:tab/>
        <w:t xml:space="preserve">  </w:t>
      </w:r>
      <w:r>
        <w:rPr>
          <w:sz w:val="20"/>
        </w:rPr>
        <w:tab/>
        <w:t xml:space="preserve">  </w:t>
      </w:r>
    </w:p>
    <w:p w:rsidR="00E8309B" w:rsidRDefault="009D0949">
      <w:pPr>
        <w:spacing w:after="207" w:line="259" w:lineRule="auto"/>
        <w:ind w:left="0" w:right="0" w:firstLine="0"/>
        <w:jc w:val="left"/>
      </w:pPr>
      <w:r>
        <w:rPr>
          <w:sz w:val="22"/>
        </w:rPr>
        <w:t xml:space="preserve"> </w:t>
      </w:r>
    </w:p>
    <w:p w:rsidR="00E8309B" w:rsidRDefault="009D0949">
      <w:pPr>
        <w:tabs>
          <w:tab w:val="center" w:pos="6803"/>
          <w:tab w:val="center" w:pos="7972"/>
          <w:tab w:val="center" w:pos="9330"/>
          <w:tab w:val="center" w:pos="10428"/>
          <w:tab w:val="right" w:pos="14522"/>
        </w:tabs>
        <w:spacing w:after="0" w:line="259" w:lineRule="auto"/>
        <w:ind w:left="0" w:right="0" w:firstLine="0"/>
        <w:jc w:val="left"/>
      </w:pPr>
      <w:r>
        <w:rPr>
          <w:b/>
          <w:sz w:val="20"/>
        </w:rPr>
        <w:t xml:space="preserve">Табела 5: Циклична кретања </w:t>
      </w:r>
      <w:r>
        <w:rPr>
          <w:b/>
          <w:sz w:val="20"/>
        </w:rPr>
        <w:tab/>
      </w:r>
      <w:r>
        <w:rPr>
          <w:sz w:val="20"/>
        </w:rPr>
        <w:t xml:space="preserve">  </w:t>
      </w:r>
      <w:r>
        <w:rPr>
          <w:sz w:val="20"/>
        </w:rPr>
        <w:tab/>
        <w:t xml:space="preserve">  </w:t>
      </w:r>
      <w:r>
        <w:rPr>
          <w:sz w:val="20"/>
        </w:rPr>
        <w:tab/>
        <w:t xml:space="preserve">  </w:t>
      </w:r>
      <w:r>
        <w:rPr>
          <w:sz w:val="20"/>
        </w:rPr>
        <w:tab/>
        <w:t xml:space="preserve">  </w:t>
      </w:r>
      <w:r>
        <w:rPr>
          <w:sz w:val="20"/>
        </w:rPr>
        <w:tab/>
      </w:r>
      <w:r>
        <w:rPr>
          <w:b/>
          <w:sz w:val="20"/>
        </w:rPr>
        <w:t>Република Србија</w:t>
      </w:r>
      <w:r>
        <w:rPr>
          <w:sz w:val="20"/>
        </w:rPr>
        <w:t xml:space="preserve"> </w:t>
      </w:r>
    </w:p>
    <w:tbl>
      <w:tblPr>
        <w:tblStyle w:val="TableGrid"/>
        <w:tblW w:w="14571" w:type="dxa"/>
        <w:tblInd w:w="0" w:type="dxa"/>
        <w:tblCellMar>
          <w:top w:w="5" w:type="dxa"/>
          <w:left w:w="108" w:type="dxa"/>
          <w:bottom w:w="0" w:type="dxa"/>
          <w:right w:w="115" w:type="dxa"/>
        </w:tblCellMar>
        <w:tblLook w:val="04A0" w:firstRow="1" w:lastRow="0" w:firstColumn="1" w:lastColumn="0" w:noHBand="0" w:noVBand="1"/>
      </w:tblPr>
      <w:tblGrid>
        <w:gridCol w:w="6695"/>
        <w:gridCol w:w="1169"/>
        <w:gridCol w:w="1346"/>
        <w:gridCol w:w="1333"/>
        <w:gridCol w:w="1343"/>
        <w:gridCol w:w="1339"/>
        <w:gridCol w:w="1346"/>
      </w:tblGrid>
      <w:tr w:rsidR="00E8309B">
        <w:trPr>
          <w:trHeight w:val="297"/>
        </w:trPr>
        <w:tc>
          <w:tcPr>
            <w:tcW w:w="6695" w:type="dxa"/>
            <w:vMerge w:val="restart"/>
            <w:tcBorders>
              <w:top w:val="double" w:sz="6" w:space="0" w:color="000000"/>
              <w:left w:val="double" w:sz="6" w:space="0" w:color="000000"/>
              <w:bottom w:val="single" w:sz="4" w:space="0" w:color="000000"/>
              <w:right w:val="single" w:sz="4" w:space="0" w:color="000000"/>
            </w:tcBorders>
            <w:vAlign w:val="center"/>
          </w:tcPr>
          <w:p w:rsidR="00E8309B" w:rsidRDefault="009D0949">
            <w:pPr>
              <w:spacing w:after="0" w:line="259" w:lineRule="auto"/>
              <w:ind w:left="9" w:right="0" w:firstLine="0"/>
              <w:jc w:val="center"/>
            </w:pPr>
            <w:r>
              <w:rPr>
                <w:sz w:val="20"/>
              </w:rPr>
              <w:t xml:space="preserve">% of GDP </w:t>
            </w:r>
          </w:p>
        </w:tc>
        <w:tc>
          <w:tcPr>
            <w:tcW w:w="1169" w:type="dxa"/>
            <w:vMerge w:val="restart"/>
            <w:tcBorders>
              <w:top w:val="double" w:sz="6" w:space="0" w:color="000000"/>
              <w:left w:val="single" w:sz="4" w:space="0" w:color="000000"/>
              <w:bottom w:val="single" w:sz="4" w:space="0" w:color="000000"/>
              <w:right w:val="single" w:sz="4" w:space="0" w:color="000000"/>
            </w:tcBorders>
          </w:tcPr>
          <w:p w:rsidR="00E8309B" w:rsidRDefault="009D0949">
            <w:pPr>
              <w:spacing w:after="0" w:line="259" w:lineRule="auto"/>
              <w:ind w:left="0" w:right="0" w:firstLine="0"/>
              <w:jc w:val="left"/>
            </w:pPr>
            <w:r>
              <w:rPr>
                <w:sz w:val="20"/>
              </w:rPr>
              <w:t xml:space="preserve">ESA шифра </w:t>
            </w:r>
          </w:p>
        </w:tc>
        <w:tc>
          <w:tcPr>
            <w:tcW w:w="1346" w:type="dxa"/>
            <w:tcBorders>
              <w:top w:val="double" w:sz="6" w:space="0" w:color="000000"/>
              <w:left w:val="single" w:sz="4" w:space="0" w:color="000000"/>
              <w:bottom w:val="nil"/>
              <w:right w:val="dashed" w:sz="4" w:space="0" w:color="000000"/>
            </w:tcBorders>
          </w:tcPr>
          <w:p w:rsidR="00E8309B" w:rsidRDefault="009D0949">
            <w:pPr>
              <w:spacing w:after="0" w:line="259" w:lineRule="auto"/>
              <w:ind w:left="7" w:right="0" w:firstLine="0"/>
              <w:jc w:val="center"/>
            </w:pPr>
            <w:r>
              <w:rPr>
                <w:sz w:val="20"/>
              </w:rPr>
              <w:t xml:space="preserve">год. </w:t>
            </w:r>
          </w:p>
        </w:tc>
        <w:tc>
          <w:tcPr>
            <w:tcW w:w="1333" w:type="dxa"/>
            <w:vMerge w:val="restart"/>
            <w:tcBorders>
              <w:top w:val="double" w:sz="6" w:space="0" w:color="000000"/>
              <w:left w:val="dashed" w:sz="4" w:space="0" w:color="000000"/>
              <w:bottom w:val="single" w:sz="4" w:space="0" w:color="000000"/>
              <w:right w:val="dashed" w:sz="4" w:space="0" w:color="000000"/>
            </w:tcBorders>
          </w:tcPr>
          <w:p w:rsidR="00E8309B" w:rsidRDefault="009D0949">
            <w:pPr>
              <w:spacing w:after="27" w:line="259" w:lineRule="auto"/>
              <w:ind w:left="6" w:right="0" w:firstLine="0"/>
              <w:jc w:val="center"/>
            </w:pPr>
            <w:r>
              <w:rPr>
                <w:sz w:val="20"/>
              </w:rPr>
              <w:t xml:space="preserve">год. </w:t>
            </w:r>
          </w:p>
          <w:p w:rsidR="00E8309B" w:rsidRDefault="009D0949">
            <w:pPr>
              <w:spacing w:after="0" w:line="259" w:lineRule="auto"/>
              <w:ind w:left="8" w:right="0" w:firstLine="0"/>
              <w:jc w:val="center"/>
            </w:pPr>
            <w:r>
              <w:rPr>
                <w:sz w:val="20"/>
              </w:rPr>
              <w:t xml:space="preserve">2020 </w:t>
            </w:r>
          </w:p>
        </w:tc>
        <w:tc>
          <w:tcPr>
            <w:tcW w:w="1343" w:type="dxa"/>
            <w:tcBorders>
              <w:top w:val="double" w:sz="6" w:space="0" w:color="000000"/>
              <w:left w:val="dashed" w:sz="4" w:space="0" w:color="000000"/>
              <w:bottom w:val="nil"/>
              <w:right w:val="dashed" w:sz="4" w:space="0" w:color="000000"/>
            </w:tcBorders>
          </w:tcPr>
          <w:p w:rsidR="00E8309B" w:rsidRDefault="009D0949">
            <w:pPr>
              <w:spacing w:after="0" w:line="259" w:lineRule="auto"/>
              <w:ind w:left="6" w:right="0" w:firstLine="0"/>
              <w:jc w:val="center"/>
            </w:pPr>
            <w:r>
              <w:rPr>
                <w:sz w:val="20"/>
              </w:rPr>
              <w:t xml:space="preserve">год. </w:t>
            </w:r>
          </w:p>
        </w:tc>
        <w:tc>
          <w:tcPr>
            <w:tcW w:w="1339" w:type="dxa"/>
            <w:tcBorders>
              <w:top w:val="double" w:sz="6" w:space="0" w:color="000000"/>
              <w:left w:val="dashed" w:sz="4" w:space="0" w:color="000000"/>
              <w:bottom w:val="nil"/>
              <w:right w:val="dashed" w:sz="4" w:space="0" w:color="000000"/>
            </w:tcBorders>
          </w:tcPr>
          <w:p w:rsidR="00E8309B" w:rsidRDefault="009D0949">
            <w:pPr>
              <w:spacing w:after="0" w:line="259" w:lineRule="auto"/>
              <w:ind w:left="7" w:right="0" w:firstLine="0"/>
              <w:jc w:val="center"/>
            </w:pPr>
            <w:r>
              <w:rPr>
                <w:sz w:val="20"/>
              </w:rPr>
              <w:t xml:space="preserve">год. </w:t>
            </w:r>
          </w:p>
        </w:tc>
        <w:tc>
          <w:tcPr>
            <w:tcW w:w="1346" w:type="dxa"/>
            <w:tcBorders>
              <w:top w:val="double" w:sz="6" w:space="0" w:color="000000"/>
              <w:left w:val="dashed" w:sz="4" w:space="0" w:color="000000"/>
              <w:bottom w:val="nil"/>
              <w:right w:val="double" w:sz="6" w:space="0" w:color="000000"/>
            </w:tcBorders>
          </w:tcPr>
          <w:p w:rsidR="00E8309B" w:rsidRDefault="009D0949">
            <w:pPr>
              <w:spacing w:after="0" w:line="259" w:lineRule="auto"/>
              <w:ind w:right="0" w:firstLine="0"/>
              <w:jc w:val="center"/>
            </w:pPr>
            <w:r>
              <w:rPr>
                <w:sz w:val="20"/>
              </w:rPr>
              <w:t xml:space="preserve">год. </w:t>
            </w:r>
          </w:p>
        </w:tc>
      </w:tr>
      <w:tr w:rsidR="00E8309B">
        <w:trPr>
          <w:trHeight w:val="260"/>
        </w:trPr>
        <w:tc>
          <w:tcPr>
            <w:tcW w:w="0" w:type="auto"/>
            <w:vMerge/>
            <w:tcBorders>
              <w:top w:val="nil"/>
              <w:left w:val="double" w:sz="6" w:space="0" w:color="000000"/>
              <w:bottom w:val="single" w:sz="4" w:space="0" w:color="000000"/>
              <w:right w:val="single" w:sz="4" w:space="0" w:color="000000"/>
            </w:tcBorders>
          </w:tcPr>
          <w:p w:rsidR="00E8309B" w:rsidRDefault="00E8309B">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tcPr>
          <w:p w:rsidR="00E8309B" w:rsidRDefault="00E8309B">
            <w:pPr>
              <w:spacing w:after="160" w:line="259" w:lineRule="auto"/>
              <w:ind w:left="0" w:right="0" w:firstLine="0"/>
              <w:jc w:val="left"/>
            </w:pPr>
          </w:p>
        </w:tc>
        <w:tc>
          <w:tcPr>
            <w:tcW w:w="1346" w:type="dxa"/>
            <w:tcBorders>
              <w:top w:val="nil"/>
              <w:left w:val="single" w:sz="4" w:space="0" w:color="000000"/>
              <w:bottom w:val="single" w:sz="4" w:space="0" w:color="000000"/>
              <w:right w:val="dashed" w:sz="4" w:space="0" w:color="000000"/>
            </w:tcBorders>
            <w:shd w:val="clear" w:color="auto" w:fill="FFFFFF"/>
          </w:tcPr>
          <w:p w:rsidR="00E8309B" w:rsidRDefault="009D0949">
            <w:pPr>
              <w:spacing w:after="0" w:line="259" w:lineRule="auto"/>
              <w:ind w:left="8" w:right="0" w:firstLine="0"/>
              <w:jc w:val="center"/>
            </w:pPr>
            <w:r>
              <w:rPr>
                <w:sz w:val="20"/>
              </w:rPr>
              <w:t xml:space="preserve">2019 </w:t>
            </w:r>
          </w:p>
        </w:tc>
        <w:tc>
          <w:tcPr>
            <w:tcW w:w="0" w:type="auto"/>
            <w:vMerge/>
            <w:tcBorders>
              <w:top w:val="nil"/>
              <w:left w:val="dashed" w:sz="4" w:space="0" w:color="000000"/>
              <w:bottom w:val="single" w:sz="4" w:space="0" w:color="000000"/>
              <w:right w:val="dashed" w:sz="4" w:space="0" w:color="000000"/>
            </w:tcBorders>
          </w:tcPr>
          <w:p w:rsidR="00E8309B" w:rsidRDefault="00E8309B">
            <w:pPr>
              <w:spacing w:after="160" w:line="259" w:lineRule="auto"/>
              <w:ind w:left="0" w:right="0" w:firstLine="0"/>
              <w:jc w:val="left"/>
            </w:pPr>
          </w:p>
        </w:tc>
        <w:tc>
          <w:tcPr>
            <w:tcW w:w="1343" w:type="dxa"/>
            <w:tcBorders>
              <w:top w:val="nil"/>
              <w:left w:val="dashed" w:sz="4" w:space="0" w:color="000000"/>
              <w:bottom w:val="single" w:sz="4" w:space="0" w:color="000000"/>
              <w:right w:val="dashed" w:sz="4" w:space="0" w:color="000000"/>
            </w:tcBorders>
            <w:shd w:val="clear" w:color="auto" w:fill="FFFFFF"/>
          </w:tcPr>
          <w:p w:rsidR="00E8309B" w:rsidRDefault="009D0949">
            <w:pPr>
              <w:spacing w:after="0" w:line="259" w:lineRule="auto"/>
              <w:ind w:left="7" w:right="0" w:firstLine="0"/>
              <w:jc w:val="center"/>
            </w:pPr>
            <w:r>
              <w:rPr>
                <w:sz w:val="20"/>
              </w:rPr>
              <w:t xml:space="preserve">2021 </w:t>
            </w:r>
          </w:p>
        </w:tc>
        <w:tc>
          <w:tcPr>
            <w:tcW w:w="1339" w:type="dxa"/>
            <w:tcBorders>
              <w:top w:val="nil"/>
              <w:left w:val="dashed" w:sz="4" w:space="0" w:color="000000"/>
              <w:bottom w:val="single" w:sz="4" w:space="0" w:color="000000"/>
              <w:right w:val="dashed" w:sz="4" w:space="0" w:color="000000"/>
            </w:tcBorders>
            <w:shd w:val="clear" w:color="auto" w:fill="FFFFFF"/>
          </w:tcPr>
          <w:p w:rsidR="00E8309B" w:rsidRDefault="009D0949">
            <w:pPr>
              <w:spacing w:after="0" w:line="259" w:lineRule="auto"/>
              <w:ind w:left="8" w:right="0" w:firstLine="0"/>
              <w:jc w:val="center"/>
            </w:pPr>
            <w:r>
              <w:rPr>
                <w:sz w:val="20"/>
              </w:rPr>
              <w:t xml:space="preserve">2022 </w:t>
            </w:r>
          </w:p>
        </w:tc>
        <w:tc>
          <w:tcPr>
            <w:tcW w:w="1346" w:type="dxa"/>
            <w:tcBorders>
              <w:top w:val="nil"/>
              <w:left w:val="dashed" w:sz="4" w:space="0" w:color="000000"/>
              <w:bottom w:val="single" w:sz="4" w:space="0" w:color="000000"/>
              <w:right w:val="double" w:sz="6" w:space="0" w:color="000000"/>
            </w:tcBorders>
            <w:shd w:val="clear" w:color="auto" w:fill="FFFFFF"/>
          </w:tcPr>
          <w:p w:rsidR="00E8309B" w:rsidRDefault="009D0949">
            <w:pPr>
              <w:spacing w:after="0" w:line="259" w:lineRule="auto"/>
              <w:ind w:left="12" w:right="0" w:firstLine="0"/>
              <w:jc w:val="center"/>
            </w:pPr>
            <w:r>
              <w:rPr>
                <w:sz w:val="20"/>
              </w:rPr>
              <w:t xml:space="preserve">2023 </w:t>
            </w:r>
          </w:p>
        </w:tc>
      </w:tr>
      <w:tr w:rsidR="00E8309B">
        <w:trPr>
          <w:trHeight w:val="294"/>
        </w:trPr>
        <w:tc>
          <w:tcPr>
            <w:tcW w:w="6695" w:type="dxa"/>
            <w:tcBorders>
              <w:top w:val="single" w:sz="4" w:space="0" w:color="000000"/>
              <w:left w:val="double" w:sz="6" w:space="0" w:color="000000"/>
              <w:bottom w:val="dashed" w:sz="4" w:space="0" w:color="000000"/>
              <w:right w:val="single" w:sz="4" w:space="0" w:color="000000"/>
            </w:tcBorders>
          </w:tcPr>
          <w:p w:rsidR="00E8309B" w:rsidRDefault="009D0949">
            <w:pPr>
              <w:spacing w:after="0" w:line="259" w:lineRule="auto"/>
              <w:ind w:left="2" w:right="0" w:firstLine="0"/>
              <w:jc w:val="left"/>
            </w:pPr>
            <w:r>
              <w:rPr>
                <w:sz w:val="20"/>
              </w:rPr>
              <w:t xml:space="preserve">1. Реални раст БДП-а (%, мг) </w:t>
            </w:r>
          </w:p>
        </w:tc>
        <w:tc>
          <w:tcPr>
            <w:tcW w:w="1169" w:type="dxa"/>
            <w:tcBorders>
              <w:top w:val="single" w:sz="4" w:space="0" w:color="000000"/>
              <w:left w:val="single" w:sz="4" w:space="0" w:color="000000"/>
              <w:bottom w:val="dashed" w:sz="4" w:space="0" w:color="000000"/>
              <w:right w:val="single" w:sz="4" w:space="0" w:color="000000"/>
            </w:tcBorders>
          </w:tcPr>
          <w:p w:rsidR="00E8309B" w:rsidRDefault="009D0949">
            <w:pPr>
              <w:spacing w:after="0" w:line="259" w:lineRule="auto"/>
              <w:ind w:left="8" w:right="0" w:firstLine="0"/>
              <w:jc w:val="center"/>
            </w:pPr>
            <w:r>
              <w:rPr>
                <w:sz w:val="20"/>
              </w:rPr>
              <w:t xml:space="preserve">B1g </w:t>
            </w:r>
          </w:p>
        </w:tc>
        <w:tc>
          <w:tcPr>
            <w:tcW w:w="1346" w:type="dxa"/>
            <w:tcBorders>
              <w:top w:val="single" w:sz="4" w:space="0" w:color="000000"/>
              <w:left w:val="single" w:sz="4" w:space="0" w:color="000000"/>
              <w:bottom w:val="dashed" w:sz="4" w:space="0" w:color="000000"/>
              <w:right w:val="dashed" w:sz="4" w:space="0" w:color="000000"/>
            </w:tcBorders>
          </w:tcPr>
          <w:p w:rsidR="00E8309B" w:rsidRDefault="009D0949">
            <w:pPr>
              <w:spacing w:after="0" w:line="259" w:lineRule="auto"/>
              <w:ind w:left="6" w:right="0" w:firstLine="0"/>
              <w:jc w:val="center"/>
            </w:pPr>
            <w:r>
              <w:rPr>
                <w:sz w:val="20"/>
              </w:rPr>
              <w:t xml:space="preserve">4,2 </w:t>
            </w:r>
          </w:p>
        </w:tc>
        <w:tc>
          <w:tcPr>
            <w:tcW w:w="1333" w:type="dxa"/>
            <w:tcBorders>
              <w:top w:val="single" w:sz="4" w:space="0" w:color="000000"/>
              <w:left w:val="dashed" w:sz="4" w:space="0" w:color="000000"/>
              <w:bottom w:val="dashed" w:sz="4" w:space="0" w:color="000000"/>
              <w:right w:val="dashed" w:sz="4" w:space="0" w:color="000000"/>
            </w:tcBorders>
          </w:tcPr>
          <w:p w:rsidR="00E8309B" w:rsidRDefault="009D0949">
            <w:pPr>
              <w:spacing w:after="0" w:line="259" w:lineRule="auto"/>
              <w:ind w:left="3" w:right="0" w:firstLine="0"/>
              <w:jc w:val="center"/>
            </w:pPr>
            <w:r>
              <w:rPr>
                <w:sz w:val="20"/>
              </w:rPr>
              <w:t xml:space="preserve">-1,0 </w:t>
            </w:r>
          </w:p>
        </w:tc>
        <w:tc>
          <w:tcPr>
            <w:tcW w:w="1343" w:type="dxa"/>
            <w:tcBorders>
              <w:top w:val="single" w:sz="4" w:space="0" w:color="000000"/>
              <w:left w:val="dashed" w:sz="4" w:space="0" w:color="000000"/>
              <w:bottom w:val="dashed" w:sz="4" w:space="0" w:color="000000"/>
              <w:right w:val="dashed" w:sz="4" w:space="0" w:color="000000"/>
            </w:tcBorders>
          </w:tcPr>
          <w:p w:rsidR="00E8309B" w:rsidRDefault="009D0949">
            <w:pPr>
              <w:spacing w:after="0" w:line="259" w:lineRule="auto"/>
              <w:ind w:left="9" w:right="0" w:firstLine="0"/>
              <w:jc w:val="center"/>
            </w:pPr>
            <w:r>
              <w:rPr>
                <w:sz w:val="20"/>
              </w:rPr>
              <w:t xml:space="preserve">6,0 </w:t>
            </w:r>
          </w:p>
        </w:tc>
        <w:tc>
          <w:tcPr>
            <w:tcW w:w="1339" w:type="dxa"/>
            <w:tcBorders>
              <w:top w:val="single" w:sz="4" w:space="0" w:color="000000"/>
              <w:left w:val="dashed" w:sz="4" w:space="0" w:color="000000"/>
              <w:bottom w:val="dashed" w:sz="4" w:space="0" w:color="000000"/>
              <w:right w:val="dashed" w:sz="4" w:space="0" w:color="000000"/>
            </w:tcBorders>
          </w:tcPr>
          <w:p w:rsidR="00E8309B" w:rsidRDefault="009D0949">
            <w:pPr>
              <w:spacing w:after="0" w:line="259" w:lineRule="auto"/>
              <w:ind w:right="0" w:firstLine="0"/>
              <w:jc w:val="center"/>
            </w:pPr>
            <w:r>
              <w:rPr>
                <w:sz w:val="20"/>
              </w:rPr>
              <w:t xml:space="preserve">4,0 </w:t>
            </w:r>
          </w:p>
        </w:tc>
        <w:tc>
          <w:tcPr>
            <w:tcW w:w="1346" w:type="dxa"/>
            <w:tcBorders>
              <w:top w:val="single" w:sz="4" w:space="0" w:color="000000"/>
              <w:left w:val="dashed" w:sz="4" w:space="0" w:color="000000"/>
              <w:bottom w:val="dashed" w:sz="4" w:space="0" w:color="000000"/>
              <w:right w:val="double" w:sz="6" w:space="0" w:color="000000"/>
            </w:tcBorders>
          </w:tcPr>
          <w:p w:rsidR="00E8309B" w:rsidRDefault="009D0949">
            <w:pPr>
              <w:spacing w:after="0" w:line="259" w:lineRule="auto"/>
              <w:ind w:left="9" w:right="0" w:firstLine="0"/>
              <w:jc w:val="center"/>
            </w:pPr>
            <w:r>
              <w:rPr>
                <w:sz w:val="20"/>
              </w:rPr>
              <w:t xml:space="preserve">4,0 </w:t>
            </w:r>
          </w:p>
        </w:tc>
      </w:tr>
      <w:tr w:rsidR="00E8309B">
        <w:trPr>
          <w:trHeight w:val="293"/>
        </w:trPr>
        <w:tc>
          <w:tcPr>
            <w:tcW w:w="6695" w:type="dxa"/>
            <w:tcBorders>
              <w:top w:val="dashed" w:sz="4" w:space="0" w:color="000000"/>
              <w:left w:val="double" w:sz="6" w:space="0" w:color="000000"/>
              <w:bottom w:val="dashed" w:sz="4" w:space="0" w:color="000000"/>
              <w:right w:val="single" w:sz="4" w:space="0" w:color="000000"/>
            </w:tcBorders>
          </w:tcPr>
          <w:p w:rsidR="00E8309B" w:rsidRDefault="009D0949">
            <w:pPr>
              <w:spacing w:after="0" w:line="259" w:lineRule="auto"/>
              <w:ind w:left="2" w:right="0" w:firstLine="0"/>
              <w:jc w:val="left"/>
            </w:pPr>
            <w:r>
              <w:rPr>
                <w:sz w:val="20"/>
              </w:rPr>
              <w:t xml:space="preserve">2. Нето позајмице општег нивоа државе </w:t>
            </w:r>
          </w:p>
        </w:tc>
        <w:tc>
          <w:tcPr>
            <w:tcW w:w="1169" w:type="dxa"/>
            <w:tcBorders>
              <w:top w:val="dashed" w:sz="4" w:space="0" w:color="000000"/>
              <w:left w:val="single" w:sz="4" w:space="0" w:color="000000"/>
              <w:bottom w:val="dashed" w:sz="4" w:space="0" w:color="000000"/>
              <w:right w:val="single" w:sz="4" w:space="0" w:color="000000"/>
            </w:tcBorders>
          </w:tcPr>
          <w:p w:rsidR="00E8309B" w:rsidRDefault="009D0949">
            <w:pPr>
              <w:spacing w:after="0" w:line="259" w:lineRule="auto"/>
              <w:ind w:left="5" w:right="0" w:firstLine="0"/>
              <w:jc w:val="center"/>
            </w:pPr>
            <w:r>
              <w:rPr>
                <w:sz w:val="20"/>
              </w:rPr>
              <w:t xml:space="preserve">EDP.B.9 </w:t>
            </w:r>
          </w:p>
        </w:tc>
        <w:tc>
          <w:tcPr>
            <w:tcW w:w="1346" w:type="dxa"/>
            <w:tcBorders>
              <w:top w:val="dashed" w:sz="4" w:space="0" w:color="000000"/>
              <w:left w:val="single" w:sz="4" w:space="0" w:color="000000"/>
              <w:bottom w:val="dashed" w:sz="4" w:space="0" w:color="000000"/>
              <w:right w:val="dashed" w:sz="4" w:space="0" w:color="000000"/>
            </w:tcBorders>
          </w:tcPr>
          <w:p w:rsidR="00E8309B" w:rsidRDefault="009D0949">
            <w:pPr>
              <w:spacing w:after="0" w:line="259" w:lineRule="auto"/>
              <w:ind w:left="3" w:right="0" w:firstLine="0"/>
              <w:jc w:val="center"/>
            </w:pPr>
            <w:r>
              <w:rPr>
                <w:sz w:val="20"/>
              </w:rPr>
              <w:t xml:space="preserve">-0,2 </w:t>
            </w:r>
          </w:p>
        </w:tc>
        <w:tc>
          <w:tcPr>
            <w:tcW w:w="1333"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3" w:right="0" w:firstLine="0"/>
              <w:jc w:val="center"/>
            </w:pPr>
            <w:r>
              <w:rPr>
                <w:sz w:val="20"/>
              </w:rPr>
              <w:t xml:space="preserve">-8,9 </w:t>
            </w:r>
          </w:p>
        </w:tc>
        <w:tc>
          <w:tcPr>
            <w:tcW w:w="1343"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7" w:right="0" w:firstLine="0"/>
              <w:jc w:val="center"/>
            </w:pPr>
            <w:r>
              <w:rPr>
                <w:sz w:val="20"/>
              </w:rPr>
              <w:t xml:space="preserve">-3,0 </w:t>
            </w:r>
          </w:p>
        </w:tc>
        <w:tc>
          <w:tcPr>
            <w:tcW w:w="1339"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8" w:right="0" w:firstLine="0"/>
              <w:jc w:val="center"/>
            </w:pPr>
            <w:r>
              <w:rPr>
                <w:sz w:val="20"/>
              </w:rPr>
              <w:t xml:space="preserve">-1,6 </w:t>
            </w:r>
          </w:p>
        </w:tc>
        <w:tc>
          <w:tcPr>
            <w:tcW w:w="1346" w:type="dxa"/>
            <w:tcBorders>
              <w:top w:val="dashed" w:sz="4" w:space="0" w:color="000000"/>
              <w:left w:val="dashed" w:sz="4" w:space="0" w:color="000000"/>
              <w:bottom w:val="dashed" w:sz="4" w:space="0" w:color="000000"/>
              <w:right w:val="double" w:sz="6" w:space="0" w:color="000000"/>
            </w:tcBorders>
          </w:tcPr>
          <w:p w:rsidR="00E8309B" w:rsidRDefault="009D0949">
            <w:pPr>
              <w:spacing w:after="0" w:line="259" w:lineRule="auto"/>
              <w:ind w:left="7" w:right="0" w:firstLine="0"/>
              <w:jc w:val="center"/>
            </w:pPr>
            <w:r>
              <w:rPr>
                <w:sz w:val="20"/>
              </w:rPr>
              <w:t xml:space="preserve">-1,0 </w:t>
            </w:r>
          </w:p>
        </w:tc>
      </w:tr>
      <w:tr w:rsidR="00E8309B">
        <w:trPr>
          <w:trHeight w:val="293"/>
        </w:trPr>
        <w:tc>
          <w:tcPr>
            <w:tcW w:w="6695" w:type="dxa"/>
            <w:tcBorders>
              <w:top w:val="dashed" w:sz="4" w:space="0" w:color="000000"/>
              <w:left w:val="double" w:sz="6" w:space="0" w:color="000000"/>
              <w:bottom w:val="dashed" w:sz="4" w:space="0" w:color="000000"/>
              <w:right w:val="single" w:sz="4" w:space="0" w:color="000000"/>
            </w:tcBorders>
          </w:tcPr>
          <w:p w:rsidR="00E8309B" w:rsidRDefault="009D0949">
            <w:pPr>
              <w:spacing w:after="0" w:line="259" w:lineRule="auto"/>
              <w:ind w:left="2" w:right="0" w:firstLine="0"/>
              <w:jc w:val="left"/>
            </w:pPr>
            <w:r>
              <w:rPr>
                <w:sz w:val="20"/>
              </w:rPr>
              <w:t xml:space="preserve">3.  Расходи за камате </w:t>
            </w:r>
          </w:p>
        </w:tc>
        <w:tc>
          <w:tcPr>
            <w:tcW w:w="1169" w:type="dxa"/>
            <w:tcBorders>
              <w:top w:val="dashed" w:sz="4" w:space="0" w:color="000000"/>
              <w:left w:val="single" w:sz="4" w:space="0" w:color="000000"/>
              <w:bottom w:val="dashed" w:sz="4" w:space="0" w:color="000000"/>
              <w:right w:val="single" w:sz="4" w:space="0" w:color="000000"/>
            </w:tcBorders>
          </w:tcPr>
          <w:p w:rsidR="00E8309B" w:rsidRDefault="009D0949">
            <w:pPr>
              <w:spacing w:after="0" w:line="259" w:lineRule="auto"/>
              <w:ind w:left="65" w:right="0" w:firstLine="0"/>
              <w:jc w:val="left"/>
            </w:pPr>
            <w:r>
              <w:rPr>
                <w:sz w:val="20"/>
              </w:rPr>
              <w:t xml:space="preserve">EDP.D.41 </w:t>
            </w:r>
          </w:p>
          <w:p w:rsidR="00E8309B" w:rsidRDefault="009D0949">
            <w:pPr>
              <w:spacing w:after="0" w:line="259" w:lineRule="auto"/>
              <w:ind w:left="55" w:right="0" w:firstLine="0"/>
              <w:jc w:val="center"/>
            </w:pPr>
            <w:r>
              <w:rPr>
                <w:sz w:val="20"/>
              </w:rPr>
              <w:t xml:space="preserve"> </w:t>
            </w:r>
          </w:p>
        </w:tc>
        <w:tc>
          <w:tcPr>
            <w:tcW w:w="1346" w:type="dxa"/>
            <w:tcBorders>
              <w:top w:val="dashed" w:sz="4" w:space="0" w:color="000000"/>
              <w:left w:val="single" w:sz="4" w:space="0" w:color="000000"/>
              <w:bottom w:val="dashed" w:sz="4" w:space="0" w:color="000000"/>
              <w:right w:val="dashed" w:sz="4" w:space="0" w:color="000000"/>
            </w:tcBorders>
          </w:tcPr>
          <w:p w:rsidR="00E8309B" w:rsidRDefault="009D0949">
            <w:pPr>
              <w:spacing w:after="0" w:line="259" w:lineRule="auto"/>
              <w:ind w:left="6" w:right="0" w:firstLine="0"/>
              <w:jc w:val="center"/>
            </w:pPr>
            <w:r>
              <w:rPr>
                <w:sz w:val="20"/>
              </w:rPr>
              <w:t xml:space="preserve">2,0 </w:t>
            </w:r>
          </w:p>
        </w:tc>
        <w:tc>
          <w:tcPr>
            <w:tcW w:w="1333"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5" w:right="0" w:firstLine="0"/>
              <w:jc w:val="center"/>
            </w:pPr>
            <w:r>
              <w:rPr>
                <w:sz w:val="20"/>
              </w:rPr>
              <w:t xml:space="preserve">2,0 </w:t>
            </w:r>
          </w:p>
        </w:tc>
        <w:tc>
          <w:tcPr>
            <w:tcW w:w="1343"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9" w:right="0" w:firstLine="0"/>
              <w:jc w:val="center"/>
            </w:pPr>
            <w:r>
              <w:rPr>
                <w:sz w:val="20"/>
              </w:rPr>
              <w:t xml:space="preserve">1,9 </w:t>
            </w:r>
          </w:p>
        </w:tc>
        <w:tc>
          <w:tcPr>
            <w:tcW w:w="1339"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right="0" w:firstLine="0"/>
              <w:jc w:val="center"/>
            </w:pPr>
            <w:r>
              <w:rPr>
                <w:sz w:val="20"/>
              </w:rPr>
              <w:t xml:space="preserve">1,7 </w:t>
            </w:r>
          </w:p>
        </w:tc>
        <w:tc>
          <w:tcPr>
            <w:tcW w:w="1346" w:type="dxa"/>
            <w:tcBorders>
              <w:top w:val="dashed" w:sz="4" w:space="0" w:color="000000"/>
              <w:left w:val="dashed" w:sz="4" w:space="0" w:color="000000"/>
              <w:bottom w:val="dashed" w:sz="4" w:space="0" w:color="000000"/>
              <w:right w:val="double" w:sz="6" w:space="0" w:color="000000"/>
            </w:tcBorders>
          </w:tcPr>
          <w:p w:rsidR="00E8309B" w:rsidRDefault="009D0949">
            <w:pPr>
              <w:spacing w:after="0" w:line="259" w:lineRule="auto"/>
              <w:ind w:left="9" w:right="0" w:firstLine="0"/>
              <w:jc w:val="center"/>
            </w:pPr>
            <w:r>
              <w:rPr>
                <w:sz w:val="20"/>
              </w:rPr>
              <w:t xml:space="preserve">1,6 </w:t>
            </w:r>
          </w:p>
        </w:tc>
      </w:tr>
      <w:tr w:rsidR="00E8309B">
        <w:trPr>
          <w:trHeight w:val="293"/>
        </w:trPr>
        <w:tc>
          <w:tcPr>
            <w:tcW w:w="6695" w:type="dxa"/>
            <w:tcBorders>
              <w:top w:val="dashed" w:sz="4" w:space="0" w:color="000000"/>
              <w:left w:val="double" w:sz="6" w:space="0" w:color="000000"/>
              <w:bottom w:val="dashed" w:sz="4" w:space="0" w:color="000000"/>
              <w:right w:val="single" w:sz="4" w:space="0" w:color="000000"/>
            </w:tcBorders>
          </w:tcPr>
          <w:p w:rsidR="00E8309B" w:rsidRDefault="009D0949">
            <w:pPr>
              <w:spacing w:after="0" w:line="259" w:lineRule="auto"/>
              <w:ind w:left="2" w:right="0" w:firstLine="0"/>
              <w:jc w:val="left"/>
            </w:pPr>
            <w:r>
              <w:rPr>
                <w:sz w:val="20"/>
              </w:rPr>
              <w:t xml:space="preserve">4. једнократне и друге привремене мере [1] </w:t>
            </w:r>
          </w:p>
        </w:tc>
        <w:tc>
          <w:tcPr>
            <w:tcW w:w="1169" w:type="dxa"/>
            <w:tcBorders>
              <w:top w:val="dashed" w:sz="4" w:space="0" w:color="000000"/>
              <w:left w:val="single" w:sz="4" w:space="0" w:color="000000"/>
              <w:bottom w:val="dashed" w:sz="4" w:space="0" w:color="000000"/>
              <w:right w:val="single" w:sz="4" w:space="0" w:color="000000"/>
            </w:tcBorders>
            <w:vAlign w:val="bottom"/>
          </w:tcPr>
          <w:p w:rsidR="00E8309B" w:rsidRDefault="009D0949">
            <w:pPr>
              <w:spacing w:after="0" w:line="259" w:lineRule="auto"/>
              <w:ind w:left="55" w:right="0" w:firstLine="0"/>
              <w:jc w:val="center"/>
            </w:pPr>
            <w:r>
              <w:rPr>
                <w:sz w:val="20"/>
              </w:rPr>
              <w:t xml:space="preserve"> </w:t>
            </w:r>
          </w:p>
        </w:tc>
        <w:tc>
          <w:tcPr>
            <w:tcW w:w="1346" w:type="dxa"/>
            <w:tcBorders>
              <w:top w:val="dashed" w:sz="4" w:space="0" w:color="000000"/>
              <w:left w:val="single" w:sz="4" w:space="0" w:color="000000"/>
              <w:bottom w:val="dashed" w:sz="4" w:space="0" w:color="000000"/>
              <w:right w:val="dashed" w:sz="4" w:space="0" w:color="000000"/>
            </w:tcBorders>
          </w:tcPr>
          <w:p w:rsidR="00E8309B" w:rsidRDefault="009D0949">
            <w:pPr>
              <w:spacing w:after="0" w:line="259" w:lineRule="auto"/>
              <w:ind w:left="6" w:right="0" w:firstLine="0"/>
              <w:jc w:val="center"/>
            </w:pPr>
            <w:r>
              <w:rPr>
                <w:sz w:val="20"/>
              </w:rPr>
              <w:t xml:space="preserve">0,0 </w:t>
            </w:r>
          </w:p>
        </w:tc>
        <w:tc>
          <w:tcPr>
            <w:tcW w:w="1333"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3" w:right="0" w:firstLine="0"/>
              <w:jc w:val="center"/>
            </w:pPr>
            <w:r>
              <w:rPr>
                <w:sz w:val="20"/>
              </w:rPr>
              <w:t xml:space="preserve">-7,0 </w:t>
            </w:r>
          </w:p>
        </w:tc>
        <w:tc>
          <w:tcPr>
            <w:tcW w:w="1343"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9" w:right="0" w:firstLine="0"/>
              <w:jc w:val="center"/>
            </w:pPr>
            <w:r>
              <w:rPr>
                <w:sz w:val="20"/>
              </w:rPr>
              <w:t xml:space="preserve">0,6 </w:t>
            </w:r>
          </w:p>
        </w:tc>
        <w:tc>
          <w:tcPr>
            <w:tcW w:w="1339"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right="0" w:firstLine="0"/>
              <w:jc w:val="center"/>
            </w:pPr>
            <w:r>
              <w:rPr>
                <w:sz w:val="20"/>
              </w:rPr>
              <w:t xml:space="preserve">0,6 </w:t>
            </w:r>
          </w:p>
        </w:tc>
        <w:tc>
          <w:tcPr>
            <w:tcW w:w="1346" w:type="dxa"/>
            <w:tcBorders>
              <w:top w:val="dashed" w:sz="4" w:space="0" w:color="000000"/>
              <w:left w:val="dashed" w:sz="4" w:space="0" w:color="000000"/>
              <w:bottom w:val="dashed" w:sz="4" w:space="0" w:color="000000"/>
              <w:right w:val="double" w:sz="6" w:space="0" w:color="000000"/>
            </w:tcBorders>
          </w:tcPr>
          <w:p w:rsidR="00E8309B" w:rsidRDefault="009D0949">
            <w:pPr>
              <w:spacing w:after="0" w:line="259" w:lineRule="auto"/>
              <w:ind w:left="9" w:right="0" w:firstLine="0"/>
              <w:jc w:val="center"/>
            </w:pPr>
            <w:r>
              <w:rPr>
                <w:sz w:val="20"/>
              </w:rPr>
              <w:t xml:space="preserve">0,0 </w:t>
            </w:r>
          </w:p>
        </w:tc>
      </w:tr>
      <w:tr w:rsidR="00E8309B">
        <w:trPr>
          <w:trHeight w:val="293"/>
        </w:trPr>
        <w:tc>
          <w:tcPr>
            <w:tcW w:w="6695" w:type="dxa"/>
            <w:tcBorders>
              <w:top w:val="dashed" w:sz="4" w:space="0" w:color="000000"/>
              <w:left w:val="double" w:sz="6" w:space="0" w:color="000000"/>
              <w:bottom w:val="dashed" w:sz="4" w:space="0" w:color="000000"/>
              <w:right w:val="single" w:sz="4" w:space="0" w:color="000000"/>
            </w:tcBorders>
          </w:tcPr>
          <w:p w:rsidR="00E8309B" w:rsidRDefault="009D0949">
            <w:pPr>
              <w:spacing w:after="0" w:line="259" w:lineRule="auto"/>
              <w:ind w:left="2" w:right="0" w:firstLine="0"/>
              <w:jc w:val="left"/>
            </w:pPr>
            <w:r>
              <w:rPr>
                <w:sz w:val="20"/>
              </w:rPr>
              <w:t xml:space="preserve">5. Потенцијални раст БДП-а (%, мг) </w:t>
            </w:r>
          </w:p>
        </w:tc>
        <w:tc>
          <w:tcPr>
            <w:tcW w:w="1169" w:type="dxa"/>
            <w:tcBorders>
              <w:top w:val="dashed" w:sz="4" w:space="0" w:color="000000"/>
              <w:left w:val="single" w:sz="4" w:space="0" w:color="000000"/>
              <w:bottom w:val="dashed" w:sz="4" w:space="0" w:color="000000"/>
              <w:right w:val="single" w:sz="4" w:space="0" w:color="000000"/>
            </w:tcBorders>
            <w:vAlign w:val="bottom"/>
          </w:tcPr>
          <w:p w:rsidR="00E8309B" w:rsidRDefault="009D0949">
            <w:pPr>
              <w:spacing w:after="0" w:line="259" w:lineRule="auto"/>
              <w:ind w:left="55" w:right="0" w:firstLine="0"/>
              <w:jc w:val="center"/>
            </w:pPr>
            <w:r>
              <w:rPr>
                <w:sz w:val="20"/>
              </w:rPr>
              <w:t xml:space="preserve"> </w:t>
            </w:r>
          </w:p>
        </w:tc>
        <w:tc>
          <w:tcPr>
            <w:tcW w:w="1346" w:type="dxa"/>
            <w:tcBorders>
              <w:top w:val="dashed" w:sz="4" w:space="0" w:color="000000"/>
              <w:left w:val="single" w:sz="4" w:space="0" w:color="000000"/>
              <w:bottom w:val="dashed" w:sz="4" w:space="0" w:color="000000"/>
              <w:right w:val="dashed" w:sz="4" w:space="0" w:color="000000"/>
            </w:tcBorders>
          </w:tcPr>
          <w:p w:rsidR="00E8309B" w:rsidRDefault="009D0949">
            <w:pPr>
              <w:spacing w:after="0" w:line="259" w:lineRule="auto"/>
              <w:ind w:left="6" w:right="0" w:firstLine="0"/>
              <w:jc w:val="center"/>
            </w:pPr>
            <w:r>
              <w:rPr>
                <w:sz w:val="20"/>
              </w:rPr>
              <w:t xml:space="preserve">3,1 </w:t>
            </w:r>
          </w:p>
        </w:tc>
        <w:tc>
          <w:tcPr>
            <w:tcW w:w="1333"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5" w:right="0" w:firstLine="0"/>
              <w:jc w:val="center"/>
            </w:pPr>
            <w:r>
              <w:rPr>
                <w:sz w:val="20"/>
              </w:rPr>
              <w:t xml:space="preserve">3,2 </w:t>
            </w:r>
          </w:p>
        </w:tc>
        <w:tc>
          <w:tcPr>
            <w:tcW w:w="1343"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9" w:right="0" w:firstLine="0"/>
              <w:jc w:val="center"/>
            </w:pPr>
            <w:r>
              <w:rPr>
                <w:sz w:val="20"/>
              </w:rPr>
              <w:t xml:space="preserve">3,6 </w:t>
            </w:r>
          </w:p>
        </w:tc>
        <w:tc>
          <w:tcPr>
            <w:tcW w:w="1339"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right="0" w:firstLine="0"/>
              <w:jc w:val="center"/>
            </w:pPr>
            <w:r>
              <w:rPr>
                <w:sz w:val="20"/>
              </w:rPr>
              <w:t xml:space="preserve">3,8 </w:t>
            </w:r>
          </w:p>
        </w:tc>
        <w:tc>
          <w:tcPr>
            <w:tcW w:w="1346" w:type="dxa"/>
            <w:tcBorders>
              <w:top w:val="dashed" w:sz="4" w:space="0" w:color="000000"/>
              <w:left w:val="dashed" w:sz="4" w:space="0" w:color="000000"/>
              <w:bottom w:val="dashed" w:sz="4" w:space="0" w:color="000000"/>
              <w:right w:val="double" w:sz="6" w:space="0" w:color="000000"/>
            </w:tcBorders>
          </w:tcPr>
          <w:p w:rsidR="00E8309B" w:rsidRDefault="009D0949">
            <w:pPr>
              <w:spacing w:after="0" w:line="259" w:lineRule="auto"/>
              <w:ind w:left="9" w:right="0" w:firstLine="0"/>
              <w:jc w:val="center"/>
            </w:pPr>
            <w:r>
              <w:rPr>
                <w:sz w:val="20"/>
              </w:rPr>
              <w:t xml:space="preserve">4,0 </w:t>
            </w:r>
          </w:p>
        </w:tc>
      </w:tr>
      <w:tr w:rsidR="00E8309B">
        <w:trPr>
          <w:trHeight w:val="293"/>
        </w:trPr>
        <w:tc>
          <w:tcPr>
            <w:tcW w:w="6695" w:type="dxa"/>
            <w:tcBorders>
              <w:top w:val="dashed" w:sz="4" w:space="0" w:color="000000"/>
              <w:left w:val="double" w:sz="6" w:space="0" w:color="000000"/>
              <w:bottom w:val="dashed" w:sz="4" w:space="0" w:color="000000"/>
              <w:right w:val="single" w:sz="4" w:space="0" w:color="000000"/>
            </w:tcBorders>
          </w:tcPr>
          <w:p w:rsidR="00E8309B" w:rsidRDefault="009D0949">
            <w:pPr>
              <w:spacing w:after="0" w:line="259" w:lineRule="auto"/>
              <w:ind w:left="2" w:right="0" w:firstLine="0"/>
              <w:jc w:val="left"/>
            </w:pPr>
            <w:r>
              <w:rPr>
                <w:sz w:val="20"/>
              </w:rPr>
              <w:t xml:space="preserve">       Доприноси: </w:t>
            </w:r>
          </w:p>
        </w:tc>
        <w:tc>
          <w:tcPr>
            <w:tcW w:w="1169" w:type="dxa"/>
            <w:tcBorders>
              <w:top w:val="dashed" w:sz="4" w:space="0" w:color="000000"/>
              <w:left w:val="single" w:sz="4" w:space="0" w:color="000000"/>
              <w:bottom w:val="dashed" w:sz="4" w:space="0" w:color="000000"/>
              <w:right w:val="single" w:sz="4" w:space="0" w:color="000000"/>
            </w:tcBorders>
            <w:vAlign w:val="bottom"/>
          </w:tcPr>
          <w:p w:rsidR="00E8309B" w:rsidRDefault="009D0949">
            <w:pPr>
              <w:spacing w:after="0" w:line="259" w:lineRule="auto"/>
              <w:ind w:left="55" w:right="0" w:firstLine="0"/>
              <w:jc w:val="center"/>
            </w:pPr>
            <w:r>
              <w:rPr>
                <w:sz w:val="20"/>
              </w:rPr>
              <w:t xml:space="preserve"> </w:t>
            </w:r>
          </w:p>
        </w:tc>
        <w:tc>
          <w:tcPr>
            <w:tcW w:w="1346" w:type="dxa"/>
            <w:tcBorders>
              <w:top w:val="dashed" w:sz="4" w:space="0" w:color="000000"/>
              <w:left w:val="single" w:sz="4" w:space="0" w:color="000000"/>
              <w:bottom w:val="dashed" w:sz="4" w:space="0" w:color="000000"/>
              <w:right w:val="dashed" w:sz="4" w:space="0" w:color="000000"/>
            </w:tcBorders>
          </w:tcPr>
          <w:p w:rsidR="00E8309B" w:rsidRDefault="009D0949">
            <w:pPr>
              <w:spacing w:after="0" w:line="259" w:lineRule="auto"/>
              <w:ind w:left="55" w:right="0" w:firstLine="0"/>
              <w:jc w:val="center"/>
            </w:pPr>
            <w:r>
              <w:rPr>
                <w:sz w:val="20"/>
              </w:rPr>
              <w:t xml:space="preserve"> </w:t>
            </w:r>
          </w:p>
        </w:tc>
        <w:tc>
          <w:tcPr>
            <w:tcW w:w="1333"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54" w:right="0" w:firstLine="0"/>
              <w:jc w:val="center"/>
            </w:pPr>
            <w:r>
              <w:rPr>
                <w:sz w:val="20"/>
              </w:rPr>
              <w:t xml:space="preserve"> </w:t>
            </w:r>
          </w:p>
        </w:tc>
        <w:tc>
          <w:tcPr>
            <w:tcW w:w="1343"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58" w:right="0" w:firstLine="0"/>
              <w:jc w:val="center"/>
            </w:pPr>
            <w:r>
              <w:rPr>
                <w:sz w:val="20"/>
              </w:rPr>
              <w:t xml:space="preserve"> </w:t>
            </w:r>
          </w:p>
        </w:tc>
        <w:tc>
          <w:tcPr>
            <w:tcW w:w="1339"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59" w:right="0" w:firstLine="0"/>
              <w:jc w:val="center"/>
            </w:pPr>
            <w:r>
              <w:rPr>
                <w:sz w:val="20"/>
              </w:rPr>
              <w:t xml:space="preserve"> </w:t>
            </w:r>
          </w:p>
        </w:tc>
        <w:tc>
          <w:tcPr>
            <w:tcW w:w="1346" w:type="dxa"/>
            <w:tcBorders>
              <w:top w:val="dashed" w:sz="4" w:space="0" w:color="000000"/>
              <w:left w:val="dashed" w:sz="4" w:space="0" w:color="000000"/>
              <w:bottom w:val="dashed" w:sz="4" w:space="0" w:color="000000"/>
              <w:right w:val="double" w:sz="6" w:space="0" w:color="000000"/>
            </w:tcBorders>
          </w:tcPr>
          <w:p w:rsidR="00E8309B" w:rsidRDefault="009D0949">
            <w:pPr>
              <w:spacing w:after="0" w:line="259" w:lineRule="auto"/>
              <w:ind w:left="58" w:right="0" w:firstLine="0"/>
              <w:jc w:val="center"/>
            </w:pPr>
            <w:r>
              <w:rPr>
                <w:sz w:val="20"/>
              </w:rPr>
              <w:t xml:space="preserve"> </w:t>
            </w:r>
          </w:p>
        </w:tc>
      </w:tr>
      <w:tr w:rsidR="00E8309B">
        <w:trPr>
          <w:trHeight w:val="293"/>
        </w:trPr>
        <w:tc>
          <w:tcPr>
            <w:tcW w:w="6695" w:type="dxa"/>
            <w:tcBorders>
              <w:top w:val="dashed" w:sz="4" w:space="0" w:color="000000"/>
              <w:left w:val="double" w:sz="6" w:space="0" w:color="000000"/>
              <w:bottom w:val="dashed" w:sz="4" w:space="0" w:color="000000"/>
              <w:right w:val="single" w:sz="4" w:space="0" w:color="000000"/>
            </w:tcBorders>
          </w:tcPr>
          <w:p w:rsidR="00E8309B" w:rsidRDefault="009D0949">
            <w:pPr>
              <w:spacing w:after="0" w:line="259" w:lineRule="auto"/>
              <w:ind w:left="2" w:right="0" w:firstLine="0"/>
              <w:jc w:val="left"/>
            </w:pPr>
            <w:r>
              <w:rPr>
                <w:sz w:val="20"/>
              </w:rPr>
              <w:t xml:space="preserve">             - рад </w:t>
            </w:r>
          </w:p>
        </w:tc>
        <w:tc>
          <w:tcPr>
            <w:tcW w:w="1169" w:type="dxa"/>
            <w:tcBorders>
              <w:top w:val="dashed" w:sz="4" w:space="0" w:color="000000"/>
              <w:left w:val="single" w:sz="4" w:space="0" w:color="000000"/>
              <w:bottom w:val="dashed" w:sz="4" w:space="0" w:color="000000"/>
              <w:right w:val="single" w:sz="4" w:space="0" w:color="000000"/>
            </w:tcBorders>
            <w:vAlign w:val="bottom"/>
          </w:tcPr>
          <w:p w:rsidR="00E8309B" w:rsidRDefault="009D0949">
            <w:pPr>
              <w:spacing w:after="0" w:line="259" w:lineRule="auto"/>
              <w:ind w:left="55" w:right="0" w:firstLine="0"/>
              <w:jc w:val="center"/>
            </w:pPr>
            <w:r>
              <w:rPr>
                <w:sz w:val="20"/>
              </w:rPr>
              <w:t xml:space="preserve"> </w:t>
            </w:r>
          </w:p>
        </w:tc>
        <w:tc>
          <w:tcPr>
            <w:tcW w:w="1346" w:type="dxa"/>
            <w:tcBorders>
              <w:top w:val="dashed" w:sz="4" w:space="0" w:color="000000"/>
              <w:left w:val="single" w:sz="4" w:space="0" w:color="000000"/>
              <w:bottom w:val="dashed" w:sz="4" w:space="0" w:color="000000"/>
              <w:right w:val="dashed" w:sz="4" w:space="0" w:color="000000"/>
            </w:tcBorders>
          </w:tcPr>
          <w:p w:rsidR="00E8309B" w:rsidRDefault="009D0949">
            <w:pPr>
              <w:spacing w:after="0" w:line="259" w:lineRule="auto"/>
              <w:ind w:left="6" w:right="0" w:firstLine="0"/>
              <w:jc w:val="center"/>
            </w:pPr>
            <w:r>
              <w:rPr>
                <w:sz w:val="20"/>
              </w:rPr>
              <w:t xml:space="preserve">1,1 </w:t>
            </w:r>
          </w:p>
        </w:tc>
        <w:tc>
          <w:tcPr>
            <w:tcW w:w="1333"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5" w:right="0" w:firstLine="0"/>
              <w:jc w:val="center"/>
            </w:pPr>
            <w:r>
              <w:rPr>
                <w:sz w:val="20"/>
              </w:rPr>
              <w:t xml:space="preserve">1,0 </w:t>
            </w:r>
          </w:p>
        </w:tc>
        <w:tc>
          <w:tcPr>
            <w:tcW w:w="1343"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9" w:right="0" w:firstLine="0"/>
              <w:jc w:val="center"/>
            </w:pPr>
            <w:r>
              <w:rPr>
                <w:sz w:val="20"/>
              </w:rPr>
              <w:t xml:space="preserve">0,8 </w:t>
            </w:r>
          </w:p>
        </w:tc>
        <w:tc>
          <w:tcPr>
            <w:tcW w:w="1339"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right="0" w:firstLine="0"/>
              <w:jc w:val="center"/>
            </w:pPr>
            <w:r>
              <w:rPr>
                <w:sz w:val="20"/>
              </w:rPr>
              <w:t xml:space="preserve">0,7 </w:t>
            </w:r>
          </w:p>
        </w:tc>
        <w:tc>
          <w:tcPr>
            <w:tcW w:w="1346" w:type="dxa"/>
            <w:tcBorders>
              <w:top w:val="dashed" w:sz="4" w:space="0" w:color="000000"/>
              <w:left w:val="dashed" w:sz="4" w:space="0" w:color="000000"/>
              <w:bottom w:val="dashed" w:sz="4" w:space="0" w:color="000000"/>
              <w:right w:val="double" w:sz="6" w:space="0" w:color="000000"/>
            </w:tcBorders>
          </w:tcPr>
          <w:p w:rsidR="00E8309B" w:rsidRDefault="009D0949">
            <w:pPr>
              <w:spacing w:after="0" w:line="259" w:lineRule="auto"/>
              <w:ind w:left="9" w:right="0" w:firstLine="0"/>
              <w:jc w:val="center"/>
            </w:pPr>
            <w:r>
              <w:rPr>
                <w:sz w:val="20"/>
              </w:rPr>
              <w:t xml:space="preserve">0,6 </w:t>
            </w:r>
          </w:p>
        </w:tc>
      </w:tr>
      <w:tr w:rsidR="00E8309B">
        <w:trPr>
          <w:trHeight w:val="293"/>
        </w:trPr>
        <w:tc>
          <w:tcPr>
            <w:tcW w:w="6695" w:type="dxa"/>
            <w:tcBorders>
              <w:top w:val="dashed" w:sz="4" w:space="0" w:color="000000"/>
              <w:left w:val="double" w:sz="6" w:space="0" w:color="000000"/>
              <w:bottom w:val="dashed" w:sz="4" w:space="0" w:color="000000"/>
              <w:right w:val="single" w:sz="4" w:space="0" w:color="000000"/>
            </w:tcBorders>
          </w:tcPr>
          <w:p w:rsidR="00E8309B" w:rsidRDefault="009D0949">
            <w:pPr>
              <w:spacing w:after="0" w:line="259" w:lineRule="auto"/>
              <w:ind w:left="2" w:right="0" w:firstLine="0"/>
              <w:jc w:val="left"/>
            </w:pPr>
            <w:r>
              <w:rPr>
                <w:sz w:val="20"/>
              </w:rPr>
              <w:t xml:space="preserve">             - капитал </w:t>
            </w:r>
          </w:p>
        </w:tc>
        <w:tc>
          <w:tcPr>
            <w:tcW w:w="1169" w:type="dxa"/>
            <w:tcBorders>
              <w:top w:val="dashed" w:sz="4" w:space="0" w:color="000000"/>
              <w:left w:val="single" w:sz="4" w:space="0" w:color="000000"/>
              <w:bottom w:val="dashed" w:sz="4" w:space="0" w:color="000000"/>
              <w:right w:val="single" w:sz="4" w:space="0" w:color="000000"/>
            </w:tcBorders>
            <w:vAlign w:val="bottom"/>
          </w:tcPr>
          <w:p w:rsidR="00E8309B" w:rsidRDefault="009D0949">
            <w:pPr>
              <w:spacing w:after="0" w:line="259" w:lineRule="auto"/>
              <w:ind w:left="55" w:right="0" w:firstLine="0"/>
              <w:jc w:val="center"/>
            </w:pPr>
            <w:r>
              <w:rPr>
                <w:sz w:val="20"/>
              </w:rPr>
              <w:t xml:space="preserve"> </w:t>
            </w:r>
          </w:p>
        </w:tc>
        <w:tc>
          <w:tcPr>
            <w:tcW w:w="1346" w:type="dxa"/>
            <w:tcBorders>
              <w:top w:val="dashed" w:sz="4" w:space="0" w:color="000000"/>
              <w:left w:val="single" w:sz="4" w:space="0" w:color="000000"/>
              <w:bottom w:val="dashed" w:sz="4" w:space="0" w:color="000000"/>
              <w:right w:val="dashed" w:sz="4" w:space="0" w:color="000000"/>
            </w:tcBorders>
          </w:tcPr>
          <w:p w:rsidR="00E8309B" w:rsidRDefault="009D0949">
            <w:pPr>
              <w:spacing w:after="0" w:line="259" w:lineRule="auto"/>
              <w:ind w:left="6" w:right="0" w:firstLine="0"/>
              <w:jc w:val="center"/>
            </w:pPr>
            <w:r>
              <w:rPr>
                <w:sz w:val="20"/>
              </w:rPr>
              <w:t xml:space="preserve">1,6 </w:t>
            </w:r>
          </w:p>
        </w:tc>
        <w:tc>
          <w:tcPr>
            <w:tcW w:w="1333"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5" w:right="0" w:firstLine="0"/>
              <w:jc w:val="center"/>
            </w:pPr>
            <w:r>
              <w:rPr>
                <w:sz w:val="20"/>
              </w:rPr>
              <w:t xml:space="preserve">1,3 </w:t>
            </w:r>
          </w:p>
        </w:tc>
        <w:tc>
          <w:tcPr>
            <w:tcW w:w="1343"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9" w:right="0" w:firstLine="0"/>
              <w:jc w:val="center"/>
            </w:pPr>
            <w:r>
              <w:rPr>
                <w:sz w:val="20"/>
              </w:rPr>
              <w:t xml:space="preserve">1,5 </w:t>
            </w:r>
          </w:p>
        </w:tc>
        <w:tc>
          <w:tcPr>
            <w:tcW w:w="1339"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right="0" w:firstLine="0"/>
              <w:jc w:val="center"/>
            </w:pPr>
            <w:r>
              <w:rPr>
                <w:sz w:val="20"/>
              </w:rPr>
              <w:t xml:space="preserve">1,6 </w:t>
            </w:r>
          </w:p>
        </w:tc>
        <w:tc>
          <w:tcPr>
            <w:tcW w:w="1346" w:type="dxa"/>
            <w:tcBorders>
              <w:top w:val="dashed" w:sz="4" w:space="0" w:color="000000"/>
              <w:left w:val="dashed" w:sz="4" w:space="0" w:color="000000"/>
              <w:bottom w:val="dashed" w:sz="4" w:space="0" w:color="000000"/>
              <w:right w:val="double" w:sz="6" w:space="0" w:color="000000"/>
            </w:tcBorders>
          </w:tcPr>
          <w:p w:rsidR="00E8309B" w:rsidRDefault="009D0949">
            <w:pPr>
              <w:spacing w:after="0" w:line="259" w:lineRule="auto"/>
              <w:ind w:left="9" w:right="0" w:firstLine="0"/>
              <w:jc w:val="center"/>
            </w:pPr>
            <w:r>
              <w:rPr>
                <w:sz w:val="20"/>
              </w:rPr>
              <w:t xml:space="preserve">1,7 </w:t>
            </w:r>
          </w:p>
        </w:tc>
      </w:tr>
      <w:tr w:rsidR="00E8309B">
        <w:trPr>
          <w:trHeight w:val="293"/>
        </w:trPr>
        <w:tc>
          <w:tcPr>
            <w:tcW w:w="6695" w:type="dxa"/>
            <w:tcBorders>
              <w:top w:val="dashed" w:sz="4" w:space="0" w:color="000000"/>
              <w:left w:val="double" w:sz="6" w:space="0" w:color="000000"/>
              <w:bottom w:val="single" w:sz="4" w:space="0" w:color="000000"/>
              <w:right w:val="single" w:sz="4" w:space="0" w:color="000000"/>
            </w:tcBorders>
          </w:tcPr>
          <w:p w:rsidR="00E8309B" w:rsidRDefault="009D0949">
            <w:pPr>
              <w:spacing w:after="0" w:line="259" w:lineRule="auto"/>
              <w:ind w:left="2" w:right="0" w:firstLine="0"/>
              <w:jc w:val="left"/>
            </w:pPr>
            <w:r>
              <w:rPr>
                <w:sz w:val="20"/>
              </w:rPr>
              <w:t xml:space="preserve">             - укупна факторска продуктивност </w:t>
            </w:r>
          </w:p>
        </w:tc>
        <w:tc>
          <w:tcPr>
            <w:tcW w:w="1169" w:type="dxa"/>
            <w:tcBorders>
              <w:top w:val="dashed" w:sz="4" w:space="0" w:color="000000"/>
              <w:left w:val="single" w:sz="4" w:space="0" w:color="000000"/>
              <w:bottom w:val="single" w:sz="4" w:space="0" w:color="000000"/>
              <w:right w:val="single" w:sz="4" w:space="0" w:color="000000"/>
            </w:tcBorders>
            <w:vAlign w:val="bottom"/>
          </w:tcPr>
          <w:p w:rsidR="00E8309B" w:rsidRDefault="009D0949">
            <w:pPr>
              <w:spacing w:after="0" w:line="259" w:lineRule="auto"/>
              <w:ind w:left="55" w:right="0" w:firstLine="0"/>
              <w:jc w:val="center"/>
            </w:pPr>
            <w:r>
              <w:rPr>
                <w:sz w:val="20"/>
              </w:rPr>
              <w:t xml:space="preserve"> </w:t>
            </w:r>
          </w:p>
        </w:tc>
        <w:tc>
          <w:tcPr>
            <w:tcW w:w="1346" w:type="dxa"/>
            <w:tcBorders>
              <w:top w:val="dashed" w:sz="4" w:space="0" w:color="000000"/>
              <w:left w:val="single" w:sz="4" w:space="0" w:color="000000"/>
              <w:bottom w:val="single" w:sz="4" w:space="0" w:color="000000"/>
              <w:right w:val="dashed" w:sz="4" w:space="0" w:color="000000"/>
            </w:tcBorders>
          </w:tcPr>
          <w:p w:rsidR="00E8309B" w:rsidRDefault="009D0949">
            <w:pPr>
              <w:spacing w:after="0" w:line="259" w:lineRule="auto"/>
              <w:ind w:left="6" w:right="0" w:firstLine="0"/>
              <w:jc w:val="center"/>
            </w:pPr>
            <w:r>
              <w:rPr>
                <w:sz w:val="20"/>
              </w:rPr>
              <w:t xml:space="preserve">0,4 </w:t>
            </w:r>
          </w:p>
        </w:tc>
        <w:tc>
          <w:tcPr>
            <w:tcW w:w="1333" w:type="dxa"/>
            <w:tcBorders>
              <w:top w:val="dashed" w:sz="4" w:space="0" w:color="000000"/>
              <w:left w:val="dashed" w:sz="4" w:space="0" w:color="000000"/>
              <w:bottom w:val="single" w:sz="4" w:space="0" w:color="000000"/>
              <w:right w:val="dashed" w:sz="4" w:space="0" w:color="000000"/>
            </w:tcBorders>
          </w:tcPr>
          <w:p w:rsidR="00E8309B" w:rsidRDefault="009D0949">
            <w:pPr>
              <w:spacing w:after="0" w:line="259" w:lineRule="auto"/>
              <w:ind w:left="5" w:right="0" w:firstLine="0"/>
              <w:jc w:val="center"/>
            </w:pPr>
            <w:r>
              <w:rPr>
                <w:sz w:val="20"/>
              </w:rPr>
              <w:t xml:space="preserve">1,0 </w:t>
            </w:r>
          </w:p>
        </w:tc>
        <w:tc>
          <w:tcPr>
            <w:tcW w:w="1343" w:type="dxa"/>
            <w:tcBorders>
              <w:top w:val="dashed" w:sz="4" w:space="0" w:color="000000"/>
              <w:left w:val="dashed" w:sz="4" w:space="0" w:color="000000"/>
              <w:bottom w:val="single" w:sz="4" w:space="0" w:color="000000"/>
              <w:right w:val="dashed" w:sz="4" w:space="0" w:color="000000"/>
            </w:tcBorders>
          </w:tcPr>
          <w:p w:rsidR="00E8309B" w:rsidRDefault="009D0949">
            <w:pPr>
              <w:spacing w:after="0" w:line="259" w:lineRule="auto"/>
              <w:ind w:left="9" w:right="0" w:firstLine="0"/>
              <w:jc w:val="center"/>
            </w:pPr>
            <w:r>
              <w:rPr>
                <w:sz w:val="20"/>
              </w:rPr>
              <w:t xml:space="preserve">1,3 </w:t>
            </w:r>
          </w:p>
        </w:tc>
        <w:tc>
          <w:tcPr>
            <w:tcW w:w="1339" w:type="dxa"/>
            <w:tcBorders>
              <w:top w:val="dashed" w:sz="4" w:space="0" w:color="000000"/>
              <w:left w:val="dashed" w:sz="4" w:space="0" w:color="000000"/>
              <w:bottom w:val="single" w:sz="4" w:space="0" w:color="000000"/>
              <w:right w:val="dashed" w:sz="4" w:space="0" w:color="000000"/>
            </w:tcBorders>
          </w:tcPr>
          <w:p w:rsidR="00E8309B" w:rsidRDefault="009D0949">
            <w:pPr>
              <w:spacing w:after="0" w:line="259" w:lineRule="auto"/>
              <w:ind w:right="0" w:firstLine="0"/>
              <w:jc w:val="center"/>
            </w:pPr>
            <w:r>
              <w:rPr>
                <w:sz w:val="20"/>
              </w:rPr>
              <w:t xml:space="preserve">1,5 </w:t>
            </w:r>
          </w:p>
        </w:tc>
        <w:tc>
          <w:tcPr>
            <w:tcW w:w="1346" w:type="dxa"/>
            <w:tcBorders>
              <w:top w:val="dashed" w:sz="4" w:space="0" w:color="000000"/>
              <w:left w:val="dashed" w:sz="4" w:space="0" w:color="000000"/>
              <w:bottom w:val="single" w:sz="4" w:space="0" w:color="000000"/>
              <w:right w:val="double" w:sz="6" w:space="0" w:color="000000"/>
            </w:tcBorders>
          </w:tcPr>
          <w:p w:rsidR="00E8309B" w:rsidRDefault="009D0949">
            <w:pPr>
              <w:spacing w:after="0" w:line="259" w:lineRule="auto"/>
              <w:ind w:left="9" w:right="0" w:firstLine="0"/>
              <w:jc w:val="center"/>
            </w:pPr>
            <w:r>
              <w:rPr>
                <w:sz w:val="20"/>
              </w:rPr>
              <w:t xml:space="preserve">1,6 </w:t>
            </w:r>
          </w:p>
        </w:tc>
      </w:tr>
      <w:tr w:rsidR="00E8309B">
        <w:trPr>
          <w:trHeight w:val="295"/>
        </w:trPr>
        <w:tc>
          <w:tcPr>
            <w:tcW w:w="6695" w:type="dxa"/>
            <w:tcBorders>
              <w:top w:val="single" w:sz="4" w:space="0" w:color="000000"/>
              <w:left w:val="double" w:sz="6" w:space="0" w:color="000000"/>
              <w:bottom w:val="dashed" w:sz="4" w:space="0" w:color="000000"/>
              <w:right w:val="single" w:sz="4" w:space="0" w:color="000000"/>
            </w:tcBorders>
          </w:tcPr>
          <w:p w:rsidR="00E8309B" w:rsidRDefault="009D0949">
            <w:pPr>
              <w:spacing w:after="0" w:line="259" w:lineRule="auto"/>
              <w:ind w:left="2" w:right="0" w:firstLine="0"/>
              <w:jc w:val="left"/>
            </w:pPr>
            <w:r>
              <w:rPr>
                <w:sz w:val="20"/>
              </w:rPr>
              <w:t xml:space="preserve">6. Производни јаз </w:t>
            </w:r>
          </w:p>
        </w:tc>
        <w:tc>
          <w:tcPr>
            <w:tcW w:w="1169" w:type="dxa"/>
            <w:tcBorders>
              <w:top w:val="single" w:sz="4" w:space="0" w:color="000000"/>
              <w:left w:val="single" w:sz="4" w:space="0" w:color="000000"/>
              <w:bottom w:val="dashed" w:sz="4" w:space="0" w:color="000000"/>
              <w:right w:val="single" w:sz="4" w:space="0" w:color="000000"/>
            </w:tcBorders>
            <w:vAlign w:val="bottom"/>
          </w:tcPr>
          <w:p w:rsidR="00E8309B" w:rsidRDefault="009D0949">
            <w:pPr>
              <w:spacing w:after="0" w:line="259" w:lineRule="auto"/>
              <w:ind w:left="55" w:right="0" w:firstLine="0"/>
              <w:jc w:val="center"/>
            </w:pPr>
            <w:r>
              <w:rPr>
                <w:sz w:val="20"/>
              </w:rPr>
              <w:t xml:space="preserve"> </w:t>
            </w:r>
          </w:p>
        </w:tc>
        <w:tc>
          <w:tcPr>
            <w:tcW w:w="1346" w:type="dxa"/>
            <w:tcBorders>
              <w:top w:val="single" w:sz="4" w:space="0" w:color="000000"/>
              <w:left w:val="single" w:sz="4" w:space="0" w:color="000000"/>
              <w:bottom w:val="dashed" w:sz="4" w:space="0" w:color="000000"/>
              <w:right w:val="dashed" w:sz="4" w:space="0" w:color="000000"/>
            </w:tcBorders>
          </w:tcPr>
          <w:p w:rsidR="00E8309B" w:rsidRDefault="009D0949">
            <w:pPr>
              <w:spacing w:after="0" w:line="259" w:lineRule="auto"/>
              <w:ind w:left="6" w:right="0" w:firstLine="0"/>
              <w:jc w:val="center"/>
            </w:pPr>
            <w:r>
              <w:rPr>
                <w:sz w:val="20"/>
              </w:rPr>
              <w:t xml:space="preserve">2,1 </w:t>
            </w:r>
          </w:p>
        </w:tc>
        <w:tc>
          <w:tcPr>
            <w:tcW w:w="1333" w:type="dxa"/>
            <w:tcBorders>
              <w:top w:val="single" w:sz="4" w:space="0" w:color="000000"/>
              <w:left w:val="dashed" w:sz="4" w:space="0" w:color="000000"/>
              <w:bottom w:val="dashed" w:sz="4" w:space="0" w:color="000000"/>
              <w:right w:val="dashed" w:sz="4" w:space="0" w:color="000000"/>
            </w:tcBorders>
          </w:tcPr>
          <w:p w:rsidR="00E8309B" w:rsidRDefault="009D0949">
            <w:pPr>
              <w:spacing w:after="0" w:line="259" w:lineRule="auto"/>
              <w:ind w:left="3" w:right="0" w:firstLine="0"/>
              <w:jc w:val="center"/>
            </w:pPr>
            <w:r>
              <w:rPr>
                <w:sz w:val="20"/>
              </w:rPr>
              <w:t>-</w:t>
            </w:r>
            <w:r>
              <w:rPr>
                <w:sz w:val="20"/>
              </w:rPr>
              <w:t xml:space="preserve">2,1 </w:t>
            </w:r>
          </w:p>
        </w:tc>
        <w:tc>
          <w:tcPr>
            <w:tcW w:w="1343" w:type="dxa"/>
            <w:tcBorders>
              <w:top w:val="single" w:sz="4" w:space="0" w:color="000000"/>
              <w:left w:val="dashed" w:sz="4" w:space="0" w:color="000000"/>
              <w:bottom w:val="dashed" w:sz="4" w:space="0" w:color="000000"/>
              <w:right w:val="dashed" w:sz="4" w:space="0" w:color="000000"/>
            </w:tcBorders>
          </w:tcPr>
          <w:p w:rsidR="00E8309B" w:rsidRDefault="009D0949">
            <w:pPr>
              <w:spacing w:after="0" w:line="259" w:lineRule="auto"/>
              <w:ind w:left="9" w:right="0" w:firstLine="0"/>
              <w:jc w:val="center"/>
            </w:pPr>
            <w:r>
              <w:rPr>
                <w:sz w:val="20"/>
              </w:rPr>
              <w:t xml:space="preserve">0,2 </w:t>
            </w:r>
          </w:p>
        </w:tc>
        <w:tc>
          <w:tcPr>
            <w:tcW w:w="1339" w:type="dxa"/>
            <w:tcBorders>
              <w:top w:val="single" w:sz="4" w:space="0" w:color="000000"/>
              <w:left w:val="dashed" w:sz="4" w:space="0" w:color="000000"/>
              <w:bottom w:val="dashed" w:sz="4" w:space="0" w:color="000000"/>
              <w:right w:val="dashed" w:sz="4" w:space="0" w:color="000000"/>
            </w:tcBorders>
          </w:tcPr>
          <w:p w:rsidR="00E8309B" w:rsidRDefault="009D0949">
            <w:pPr>
              <w:spacing w:after="0" w:line="259" w:lineRule="auto"/>
              <w:ind w:right="0" w:firstLine="0"/>
              <w:jc w:val="center"/>
            </w:pPr>
            <w:r>
              <w:rPr>
                <w:sz w:val="20"/>
              </w:rPr>
              <w:t xml:space="preserve">0,4 </w:t>
            </w:r>
          </w:p>
        </w:tc>
        <w:tc>
          <w:tcPr>
            <w:tcW w:w="1346" w:type="dxa"/>
            <w:tcBorders>
              <w:top w:val="single" w:sz="4" w:space="0" w:color="000000"/>
              <w:left w:val="dashed" w:sz="4" w:space="0" w:color="000000"/>
              <w:bottom w:val="dashed" w:sz="4" w:space="0" w:color="000000"/>
              <w:right w:val="double" w:sz="6" w:space="0" w:color="000000"/>
            </w:tcBorders>
          </w:tcPr>
          <w:p w:rsidR="00E8309B" w:rsidRDefault="009D0949">
            <w:pPr>
              <w:spacing w:after="0" w:line="259" w:lineRule="auto"/>
              <w:ind w:left="9" w:right="0" w:firstLine="0"/>
              <w:jc w:val="center"/>
            </w:pPr>
            <w:r>
              <w:rPr>
                <w:sz w:val="20"/>
              </w:rPr>
              <w:t xml:space="preserve">0,4 </w:t>
            </w:r>
          </w:p>
        </w:tc>
      </w:tr>
      <w:tr w:rsidR="00E8309B">
        <w:trPr>
          <w:trHeight w:val="293"/>
        </w:trPr>
        <w:tc>
          <w:tcPr>
            <w:tcW w:w="6695" w:type="dxa"/>
            <w:tcBorders>
              <w:top w:val="dashed" w:sz="4" w:space="0" w:color="000000"/>
              <w:left w:val="double" w:sz="6" w:space="0" w:color="000000"/>
              <w:bottom w:val="single" w:sz="4" w:space="0" w:color="000000"/>
              <w:right w:val="single" w:sz="4" w:space="0" w:color="000000"/>
            </w:tcBorders>
          </w:tcPr>
          <w:p w:rsidR="00E8309B" w:rsidRDefault="009D0949">
            <w:pPr>
              <w:spacing w:after="0" w:line="259" w:lineRule="auto"/>
              <w:ind w:left="2" w:right="0" w:firstLine="0"/>
              <w:jc w:val="left"/>
            </w:pPr>
            <w:r>
              <w:rPr>
                <w:sz w:val="20"/>
              </w:rPr>
              <w:t xml:space="preserve">7. Циклична компонента буџета </w:t>
            </w:r>
          </w:p>
        </w:tc>
        <w:tc>
          <w:tcPr>
            <w:tcW w:w="1169" w:type="dxa"/>
            <w:tcBorders>
              <w:top w:val="dashed" w:sz="4" w:space="0" w:color="000000"/>
              <w:left w:val="single" w:sz="4" w:space="0" w:color="000000"/>
              <w:bottom w:val="single" w:sz="4" w:space="0" w:color="000000"/>
              <w:right w:val="single" w:sz="4" w:space="0" w:color="000000"/>
            </w:tcBorders>
            <w:vAlign w:val="bottom"/>
          </w:tcPr>
          <w:p w:rsidR="00E8309B" w:rsidRDefault="009D0949">
            <w:pPr>
              <w:spacing w:after="0" w:line="259" w:lineRule="auto"/>
              <w:ind w:left="55" w:right="0" w:firstLine="0"/>
              <w:jc w:val="center"/>
            </w:pPr>
            <w:r>
              <w:rPr>
                <w:sz w:val="20"/>
              </w:rPr>
              <w:t xml:space="preserve"> </w:t>
            </w:r>
          </w:p>
        </w:tc>
        <w:tc>
          <w:tcPr>
            <w:tcW w:w="1346" w:type="dxa"/>
            <w:tcBorders>
              <w:top w:val="dashed" w:sz="4" w:space="0" w:color="000000"/>
              <w:left w:val="single" w:sz="4" w:space="0" w:color="000000"/>
              <w:bottom w:val="single" w:sz="4" w:space="0" w:color="000000"/>
              <w:right w:val="dashed" w:sz="4" w:space="0" w:color="000000"/>
            </w:tcBorders>
          </w:tcPr>
          <w:p w:rsidR="00E8309B" w:rsidRDefault="009D0949">
            <w:pPr>
              <w:spacing w:after="0" w:line="259" w:lineRule="auto"/>
              <w:ind w:left="6" w:right="0" w:firstLine="0"/>
              <w:jc w:val="center"/>
            </w:pPr>
            <w:r>
              <w:rPr>
                <w:sz w:val="20"/>
              </w:rPr>
              <w:t xml:space="preserve">0,8 </w:t>
            </w:r>
          </w:p>
        </w:tc>
        <w:tc>
          <w:tcPr>
            <w:tcW w:w="1333" w:type="dxa"/>
            <w:tcBorders>
              <w:top w:val="dashed" w:sz="4" w:space="0" w:color="000000"/>
              <w:left w:val="dashed" w:sz="4" w:space="0" w:color="000000"/>
              <w:bottom w:val="single" w:sz="4" w:space="0" w:color="000000"/>
              <w:right w:val="dashed" w:sz="4" w:space="0" w:color="000000"/>
            </w:tcBorders>
          </w:tcPr>
          <w:p w:rsidR="00E8309B" w:rsidRDefault="009D0949">
            <w:pPr>
              <w:spacing w:after="0" w:line="259" w:lineRule="auto"/>
              <w:ind w:left="3" w:right="0" w:firstLine="0"/>
              <w:jc w:val="center"/>
            </w:pPr>
            <w:r>
              <w:rPr>
                <w:sz w:val="20"/>
              </w:rPr>
              <w:t xml:space="preserve">-0,8 </w:t>
            </w:r>
          </w:p>
        </w:tc>
        <w:tc>
          <w:tcPr>
            <w:tcW w:w="1343" w:type="dxa"/>
            <w:tcBorders>
              <w:top w:val="dashed" w:sz="4" w:space="0" w:color="000000"/>
              <w:left w:val="dashed" w:sz="4" w:space="0" w:color="000000"/>
              <w:bottom w:val="single" w:sz="4" w:space="0" w:color="000000"/>
              <w:right w:val="dashed" w:sz="4" w:space="0" w:color="000000"/>
            </w:tcBorders>
          </w:tcPr>
          <w:p w:rsidR="00E8309B" w:rsidRDefault="009D0949">
            <w:pPr>
              <w:spacing w:after="0" w:line="259" w:lineRule="auto"/>
              <w:ind w:left="9" w:right="0" w:firstLine="0"/>
              <w:jc w:val="center"/>
            </w:pPr>
            <w:r>
              <w:rPr>
                <w:sz w:val="20"/>
              </w:rPr>
              <w:t xml:space="preserve">0,1 </w:t>
            </w:r>
          </w:p>
        </w:tc>
        <w:tc>
          <w:tcPr>
            <w:tcW w:w="1339" w:type="dxa"/>
            <w:tcBorders>
              <w:top w:val="dashed" w:sz="4" w:space="0" w:color="000000"/>
              <w:left w:val="dashed" w:sz="4" w:space="0" w:color="000000"/>
              <w:bottom w:val="single" w:sz="4" w:space="0" w:color="000000"/>
              <w:right w:val="dashed" w:sz="4" w:space="0" w:color="000000"/>
            </w:tcBorders>
          </w:tcPr>
          <w:p w:rsidR="00E8309B" w:rsidRDefault="009D0949">
            <w:pPr>
              <w:spacing w:after="0" w:line="259" w:lineRule="auto"/>
              <w:ind w:right="0" w:firstLine="0"/>
              <w:jc w:val="center"/>
            </w:pPr>
            <w:r>
              <w:rPr>
                <w:sz w:val="20"/>
              </w:rPr>
              <w:t xml:space="preserve">0,1 </w:t>
            </w:r>
          </w:p>
        </w:tc>
        <w:tc>
          <w:tcPr>
            <w:tcW w:w="1346" w:type="dxa"/>
            <w:tcBorders>
              <w:top w:val="dashed" w:sz="4" w:space="0" w:color="000000"/>
              <w:left w:val="dashed" w:sz="4" w:space="0" w:color="000000"/>
              <w:bottom w:val="single" w:sz="4" w:space="0" w:color="000000"/>
              <w:right w:val="double" w:sz="6" w:space="0" w:color="000000"/>
            </w:tcBorders>
          </w:tcPr>
          <w:p w:rsidR="00E8309B" w:rsidRDefault="009D0949">
            <w:pPr>
              <w:spacing w:after="0" w:line="259" w:lineRule="auto"/>
              <w:ind w:left="9" w:right="0" w:firstLine="0"/>
              <w:jc w:val="center"/>
            </w:pPr>
            <w:r>
              <w:rPr>
                <w:sz w:val="20"/>
              </w:rPr>
              <w:t xml:space="preserve">0,2 </w:t>
            </w:r>
          </w:p>
        </w:tc>
      </w:tr>
      <w:tr w:rsidR="00E8309B">
        <w:trPr>
          <w:trHeight w:val="293"/>
        </w:trPr>
        <w:tc>
          <w:tcPr>
            <w:tcW w:w="6695" w:type="dxa"/>
            <w:tcBorders>
              <w:top w:val="single" w:sz="4" w:space="0" w:color="000000"/>
              <w:left w:val="double" w:sz="6" w:space="0" w:color="000000"/>
              <w:bottom w:val="dashed" w:sz="4" w:space="0" w:color="000000"/>
              <w:right w:val="single" w:sz="4" w:space="0" w:color="000000"/>
            </w:tcBorders>
          </w:tcPr>
          <w:p w:rsidR="00E8309B" w:rsidRDefault="009D0949">
            <w:pPr>
              <w:spacing w:after="0" w:line="259" w:lineRule="auto"/>
              <w:ind w:left="2" w:right="0" w:firstLine="0"/>
              <w:jc w:val="left"/>
            </w:pPr>
            <w:r>
              <w:rPr>
                <w:sz w:val="20"/>
              </w:rPr>
              <w:t xml:space="preserve">8. Циклично прилагођени биланс (2-7) </w:t>
            </w:r>
          </w:p>
        </w:tc>
        <w:tc>
          <w:tcPr>
            <w:tcW w:w="1169" w:type="dxa"/>
            <w:tcBorders>
              <w:top w:val="single" w:sz="4" w:space="0" w:color="000000"/>
              <w:left w:val="single" w:sz="4" w:space="0" w:color="000000"/>
              <w:bottom w:val="dashed" w:sz="4" w:space="0" w:color="000000"/>
              <w:right w:val="single" w:sz="4" w:space="0" w:color="000000"/>
            </w:tcBorders>
            <w:vAlign w:val="bottom"/>
          </w:tcPr>
          <w:p w:rsidR="00E8309B" w:rsidRDefault="009D0949">
            <w:pPr>
              <w:spacing w:after="0" w:line="259" w:lineRule="auto"/>
              <w:ind w:left="55" w:right="0" w:firstLine="0"/>
              <w:jc w:val="center"/>
            </w:pPr>
            <w:r>
              <w:rPr>
                <w:sz w:val="20"/>
              </w:rPr>
              <w:t xml:space="preserve"> </w:t>
            </w:r>
          </w:p>
        </w:tc>
        <w:tc>
          <w:tcPr>
            <w:tcW w:w="1346" w:type="dxa"/>
            <w:tcBorders>
              <w:top w:val="single" w:sz="4" w:space="0" w:color="000000"/>
              <w:left w:val="single" w:sz="4" w:space="0" w:color="000000"/>
              <w:bottom w:val="dashed" w:sz="4" w:space="0" w:color="000000"/>
              <w:right w:val="dashed" w:sz="4" w:space="0" w:color="000000"/>
            </w:tcBorders>
          </w:tcPr>
          <w:p w:rsidR="00E8309B" w:rsidRDefault="009D0949">
            <w:pPr>
              <w:spacing w:after="0" w:line="259" w:lineRule="auto"/>
              <w:ind w:left="3" w:right="0" w:firstLine="0"/>
              <w:jc w:val="center"/>
            </w:pPr>
            <w:r>
              <w:rPr>
                <w:sz w:val="20"/>
              </w:rPr>
              <w:t xml:space="preserve">-1,0 </w:t>
            </w:r>
          </w:p>
        </w:tc>
        <w:tc>
          <w:tcPr>
            <w:tcW w:w="1333" w:type="dxa"/>
            <w:tcBorders>
              <w:top w:val="single" w:sz="4" w:space="0" w:color="000000"/>
              <w:left w:val="dashed" w:sz="4" w:space="0" w:color="000000"/>
              <w:bottom w:val="dashed" w:sz="4" w:space="0" w:color="000000"/>
              <w:right w:val="dashed" w:sz="4" w:space="0" w:color="000000"/>
            </w:tcBorders>
          </w:tcPr>
          <w:p w:rsidR="00E8309B" w:rsidRDefault="009D0949">
            <w:pPr>
              <w:spacing w:after="0" w:line="259" w:lineRule="auto"/>
              <w:ind w:left="3" w:right="0" w:firstLine="0"/>
              <w:jc w:val="center"/>
            </w:pPr>
            <w:r>
              <w:rPr>
                <w:sz w:val="20"/>
              </w:rPr>
              <w:t xml:space="preserve">-8,1 </w:t>
            </w:r>
          </w:p>
        </w:tc>
        <w:tc>
          <w:tcPr>
            <w:tcW w:w="1343" w:type="dxa"/>
            <w:tcBorders>
              <w:top w:val="single" w:sz="4" w:space="0" w:color="000000"/>
              <w:left w:val="dashed" w:sz="4" w:space="0" w:color="000000"/>
              <w:bottom w:val="dashed" w:sz="4" w:space="0" w:color="000000"/>
              <w:right w:val="dashed" w:sz="4" w:space="0" w:color="000000"/>
            </w:tcBorders>
          </w:tcPr>
          <w:p w:rsidR="00E8309B" w:rsidRDefault="009D0949">
            <w:pPr>
              <w:spacing w:after="0" w:line="259" w:lineRule="auto"/>
              <w:ind w:left="7" w:right="0" w:firstLine="0"/>
              <w:jc w:val="center"/>
            </w:pPr>
            <w:r>
              <w:rPr>
                <w:sz w:val="20"/>
              </w:rPr>
              <w:t xml:space="preserve">-3,1 </w:t>
            </w:r>
          </w:p>
        </w:tc>
        <w:tc>
          <w:tcPr>
            <w:tcW w:w="1339" w:type="dxa"/>
            <w:tcBorders>
              <w:top w:val="single" w:sz="4" w:space="0" w:color="000000"/>
              <w:left w:val="dashed" w:sz="4" w:space="0" w:color="000000"/>
              <w:bottom w:val="dashed" w:sz="4" w:space="0" w:color="000000"/>
              <w:right w:val="dashed" w:sz="4" w:space="0" w:color="000000"/>
            </w:tcBorders>
          </w:tcPr>
          <w:p w:rsidR="00E8309B" w:rsidRDefault="009D0949">
            <w:pPr>
              <w:spacing w:after="0" w:line="259" w:lineRule="auto"/>
              <w:ind w:left="8" w:right="0" w:firstLine="0"/>
              <w:jc w:val="center"/>
            </w:pPr>
            <w:r>
              <w:rPr>
                <w:sz w:val="20"/>
              </w:rPr>
              <w:t xml:space="preserve">-1,7 </w:t>
            </w:r>
          </w:p>
        </w:tc>
        <w:tc>
          <w:tcPr>
            <w:tcW w:w="1346" w:type="dxa"/>
            <w:tcBorders>
              <w:top w:val="single" w:sz="4" w:space="0" w:color="000000"/>
              <w:left w:val="dashed" w:sz="4" w:space="0" w:color="000000"/>
              <w:bottom w:val="dashed" w:sz="4" w:space="0" w:color="000000"/>
              <w:right w:val="double" w:sz="6" w:space="0" w:color="000000"/>
            </w:tcBorders>
          </w:tcPr>
          <w:p w:rsidR="00E8309B" w:rsidRDefault="009D0949">
            <w:pPr>
              <w:spacing w:after="0" w:line="259" w:lineRule="auto"/>
              <w:ind w:left="7" w:right="0" w:firstLine="0"/>
              <w:jc w:val="center"/>
            </w:pPr>
            <w:r>
              <w:rPr>
                <w:sz w:val="20"/>
              </w:rPr>
              <w:t xml:space="preserve">-1,2 </w:t>
            </w:r>
          </w:p>
        </w:tc>
      </w:tr>
      <w:tr w:rsidR="00E8309B">
        <w:trPr>
          <w:trHeight w:val="293"/>
        </w:trPr>
        <w:tc>
          <w:tcPr>
            <w:tcW w:w="6695" w:type="dxa"/>
            <w:tcBorders>
              <w:top w:val="dashed" w:sz="4" w:space="0" w:color="000000"/>
              <w:left w:val="double" w:sz="6" w:space="0" w:color="000000"/>
              <w:bottom w:val="dashed" w:sz="4" w:space="0" w:color="000000"/>
              <w:right w:val="single" w:sz="4" w:space="0" w:color="000000"/>
            </w:tcBorders>
          </w:tcPr>
          <w:p w:rsidR="00E8309B" w:rsidRDefault="009D0949">
            <w:pPr>
              <w:spacing w:after="0" w:line="259" w:lineRule="auto"/>
              <w:ind w:left="2" w:right="0" w:firstLine="0"/>
              <w:jc w:val="left"/>
            </w:pPr>
            <w:r>
              <w:rPr>
                <w:sz w:val="20"/>
              </w:rPr>
              <w:t xml:space="preserve">9. Циклично прилагођени примарни биланс (8-3) </w:t>
            </w:r>
          </w:p>
        </w:tc>
        <w:tc>
          <w:tcPr>
            <w:tcW w:w="1169" w:type="dxa"/>
            <w:tcBorders>
              <w:top w:val="dashed" w:sz="4" w:space="0" w:color="000000"/>
              <w:left w:val="single" w:sz="4" w:space="0" w:color="000000"/>
              <w:bottom w:val="dashed" w:sz="4" w:space="0" w:color="000000"/>
              <w:right w:val="single" w:sz="4" w:space="0" w:color="000000"/>
            </w:tcBorders>
            <w:vAlign w:val="bottom"/>
          </w:tcPr>
          <w:p w:rsidR="00E8309B" w:rsidRDefault="009D0949">
            <w:pPr>
              <w:spacing w:after="0" w:line="259" w:lineRule="auto"/>
              <w:ind w:left="55" w:right="0" w:firstLine="0"/>
              <w:jc w:val="center"/>
            </w:pPr>
            <w:r>
              <w:rPr>
                <w:sz w:val="20"/>
              </w:rPr>
              <w:t xml:space="preserve"> </w:t>
            </w:r>
          </w:p>
        </w:tc>
        <w:tc>
          <w:tcPr>
            <w:tcW w:w="1346" w:type="dxa"/>
            <w:tcBorders>
              <w:top w:val="dashed" w:sz="4" w:space="0" w:color="000000"/>
              <w:left w:val="single" w:sz="4" w:space="0" w:color="000000"/>
              <w:bottom w:val="dashed" w:sz="4" w:space="0" w:color="000000"/>
              <w:right w:val="dashed" w:sz="4" w:space="0" w:color="000000"/>
            </w:tcBorders>
          </w:tcPr>
          <w:p w:rsidR="00E8309B" w:rsidRDefault="009D0949">
            <w:pPr>
              <w:spacing w:after="0" w:line="259" w:lineRule="auto"/>
              <w:ind w:left="6" w:right="0" w:firstLine="0"/>
              <w:jc w:val="center"/>
            </w:pPr>
            <w:r>
              <w:rPr>
                <w:sz w:val="20"/>
              </w:rPr>
              <w:t xml:space="preserve">1,0 </w:t>
            </w:r>
          </w:p>
        </w:tc>
        <w:tc>
          <w:tcPr>
            <w:tcW w:w="1333"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3" w:right="0" w:firstLine="0"/>
              <w:jc w:val="center"/>
            </w:pPr>
            <w:r>
              <w:rPr>
                <w:sz w:val="20"/>
              </w:rPr>
              <w:t xml:space="preserve">-6,1 </w:t>
            </w:r>
          </w:p>
        </w:tc>
        <w:tc>
          <w:tcPr>
            <w:tcW w:w="1343"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7" w:right="0" w:firstLine="0"/>
              <w:jc w:val="center"/>
            </w:pPr>
            <w:r>
              <w:rPr>
                <w:sz w:val="20"/>
              </w:rPr>
              <w:t xml:space="preserve">-1,2 </w:t>
            </w:r>
          </w:p>
        </w:tc>
        <w:tc>
          <w:tcPr>
            <w:tcW w:w="1339"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right="0" w:firstLine="0"/>
              <w:jc w:val="center"/>
            </w:pPr>
            <w:r>
              <w:rPr>
                <w:sz w:val="20"/>
              </w:rPr>
              <w:t xml:space="preserve">0,0 </w:t>
            </w:r>
          </w:p>
        </w:tc>
        <w:tc>
          <w:tcPr>
            <w:tcW w:w="1346" w:type="dxa"/>
            <w:tcBorders>
              <w:top w:val="dashed" w:sz="4" w:space="0" w:color="000000"/>
              <w:left w:val="dashed" w:sz="4" w:space="0" w:color="000000"/>
              <w:bottom w:val="dashed" w:sz="4" w:space="0" w:color="000000"/>
              <w:right w:val="double" w:sz="6" w:space="0" w:color="000000"/>
            </w:tcBorders>
          </w:tcPr>
          <w:p w:rsidR="00E8309B" w:rsidRDefault="009D0949">
            <w:pPr>
              <w:spacing w:after="0" w:line="259" w:lineRule="auto"/>
              <w:ind w:left="9" w:right="0" w:firstLine="0"/>
              <w:jc w:val="center"/>
            </w:pPr>
            <w:r>
              <w:rPr>
                <w:sz w:val="20"/>
              </w:rPr>
              <w:t xml:space="preserve">0,4 </w:t>
            </w:r>
          </w:p>
        </w:tc>
      </w:tr>
      <w:tr w:rsidR="00E8309B">
        <w:trPr>
          <w:trHeight w:val="312"/>
        </w:trPr>
        <w:tc>
          <w:tcPr>
            <w:tcW w:w="6695" w:type="dxa"/>
            <w:tcBorders>
              <w:top w:val="dashed" w:sz="4" w:space="0" w:color="000000"/>
              <w:left w:val="double" w:sz="6" w:space="0" w:color="000000"/>
              <w:bottom w:val="double" w:sz="6" w:space="0" w:color="000000"/>
              <w:right w:val="single" w:sz="4" w:space="0" w:color="000000"/>
            </w:tcBorders>
          </w:tcPr>
          <w:p w:rsidR="00E8309B" w:rsidRDefault="009D0949">
            <w:pPr>
              <w:spacing w:after="0" w:line="259" w:lineRule="auto"/>
              <w:ind w:left="2" w:right="0" w:firstLine="0"/>
              <w:jc w:val="left"/>
            </w:pPr>
            <w:r>
              <w:rPr>
                <w:sz w:val="20"/>
              </w:rPr>
              <w:t>10. Структурни биланс (8-4)</w:t>
            </w:r>
            <w:r>
              <w:rPr>
                <w:sz w:val="20"/>
              </w:rPr>
              <w:t xml:space="preserve"> </w:t>
            </w:r>
          </w:p>
        </w:tc>
        <w:tc>
          <w:tcPr>
            <w:tcW w:w="1169" w:type="dxa"/>
            <w:tcBorders>
              <w:top w:val="dashed" w:sz="4" w:space="0" w:color="000000"/>
              <w:left w:val="single" w:sz="4" w:space="0" w:color="000000"/>
              <w:bottom w:val="double" w:sz="6" w:space="0" w:color="000000"/>
              <w:right w:val="single" w:sz="4" w:space="0" w:color="000000"/>
            </w:tcBorders>
          </w:tcPr>
          <w:p w:rsidR="00E8309B" w:rsidRDefault="00E8309B">
            <w:pPr>
              <w:spacing w:after="160" w:line="259" w:lineRule="auto"/>
              <w:ind w:left="0" w:right="0" w:firstLine="0"/>
              <w:jc w:val="left"/>
            </w:pPr>
          </w:p>
        </w:tc>
        <w:tc>
          <w:tcPr>
            <w:tcW w:w="1346" w:type="dxa"/>
            <w:tcBorders>
              <w:top w:val="dashed" w:sz="4" w:space="0" w:color="000000"/>
              <w:left w:val="single" w:sz="4" w:space="0" w:color="000000"/>
              <w:bottom w:val="double" w:sz="6" w:space="0" w:color="000000"/>
              <w:right w:val="dashed" w:sz="4" w:space="0" w:color="000000"/>
            </w:tcBorders>
          </w:tcPr>
          <w:p w:rsidR="00E8309B" w:rsidRDefault="009D0949">
            <w:pPr>
              <w:spacing w:after="0" w:line="259" w:lineRule="auto"/>
              <w:ind w:left="3" w:right="0" w:firstLine="0"/>
              <w:jc w:val="center"/>
            </w:pPr>
            <w:r>
              <w:rPr>
                <w:sz w:val="20"/>
              </w:rPr>
              <w:t xml:space="preserve">-1,0 </w:t>
            </w:r>
          </w:p>
        </w:tc>
        <w:tc>
          <w:tcPr>
            <w:tcW w:w="1333" w:type="dxa"/>
            <w:tcBorders>
              <w:top w:val="dashed" w:sz="4" w:space="0" w:color="000000"/>
              <w:left w:val="dashed" w:sz="4" w:space="0" w:color="000000"/>
              <w:bottom w:val="double" w:sz="6" w:space="0" w:color="000000"/>
              <w:right w:val="dashed" w:sz="4" w:space="0" w:color="000000"/>
            </w:tcBorders>
          </w:tcPr>
          <w:p w:rsidR="00E8309B" w:rsidRDefault="009D0949">
            <w:pPr>
              <w:spacing w:after="0" w:line="259" w:lineRule="auto"/>
              <w:ind w:left="3" w:right="0" w:firstLine="0"/>
              <w:jc w:val="center"/>
            </w:pPr>
            <w:r>
              <w:rPr>
                <w:sz w:val="20"/>
              </w:rPr>
              <w:t xml:space="preserve">-1,1 </w:t>
            </w:r>
          </w:p>
        </w:tc>
        <w:tc>
          <w:tcPr>
            <w:tcW w:w="1343" w:type="dxa"/>
            <w:tcBorders>
              <w:top w:val="dashed" w:sz="4" w:space="0" w:color="000000"/>
              <w:left w:val="dashed" w:sz="4" w:space="0" w:color="000000"/>
              <w:bottom w:val="double" w:sz="6" w:space="0" w:color="000000"/>
              <w:right w:val="dashed" w:sz="4" w:space="0" w:color="000000"/>
            </w:tcBorders>
          </w:tcPr>
          <w:p w:rsidR="00E8309B" w:rsidRDefault="009D0949">
            <w:pPr>
              <w:spacing w:after="0" w:line="259" w:lineRule="auto"/>
              <w:ind w:left="7" w:right="0" w:firstLine="0"/>
              <w:jc w:val="center"/>
            </w:pPr>
            <w:r>
              <w:rPr>
                <w:sz w:val="20"/>
              </w:rPr>
              <w:t xml:space="preserve">-3,7 </w:t>
            </w:r>
          </w:p>
        </w:tc>
        <w:tc>
          <w:tcPr>
            <w:tcW w:w="1339" w:type="dxa"/>
            <w:tcBorders>
              <w:top w:val="dashed" w:sz="4" w:space="0" w:color="000000"/>
              <w:left w:val="dashed" w:sz="4" w:space="0" w:color="000000"/>
              <w:bottom w:val="double" w:sz="6" w:space="0" w:color="000000"/>
              <w:right w:val="dashed" w:sz="4" w:space="0" w:color="000000"/>
            </w:tcBorders>
          </w:tcPr>
          <w:p w:rsidR="00E8309B" w:rsidRDefault="009D0949">
            <w:pPr>
              <w:spacing w:after="0" w:line="259" w:lineRule="auto"/>
              <w:ind w:left="8" w:right="0" w:firstLine="0"/>
              <w:jc w:val="center"/>
            </w:pPr>
            <w:r>
              <w:rPr>
                <w:sz w:val="20"/>
              </w:rPr>
              <w:t xml:space="preserve">-2,3 </w:t>
            </w:r>
          </w:p>
        </w:tc>
        <w:tc>
          <w:tcPr>
            <w:tcW w:w="1346" w:type="dxa"/>
            <w:tcBorders>
              <w:top w:val="dashed" w:sz="4" w:space="0" w:color="000000"/>
              <w:left w:val="dashed" w:sz="4" w:space="0" w:color="000000"/>
              <w:bottom w:val="double" w:sz="6" w:space="0" w:color="000000"/>
              <w:right w:val="double" w:sz="6" w:space="0" w:color="000000"/>
            </w:tcBorders>
          </w:tcPr>
          <w:p w:rsidR="00E8309B" w:rsidRDefault="009D0949">
            <w:pPr>
              <w:spacing w:after="0" w:line="259" w:lineRule="auto"/>
              <w:ind w:left="7" w:right="0" w:firstLine="0"/>
              <w:jc w:val="center"/>
            </w:pPr>
            <w:r>
              <w:rPr>
                <w:sz w:val="20"/>
              </w:rPr>
              <w:t xml:space="preserve">-1,2 </w:t>
            </w:r>
          </w:p>
        </w:tc>
      </w:tr>
    </w:tbl>
    <w:p w:rsidR="00E8309B" w:rsidRDefault="009D0949">
      <w:pPr>
        <w:tabs>
          <w:tab w:val="center" w:pos="6803"/>
          <w:tab w:val="center" w:pos="7972"/>
          <w:tab w:val="center" w:pos="9330"/>
          <w:tab w:val="center" w:pos="10428"/>
          <w:tab w:val="center" w:pos="11515"/>
          <w:tab w:val="center" w:pos="12602"/>
        </w:tabs>
        <w:spacing w:after="13" w:line="269" w:lineRule="auto"/>
        <w:ind w:left="0" w:right="0" w:firstLine="0"/>
        <w:jc w:val="left"/>
      </w:pPr>
      <w:r>
        <w:rPr>
          <w:sz w:val="20"/>
        </w:rPr>
        <w:t xml:space="preserve">[1] Позитиван знак значи једнократне мере за смањење дефицита. </w:t>
      </w:r>
      <w:r>
        <w:rPr>
          <w:sz w:val="20"/>
        </w:rPr>
        <w:tab/>
        <w:t xml:space="preserve">  </w:t>
      </w:r>
      <w:r>
        <w:rPr>
          <w:sz w:val="20"/>
        </w:rPr>
        <w:tab/>
        <w:t xml:space="preserve">  </w:t>
      </w:r>
      <w:r>
        <w:rPr>
          <w:sz w:val="20"/>
        </w:rPr>
        <w:tab/>
        <w:t xml:space="preserve">  </w:t>
      </w:r>
      <w:r>
        <w:rPr>
          <w:sz w:val="20"/>
        </w:rPr>
        <w:tab/>
        <w:t xml:space="preserve">  </w:t>
      </w:r>
      <w:r>
        <w:rPr>
          <w:sz w:val="20"/>
        </w:rPr>
        <w:tab/>
        <w:t xml:space="preserve">  </w:t>
      </w:r>
      <w:r>
        <w:rPr>
          <w:sz w:val="20"/>
        </w:rPr>
        <w:tab/>
        <w:t xml:space="preserve">  </w:t>
      </w:r>
    </w:p>
    <w:p w:rsidR="00E8309B" w:rsidRDefault="009D0949">
      <w:pPr>
        <w:spacing w:after="96" w:line="259" w:lineRule="auto"/>
        <w:ind w:left="0" w:right="0" w:firstLine="0"/>
        <w:jc w:val="left"/>
      </w:pPr>
      <w:r>
        <w:rPr>
          <w:sz w:val="22"/>
        </w:rPr>
        <w:t xml:space="preserve"> </w:t>
      </w:r>
    </w:p>
    <w:p w:rsidR="00E8309B" w:rsidRDefault="009D0949">
      <w:pPr>
        <w:spacing w:after="0" w:line="259" w:lineRule="auto"/>
        <w:ind w:left="0" w:right="0" w:firstLine="0"/>
        <w:jc w:val="left"/>
      </w:pPr>
      <w:r>
        <w:rPr>
          <w:sz w:val="22"/>
        </w:rPr>
        <w:t xml:space="preserve"> </w:t>
      </w:r>
    </w:p>
    <w:p w:rsidR="00E8309B" w:rsidRDefault="009D0949">
      <w:pPr>
        <w:spacing w:after="125" w:line="259" w:lineRule="auto"/>
        <w:ind w:left="0" w:right="0" w:firstLine="0"/>
        <w:jc w:val="left"/>
      </w:pPr>
      <w:r>
        <w:rPr>
          <w:sz w:val="22"/>
        </w:rPr>
        <w:t xml:space="preserve"> </w:t>
      </w:r>
    </w:p>
    <w:p w:rsidR="00E8309B" w:rsidRDefault="009D0949">
      <w:pPr>
        <w:pStyle w:val="Heading1"/>
        <w:numPr>
          <w:ilvl w:val="0"/>
          <w:numId w:val="0"/>
        </w:numPr>
        <w:spacing w:after="0" w:line="259" w:lineRule="auto"/>
      </w:pPr>
      <w:r>
        <w:rPr>
          <w:sz w:val="20"/>
        </w:rPr>
        <w:t xml:space="preserve">Табела 6: Одступање од претходног Програма  </w:t>
      </w:r>
    </w:p>
    <w:tbl>
      <w:tblPr>
        <w:tblStyle w:val="TableGrid"/>
        <w:tblW w:w="14290" w:type="dxa"/>
        <w:tblInd w:w="0" w:type="dxa"/>
        <w:tblCellMar>
          <w:top w:w="0" w:type="dxa"/>
          <w:left w:w="110" w:type="dxa"/>
          <w:bottom w:w="0" w:type="dxa"/>
          <w:right w:w="58" w:type="dxa"/>
        </w:tblCellMar>
        <w:tblLook w:val="04A0" w:firstRow="1" w:lastRow="0" w:firstColumn="1" w:lastColumn="0" w:noHBand="0" w:noVBand="1"/>
      </w:tblPr>
      <w:tblGrid>
        <w:gridCol w:w="6759"/>
        <w:gridCol w:w="2602"/>
        <w:gridCol w:w="984"/>
        <w:gridCol w:w="985"/>
        <w:gridCol w:w="986"/>
        <w:gridCol w:w="984"/>
        <w:gridCol w:w="989"/>
      </w:tblGrid>
      <w:tr w:rsidR="00E8309B">
        <w:trPr>
          <w:trHeight w:val="331"/>
        </w:trPr>
        <w:tc>
          <w:tcPr>
            <w:tcW w:w="6759" w:type="dxa"/>
            <w:tcBorders>
              <w:top w:val="double" w:sz="6" w:space="0" w:color="000000"/>
              <w:left w:val="double" w:sz="6" w:space="0" w:color="000000"/>
              <w:bottom w:val="double" w:sz="6" w:space="0" w:color="000000"/>
              <w:right w:val="single" w:sz="8" w:space="0" w:color="000000"/>
            </w:tcBorders>
          </w:tcPr>
          <w:p w:rsidR="00E8309B" w:rsidRDefault="009D0949">
            <w:pPr>
              <w:spacing w:after="0" w:line="259" w:lineRule="auto"/>
              <w:ind w:left="0" w:right="0" w:firstLine="0"/>
              <w:jc w:val="left"/>
            </w:pPr>
            <w:r>
              <w:rPr>
                <w:sz w:val="20"/>
              </w:rPr>
              <w:t xml:space="preserve"> </w:t>
            </w:r>
          </w:p>
        </w:tc>
        <w:tc>
          <w:tcPr>
            <w:tcW w:w="2602" w:type="dxa"/>
            <w:tcBorders>
              <w:top w:val="double" w:sz="6" w:space="0" w:color="000000"/>
              <w:left w:val="single" w:sz="8" w:space="0" w:color="000000"/>
              <w:bottom w:val="double" w:sz="6" w:space="0" w:color="000000"/>
              <w:right w:val="single" w:sz="8" w:space="0" w:color="000000"/>
            </w:tcBorders>
          </w:tcPr>
          <w:p w:rsidR="00E8309B" w:rsidRDefault="009D0949">
            <w:pPr>
              <w:spacing w:after="0" w:line="259" w:lineRule="auto"/>
              <w:ind w:left="0" w:right="0" w:firstLine="0"/>
              <w:jc w:val="right"/>
            </w:pPr>
            <w:r>
              <w:rPr>
                <w:sz w:val="20"/>
              </w:rPr>
              <w:t xml:space="preserve">  </w:t>
            </w:r>
            <w:r>
              <w:rPr>
                <w:sz w:val="20"/>
              </w:rPr>
              <w:tab/>
              <w:t xml:space="preserve">  </w:t>
            </w:r>
          </w:p>
        </w:tc>
        <w:tc>
          <w:tcPr>
            <w:tcW w:w="984" w:type="dxa"/>
            <w:tcBorders>
              <w:top w:val="double" w:sz="6" w:space="0" w:color="000000"/>
              <w:left w:val="single" w:sz="8" w:space="0" w:color="000000"/>
              <w:bottom w:val="double" w:sz="6" w:space="0" w:color="000000"/>
              <w:right w:val="dashed" w:sz="4" w:space="0" w:color="000000"/>
            </w:tcBorders>
          </w:tcPr>
          <w:p w:rsidR="00E8309B" w:rsidRDefault="009D0949">
            <w:pPr>
              <w:spacing w:after="0" w:line="259" w:lineRule="auto"/>
              <w:ind w:left="0" w:right="53" w:firstLine="0"/>
              <w:jc w:val="center"/>
            </w:pPr>
            <w:r>
              <w:rPr>
                <w:b/>
                <w:sz w:val="20"/>
              </w:rPr>
              <w:t xml:space="preserve">2019 </w:t>
            </w:r>
          </w:p>
        </w:tc>
        <w:tc>
          <w:tcPr>
            <w:tcW w:w="985" w:type="dxa"/>
            <w:tcBorders>
              <w:top w:val="double" w:sz="6" w:space="0" w:color="000000"/>
              <w:left w:val="dashed" w:sz="4" w:space="0" w:color="000000"/>
              <w:bottom w:val="double" w:sz="6" w:space="0" w:color="000000"/>
              <w:right w:val="dashed" w:sz="4" w:space="0" w:color="000000"/>
            </w:tcBorders>
          </w:tcPr>
          <w:p w:rsidR="00E8309B" w:rsidRDefault="009D0949">
            <w:pPr>
              <w:spacing w:after="0" w:line="259" w:lineRule="auto"/>
              <w:ind w:left="0" w:right="53" w:firstLine="0"/>
              <w:jc w:val="center"/>
            </w:pPr>
            <w:r>
              <w:rPr>
                <w:b/>
                <w:sz w:val="20"/>
              </w:rPr>
              <w:t xml:space="preserve">2020 </w:t>
            </w:r>
          </w:p>
        </w:tc>
        <w:tc>
          <w:tcPr>
            <w:tcW w:w="986" w:type="dxa"/>
            <w:tcBorders>
              <w:top w:val="double" w:sz="6" w:space="0" w:color="000000"/>
              <w:left w:val="dashed" w:sz="4" w:space="0" w:color="000000"/>
              <w:bottom w:val="double" w:sz="6" w:space="0" w:color="000000"/>
              <w:right w:val="dashed" w:sz="4" w:space="0" w:color="000000"/>
            </w:tcBorders>
          </w:tcPr>
          <w:p w:rsidR="00E8309B" w:rsidRDefault="009D0949">
            <w:pPr>
              <w:spacing w:after="0" w:line="259" w:lineRule="auto"/>
              <w:ind w:left="0" w:right="51" w:firstLine="0"/>
              <w:jc w:val="center"/>
            </w:pPr>
            <w:r>
              <w:rPr>
                <w:b/>
                <w:sz w:val="20"/>
              </w:rPr>
              <w:t xml:space="preserve">2021 </w:t>
            </w:r>
          </w:p>
        </w:tc>
        <w:tc>
          <w:tcPr>
            <w:tcW w:w="984" w:type="dxa"/>
            <w:tcBorders>
              <w:top w:val="double" w:sz="6" w:space="0" w:color="000000"/>
              <w:left w:val="dashed" w:sz="4" w:space="0" w:color="000000"/>
              <w:bottom w:val="double" w:sz="6" w:space="0" w:color="000000"/>
              <w:right w:val="dashed" w:sz="4" w:space="0" w:color="000000"/>
            </w:tcBorders>
          </w:tcPr>
          <w:p w:rsidR="00E8309B" w:rsidRDefault="009D0949">
            <w:pPr>
              <w:spacing w:after="0" w:line="259" w:lineRule="auto"/>
              <w:ind w:left="0" w:right="53" w:firstLine="0"/>
              <w:jc w:val="center"/>
            </w:pPr>
            <w:r>
              <w:rPr>
                <w:b/>
                <w:sz w:val="20"/>
              </w:rPr>
              <w:t xml:space="preserve">2022 </w:t>
            </w:r>
          </w:p>
        </w:tc>
        <w:tc>
          <w:tcPr>
            <w:tcW w:w="989" w:type="dxa"/>
            <w:tcBorders>
              <w:top w:val="double" w:sz="6" w:space="0" w:color="000000"/>
              <w:left w:val="dashed" w:sz="4" w:space="0" w:color="000000"/>
              <w:bottom w:val="double" w:sz="6" w:space="0" w:color="000000"/>
              <w:right w:val="double" w:sz="6" w:space="0" w:color="000000"/>
            </w:tcBorders>
          </w:tcPr>
          <w:p w:rsidR="00E8309B" w:rsidRDefault="009D0949">
            <w:pPr>
              <w:spacing w:after="0" w:line="259" w:lineRule="auto"/>
              <w:ind w:left="0" w:right="49" w:firstLine="0"/>
              <w:jc w:val="center"/>
            </w:pPr>
            <w:r>
              <w:rPr>
                <w:b/>
                <w:sz w:val="20"/>
              </w:rPr>
              <w:t xml:space="preserve">2023 </w:t>
            </w:r>
          </w:p>
        </w:tc>
      </w:tr>
      <w:tr w:rsidR="00E8309B">
        <w:trPr>
          <w:trHeight w:val="298"/>
        </w:trPr>
        <w:tc>
          <w:tcPr>
            <w:tcW w:w="6759" w:type="dxa"/>
            <w:tcBorders>
              <w:top w:val="double" w:sz="6" w:space="0" w:color="000000"/>
              <w:left w:val="double" w:sz="6" w:space="0" w:color="000000"/>
              <w:bottom w:val="dashed" w:sz="4" w:space="0" w:color="000000"/>
              <w:right w:val="single" w:sz="8" w:space="0" w:color="000000"/>
            </w:tcBorders>
          </w:tcPr>
          <w:p w:rsidR="00E8309B" w:rsidRDefault="009D0949">
            <w:pPr>
              <w:spacing w:after="0" w:line="259" w:lineRule="auto"/>
              <w:ind w:left="0" w:right="0" w:firstLine="0"/>
              <w:jc w:val="left"/>
            </w:pPr>
            <w:r>
              <w:rPr>
                <w:sz w:val="20"/>
              </w:rPr>
              <w:t xml:space="preserve">1.Раст БДП </w:t>
            </w:r>
          </w:p>
        </w:tc>
        <w:tc>
          <w:tcPr>
            <w:tcW w:w="2602" w:type="dxa"/>
            <w:tcBorders>
              <w:top w:val="double" w:sz="6" w:space="0" w:color="000000"/>
              <w:left w:val="single" w:sz="8" w:space="0" w:color="000000"/>
              <w:bottom w:val="dashed" w:sz="4" w:space="0" w:color="000000"/>
              <w:right w:val="single" w:sz="8" w:space="0" w:color="000000"/>
            </w:tcBorders>
          </w:tcPr>
          <w:p w:rsidR="00E8309B" w:rsidRDefault="009D0949">
            <w:pPr>
              <w:spacing w:after="0" w:line="259" w:lineRule="auto"/>
              <w:ind w:left="0" w:right="51" w:firstLine="0"/>
              <w:jc w:val="center"/>
            </w:pPr>
            <w:r>
              <w:rPr>
                <w:sz w:val="20"/>
              </w:rPr>
              <w:t xml:space="preserve">%, мг, претходни програм </w:t>
            </w:r>
          </w:p>
        </w:tc>
        <w:tc>
          <w:tcPr>
            <w:tcW w:w="984" w:type="dxa"/>
            <w:tcBorders>
              <w:top w:val="double" w:sz="6" w:space="0" w:color="000000"/>
              <w:left w:val="single" w:sz="8" w:space="0" w:color="000000"/>
              <w:bottom w:val="dashed" w:sz="4" w:space="0" w:color="000000"/>
              <w:right w:val="dashed" w:sz="4" w:space="0" w:color="000000"/>
            </w:tcBorders>
          </w:tcPr>
          <w:p w:rsidR="00E8309B" w:rsidRDefault="009D0949">
            <w:pPr>
              <w:spacing w:after="0" w:line="259" w:lineRule="auto"/>
              <w:ind w:left="0" w:right="51" w:firstLine="0"/>
              <w:jc w:val="center"/>
            </w:pPr>
            <w:r>
              <w:rPr>
                <w:sz w:val="20"/>
              </w:rPr>
              <w:t xml:space="preserve">3,5 </w:t>
            </w:r>
          </w:p>
        </w:tc>
        <w:tc>
          <w:tcPr>
            <w:tcW w:w="985" w:type="dxa"/>
            <w:tcBorders>
              <w:top w:val="double" w:sz="6" w:space="0" w:color="000000"/>
              <w:left w:val="dashed" w:sz="4" w:space="0" w:color="000000"/>
              <w:bottom w:val="dashed" w:sz="4" w:space="0" w:color="000000"/>
              <w:right w:val="dashed" w:sz="4" w:space="0" w:color="000000"/>
            </w:tcBorders>
          </w:tcPr>
          <w:p w:rsidR="00E8309B" w:rsidRDefault="009D0949">
            <w:pPr>
              <w:spacing w:after="0" w:line="259" w:lineRule="auto"/>
              <w:ind w:left="0" w:right="51" w:firstLine="0"/>
              <w:jc w:val="center"/>
            </w:pPr>
            <w:r>
              <w:rPr>
                <w:sz w:val="20"/>
              </w:rPr>
              <w:t xml:space="preserve">4,0 </w:t>
            </w:r>
          </w:p>
        </w:tc>
        <w:tc>
          <w:tcPr>
            <w:tcW w:w="986" w:type="dxa"/>
            <w:tcBorders>
              <w:top w:val="double" w:sz="6" w:space="0" w:color="000000"/>
              <w:left w:val="dashed" w:sz="4" w:space="0" w:color="000000"/>
              <w:bottom w:val="dashed" w:sz="4" w:space="0" w:color="000000"/>
              <w:right w:val="dashed" w:sz="4" w:space="0" w:color="000000"/>
            </w:tcBorders>
          </w:tcPr>
          <w:p w:rsidR="00E8309B" w:rsidRDefault="009D0949">
            <w:pPr>
              <w:spacing w:after="0" w:line="259" w:lineRule="auto"/>
              <w:ind w:left="0" w:right="49" w:firstLine="0"/>
              <w:jc w:val="center"/>
            </w:pPr>
            <w:r>
              <w:rPr>
                <w:sz w:val="20"/>
              </w:rPr>
              <w:t xml:space="preserve">4,0 </w:t>
            </w:r>
          </w:p>
        </w:tc>
        <w:tc>
          <w:tcPr>
            <w:tcW w:w="984" w:type="dxa"/>
            <w:tcBorders>
              <w:top w:val="double" w:sz="6" w:space="0" w:color="000000"/>
              <w:left w:val="dashed" w:sz="4" w:space="0" w:color="000000"/>
              <w:bottom w:val="dashed" w:sz="4" w:space="0" w:color="000000"/>
              <w:right w:val="dashed" w:sz="4" w:space="0" w:color="000000"/>
            </w:tcBorders>
          </w:tcPr>
          <w:p w:rsidR="00E8309B" w:rsidRDefault="009D0949">
            <w:pPr>
              <w:spacing w:after="0" w:line="259" w:lineRule="auto"/>
              <w:ind w:left="0" w:right="51" w:firstLine="0"/>
              <w:jc w:val="center"/>
            </w:pPr>
            <w:r>
              <w:rPr>
                <w:sz w:val="20"/>
              </w:rPr>
              <w:t xml:space="preserve">4,0 </w:t>
            </w:r>
          </w:p>
        </w:tc>
        <w:tc>
          <w:tcPr>
            <w:tcW w:w="989" w:type="dxa"/>
            <w:tcBorders>
              <w:top w:val="double" w:sz="6" w:space="0" w:color="000000"/>
              <w:left w:val="dashed" w:sz="4" w:space="0" w:color="000000"/>
              <w:bottom w:val="dashed" w:sz="4" w:space="0" w:color="000000"/>
              <w:right w:val="double" w:sz="6" w:space="0" w:color="000000"/>
            </w:tcBorders>
          </w:tcPr>
          <w:p w:rsidR="00E8309B" w:rsidRDefault="009D0949">
            <w:pPr>
              <w:spacing w:after="0" w:line="259" w:lineRule="auto"/>
              <w:ind w:left="0" w:right="0" w:firstLine="0"/>
              <w:jc w:val="left"/>
            </w:pPr>
            <w:r>
              <w:rPr>
                <w:sz w:val="20"/>
              </w:rPr>
              <w:t xml:space="preserve"> </w:t>
            </w:r>
          </w:p>
        </w:tc>
      </w:tr>
      <w:tr w:rsidR="00E8309B">
        <w:trPr>
          <w:trHeight w:val="470"/>
        </w:trPr>
        <w:tc>
          <w:tcPr>
            <w:tcW w:w="6759" w:type="dxa"/>
            <w:tcBorders>
              <w:top w:val="dashed" w:sz="4" w:space="0" w:color="000000"/>
              <w:left w:val="double" w:sz="6" w:space="0" w:color="000000"/>
              <w:bottom w:val="dashed" w:sz="4" w:space="0" w:color="000000"/>
              <w:right w:val="single" w:sz="8" w:space="0" w:color="000000"/>
            </w:tcBorders>
          </w:tcPr>
          <w:p w:rsidR="00E8309B" w:rsidRDefault="009D0949">
            <w:pPr>
              <w:spacing w:after="0" w:line="259" w:lineRule="auto"/>
              <w:ind w:left="0" w:right="0" w:firstLine="0"/>
              <w:jc w:val="left"/>
            </w:pPr>
            <w:r>
              <w:rPr>
                <w:sz w:val="20"/>
              </w:rPr>
              <w:t xml:space="preserve">2. Нето позајмице општег нивоа државе  </w:t>
            </w:r>
          </w:p>
        </w:tc>
        <w:tc>
          <w:tcPr>
            <w:tcW w:w="2602" w:type="dxa"/>
            <w:tcBorders>
              <w:top w:val="dashed" w:sz="4" w:space="0" w:color="000000"/>
              <w:left w:val="single" w:sz="8" w:space="0" w:color="000000"/>
              <w:bottom w:val="dashed" w:sz="4" w:space="0" w:color="000000"/>
              <w:right w:val="single" w:sz="8" w:space="0" w:color="000000"/>
            </w:tcBorders>
          </w:tcPr>
          <w:p w:rsidR="00E8309B" w:rsidRDefault="009D0949">
            <w:pPr>
              <w:spacing w:after="0" w:line="259" w:lineRule="auto"/>
              <w:ind w:left="0" w:right="0" w:firstLine="0"/>
              <w:jc w:val="center"/>
            </w:pPr>
            <w:r>
              <w:rPr>
                <w:sz w:val="20"/>
              </w:rPr>
              <w:t xml:space="preserve">% of БДП, претходни програм </w:t>
            </w:r>
          </w:p>
        </w:tc>
        <w:tc>
          <w:tcPr>
            <w:tcW w:w="984" w:type="dxa"/>
            <w:tcBorders>
              <w:top w:val="dashed" w:sz="4" w:space="0" w:color="000000"/>
              <w:left w:val="single" w:sz="8" w:space="0" w:color="000000"/>
              <w:bottom w:val="dashed" w:sz="4" w:space="0" w:color="000000"/>
              <w:right w:val="dashed" w:sz="4" w:space="0" w:color="000000"/>
            </w:tcBorders>
          </w:tcPr>
          <w:p w:rsidR="00E8309B" w:rsidRDefault="009D0949">
            <w:pPr>
              <w:spacing w:after="0" w:line="259" w:lineRule="auto"/>
              <w:ind w:left="0" w:right="54" w:firstLine="0"/>
              <w:jc w:val="center"/>
            </w:pPr>
            <w:r>
              <w:rPr>
                <w:sz w:val="20"/>
              </w:rPr>
              <w:t xml:space="preserve">-0,5 </w:t>
            </w:r>
          </w:p>
        </w:tc>
        <w:tc>
          <w:tcPr>
            <w:tcW w:w="985"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53" w:firstLine="0"/>
              <w:jc w:val="center"/>
            </w:pPr>
            <w:r>
              <w:rPr>
                <w:sz w:val="20"/>
              </w:rPr>
              <w:t xml:space="preserve">-0,5 </w:t>
            </w:r>
          </w:p>
        </w:tc>
        <w:tc>
          <w:tcPr>
            <w:tcW w:w="986"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51" w:firstLine="0"/>
              <w:jc w:val="center"/>
            </w:pPr>
            <w:r>
              <w:rPr>
                <w:sz w:val="20"/>
              </w:rPr>
              <w:t xml:space="preserve">-0,5 </w:t>
            </w:r>
          </w:p>
        </w:tc>
        <w:tc>
          <w:tcPr>
            <w:tcW w:w="984"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54" w:firstLine="0"/>
              <w:jc w:val="center"/>
            </w:pPr>
            <w:r>
              <w:rPr>
                <w:sz w:val="20"/>
              </w:rPr>
              <w:t xml:space="preserve">-0,5 </w:t>
            </w:r>
          </w:p>
        </w:tc>
        <w:tc>
          <w:tcPr>
            <w:tcW w:w="989" w:type="dxa"/>
            <w:tcBorders>
              <w:top w:val="dashed" w:sz="4" w:space="0" w:color="000000"/>
              <w:left w:val="dashed" w:sz="4" w:space="0" w:color="000000"/>
              <w:bottom w:val="dashed" w:sz="4" w:space="0" w:color="000000"/>
              <w:right w:val="double" w:sz="6" w:space="0" w:color="000000"/>
            </w:tcBorders>
          </w:tcPr>
          <w:p w:rsidR="00E8309B" w:rsidRDefault="009D0949">
            <w:pPr>
              <w:spacing w:after="0" w:line="259" w:lineRule="auto"/>
              <w:ind w:left="0" w:right="0" w:firstLine="0"/>
              <w:jc w:val="left"/>
            </w:pPr>
            <w:r>
              <w:rPr>
                <w:sz w:val="20"/>
              </w:rPr>
              <w:t xml:space="preserve"> </w:t>
            </w:r>
          </w:p>
        </w:tc>
      </w:tr>
      <w:tr w:rsidR="00E8309B">
        <w:trPr>
          <w:trHeight w:val="487"/>
        </w:trPr>
        <w:tc>
          <w:tcPr>
            <w:tcW w:w="6759" w:type="dxa"/>
            <w:tcBorders>
              <w:top w:val="dashed" w:sz="4" w:space="0" w:color="000000"/>
              <w:left w:val="double" w:sz="6" w:space="0" w:color="000000"/>
              <w:bottom w:val="double" w:sz="6" w:space="0" w:color="000000"/>
              <w:right w:val="single" w:sz="8" w:space="0" w:color="000000"/>
            </w:tcBorders>
          </w:tcPr>
          <w:p w:rsidR="00E8309B" w:rsidRDefault="009D0949">
            <w:pPr>
              <w:spacing w:after="0" w:line="259" w:lineRule="auto"/>
              <w:ind w:left="0" w:right="0" w:firstLine="0"/>
              <w:jc w:val="left"/>
            </w:pPr>
            <w:r>
              <w:rPr>
                <w:sz w:val="20"/>
              </w:rPr>
              <w:t xml:space="preserve">3.Бруто дуг општег нивоа државе  </w:t>
            </w:r>
          </w:p>
        </w:tc>
        <w:tc>
          <w:tcPr>
            <w:tcW w:w="2602" w:type="dxa"/>
            <w:tcBorders>
              <w:top w:val="dashed" w:sz="4" w:space="0" w:color="000000"/>
              <w:left w:val="single" w:sz="8" w:space="0" w:color="000000"/>
              <w:bottom w:val="double" w:sz="6" w:space="0" w:color="000000"/>
              <w:right w:val="single" w:sz="8" w:space="0" w:color="000000"/>
            </w:tcBorders>
          </w:tcPr>
          <w:p w:rsidR="00E8309B" w:rsidRDefault="009D0949">
            <w:pPr>
              <w:spacing w:after="0" w:line="259" w:lineRule="auto"/>
              <w:ind w:left="0" w:right="0" w:firstLine="0"/>
              <w:jc w:val="center"/>
            </w:pPr>
            <w:r>
              <w:rPr>
                <w:sz w:val="20"/>
              </w:rPr>
              <w:t xml:space="preserve">% of БДП, претходни програм </w:t>
            </w:r>
          </w:p>
        </w:tc>
        <w:tc>
          <w:tcPr>
            <w:tcW w:w="984" w:type="dxa"/>
            <w:tcBorders>
              <w:top w:val="dashed" w:sz="4" w:space="0" w:color="000000"/>
              <w:left w:val="single" w:sz="8" w:space="0" w:color="000000"/>
              <w:bottom w:val="double" w:sz="6" w:space="0" w:color="000000"/>
              <w:right w:val="dashed" w:sz="4" w:space="0" w:color="000000"/>
            </w:tcBorders>
          </w:tcPr>
          <w:p w:rsidR="00E8309B" w:rsidRDefault="009D0949">
            <w:pPr>
              <w:spacing w:after="0" w:line="259" w:lineRule="auto"/>
              <w:ind w:left="0" w:right="52" w:firstLine="0"/>
              <w:jc w:val="center"/>
            </w:pPr>
            <w:r>
              <w:rPr>
                <w:sz w:val="20"/>
              </w:rPr>
              <w:t xml:space="preserve">52,9 </w:t>
            </w:r>
          </w:p>
        </w:tc>
        <w:tc>
          <w:tcPr>
            <w:tcW w:w="985" w:type="dxa"/>
            <w:tcBorders>
              <w:top w:val="dashed" w:sz="4" w:space="0" w:color="000000"/>
              <w:left w:val="dashed" w:sz="4" w:space="0" w:color="000000"/>
              <w:bottom w:val="double" w:sz="6" w:space="0" w:color="000000"/>
              <w:right w:val="dashed" w:sz="4" w:space="0" w:color="000000"/>
            </w:tcBorders>
          </w:tcPr>
          <w:p w:rsidR="00E8309B" w:rsidRDefault="009D0949">
            <w:pPr>
              <w:spacing w:after="0" w:line="259" w:lineRule="auto"/>
              <w:ind w:left="0" w:right="51" w:firstLine="0"/>
              <w:jc w:val="center"/>
            </w:pPr>
            <w:r>
              <w:rPr>
                <w:sz w:val="20"/>
              </w:rPr>
              <w:t xml:space="preserve">51,4 </w:t>
            </w:r>
          </w:p>
        </w:tc>
        <w:tc>
          <w:tcPr>
            <w:tcW w:w="986" w:type="dxa"/>
            <w:tcBorders>
              <w:top w:val="dashed" w:sz="4" w:space="0" w:color="000000"/>
              <w:left w:val="dashed" w:sz="4" w:space="0" w:color="000000"/>
              <w:bottom w:val="double" w:sz="6" w:space="0" w:color="000000"/>
              <w:right w:val="dashed" w:sz="4" w:space="0" w:color="000000"/>
            </w:tcBorders>
          </w:tcPr>
          <w:p w:rsidR="00E8309B" w:rsidRDefault="009D0949">
            <w:pPr>
              <w:spacing w:after="0" w:line="259" w:lineRule="auto"/>
              <w:ind w:left="0" w:right="49" w:firstLine="0"/>
              <w:jc w:val="center"/>
            </w:pPr>
            <w:r>
              <w:rPr>
                <w:sz w:val="20"/>
              </w:rPr>
              <w:t xml:space="preserve">50,1 </w:t>
            </w:r>
          </w:p>
        </w:tc>
        <w:tc>
          <w:tcPr>
            <w:tcW w:w="984" w:type="dxa"/>
            <w:tcBorders>
              <w:top w:val="dashed" w:sz="4" w:space="0" w:color="000000"/>
              <w:left w:val="dashed" w:sz="4" w:space="0" w:color="000000"/>
              <w:bottom w:val="double" w:sz="6" w:space="0" w:color="000000"/>
              <w:right w:val="dashed" w:sz="4" w:space="0" w:color="000000"/>
            </w:tcBorders>
          </w:tcPr>
          <w:p w:rsidR="00E8309B" w:rsidRDefault="009D0949">
            <w:pPr>
              <w:spacing w:after="0" w:line="259" w:lineRule="auto"/>
              <w:ind w:left="0" w:right="52" w:firstLine="0"/>
              <w:jc w:val="center"/>
            </w:pPr>
            <w:r>
              <w:rPr>
                <w:sz w:val="20"/>
              </w:rPr>
              <w:t xml:space="preserve">48,3 </w:t>
            </w:r>
          </w:p>
        </w:tc>
        <w:tc>
          <w:tcPr>
            <w:tcW w:w="989" w:type="dxa"/>
            <w:tcBorders>
              <w:top w:val="dashed" w:sz="4" w:space="0" w:color="000000"/>
              <w:left w:val="dashed" w:sz="4" w:space="0" w:color="000000"/>
              <w:bottom w:val="double" w:sz="6" w:space="0" w:color="000000"/>
              <w:right w:val="double" w:sz="6" w:space="0" w:color="000000"/>
            </w:tcBorders>
          </w:tcPr>
          <w:p w:rsidR="00E8309B" w:rsidRDefault="009D0949">
            <w:pPr>
              <w:spacing w:after="0" w:line="259" w:lineRule="auto"/>
              <w:ind w:left="0" w:right="0" w:firstLine="0"/>
              <w:jc w:val="left"/>
            </w:pPr>
            <w:r>
              <w:rPr>
                <w:sz w:val="20"/>
              </w:rPr>
              <w:t xml:space="preserve"> </w:t>
            </w:r>
          </w:p>
        </w:tc>
      </w:tr>
    </w:tbl>
    <w:p w:rsidR="00E8309B" w:rsidRDefault="009D0949">
      <w:pPr>
        <w:spacing w:after="214" w:line="259" w:lineRule="auto"/>
        <w:ind w:left="0" w:right="0" w:firstLine="0"/>
        <w:jc w:val="left"/>
      </w:pPr>
      <w:r>
        <w:rPr>
          <w:sz w:val="22"/>
        </w:rPr>
        <w:t xml:space="preserve"> </w:t>
      </w:r>
    </w:p>
    <w:p w:rsidR="00E8309B" w:rsidRDefault="009D0949">
      <w:pPr>
        <w:tabs>
          <w:tab w:val="center" w:pos="9013"/>
          <w:tab w:val="center" w:pos="10543"/>
          <w:tab w:val="right" w:pos="14522"/>
        </w:tabs>
        <w:spacing w:after="0" w:line="259" w:lineRule="auto"/>
        <w:ind w:left="0" w:right="0" w:firstLine="0"/>
        <w:jc w:val="left"/>
      </w:pPr>
      <w:r>
        <w:rPr>
          <w:b/>
          <w:sz w:val="20"/>
        </w:rPr>
        <w:t>Табела 6: Одступање од претходног Програма</w:t>
      </w:r>
      <w:r>
        <w:rPr>
          <w:b/>
          <w:sz w:val="31"/>
          <w:vertAlign w:val="superscript"/>
        </w:rPr>
        <w:t xml:space="preserve"> </w:t>
      </w:r>
      <w:r>
        <w:rPr>
          <w:b/>
          <w:sz w:val="31"/>
          <w:vertAlign w:val="superscript"/>
        </w:rPr>
        <w:tab/>
      </w:r>
      <w:r>
        <w:rPr>
          <w:sz w:val="20"/>
        </w:rPr>
        <w:t xml:space="preserve">  </w:t>
      </w:r>
      <w:r>
        <w:rPr>
          <w:sz w:val="20"/>
        </w:rPr>
        <w:tab/>
        <w:t xml:space="preserve">  </w:t>
      </w:r>
      <w:r>
        <w:rPr>
          <w:sz w:val="20"/>
        </w:rPr>
        <w:tab/>
      </w:r>
      <w:r>
        <w:rPr>
          <w:b/>
          <w:sz w:val="20"/>
        </w:rPr>
        <w:t>Република Србија</w:t>
      </w:r>
      <w:r>
        <w:rPr>
          <w:sz w:val="20"/>
        </w:rPr>
        <w:t xml:space="preserve"> </w:t>
      </w:r>
    </w:p>
    <w:tbl>
      <w:tblPr>
        <w:tblStyle w:val="TableGrid"/>
        <w:tblW w:w="14573" w:type="dxa"/>
        <w:tblInd w:w="0" w:type="dxa"/>
        <w:tblCellMar>
          <w:top w:w="10" w:type="dxa"/>
          <w:left w:w="0" w:type="dxa"/>
          <w:bottom w:w="0" w:type="dxa"/>
          <w:right w:w="115" w:type="dxa"/>
        </w:tblCellMar>
        <w:tblLook w:val="04A0" w:firstRow="1" w:lastRow="0" w:firstColumn="1" w:lastColumn="0" w:noHBand="0" w:noVBand="1"/>
      </w:tblPr>
      <w:tblGrid>
        <w:gridCol w:w="2806"/>
        <w:gridCol w:w="2163"/>
        <w:gridCol w:w="691"/>
        <w:gridCol w:w="1784"/>
        <w:gridCol w:w="1783"/>
        <w:gridCol w:w="694"/>
        <w:gridCol w:w="1090"/>
        <w:gridCol w:w="1783"/>
        <w:gridCol w:w="1779"/>
      </w:tblGrid>
      <w:tr w:rsidR="00E8309B">
        <w:trPr>
          <w:trHeight w:val="272"/>
        </w:trPr>
        <w:tc>
          <w:tcPr>
            <w:tcW w:w="2806" w:type="dxa"/>
            <w:vMerge w:val="restart"/>
            <w:tcBorders>
              <w:top w:val="double" w:sz="6" w:space="0" w:color="000000"/>
              <w:left w:val="double" w:sz="6" w:space="0" w:color="000000"/>
              <w:bottom w:val="single" w:sz="8" w:space="0" w:color="000000"/>
              <w:right w:val="nil"/>
            </w:tcBorders>
          </w:tcPr>
          <w:p w:rsidR="00E8309B" w:rsidRDefault="00E8309B">
            <w:pPr>
              <w:spacing w:after="160" w:line="259" w:lineRule="auto"/>
              <w:ind w:left="0" w:right="0" w:firstLine="0"/>
              <w:jc w:val="left"/>
            </w:pPr>
          </w:p>
        </w:tc>
        <w:tc>
          <w:tcPr>
            <w:tcW w:w="2163" w:type="dxa"/>
            <w:vMerge w:val="restart"/>
            <w:tcBorders>
              <w:top w:val="double" w:sz="6" w:space="0" w:color="000000"/>
              <w:left w:val="nil"/>
              <w:bottom w:val="single" w:sz="8" w:space="0" w:color="000000"/>
              <w:right w:val="nil"/>
            </w:tcBorders>
          </w:tcPr>
          <w:p w:rsidR="00E8309B" w:rsidRDefault="009D0949">
            <w:pPr>
              <w:spacing w:after="0" w:line="259" w:lineRule="auto"/>
              <w:ind w:left="0" w:right="0" w:firstLine="0"/>
              <w:jc w:val="left"/>
            </w:pPr>
            <w:r>
              <w:rPr>
                <w:sz w:val="20"/>
              </w:rPr>
              <w:t xml:space="preserve">  </w:t>
            </w:r>
          </w:p>
        </w:tc>
        <w:tc>
          <w:tcPr>
            <w:tcW w:w="691" w:type="dxa"/>
            <w:vMerge w:val="restart"/>
            <w:tcBorders>
              <w:top w:val="double" w:sz="6" w:space="0" w:color="000000"/>
              <w:left w:val="nil"/>
              <w:bottom w:val="single" w:sz="8" w:space="0" w:color="000000"/>
              <w:right w:val="single" w:sz="8" w:space="0" w:color="000000"/>
            </w:tcBorders>
            <w:vAlign w:val="bottom"/>
          </w:tcPr>
          <w:p w:rsidR="00E8309B" w:rsidRDefault="00E8309B">
            <w:pPr>
              <w:spacing w:after="160" w:line="259" w:lineRule="auto"/>
              <w:ind w:left="0" w:right="0" w:firstLine="0"/>
              <w:jc w:val="left"/>
            </w:pPr>
          </w:p>
        </w:tc>
        <w:tc>
          <w:tcPr>
            <w:tcW w:w="1784" w:type="dxa"/>
            <w:tcBorders>
              <w:top w:val="double" w:sz="6" w:space="0" w:color="000000"/>
              <w:left w:val="single" w:sz="8" w:space="0" w:color="000000"/>
              <w:bottom w:val="single" w:sz="18" w:space="0" w:color="FFFFFF"/>
              <w:right w:val="dashed" w:sz="4" w:space="0" w:color="000000"/>
            </w:tcBorders>
          </w:tcPr>
          <w:p w:rsidR="00E8309B" w:rsidRDefault="009D0949">
            <w:pPr>
              <w:spacing w:after="0" w:line="259" w:lineRule="auto"/>
              <w:ind w:left="119" w:right="0" w:firstLine="0"/>
              <w:jc w:val="center"/>
            </w:pPr>
            <w:r>
              <w:rPr>
                <w:sz w:val="20"/>
              </w:rPr>
              <w:t xml:space="preserve">год. </w:t>
            </w:r>
          </w:p>
        </w:tc>
        <w:tc>
          <w:tcPr>
            <w:tcW w:w="1783" w:type="dxa"/>
            <w:vMerge w:val="restart"/>
            <w:tcBorders>
              <w:top w:val="double" w:sz="6" w:space="0" w:color="000000"/>
              <w:left w:val="dashed" w:sz="4" w:space="0" w:color="000000"/>
              <w:bottom w:val="single" w:sz="8" w:space="0" w:color="000000"/>
              <w:right w:val="dashed" w:sz="4" w:space="0" w:color="000000"/>
            </w:tcBorders>
          </w:tcPr>
          <w:p w:rsidR="00E8309B" w:rsidRDefault="009D0949">
            <w:pPr>
              <w:spacing w:after="27" w:line="259" w:lineRule="auto"/>
              <w:ind w:left="120" w:right="0" w:firstLine="0"/>
              <w:jc w:val="center"/>
            </w:pPr>
            <w:r>
              <w:rPr>
                <w:sz w:val="20"/>
              </w:rPr>
              <w:t xml:space="preserve">год. </w:t>
            </w:r>
          </w:p>
          <w:p w:rsidR="00E8309B" w:rsidRDefault="009D0949">
            <w:pPr>
              <w:spacing w:after="0" w:line="259" w:lineRule="auto"/>
              <w:ind w:left="121" w:right="0" w:firstLine="0"/>
              <w:jc w:val="center"/>
            </w:pPr>
            <w:r>
              <w:rPr>
                <w:sz w:val="20"/>
              </w:rPr>
              <w:t xml:space="preserve">2020 </w:t>
            </w:r>
          </w:p>
        </w:tc>
        <w:tc>
          <w:tcPr>
            <w:tcW w:w="694" w:type="dxa"/>
            <w:vMerge w:val="restart"/>
            <w:tcBorders>
              <w:top w:val="double" w:sz="6" w:space="0" w:color="000000"/>
              <w:left w:val="dashed" w:sz="4" w:space="0" w:color="000000"/>
              <w:bottom w:val="single" w:sz="8" w:space="0" w:color="000000"/>
              <w:right w:val="nil"/>
            </w:tcBorders>
          </w:tcPr>
          <w:p w:rsidR="00E8309B" w:rsidRDefault="00E8309B">
            <w:pPr>
              <w:spacing w:after="160" w:line="259" w:lineRule="auto"/>
              <w:ind w:left="0" w:right="0" w:firstLine="0"/>
              <w:jc w:val="left"/>
            </w:pPr>
          </w:p>
        </w:tc>
        <w:tc>
          <w:tcPr>
            <w:tcW w:w="1090" w:type="dxa"/>
            <w:vMerge w:val="restart"/>
            <w:tcBorders>
              <w:top w:val="double" w:sz="6" w:space="0" w:color="000000"/>
              <w:left w:val="nil"/>
              <w:bottom w:val="single" w:sz="8" w:space="0" w:color="000000"/>
              <w:right w:val="dashed" w:sz="4" w:space="0" w:color="000000"/>
            </w:tcBorders>
          </w:tcPr>
          <w:p w:rsidR="00E8309B" w:rsidRDefault="009D0949">
            <w:pPr>
              <w:spacing w:after="27" w:line="259" w:lineRule="auto"/>
              <w:ind w:left="34" w:right="0" w:firstLine="0"/>
              <w:jc w:val="left"/>
            </w:pPr>
            <w:r>
              <w:rPr>
                <w:sz w:val="20"/>
              </w:rPr>
              <w:t xml:space="preserve">год. </w:t>
            </w:r>
          </w:p>
          <w:p w:rsidR="00E8309B" w:rsidRDefault="009D0949">
            <w:pPr>
              <w:spacing w:after="0" w:line="259" w:lineRule="auto"/>
              <w:ind w:left="0" w:right="0" w:firstLine="0"/>
              <w:jc w:val="left"/>
            </w:pPr>
            <w:r>
              <w:rPr>
                <w:sz w:val="20"/>
              </w:rPr>
              <w:t xml:space="preserve">2021 </w:t>
            </w:r>
          </w:p>
        </w:tc>
        <w:tc>
          <w:tcPr>
            <w:tcW w:w="1783" w:type="dxa"/>
            <w:vMerge w:val="restart"/>
            <w:tcBorders>
              <w:top w:val="double" w:sz="6" w:space="0" w:color="000000"/>
              <w:left w:val="dashed" w:sz="4" w:space="0" w:color="000000"/>
              <w:bottom w:val="single" w:sz="8" w:space="0" w:color="000000"/>
              <w:right w:val="dashed" w:sz="4" w:space="0" w:color="000000"/>
            </w:tcBorders>
          </w:tcPr>
          <w:p w:rsidR="00E8309B" w:rsidRDefault="009D0949">
            <w:pPr>
              <w:spacing w:after="27" w:line="259" w:lineRule="auto"/>
              <w:ind w:left="120" w:right="0" w:firstLine="0"/>
              <w:jc w:val="center"/>
            </w:pPr>
            <w:r>
              <w:rPr>
                <w:sz w:val="20"/>
              </w:rPr>
              <w:t xml:space="preserve">год. </w:t>
            </w:r>
          </w:p>
          <w:p w:rsidR="00E8309B" w:rsidRDefault="009D0949">
            <w:pPr>
              <w:spacing w:after="0" w:line="259" w:lineRule="auto"/>
              <w:ind w:left="121" w:right="0" w:firstLine="0"/>
              <w:jc w:val="center"/>
            </w:pPr>
            <w:r>
              <w:rPr>
                <w:sz w:val="20"/>
              </w:rPr>
              <w:t xml:space="preserve">2022 </w:t>
            </w:r>
          </w:p>
        </w:tc>
        <w:tc>
          <w:tcPr>
            <w:tcW w:w="1779" w:type="dxa"/>
            <w:tcBorders>
              <w:top w:val="double" w:sz="6" w:space="0" w:color="000000"/>
              <w:left w:val="dashed" w:sz="4" w:space="0" w:color="000000"/>
              <w:bottom w:val="single" w:sz="18" w:space="0" w:color="FFFFFF"/>
              <w:right w:val="double" w:sz="6" w:space="0" w:color="000000"/>
            </w:tcBorders>
          </w:tcPr>
          <w:p w:rsidR="00E8309B" w:rsidRDefault="009D0949">
            <w:pPr>
              <w:spacing w:after="0" w:line="259" w:lineRule="auto"/>
              <w:ind w:left="115" w:right="0" w:firstLine="0"/>
              <w:jc w:val="center"/>
            </w:pPr>
            <w:r>
              <w:rPr>
                <w:sz w:val="20"/>
              </w:rPr>
              <w:t xml:space="preserve">год. </w:t>
            </w:r>
          </w:p>
        </w:tc>
      </w:tr>
      <w:tr w:rsidR="00E8309B">
        <w:trPr>
          <w:trHeight w:val="263"/>
        </w:trPr>
        <w:tc>
          <w:tcPr>
            <w:tcW w:w="0" w:type="auto"/>
            <w:vMerge/>
            <w:tcBorders>
              <w:top w:val="nil"/>
              <w:left w:val="double" w:sz="6" w:space="0" w:color="000000"/>
              <w:bottom w:val="single" w:sz="8" w:space="0" w:color="000000"/>
              <w:right w:val="nil"/>
            </w:tcBorders>
          </w:tcPr>
          <w:p w:rsidR="00E8309B" w:rsidRDefault="00E8309B">
            <w:pPr>
              <w:spacing w:after="160" w:line="259" w:lineRule="auto"/>
              <w:ind w:left="0" w:right="0" w:firstLine="0"/>
              <w:jc w:val="left"/>
            </w:pPr>
          </w:p>
        </w:tc>
        <w:tc>
          <w:tcPr>
            <w:tcW w:w="0" w:type="auto"/>
            <w:vMerge/>
            <w:tcBorders>
              <w:top w:val="nil"/>
              <w:left w:val="nil"/>
              <w:bottom w:val="single" w:sz="8" w:space="0" w:color="000000"/>
              <w:right w:val="nil"/>
            </w:tcBorders>
          </w:tcPr>
          <w:p w:rsidR="00E8309B" w:rsidRDefault="00E8309B">
            <w:pPr>
              <w:spacing w:after="160" w:line="259" w:lineRule="auto"/>
              <w:ind w:left="0" w:right="0" w:firstLine="0"/>
              <w:jc w:val="left"/>
            </w:pPr>
          </w:p>
        </w:tc>
        <w:tc>
          <w:tcPr>
            <w:tcW w:w="0" w:type="auto"/>
            <w:vMerge/>
            <w:tcBorders>
              <w:top w:val="nil"/>
              <w:left w:val="nil"/>
              <w:bottom w:val="single" w:sz="8" w:space="0" w:color="000000"/>
              <w:right w:val="single" w:sz="8" w:space="0" w:color="000000"/>
            </w:tcBorders>
          </w:tcPr>
          <w:p w:rsidR="00E8309B" w:rsidRDefault="00E8309B">
            <w:pPr>
              <w:spacing w:after="160" w:line="259" w:lineRule="auto"/>
              <w:ind w:left="0" w:right="0" w:firstLine="0"/>
              <w:jc w:val="left"/>
            </w:pPr>
          </w:p>
        </w:tc>
        <w:tc>
          <w:tcPr>
            <w:tcW w:w="1784" w:type="dxa"/>
            <w:tcBorders>
              <w:top w:val="single" w:sz="18" w:space="0" w:color="FFFFFF"/>
              <w:left w:val="single" w:sz="8" w:space="0" w:color="000000"/>
              <w:bottom w:val="single" w:sz="8" w:space="0" w:color="000000"/>
              <w:right w:val="dashed" w:sz="4" w:space="0" w:color="000000"/>
            </w:tcBorders>
          </w:tcPr>
          <w:p w:rsidR="00E8309B" w:rsidRDefault="009D0949">
            <w:pPr>
              <w:spacing w:after="0" w:line="259" w:lineRule="auto"/>
              <w:ind w:left="121" w:right="0" w:firstLine="0"/>
              <w:jc w:val="center"/>
            </w:pPr>
            <w:r>
              <w:rPr>
                <w:sz w:val="20"/>
              </w:rPr>
              <w:t xml:space="preserve">2019 </w:t>
            </w:r>
          </w:p>
        </w:tc>
        <w:tc>
          <w:tcPr>
            <w:tcW w:w="0" w:type="auto"/>
            <w:vMerge/>
            <w:tcBorders>
              <w:top w:val="nil"/>
              <w:left w:val="dashed" w:sz="4" w:space="0" w:color="000000"/>
              <w:bottom w:val="single" w:sz="8" w:space="0" w:color="000000"/>
              <w:right w:val="dashed" w:sz="4" w:space="0" w:color="000000"/>
            </w:tcBorders>
          </w:tcPr>
          <w:p w:rsidR="00E8309B" w:rsidRDefault="00E8309B">
            <w:pPr>
              <w:spacing w:after="160" w:line="259" w:lineRule="auto"/>
              <w:ind w:left="0" w:right="0" w:firstLine="0"/>
              <w:jc w:val="left"/>
            </w:pPr>
          </w:p>
        </w:tc>
        <w:tc>
          <w:tcPr>
            <w:tcW w:w="0" w:type="auto"/>
            <w:vMerge/>
            <w:tcBorders>
              <w:top w:val="nil"/>
              <w:left w:val="dashed" w:sz="4" w:space="0" w:color="000000"/>
              <w:bottom w:val="single" w:sz="8" w:space="0" w:color="000000"/>
              <w:right w:val="nil"/>
            </w:tcBorders>
          </w:tcPr>
          <w:p w:rsidR="00E8309B" w:rsidRDefault="00E8309B">
            <w:pPr>
              <w:spacing w:after="160" w:line="259" w:lineRule="auto"/>
              <w:ind w:left="0" w:right="0" w:firstLine="0"/>
              <w:jc w:val="left"/>
            </w:pPr>
          </w:p>
        </w:tc>
        <w:tc>
          <w:tcPr>
            <w:tcW w:w="0" w:type="auto"/>
            <w:vMerge/>
            <w:tcBorders>
              <w:top w:val="nil"/>
              <w:left w:val="nil"/>
              <w:bottom w:val="single" w:sz="8" w:space="0" w:color="000000"/>
              <w:right w:val="dashed" w:sz="4" w:space="0" w:color="000000"/>
            </w:tcBorders>
          </w:tcPr>
          <w:p w:rsidR="00E8309B" w:rsidRDefault="00E8309B">
            <w:pPr>
              <w:spacing w:after="160" w:line="259" w:lineRule="auto"/>
              <w:ind w:left="0" w:right="0" w:firstLine="0"/>
              <w:jc w:val="left"/>
            </w:pPr>
          </w:p>
        </w:tc>
        <w:tc>
          <w:tcPr>
            <w:tcW w:w="0" w:type="auto"/>
            <w:vMerge/>
            <w:tcBorders>
              <w:top w:val="nil"/>
              <w:left w:val="dashed" w:sz="4" w:space="0" w:color="000000"/>
              <w:bottom w:val="single" w:sz="8" w:space="0" w:color="000000"/>
              <w:right w:val="dashed" w:sz="4" w:space="0" w:color="000000"/>
            </w:tcBorders>
          </w:tcPr>
          <w:p w:rsidR="00E8309B" w:rsidRDefault="00E8309B">
            <w:pPr>
              <w:spacing w:after="160" w:line="259" w:lineRule="auto"/>
              <w:ind w:left="0" w:right="0" w:firstLine="0"/>
              <w:jc w:val="left"/>
            </w:pPr>
          </w:p>
        </w:tc>
        <w:tc>
          <w:tcPr>
            <w:tcW w:w="1779" w:type="dxa"/>
            <w:tcBorders>
              <w:top w:val="single" w:sz="18" w:space="0" w:color="FFFFFF"/>
              <w:left w:val="dashed" w:sz="4" w:space="0" w:color="000000"/>
              <w:bottom w:val="single" w:sz="8" w:space="0" w:color="000000"/>
              <w:right w:val="double" w:sz="6" w:space="0" w:color="000000"/>
            </w:tcBorders>
          </w:tcPr>
          <w:p w:rsidR="00E8309B" w:rsidRDefault="009D0949">
            <w:pPr>
              <w:spacing w:after="0" w:line="259" w:lineRule="auto"/>
              <w:ind w:left="116" w:right="0" w:firstLine="0"/>
              <w:jc w:val="center"/>
            </w:pPr>
            <w:r>
              <w:rPr>
                <w:sz w:val="20"/>
              </w:rPr>
              <w:t xml:space="preserve">2023 </w:t>
            </w:r>
          </w:p>
        </w:tc>
      </w:tr>
      <w:tr w:rsidR="00E8309B">
        <w:trPr>
          <w:trHeight w:val="413"/>
        </w:trPr>
        <w:tc>
          <w:tcPr>
            <w:tcW w:w="2806" w:type="dxa"/>
            <w:tcBorders>
              <w:top w:val="single" w:sz="8" w:space="0" w:color="000000"/>
              <w:left w:val="double" w:sz="6" w:space="0" w:color="000000"/>
              <w:bottom w:val="single" w:sz="4" w:space="0" w:color="000000"/>
              <w:right w:val="nil"/>
            </w:tcBorders>
          </w:tcPr>
          <w:p w:rsidR="00E8309B" w:rsidRDefault="00E8309B">
            <w:pPr>
              <w:spacing w:after="160" w:line="259" w:lineRule="auto"/>
              <w:ind w:left="0" w:right="0" w:firstLine="0"/>
              <w:jc w:val="left"/>
            </w:pPr>
          </w:p>
        </w:tc>
        <w:tc>
          <w:tcPr>
            <w:tcW w:w="2163" w:type="dxa"/>
            <w:tcBorders>
              <w:top w:val="single" w:sz="8" w:space="0" w:color="000000"/>
              <w:left w:val="nil"/>
              <w:bottom w:val="single" w:sz="4" w:space="0" w:color="000000"/>
              <w:right w:val="nil"/>
            </w:tcBorders>
          </w:tcPr>
          <w:p w:rsidR="00E8309B" w:rsidRDefault="00E8309B">
            <w:pPr>
              <w:spacing w:after="160" w:line="259" w:lineRule="auto"/>
              <w:ind w:left="0" w:right="0" w:firstLine="0"/>
              <w:jc w:val="left"/>
            </w:pPr>
          </w:p>
        </w:tc>
        <w:tc>
          <w:tcPr>
            <w:tcW w:w="4952" w:type="dxa"/>
            <w:gridSpan w:val="4"/>
            <w:tcBorders>
              <w:top w:val="single" w:sz="8" w:space="0" w:color="000000"/>
              <w:left w:val="nil"/>
              <w:bottom w:val="single" w:sz="4" w:space="0" w:color="000000"/>
              <w:right w:val="nil"/>
            </w:tcBorders>
          </w:tcPr>
          <w:p w:rsidR="00E8309B" w:rsidRDefault="009D0949">
            <w:pPr>
              <w:spacing w:after="0" w:line="259" w:lineRule="auto"/>
              <w:ind w:left="0" w:right="196" w:firstLine="0"/>
              <w:jc w:val="center"/>
            </w:pPr>
            <w:r>
              <w:rPr>
                <w:b/>
                <w:sz w:val="20"/>
              </w:rPr>
              <w:t xml:space="preserve">1. Раст БДП-а (%. мг) </w:t>
            </w:r>
          </w:p>
        </w:tc>
        <w:tc>
          <w:tcPr>
            <w:tcW w:w="1090" w:type="dxa"/>
            <w:tcBorders>
              <w:top w:val="single" w:sz="8" w:space="0" w:color="000000"/>
              <w:left w:val="nil"/>
              <w:bottom w:val="single" w:sz="4" w:space="0" w:color="000000"/>
              <w:right w:val="nil"/>
            </w:tcBorders>
          </w:tcPr>
          <w:p w:rsidR="00E8309B" w:rsidRDefault="00E8309B">
            <w:pPr>
              <w:spacing w:after="160" w:line="259" w:lineRule="auto"/>
              <w:ind w:left="0" w:right="0" w:firstLine="0"/>
              <w:jc w:val="left"/>
            </w:pPr>
          </w:p>
        </w:tc>
        <w:tc>
          <w:tcPr>
            <w:tcW w:w="1783" w:type="dxa"/>
            <w:tcBorders>
              <w:top w:val="single" w:sz="8" w:space="0" w:color="000000"/>
              <w:left w:val="nil"/>
              <w:bottom w:val="single" w:sz="4" w:space="0" w:color="000000"/>
              <w:right w:val="nil"/>
            </w:tcBorders>
          </w:tcPr>
          <w:p w:rsidR="00E8309B" w:rsidRDefault="00E8309B">
            <w:pPr>
              <w:spacing w:after="160" w:line="259" w:lineRule="auto"/>
              <w:ind w:left="0" w:right="0" w:firstLine="0"/>
              <w:jc w:val="left"/>
            </w:pPr>
          </w:p>
        </w:tc>
        <w:tc>
          <w:tcPr>
            <w:tcW w:w="1779" w:type="dxa"/>
            <w:tcBorders>
              <w:top w:val="single" w:sz="8" w:space="0" w:color="000000"/>
              <w:left w:val="nil"/>
              <w:bottom w:val="single" w:sz="4" w:space="0" w:color="000000"/>
              <w:right w:val="double" w:sz="6" w:space="0" w:color="000000"/>
            </w:tcBorders>
          </w:tcPr>
          <w:p w:rsidR="00E8309B" w:rsidRDefault="00E8309B">
            <w:pPr>
              <w:spacing w:after="160" w:line="259" w:lineRule="auto"/>
              <w:ind w:left="0" w:right="0" w:firstLine="0"/>
              <w:jc w:val="left"/>
            </w:pPr>
          </w:p>
        </w:tc>
      </w:tr>
      <w:tr w:rsidR="00E8309B">
        <w:trPr>
          <w:trHeight w:val="293"/>
        </w:trPr>
        <w:tc>
          <w:tcPr>
            <w:tcW w:w="2806" w:type="dxa"/>
            <w:tcBorders>
              <w:top w:val="single" w:sz="4" w:space="0" w:color="000000"/>
              <w:left w:val="double" w:sz="6" w:space="0" w:color="000000"/>
              <w:bottom w:val="dashed" w:sz="4" w:space="0" w:color="000000"/>
              <w:right w:val="nil"/>
            </w:tcBorders>
          </w:tcPr>
          <w:p w:rsidR="00E8309B" w:rsidRDefault="009D0949">
            <w:pPr>
              <w:spacing w:after="0" w:line="259" w:lineRule="auto"/>
              <w:ind w:left="110" w:right="0" w:firstLine="0"/>
              <w:jc w:val="left"/>
            </w:pPr>
            <w:r>
              <w:rPr>
                <w:sz w:val="20"/>
              </w:rPr>
              <w:t xml:space="preserve">Претходни </w:t>
            </w:r>
          </w:p>
        </w:tc>
        <w:tc>
          <w:tcPr>
            <w:tcW w:w="2163" w:type="dxa"/>
            <w:tcBorders>
              <w:top w:val="single" w:sz="4" w:space="0" w:color="000000"/>
              <w:left w:val="nil"/>
              <w:bottom w:val="dashed" w:sz="4" w:space="0" w:color="000000"/>
              <w:right w:val="nil"/>
            </w:tcBorders>
          </w:tcPr>
          <w:p w:rsidR="00E8309B" w:rsidRDefault="00E8309B">
            <w:pPr>
              <w:spacing w:after="160" w:line="259" w:lineRule="auto"/>
              <w:ind w:left="0" w:right="0" w:firstLine="0"/>
              <w:jc w:val="left"/>
            </w:pPr>
          </w:p>
        </w:tc>
        <w:tc>
          <w:tcPr>
            <w:tcW w:w="691" w:type="dxa"/>
            <w:tcBorders>
              <w:top w:val="single" w:sz="4" w:space="0" w:color="000000"/>
              <w:left w:val="nil"/>
              <w:bottom w:val="dashed" w:sz="4" w:space="0" w:color="000000"/>
              <w:right w:val="single" w:sz="8" w:space="0" w:color="000000"/>
            </w:tcBorders>
          </w:tcPr>
          <w:p w:rsidR="00E8309B" w:rsidRDefault="00E8309B">
            <w:pPr>
              <w:spacing w:after="160" w:line="259" w:lineRule="auto"/>
              <w:ind w:left="0" w:right="0" w:firstLine="0"/>
              <w:jc w:val="left"/>
            </w:pPr>
          </w:p>
        </w:tc>
        <w:tc>
          <w:tcPr>
            <w:tcW w:w="1784" w:type="dxa"/>
            <w:tcBorders>
              <w:top w:val="single" w:sz="4" w:space="0" w:color="000000"/>
              <w:left w:val="single" w:sz="8" w:space="0" w:color="000000"/>
              <w:bottom w:val="dashed" w:sz="4" w:space="0" w:color="000000"/>
              <w:right w:val="dashed" w:sz="4" w:space="0" w:color="000000"/>
            </w:tcBorders>
          </w:tcPr>
          <w:p w:rsidR="00E8309B" w:rsidRDefault="009D0949">
            <w:pPr>
              <w:spacing w:after="0" w:line="259" w:lineRule="auto"/>
              <w:ind w:left="118" w:right="0" w:firstLine="0"/>
              <w:jc w:val="center"/>
            </w:pPr>
            <w:r>
              <w:rPr>
                <w:sz w:val="20"/>
              </w:rPr>
              <w:t xml:space="preserve">3,5 </w:t>
            </w:r>
          </w:p>
        </w:tc>
        <w:tc>
          <w:tcPr>
            <w:tcW w:w="1783" w:type="dxa"/>
            <w:tcBorders>
              <w:top w:val="single" w:sz="4" w:space="0" w:color="000000"/>
              <w:left w:val="dashed" w:sz="4" w:space="0" w:color="000000"/>
              <w:bottom w:val="dashed" w:sz="4" w:space="0" w:color="000000"/>
              <w:right w:val="dashed" w:sz="4" w:space="0" w:color="000000"/>
            </w:tcBorders>
          </w:tcPr>
          <w:p w:rsidR="00E8309B" w:rsidRDefault="009D0949">
            <w:pPr>
              <w:spacing w:after="0" w:line="259" w:lineRule="auto"/>
              <w:ind w:left="118" w:right="0" w:firstLine="0"/>
              <w:jc w:val="center"/>
            </w:pPr>
            <w:r>
              <w:rPr>
                <w:sz w:val="20"/>
              </w:rPr>
              <w:t xml:space="preserve">4,0 </w:t>
            </w:r>
          </w:p>
        </w:tc>
        <w:tc>
          <w:tcPr>
            <w:tcW w:w="694" w:type="dxa"/>
            <w:tcBorders>
              <w:top w:val="single" w:sz="4" w:space="0" w:color="000000"/>
              <w:left w:val="dashed" w:sz="4" w:space="0" w:color="000000"/>
              <w:bottom w:val="dashed" w:sz="4" w:space="0" w:color="000000"/>
              <w:right w:val="nil"/>
            </w:tcBorders>
          </w:tcPr>
          <w:p w:rsidR="00E8309B" w:rsidRDefault="00E8309B">
            <w:pPr>
              <w:spacing w:after="160" w:line="259" w:lineRule="auto"/>
              <w:ind w:left="0" w:right="0" w:firstLine="0"/>
              <w:jc w:val="left"/>
            </w:pPr>
          </w:p>
        </w:tc>
        <w:tc>
          <w:tcPr>
            <w:tcW w:w="1090" w:type="dxa"/>
            <w:tcBorders>
              <w:top w:val="single" w:sz="4" w:space="0" w:color="000000"/>
              <w:left w:val="nil"/>
              <w:bottom w:val="dashed" w:sz="4" w:space="0" w:color="000000"/>
              <w:right w:val="dashed" w:sz="4" w:space="0" w:color="000000"/>
            </w:tcBorders>
          </w:tcPr>
          <w:p w:rsidR="00E8309B" w:rsidRDefault="009D0949">
            <w:pPr>
              <w:spacing w:after="0" w:line="259" w:lineRule="auto"/>
              <w:ind w:left="74" w:right="0" w:firstLine="0"/>
              <w:jc w:val="left"/>
            </w:pPr>
            <w:r>
              <w:rPr>
                <w:sz w:val="20"/>
              </w:rPr>
              <w:t xml:space="preserve">4,0 </w:t>
            </w:r>
          </w:p>
        </w:tc>
        <w:tc>
          <w:tcPr>
            <w:tcW w:w="1783" w:type="dxa"/>
            <w:tcBorders>
              <w:top w:val="single" w:sz="4" w:space="0" w:color="000000"/>
              <w:left w:val="dashed" w:sz="4" w:space="0" w:color="000000"/>
              <w:bottom w:val="dashed" w:sz="4" w:space="0" w:color="000000"/>
              <w:right w:val="dashed" w:sz="4" w:space="0" w:color="000000"/>
            </w:tcBorders>
          </w:tcPr>
          <w:p w:rsidR="00E8309B" w:rsidRDefault="009D0949">
            <w:pPr>
              <w:spacing w:after="0" w:line="259" w:lineRule="auto"/>
              <w:ind w:left="118" w:right="0" w:firstLine="0"/>
              <w:jc w:val="center"/>
            </w:pPr>
            <w:r>
              <w:rPr>
                <w:sz w:val="20"/>
              </w:rPr>
              <w:t xml:space="preserve">4,0 </w:t>
            </w:r>
          </w:p>
        </w:tc>
        <w:tc>
          <w:tcPr>
            <w:tcW w:w="1779" w:type="dxa"/>
            <w:tcBorders>
              <w:top w:val="single" w:sz="4" w:space="0" w:color="000000"/>
              <w:left w:val="dashed" w:sz="4" w:space="0" w:color="000000"/>
              <w:bottom w:val="dashed" w:sz="4" w:space="0" w:color="000000"/>
              <w:right w:val="double" w:sz="6" w:space="0" w:color="000000"/>
            </w:tcBorders>
          </w:tcPr>
          <w:p w:rsidR="00E8309B" w:rsidRDefault="009D0949">
            <w:pPr>
              <w:spacing w:after="0" w:line="259" w:lineRule="auto"/>
              <w:ind w:left="115" w:right="0" w:firstLine="0"/>
              <w:jc w:val="center"/>
            </w:pPr>
            <w:r>
              <w:rPr>
                <w:sz w:val="20"/>
              </w:rPr>
              <w:t xml:space="preserve">: </w:t>
            </w:r>
          </w:p>
        </w:tc>
      </w:tr>
      <w:tr w:rsidR="00E8309B">
        <w:trPr>
          <w:trHeight w:val="293"/>
        </w:trPr>
        <w:tc>
          <w:tcPr>
            <w:tcW w:w="2806" w:type="dxa"/>
            <w:tcBorders>
              <w:top w:val="dashed" w:sz="4" w:space="0" w:color="000000"/>
              <w:left w:val="double" w:sz="6" w:space="0" w:color="000000"/>
              <w:bottom w:val="dashed" w:sz="4" w:space="0" w:color="000000"/>
              <w:right w:val="nil"/>
            </w:tcBorders>
          </w:tcPr>
          <w:p w:rsidR="00E8309B" w:rsidRDefault="009D0949">
            <w:pPr>
              <w:spacing w:after="0" w:line="259" w:lineRule="auto"/>
              <w:ind w:left="110" w:right="0" w:firstLine="0"/>
              <w:jc w:val="left"/>
            </w:pPr>
            <w:r>
              <w:rPr>
                <w:sz w:val="20"/>
              </w:rPr>
              <w:t xml:space="preserve">Садашњи </w:t>
            </w:r>
          </w:p>
        </w:tc>
        <w:tc>
          <w:tcPr>
            <w:tcW w:w="2163" w:type="dxa"/>
            <w:tcBorders>
              <w:top w:val="dashed" w:sz="4" w:space="0" w:color="000000"/>
              <w:left w:val="nil"/>
              <w:bottom w:val="dashed" w:sz="4" w:space="0" w:color="000000"/>
              <w:right w:val="nil"/>
            </w:tcBorders>
          </w:tcPr>
          <w:p w:rsidR="00E8309B" w:rsidRDefault="00E8309B">
            <w:pPr>
              <w:spacing w:after="160" w:line="259" w:lineRule="auto"/>
              <w:ind w:left="0" w:right="0" w:firstLine="0"/>
              <w:jc w:val="left"/>
            </w:pPr>
          </w:p>
        </w:tc>
        <w:tc>
          <w:tcPr>
            <w:tcW w:w="691" w:type="dxa"/>
            <w:tcBorders>
              <w:top w:val="dashed" w:sz="4" w:space="0" w:color="000000"/>
              <w:left w:val="nil"/>
              <w:bottom w:val="dashed" w:sz="4" w:space="0" w:color="000000"/>
              <w:right w:val="single" w:sz="8" w:space="0" w:color="000000"/>
            </w:tcBorders>
          </w:tcPr>
          <w:p w:rsidR="00E8309B" w:rsidRDefault="00E8309B">
            <w:pPr>
              <w:spacing w:after="160" w:line="259" w:lineRule="auto"/>
              <w:ind w:left="0" w:right="0" w:firstLine="0"/>
              <w:jc w:val="left"/>
            </w:pPr>
          </w:p>
        </w:tc>
        <w:tc>
          <w:tcPr>
            <w:tcW w:w="1784" w:type="dxa"/>
            <w:tcBorders>
              <w:top w:val="dashed" w:sz="4" w:space="0" w:color="000000"/>
              <w:left w:val="single" w:sz="8" w:space="0" w:color="000000"/>
              <w:bottom w:val="dashed" w:sz="4" w:space="0" w:color="000000"/>
              <w:right w:val="dashed" w:sz="4" w:space="0" w:color="000000"/>
            </w:tcBorders>
          </w:tcPr>
          <w:p w:rsidR="00E8309B" w:rsidRDefault="009D0949">
            <w:pPr>
              <w:spacing w:after="0" w:line="259" w:lineRule="auto"/>
              <w:ind w:left="118" w:right="0" w:firstLine="0"/>
              <w:jc w:val="center"/>
            </w:pPr>
            <w:r>
              <w:rPr>
                <w:sz w:val="20"/>
              </w:rPr>
              <w:t xml:space="preserve">4,2 </w:t>
            </w:r>
          </w:p>
        </w:tc>
        <w:tc>
          <w:tcPr>
            <w:tcW w:w="1783"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116" w:right="0" w:firstLine="0"/>
              <w:jc w:val="center"/>
            </w:pPr>
            <w:r>
              <w:rPr>
                <w:sz w:val="20"/>
              </w:rPr>
              <w:t xml:space="preserve">-1,0 </w:t>
            </w:r>
          </w:p>
        </w:tc>
        <w:tc>
          <w:tcPr>
            <w:tcW w:w="694" w:type="dxa"/>
            <w:tcBorders>
              <w:top w:val="dashed" w:sz="4" w:space="0" w:color="000000"/>
              <w:left w:val="dashed" w:sz="4" w:space="0" w:color="000000"/>
              <w:bottom w:val="dashed" w:sz="4" w:space="0" w:color="000000"/>
              <w:right w:val="nil"/>
            </w:tcBorders>
          </w:tcPr>
          <w:p w:rsidR="00E8309B" w:rsidRDefault="00E8309B">
            <w:pPr>
              <w:spacing w:after="160" w:line="259" w:lineRule="auto"/>
              <w:ind w:left="0" w:right="0" w:firstLine="0"/>
              <w:jc w:val="left"/>
            </w:pPr>
          </w:p>
        </w:tc>
        <w:tc>
          <w:tcPr>
            <w:tcW w:w="1090" w:type="dxa"/>
            <w:tcBorders>
              <w:top w:val="dashed" w:sz="4" w:space="0" w:color="000000"/>
              <w:left w:val="nil"/>
              <w:bottom w:val="dashed" w:sz="4" w:space="0" w:color="000000"/>
              <w:right w:val="dashed" w:sz="4" w:space="0" w:color="000000"/>
            </w:tcBorders>
          </w:tcPr>
          <w:p w:rsidR="00E8309B" w:rsidRDefault="009D0949">
            <w:pPr>
              <w:spacing w:after="0" w:line="259" w:lineRule="auto"/>
              <w:ind w:left="74" w:right="0" w:firstLine="0"/>
              <w:jc w:val="left"/>
            </w:pPr>
            <w:r>
              <w:rPr>
                <w:sz w:val="20"/>
              </w:rPr>
              <w:t xml:space="preserve">6,0 </w:t>
            </w:r>
          </w:p>
        </w:tc>
        <w:tc>
          <w:tcPr>
            <w:tcW w:w="1783"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118" w:right="0" w:firstLine="0"/>
              <w:jc w:val="center"/>
            </w:pPr>
            <w:r>
              <w:rPr>
                <w:sz w:val="20"/>
              </w:rPr>
              <w:t xml:space="preserve">4,0 </w:t>
            </w:r>
          </w:p>
        </w:tc>
        <w:tc>
          <w:tcPr>
            <w:tcW w:w="1779" w:type="dxa"/>
            <w:tcBorders>
              <w:top w:val="dashed" w:sz="4" w:space="0" w:color="000000"/>
              <w:left w:val="dashed" w:sz="4" w:space="0" w:color="000000"/>
              <w:bottom w:val="dashed" w:sz="4" w:space="0" w:color="000000"/>
              <w:right w:val="double" w:sz="6" w:space="0" w:color="000000"/>
            </w:tcBorders>
          </w:tcPr>
          <w:p w:rsidR="00E8309B" w:rsidRDefault="009D0949">
            <w:pPr>
              <w:spacing w:after="0" w:line="259" w:lineRule="auto"/>
              <w:ind w:left="113" w:right="0" w:firstLine="0"/>
              <w:jc w:val="center"/>
            </w:pPr>
            <w:r>
              <w:rPr>
                <w:sz w:val="20"/>
              </w:rPr>
              <w:t xml:space="preserve">4,0 </w:t>
            </w:r>
          </w:p>
        </w:tc>
      </w:tr>
      <w:tr w:rsidR="00E8309B">
        <w:trPr>
          <w:trHeight w:val="298"/>
        </w:trPr>
        <w:tc>
          <w:tcPr>
            <w:tcW w:w="2806" w:type="dxa"/>
            <w:tcBorders>
              <w:top w:val="dashed" w:sz="4" w:space="0" w:color="000000"/>
              <w:left w:val="double" w:sz="6" w:space="0" w:color="000000"/>
              <w:bottom w:val="single" w:sz="8" w:space="0" w:color="000000"/>
              <w:right w:val="nil"/>
            </w:tcBorders>
          </w:tcPr>
          <w:p w:rsidR="00E8309B" w:rsidRDefault="009D0949">
            <w:pPr>
              <w:spacing w:after="0" w:line="259" w:lineRule="auto"/>
              <w:ind w:left="110" w:right="0" w:firstLine="0"/>
              <w:jc w:val="left"/>
            </w:pPr>
            <w:r>
              <w:rPr>
                <w:sz w:val="20"/>
              </w:rPr>
              <w:t xml:space="preserve">Разлика (процентни поени) </w:t>
            </w:r>
          </w:p>
        </w:tc>
        <w:tc>
          <w:tcPr>
            <w:tcW w:w="2163" w:type="dxa"/>
            <w:tcBorders>
              <w:top w:val="dashed" w:sz="4" w:space="0" w:color="000000"/>
              <w:left w:val="nil"/>
              <w:bottom w:val="single" w:sz="8" w:space="0" w:color="000000"/>
              <w:right w:val="nil"/>
            </w:tcBorders>
          </w:tcPr>
          <w:p w:rsidR="00E8309B" w:rsidRDefault="00E8309B">
            <w:pPr>
              <w:spacing w:after="160" w:line="259" w:lineRule="auto"/>
              <w:ind w:left="0" w:right="0" w:firstLine="0"/>
              <w:jc w:val="left"/>
            </w:pPr>
          </w:p>
        </w:tc>
        <w:tc>
          <w:tcPr>
            <w:tcW w:w="691" w:type="dxa"/>
            <w:tcBorders>
              <w:top w:val="dashed" w:sz="4" w:space="0" w:color="000000"/>
              <w:left w:val="nil"/>
              <w:bottom w:val="single" w:sz="8" w:space="0" w:color="000000"/>
              <w:right w:val="single" w:sz="8" w:space="0" w:color="000000"/>
            </w:tcBorders>
          </w:tcPr>
          <w:p w:rsidR="00E8309B" w:rsidRDefault="00E8309B">
            <w:pPr>
              <w:spacing w:after="160" w:line="259" w:lineRule="auto"/>
              <w:ind w:left="0" w:right="0" w:firstLine="0"/>
              <w:jc w:val="left"/>
            </w:pPr>
          </w:p>
        </w:tc>
        <w:tc>
          <w:tcPr>
            <w:tcW w:w="1784" w:type="dxa"/>
            <w:tcBorders>
              <w:top w:val="dashed" w:sz="4" w:space="0" w:color="000000"/>
              <w:left w:val="single" w:sz="8" w:space="0" w:color="000000"/>
              <w:bottom w:val="single" w:sz="8" w:space="0" w:color="000000"/>
              <w:right w:val="dashed" w:sz="4" w:space="0" w:color="000000"/>
            </w:tcBorders>
          </w:tcPr>
          <w:p w:rsidR="00E8309B" w:rsidRDefault="009D0949">
            <w:pPr>
              <w:spacing w:after="0" w:line="259" w:lineRule="auto"/>
              <w:ind w:left="118" w:right="0" w:firstLine="0"/>
              <w:jc w:val="center"/>
            </w:pPr>
            <w:r>
              <w:rPr>
                <w:sz w:val="20"/>
              </w:rPr>
              <w:t xml:space="preserve">0,7 </w:t>
            </w:r>
          </w:p>
        </w:tc>
        <w:tc>
          <w:tcPr>
            <w:tcW w:w="1783" w:type="dxa"/>
            <w:tcBorders>
              <w:top w:val="dashed" w:sz="4" w:space="0" w:color="000000"/>
              <w:left w:val="dashed" w:sz="4" w:space="0" w:color="000000"/>
              <w:bottom w:val="single" w:sz="8" w:space="0" w:color="000000"/>
              <w:right w:val="dashed" w:sz="4" w:space="0" w:color="000000"/>
            </w:tcBorders>
          </w:tcPr>
          <w:p w:rsidR="00E8309B" w:rsidRDefault="009D0949">
            <w:pPr>
              <w:spacing w:after="0" w:line="259" w:lineRule="auto"/>
              <w:ind w:left="116" w:right="0" w:firstLine="0"/>
              <w:jc w:val="center"/>
            </w:pPr>
            <w:r>
              <w:rPr>
                <w:sz w:val="20"/>
              </w:rPr>
              <w:t xml:space="preserve">-5,0 </w:t>
            </w:r>
          </w:p>
        </w:tc>
        <w:tc>
          <w:tcPr>
            <w:tcW w:w="694" w:type="dxa"/>
            <w:tcBorders>
              <w:top w:val="dashed" w:sz="4" w:space="0" w:color="000000"/>
              <w:left w:val="dashed" w:sz="4" w:space="0" w:color="000000"/>
              <w:bottom w:val="single" w:sz="8" w:space="0" w:color="000000"/>
              <w:right w:val="nil"/>
            </w:tcBorders>
          </w:tcPr>
          <w:p w:rsidR="00E8309B" w:rsidRDefault="00E8309B">
            <w:pPr>
              <w:spacing w:after="160" w:line="259" w:lineRule="auto"/>
              <w:ind w:left="0" w:right="0" w:firstLine="0"/>
              <w:jc w:val="left"/>
            </w:pPr>
          </w:p>
        </w:tc>
        <w:tc>
          <w:tcPr>
            <w:tcW w:w="1090" w:type="dxa"/>
            <w:tcBorders>
              <w:top w:val="dashed" w:sz="4" w:space="0" w:color="000000"/>
              <w:left w:val="nil"/>
              <w:bottom w:val="single" w:sz="8" w:space="0" w:color="000000"/>
              <w:right w:val="dashed" w:sz="4" w:space="0" w:color="000000"/>
            </w:tcBorders>
          </w:tcPr>
          <w:p w:rsidR="00E8309B" w:rsidRDefault="009D0949">
            <w:pPr>
              <w:spacing w:after="0" w:line="259" w:lineRule="auto"/>
              <w:ind w:left="74" w:right="0" w:firstLine="0"/>
              <w:jc w:val="left"/>
            </w:pPr>
            <w:r>
              <w:rPr>
                <w:sz w:val="20"/>
              </w:rPr>
              <w:t xml:space="preserve">2,0 </w:t>
            </w:r>
          </w:p>
        </w:tc>
        <w:tc>
          <w:tcPr>
            <w:tcW w:w="1783" w:type="dxa"/>
            <w:tcBorders>
              <w:top w:val="dashed" w:sz="4" w:space="0" w:color="000000"/>
              <w:left w:val="dashed" w:sz="4" w:space="0" w:color="000000"/>
              <w:bottom w:val="single" w:sz="8" w:space="0" w:color="000000"/>
              <w:right w:val="dashed" w:sz="4" w:space="0" w:color="000000"/>
            </w:tcBorders>
          </w:tcPr>
          <w:p w:rsidR="00E8309B" w:rsidRDefault="009D0949">
            <w:pPr>
              <w:spacing w:after="0" w:line="259" w:lineRule="auto"/>
              <w:ind w:left="118" w:right="0" w:firstLine="0"/>
              <w:jc w:val="center"/>
            </w:pPr>
            <w:r>
              <w:rPr>
                <w:sz w:val="20"/>
              </w:rPr>
              <w:t xml:space="preserve">0,0 </w:t>
            </w:r>
          </w:p>
        </w:tc>
        <w:tc>
          <w:tcPr>
            <w:tcW w:w="1779" w:type="dxa"/>
            <w:tcBorders>
              <w:top w:val="dashed" w:sz="4" w:space="0" w:color="000000"/>
              <w:left w:val="dashed" w:sz="4" w:space="0" w:color="000000"/>
              <w:bottom w:val="single" w:sz="8" w:space="0" w:color="000000"/>
              <w:right w:val="double" w:sz="6" w:space="0" w:color="000000"/>
            </w:tcBorders>
          </w:tcPr>
          <w:p w:rsidR="00E8309B" w:rsidRDefault="009D0949">
            <w:pPr>
              <w:spacing w:after="0" w:line="259" w:lineRule="auto"/>
              <w:ind w:left="115" w:right="0" w:firstLine="0"/>
              <w:jc w:val="center"/>
            </w:pPr>
            <w:r>
              <w:rPr>
                <w:sz w:val="20"/>
              </w:rPr>
              <w:t xml:space="preserve">: </w:t>
            </w:r>
          </w:p>
        </w:tc>
      </w:tr>
      <w:tr w:rsidR="00E8309B">
        <w:trPr>
          <w:trHeight w:val="413"/>
        </w:trPr>
        <w:tc>
          <w:tcPr>
            <w:tcW w:w="2806" w:type="dxa"/>
            <w:tcBorders>
              <w:top w:val="single" w:sz="8" w:space="0" w:color="000000"/>
              <w:left w:val="double" w:sz="6" w:space="0" w:color="000000"/>
              <w:bottom w:val="single" w:sz="4" w:space="0" w:color="000000"/>
              <w:right w:val="nil"/>
            </w:tcBorders>
          </w:tcPr>
          <w:p w:rsidR="00E8309B" w:rsidRDefault="00E8309B">
            <w:pPr>
              <w:spacing w:after="160" w:line="259" w:lineRule="auto"/>
              <w:ind w:left="0" w:right="0" w:firstLine="0"/>
              <w:jc w:val="left"/>
            </w:pPr>
          </w:p>
        </w:tc>
        <w:tc>
          <w:tcPr>
            <w:tcW w:w="2163" w:type="dxa"/>
            <w:tcBorders>
              <w:top w:val="single" w:sz="8" w:space="0" w:color="000000"/>
              <w:left w:val="nil"/>
              <w:bottom w:val="single" w:sz="4" w:space="0" w:color="000000"/>
              <w:right w:val="nil"/>
            </w:tcBorders>
          </w:tcPr>
          <w:p w:rsidR="00E8309B" w:rsidRDefault="00E8309B">
            <w:pPr>
              <w:spacing w:after="160" w:line="259" w:lineRule="auto"/>
              <w:ind w:left="0" w:right="0" w:firstLine="0"/>
              <w:jc w:val="left"/>
            </w:pPr>
          </w:p>
        </w:tc>
        <w:tc>
          <w:tcPr>
            <w:tcW w:w="4952" w:type="dxa"/>
            <w:gridSpan w:val="4"/>
            <w:tcBorders>
              <w:top w:val="single" w:sz="8" w:space="0" w:color="000000"/>
              <w:left w:val="nil"/>
              <w:bottom w:val="single" w:sz="4" w:space="0" w:color="000000"/>
              <w:right w:val="nil"/>
            </w:tcBorders>
          </w:tcPr>
          <w:p w:rsidR="00E8309B" w:rsidRDefault="009D0949">
            <w:pPr>
              <w:spacing w:after="0" w:line="259" w:lineRule="auto"/>
              <w:ind w:left="0" w:right="0" w:firstLine="0"/>
              <w:jc w:val="left"/>
            </w:pPr>
            <w:r>
              <w:rPr>
                <w:b/>
                <w:sz w:val="20"/>
              </w:rPr>
              <w:t>2. Нето позајмице општег нивоа државе (% БДП-а)</w:t>
            </w:r>
            <w:r>
              <w:rPr>
                <w:sz w:val="22"/>
              </w:rPr>
              <w:t xml:space="preserve"> </w:t>
            </w:r>
          </w:p>
        </w:tc>
        <w:tc>
          <w:tcPr>
            <w:tcW w:w="1090" w:type="dxa"/>
            <w:tcBorders>
              <w:top w:val="single" w:sz="8" w:space="0" w:color="000000"/>
              <w:left w:val="nil"/>
              <w:bottom w:val="single" w:sz="4" w:space="0" w:color="000000"/>
              <w:right w:val="nil"/>
            </w:tcBorders>
          </w:tcPr>
          <w:p w:rsidR="00E8309B" w:rsidRDefault="00E8309B">
            <w:pPr>
              <w:spacing w:after="160" w:line="259" w:lineRule="auto"/>
              <w:ind w:left="0" w:right="0" w:firstLine="0"/>
              <w:jc w:val="left"/>
            </w:pPr>
          </w:p>
        </w:tc>
        <w:tc>
          <w:tcPr>
            <w:tcW w:w="1783" w:type="dxa"/>
            <w:tcBorders>
              <w:top w:val="single" w:sz="8" w:space="0" w:color="000000"/>
              <w:left w:val="nil"/>
              <w:bottom w:val="single" w:sz="4" w:space="0" w:color="000000"/>
              <w:right w:val="nil"/>
            </w:tcBorders>
          </w:tcPr>
          <w:p w:rsidR="00E8309B" w:rsidRDefault="00E8309B">
            <w:pPr>
              <w:spacing w:after="160" w:line="259" w:lineRule="auto"/>
              <w:ind w:left="0" w:right="0" w:firstLine="0"/>
              <w:jc w:val="left"/>
            </w:pPr>
          </w:p>
        </w:tc>
        <w:tc>
          <w:tcPr>
            <w:tcW w:w="1779" w:type="dxa"/>
            <w:tcBorders>
              <w:top w:val="single" w:sz="8" w:space="0" w:color="000000"/>
              <w:left w:val="nil"/>
              <w:bottom w:val="single" w:sz="4" w:space="0" w:color="000000"/>
              <w:right w:val="double" w:sz="6" w:space="0" w:color="000000"/>
            </w:tcBorders>
          </w:tcPr>
          <w:p w:rsidR="00E8309B" w:rsidRDefault="00E8309B">
            <w:pPr>
              <w:spacing w:after="160" w:line="259" w:lineRule="auto"/>
              <w:ind w:left="0" w:right="0" w:firstLine="0"/>
              <w:jc w:val="left"/>
            </w:pPr>
          </w:p>
        </w:tc>
      </w:tr>
      <w:tr w:rsidR="00E8309B">
        <w:trPr>
          <w:trHeight w:val="293"/>
        </w:trPr>
        <w:tc>
          <w:tcPr>
            <w:tcW w:w="2806" w:type="dxa"/>
            <w:tcBorders>
              <w:top w:val="single" w:sz="4" w:space="0" w:color="000000"/>
              <w:left w:val="double" w:sz="6" w:space="0" w:color="000000"/>
              <w:bottom w:val="dashed" w:sz="4" w:space="0" w:color="000000"/>
              <w:right w:val="nil"/>
            </w:tcBorders>
          </w:tcPr>
          <w:p w:rsidR="00E8309B" w:rsidRDefault="009D0949">
            <w:pPr>
              <w:spacing w:after="0" w:line="259" w:lineRule="auto"/>
              <w:ind w:left="110" w:right="0" w:firstLine="0"/>
              <w:jc w:val="left"/>
            </w:pPr>
            <w:r>
              <w:rPr>
                <w:sz w:val="20"/>
              </w:rPr>
              <w:t xml:space="preserve">Претходни </w:t>
            </w:r>
          </w:p>
        </w:tc>
        <w:tc>
          <w:tcPr>
            <w:tcW w:w="2163" w:type="dxa"/>
            <w:tcBorders>
              <w:top w:val="single" w:sz="4" w:space="0" w:color="000000"/>
              <w:left w:val="nil"/>
              <w:bottom w:val="dashed" w:sz="4" w:space="0" w:color="000000"/>
              <w:right w:val="nil"/>
            </w:tcBorders>
          </w:tcPr>
          <w:p w:rsidR="00E8309B" w:rsidRDefault="00E8309B">
            <w:pPr>
              <w:spacing w:after="160" w:line="259" w:lineRule="auto"/>
              <w:ind w:left="0" w:right="0" w:firstLine="0"/>
              <w:jc w:val="left"/>
            </w:pPr>
          </w:p>
        </w:tc>
        <w:tc>
          <w:tcPr>
            <w:tcW w:w="691" w:type="dxa"/>
            <w:tcBorders>
              <w:top w:val="single" w:sz="4" w:space="0" w:color="000000"/>
              <w:left w:val="nil"/>
              <w:bottom w:val="dashed" w:sz="4" w:space="0" w:color="000000"/>
              <w:right w:val="single" w:sz="8" w:space="0" w:color="000000"/>
            </w:tcBorders>
          </w:tcPr>
          <w:p w:rsidR="00E8309B" w:rsidRDefault="00E8309B">
            <w:pPr>
              <w:spacing w:after="160" w:line="259" w:lineRule="auto"/>
              <w:ind w:left="0" w:right="0" w:firstLine="0"/>
              <w:jc w:val="left"/>
            </w:pPr>
          </w:p>
        </w:tc>
        <w:tc>
          <w:tcPr>
            <w:tcW w:w="1784" w:type="dxa"/>
            <w:tcBorders>
              <w:top w:val="single" w:sz="4" w:space="0" w:color="000000"/>
              <w:left w:val="single" w:sz="8" w:space="0" w:color="000000"/>
              <w:bottom w:val="dashed" w:sz="4" w:space="0" w:color="000000"/>
              <w:right w:val="dashed" w:sz="4" w:space="0" w:color="000000"/>
            </w:tcBorders>
          </w:tcPr>
          <w:p w:rsidR="00E8309B" w:rsidRDefault="009D0949">
            <w:pPr>
              <w:spacing w:after="0" w:line="259" w:lineRule="auto"/>
              <w:ind w:left="116" w:right="0" w:firstLine="0"/>
              <w:jc w:val="center"/>
            </w:pPr>
            <w:r>
              <w:rPr>
                <w:sz w:val="20"/>
              </w:rPr>
              <w:t xml:space="preserve">-0,5 </w:t>
            </w:r>
          </w:p>
        </w:tc>
        <w:tc>
          <w:tcPr>
            <w:tcW w:w="1783" w:type="dxa"/>
            <w:tcBorders>
              <w:top w:val="single" w:sz="4" w:space="0" w:color="000000"/>
              <w:left w:val="dashed" w:sz="4" w:space="0" w:color="000000"/>
              <w:bottom w:val="dashed" w:sz="4" w:space="0" w:color="000000"/>
              <w:right w:val="dashed" w:sz="4" w:space="0" w:color="000000"/>
            </w:tcBorders>
          </w:tcPr>
          <w:p w:rsidR="00E8309B" w:rsidRDefault="009D0949">
            <w:pPr>
              <w:spacing w:after="0" w:line="259" w:lineRule="auto"/>
              <w:ind w:left="116" w:right="0" w:firstLine="0"/>
              <w:jc w:val="center"/>
            </w:pPr>
            <w:r>
              <w:rPr>
                <w:sz w:val="20"/>
              </w:rPr>
              <w:t xml:space="preserve">-0,5 </w:t>
            </w:r>
          </w:p>
        </w:tc>
        <w:tc>
          <w:tcPr>
            <w:tcW w:w="694" w:type="dxa"/>
            <w:tcBorders>
              <w:top w:val="single" w:sz="4" w:space="0" w:color="000000"/>
              <w:left w:val="dashed" w:sz="4" w:space="0" w:color="000000"/>
              <w:bottom w:val="dashed" w:sz="4" w:space="0" w:color="000000"/>
              <w:right w:val="nil"/>
            </w:tcBorders>
          </w:tcPr>
          <w:p w:rsidR="00E8309B" w:rsidRDefault="00E8309B">
            <w:pPr>
              <w:spacing w:after="160" w:line="259" w:lineRule="auto"/>
              <w:ind w:left="0" w:right="0" w:firstLine="0"/>
              <w:jc w:val="left"/>
            </w:pPr>
          </w:p>
        </w:tc>
        <w:tc>
          <w:tcPr>
            <w:tcW w:w="1090" w:type="dxa"/>
            <w:tcBorders>
              <w:top w:val="single" w:sz="4" w:space="0" w:color="000000"/>
              <w:left w:val="nil"/>
              <w:bottom w:val="dashed" w:sz="4" w:space="0" w:color="000000"/>
              <w:right w:val="dashed" w:sz="4" w:space="0" w:color="000000"/>
            </w:tcBorders>
          </w:tcPr>
          <w:p w:rsidR="00E8309B" w:rsidRDefault="009D0949">
            <w:pPr>
              <w:spacing w:after="0" w:line="259" w:lineRule="auto"/>
              <w:ind w:left="41" w:right="0" w:firstLine="0"/>
              <w:jc w:val="left"/>
            </w:pPr>
            <w:r>
              <w:rPr>
                <w:sz w:val="20"/>
              </w:rPr>
              <w:t xml:space="preserve">-0,5 </w:t>
            </w:r>
          </w:p>
        </w:tc>
        <w:tc>
          <w:tcPr>
            <w:tcW w:w="1783" w:type="dxa"/>
            <w:tcBorders>
              <w:top w:val="single" w:sz="4" w:space="0" w:color="000000"/>
              <w:left w:val="dashed" w:sz="4" w:space="0" w:color="000000"/>
              <w:bottom w:val="dashed" w:sz="4" w:space="0" w:color="000000"/>
              <w:right w:val="dashed" w:sz="4" w:space="0" w:color="000000"/>
            </w:tcBorders>
          </w:tcPr>
          <w:p w:rsidR="00E8309B" w:rsidRDefault="009D0949">
            <w:pPr>
              <w:spacing w:after="0" w:line="259" w:lineRule="auto"/>
              <w:ind w:left="116" w:right="0" w:firstLine="0"/>
              <w:jc w:val="center"/>
            </w:pPr>
            <w:r>
              <w:rPr>
                <w:sz w:val="20"/>
              </w:rPr>
              <w:t xml:space="preserve">-0,5 </w:t>
            </w:r>
          </w:p>
        </w:tc>
        <w:tc>
          <w:tcPr>
            <w:tcW w:w="1779" w:type="dxa"/>
            <w:tcBorders>
              <w:top w:val="single" w:sz="4" w:space="0" w:color="000000"/>
              <w:left w:val="dashed" w:sz="4" w:space="0" w:color="000000"/>
              <w:bottom w:val="dashed" w:sz="4" w:space="0" w:color="000000"/>
              <w:right w:val="double" w:sz="6" w:space="0" w:color="000000"/>
            </w:tcBorders>
          </w:tcPr>
          <w:p w:rsidR="00E8309B" w:rsidRDefault="009D0949">
            <w:pPr>
              <w:spacing w:after="0" w:line="259" w:lineRule="auto"/>
              <w:ind w:left="115" w:right="0" w:firstLine="0"/>
              <w:jc w:val="center"/>
            </w:pPr>
            <w:r>
              <w:rPr>
                <w:sz w:val="20"/>
              </w:rPr>
              <w:t xml:space="preserve">: </w:t>
            </w:r>
          </w:p>
        </w:tc>
      </w:tr>
      <w:tr w:rsidR="00E8309B">
        <w:trPr>
          <w:trHeight w:val="293"/>
        </w:trPr>
        <w:tc>
          <w:tcPr>
            <w:tcW w:w="2806" w:type="dxa"/>
            <w:tcBorders>
              <w:top w:val="dashed" w:sz="4" w:space="0" w:color="000000"/>
              <w:left w:val="double" w:sz="6" w:space="0" w:color="000000"/>
              <w:bottom w:val="dashed" w:sz="4" w:space="0" w:color="000000"/>
              <w:right w:val="nil"/>
            </w:tcBorders>
          </w:tcPr>
          <w:p w:rsidR="00E8309B" w:rsidRDefault="009D0949">
            <w:pPr>
              <w:spacing w:after="0" w:line="259" w:lineRule="auto"/>
              <w:ind w:left="110" w:right="0" w:firstLine="0"/>
              <w:jc w:val="left"/>
            </w:pPr>
            <w:r>
              <w:rPr>
                <w:sz w:val="20"/>
              </w:rPr>
              <w:t xml:space="preserve">Садашњи </w:t>
            </w:r>
          </w:p>
        </w:tc>
        <w:tc>
          <w:tcPr>
            <w:tcW w:w="2163" w:type="dxa"/>
            <w:tcBorders>
              <w:top w:val="dashed" w:sz="4" w:space="0" w:color="000000"/>
              <w:left w:val="nil"/>
              <w:bottom w:val="dashed" w:sz="4" w:space="0" w:color="000000"/>
              <w:right w:val="nil"/>
            </w:tcBorders>
          </w:tcPr>
          <w:p w:rsidR="00E8309B" w:rsidRDefault="00E8309B">
            <w:pPr>
              <w:spacing w:after="160" w:line="259" w:lineRule="auto"/>
              <w:ind w:left="0" w:right="0" w:firstLine="0"/>
              <w:jc w:val="left"/>
            </w:pPr>
          </w:p>
        </w:tc>
        <w:tc>
          <w:tcPr>
            <w:tcW w:w="691" w:type="dxa"/>
            <w:tcBorders>
              <w:top w:val="dashed" w:sz="4" w:space="0" w:color="000000"/>
              <w:left w:val="nil"/>
              <w:bottom w:val="dashed" w:sz="4" w:space="0" w:color="000000"/>
              <w:right w:val="single" w:sz="8" w:space="0" w:color="000000"/>
            </w:tcBorders>
          </w:tcPr>
          <w:p w:rsidR="00E8309B" w:rsidRDefault="00E8309B">
            <w:pPr>
              <w:spacing w:after="160" w:line="259" w:lineRule="auto"/>
              <w:ind w:left="0" w:right="0" w:firstLine="0"/>
              <w:jc w:val="left"/>
            </w:pPr>
          </w:p>
        </w:tc>
        <w:tc>
          <w:tcPr>
            <w:tcW w:w="1784" w:type="dxa"/>
            <w:tcBorders>
              <w:top w:val="dashed" w:sz="4" w:space="0" w:color="000000"/>
              <w:left w:val="single" w:sz="8" w:space="0" w:color="000000"/>
              <w:bottom w:val="dashed" w:sz="4" w:space="0" w:color="000000"/>
              <w:right w:val="dashed" w:sz="4" w:space="0" w:color="000000"/>
            </w:tcBorders>
          </w:tcPr>
          <w:p w:rsidR="00E8309B" w:rsidRDefault="009D0949">
            <w:pPr>
              <w:spacing w:after="0" w:line="259" w:lineRule="auto"/>
              <w:ind w:left="116" w:right="0" w:firstLine="0"/>
              <w:jc w:val="center"/>
            </w:pPr>
            <w:r>
              <w:rPr>
                <w:sz w:val="20"/>
              </w:rPr>
              <w:t xml:space="preserve">-0,2 </w:t>
            </w:r>
          </w:p>
        </w:tc>
        <w:tc>
          <w:tcPr>
            <w:tcW w:w="1783"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116" w:right="0" w:firstLine="0"/>
              <w:jc w:val="center"/>
            </w:pPr>
            <w:r>
              <w:rPr>
                <w:sz w:val="20"/>
              </w:rPr>
              <w:t xml:space="preserve">-8,9 </w:t>
            </w:r>
          </w:p>
        </w:tc>
        <w:tc>
          <w:tcPr>
            <w:tcW w:w="694" w:type="dxa"/>
            <w:tcBorders>
              <w:top w:val="dashed" w:sz="4" w:space="0" w:color="000000"/>
              <w:left w:val="dashed" w:sz="4" w:space="0" w:color="000000"/>
              <w:bottom w:val="dashed" w:sz="4" w:space="0" w:color="000000"/>
              <w:right w:val="nil"/>
            </w:tcBorders>
          </w:tcPr>
          <w:p w:rsidR="00E8309B" w:rsidRDefault="00E8309B">
            <w:pPr>
              <w:spacing w:after="160" w:line="259" w:lineRule="auto"/>
              <w:ind w:left="0" w:right="0" w:firstLine="0"/>
              <w:jc w:val="left"/>
            </w:pPr>
          </w:p>
        </w:tc>
        <w:tc>
          <w:tcPr>
            <w:tcW w:w="1090" w:type="dxa"/>
            <w:tcBorders>
              <w:top w:val="dashed" w:sz="4" w:space="0" w:color="000000"/>
              <w:left w:val="nil"/>
              <w:bottom w:val="dashed" w:sz="4" w:space="0" w:color="000000"/>
              <w:right w:val="dashed" w:sz="4" w:space="0" w:color="000000"/>
            </w:tcBorders>
          </w:tcPr>
          <w:p w:rsidR="00E8309B" w:rsidRDefault="009D0949">
            <w:pPr>
              <w:spacing w:after="0" w:line="259" w:lineRule="auto"/>
              <w:ind w:left="41" w:right="0" w:firstLine="0"/>
              <w:jc w:val="left"/>
            </w:pPr>
            <w:r>
              <w:rPr>
                <w:sz w:val="20"/>
              </w:rPr>
              <w:t xml:space="preserve">-3,0 </w:t>
            </w:r>
          </w:p>
        </w:tc>
        <w:tc>
          <w:tcPr>
            <w:tcW w:w="1783"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116" w:right="0" w:firstLine="0"/>
              <w:jc w:val="center"/>
            </w:pPr>
            <w:r>
              <w:rPr>
                <w:sz w:val="20"/>
              </w:rPr>
              <w:t xml:space="preserve">-1,6 </w:t>
            </w:r>
          </w:p>
        </w:tc>
        <w:tc>
          <w:tcPr>
            <w:tcW w:w="1779" w:type="dxa"/>
            <w:tcBorders>
              <w:top w:val="dashed" w:sz="4" w:space="0" w:color="000000"/>
              <w:left w:val="dashed" w:sz="4" w:space="0" w:color="000000"/>
              <w:bottom w:val="dashed" w:sz="4" w:space="0" w:color="000000"/>
              <w:right w:val="double" w:sz="6" w:space="0" w:color="000000"/>
            </w:tcBorders>
          </w:tcPr>
          <w:p w:rsidR="00E8309B" w:rsidRDefault="009D0949">
            <w:pPr>
              <w:spacing w:after="0" w:line="259" w:lineRule="auto"/>
              <w:ind w:left="111" w:right="0" w:firstLine="0"/>
              <w:jc w:val="center"/>
            </w:pPr>
            <w:r>
              <w:rPr>
                <w:sz w:val="20"/>
              </w:rPr>
              <w:t xml:space="preserve">-1,0 </w:t>
            </w:r>
          </w:p>
        </w:tc>
      </w:tr>
      <w:tr w:rsidR="00E8309B">
        <w:trPr>
          <w:trHeight w:val="298"/>
        </w:trPr>
        <w:tc>
          <w:tcPr>
            <w:tcW w:w="2806" w:type="dxa"/>
            <w:tcBorders>
              <w:top w:val="dashed" w:sz="4" w:space="0" w:color="000000"/>
              <w:left w:val="double" w:sz="6" w:space="0" w:color="000000"/>
              <w:bottom w:val="single" w:sz="8" w:space="0" w:color="000000"/>
              <w:right w:val="nil"/>
            </w:tcBorders>
          </w:tcPr>
          <w:p w:rsidR="00E8309B" w:rsidRDefault="009D0949">
            <w:pPr>
              <w:spacing w:after="0" w:line="259" w:lineRule="auto"/>
              <w:ind w:left="110" w:right="0" w:firstLine="0"/>
              <w:jc w:val="left"/>
            </w:pPr>
            <w:r>
              <w:rPr>
                <w:sz w:val="20"/>
              </w:rPr>
              <w:t xml:space="preserve">Разлика </w:t>
            </w:r>
          </w:p>
        </w:tc>
        <w:tc>
          <w:tcPr>
            <w:tcW w:w="2163" w:type="dxa"/>
            <w:tcBorders>
              <w:top w:val="dashed" w:sz="4" w:space="0" w:color="000000"/>
              <w:left w:val="nil"/>
              <w:bottom w:val="single" w:sz="8" w:space="0" w:color="000000"/>
              <w:right w:val="nil"/>
            </w:tcBorders>
          </w:tcPr>
          <w:p w:rsidR="00E8309B" w:rsidRDefault="00E8309B">
            <w:pPr>
              <w:spacing w:after="160" w:line="259" w:lineRule="auto"/>
              <w:ind w:left="0" w:right="0" w:firstLine="0"/>
              <w:jc w:val="left"/>
            </w:pPr>
          </w:p>
        </w:tc>
        <w:tc>
          <w:tcPr>
            <w:tcW w:w="691" w:type="dxa"/>
            <w:tcBorders>
              <w:top w:val="dashed" w:sz="4" w:space="0" w:color="000000"/>
              <w:left w:val="nil"/>
              <w:bottom w:val="single" w:sz="8" w:space="0" w:color="000000"/>
              <w:right w:val="single" w:sz="8" w:space="0" w:color="000000"/>
            </w:tcBorders>
          </w:tcPr>
          <w:p w:rsidR="00E8309B" w:rsidRDefault="00E8309B">
            <w:pPr>
              <w:spacing w:after="160" w:line="259" w:lineRule="auto"/>
              <w:ind w:left="0" w:right="0" w:firstLine="0"/>
              <w:jc w:val="left"/>
            </w:pPr>
          </w:p>
        </w:tc>
        <w:tc>
          <w:tcPr>
            <w:tcW w:w="1784" w:type="dxa"/>
            <w:tcBorders>
              <w:top w:val="dashed" w:sz="4" w:space="0" w:color="000000"/>
              <w:left w:val="single" w:sz="8" w:space="0" w:color="000000"/>
              <w:bottom w:val="single" w:sz="8" w:space="0" w:color="000000"/>
              <w:right w:val="dashed" w:sz="4" w:space="0" w:color="000000"/>
            </w:tcBorders>
          </w:tcPr>
          <w:p w:rsidR="00E8309B" w:rsidRDefault="009D0949">
            <w:pPr>
              <w:spacing w:after="0" w:line="259" w:lineRule="auto"/>
              <w:ind w:left="118" w:right="0" w:firstLine="0"/>
              <w:jc w:val="center"/>
            </w:pPr>
            <w:r>
              <w:rPr>
                <w:sz w:val="20"/>
              </w:rPr>
              <w:t xml:space="preserve">0,3 </w:t>
            </w:r>
          </w:p>
        </w:tc>
        <w:tc>
          <w:tcPr>
            <w:tcW w:w="1783" w:type="dxa"/>
            <w:tcBorders>
              <w:top w:val="dashed" w:sz="4" w:space="0" w:color="000000"/>
              <w:left w:val="dashed" w:sz="4" w:space="0" w:color="000000"/>
              <w:bottom w:val="single" w:sz="8" w:space="0" w:color="000000"/>
              <w:right w:val="dashed" w:sz="4" w:space="0" w:color="000000"/>
            </w:tcBorders>
          </w:tcPr>
          <w:p w:rsidR="00E8309B" w:rsidRDefault="009D0949">
            <w:pPr>
              <w:spacing w:after="0" w:line="259" w:lineRule="auto"/>
              <w:ind w:left="116" w:right="0" w:firstLine="0"/>
              <w:jc w:val="center"/>
            </w:pPr>
            <w:r>
              <w:rPr>
                <w:sz w:val="20"/>
              </w:rPr>
              <w:t xml:space="preserve">-8,4 </w:t>
            </w:r>
          </w:p>
        </w:tc>
        <w:tc>
          <w:tcPr>
            <w:tcW w:w="694" w:type="dxa"/>
            <w:tcBorders>
              <w:top w:val="dashed" w:sz="4" w:space="0" w:color="000000"/>
              <w:left w:val="dashed" w:sz="4" w:space="0" w:color="000000"/>
              <w:bottom w:val="single" w:sz="8" w:space="0" w:color="000000"/>
              <w:right w:val="nil"/>
            </w:tcBorders>
          </w:tcPr>
          <w:p w:rsidR="00E8309B" w:rsidRDefault="00E8309B">
            <w:pPr>
              <w:spacing w:after="160" w:line="259" w:lineRule="auto"/>
              <w:ind w:left="0" w:right="0" w:firstLine="0"/>
              <w:jc w:val="left"/>
            </w:pPr>
          </w:p>
        </w:tc>
        <w:tc>
          <w:tcPr>
            <w:tcW w:w="1090" w:type="dxa"/>
            <w:tcBorders>
              <w:top w:val="dashed" w:sz="4" w:space="0" w:color="000000"/>
              <w:left w:val="nil"/>
              <w:bottom w:val="single" w:sz="8" w:space="0" w:color="000000"/>
              <w:right w:val="dashed" w:sz="4" w:space="0" w:color="000000"/>
            </w:tcBorders>
          </w:tcPr>
          <w:p w:rsidR="00E8309B" w:rsidRDefault="009D0949">
            <w:pPr>
              <w:spacing w:after="0" w:line="259" w:lineRule="auto"/>
              <w:ind w:left="41" w:right="0" w:firstLine="0"/>
              <w:jc w:val="left"/>
            </w:pPr>
            <w:r>
              <w:rPr>
                <w:sz w:val="20"/>
              </w:rPr>
              <w:t xml:space="preserve">-2,5 </w:t>
            </w:r>
          </w:p>
        </w:tc>
        <w:tc>
          <w:tcPr>
            <w:tcW w:w="1783" w:type="dxa"/>
            <w:tcBorders>
              <w:top w:val="dashed" w:sz="4" w:space="0" w:color="000000"/>
              <w:left w:val="dashed" w:sz="4" w:space="0" w:color="000000"/>
              <w:bottom w:val="single" w:sz="8" w:space="0" w:color="000000"/>
              <w:right w:val="dashed" w:sz="4" w:space="0" w:color="000000"/>
            </w:tcBorders>
          </w:tcPr>
          <w:p w:rsidR="00E8309B" w:rsidRDefault="009D0949">
            <w:pPr>
              <w:spacing w:after="0" w:line="259" w:lineRule="auto"/>
              <w:ind w:left="116" w:right="0" w:firstLine="0"/>
              <w:jc w:val="center"/>
            </w:pPr>
            <w:r>
              <w:rPr>
                <w:sz w:val="20"/>
              </w:rPr>
              <w:t xml:space="preserve">-1,1 </w:t>
            </w:r>
          </w:p>
        </w:tc>
        <w:tc>
          <w:tcPr>
            <w:tcW w:w="1779" w:type="dxa"/>
            <w:tcBorders>
              <w:top w:val="dashed" w:sz="4" w:space="0" w:color="000000"/>
              <w:left w:val="dashed" w:sz="4" w:space="0" w:color="000000"/>
              <w:bottom w:val="single" w:sz="8" w:space="0" w:color="000000"/>
              <w:right w:val="double" w:sz="6" w:space="0" w:color="000000"/>
            </w:tcBorders>
          </w:tcPr>
          <w:p w:rsidR="00E8309B" w:rsidRDefault="009D0949">
            <w:pPr>
              <w:spacing w:after="0" w:line="259" w:lineRule="auto"/>
              <w:ind w:left="115" w:right="0" w:firstLine="0"/>
              <w:jc w:val="center"/>
            </w:pPr>
            <w:r>
              <w:rPr>
                <w:sz w:val="20"/>
              </w:rPr>
              <w:t xml:space="preserve">: </w:t>
            </w:r>
          </w:p>
        </w:tc>
      </w:tr>
      <w:tr w:rsidR="00E8309B">
        <w:trPr>
          <w:trHeight w:val="413"/>
        </w:trPr>
        <w:tc>
          <w:tcPr>
            <w:tcW w:w="2806" w:type="dxa"/>
            <w:tcBorders>
              <w:top w:val="single" w:sz="8" w:space="0" w:color="000000"/>
              <w:left w:val="double" w:sz="6" w:space="0" w:color="000000"/>
              <w:bottom w:val="single" w:sz="4" w:space="0" w:color="000000"/>
              <w:right w:val="nil"/>
            </w:tcBorders>
          </w:tcPr>
          <w:p w:rsidR="00E8309B" w:rsidRDefault="00E8309B">
            <w:pPr>
              <w:spacing w:after="160" w:line="259" w:lineRule="auto"/>
              <w:ind w:left="0" w:right="0" w:firstLine="0"/>
              <w:jc w:val="left"/>
            </w:pPr>
          </w:p>
        </w:tc>
        <w:tc>
          <w:tcPr>
            <w:tcW w:w="2163" w:type="dxa"/>
            <w:tcBorders>
              <w:top w:val="single" w:sz="8" w:space="0" w:color="000000"/>
              <w:left w:val="nil"/>
              <w:bottom w:val="single" w:sz="4" w:space="0" w:color="000000"/>
              <w:right w:val="nil"/>
            </w:tcBorders>
          </w:tcPr>
          <w:p w:rsidR="00E8309B" w:rsidRDefault="00E8309B">
            <w:pPr>
              <w:spacing w:after="160" w:line="259" w:lineRule="auto"/>
              <w:ind w:left="0" w:right="0" w:firstLine="0"/>
              <w:jc w:val="left"/>
            </w:pPr>
          </w:p>
        </w:tc>
        <w:tc>
          <w:tcPr>
            <w:tcW w:w="4952" w:type="dxa"/>
            <w:gridSpan w:val="4"/>
            <w:tcBorders>
              <w:top w:val="single" w:sz="8" w:space="0" w:color="000000"/>
              <w:left w:val="nil"/>
              <w:bottom w:val="single" w:sz="4" w:space="0" w:color="000000"/>
              <w:right w:val="nil"/>
            </w:tcBorders>
          </w:tcPr>
          <w:p w:rsidR="00E8309B" w:rsidRDefault="009D0949">
            <w:pPr>
              <w:spacing w:after="0" w:line="259" w:lineRule="auto"/>
              <w:ind w:left="262" w:right="0" w:firstLine="0"/>
              <w:jc w:val="left"/>
            </w:pPr>
            <w:r>
              <w:rPr>
                <w:b/>
                <w:sz w:val="20"/>
              </w:rPr>
              <w:t xml:space="preserve">3. Бруто дуг општег нивоа државе (% БДП-а) </w:t>
            </w:r>
          </w:p>
        </w:tc>
        <w:tc>
          <w:tcPr>
            <w:tcW w:w="1090" w:type="dxa"/>
            <w:tcBorders>
              <w:top w:val="single" w:sz="8" w:space="0" w:color="000000"/>
              <w:left w:val="nil"/>
              <w:bottom w:val="single" w:sz="4" w:space="0" w:color="000000"/>
              <w:right w:val="nil"/>
            </w:tcBorders>
          </w:tcPr>
          <w:p w:rsidR="00E8309B" w:rsidRDefault="00E8309B">
            <w:pPr>
              <w:spacing w:after="160" w:line="259" w:lineRule="auto"/>
              <w:ind w:left="0" w:right="0" w:firstLine="0"/>
              <w:jc w:val="left"/>
            </w:pPr>
          </w:p>
        </w:tc>
        <w:tc>
          <w:tcPr>
            <w:tcW w:w="1783" w:type="dxa"/>
            <w:tcBorders>
              <w:top w:val="single" w:sz="8" w:space="0" w:color="000000"/>
              <w:left w:val="nil"/>
              <w:bottom w:val="single" w:sz="4" w:space="0" w:color="000000"/>
              <w:right w:val="nil"/>
            </w:tcBorders>
          </w:tcPr>
          <w:p w:rsidR="00E8309B" w:rsidRDefault="00E8309B">
            <w:pPr>
              <w:spacing w:after="160" w:line="259" w:lineRule="auto"/>
              <w:ind w:left="0" w:right="0" w:firstLine="0"/>
              <w:jc w:val="left"/>
            </w:pPr>
          </w:p>
        </w:tc>
        <w:tc>
          <w:tcPr>
            <w:tcW w:w="1779" w:type="dxa"/>
            <w:tcBorders>
              <w:top w:val="single" w:sz="8" w:space="0" w:color="000000"/>
              <w:left w:val="nil"/>
              <w:bottom w:val="single" w:sz="4" w:space="0" w:color="000000"/>
              <w:right w:val="double" w:sz="6" w:space="0" w:color="000000"/>
            </w:tcBorders>
          </w:tcPr>
          <w:p w:rsidR="00E8309B" w:rsidRDefault="00E8309B">
            <w:pPr>
              <w:spacing w:after="160" w:line="259" w:lineRule="auto"/>
              <w:ind w:left="0" w:right="0" w:firstLine="0"/>
              <w:jc w:val="left"/>
            </w:pPr>
          </w:p>
        </w:tc>
      </w:tr>
      <w:tr w:rsidR="00E8309B">
        <w:trPr>
          <w:trHeight w:val="293"/>
        </w:trPr>
        <w:tc>
          <w:tcPr>
            <w:tcW w:w="2806" w:type="dxa"/>
            <w:tcBorders>
              <w:top w:val="single" w:sz="4" w:space="0" w:color="000000"/>
              <w:left w:val="double" w:sz="6" w:space="0" w:color="000000"/>
              <w:bottom w:val="dashed" w:sz="4" w:space="0" w:color="000000"/>
              <w:right w:val="nil"/>
            </w:tcBorders>
          </w:tcPr>
          <w:p w:rsidR="00E8309B" w:rsidRDefault="009D0949">
            <w:pPr>
              <w:spacing w:after="0" w:line="259" w:lineRule="auto"/>
              <w:ind w:left="110" w:right="0" w:firstLine="0"/>
              <w:jc w:val="left"/>
            </w:pPr>
            <w:r>
              <w:rPr>
                <w:sz w:val="20"/>
              </w:rPr>
              <w:t xml:space="preserve">Претходни </w:t>
            </w:r>
          </w:p>
        </w:tc>
        <w:tc>
          <w:tcPr>
            <w:tcW w:w="2163" w:type="dxa"/>
            <w:tcBorders>
              <w:top w:val="single" w:sz="4" w:space="0" w:color="000000"/>
              <w:left w:val="nil"/>
              <w:bottom w:val="dashed" w:sz="4" w:space="0" w:color="000000"/>
              <w:right w:val="nil"/>
            </w:tcBorders>
          </w:tcPr>
          <w:p w:rsidR="00E8309B" w:rsidRDefault="00E8309B">
            <w:pPr>
              <w:spacing w:after="160" w:line="259" w:lineRule="auto"/>
              <w:ind w:left="0" w:right="0" w:firstLine="0"/>
              <w:jc w:val="left"/>
            </w:pPr>
          </w:p>
        </w:tc>
        <w:tc>
          <w:tcPr>
            <w:tcW w:w="691" w:type="dxa"/>
            <w:tcBorders>
              <w:top w:val="single" w:sz="4" w:space="0" w:color="000000"/>
              <w:left w:val="nil"/>
              <w:bottom w:val="dashed" w:sz="4" w:space="0" w:color="000000"/>
              <w:right w:val="single" w:sz="8" w:space="0" w:color="000000"/>
            </w:tcBorders>
          </w:tcPr>
          <w:p w:rsidR="00E8309B" w:rsidRDefault="00E8309B">
            <w:pPr>
              <w:spacing w:after="160" w:line="259" w:lineRule="auto"/>
              <w:ind w:left="0" w:right="0" w:firstLine="0"/>
              <w:jc w:val="left"/>
            </w:pPr>
          </w:p>
        </w:tc>
        <w:tc>
          <w:tcPr>
            <w:tcW w:w="1784" w:type="dxa"/>
            <w:tcBorders>
              <w:top w:val="single" w:sz="4" w:space="0" w:color="000000"/>
              <w:left w:val="single" w:sz="8" w:space="0" w:color="000000"/>
              <w:bottom w:val="dashed" w:sz="4" w:space="0" w:color="000000"/>
              <w:right w:val="dashed" w:sz="4" w:space="0" w:color="000000"/>
            </w:tcBorders>
          </w:tcPr>
          <w:p w:rsidR="00E8309B" w:rsidRDefault="009D0949">
            <w:pPr>
              <w:spacing w:after="0" w:line="259" w:lineRule="auto"/>
              <w:ind w:left="118" w:right="0" w:firstLine="0"/>
              <w:jc w:val="center"/>
            </w:pPr>
            <w:r>
              <w:rPr>
                <w:sz w:val="20"/>
              </w:rPr>
              <w:t xml:space="preserve">52,9 </w:t>
            </w:r>
          </w:p>
        </w:tc>
        <w:tc>
          <w:tcPr>
            <w:tcW w:w="1783" w:type="dxa"/>
            <w:tcBorders>
              <w:top w:val="single" w:sz="4" w:space="0" w:color="000000"/>
              <w:left w:val="dashed" w:sz="4" w:space="0" w:color="000000"/>
              <w:bottom w:val="dashed" w:sz="4" w:space="0" w:color="000000"/>
              <w:right w:val="dashed" w:sz="4" w:space="0" w:color="000000"/>
            </w:tcBorders>
          </w:tcPr>
          <w:p w:rsidR="00E8309B" w:rsidRDefault="009D0949">
            <w:pPr>
              <w:spacing w:after="0" w:line="259" w:lineRule="auto"/>
              <w:ind w:left="118" w:right="0" w:firstLine="0"/>
              <w:jc w:val="center"/>
            </w:pPr>
            <w:r>
              <w:rPr>
                <w:sz w:val="20"/>
              </w:rPr>
              <w:t xml:space="preserve">51,4 </w:t>
            </w:r>
          </w:p>
        </w:tc>
        <w:tc>
          <w:tcPr>
            <w:tcW w:w="694" w:type="dxa"/>
            <w:tcBorders>
              <w:top w:val="single" w:sz="4" w:space="0" w:color="000000"/>
              <w:left w:val="dashed" w:sz="4" w:space="0" w:color="000000"/>
              <w:bottom w:val="dashed" w:sz="4" w:space="0" w:color="000000"/>
              <w:right w:val="nil"/>
            </w:tcBorders>
          </w:tcPr>
          <w:p w:rsidR="00E8309B" w:rsidRDefault="00E8309B">
            <w:pPr>
              <w:spacing w:after="160" w:line="259" w:lineRule="auto"/>
              <w:ind w:left="0" w:right="0" w:firstLine="0"/>
              <w:jc w:val="left"/>
            </w:pPr>
          </w:p>
        </w:tc>
        <w:tc>
          <w:tcPr>
            <w:tcW w:w="1090" w:type="dxa"/>
            <w:tcBorders>
              <w:top w:val="single" w:sz="4" w:space="0" w:color="000000"/>
              <w:left w:val="nil"/>
              <w:bottom w:val="dashed" w:sz="4" w:space="0" w:color="000000"/>
              <w:right w:val="dashed" w:sz="4" w:space="0" w:color="000000"/>
            </w:tcBorders>
          </w:tcPr>
          <w:p w:rsidR="00E8309B" w:rsidRDefault="009D0949">
            <w:pPr>
              <w:spacing w:after="0" w:line="259" w:lineRule="auto"/>
              <w:ind w:left="24" w:right="0" w:firstLine="0"/>
              <w:jc w:val="left"/>
            </w:pPr>
            <w:r>
              <w:rPr>
                <w:sz w:val="20"/>
              </w:rPr>
              <w:t xml:space="preserve">50,1 </w:t>
            </w:r>
          </w:p>
        </w:tc>
        <w:tc>
          <w:tcPr>
            <w:tcW w:w="1783" w:type="dxa"/>
            <w:tcBorders>
              <w:top w:val="single" w:sz="4" w:space="0" w:color="000000"/>
              <w:left w:val="dashed" w:sz="4" w:space="0" w:color="000000"/>
              <w:bottom w:val="dashed" w:sz="4" w:space="0" w:color="000000"/>
              <w:right w:val="dashed" w:sz="4" w:space="0" w:color="000000"/>
            </w:tcBorders>
          </w:tcPr>
          <w:p w:rsidR="00E8309B" w:rsidRDefault="009D0949">
            <w:pPr>
              <w:spacing w:after="0" w:line="259" w:lineRule="auto"/>
              <w:ind w:left="118" w:right="0" w:firstLine="0"/>
              <w:jc w:val="center"/>
            </w:pPr>
            <w:r>
              <w:rPr>
                <w:sz w:val="20"/>
              </w:rPr>
              <w:t xml:space="preserve">48,3 </w:t>
            </w:r>
          </w:p>
        </w:tc>
        <w:tc>
          <w:tcPr>
            <w:tcW w:w="1779" w:type="dxa"/>
            <w:tcBorders>
              <w:top w:val="single" w:sz="4" w:space="0" w:color="000000"/>
              <w:left w:val="dashed" w:sz="4" w:space="0" w:color="000000"/>
              <w:bottom w:val="dashed" w:sz="4" w:space="0" w:color="000000"/>
              <w:right w:val="double" w:sz="6" w:space="0" w:color="000000"/>
            </w:tcBorders>
          </w:tcPr>
          <w:p w:rsidR="00E8309B" w:rsidRDefault="009D0949">
            <w:pPr>
              <w:spacing w:after="0" w:line="259" w:lineRule="auto"/>
              <w:ind w:left="115" w:right="0" w:firstLine="0"/>
              <w:jc w:val="center"/>
            </w:pPr>
            <w:r>
              <w:rPr>
                <w:sz w:val="20"/>
              </w:rPr>
              <w:t xml:space="preserve">: </w:t>
            </w:r>
          </w:p>
        </w:tc>
      </w:tr>
      <w:tr w:rsidR="00E8309B">
        <w:trPr>
          <w:trHeight w:val="293"/>
        </w:trPr>
        <w:tc>
          <w:tcPr>
            <w:tcW w:w="2806" w:type="dxa"/>
            <w:tcBorders>
              <w:top w:val="dashed" w:sz="4" w:space="0" w:color="000000"/>
              <w:left w:val="double" w:sz="6" w:space="0" w:color="000000"/>
              <w:bottom w:val="dashed" w:sz="4" w:space="0" w:color="000000"/>
              <w:right w:val="nil"/>
            </w:tcBorders>
          </w:tcPr>
          <w:p w:rsidR="00E8309B" w:rsidRDefault="009D0949">
            <w:pPr>
              <w:spacing w:after="0" w:line="259" w:lineRule="auto"/>
              <w:ind w:left="110" w:right="0" w:firstLine="0"/>
              <w:jc w:val="left"/>
            </w:pPr>
            <w:r>
              <w:rPr>
                <w:sz w:val="20"/>
              </w:rPr>
              <w:t xml:space="preserve">Садашњи </w:t>
            </w:r>
          </w:p>
        </w:tc>
        <w:tc>
          <w:tcPr>
            <w:tcW w:w="2163" w:type="dxa"/>
            <w:tcBorders>
              <w:top w:val="dashed" w:sz="4" w:space="0" w:color="000000"/>
              <w:left w:val="nil"/>
              <w:bottom w:val="dashed" w:sz="4" w:space="0" w:color="000000"/>
              <w:right w:val="nil"/>
            </w:tcBorders>
          </w:tcPr>
          <w:p w:rsidR="00E8309B" w:rsidRDefault="00E8309B">
            <w:pPr>
              <w:spacing w:after="160" w:line="259" w:lineRule="auto"/>
              <w:ind w:left="0" w:right="0" w:firstLine="0"/>
              <w:jc w:val="left"/>
            </w:pPr>
          </w:p>
        </w:tc>
        <w:tc>
          <w:tcPr>
            <w:tcW w:w="691" w:type="dxa"/>
            <w:tcBorders>
              <w:top w:val="dashed" w:sz="4" w:space="0" w:color="000000"/>
              <w:left w:val="nil"/>
              <w:bottom w:val="dashed" w:sz="4" w:space="0" w:color="000000"/>
              <w:right w:val="single" w:sz="8" w:space="0" w:color="000000"/>
            </w:tcBorders>
          </w:tcPr>
          <w:p w:rsidR="00E8309B" w:rsidRDefault="00E8309B">
            <w:pPr>
              <w:spacing w:after="160" w:line="259" w:lineRule="auto"/>
              <w:ind w:left="0" w:right="0" w:firstLine="0"/>
              <w:jc w:val="left"/>
            </w:pPr>
          </w:p>
        </w:tc>
        <w:tc>
          <w:tcPr>
            <w:tcW w:w="1784" w:type="dxa"/>
            <w:tcBorders>
              <w:top w:val="dashed" w:sz="4" w:space="0" w:color="000000"/>
              <w:left w:val="single" w:sz="8" w:space="0" w:color="000000"/>
              <w:bottom w:val="dashed" w:sz="4" w:space="0" w:color="000000"/>
              <w:right w:val="dashed" w:sz="4" w:space="0" w:color="000000"/>
            </w:tcBorders>
          </w:tcPr>
          <w:p w:rsidR="00E8309B" w:rsidRDefault="009D0949">
            <w:pPr>
              <w:spacing w:after="0" w:line="259" w:lineRule="auto"/>
              <w:ind w:left="118" w:right="0" w:firstLine="0"/>
              <w:jc w:val="center"/>
            </w:pPr>
            <w:r>
              <w:rPr>
                <w:sz w:val="20"/>
              </w:rPr>
              <w:t xml:space="preserve">52,9 </w:t>
            </w:r>
          </w:p>
        </w:tc>
        <w:tc>
          <w:tcPr>
            <w:tcW w:w="1783"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118" w:right="0" w:firstLine="0"/>
              <w:jc w:val="center"/>
            </w:pPr>
            <w:r>
              <w:rPr>
                <w:sz w:val="20"/>
              </w:rPr>
              <w:t xml:space="preserve">59,0 </w:t>
            </w:r>
          </w:p>
        </w:tc>
        <w:tc>
          <w:tcPr>
            <w:tcW w:w="694" w:type="dxa"/>
            <w:tcBorders>
              <w:top w:val="dashed" w:sz="4" w:space="0" w:color="000000"/>
              <w:left w:val="dashed" w:sz="4" w:space="0" w:color="000000"/>
              <w:bottom w:val="dashed" w:sz="4" w:space="0" w:color="000000"/>
              <w:right w:val="nil"/>
            </w:tcBorders>
          </w:tcPr>
          <w:p w:rsidR="00E8309B" w:rsidRDefault="00E8309B">
            <w:pPr>
              <w:spacing w:after="160" w:line="259" w:lineRule="auto"/>
              <w:ind w:left="0" w:right="0" w:firstLine="0"/>
              <w:jc w:val="left"/>
            </w:pPr>
          </w:p>
        </w:tc>
        <w:tc>
          <w:tcPr>
            <w:tcW w:w="1090" w:type="dxa"/>
            <w:tcBorders>
              <w:top w:val="dashed" w:sz="4" w:space="0" w:color="000000"/>
              <w:left w:val="nil"/>
              <w:bottom w:val="dashed" w:sz="4" w:space="0" w:color="000000"/>
              <w:right w:val="dashed" w:sz="4" w:space="0" w:color="000000"/>
            </w:tcBorders>
          </w:tcPr>
          <w:p w:rsidR="00E8309B" w:rsidRDefault="009D0949">
            <w:pPr>
              <w:spacing w:after="0" w:line="259" w:lineRule="auto"/>
              <w:ind w:left="24" w:right="0" w:firstLine="0"/>
              <w:jc w:val="left"/>
            </w:pPr>
            <w:r>
              <w:rPr>
                <w:sz w:val="20"/>
              </w:rPr>
              <w:t xml:space="preserve">58,7 </w:t>
            </w:r>
          </w:p>
        </w:tc>
        <w:tc>
          <w:tcPr>
            <w:tcW w:w="1783"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118" w:right="0" w:firstLine="0"/>
              <w:jc w:val="center"/>
            </w:pPr>
            <w:r>
              <w:rPr>
                <w:sz w:val="20"/>
              </w:rPr>
              <w:t xml:space="preserve">57,9 </w:t>
            </w:r>
          </w:p>
        </w:tc>
        <w:tc>
          <w:tcPr>
            <w:tcW w:w="1779" w:type="dxa"/>
            <w:tcBorders>
              <w:top w:val="dashed" w:sz="4" w:space="0" w:color="000000"/>
              <w:left w:val="dashed" w:sz="4" w:space="0" w:color="000000"/>
              <w:bottom w:val="dashed" w:sz="4" w:space="0" w:color="000000"/>
              <w:right w:val="double" w:sz="6" w:space="0" w:color="000000"/>
            </w:tcBorders>
          </w:tcPr>
          <w:p w:rsidR="00E8309B" w:rsidRDefault="009D0949">
            <w:pPr>
              <w:spacing w:after="0" w:line="259" w:lineRule="auto"/>
              <w:ind w:left="113" w:right="0" w:firstLine="0"/>
              <w:jc w:val="center"/>
            </w:pPr>
            <w:r>
              <w:rPr>
                <w:sz w:val="20"/>
              </w:rPr>
              <w:t xml:space="preserve">56,0 </w:t>
            </w:r>
          </w:p>
        </w:tc>
      </w:tr>
      <w:tr w:rsidR="00E8309B">
        <w:trPr>
          <w:trHeight w:val="313"/>
        </w:trPr>
        <w:tc>
          <w:tcPr>
            <w:tcW w:w="2806" w:type="dxa"/>
            <w:tcBorders>
              <w:top w:val="dashed" w:sz="4" w:space="0" w:color="000000"/>
              <w:left w:val="double" w:sz="6" w:space="0" w:color="000000"/>
              <w:bottom w:val="double" w:sz="6" w:space="0" w:color="000000"/>
              <w:right w:val="nil"/>
            </w:tcBorders>
          </w:tcPr>
          <w:p w:rsidR="00E8309B" w:rsidRDefault="009D0949">
            <w:pPr>
              <w:spacing w:after="0" w:line="259" w:lineRule="auto"/>
              <w:ind w:left="110" w:right="0" w:firstLine="0"/>
              <w:jc w:val="left"/>
            </w:pPr>
            <w:r>
              <w:rPr>
                <w:sz w:val="20"/>
              </w:rPr>
              <w:t xml:space="preserve">Разлика </w:t>
            </w:r>
          </w:p>
        </w:tc>
        <w:tc>
          <w:tcPr>
            <w:tcW w:w="2163" w:type="dxa"/>
            <w:tcBorders>
              <w:top w:val="dashed" w:sz="4" w:space="0" w:color="000000"/>
              <w:left w:val="nil"/>
              <w:bottom w:val="double" w:sz="6" w:space="0" w:color="000000"/>
              <w:right w:val="nil"/>
            </w:tcBorders>
          </w:tcPr>
          <w:p w:rsidR="00E8309B" w:rsidRDefault="00E8309B">
            <w:pPr>
              <w:spacing w:after="160" w:line="259" w:lineRule="auto"/>
              <w:ind w:left="0" w:right="0" w:firstLine="0"/>
              <w:jc w:val="left"/>
            </w:pPr>
          </w:p>
        </w:tc>
        <w:tc>
          <w:tcPr>
            <w:tcW w:w="691" w:type="dxa"/>
            <w:tcBorders>
              <w:top w:val="dashed" w:sz="4" w:space="0" w:color="000000"/>
              <w:left w:val="nil"/>
              <w:bottom w:val="double" w:sz="6" w:space="0" w:color="000000"/>
              <w:right w:val="single" w:sz="8" w:space="0" w:color="000000"/>
            </w:tcBorders>
          </w:tcPr>
          <w:p w:rsidR="00E8309B" w:rsidRDefault="00E8309B">
            <w:pPr>
              <w:spacing w:after="160" w:line="259" w:lineRule="auto"/>
              <w:ind w:left="0" w:right="0" w:firstLine="0"/>
              <w:jc w:val="left"/>
            </w:pPr>
          </w:p>
        </w:tc>
        <w:tc>
          <w:tcPr>
            <w:tcW w:w="1784" w:type="dxa"/>
            <w:tcBorders>
              <w:top w:val="dashed" w:sz="4" w:space="0" w:color="000000"/>
              <w:left w:val="single" w:sz="8" w:space="0" w:color="000000"/>
              <w:bottom w:val="double" w:sz="6" w:space="0" w:color="000000"/>
              <w:right w:val="dashed" w:sz="4" w:space="0" w:color="000000"/>
            </w:tcBorders>
          </w:tcPr>
          <w:p w:rsidR="00E8309B" w:rsidRDefault="009D0949">
            <w:pPr>
              <w:spacing w:after="0" w:line="259" w:lineRule="auto"/>
              <w:ind w:left="118" w:right="0" w:firstLine="0"/>
              <w:jc w:val="center"/>
            </w:pPr>
            <w:r>
              <w:rPr>
                <w:sz w:val="20"/>
              </w:rPr>
              <w:t xml:space="preserve">0,0 </w:t>
            </w:r>
          </w:p>
        </w:tc>
        <w:tc>
          <w:tcPr>
            <w:tcW w:w="1783" w:type="dxa"/>
            <w:tcBorders>
              <w:top w:val="dashed" w:sz="4" w:space="0" w:color="000000"/>
              <w:left w:val="dashed" w:sz="4" w:space="0" w:color="000000"/>
              <w:bottom w:val="double" w:sz="6" w:space="0" w:color="000000"/>
              <w:right w:val="dashed" w:sz="4" w:space="0" w:color="000000"/>
            </w:tcBorders>
          </w:tcPr>
          <w:p w:rsidR="00E8309B" w:rsidRDefault="009D0949">
            <w:pPr>
              <w:spacing w:after="0" w:line="259" w:lineRule="auto"/>
              <w:ind w:left="118" w:right="0" w:firstLine="0"/>
              <w:jc w:val="center"/>
            </w:pPr>
            <w:r>
              <w:rPr>
                <w:sz w:val="20"/>
              </w:rPr>
              <w:t xml:space="preserve">7,6 </w:t>
            </w:r>
          </w:p>
        </w:tc>
        <w:tc>
          <w:tcPr>
            <w:tcW w:w="694" w:type="dxa"/>
            <w:tcBorders>
              <w:top w:val="dashed" w:sz="4" w:space="0" w:color="000000"/>
              <w:left w:val="dashed" w:sz="4" w:space="0" w:color="000000"/>
              <w:bottom w:val="double" w:sz="6" w:space="0" w:color="000000"/>
              <w:right w:val="nil"/>
            </w:tcBorders>
          </w:tcPr>
          <w:p w:rsidR="00E8309B" w:rsidRDefault="00E8309B">
            <w:pPr>
              <w:spacing w:after="160" w:line="259" w:lineRule="auto"/>
              <w:ind w:left="0" w:right="0" w:firstLine="0"/>
              <w:jc w:val="left"/>
            </w:pPr>
          </w:p>
        </w:tc>
        <w:tc>
          <w:tcPr>
            <w:tcW w:w="1090" w:type="dxa"/>
            <w:tcBorders>
              <w:top w:val="dashed" w:sz="4" w:space="0" w:color="000000"/>
              <w:left w:val="nil"/>
              <w:bottom w:val="double" w:sz="6" w:space="0" w:color="000000"/>
              <w:right w:val="dashed" w:sz="4" w:space="0" w:color="000000"/>
            </w:tcBorders>
          </w:tcPr>
          <w:p w:rsidR="00E8309B" w:rsidRDefault="009D0949">
            <w:pPr>
              <w:spacing w:after="0" w:line="259" w:lineRule="auto"/>
              <w:ind w:left="74" w:right="0" w:firstLine="0"/>
              <w:jc w:val="left"/>
            </w:pPr>
            <w:r>
              <w:rPr>
                <w:sz w:val="20"/>
              </w:rPr>
              <w:t xml:space="preserve">8,6 </w:t>
            </w:r>
          </w:p>
        </w:tc>
        <w:tc>
          <w:tcPr>
            <w:tcW w:w="1783" w:type="dxa"/>
            <w:tcBorders>
              <w:top w:val="dashed" w:sz="4" w:space="0" w:color="000000"/>
              <w:left w:val="dashed" w:sz="4" w:space="0" w:color="000000"/>
              <w:bottom w:val="double" w:sz="6" w:space="0" w:color="000000"/>
              <w:right w:val="dashed" w:sz="4" w:space="0" w:color="000000"/>
            </w:tcBorders>
          </w:tcPr>
          <w:p w:rsidR="00E8309B" w:rsidRDefault="009D0949">
            <w:pPr>
              <w:spacing w:after="0" w:line="259" w:lineRule="auto"/>
              <w:ind w:left="118" w:right="0" w:firstLine="0"/>
              <w:jc w:val="center"/>
            </w:pPr>
            <w:r>
              <w:rPr>
                <w:sz w:val="20"/>
              </w:rPr>
              <w:t xml:space="preserve">9,6 </w:t>
            </w:r>
          </w:p>
        </w:tc>
        <w:tc>
          <w:tcPr>
            <w:tcW w:w="1779" w:type="dxa"/>
            <w:tcBorders>
              <w:top w:val="dashed" w:sz="4" w:space="0" w:color="000000"/>
              <w:left w:val="dashed" w:sz="4" w:space="0" w:color="000000"/>
              <w:bottom w:val="double" w:sz="6" w:space="0" w:color="000000"/>
              <w:right w:val="double" w:sz="6" w:space="0" w:color="000000"/>
            </w:tcBorders>
          </w:tcPr>
          <w:p w:rsidR="00E8309B" w:rsidRDefault="009D0949">
            <w:pPr>
              <w:spacing w:after="0" w:line="259" w:lineRule="auto"/>
              <w:ind w:left="115" w:right="0" w:firstLine="0"/>
              <w:jc w:val="center"/>
            </w:pPr>
            <w:r>
              <w:rPr>
                <w:sz w:val="20"/>
              </w:rPr>
              <w:t xml:space="preserve">: </w:t>
            </w:r>
          </w:p>
        </w:tc>
      </w:tr>
    </w:tbl>
    <w:p w:rsidR="00E8309B" w:rsidRDefault="009D0949">
      <w:pPr>
        <w:spacing w:after="81" w:line="259" w:lineRule="auto"/>
        <w:ind w:left="0" w:right="0" w:firstLine="0"/>
        <w:jc w:val="left"/>
      </w:pPr>
      <w:r>
        <w:rPr>
          <w:sz w:val="22"/>
        </w:rPr>
        <w:t xml:space="preserve"> </w:t>
      </w:r>
    </w:p>
    <w:p w:rsidR="00E8309B" w:rsidRDefault="009D0949">
      <w:pPr>
        <w:spacing w:after="0" w:line="259" w:lineRule="auto"/>
        <w:ind w:left="0" w:right="0" w:firstLine="0"/>
        <w:jc w:val="left"/>
      </w:pPr>
      <w:r>
        <w:rPr>
          <w:b/>
          <w:sz w:val="20"/>
        </w:rPr>
        <w:t xml:space="preserve"> </w:t>
      </w:r>
      <w:r>
        <w:rPr>
          <w:b/>
          <w:sz w:val="20"/>
        </w:rPr>
        <w:tab/>
        <w:t xml:space="preserve"> </w:t>
      </w:r>
    </w:p>
    <w:p w:rsidR="00E8309B" w:rsidRDefault="009D0949">
      <w:pPr>
        <w:pStyle w:val="Heading1"/>
        <w:numPr>
          <w:ilvl w:val="0"/>
          <w:numId w:val="0"/>
        </w:numPr>
        <w:spacing w:after="0" w:line="259" w:lineRule="auto"/>
      </w:pPr>
      <w:r>
        <w:rPr>
          <w:sz w:val="20"/>
        </w:rPr>
        <w:t xml:space="preserve">Табела 7: Дугорочна одрживост јавних финансија  </w:t>
      </w:r>
    </w:p>
    <w:tbl>
      <w:tblPr>
        <w:tblStyle w:val="TableGrid"/>
        <w:tblW w:w="14573" w:type="dxa"/>
        <w:tblInd w:w="0" w:type="dxa"/>
        <w:tblCellMar>
          <w:top w:w="0" w:type="dxa"/>
          <w:left w:w="108" w:type="dxa"/>
          <w:bottom w:w="0" w:type="dxa"/>
          <w:right w:w="56" w:type="dxa"/>
        </w:tblCellMar>
        <w:tblLook w:val="04A0" w:firstRow="1" w:lastRow="0" w:firstColumn="1" w:lastColumn="0" w:noHBand="0" w:noVBand="1"/>
      </w:tblPr>
      <w:tblGrid>
        <w:gridCol w:w="6762"/>
        <w:gridCol w:w="1076"/>
        <w:gridCol w:w="1075"/>
        <w:gridCol w:w="1075"/>
        <w:gridCol w:w="1076"/>
        <w:gridCol w:w="1075"/>
        <w:gridCol w:w="1075"/>
        <w:gridCol w:w="1076"/>
        <w:gridCol w:w="283"/>
      </w:tblGrid>
      <w:tr w:rsidR="00E8309B">
        <w:trPr>
          <w:trHeight w:val="329"/>
        </w:trPr>
        <w:tc>
          <w:tcPr>
            <w:tcW w:w="6762" w:type="dxa"/>
            <w:tcBorders>
              <w:top w:val="double" w:sz="6" w:space="0" w:color="000000"/>
              <w:left w:val="double" w:sz="6" w:space="0" w:color="000000"/>
              <w:bottom w:val="double" w:sz="6" w:space="0" w:color="000000"/>
              <w:right w:val="single" w:sz="8" w:space="0" w:color="000000"/>
            </w:tcBorders>
          </w:tcPr>
          <w:p w:rsidR="00E8309B" w:rsidRDefault="009D0949">
            <w:pPr>
              <w:spacing w:after="0" w:line="259" w:lineRule="auto"/>
              <w:ind w:left="2" w:right="0" w:firstLine="0"/>
              <w:jc w:val="left"/>
            </w:pPr>
            <w:r>
              <w:rPr>
                <w:b/>
                <w:sz w:val="20"/>
              </w:rPr>
              <w:t xml:space="preserve"> </w:t>
            </w:r>
          </w:p>
        </w:tc>
        <w:tc>
          <w:tcPr>
            <w:tcW w:w="1076" w:type="dxa"/>
            <w:tcBorders>
              <w:top w:val="double" w:sz="6" w:space="0" w:color="000000"/>
              <w:left w:val="single" w:sz="8" w:space="0" w:color="000000"/>
              <w:bottom w:val="double" w:sz="6" w:space="0" w:color="000000"/>
              <w:right w:val="dashed" w:sz="4" w:space="0" w:color="000000"/>
            </w:tcBorders>
          </w:tcPr>
          <w:p w:rsidR="00E8309B" w:rsidRDefault="009D0949">
            <w:pPr>
              <w:spacing w:after="0" w:line="259" w:lineRule="auto"/>
              <w:ind w:left="0" w:right="49" w:firstLine="0"/>
              <w:jc w:val="right"/>
            </w:pPr>
            <w:r>
              <w:rPr>
                <w:b/>
                <w:sz w:val="20"/>
              </w:rPr>
              <w:t xml:space="preserve">2007 </w:t>
            </w:r>
          </w:p>
        </w:tc>
        <w:tc>
          <w:tcPr>
            <w:tcW w:w="1075" w:type="dxa"/>
            <w:tcBorders>
              <w:top w:val="double" w:sz="6" w:space="0" w:color="000000"/>
              <w:left w:val="dashed" w:sz="4" w:space="0" w:color="000000"/>
              <w:bottom w:val="double" w:sz="6" w:space="0" w:color="000000"/>
              <w:right w:val="dashed" w:sz="4" w:space="0" w:color="000000"/>
            </w:tcBorders>
          </w:tcPr>
          <w:p w:rsidR="00E8309B" w:rsidRDefault="009D0949">
            <w:pPr>
              <w:spacing w:after="0" w:line="259" w:lineRule="auto"/>
              <w:ind w:left="0" w:right="51" w:firstLine="0"/>
              <w:jc w:val="right"/>
            </w:pPr>
            <w:r>
              <w:rPr>
                <w:b/>
                <w:sz w:val="20"/>
              </w:rPr>
              <w:t xml:space="preserve">2010 </w:t>
            </w:r>
          </w:p>
        </w:tc>
        <w:tc>
          <w:tcPr>
            <w:tcW w:w="1075" w:type="dxa"/>
            <w:tcBorders>
              <w:top w:val="double" w:sz="6" w:space="0" w:color="000000"/>
              <w:left w:val="dashed" w:sz="4" w:space="0" w:color="000000"/>
              <w:bottom w:val="double" w:sz="6" w:space="0" w:color="000000"/>
              <w:right w:val="dashed" w:sz="4" w:space="0" w:color="000000"/>
            </w:tcBorders>
          </w:tcPr>
          <w:p w:rsidR="00E8309B" w:rsidRDefault="009D0949">
            <w:pPr>
              <w:spacing w:after="0" w:line="259" w:lineRule="auto"/>
              <w:ind w:left="0" w:right="51" w:firstLine="0"/>
              <w:jc w:val="right"/>
            </w:pPr>
            <w:r>
              <w:rPr>
                <w:b/>
                <w:sz w:val="20"/>
              </w:rPr>
              <w:t xml:space="preserve">2020 </w:t>
            </w:r>
          </w:p>
        </w:tc>
        <w:tc>
          <w:tcPr>
            <w:tcW w:w="1076" w:type="dxa"/>
            <w:tcBorders>
              <w:top w:val="double" w:sz="6" w:space="0" w:color="000000"/>
              <w:left w:val="dashed" w:sz="4" w:space="0" w:color="000000"/>
              <w:bottom w:val="double" w:sz="6" w:space="0" w:color="000000"/>
              <w:right w:val="dashed" w:sz="4" w:space="0" w:color="000000"/>
            </w:tcBorders>
          </w:tcPr>
          <w:p w:rsidR="00E8309B" w:rsidRDefault="009D0949">
            <w:pPr>
              <w:spacing w:after="0" w:line="259" w:lineRule="auto"/>
              <w:ind w:left="0" w:right="49" w:firstLine="0"/>
              <w:jc w:val="right"/>
            </w:pPr>
            <w:r>
              <w:rPr>
                <w:b/>
                <w:sz w:val="20"/>
              </w:rPr>
              <w:t xml:space="preserve">2030 </w:t>
            </w:r>
          </w:p>
        </w:tc>
        <w:tc>
          <w:tcPr>
            <w:tcW w:w="1075" w:type="dxa"/>
            <w:tcBorders>
              <w:top w:val="double" w:sz="6" w:space="0" w:color="000000"/>
              <w:left w:val="dashed" w:sz="4" w:space="0" w:color="000000"/>
              <w:bottom w:val="double" w:sz="6" w:space="0" w:color="000000"/>
              <w:right w:val="dashed" w:sz="4" w:space="0" w:color="000000"/>
            </w:tcBorders>
          </w:tcPr>
          <w:p w:rsidR="00E8309B" w:rsidRDefault="009D0949">
            <w:pPr>
              <w:spacing w:after="0" w:line="259" w:lineRule="auto"/>
              <w:ind w:left="0" w:right="49" w:firstLine="0"/>
              <w:jc w:val="right"/>
            </w:pPr>
            <w:r>
              <w:rPr>
                <w:b/>
                <w:sz w:val="20"/>
              </w:rPr>
              <w:t xml:space="preserve">2040 </w:t>
            </w:r>
          </w:p>
        </w:tc>
        <w:tc>
          <w:tcPr>
            <w:tcW w:w="1075" w:type="dxa"/>
            <w:tcBorders>
              <w:top w:val="double" w:sz="6" w:space="0" w:color="000000"/>
              <w:left w:val="dashed" w:sz="4" w:space="0" w:color="000000"/>
              <w:bottom w:val="double" w:sz="6" w:space="0" w:color="000000"/>
              <w:right w:val="dashed" w:sz="4" w:space="0" w:color="000000"/>
            </w:tcBorders>
          </w:tcPr>
          <w:p w:rsidR="00E8309B" w:rsidRDefault="009D0949">
            <w:pPr>
              <w:spacing w:after="0" w:line="259" w:lineRule="auto"/>
              <w:ind w:left="0" w:right="49" w:firstLine="0"/>
              <w:jc w:val="right"/>
            </w:pPr>
            <w:r>
              <w:rPr>
                <w:b/>
                <w:sz w:val="20"/>
              </w:rPr>
              <w:t xml:space="preserve">2050 </w:t>
            </w:r>
          </w:p>
        </w:tc>
        <w:tc>
          <w:tcPr>
            <w:tcW w:w="1076" w:type="dxa"/>
            <w:tcBorders>
              <w:top w:val="double" w:sz="6" w:space="0" w:color="000000"/>
              <w:left w:val="dashed" w:sz="4" w:space="0" w:color="000000"/>
              <w:bottom w:val="double" w:sz="6" w:space="0" w:color="000000"/>
              <w:right w:val="double" w:sz="6" w:space="0" w:color="000000"/>
            </w:tcBorders>
          </w:tcPr>
          <w:p w:rsidR="00E8309B" w:rsidRDefault="009D0949">
            <w:pPr>
              <w:spacing w:after="0" w:line="259" w:lineRule="auto"/>
              <w:ind w:left="0" w:right="51" w:firstLine="0"/>
              <w:jc w:val="right"/>
            </w:pPr>
            <w:r>
              <w:rPr>
                <w:b/>
                <w:sz w:val="20"/>
              </w:rPr>
              <w:t xml:space="preserve">2060 </w:t>
            </w:r>
          </w:p>
        </w:tc>
        <w:tc>
          <w:tcPr>
            <w:tcW w:w="283" w:type="dxa"/>
            <w:vMerge w:val="restart"/>
            <w:tcBorders>
              <w:top w:val="nil"/>
              <w:left w:val="double" w:sz="6" w:space="0" w:color="000000"/>
              <w:bottom w:val="single" w:sz="18" w:space="0" w:color="FFFFFF"/>
              <w:right w:val="nil"/>
            </w:tcBorders>
          </w:tcPr>
          <w:p w:rsidR="00E8309B" w:rsidRDefault="009D0949">
            <w:pPr>
              <w:spacing w:after="68" w:line="259" w:lineRule="auto"/>
              <w:ind w:left="0" w:right="19" w:firstLine="0"/>
              <w:jc w:val="center"/>
            </w:pPr>
            <w:r>
              <w:rPr>
                <w:sz w:val="20"/>
              </w:rPr>
              <w:t xml:space="preserve">  </w:t>
            </w:r>
          </w:p>
          <w:p w:rsidR="00E8309B" w:rsidRDefault="009D0949">
            <w:pPr>
              <w:spacing w:after="15" w:line="259" w:lineRule="auto"/>
              <w:ind w:left="0" w:right="19" w:firstLine="0"/>
              <w:jc w:val="center"/>
            </w:pPr>
            <w:r>
              <w:rPr>
                <w:sz w:val="20"/>
              </w:rPr>
              <w:t xml:space="preserve">  </w:t>
            </w:r>
          </w:p>
          <w:p w:rsidR="00E8309B" w:rsidRDefault="009D0949">
            <w:pPr>
              <w:spacing w:after="15" w:line="259" w:lineRule="auto"/>
              <w:ind w:left="0" w:right="19" w:firstLine="0"/>
              <w:jc w:val="center"/>
            </w:pPr>
            <w:r>
              <w:rPr>
                <w:sz w:val="20"/>
              </w:rPr>
              <w:t xml:space="preserve">  </w:t>
            </w:r>
          </w:p>
          <w:p w:rsidR="00E8309B" w:rsidRDefault="009D0949">
            <w:pPr>
              <w:spacing w:after="17" w:line="259" w:lineRule="auto"/>
              <w:ind w:left="0" w:right="19" w:firstLine="0"/>
              <w:jc w:val="center"/>
            </w:pPr>
            <w:r>
              <w:rPr>
                <w:sz w:val="20"/>
              </w:rPr>
              <w:t xml:space="preserve">  </w:t>
            </w:r>
          </w:p>
          <w:p w:rsidR="00E8309B" w:rsidRDefault="009D0949">
            <w:pPr>
              <w:spacing w:after="15" w:line="259" w:lineRule="auto"/>
              <w:ind w:left="0" w:right="19" w:firstLine="0"/>
              <w:jc w:val="center"/>
            </w:pPr>
            <w:r>
              <w:rPr>
                <w:sz w:val="20"/>
              </w:rPr>
              <w:t xml:space="preserve">  </w:t>
            </w:r>
          </w:p>
          <w:p w:rsidR="00E8309B" w:rsidRDefault="009D0949">
            <w:pPr>
              <w:spacing w:after="17" w:line="259" w:lineRule="auto"/>
              <w:ind w:left="0" w:right="19" w:firstLine="0"/>
              <w:jc w:val="center"/>
            </w:pPr>
            <w:r>
              <w:rPr>
                <w:sz w:val="20"/>
              </w:rPr>
              <w:t xml:space="preserve">  </w:t>
            </w:r>
          </w:p>
          <w:p w:rsidR="00E8309B" w:rsidRDefault="009D0949">
            <w:pPr>
              <w:spacing w:after="15" w:line="259" w:lineRule="auto"/>
              <w:ind w:left="0" w:right="19" w:firstLine="0"/>
              <w:jc w:val="center"/>
            </w:pPr>
            <w:r>
              <w:rPr>
                <w:sz w:val="20"/>
              </w:rPr>
              <w:t xml:space="preserve">  </w:t>
            </w:r>
          </w:p>
          <w:p w:rsidR="00E8309B" w:rsidRDefault="009D0949">
            <w:pPr>
              <w:spacing w:after="27" w:line="259" w:lineRule="auto"/>
              <w:ind w:left="0" w:right="19" w:firstLine="0"/>
              <w:jc w:val="center"/>
            </w:pPr>
            <w:r>
              <w:rPr>
                <w:sz w:val="20"/>
              </w:rPr>
              <w:t xml:space="preserve">  </w:t>
            </w:r>
          </w:p>
          <w:p w:rsidR="00E8309B" w:rsidRDefault="009D0949">
            <w:pPr>
              <w:spacing w:after="15" w:line="259" w:lineRule="auto"/>
              <w:ind w:left="0" w:right="19" w:firstLine="0"/>
              <w:jc w:val="center"/>
            </w:pPr>
            <w:r>
              <w:rPr>
                <w:sz w:val="20"/>
              </w:rPr>
              <w:t xml:space="preserve">  </w:t>
            </w:r>
          </w:p>
          <w:p w:rsidR="00E8309B" w:rsidRDefault="009D0949">
            <w:pPr>
              <w:spacing w:after="17" w:line="259" w:lineRule="auto"/>
              <w:ind w:left="0" w:right="19" w:firstLine="0"/>
              <w:jc w:val="center"/>
            </w:pPr>
            <w:r>
              <w:rPr>
                <w:sz w:val="20"/>
              </w:rPr>
              <w:t xml:space="preserve">  </w:t>
            </w:r>
          </w:p>
          <w:p w:rsidR="00E8309B" w:rsidRDefault="009D0949">
            <w:pPr>
              <w:spacing w:after="15" w:line="259" w:lineRule="auto"/>
              <w:ind w:left="0" w:right="19" w:firstLine="0"/>
              <w:jc w:val="center"/>
            </w:pPr>
            <w:r>
              <w:rPr>
                <w:sz w:val="20"/>
              </w:rPr>
              <w:t xml:space="preserve">  </w:t>
            </w:r>
          </w:p>
          <w:p w:rsidR="00E8309B" w:rsidRDefault="009D0949">
            <w:pPr>
              <w:spacing w:after="15" w:line="259" w:lineRule="auto"/>
              <w:ind w:left="0" w:right="19" w:firstLine="0"/>
              <w:jc w:val="center"/>
            </w:pPr>
            <w:r>
              <w:rPr>
                <w:sz w:val="20"/>
              </w:rPr>
              <w:t xml:space="preserve">  </w:t>
            </w:r>
          </w:p>
          <w:p w:rsidR="00E8309B" w:rsidRDefault="009D0949">
            <w:pPr>
              <w:spacing w:after="17" w:line="259" w:lineRule="auto"/>
              <w:ind w:left="0" w:right="19" w:firstLine="0"/>
              <w:jc w:val="center"/>
            </w:pPr>
            <w:r>
              <w:rPr>
                <w:sz w:val="20"/>
              </w:rPr>
              <w:t xml:space="preserve">  </w:t>
            </w:r>
          </w:p>
          <w:p w:rsidR="00E8309B" w:rsidRDefault="009D0949">
            <w:pPr>
              <w:spacing w:after="15" w:line="259" w:lineRule="auto"/>
              <w:ind w:left="0" w:right="19" w:firstLine="0"/>
              <w:jc w:val="center"/>
            </w:pPr>
            <w:r>
              <w:rPr>
                <w:sz w:val="20"/>
              </w:rPr>
              <w:t xml:space="preserve">  </w:t>
            </w:r>
          </w:p>
          <w:p w:rsidR="00E8309B" w:rsidRDefault="009D0949">
            <w:pPr>
              <w:spacing w:after="17" w:line="259" w:lineRule="auto"/>
              <w:ind w:left="0" w:right="19" w:firstLine="0"/>
              <w:jc w:val="center"/>
            </w:pPr>
            <w:r>
              <w:rPr>
                <w:sz w:val="20"/>
              </w:rPr>
              <w:t xml:space="preserve">  </w:t>
            </w:r>
          </w:p>
          <w:p w:rsidR="00E8309B" w:rsidRDefault="009D0949">
            <w:pPr>
              <w:spacing w:after="270" w:line="259" w:lineRule="auto"/>
              <w:ind w:left="0" w:right="19" w:firstLine="0"/>
              <w:jc w:val="center"/>
            </w:pPr>
            <w:r>
              <w:rPr>
                <w:sz w:val="20"/>
              </w:rPr>
              <w:t xml:space="preserve">  </w:t>
            </w:r>
          </w:p>
          <w:p w:rsidR="00E8309B" w:rsidRDefault="009D0949">
            <w:pPr>
              <w:spacing w:after="17" w:line="259" w:lineRule="auto"/>
              <w:ind w:left="0" w:right="19" w:firstLine="0"/>
              <w:jc w:val="center"/>
            </w:pPr>
            <w:r>
              <w:rPr>
                <w:sz w:val="20"/>
              </w:rPr>
              <w:t xml:space="preserve">  </w:t>
            </w:r>
          </w:p>
          <w:p w:rsidR="00E8309B" w:rsidRDefault="009D0949">
            <w:pPr>
              <w:spacing w:after="269" w:line="259" w:lineRule="auto"/>
              <w:ind w:left="0" w:right="19" w:firstLine="0"/>
              <w:jc w:val="center"/>
            </w:pPr>
            <w:r>
              <w:rPr>
                <w:sz w:val="20"/>
              </w:rPr>
              <w:t xml:space="preserve">  </w:t>
            </w:r>
          </w:p>
          <w:p w:rsidR="00E8309B" w:rsidRDefault="009D0949">
            <w:pPr>
              <w:spacing w:after="17" w:line="259" w:lineRule="auto"/>
              <w:ind w:left="0" w:right="19" w:firstLine="0"/>
              <w:jc w:val="center"/>
            </w:pPr>
            <w:r>
              <w:rPr>
                <w:sz w:val="20"/>
              </w:rPr>
              <w:t xml:space="preserve">  </w:t>
            </w:r>
          </w:p>
          <w:p w:rsidR="00E8309B" w:rsidRDefault="009D0949">
            <w:pPr>
              <w:spacing w:after="15" w:line="259" w:lineRule="auto"/>
              <w:ind w:left="0" w:right="19" w:firstLine="0"/>
              <w:jc w:val="center"/>
            </w:pPr>
            <w:r>
              <w:rPr>
                <w:sz w:val="20"/>
              </w:rPr>
              <w:t xml:space="preserve">  </w:t>
            </w:r>
          </w:p>
          <w:p w:rsidR="00E8309B" w:rsidRDefault="009D0949">
            <w:pPr>
              <w:spacing w:after="17" w:line="259" w:lineRule="auto"/>
              <w:ind w:left="0" w:right="19" w:firstLine="0"/>
              <w:jc w:val="center"/>
            </w:pPr>
            <w:r>
              <w:rPr>
                <w:sz w:val="20"/>
              </w:rPr>
              <w:t xml:space="preserve">  </w:t>
            </w:r>
          </w:p>
          <w:p w:rsidR="00E8309B" w:rsidRDefault="009D0949">
            <w:pPr>
              <w:spacing w:after="15" w:line="259" w:lineRule="auto"/>
              <w:ind w:left="0" w:right="19" w:firstLine="0"/>
              <w:jc w:val="center"/>
            </w:pPr>
            <w:r>
              <w:rPr>
                <w:sz w:val="20"/>
              </w:rPr>
              <w:t xml:space="preserve">  </w:t>
            </w:r>
          </w:p>
          <w:p w:rsidR="00E8309B" w:rsidRDefault="009D0949">
            <w:pPr>
              <w:spacing w:after="15" w:line="259" w:lineRule="auto"/>
              <w:ind w:left="0" w:right="19" w:firstLine="0"/>
              <w:jc w:val="center"/>
            </w:pPr>
            <w:r>
              <w:rPr>
                <w:sz w:val="20"/>
              </w:rPr>
              <w:t xml:space="preserve">  </w:t>
            </w:r>
          </w:p>
          <w:p w:rsidR="00E8309B" w:rsidRDefault="009D0949">
            <w:pPr>
              <w:spacing w:after="18" w:line="259" w:lineRule="auto"/>
              <w:ind w:left="0" w:right="19" w:firstLine="0"/>
              <w:jc w:val="center"/>
            </w:pPr>
            <w:r>
              <w:rPr>
                <w:sz w:val="20"/>
              </w:rPr>
              <w:t xml:space="preserve">  </w:t>
            </w:r>
          </w:p>
          <w:p w:rsidR="00E8309B" w:rsidRDefault="009D0949">
            <w:pPr>
              <w:spacing w:after="15" w:line="259" w:lineRule="auto"/>
              <w:ind w:left="0" w:right="19" w:firstLine="0"/>
              <w:jc w:val="center"/>
            </w:pPr>
            <w:r>
              <w:rPr>
                <w:sz w:val="20"/>
              </w:rPr>
              <w:t xml:space="preserve">  </w:t>
            </w:r>
          </w:p>
          <w:p w:rsidR="00E8309B" w:rsidRDefault="009D0949">
            <w:pPr>
              <w:spacing w:after="32" w:line="259" w:lineRule="auto"/>
              <w:ind w:left="0" w:right="19" w:firstLine="0"/>
              <w:jc w:val="center"/>
            </w:pPr>
            <w:r>
              <w:rPr>
                <w:sz w:val="20"/>
              </w:rPr>
              <w:t xml:space="preserve">  </w:t>
            </w:r>
          </w:p>
          <w:p w:rsidR="00E8309B" w:rsidRDefault="009D0949">
            <w:pPr>
              <w:spacing w:after="0" w:line="259" w:lineRule="auto"/>
              <w:ind w:left="0" w:right="19" w:firstLine="0"/>
              <w:jc w:val="center"/>
            </w:pPr>
            <w:r>
              <w:rPr>
                <w:sz w:val="20"/>
              </w:rPr>
              <w:t xml:space="preserve">  </w:t>
            </w:r>
          </w:p>
        </w:tc>
      </w:tr>
      <w:tr w:rsidR="00E8309B">
        <w:trPr>
          <w:trHeight w:val="300"/>
        </w:trPr>
        <w:tc>
          <w:tcPr>
            <w:tcW w:w="6762" w:type="dxa"/>
            <w:tcBorders>
              <w:top w:val="double" w:sz="6" w:space="0" w:color="000000"/>
              <w:left w:val="double" w:sz="6" w:space="0" w:color="000000"/>
              <w:bottom w:val="dashed" w:sz="4" w:space="0" w:color="000000"/>
              <w:right w:val="single" w:sz="4" w:space="0" w:color="000000"/>
            </w:tcBorders>
          </w:tcPr>
          <w:p w:rsidR="00E8309B" w:rsidRDefault="009D0949">
            <w:pPr>
              <w:spacing w:after="0" w:line="259" w:lineRule="auto"/>
              <w:ind w:left="2" w:right="0" w:firstLine="0"/>
              <w:jc w:val="left"/>
            </w:pPr>
            <w:r>
              <w:rPr>
                <w:sz w:val="20"/>
              </w:rPr>
              <w:t xml:space="preserve">Укупни расходи </w:t>
            </w:r>
          </w:p>
        </w:tc>
        <w:tc>
          <w:tcPr>
            <w:tcW w:w="1076" w:type="dxa"/>
            <w:tcBorders>
              <w:top w:val="double" w:sz="6" w:space="0" w:color="000000"/>
              <w:left w:val="single" w:sz="4" w:space="0" w:color="000000"/>
              <w:bottom w:val="dashed" w:sz="4" w:space="0" w:color="000000"/>
              <w:right w:val="dashed" w:sz="4" w:space="0" w:color="000000"/>
            </w:tcBorders>
          </w:tcPr>
          <w:p w:rsidR="00E8309B" w:rsidRDefault="009D0949">
            <w:pPr>
              <w:spacing w:after="0" w:line="259" w:lineRule="auto"/>
              <w:ind w:left="3" w:right="0" w:firstLine="0"/>
              <w:jc w:val="center"/>
            </w:pPr>
            <w:r>
              <w:rPr>
                <w:sz w:val="20"/>
              </w:rPr>
              <w:t xml:space="preserve"> </w:t>
            </w:r>
          </w:p>
        </w:tc>
        <w:tc>
          <w:tcPr>
            <w:tcW w:w="1075" w:type="dxa"/>
            <w:tcBorders>
              <w:top w:val="double" w:sz="6" w:space="0" w:color="000000"/>
              <w:left w:val="dashed" w:sz="4" w:space="0" w:color="000000"/>
              <w:bottom w:val="dashed" w:sz="4" w:space="0" w:color="000000"/>
              <w:right w:val="dashed" w:sz="4" w:space="0" w:color="000000"/>
            </w:tcBorders>
          </w:tcPr>
          <w:p w:rsidR="00E8309B" w:rsidRDefault="009D0949">
            <w:pPr>
              <w:spacing w:after="0" w:line="259" w:lineRule="auto"/>
              <w:ind w:left="0" w:right="2" w:firstLine="0"/>
              <w:jc w:val="center"/>
            </w:pPr>
            <w:r>
              <w:rPr>
                <w:sz w:val="20"/>
              </w:rPr>
              <w:t xml:space="preserve"> </w:t>
            </w:r>
          </w:p>
        </w:tc>
        <w:tc>
          <w:tcPr>
            <w:tcW w:w="1075" w:type="dxa"/>
            <w:tcBorders>
              <w:top w:val="double" w:sz="6" w:space="0" w:color="000000"/>
              <w:left w:val="dashed" w:sz="4" w:space="0" w:color="000000"/>
              <w:bottom w:val="dashed" w:sz="4" w:space="0" w:color="000000"/>
              <w:right w:val="dashed" w:sz="4" w:space="0" w:color="000000"/>
            </w:tcBorders>
          </w:tcPr>
          <w:p w:rsidR="00E8309B" w:rsidRDefault="009D0949">
            <w:pPr>
              <w:spacing w:after="0" w:line="259" w:lineRule="auto"/>
              <w:ind w:left="0" w:right="2" w:firstLine="0"/>
              <w:jc w:val="center"/>
            </w:pPr>
            <w:r>
              <w:rPr>
                <w:sz w:val="20"/>
              </w:rPr>
              <w:t xml:space="preserve"> </w:t>
            </w:r>
          </w:p>
        </w:tc>
        <w:tc>
          <w:tcPr>
            <w:tcW w:w="1076" w:type="dxa"/>
            <w:tcBorders>
              <w:top w:val="double" w:sz="6" w:space="0" w:color="000000"/>
              <w:left w:val="dashed" w:sz="4" w:space="0" w:color="000000"/>
              <w:bottom w:val="dashed" w:sz="4" w:space="0" w:color="000000"/>
              <w:right w:val="dashed" w:sz="4" w:space="0" w:color="000000"/>
            </w:tcBorders>
          </w:tcPr>
          <w:p w:rsidR="00E8309B" w:rsidRDefault="009D0949">
            <w:pPr>
              <w:spacing w:after="0" w:line="259" w:lineRule="auto"/>
              <w:ind w:left="3" w:right="0" w:firstLine="0"/>
              <w:jc w:val="center"/>
            </w:pPr>
            <w:r>
              <w:rPr>
                <w:sz w:val="20"/>
              </w:rPr>
              <w:t xml:space="preserve"> </w:t>
            </w:r>
          </w:p>
        </w:tc>
        <w:tc>
          <w:tcPr>
            <w:tcW w:w="1075" w:type="dxa"/>
            <w:tcBorders>
              <w:top w:val="double" w:sz="6" w:space="0" w:color="000000"/>
              <w:left w:val="dashed" w:sz="4" w:space="0" w:color="000000"/>
              <w:bottom w:val="dashed" w:sz="4" w:space="0" w:color="000000"/>
              <w:right w:val="dashed" w:sz="4" w:space="0" w:color="000000"/>
            </w:tcBorders>
          </w:tcPr>
          <w:p w:rsidR="00E8309B" w:rsidRDefault="009D0949">
            <w:pPr>
              <w:spacing w:after="0" w:line="259" w:lineRule="auto"/>
              <w:ind w:left="2" w:right="0" w:firstLine="0"/>
              <w:jc w:val="center"/>
            </w:pPr>
            <w:r>
              <w:rPr>
                <w:sz w:val="20"/>
              </w:rPr>
              <w:t xml:space="preserve"> </w:t>
            </w:r>
          </w:p>
        </w:tc>
        <w:tc>
          <w:tcPr>
            <w:tcW w:w="1075" w:type="dxa"/>
            <w:tcBorders>
              <w:top w:val="double" w:sz="6" w:space="0" w:color="000000"/>
              <w:left w:val="dashed" w:sz="4" w:space="0" w:color="000000"/>
              <w:bottom w:val="dashed" w:sz="4" w:space="0" w:color="000000"/>
              <w:right w:val="dashed" w:sz="4" w:space="0" w:color="000000"/>
            </w:tcBorders>
          </w:tcPr>
          <w:p w:rsidR="00E8309B" w:rsidRDefault="009D0949">
            <w:pPr>
              <w:spacing w:after="0" w:line="259" w:lineRule="auto"/>
              <w:ind w:left="2" w:right="0" w:firstLine="0"/>
              <w:jc w:val="center"/>
            </w:pPr>
            <w:r>
              <w:rPr>
                <w:sz w:val="20"/>
              </w:rPr>
              <w:t xml:space="preserve"> </w:t>
            </w:r>
          </w:p>
        </w:tc>
        <w:tc>
          <w:tcPr>
            <w:tcW w:w="1076" w:type="dxa"/>
            <w:tcBorders>
              <w:top w:val="double" w:sz="6" w:space="0" w:color="000000"/>
              <w:left w:val="dashed" w:sz="4" w:space="0" w:color="000000"/>
              <w:bottom w:val="dashed" w:sz="4" w:space="0" w:color="000000"/>
              <w:right w:val="double" w:sz="6" w:space="0" w:color="000000"/>
            </w:tcBorders>
          </w:tcPr>
          <w:p w:rsidR="00E8309B" w:rsidRDefault="009D0949">
            <w:pPr>
              <w:spacing w:after="0" w:line="259" w:lineRule="auto"/>
              <w:ind w:left="0" w:right="2" w:firstLine="0"/>
              <w:jc w:val="center"/>
            </w:pPr>
            <w:r>
              <w:rPr>
                <w:sz w:val="20"/>
              </w:rPr>
              <w:t xml:space="preserve"> </w:t>
            </w:r>
          </w:p>
        </w:tc>
        <w:tc>
          <w:tcPr>
            <w:tcW w:w="0" w:type="auto"/>
            <w:vMerge/>
            <w:tcBorders>
              <w:top w:val="nil"/>
              <w:left w:val="double" w:sz="6" w:space="0" w:color="000000"/>
              <w:bottom w:val="nil"/>
              <w:right w:val="nil"/>
            </w:tcBorders>
          </w:tcPr>
          <w:p w:rsidR="00E8309B" w:rsidRDefault="00E8309B">
            <w:pPr>
              <w:spacing w:after="160" w:line="259" w:lineRule="auto"/>
              <w:ind w:left="0" w:right="0" w:firstLine="0"/>
              <w:jc w:val="left"/>
            </w:pPr>
          </w:p>
        </w:tc>
      </w:tr>
      <w:tr w:rsidR="00E8309B">
        <w:trPr>
          <w:trHeight w:val="264"/>
        </w:trPr>
        <w:tc>
          <w:tcPr>
            <w:tcW w:w="6762" w:type="dxa"/>
            <w:tcBorders>
              <w:top w:val="dashed" w:sz="4" w:space="0" w:color="000000"/>
              <w:left w:val="double" w:sz="6" w:space="0" w:color="000000"/>
              <w:bottom w:val="dashed" w:sz="4" w:space="0" w:color="000000"/>
              <w:right w:val="single" w:sz="4" w:space="0" w:color="000000"/>
            </w:tcBorders>
          </w:tcPr>
          <w:p w:rsidR="00E8309B" w:rsidRDefault="009D0949">
            <w:pPr>
              <w:spacing w:after="0" w:line="259" w:lineRule="auto"/>
              <w:ind w:left="2" w:right="0" w:firstLine="0"/>
              <w:jc w:val="left"/>
            </w:pPr>
            <w:r>
              <w:rPr>
                <w:sz w:val="20"/>
              </w:rPr>
              <w:t xml:space="preserve">од чега:  </w:t>
            </w:r>
          </w:p>
        </w:tc>
        <w:tc>
          <w:tcPr>
            <w:tcW w:w="1076" w:type="dxa"/>
            <w:tcBorders>
              <w:top w:val="dashed" w:sz="4" w:space="0" w:color="000000"/>
              <w:left w:val="single" w:sz="4" w:space="0" w:color="000000"/>
              <w:bottom w:val="dashed" w:sz="4" w:space="0" w:color="000000"/>
              <w:right w:val="dashed" w:sz="4" w:space="0" w:color="000000"/>
            </w:tcBorders>
          </w:tcPr>
          <w:p w:rsidR="00E8309B" w:rsidRDefault="009D0949">
            <w:pPr>
              <w:spacing w:after="0" w:line="259" w:lineRule="auto"/>
              <w:ind w:left="3" w:right="0" w:firstLine="0"/>
              <w:jc w:val="center"/>
            </w:pPr>
            <w:r>
              <w:rPr>
                <w:sz w:val="20"/>
              </w:rPr>
              <w:t xml:space="preserve"> </w:t>
            </w:r>
          </w:p>
        </w:tc>
        <w:tc>
          <w:tcPr>
            <w:tcW w:w="1075"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2" w:firstLine="0"/>
              <w:jc w:val="center"/>
            </w:pPr>
            <w:r>
              <w:rPr>
                <w:sz w:val="20"/>
              </w:rPr>
              <w:t xml:space="preserve"> </w:t>
            </w:r>
          </w:p>
        </w:tc>
        <w:tc>
          <w:tcPr>
            <w:tcW w:w="1075"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2" w:firstLine="0"/>
              <w:jc w:val="center"/>
            </w:pPr>
            <w:r>
              <w:rPr>
                <w:sz w:val="20"/>
              </w:rPr>
              <w:t xml:space="preserve"> </w:t>
            </w:r>
          </w:p>
        </w:tc>
        <w:tc>
          <w:tcPr>
            <w:tcW w:w="1076"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3" w:right="0" w:firstLine="0"/>
              <w:jc w:val="center"/>
            </w:pPr>
            <w:r>
              <w:rPr>
                <w:sz w:val="20"/>
              </w:rPr>
              <w:t xml:space="preserve"> </w:t>
            </w:r>
          </w:p>
        </w:tc>
        <w:tc>
          <w:tcPr>
            <w:tcW w:w="1075"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2" w:right="0" w:firstLine="0"/>
              <w:jc w:val="center"/>
            </w:pPr>
            <w:r>
              <w:rPr>
                <w:sz w:val="20"/>
              </w:rPr>
              <w:t xml:space="preserve"> </w:t>
            </w:r>
          </w:p>
        </w:tc>
        <w:tc>
          <w:tcPr>
            <w:tcW w:w="1075"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2" w:right="0" w:firstLine="0"/>
              <w:jc w:val="center"/>
            </w:pPr>
            <w:r>
              <w:rPr>
                <w:sz w:val="20"/>
              </w:rPr>
              <w:t xml:space="preserve"> </w:t>
            </w:r>
          </w:p>
        </w:tc>
        <w:tc>
          <w:tcPr>
            <w:tcW w:w="1076" w:type="dxa"/>
            <w:tcBorders>
              <w:top w:val="dashed" w:sz="4" w:space="0" w:color="000000"/>
              <w:left w:val="dashed" w:sz="4" w:space="0" w:color="000000"/>
              <w:bottom w:val="dashed" w:sz="4" w:space="0" w:color="000000"/>
              <w:right w:val="double" w:sz="6" w:space="0" w:color="000000"/>
            </w:tcBorders>
          </w:tcPr>
          <w:p w:rsidR="00E8309B" w:rsidRDefault="009D0949">
            <w:pPr>
              <w:spacing w:after="0" w:line="259" w:lineRule="auto"/>
              <w:ind w:left="0" w:right="2" w:firstLine="0"/>
              <w:jc w:val="center"/>
            </w:pPr>
            <w:r>
              <w:rPr>
                <w:sz w:val="20"/>
              </w:rPr>
              <w:t xml:space="preserve"> </w:t>
            </w:r>
          </w:p>
        </w:tc>
        <w:tc>
          <w:tcPr>
            <w:tcW w:w="0" w:type="auto"/>
            <w:vMerge/>
            <w:tcBorders>
              <w:top w:val="nil"/>
              <w:left w:val="double" w:sz="6" w:space="0" w:color="000000"/>
              <w:bottom w:val="nil"/>
              <w:right w:val="nil"/>
            </w:tcBorders>
          </w:tcPr>
          <w:p w:rsidR="00E8309B" w:rsidRDefault="00E8309B">
            <w:pPr>
              <w:spacing w:after="160" w:line="259" w:lineRule="auto"/>
              <w:ind w:left="0" w:right="0" w:firstLine="0"/>
              <w:jc w:val="left"/>
            </w:pPr>
          </w:p>
        </w:tc>
      </w:tr>
      <w:tr w:rsidR="00E8309B">
        <w:trPr>
          <w:trHeight w:val="264"/>
        </w:trPr>
        <w:tc>
          <w:tcPr>
            <w:tcW w:w="6762" w:type="dxa"/>
            <w:tcBorders>
              <w:top w:val="dashed" w:sz="4" w:space="0" w:color="000000"/>
              <w:left w:val="double" w:sz="6" w:space="0" w:color="000000"/>
              <w:bottom w:val="dashed" w:sz="4" w:space="0" w:color="000000"/>
              <w:right w:val="single" w:sz="4" w:space="0" w:color="000000"/>
            </w:tcBorders>
          </w:tcPr>
          <w:p w:rsidR="00E8309B" w:rsidRDefault="009D0949">
            <w:pPr>
              <w:spacing w:after="0" w:line="259" w:lineRule="auto"/>
              <w:ind w:left="202" w:right="0" w:firstLine="0"/>
              <w:jc w:val="left"/>
            </w:pPr>
            <w:r>
              <w:rPr>
                <w:sz w:val="20"/>
              </w:rPr>
              <w:t xml:space="preserve">- </w:t>
            </w:r>
            <w:r>
              <w:rPr>
                <w:sz w:val="20"/>
              </w:rPr>
              <w:t xml:space="preserve">Расходи везани за године живота </w:t>
            </w:r>
          </w:p>
        </w:tc>
        <w:tc>
          <w:tcPr>
            <w:tcW w:w="1076" w:type="dxa"/>
            <w:tcBorders>
              <w:top w:val="dashed" w:sz="4" w:space="0" w:color="000000"/>
              <w:left w:val="single" w:sz="4" w:space="0" w:color="000000"/>
              <w:bottom w:val="dashed" w:sz="4" w:space="0" w:color="000000"/>
              <w:right w:val="dashed" w:sz="4" w:space="0" w:color="000000"/>
            </w:tcBorders>
          </w:tcPr>
          <w:p w:rsidR="00E8309B" w:rsidRDefault="009D0949">
            <w:pPr>
              <w:spacing w:after="0" w:line="259" w:lineRule="auto"/>
              <w:ind w:left="3" w:right="0" w:firstLine="0"/>
              <w:jc w:val="center"/>
            </w:pPr>
            <w:r>
              <w:rPr>
                <w:sz w:val="20"/>
              </w:rPr>
              <w:t xml:space="preserve"> </w:t>
            </w:r>
          </w:p>
        </w:tc>
        <w:tc>
          <w:tcPr>
            <w:tcW w:w="1075"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2" w:firstLine="0"/>
              <w:jc w:val="center"/>
            </w:pPr>
            <w:r>
              <w:rPr>
                <w:sz w:val="20"/>
              </w:rPr>
              <w:t xml:space="preserve"> </w:t>
            </w:r>
          </w:p>
        </w:tc>
        <w:tc>
          <w:tcPr>
            <w:tcW w:w="1075"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2" w:firstLine="0"/>
              <w:jc w:val="center"/>
            </w:pPr>
            <w:r>
              <w:rPr>
                <w:sz w:val="20"/>
              </w:rPr>
              <w:t xml:space="preserve"> </w:t>
            </w:r>
          </w:p>
        </w:tc>
        <w:tc>
          <w:tcPr>
            <w:tcW w:w="1076"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3" w:right="0" w:firstLine="0"/>
              <w:jc w:val="center"/>
            </w:pPr>
            <w:r>
              <w:rPr>
                <w:sz w:val="20"/>
              </w:rPr>
              <w:t xml:space="preserve"> </w:t>
            </w:r>
          </w:p>
        </w:tc>
        <w:tc>
          <w:tcPr>
            <w:tcW w:w="1075"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2" w:right="0" w:firstLine="0"/>
              <w:jc w:val="center"/>
            </w:pPr>
            <w:r>
              <w:rPr>
                <w:sz w:val="20"/>
              </w:rPr>
              <w:t xml:space="preserve"> </w:t>
            </w:r>
          </w:p>
        </w:tc>
        <w:tc>
          <w:tcPr>
            <w:tcW w:w="1075"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2" w:right="0" w:firstLine="0"/>
              <w:jc w:val="center"/>
            </w:pPr>
            <w:r>
              <w:rPr>
                <w:sz w:val="20"/>
              </w:rPr>
              <w:t xml:space="preserve"> </w:t>
            </w:r>
          </w:p>
        </w:tc>
        <w:tc>
          <w:tcPr>
            <w:tcW w:w="1076" w:type="dxa"/>
            <w:tcBorders>
              <w:top w:val="dashed" w:sz="4" w:space="0" w:color="000000"/>
              <w:left w:val="dashed" w:sz="4" w:space="0" w:color="000000"/>
              <w:bottom w:val="dashed" w:sz="4" w:space="0" w:color="000000"/>
              <w:right w:val="double" w:sz="6" w:space="0" w:color="000000"/>
            </w:tcBorders>
          </w:tcPr>
          <w:p w:rsidR="00E8309B" w:rsidRDefault="009D0949">
            <w:pPr>
              <w:spacing w:after="0" w:line="259" w:lineRule="auto"/>
              <w:ind w:left="0" w:right="2" w:firstLine="0"/>
              <w:jc w:val="center"/>
            </w:pPr>
            <w:r>
              <w:rPr>
                <w:sz w:val="20"/>
              </w:rPr>
              <w:t xml:space="preserve"> </w:t>
            </w:r>
          </w:p>
        </w:tc>
        <w:tc>
          <w:tcPr>
            <w:tcW w:w="0" w:type="auto"/>
            <w:vMerge/>
            <w:tcBorders>
              <w:top w:val="nil"/>
              <w:left w:val="double" w:sz="6" w:space="0" w:color="000000"/>
              <w:bottom w:val="nil"/>
              <w:right w:val="nil"/>
            </w:tcBorders>
          </w:tcPr>
          <w:p w:rsidR="00E8309B" w:rsidRDefault="00E8309B">
            <w:pPr>
              <w:spacing w:after="160" w:line="259" w:lineRule="auto"/>
              <w:ind w:left="0" w:right="0" w:firstLine="0"/>
              <w:jc w:val="left"/>
            </w:pPr>
          </w:p>
        </w:tc>
      </w:tr>
      <w:tr w:rsidR="00E8309B">
        <w:trPr>
          <w:trHeight w:val="266"/>
        </w:trPr>
        <w:tc>
          <w:tcPr>
            <w:tcW w:w="6762" w:type="dxa"/>
            <w:tcBorders>
              <w:top w:val="dashed" w:sz="4" w:space="0" w:color="000000"/>
              <w:left w:val="double" w:sz="6" w:space="0" w:color="000000"/>
              <w:bottom w:val="dashed" w:sz="4" w:space="0" w:color="000000"/>
              <w:right w:val="single" w:sz="4" w:space="0" w:color="000000"/>
            </w:tcBorders>
          </w:tcPr>
          <w:p w:rsidR="00E8309B" w:rsidRDefault="009D0949">
            <w:pPr>
              <w:spacing w:after="0" w:line="259" w:lineRule="auto"/>
              <w:ind w:left="202" w:right="0" w:firstLine="0"/>
              <w:jc w:val="left"/>
            </w:pPr>
            <w:r>
              <w:rPr>
                <w:sz w:val="20"/>
              </w:rPr>
              <w:t xml:space="preserve">- расходи за пензије </w:t>
            </w:r>
          </w:p>
        </w:tc>
        <w:tc>
          <w:tcPr>
            <w:tcW w:w="1076" w:type="dxa"/>
            <w:tcBorders>
              <w:top w:val="dashed" w:sz="4" w:space="0" w:color="000000"/>
              <w:left w:val="single" w:sz="4" w:space="0" w:color="000000"/>
              <w:bottom w:val="dashed" w:sz="4" w:space="0" w:color="000000"/>
              <w:right w:val="dashed" w:sz="4" w:space="0" w:color="000000"/>
            </w:tcBorders>
          </w:tcPr>
          <w:p w:rsidR="00E8309B" w:rsidRDefault="009D0949">
            <w:pPr>
              <w:spacing w:after="0" w:line="259" w:lineRule="auto"/>
              <w:ind w:left="3" w:right="0" w:firstLine="0"/>
              <w:jc w:val="center"/>
            </w:pPr>
            <w:r>
              <w:rPr>
                <w:sz w:val="20"/>
              </w:rPr>
              <w:t xml:space="preserve"> </w:t>
            </w:r>
          </w:p>
        </w:tc>
        <w:tc>
          <w:tcPr>
            <w:tcW w:w="1075"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2" w:firstLine="0"/>
              <w:jc w:val="center"/>
            </w:pPr>
            <w:r>
              <w:rPr>
                <w:sz w:val="20"/>
              </w:rPr>
              <w:t xml:space="preserve"> </w:t>
            </w:r>
          </w:p>
        </w:tc>
        <w:tc>
          <w:tcPr>
            <w:tcW w:w="1075"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2" w:firstLine="0"/>
              <w:jc w:val="center"/>
            </w:pPr>
            <w:r>
              <w:rPr>
                <w:sz w:val="20"/>
              </w:rPr>
              <w:t xml:space="preserve"> </w:t>
            </w:r>
          </w:p>
        </w:tc>
        <w:tc>
          <w:tcPr>
            <w:tcW w:w="1076"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3" w:right="0" w:firstLine="0"/>
              <w:jc w:val="center"/>
            </w:pPr>
            <w:r>
              <w:rPr>
                <w:sz w:val="20"/>
              </w:rPr>
              <w:t xml:space="preserve"> </w:t>
            </w:r>
          </w:p>
        </w:tc>
        <w:tc>
          <w:tcPr>
            <w:tcW w:w="1075"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2" w:right="0" w:firstLine="0"/>
              <w:jc w:val="center"/>
            </w:pPr>
            <w:r>
              <w:rPr>
                <w:sz w:val="20"/>
              </w:rPr>
              <w:t xml:space="preserve"> </w:t>
            </w:r>
          </w:p>
        </w:tc>
        <w:tc>
          <w:tcPr>
            <w:tcW w:w="1075"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2" w:right="0" w:firstLine="0"/>
              <w:jc w:val="center"/>
            </w:pPr>
            <w:r>
              <w:rPr>
                <w:sz w:val="20"/>
              </w:rPr>
              <w:t xml:space="preserve"> </w:t>
            </w:r>
          </w:p>
        </w:tc>
        <w:tc>
          <w:tcPr>
            <w:tcW w:w="1076" w:type="dxa"/>
            <w:tcBorders>
              <w:top w:val="dashed" w:sz="4" w:space="0" w:color="000000"/>
              <w:left w:val="dashed" w:sz="4" w:space="0" w:color="000000"/>
              <w:bottom w:val="dashed" w:sz="4" w:space="0" w:color="000000"/>
              <w:right w:val="double" w:sz="6" w:space="0" w:color="000000"/>
            </w:tcBorders>
          </w:tcPr>
          <w:p w:rsidR="00E8309B" w:rsidRDefault="009D0949">
            <w:pPr>
              <w:spacing w:after="0" w:line="259" w:lineRule="auto"/>
              <w:ind w:left="0" w:right="2" w:firstLine="0"/>
              <w:jc w:val="center"/>
            </w:pPr>
            <w:r>
              <w:rPr>
                <w:sz w:val="20"/>
              </w:rPr>
              <w:t xml:space="preserve"> </w:t>
            </w:r>
          </w:p>
        </w:tc>
        <w:tc>
          <w:tcPr>
            <w:tcW w:w="0" w:type="auto"/>
            <w:vMerge/>
            <w:tcBorders>
              <w:top w:val="nil"/>
              <w:left w:val="double" w:sz="6" w:space="0" w:color="000000"/>
              <w:bottom w:val="nil"/>
              <w:right w:val="nil"/>
            </w:tcBorders>
          </w:tcPr>
          <w:p w:rsidR="00E8309B" w:rsidRDefault="00E8309B">
            <w:pPr>
              <w:spacing w:after="160" w:line="259" w:lineRule="auto"/>
              <w:ind w:left="0" w:right="0" w:firstLine="0"/>
              <w:jc w:val="left"/>
            </w:pPr>
          </w:p>
        </w:tc>
      </w:tr>
      <w:tr w:rsidR="00E8309B">
        <w:trPr>
          <w:trHeight w:val="264"/>
        </w:trPr>
        <w:tc>
          <w:tcPr>
            <w:tcW w:w="6762" w:type="dxa"/>
            <w:tcBorders>
              <w:top w:val="dashed" w:sz="4" w:space="0" w:color="000000"/>
              <w:left w:val="double" w:sz="6" w:space="0" w:color="000000"/>
              <w:bottom w:val="dashed" w:sz="4" w:space="0" w:color="000000"/>
              <w:right w:val="single" w:sz="4" w:space="0" w:color="000000"/>
            </w:tcBorders>
          </w:tcPr>
          <w:p w:rsidR="00E8309B" w:rsidRDefault="009D0949">
            <w:pPr>
              <w:spacing w:after="0" w:line="259" w:lineRule="auto"/>
              <w:ind w:left="202" w:right="0" w:firstLine="0"/>
              <w:jc w:val="left"/>
            </w:pPr>
            <w:r>
              <w:rPr>
                <w:sz w:val="20"/>
              </w:rPr>
              <w:t xml:space="preserve">- Социјалне пензије  </w:t>
            </w:r>
          </w:p>
        </w:tc>
        <w:tc>
          <w:tcPr>
            <w:tcW w:w="1076" w:type="dxa"/>
            <w:tcBorders>
              <w:top w:val="dashed" w:sz="4" w:space="0" w:color="000000"/>
              <w:left w:val="single" w:sz="4" w:space="0" w:color="000000"/>
              <w:bottom w:val="dashed" w:sz="4" w:space="0" w:color="000000"/>
              <w:right w:val="dashed" w:sz="4" w:space="0" w:color="000000"/>
            </w:tcBorders>
          </w:tcPr>
          <w:p w:rsidR="00E8309B" w:rsidRDefault="009D0949">
            <w:pPr>
              <w:spacing w:after="0" w:line="259" w:lineRule="auto"/>
              <w:ind w:left="3" w:right="0" w:firstLine="0"/>
              <w:jc w:val="center"/>
            </w:pPr>
            <w:r>
              <w:rPr>
                <w:sz w:val="20"/>
              </w:rPr>
              <w:t xml:space="preserve"> </w:t>
            </w:r>
          </w:p>
        </w:tc>
        <w:tc>
          <w:tcPr>
            <w:tcW w:w="1075"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2" w:firstLine="0"/>
              <w:jc w:val="center"/>
            </w:pPr>
            <w:r>
              <w:rPr>
                <w:sz w:val="20"/>
              </w:rPr>
              <w:t xml:space="preserve"> </w:t>
            </w:r>
          </w:p>
        </w:tc>
        <w:tc>
          <w:tcPr>
            <w:tcW w:w="1075"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2" w:firstLine="0"/>
              <w:jc w:val="center"/>
            </w:pPr>
            <w:r>
              <w:rPr>
                <w:sz w:val="20"/>
              </w:rPr>
              <w:t xml:space="preserve"> </w:t>
            </w:r>
          </w:p>
        </w:tc>
        <w:tc>
          <w:tcPr>
            <w:tcW w:w="1076"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3" w:right="0" w:firstLine="0"/>
              <w:jc w:val="center"/>
            </w:pPr>
            <w:r>
              <w:rPr>
                <w:sz w:val="20"/>
              </w:rPr>
              <w:t xml:space="preserve"> </w:t>
            </w:r>
          </w:p>
        </w:tc>
        <w:tc>
          <w:tcPr>
            <w:tcW w:w="1075"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2" w:right="0" w:firstLine="0"/>
              <w:jc w:val="center"/>
            </w:pPr>
            <w:r>
              <w:rPr>
                <w:sz w:val="20"/>
              </w:rPr>
              <w:t xml:space="preserve"> </w:t>
            </w:r>
          </w:p>
        </w:tc>
        <w:tc>
          <w:tcPr>
            <w:tcW w:w="1075"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2" w:right="0" w:firstLine="0"/>
              <w:jc w:val="center"/>
            </w:pPr>
            <w:r>
              <w:rPr>
                <w:sz w:val="20"/>
              </w:rPr>
              <w:t xml:space="preserve"> </w:t>
            </w:r>
          </w:p>
        </w:tc>
        <w:tc>
          <w:tcPr>
            <w:tcW w:w="1076" w:type="dxa"/>
            <w:tcBorders>
              <w:top w:val="dashed" w:sz="4" w:space="0" w:color="000000"/>
              <w:left w:val="dashed" w:sz="4" w:space="0" w:color="000000"/>
              <w:bottom w:val="dashed" w:sz="4" w:space="0" w:color="000000"/>
              <w:right w:val="double" w:sz="6" w:space="0" w:color="000000"/>
            </w:tcBorders>
          </w:tcPr>
          <w:p w:rsidR="00E8309B" w:rsidRDefault="009D0949">
            <w:pPr>
              <w:spacing w:after="0" w:line="259" w:lineRule="auto"/>
              <w:ind w:left="0" w:right="2" w:firstLine="0"/>
              <w:jc w:val="center"/>
            </w:pPr>
            <w:r>
              <w:rPr>
                <w:sz w:val="20"/>
              </w:rPr>
              <w:t xml:space="preserve"> </w:t>
            </w:r>
          </w:p>
        </w:tc>
        <w:tc>
          <w:tcPr>
            <w:tcW w:w="0" w:type="auto"/>
            <w:vMerge/>
            <w:tcBorders>
              <w:top w:val="nil"/>
              <w:left w:val="double" w:sz="6" w:space="0" w:color="000000"/>
              <w:bottom w:val="nil"/>
              <w:right w:val="nil"/>
            </w:tcBorders>
          </w:tcPr>
          <w:p w:rsidR="00E8309B" w:rsidRDefault="00E8309B">
            <w:pPr>
              <w:spacing w:after="160" w:line="259" w:lineRule="auto"/>
              <w:ind w:left="0" w:right="0" w:firstLine="0"/>
              <w:jc w:val="left"/>
            </w:pPr>
          </w:p>
        </w:tc>
      </w:tr>
      <w:tr w:rsidR="00E8309B">
        <w:trPr>
          <w:trHeight w:val="266"/>
        </w:trPr>
        <w:tc>
          <w:tcPr>
            <w:tcW w:w="6762" w:type="dxa"/>
            <w:tcBorders>
              <w:top w:val="dashed" w:sz="4" w:space="0" w:color="000000"/>
              <w:left w:val="double" w:sz="6" w:space="0" w:color="000000"/>
              <w:bottom w:val="dashed" w:sz="4" w:space="0" w:color="000000"/>
              <w:right w:val="single" w:sz="4" w:space="0" w:color="000000"/>
            </w:tcBorders>
          </w:tcPr>
          <w:p w:rsidR="00E8309B" w:rsidRDefault="009D0949">
            <w:pPr>
              <w:spacing w:after="0" w:line="259" w:lineRule="auto"/>
              <w:ind w:left="202" w:right="0" w:firstLine="0"/>
              <w:jc w:val="left"/>
            </w:pPr>
            <w:r>
              <w:rPr>
                <w:sz w:val="20"/>
              </w:rPr>
              <w:t xml:space="preserve">- Старосне и превремене пензије </w:t>
            </w:r>
          </w:p>
        </w:tc>
        <w:tc>
          <w:tcPr>
            <w:tcW w:w="1076" w:type="dxa"/>
            <w:tcBorders>
              <w:top w:val="dashed" w:sz="4" w:space="0" w:color="000000"/>
              <w:left w:val="single" w:sz="4" w:space="0" w:color="000000"/>
              <w:bottom w:val="dashed" w:sz="4" w:space="0" w:color="000000"/>
              <w:right w:val="dashed" w:sz="4" w:space="0" w:color="000000"/>
            </w:tcBorders>
          </w:tcPr>
          <w:p w:rsidR="00E8309B" w:rsidRDefault="009D0949">
            <w:pPr>
              <w:spacing w:after="0" w:line="259" w:lineRule="auto"/>
              <w:ind w:left="3" w:right="0" w:firstLine="0"/>
              <w:jc w:val="center"/>
            </w:pPr>
            <w:r>
              <w:rPr>
                <w:sz w:val="20"/>
              </w:rPr>
              <w:t xml:space="preserve"> </w:t>
            </w:r>
          </w:p>
        </w:tc>
        <w:tc>
          <w:tcPr>
            <w:tcW w:w="1075"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2" w:firstLine="0"/>
              <w:jc w:val="center"/>
            </w:pPr>
            <w:r>
              <w:rPr>
                <w:sz w:val="20"/>
              </w:rPr>
              <w:t xml:space="preserve"> </w:t>
            </w:r>
          </w:p>
        </w:tc>
        <w:tc>
          <w:tcPr>
            <w:tcW w:w="1075"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2" w:firstLine="0"/>
              <w:jc w:val="center"/>
            </w:pPr>
            <w:r>
              <w:rPr>
                <w:sz w:val="20"/>
              </w:rPr>
              <w:t xml:space="preserve"> </w:t>
            </w:r>
          </w:p>
        </w:tc>
        <w:tc>
          <w:tcPr>
            <w:tcW w:w="1076"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3" w:right="0" w:firstLine="0"/>
              <w:jc w:val="center"/>
            </w:pPr>
            <w:r>
              <w:rPr>
                <w:sz w:val="20"/>
              </w:rPr>
              <w:t xml:space="preserve"> </w:t>
            </w:r>
          </w:p>
        </w:tc>
        <w:tc>
          <w:tcPr>
            <w:tcW w:w="1075"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2" w:right="0" w:firstLine="0"/>
              <w:jc w:val="center"/>
            </w:pPr>
            <w:r>
              <w:rPr>
                <w:sz w:val="20"/>
              </w:rPr>
              <w:t xml:space="preserve"> </w:t>
            </w:r>
          </w:p>
        </w:tc>
        <w:tc>
          <w:tcPr>
            <w:tcW w:w="1075"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2" w:right="0" w:firstLine="0"/>
              <w:jc w:val="center"/>
            </w:pPr>
            <w:r>
              <w:rPr>
                <w:sz w:val="20"/>
              </w:rPr>
              <w:t xml:space="preserve"> </w:t>
            </w:r>
          </w:p>
        </w:tc>
        <w:tc>
          <w:tcPr>
            <w:tcW w:w="1076" w:type="dxa"/>
            <w:tcBorders>
              <w:top w:val="dashed" w:sz="4" w:space="0" w:color="000000"/>
              <w:left w:val="dashed" w:sz="4" w:space="0" w:color="000000"/>
              <w:bottom w:val="dashed" w:sz="4" w:space="0" w:color="000000"/>
              <w:right w:val="double" w:sz="6" w:space="0" w:color="000000"/>
            </w:tcBorders>
          </w:tcPr>
          <w:p w:rsidR="00E8309B" w:rsidRDefault="009D0949">
            <w:pPr>
              <w:spacing w:after="0" w:line="259" w:lineRule="auto"/>
              <w:ind w:left="0" w:right="2" w:firstLine="0"/>
              <w:jc w:val="center"/>
            </w:pPr>
            <w:r>
              <w:rPr>
                <w:sz w:val="20"/>
              </w:rPr>
              <w:t xml:space="preserve"> </w:t>
            </w:r>
          </w:p>
        </w:tc>
        <w:tc>
          <w:tcPr>
            <w:tcW w:w="0" w:type="auto"/>
            <w:vMerge/>
            <w:tcBorders>
              <w:top w:val="nil"/>
              <w:left w:val="double" w:sz="6" w:space="0" w:color="000000"/>
              <w:bottom w:val="nil"/>
              <w:right w:val="nil"/>
            </w:tcBorders>
          </w:tcPr>
          <w:p w:rsidR="00E8309B" w:rsidRDefault="00E8309B">
            <w:pPr>
              <w:spacing w:after="160" w:line="259" w:lineRule="auto"/>
              <w:ind w:left="0" w:right="0" w:firstLine="0"/>
              <w:jc w:val="left"/>
            </w:pPr>
          </w:p>
        </w:tc>
      </w:tr>
      <w:tr w:rsidR="00E8309B">
        <w:trPr>
          <w:trHeight w:val="265"/>
        </w:trPr>
        <w:tc>
          <w:tcPr>
            <w:tcW w:w="6762" w:type="dxa"/>
            <w:tcBorders>
              <w:top w:val="dashed" w:sz="4" w:space="0" w:color="000000"/>
              <w:left w:val="double" w:sz="6" w:space="0" w:color="000000"/>
              <w:bottom w:val="dashed" w:sz="4" w:space="0" w:color="000000"/>
              <w:right w:val="single" w:sz="4" w:space="0" w:color="000000"/>
            </w:tcBorders>
          </w:tcPr>
          <w:p w:rsidR="00E8309B" w:rsidRDefault="009D0949">
            <w:pPr>
              <w:spacing w:after="0" w:line="259" w:lineRule="auto"/>
              <w:ind w:left="202" w:right="0" w:firstLine="0"/>
              <w:jc w:val="left"/>
            </w:pPr>
            <w:r>
              <w:rPr>
                <w:sz w:val="20"/>
              </w:rPr>
              <w:t xml:space="preserve">- Остале пензије (инвалидске, породичне) </w:t>
            </w:r>
          </w:p>
        </w:tc>
        <w:tc>
          <w:tcPr>
            <w:tcW w:w="1076" w:type="dxa"/>
            <w:tcBorders>
              <w:top w:val="dashed" w:sz="4" w:space="0" w:color="000000"/>
              <w:left w:val="single" w:sz="4" w:space="0" w:color="000000"/>
              <w:bottom w:val="dashed" w:sz="4" w:space="0" w:color="000000"/>
              <w:right w:val="dashed" w:sz="4" w:space="0" w:color="000000"/>
            </w:tcBorders>
          </w:tcPr>
          <w:p w:rsidR="00E8309B" w:rsidRDefault="009D0949">
            <w:pPr>
              <w:spacing w:after="0" w:line="259" w:lineRule="auto"/>
              <w:ind w:left="3" w:right="0" w:firstLine="0"/>
              <w:jc w:val="center"/>
            </w:pPr>
            <w:r>
              <w:rPr>
                <w:sz w:val="20"/>
              </w:rPr>
              <w:t xml:space="preserve"> </w:t>
            </w:r>
          </w:p>
        </w:tc>
        <w:tc>
          <w:tcPr>
            <w:tcW w:w="1075"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2" w:firstLine="0"/>
              <w:jc w:val="center"/>
            </w:pPr>
            <w:r>
              <w:rPr>
                <w:sz w:val="20"/>
              </w:rPr>
              <w:t xml:space="preserve"> </w:t>
            </w:r>
          </w:p>
        </w:tc>
        <w:tc>
          <w:tcPr>
            <w:tcW w:w="1075"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2" w:firstLine="0"/>
              <w:jc w:val="center"/>
            </w:pPr>
            <w:r>
              <w:rPr>
                <w:sz w:val="20"/>
              </w:rPr>
              <w:t xml:space="preserve"> </w:t>
            </w:r>
          </w:p>
        </w:tc>
        <w:tc>
          <w:tcPr>
            <w:tcW w:w="1076"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3" w:right="0" w:firstLine="0"/>
              <w:jc w:val="center"/>
            </w:pPr>
            <w:r>
              <w:rPr>
                <w:sz w:val="20"/>
              </w:rPr>
              <w:t xml:space="preserve"> </w:t>
            </w:r>
          </w:p>
        </w:tc>
        <w:tc>
          <w:tcPr>
            <w:tcW w:w="1075"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2" w:right="0" w:firstLine="0"/>
              <w:jc w:val="center"/>
            </w:pPr>
            <w:r>
              <w:rPr>
                <w:sz w:val="20"/>
              </w:rPr>
              <w:t xml:space="preserve"> </w:t>
            </w:r>
          </w:p>
        </w:tc>
        <w:tc>
          <w:tcPr>
            <w:tcW w:w="1075"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2" w:right="0" w:firstLine="0"/>
              <w:jc w:val="center"/>
            </w:pPr>
            <w:r>
              <w:rPr>
                <w:sz w:val="20"/>
              </w:rPr>
              <w:t xml:space="preserve"> </w:t>
            </w:r>
          </w:p>
        </w:tc>
        <w:tc>
          <w:tcPr>
            <w:tcW w:w="1076" w:type="dxa"/>
            <w:tcBorders>
              <w:top w:val="dashed" w:sz="4" w:space="0" w:color="000000"/>
              <w:left w:val="dashed" w:sz="4" w:space="0" w:color="000000"/>
              <w:bottom w:val="dashed" w:sz="4" w:space="0" w:color="000000"/>
              <w:right w:val="double" w:sz="6" w:space="0" w:color="000000"/>
            </w:tcBorders>
          </w:tcPr>
          <w:p w:rsidR="00E8309B" w:rsidRDefault="009D0949">
            <w:pPr>
              <w:spacing w:after="0" w:line="259" w:lineRule="auto"/>
              <w:ind w:left="0" w:right="2" w:firstLine="0"/>
              <w:jc w:val="center"/>
            </w:pPr>
            <w:r>
              <w:rPr>
                <w:sz w:val="20"/>
              </w:rPr>
              <w:t xml:space="preserve"> </w:t>
            </w:r>
          </w:p>
        </w:tc>
        <w:tc>
          <w:tcPr>
            <w:tcW w:w="0" w:type="auto"/>
            <w:vMerge/>
            <w:tcBorders>
              <w:top w:val="nil"/>
              <w:left w:val="double" w:sz="6" w:space="0" w:color="000000"/>
              <w:bottom w:val="nil"/>
              <w:right w:val="nil"/>
            </w:tcBorders>
          </w:tcPr>
          <w:p w:rsidR="00E8309B" w:rsidRDefault="00E8309B">
            <w:pPr>
              <w:spacing w:after="160" w:line="259" w:lineRule="auto"/>
              <w:ind w:left="0" w:right="0" w:firstLine="0"/>
              <w:jc w:val="left"/>
            </w:pPr>
          </w:p>
        </w:tc>
      </w:tr>
      <w:tr w:rsidR="00E8309B">
        <w:trPr>
          <w:trHeight w:val="276"/>
        </w:trPr>
        <w:tc>
          <w:tcPr>
            <w:tcW w:w="6762" w:type="dxa"/>
            <w:tcBorders>
              <w:top w:val="dashed" w:sz="4" w:space="0" w:color="000000"/>
              <w:left w:val="double" w:sz="6" w:space="0" w:color="000000"/>
              <w:bottom w:val="dashed" w:sz="4" w:space="0" w:color="000000"/>
              <w:right w:val="single" w:sz="4" w:space="0" w:color="000000"/>
            </w:tcBorders>
          </w:tcPr>
          <w:p w:rsidR="00E8309B" w:rsidRDefault="009D0949">
            <w:pPr>
              <w:spacing w:after="0" w:line="259" w:lineRule="auto"/>
              <w:ind w:left="202" w:right="0" w:firstLine="0"/>
              <w:jc w:val="left"/>
            </w:pPr>
            <w:r>
              <w:rPr>
                <w:sz w:val="20"/>
              </w:rPr>
              <w:t xml:space="preserve">- Професионалне пензије </w:t>
            </w:r>
            <w:r>
              <w:rPr>
                <w:sz w:val="20"/>
              </w:rPr>
              <w:t xml:space="preserve"> (уколико припадају општем нивоу државе) </w:t>
            </w:r>
          </w:p>
        </w:tc>
        <w:tc>
          <w:tcPr>
            <w:tcW w:w="1076" w:type="dxa"/>
            <w:tcBorders>
              <w:top w:val="dashed" w:sz="4" w:space="0" w:color="000000"/>
              <w:left w:val="single" w:sz="4" w:space="0" w:color="000000"/>
              <w:bottom w:val="dashed" w:sz="4" w:space="0" w:color="000000"/>
              <w:right w:val="dashed" w:sz="4" w:space="0" w:color="000000"/>
            </w:tcBorders>
          </w:tcPr>
          <w:p w:rsidR="00E8309B" w:rsidRDefault="009D0949">
            <w:pPr>
              <w:spacing w:after="0" w:line="259" w:lineRule="auto"/>
              <w:ind w:left="3" w:right="0" w:firstLine="0"/>
              <w:jc w:val="center"/>
            </w:pPr>
            <w:r>
              <w:rPr>
                <w:sz w:val="20"/>
              </w:rPr>
              <w:t xml:space="preserve"> </w:t>
            </w:r>
          </w:p>
        </w:tc>
        <w:tc>
          <w:tcPr>
            <w:tcW w:w="1075"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2" w:firstLine="0"/>
              <w:jc w:val="center"/>
            </w:pPr>
            <w:r>
              <w:rPr>
                <w:sz w:val="20"/>
              </w:rPr>
              <w:t xml:space="preserve"> </w:t>
            </w:r>
          </w:p>
        </w:tc>
        <w:tc>
          <w:tcPr>
            <w:tcW w:w="1075"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2" w:firstLine="0"/>
              <w:jc w:val="center"/>
            </w:pPr>
            <w:r>
              <w:rPr>
                <w:sz w:val="20"/>
              </w:rPr>
              <w:t xml:space="preserve"> </w:t>
            </w:r>
          </w:p>
        </w:tc>
        <w:tc>
          <w:tcPr>
            <w:tcW w:w="1076"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3" w:right="0" w:firstLine="0"/>
              <w:jc w:val="center"/>
            </w:pPr>
            <w:r>
              <w:rPr>
                <w:sz w:val="20"/>
              </w:rPr>
              <w:t xml:space="preserve"> </w:t>
            </w:r>
          </w:p>
        </w:tc>
        <w:tc>
          <w:tcPr>
            <w:tcW w:w="1075"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2" w:right="0" w:firstLine="0"/>
              <w:jc w:val="center"/>
            </w:pPr>
            <w:r>
              <w:rPr>
                <w:sz w:val="20"/>
              </w:rPr>
              <w:t xml:space="preserve"> </w:t>
            </w:r>
          </w:p>
        </w:tc>
        <w:tc>
          <w:tcPr>
            <w:tcW w:w="1075"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2" w:right="0" w:firstLine="0"/>
              <w:jc w:val="center"/>
            </w:pPr>
            <w:r>
              <w:rPr>
                <w:sz w:val="20"/>
              </w:rPr>
              <w:t xml:space="preserve"> </w:t>
            </w:r>
          </w:p>
        </w:tc>
        <w:tc>
          <w:tcPr>
            <w:tcW w:w="1076" w:type="dxa"/>
            <w:tcBorders>
              <w:top w:val="dashed" w:sz="4" w:space="0" w:color="000000"/>
              <w:left w:val="dashed" w:sz="4" w:space="0" w:color="000000"/>
              <w:bottom w:val="dashed" w:sz="4" w:space="0" w:color="000000"/>
              <w:right w:val="double" w:sz="6" w:space="0" w:color="000000"/>
            </w:tcBorders>
          </w:tcPr>
          <w:p w:rsidR="00E8309B" w:rsidRDefault="009D0949">
            <w:pPr>
              <w:spacing w:after="0" w:line="259" w:lineRule="auto"/>
              <w:ind w:left="0" w:right="2" w:firstLine="0"/>
              <w:jc w:val="center"/>
            </w:pPr>
            <w:r>
              <w:rPr>
                <w:sz w:val="20"/>
              </w:rPr>
              <w:t xml:space="preserve"> </w:t>
            </w:r>
          </w:p>
        </w:tc>
        <w:tc>
          <w:tcPr>
            <w:tcW w:w="0" w:type="auto"/>
            <w:vMerge/>
            <w:tcBorders>
              <w:top w:val="nil"/>
              <w:left w:val="double" w:sz="6" w:space="0" w:color="000000"/>
              <w:bottom w:val="nil"/>
              <w:right w:val="nil"/>
            </w:tcBorders>
          </w:tcPr>
          <w:p w:rsidR="00E8309B" w:rsidRDefault="00E8309B">
            <w:pPr>
              <w:spacing w:after="160" w:line="259" w:lineRule="auto"/>
              <w:ind w:left="0" w:right="0" w:firstLine="0"/>
              <w:jc w:val="left"/>
            </w:pPr>
          </w:p>
        </w:tc>
      </w:tr>
      <w:tr w:rsidR="00E8309B">
        <w:trPr>
          <w:trHeight w:val="264"/>
        </w:trPr>
        <w:tc>
          <w:tcPr>
            <w:tcW w:w="6762" w:type="dxa"/>
            <w:tcBorders>
              <w:top w:val="dashed" w:sz="4" w:space="0" w:color="000000"/>
              <w:left w:val="double" w:sz="6" w:space="0" w:color="000000"/>
              <w:bottom w:val="dashed" w:sz="4" w:space="0" w:color="000000"/>
              <w:right w:val="single" w:sz="4" w:space="0" w:color="000000"/>
            </w:tcBorders>
          </w:tcPr>
          <w:p w:rsidR="00E8309B" w:rsidRDefault="009D0949">
            <w:pPr>
              <w:spacing w:after="0" w:line="259" w:lineRule="auto"/>
              <w:ind w:left="202" w:right="0" w:firstLine="0"/>
              <w:jc w:val="left"/>
            </w:pPr>
            <w:r>
              <w:rPr>
                <w:sz w:val="20"/>
              </w:rPr>
              <w:t xml:space="preserve">- Здравство </w:t>
            </w:r>
          </w:p>
        </w:tc>
        <w:tc>
          <w:tcPr>
            <w:tcW w:w="1076" w:type="dxa"/>
            <w:tcBorders>
              <w:top w:val="dashed" w:sz="4" w:space="0" w:color="000000"/>
              <w:left w:val="single" w:sz="4" w:space="0" w:color="000000"/>
              <w:bottom w:val="dashed" w:sz="4" w:space="0" w:color="000000"/>
              <w:right w:val="dashed" w:sz="4" w:space="0" w:color="000000"/>
            </w:tcBorders>
          </w:tcPr>
          <w:p w:rsidR="00E8309B" w:rsidRDefault="009D0949">
            <w:pPr>
              <w:spacing w:after="0" w:line="259" w:lineRule="auto"/>
              <w:ind w:left="3" w:right="0" w:firstLine="0"/>
              <w:jc w:val="center"/>
            </w:pPr>
            <w:r>
              <w:rPr>
                <w:sz w:val="20"/>
              </w:rPr>
              <w:t xml:space="preserve"> </w:t>
            </w:r>
          </w:p>
        </w:tc>
        <w:tc>
          <w:tcPr>
            <w:tcW w:w="1075"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2" w:firstLine="0"/>
              <w:jc w:val="center"/>
            </w:pPr>
            <w:r>
              <w:rPr>
                <w:sz w:val="20"/>
              </w:rPr>
              <w:t xml:space="preserve"> </w:t>
            </w:r>
          </w:p>
        </w:tc>
        <w:tc>
          <w:tcPr>
            <w:tcW w:w="1075"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2" w:firstLine="0"/>
              <w:jc w:val="center"/>
            </w:pPr>
            <w:r>
              <w:rPr>
                <w:sz w:val="20"/>
              </w:rPr>
              <w:t xml:space="preserve"> </w:t>
            </w:r>
          </w:p>
        </w:tc>
        <w:tc>
          <w:tcPr>
            <w:tcW w:w="1076"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3" w:right="0" w:firstLine="0"/>
              <w:jc w:val="center"/>
            </w:pPr>
            <w:r>
              <w:rPr>
                <w:sz w:val="20"/>
              </w:rPr>
              <w:t xml:space="preserve"> </w:t>
            </w:r>
          </w:p>
        </w:tc>
        <w:tc>
          <w:tcPr>
            <w:tcW w:w="1075"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2" w:right="0" w:firstLine="0"/>
              <w:jc w:val="center"/>
            </w:pPr>
            <w:r>
              <w:rPr>
                <w:sz w:val="20"/>
              </w:rPr>
              <w:t xml:space="preserve"> </w:t>
            </w:r>
          </w:p>
        </w:tc>
        <w:tc>
          <w:tcPr>
            <w:tcW w:w="1075"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2" w:right="0" w:firstLine="0"/>
              <w:jc w:val="center"/>
            </w:pPr>
            <w:r>
              <w:rPr>
                <w:sz w:val="20"/>
              </w:rPr>
              <w:t xml:space="preserve"> </w:t>
            </w:r>
          </w:p>
        </w:tc>
        <w:tc>
          <w:tcPr>
            <w:tcW w:w="1076" w:type="dxa"/>
            <w:tcBorders>
              <w:top w:val="dashed" w:sz="4" w:space="0" w:color="000000"/>
              <w:left w:val="dashed" w:sz="4" w:space="0" w:color="000000"/>
              <w:bottom w:val="dashed" w:sz="4" w:space="0" w:color="000000"/>
              <w:right w:val="double" w:sz="6" w:space="0" w:color="000000"/>
            </w:tcBorders>
          </w:tcPr>
          <w:p w:rsidR="00E8309B" w:rsidRDefault="009D0949">
            <w:pPr>
              <w:spacing w:after="0" w:line="259" w:lineRule="auto"/>
              <w:ind w:left="0" w:right="2" w:firstLine="0"/>
              <w:jc w:val="center"/>
            </w:pPr>
            <w:r>
              <w:rPr>
                <w:sz w:val="20"/>
              </w:rPr>
              <w:t xml:space="preserve"> </w:t>
            </w:r>
          </w:p>
        </w:tc>
        <w:tc>
          <w:tcPr>
            <w:tcW w:w="0" w:type="auto"/>
            <w:vMerge/>
            <w:tcBorders>
              <w:top w:val="nil"/>
              <w:left w:val="double" w:sz="6" w:space="0" w:color="000000"/>
              <w:bottom w:val="nil"/>
              <w:right w:val="nil"/>
            </w:tcBorders>
          </w:tcPr>
          <w:p w:rsidR="00E8309B" w:rsidRDefault="00E8309B">
            <w:pPr>
              <w:spacing w:after="160" w:line="259" w:lineRule="auto"/>
              <w:ind w:left="0" w:right="0" w:firstLine="0"/>
              <w:jc w:val="left"/>
            </w:pPr>
          </w:p>
        </w:tc>
      </w:tr>
      <w:tr w:rsidR="00E8309B">
        <w:trPr>
          <w:trHeight w:val="266"/>
        </w:trPr>
        <w:tc>
          <w:tcPr>
            <w:tcW w:w="6762" w:type="dxa"/>
            <w:tcBorders>
              <w:top w:val="dashed" w:sz="4" w:space="0" w:color="000000"/>
              <w:left w:val="double" w:sz="6" w:space="0" w:color="000000"/>
              <w:bottom w:val="dashed" w:sz="4" w:space="0" w:color="000000"/>
              <w:right w:val="single" w:sz="4" w:space="0" w:color="000000"/>
            </w:tcBorders>
          </w:tcPr>
          <w:p w:rsidR="00E8309B" w:rsidRDefault="009D0949">
            <w:pPr>
              <w:spacing w:after="0" w:line="259" w:lineRule="auto"/>
              <w:ind w:left="202" w:right="0" w:firstLine="0"/>
              <w:jc w:val="left"/>
            </w:pPr>
            <w:r>
              <w:rPr>
                <w:sz w:val="20"/>
              </w:rPr>
              <w:t xml:space="preserve">- Дуготрајна нега (раније је била укључена у здравство) </w:t>
            </w:r>
          </w:p>
        </w:tc>
        <w:tc>
          <w:tcPr>
            <w:tcW w:w="1076" w:type="dxa"/>
            <w:tcBorders>
              <w:top w:val="dashed" w:sz="4" w:space="0" w:color="000000"/>
              <w:left w:val="single" w:sz="4" w:space="0" w:color="000000"/>
              <w:bottom w:val="dashed" w:sz="4" w:space="0" w:color="000000"/>
              <w:right w:val="dashed" w:sz="4" w:space="0" w:color="000000"/>
            </w:tcBorders>
          </w:tcPr>
          <w:p w:rsidR="00E8309B" w:rsidRDefault="009D0949">
            <w:pPr>
              <w:spacing w:after="0" w:line="259" w:lineRule="auto"/>
              <w:ind w:left="3" w:right="0" w:firstLine="0"/>
              <w:jc w:val="center"/>
            </w:pPr>
            <w:r>
              <w:rPr>
                <w:sz w:val="20"/>
              </w:rPr>
              <w:t xml:space="preserve"> </w:t>
            </w:r>
          </w:p>
        </w:tc>
        <w:tc>
          <w:tcPr>
            <w:tcW w:w="1075"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2" w:firstLine="0"/>
              <w:jc w:val="center"/>
            </w:pPr>
            <w:r>
              <w:rPr>
                <w:sz w:val="20"/>
              </w:rPr>
              <w:t xml:space="preserve"> </w:t>
            </w:r>
          </w:p>
        </w:tc>
        <w:tc>
          <w:tcPr>
            <w:tcW w:w="1075"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2" w:firstLine="0"/>
              <w:jc w:val="center"/>
            </w:pPr>
            <w:r>
              <w:rPr>
                <w:sz w:val="20"/>
              </w:rPr>
              <w:t xml:space="preserve"> </w:t>
            </w:r>
          </w:p>
        </w:tc>
        <w:tc>
          <w:tcPr>
            <w:tcW w:w="1076"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3" w:right="0" w:firstLine="0"/>
              <w:jc w:val="center"/>
            </w:pPr>
            <w:r>
              <w:rPr>
                <w:sz w:val="20"/>
              </w:rPr>
              <w:t xml:space="preserve"> </w:t>
            </w:r>
          </w:p>
        </w:tc>
        <w:tc>
          <w:tcPr>
            <w:tcW w:w="1075"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2" w:right="0" w:firstLine="0"/>
              <w:jc w:val="center"/>
            </w:pPr>
            <w:r>
              <w:rPr>
                <w:sz w:val="20"/>
              </w:rPr>
              <w:t xml:space="preserve"> </w:t>
            </w:r>
          </w:p>
        </w:tc>
        <w:tc>
          <w:tcPr>
            <w:tcW w:w="1075"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2" w:right="0" w:firstLine="0"/>
              <w:jc w:val="center"/>
            </w:pPr>
            <w:r>
              <w:rPr>
                <w:sz w:val="20"/>
              </w:rPr>
              <w:t xml:space="preserve"> </w:t>
            </w:r>
          </w:p>
        </w:tc>
        <w:tc>
          <w:tcPr>
            <w:tcW w:w="1076" w:type="dxa"/>
            <w:tcBorders>
              <w:top w:val="dashed" w:sz="4" w:space="0" w:color="000000"/>
              <w:left w:val="dashed" w:sz="4" w:space="0" w:color="000000"/>
              <w:bottom w:val="dashed" w:sz="4" w:space="0" w:color="000000"/>
              <w:right w:val="double" w:sz="6" w:space="0" w:color="000000"/>
            </w:tcBorders>
          </w:tcPr>
          <w:p w:rsidR="00E8309B" w:rsidRDefault="009D0949">
            <w:pPr>
              <w:spacing w:after="0" w:line="259" w:lineRule="auto"/>
              <w:ind w:left="0" w:right="2" w:firstLine="0"/>
              <w:jc w:val="center"/>
            </w:pPr>
            <w:r>
              <w:rPr>
                <w:sz w:val="20"/>
              </w:rPr>
              <w:t xml:space="preserve"> </w:t>
            </w:r>
          </w:p>
        </w:tc>
        <w:tc>
          <w:tcPr>
            <w:tcW w:w="0" w:type="auto"/>
            <w:vMerge/>
            <w:tcBorders>
              <w:top w:val="nil"/>
              <w:left w:val="double" w:sz="6" w:space="0" w:color="000000"/>
              <w:bottom w:val="nil"/>
              <w:right w:val="nil"/>
            </w:tcBorders>
          </w:tcPr>
          <w:p w:rsidR="00E8309B" w:rsidRDefault="00E8309B">
            <w:pPr>
              <w:spacing w:after="160" w:line="259" w:lineRule="auto"/>
              <w:ind w:left="0" w:right="0" w:firstLine="0"/>
              <w:jc w:val="left"/>
            </w:pPr>
          </w:p>
        </w:tc>
      </w:tr>
      <w:tr w:rsidR="00E8309B">
        <w:trPr>
          <w:trHeight w:val="264"/>
        </w:trPr>
        <w:tc>
          <w:tcPr>
            <w:tcW w:w="6762" w:type="dxa"/>
            <w:tcBorders>
              <w:top w:val="dashed" w:sz="4" w:space="0" w:color="000000"/>
              <w:left w:val="double" w:sz="6" w:space="0" w:color="000000"/>
              <w:bottom w:val="dashed" w:sz="4" w:space="0" w:color="000000"/>
              <w:right w:val="single" w:sz="4" w:space="0" w:color="000000"/>
            </w:tcBorders>
          </w:tcPr>
          <w:p w:rsidR="00E8309B" w:rsidRDefault="009D0949">
            <w:pPr>
              <w:spacing w:after="0" w:line="259" w:lineRule="auto"/>
              <w:ind w:left="2" w:right="0" w:firstLine="0"/>
              <w:jc w:val="left"/>
            </w:pPr>
            <w:r>
              <w:rPr>
                <w:sz w:val="20"/>
              </w:rPr>
              <w:t xml:space="preserve">Расходи за образовање </w:t>
            </w:r>
          </w:p>
        </w:tc>
        <w:tc>
          <w:tcPr>
            <w:tcW w:w="1076" w:type="dxa"/>
            <w:tcBorders>
              <w:top w:val="dashed" w:sz="4" w:space="0" w:color="000000"/>
              <w:left w:val="single" w:sz="4" w:space="0" w:color="000000"/>
              <w:bottom w:val="dashed" w:sz="4" w:space="0" w:color="000000"/>
              <w:right w:val="dashed" w:sz="4" w:space="0" w:color="000000"/>
            </w:tcBorders>
          </w:tcPr>
          <w:p w:rsidR="00E8309B" w:rsidRDefault="009D0949">
            <w:pPr>
              <w:spacing w:after="0" w:line="259" w:lineRule="auto"/>
              <w:ind w:left="3" w:right="0" w:firstLine="0"/>
              <w:jc w:val="center"/>
            </w:pPr>
            <w:r>
              <w:rPr>
                <w:sz w:val="20"/>
              </w:rPr>
              <w:t xml:space="preserve"> </w:t>
            </w:r>
          </w:p>
        </w:tc>
        <w:tc>
          <w:tcPr>
            <w:tcW w:w="1075"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2" w:firstLine="0"/>
              <w:jc w:val="center"/>
            </w:pPr>
            <w:r>
              <w:rPr>
                <w:sz w:val="20"/>
              </w:rPr>
              <w:t xml:space="preserve"> </w:t>
            </w:r>
          </w:p>
        </w:tc>
        <w:tc>
          <w:tcPr>
            <w:tcW w:w="1075"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2" w:firstLine="0"/>
              <w:jc w:val="center"/>
            </w:pPr>
            <w:r>
              <w:rPr>
                <w:sz w:val="20"/>
              </w:rPr>
              <w:t xml:space="preserve"> </w:t>
            </w:r>
          </w:p>
        </w:tc>
        <w:tc>
          <w:tcPr>
            <w:tcW w:w="1076"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3" w:right="0" w:firstLine="0"/>
              <w:jc w:val="center"/>
            </w:pPr>
            <w:r>
              <w:rPr>
                <w:sz w:val="20"/>
              </w:rPr>
              <w:t xml:space="preserve"> </w:t>
            </w:r>
          </w:p>
        </w:tc>
        <w:tc>
          <w:tcPr>
            <w:tcW w:w="1075"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2" w:right="0" w:firstLine="0"/>
              <w:jc w:val="center"/>
            </w:pPr>
            <w:r>
              <w:rPr>
                <w:sz w:val="20"/>
              </w:rPr>
              <w:t xml:space="preserve"> </w:t>
            </w:r>
          </w:p>
        </w:tc>
        <w:tc>
          <w:tcPr>
            <w:tcW w:w="1075"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2" w:right="0" w:firstLine="0"/>
              <w:jc w:val="center"/>
            </w:pPr>
            <w:r>
              <w:rPr>
                <w:sz w:val="20"/>
              </w:rPr>
              <w:t xml:space="preserve"> </w:t>
            </w:r>
          </w:p>
        </w:tc>
        <w:tc>
          <w:tcPr>
            <w:tcW w:w="1076" w:type="dxa"/>
            <w:tcBorders>
              <w:top w:val="dashed" w:sz="4" w:space="0" w:color="000000"/>
              <w:left w:val="dashed" w:sz="4" w:space="0" w:color="000000"/>
              <w:bottom w:val="dashed" w:sz="4" w:space="0" w:color="000000"/>
              <w:right w:val="double" w:sz="6" w:space="0" w:color="000000"/>
            </w:tcBorders>
          </w:tcPr>
          <w:p w:rsidR="00E8309B" w:rsidRDefault="009D0949">
            <w:pPr>
              <w:spacing w:after="0" w:line="259" w:lineRule="auto"/>
              <w:ind w:left="0" w:right="2" w:firstLine="0"/>
              <w:jc w:val="center"/>
            </w:pPr>
            <w:r>
              <w:rPr>
                <w:sz w:val="20"/>
              </w:rPr>
              <w:t xml:space="preserve"> </w:t>
            </w:r>
          </w:p>
        </w:tc>
        <w:tc>
          <w:tcPr>
            <w:tcW w:w="0" w:type="auto"/>
            <w:vMerge/>
            <w:tcBorders>
              <w:top w:val="nil"/>
              <w:left w:val="double" w:sz="6" w:space="0" w:color="000000"/>
              <w:bottom w:val="nil"/>
              <w:right w:val="nil"/>
            </w:tcBorders>
          </w:tcPr>
          <w:p w:rsidR="00E8309B" w:rsidRDefault="00E8309B">
            <w:pPr>
              <w:spacing w:after="160" w:line="259" w:lineRule="auto"/>
              <w:ind w:left="0" w:right="0" w:firstLine="0"/>
              <w:jc w:val="left"/>
            </w:pPr>
          </w:p>
        </w:tc>
      </w:tr>
      <w:tr w:rsidR="00E8309B">
        <w:trPr>
          <w:trHeight w:val="264"/>
        </w:trPr>
        <w:tc>
          <w:tcPr>
            <w:tcW w:w="6762" w:type="dxa"/>
            <w:tcBorders>
              <w:top w:val="dashed" w:sz="4" w:space="0" w:color="000000"/>
              <w:left w:val="double" w:sz="6" w:space="0" w:color="000000"/>
              <w:bottom w:val="dashed" w:sz="4" w:space="0" w:color="000000"/>
              <w:right w:val="single" w:sz="4" w:space="0" w:color="000000"/>
            </w:tcBorders>
          </w:tcPr>
          <w:p w:rsidR="00E8309B" w:rsidRDefault="009D0949">
            <w:pPr>
              <w:spacing w:after="0" w:line="259" w:lineRule="auto"/>
              <w:ind w:left="2" w:right="0" w:firstLine="0"/>
              <w:jc w:val="left"/>
            </w:pPr>
            <w:r>
              <w:rPr>
                <w:sz w:val="20"/>
              </w:rPr>
              <w:t xml:space="preserve">Остали расходи везани за године живота </w:t>
            </w:r>
          </w:p>
        </w:tc>
        <w:tc>
          <w:tcPr>
            <w:tcW w:w="1076" w:type="dxa"/>
            <w:tcBorders>
              <w:top w:val="dashed" w:sz="4" w:space="0" w:color="000000"/>
              <w:left w:val="single" w:sz="4" w:space="0" w:color="000000"/>
              <w:bottom w:val="dashed" w:sz="4" w:space="0" w:color="000000"/>
              <w:right w:val="dashed" w:sz="4" w:space="0" w:color="000000"/>
            </w:tcBorders>
          </w:tcPr>
          <w:p w:rsidR="00E8309B" w:rsidRDefault="009D0949">
            <w:pPr>
              <w:spacing w:after="0" w:line="259" w:lineRule="auto"/>
              <w:ind w:left="3" w:right="0" w:firstLine="0"/>
              <w:jc w:val="center"/>
            </w:pPr>
            <w:r>
              <w:rPr>
                <w:sz w:val="20"/>
              </w:rPr>
              <w:t xml:space="preserve"> </w:t>
            </w:r>
          </w:p>
        </w:tc>
        <w:tc>
          <w:tcPr>
            <w:tcW w:w="1075"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2" w:firstLine="0"/>
              <w:jc w:val="center"/>
            </w:pPr>
            <w:r>
              <w:rPr>
                <w:sz w:val="20"/>
              </w:rPr>
              <w:t xml:space="preserve"> </w:t>
            </w:r>
          </w:p>
        </w:tc>
        <w:tc>
          <w:tcPr>
            <w:tcW w:w="1075"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2" w:firstLine="0"/>
              <w:jc w:val="center"/>
            </w:pPr>
            <w:r>
              <w:rPr>
                <w:sz w:val="20"/>
              </w:rPr>
              <w:t xml:space="preserve"> </w:t>
            </w:r>
          </w:p>
        </w:tc>
        <w:tc>
          <w:tcPr>
            <w:tcW w:w="1076"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3" w:right="0" w:firstLine="0"/>
              <w:jc w:val="center"/>
            </w:pPr>
            <w:r>
              <w:rPr>
                <w:sz w:val="20"/>
              </w:rPr>
              <w:t xml:space="preserve"> </w:t>
            </w:r>
          </w:p>
        </w:tc>
        <w:tc>
          <w:tcPr>
            <w:tcW w:w="1075"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2" w:right="0" w:firstLine="0"/>
              <w:jc w:val="center"/>
            </w:pPr>
            <w:r>
              <w:rPr>
                <w:sz w:val="20"/>
              </w:rPr>
              <w:t xml:space="preserve"> </w:t>
            </w:r>
          </w:p>
        </w:tc>
        <w:tc>
          <w:tcPr>
            <w:tcW w:w="1075"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2" w:right="0" w:firstLine="0"/>
              <w:jc w:val="center"/>
            </w:pPr>
            <w:r>
              <w:rPr>
                <w:sz w:val="20"/>
              </w:rPr>
              <w:t xml:space="preserve"> </w:t>
            </w:r>
          </w:p>
        </w:tc>
        <w:tc>
          <w:tcPr>
            <w:tcW w:w="1076" w:type="dxa"/>
            <w:tcBorders>
              <w:top w:val="dashed" w:sz="4" w:space="0" w:color="000000"/>
              <w:left w:val="dashed" w:sz="4" w:space="0" w:color="000000"/>
              <w:bottom w:val="dashed" w:sz="4" w:space="0" w:color="000000"/>
              <w:right w:val="double" w:sz="6" w:space="0" w:color="000000"/>
            </w:tcBorders>
          </w:tcPr>
          <w:p w:rsidR="00E8309B" w:rsidRDefault="009D0949">
            <w:pPr>
              <w:spacing w:after="0" w:line="259" w:lineRule="auto"/>
              <w:ind w:left="0" w:right="2" w:firstLine="0"/>
              <w:jc w:val="center"/>
            </w:pPr>
            <w:r>
              <w:rPr>
                <w:sz w:val="20"/>
              </w:rPr>
              <w:t xml:space="preserve"> </w:t>
            </w:r>
          </w:p>
        </w:tc>
        <w:tc>
          <w:tcPr>
            <w:tcW w:w="0" w:type="auto"/>
            <w:vMerge/>
            <w:tcBorders>
              <w:top w:val="nil"/>
              <w:left w:val="double" w:sz="6" w:space="0" w:color="000000"/>
              <w:bottom w:val="nil"/>
              <w:right w:val="nil"/>
            </w:tcBorders>
          </w:tcPr>
          <w:p w:rsidR="00E8309B" w:rsidRDefault="00E8309B">
            <w:pPr>
              <w:spacing w:after="160" w:line="259" w:lineRule="auto"/>
              <w:ind w:left="0" w:right="0" w:firstLine="0"/>
              <w:jc w:val="left"/>
            </w:pPr>
          </w:p>
        </w:tc>
      </w:tr>
      <w:tr w:rsidR="00E8309B">
        <w:trPr>
          <w:trHeight w:val="266"/>
        </w:trPr>
        <w:tc>
          <w:tcPr>
            <w:tcW w:w="6762" w:type="dxa"/>
            <w:tcBorders>
              <w:top w:val="dashed" w:sz="4" w:space="0" w:color="000000"/>
              <w:left w:val="double" w:sz="6" w:space="0" w:color="000000"/>
              <w:bottom w:val="dashed" w:sz="4" w:space="0" w:color="000000"/>
              <w:right w:val="single" w:sz="4" w:space="0" w:color="000000"/>
            </w:tcBorders>
          </w:tcPr>
          <w:p w:rsidR="00E8309B" w:rsidRDefault="009D0949">
            <w:pPr>
              <w:spacing w:after="0" w:line="259" w:lineRule="auto"/>
              <w:ind w:left="2" w:right="0" w:firstLine="0"/>
              <w:jc w:val="left"/>
            </w:pPr>
            <w:r>
              <w:rPr>
                <w:sz w:val="20"/>
              </w:rPr>
              <w:t xml:space="preserve">Расходи за камате </w:t>
            </w:r>
          </w:p>
        </w:tc>
        <w:tc>
          <w:tcPr>
            <w:tcW w:w="1076" w:type="dxa"/>
            <w:tcBorders>
              <w:top w:val="dashed" w:sz="4" w:space="0" w:color="000000"/>
              <w:left w:val="single" w:sz="4" w:space="0" w:color="000000"/>
              <w:bottom w:val="dashed" w:sz="4" w:space="0" w:color="000000"/>
              <w:right w:val="dashed" w:sz="4" w:space="0" w:color="000000"/>
            </w:tcBorders>
          </w:tcPr>
          <w:p w:rsidR="00E8309B" w:rsidRDefault="009D0949">
            <w:pPr>
              <w:spacing w:after="0" w:line="259" w:lineRule="auto"/>
              <w:ind w:left="3" w:right="0" w:firstLine="0"/>
              <w:jc w:val="center"/>
            </w:pPr>
            <w:r>
              <w:rPr>
                <w:sz w:val="20"/>
              </w:rPr>
              <w:t xml:space="preserve"> </w:t>
            </w:r>
          </w:p>
        </w:tc>
        <w:tc>
          <w:tcPr>
            <w:tcW w:w="1075"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2" w:firstLine="0"/>
              <w:jc w:val="center"/>
            </w:pPr>
            <w:r>
              <w:rPr>
                <w:sz w:val="20"/>
              </w:rPr>
              <w:t xml:space="preserve"> </w:t>
            </w:r>
          </w:p>
        </w:tc>
        <w:tc>
          <w:tcPr>
            <w:tcW w:w="1075"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2" w:firstLine="0"/>
              <w:jc w:val="center"/>
            </w:pPr>
            <w:r>
              <w:rPr>
                <w:sz w:val="20"/>
              </w:rPr>
              <w:t xml:space="preserve"> </w:t>
            </w:r>
          </w:p>
        </w:tc>
        <w:tc>
          <w:tcPr>
            <w:tcW w:w="1076"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3" w:right="0" w:firstLine="0"/>
              <w:jc w:val="center"/>
            </w:pPr>
            <w:r>
              <w:rPr>
                <w:sz w:val="20"/>
              </w:rPr>
              <w:t xml:space="preserve"> </w:t>
            </w:r>
          </w:p>
        </w:tc>
        <w:tc>
          <w:tcPr>
            <w:tcW w:w="1075"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2" w:right="0" w:firstLine="0"/>
              <w:jc w:val="center"/>
            </w:pPr>
            <w:r>
              <w:rPr>
                <w:sz w:val="20"/>
              </w:rPr>
              <w:t xml:space="preserve"> </w:t>
            </w:r>
          </w:p>
        </w:tc>
        <w:tc>
          <w:tcPr>
            <w:tcW w:w="1075"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2" w:right="0" w:firstLine="0"/>
              <w:jc w:val="center"/>
            </w:pPr>
            <w:r>
              <w:rPr>
                <w:sz w:val="20"/>
              </w:rPr>
              <w:t xml:space="preserve"> </w:t>
            </w:r>
          </w:p>
        </w:tc>
        <w:tc>
          <w:tcPr>
            <w:tcW w:w="1076" w:type="dxa"/>
            <w:tcBorders>
              <w:top w:val="dashed" w:sz="4" w:space="0" w:color="000000"/>
              <w:left w:val="dashed" w:sz="4" w:space="0" w:color="000000"/>
              <w:bottom w:val="dashed" w:sz="4" w:space="0" w:color="000000"/>
              <w:right w:val="double" w:sz="6" w:space="0" w:color="000000"/>
            </w:tcBorders>
          </w:tcPr>
          <w:p w:rsidR="00E8309B" w:rsidRDefault="009D0949">
            <w:pPr>
              <w:spacing w:after="0" w:line="259" w:lineRule="auto"/>
              <w:ind w:left="0" w:right="2" w:firstLine="0"/>
              <w:jc w:val="center"/>
            </w:pPr>
            <w:r>
              <w:rPr>
                <w:sz w:val="20"/>
              </w:rPr>
              <w:t xml:space="preserve"> </w:t>
            </w:r>
          </w:p>
        </w:tc>
        <w:tc>
          <w:tcPr>
            <w:tcW w:w="0" w:type="auto"/>
            <w:vMerge/>
            <w:tcBorders>
              <w:top w:val="nil"/>
              <w:left w:val="double" w:sz="6" w:space="0" w:color="000000"/>
              <w:bottom w:val="nil"/>
              <w:right w:val="nil"/>
            </w:tcBorders>
          </w:tcPr>
          <w:p w:rsidR="00E8309B" w:rsidRDefault="00E8309B">
            <w:pPr>
              <w:spacing w:after="160" w:line="259" w:lineRule="auto"/>
              <w:ind w:left="0" w:right="0" w:firstLine="0"/>
              <w:jc w:val="left"/>
            </w:pPr>
          </w:p>
        </w:tc>
      </w:tr>
      <w:tr w:rsidR="00E8309B">
        <w:trPr>
          <w:trHeight w:val="264"/>
        </w:trPr>
        <w:tc>
          <w:tcPr>
            <w:tcW w:w="6762" w:type="dxa"/>
            <w:tcBorders>
              <w:top w:val="dashed" w:sz="4" w:space="0" w:color="000000"/>
              <w:left w:val="double" w:sz="6" w:space="0" w:color="000000"/>
              <w:bottom w:val="dashed" w:sz="4" w:space="0" w:color="000000"/>
              <w:right w:val="single" w:sz="4" w:space="0" w:color="000000"/>
            </w:tcBorders>
          </w:tcPr>
          <w:p w:rsidR="00E8309B" w:rsidRDefault="009D0949">
            <w:pPr>
              <w:spacing w:after="0" w:line="259" w:lineRule="auto"/>
              <w:ind w:left="2" w:right="0" w:firstLine="0"/>
              <w:jc w:val="left"/>
            </w:pPr>
            <w:r>
              <w:rPr>
                <w:sz w:val="20"/>
              </w:rPr>
              <w:t xml:space="preserve">Укупни приходи </w:t>
            </w:r>
          </w:p>
        </w:tc>
        <w:tc>
          <w:tcPr>
            <w:tcW w:w="1076" w:type="dxa"/>
            <w:tcBorders>
              <w:top w:val="dashed" w:sz="4" w:space="0" w:color="000000"/>
              <w:left w:val="single" w:sz="4" w:space="0" w:color="000000"/>
              <w:bottom w:val="dashed" w:sz="4" w:space="0" w:color="000000"/>
              <w:right w:val="dashed" w:sz="4" w:space="0" w:color="000000"/>
            </w:tcBorders>
          </w:tcPr>
          <w:p w:rsidR="00E8309B" w:rsidRDefault="009D0949">
            <w:pPr>
              <w:spacing w:after="0" w:line="259" w:lineRule="auto"/>
              <w:ind w:left="3" w:right="0" w:firstLine="0"/>
              <w:jc w:val="center"/>
            </w:pPr>
            <w:r>
              <w:rPr>
                <w:sz w:val="20"/>
              </w:rPr>
              <w:t xml:space="preserve"> </w:t>
            </w:r>
          </w:p>
        </w:tc>
        <w:tc>
          <w:tcPr>
            <w:tcW w:w="1075"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2" w:firstLine="0"/>
              <w:jc w:val="center"/>
            </w:pPr>
            <w:r>
              <w:rPr>
                <w:sz w:val="20"/>
              </w:rPr>
              <w:t xml:space="preserve"> </w:t>
            </w:r>
          </w:p>
        </w:tc>
        <w:tc>
          <w:tcPr>
            <w:tcW w:w="1075"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2" w:firstLine="0"/>
              <w:jc w:val="center"/>
            </w:pPr>
            <w:r>
              <w:rPr>
                <w:sz w:val="20"/>
              </w:rPr>
              <w:t xml:space="preserve"> </w:t>
            </w:r>
          </w:p>
        </w:tc>
        <w:tc>
          <w:tcPr>
            <w:tcW w:w="1076"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3" w:right="0" w:firstLine="0"/>
              <w:jc w:val="center"/>
            </w:pPr>
            <w:r>
              <w:rPr>
                <w:sz w:val="20"/>
              </w:rPr>
              <w:t xml:space="preserve"> </w:t>
            </w:r>
          </w:p>
        </w:tc>
        <w:tc>
          <w:tcPr>
            <w:tcW w:w="1075"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2" w:right="0" w:firstLine="0"/>
              <w:jc w:val="center"/>
            </w:pPr>
            <w:r>
              <w:rPr>
                <w:sz w:val="20"/>
              </w:rPr>
              <w:t xml:space="preserve"> </w:t>
            </w:r>
          </w:p>
        </w:tc>
        <w:tc>
          <w:tcPr>
            <w:tcW w:w="1075"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2" w:right="0" w:firstLine="0"/>
              <w:jc w:val="center"/>
            </w:pPr>
            <w:r>
              <w:rPr>
                <w:sz w:val="20"/>
              </w:rPr>
              <w:t xml:space="preserve"> </w:t>
            </w:r>
          </w:p>
        </w:tc>
        <w:tc>
          <w:tcPr>
            <w:tcW w:w="1076" w:type="dxa"/>
            <w:tcBorders>
              <w:top w:val="dashed" w:sz="4" w:space="0" w:color="000000"/>
              <w:left w:val="dashed" w:sz="4" w:space="0" w:color="000000"/>
              <w:bottom w:val="dashed" w:sz="4" w:space="0" w:color="000000"/>
              <w:right w:val="double" w:sz="6" w:space="0" w:color="000000"/>
            </w:tcBorders>
          </w:tcPr>
          <w:p w:rsidR="00E8309B" w:rsidRDefault="009D0949">
            <w:pPr>
              <w:spacing w:after="0" w:line="259" w:lineRule="auto"/>
              <w:ind w:left="0" w:right="2" w:firstLine="0"/>
              <w:jc w:val="center"/>
            </w:pPr>
            <w:r>
              <w:rPr>
                <w:sz w:val="20"/>
              </w:rPr>
              <w:t xml:space="preserve"> </w:t>
            </w:r>
          </w:p>
        </w:tc>
        <w:tc>
          <w:tcPr>
            <w:tcW w:w="0" w:type="auto"/>
            <w:vMerge/>
            <w:tcBorders>
              <w:top w:val="nil"/>
              <w:left w:val="double" w:sz="6" w:space="0" w:color="000000"/>
              <w:bottom w:val="nil"/>
              <w:right w:val="nil"/>
            </w:tcBorders>
          </w:tcPr>
          <w:p w:rsidR="00E8309B" w:rsidRDefault="00E8309B">
            <w:pPr>
              <w:spacing w:after="160" w:line="259" w:lineRule="auto"/>
              <w:ind w:left="0" w:right="0" w:firstLine="0"/>
              <w:jc w:val="left"/>
            </w:pPr>
          </w:p>
        </w:tc>
      </w:tr>
      <w:tr w:rsidR="00E8309B">
        <w:trPr>
          <w:trHeight w:val="266"/>
        </w:trPr>
        <w:tc>
          <w:tcPr>
            <w:tcW w:w="6762" w:type="dxa"/>
            <w:tcBorders>
              <w:top w:val="dashed" w:sz="4" w:space="0" w:color="000000"/>
              <w:left w:val="double" w:sz="6" w:space="0" w:color="000000"/>
              <w:bottom w:val="dashed" w:sz="4" w:space="0" w:color="000000"/>
              <w:right w:val="single" w:sz="4" w:space="0" w:color="000000"/>
            </w:tcBorders>
          </w:tcPr>
          <w:p w:rsidR="00E8309B" w:rsidRDefault="009D0949">
            <w:pPr>
              <w:spacing w:after="0" w:line="259" w:lineRule="auto"/>
              <w:ind w:left="202" w:right="0" w:firstLine="0"/>
              <w:jc w:val="left"/>
            </w:pPr>
            <w:r>
              <w:rPr>
                <w:i/>
                <w:sz w:val="20"/>
              </w:rPr>
              <w:t xml:space="preserve">од чега: приходи од имовине </w:t>
            </w:r>
          </w:p>
        </w:tc>
        <w:tc>
          <w:tcPr>
            <w:tcW w:w="1076" w:type="dxa"/>
            <w:tcBorders>
              <w:top w:val="dashed" w:sz="4" w:space="0" w:color="000000"/>
              <w:left w:val="single" w:sz="4" w:space="0" w:color="000000"/>
              <w:bottom w:val="dashed" w:sz="4" w:space="0" w:color="000000"/>
              <w:right w:val="dashed" w:sz="4" w:space="0" w:color="000000"/>
            </w:tcBorders>
          </w:tcPr>
          <w:p w:rsidR="00E8309B" w:rsidRDefault="009D0949">
            <w:pPr>
              <w:spacing w:after="0" w:line="259" w:lineRule="auto"/>
              <w:ind w:left="3" w:right="0" w:firstLine="0"/>
              <w:jc w:val="center"/>
            </w:pPr>
            <w:r>
              <w:rPr>
                <w:sz w:val="20"/>
              </w:rPr>
              <w:t xml:space="preserve"> </w:t>
            </w:r>
          </w:p>
        </w:tc>
        <w:tc>
          <w:tcPr>
            <w:tcW w:w="1075"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2" w:firstLine="0"/>
              <w:jc w:val="center"/>
            </w:pPr>
            <w:r>
              <w:rPr>
                <w:sz w:val="20"/>
              </w:rPr>
              <w:t xml:space="preserve"> </w:t>
            </w:r>
          </w:p>
        </w:tc>
        <w:tc>
          <w:tcPr>
            <w:tcW w:w="1075"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2" w:firstLine="0"/>
              <w:jc w:val="center"/>
            </w:pPr>
            <w:r>
              <w:rPr>
                <w:sz w:val="20"/>
              </w:rPr>
              <w:t xml:space="preserve"> </w:t>
            </w:r>
          </w:p>
        </w:tc>
        <w:tc>
          <w:tcPr>
            <w:tcW w:w="1076"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3" w:right="0" w:firstLine="0"/>
              <w:jc w:val="center"/>
            </w:pPr>
            <w:r>
              <w:rPr>
                <w:sz w:val="20"/>
              </w:rPr>
              <w:t xml:space="preserve"> </w:t>
            </w:r>
          </w:p>
        </w:tc>
        <w:tc>
          <w:tcPr>
            <w:tcW w:w="1075"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2" w:right="0" w:firstLine="0"/>
              <w:jc w:val="center"/>
            </w:pPr>
            <w:r>
              <w:rPr>
                <w:sz w:val="20"/>
              </w:rPr>
              <w:t xml:space="preserve"> </w:t>
            </w:r>
          </w:p>
        </w:tc>
        <w:tc>
          <w:tcPr>
            <w:tcW w:w="1075"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2" w:right="0" w:firstLine="0"/>
              <w:jc w:val="center"/>
            </w:pPr>
            <w:r>
              <w:rPr>
                <w:sz w:val="20"/>
              </w:rPr>
              <w:t xml:space="preserve"> </w:t>
            </w:r>
          </w:p>
        </w:tc>
        <w:tc>
          <w:tcPr>
            <w:tcW w:w="1076" w:type="dxa"/>
            <w:tcBorders>
              <w:top w:val="dashed" w:sz="4" w:space="0" w:color="000000"/>
              <w:left w:val="dashed" w:sz="4" w:space="0" w:color="000000"/>
              <w:bottom w:val="dashed" w:sz="4" w:space="0" w:color="000000"/>
              <w:right w:val="double" w:sz="6" w:space="0" w:color="000000"/>
            </w:tcBorders>
          </w:tcPr>
          <w:p w:rsidR="00E8309B" w:rsidRDefault="009D0949">
            <w:pPr>
              <w:spacing w:after="0" w:line="259" w:lineRule="auto"/>
              <w:ind w:left="0" w:right="2" w:firstLine="0"/>
              <w:jc w:val="center"/>
            </w:pPr>
            <w:r>
              <w:rPr>
                <w:sz w:val="20"/>
              </w:rPr>
              <w:t xml:space="preserve"> </w:t>
            </w:r>
          </w:p>
        </w:tc>
        <w:tc>
          <w:tcPr>
            <w:tcW w:w="0" w:type="auto"/>
            <w:vMerge/>
            <w:tcBorders>
              <w:top w:val="nil"/>
              <w:left w:val="double" w:sz="6" w:space="0" w:color="000000"/>
              <w:bottom w:val="nil"/>
              <w:right w:val="nil"/>
            </w:tcBorders>
          </w:tcPr>
          <w:p w:rsidR="00E8309B" w:rsidRDefault="00E8309B">
            <w:pPr>
              <w:spacing w:after="160" w:line="259" w:lineRule="auto"/>
              <w:ind w:left="0" w:right="0" w:firstLine="0"/>
              <w:jc w:val="left"/>
            </w:pPr>
          </w:p>
        </w:tc>
      </w:tr>
      <w:tr w:rsidR="00E8309B">
        <w:trPr>
          <w:trHeight w:val="519"/>
        </w:trPr>
        <w:tc>
          <w:tcPr>
            <w:tcW w:w="6762" w:type="dxa"/>
            <w:tcBorders>
              <w:top w:val="dashed" w:sz="4" w:space="0" w:color="000000"/>
              <w:left w:val="double" w:sz="6" w:space="0" w:color="000000"/>
              <w:bottom w:val="dashed" w:sz="4" w:space="0" w:color="000000"/>
              <w:right w:val="single" w:sz="4" w:space="0" w:color="000000"/>
            </w:tcBorders>
          </w:tcPr>
          <w:p w:rsidR="00E8309B" w:rsidRDefault="009D0949">
            <w:pPr>
              <w:spacing w:after="0" w:line="259" w:lineRule="auto"/>
              <w:ind w:left="2" w:right="0" w:firstLine="401"/>
              <w:jc w:val="left"/>
            </w:pPr>
            <w:r>
              <w:rPr>
                <w:i/>
                <w:sz w:val="20"/>
              </w:rPr>
              <w:t xml:space="preserve">од доприноса за пензијско осигурање (или доприноса за социјално осигурање, уколико је то случај) </w:t>
            </w:r>
          </w:p>
        </w:tc>
        <w:tc>
          <w:tcPr>
            <w:tcW w:w="1076" w:type="dxa"/>
            <w:tcBorders>
              <w:top w:val="dashed" w:sz="4" w:space="0" w:color="000000"/>
              <w:left w:val="single" w:sz="4" w:space="0" w:color="000000"/>
              <w:bottom w:val="dashed" w:sz="4" w:space="0" w:color="000000"/>
              <w:right w:val="dashed" w:sz="4" w:space="0" w:color="000000"/>
            </w:tcBorders>
          </w:tcPr>
          <w:p w:rsidR="00E8309B" w:rsidRDefault="009D0949">
            <w:pPr>
              <w:spacing w:after="0" w:line="259" w:lineRule="auto"/>
              <w:ind w:left="3" w:right="0" w:firstLine="0"/>
              <w:jc w:val="center"/>
            </w:pPr>
            <w:r>
              <w:rPr>
                <w:sz w:val="20"/>
              </w:rPr>
              <w:t xml:space="preserve"> </w:t>
            </w:r>
          </w:p>
        </w:tc>
        <w:tc>
          <w:tcPr>
            <w:tcW w:w="1075"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2" w:firstLine="0"/>
              <w:jc w:val="center"/>
            </w:pPr>
            <w:r>
              <w:rPr>
                <w:sz w:val="20"/>
              </w:rPr>
              <w:t xml:space="preserve"> </w:t>
            </w:r>
          </w:p>
        </w:tc>
        <w:tc>
          <w:tcPr>
            <w:tcW w:w="1075"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2" w:firstLine="0"/>
              <w:jc w:val="center"/>
            </w:pPr>
            <w:r>
              <w:rPr>
                <w:sz w:val="20"/>
              </w:rPr>
              <w:t xml:space="preserve"> </w:t>
            </w:r>
          </w:p>
        </w:tc>
        <w:tc>
          <w:tcPr>
            <w:tcW w:w="1076"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3" w:right="0" w:firstLine="0"/>
              <w:jc w:val="center"/>
            </w:pPr>
            <w:r>
              <w:rPr>
                <w:sz w:val="20"/>
              </w:rPr>
              <w:t xml:space="preserve"> </w:t>
            </w:r>
          </w:p>
        </w:tc>
        <w:tc>
          <w:tcPr>
            <w:tcW w:w="1075"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2" w:right="0" w:firstLine="0"/>
              <w:jc w:val="center"/>
            </w:pPr>
            <w:r>
              <w:rPr>
                <w:sz w:val="20"/>
              </w:rPr>
              <w:t xml:space="preserve"> </w:t>
            </w:r>
          </w:p>
        </w:tc>
        <w:tc>
          <w:tcPr>
            <w:tcW w:w="1075"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2" w:right="0" w:firstLine="0"/>
              <w:jc w:val="center"/>
            </w:pPr>
            <w:r>
              <w:rPr>
                <w:sz w:val="20"/>
              </w:rPr>
              <w:t xml:space="preserve"> </w:t>
            </w:r>
          </w:p>
        </w:tc>
        <w:tc>
          <w:tcPr>
            <w:tcW w:w="1076" w:type="dxa"/>
            <w:tcBorders>
              <w:top w:val="dashed" w:sz="4" w:space="0" w:color="000000"/>
              <w:left w:val="dashed" w:sz="4" w:space="0" w:color="000000"/>
              <w:bottom w:val="dashed" w:sz="4" w:space="0" w:color="000000"/>
              <w:right w:val="double" w:sz="6" w:space="0" w:color="000000"/>
            </w:tcBorders>
          </w:tcPr>
          <w:p w:rsidR="00E8309B" w:rsidRDefault="009D0949">
            <w:pPr>
              <w:spacing w:after="0" w:line="259" w:lineRule="auto"/>
              <w:ind w:left="0" w:right="2" w:firstLine="0"/>
              <w:jc w:val="center"/>
            </w:pPr>
            <w:r>
              <w:rPr>
                <w:sz w:val="20"/>
              </w:rPr>
              <w:t xml:space="preserve"> </w:t>
            </w:r>
          </w:p>
        </w:tc>
        <w:tc>
          <w:tcPr>
            <w:tcW w:w="0" w:type="auto"/>
            <w:vMerge/>
            <w:tcBorders>
              <w:top w:val="nil"/>
              <w:left w:val="double" w:sz="6" w:space="0" w:color="000000"/>
              <w:bottom w:val="nil"/>
              <w:right w:val="nil"/>
            </w:tcBorders>
          </w:tcPr>
          <w:p w:rsidR="00E8309B" w:rsidRDefault="00E8309B">
            <w:pPr>
              <w:spacing w:after="160" w:line="259" w:lineRule="auto"/>
              <w:ind w:left="0" w:right="0" w:firstLine="0"/>
              <w:jc w:val="left"/>
            </w:pPr>
          </w:p>
        </w:tc>
      </w:tr>
      <w:tr w:rsidR="00E8309B">
        <w:trPr>
          <w:trHeight w:val="266"/>
        </w:trPr>
        <w:tc>
          <w:tcPr>
            <w:tcW w:w="6762" w:type="dxa"/>
            <w:tcBorders>
              <w:top w:val="dashed" w:sz="4" w:space="0" w:color="000000"/>
              <w:left w:val="double" w:sz="6" w:space="0" w:color="000000"/>
              <w:bottom w:val="dashed" w:sz="4" w:space="0" w:color="000000"/>
              <w:right w:val="single" w:sz="4" w:space="0" w:color="000000"/>
            </w:tcBorders>
          </w:tcPr>
          <w:p w:rsidR="00E8309B" w:rsidRDefault="009D0949">
            <w:pPr>
              <w:spacing w:after="0" w:line="259" w:lineRule="auto"/>
              <w:ind w:left="2" w:right="0" w:firstLine="0"/>
              <w:jc w:val="left"/>
            </w:pPr>
            <w:r>
              <w:rPr>
                <w:sz w:val="20"/>
              </w:rPr>
              <w:t xml:space="preserve">Средства резервног пензијског фонда </w:t>
            </w:r>
          </w:p>
        </w:tc>
        <w:tc>
          <w:tcPr>
            <w:tcW w:w="1076" w:type="dxa"/>
            <w:tcBorders>
              <w:top w:val="dashed" w:sz="4" w:space="0" w:color="000000"/>
              <w:left w:val="single" w:sz="4" w:space="0" w:color="000000"/>
              <w:bottom w:val="dashed" w:sz="4" w:space="0" w:color="000000"/>
              <w:right w:val="dashed" w:sz="4" w:space="0" w:color="000000"/>
            </w:tcBorders>
          </w:tcPr>
          <w:p w:rsidR="00E8309B" w:rsidRDefault="009D0949">
            <w:pPr>
              <w:spacing w:after="0" w:line="259" w:lineRule="auto"/>
              <w:ind w:left="3" w:right="0" w:firstLine="0"/>
              <w:jc w:val="center"/>
            </w:pPr>
            <w:r>
              <w:rPr>
                <w:sz w:val="20"/>
              </w:rPr>
              <w:t xml:space="preserve"> </w:t>
            </w:r>
          </w:p>
        </w:tc>
        <w:tc>
          <w:tcPr>
            <w:tcW w:w="1075"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2" w:firstLine="0"/>
              <w:jc w:val="center"/>
            </w:pPr>
            <w:r>
              <w:rPr>
                <w:sz w:val="20"/>
              </w:rPr>
              <w:t xml:space="preserve"> </w:t>
            </w:r>
          </w:p>
        </w:tc>
        <w:tc>
          <w:tcPr>
            <w:tcW w:w="1075"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2" w:firstLine="0"/>
              <w:jc w:val="center"/>
            </w:pPr>
            <w:r>
              <w:rPr>
                <w:sz w:val="20"/>
              </w:rPr>
              <w:t xml:space="preserve"> </w:t>
            </w:r>
          </w:p>
        </w:tc>
        <w:tc>
          <w:tcPr>
            <w:tcW w:w="1076"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3" w:right="0" w:firstLine="0"/>
              <w:jc w:val="center"/>
            </w:pPr>
            <w:r>
              <w:rPr>
                <w:sz w:val="20"/>
              </w:rPr>
              <w:t xml:space="preserve"> </w:t>
            </w:r>
          </w:p>
        </w:tc>
        <w:tc>
          <w:tcPr>
            <w:tcW w:w="1075"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2" w:right="0" w:firstLine="0"/>
              <w:jc w:val="center"/>
            </w:pPr>
            <w:r>
              <w:rPr>
                <w:sz w:val="20"/>
              </w:rPr>
              <w:t xml:space="preserve"> </w:t>
            </w:r>
          </w:p>
        </w:tc>
        <w:tc>
          <w:tcPr>
            <w:tcW w:w="1075"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2" w:right="0" w:firstLine="0"/>
              <w:jc w:val="center"/>
            </w:pPr>
            <w:r>
              <w:rPr>
                <w:sz w:val="20"/>
              </w:rPr>
              <w:t xml:space="preserve"> </w:t>
            </w:r>
          </w:p>
        </w:tc>
        <w:tc>
          <w:tcPr>
            <w:tcW w:w="1076" w:type="dxa"/>
            <w:tcBorders>
              <w:top w:val="dashed" w:sz="4" w:space="0" w:color="000000"/>
              <w:left w:val="dashed" w:sz="4" w:space="0" w:color="000000"/>
              <w:bottom w:val="dashed" w:sz="4" w:space="0" w:color="000000"/>
              <w:right w:val="double" w:sz="6" w:space="0" w:color="000000"/>
            </w:tcBorders>
          </w:tcPr>
          <w:p w:rsidR="00E8309B" w:rsidRDefault="009D0949">
            <w:pPr>
              <w:spacing w:after="0" w:line="259" w:lineRule="auto"/>
              <w:ind w:left="0" w:right="2" w:firstLine="0"/>
              <w:jc w:val="center"/>
            </w:pPr>
            <w:r>
              <w:rPr>
                <w:sz w:val="20"/>
              </w:rPr>
              <w:t xml:space="preserve"> </w:t>
            </w:r>
          </w:p>
        </w:tc>
        <w:tc>
          <w:tcPr>
            <w:tcW w:w="0" w:type="auto"/>
            <w:vMerge/>
            <w:tcBorders>
              <w:top w:val="nil"/>
              <w:left w:val="double" w:sz="6" w:space="0" w:color="000000"/>
              <w:bottom w:val="nil"/>
              <w:right w:val="nil"/>
            </w:tcBorders>
          </w:tcPr>
          <w:p w:rsidR="00E8309B" w:rsidRDefault="00E8309B">
            <w:pPr>
              <w:spacing w:after="160" w:line="259" w:lineRule="auto"/>
              <w:ind w:left="0" w:right="0" w:firstLine="0"/>
              <w:jc w:val="left"/>
            </w:pPr>
          </w:p>
        </w:tc>
      </w:tr>
      <w:tr w:rsidR="00E8309B">
        <w:trPr>
          <w:trHeight w:val="518"/>
        </w:trPr>
        <w:tc>
          <w:tcPr>
            <w:tcW w:w="6762" w:type="dxa"/>
            <w:tcBorders>
              <w:top w:val="dashed" w:sz="4" w:space="0" w:color="000000"/>
              <w:left w:val="double" w:sz="6" w:space="0" w:color="000000"/>
              <w:bottom w:val="single" w:sz="4" w:space="0" w:color="000000"/>
              <w:right w:val="single" w:sz="4" w:space="0" w:color="000000"/>
            </w:tcBorders>
          </w:tcPr>
          <w:p w:rsidR="00E8309B" w:rsidRDefault="009D0949">
            <w:pPr>
              <w:spacing w:after="0" w:line="259" w:lineRule="auto"/>
              <w:ind w:left="2" w:right="39" w:firstLine="401"/>
              <w:jc w:val="left"/>
            </w:pPr>
            <w:r>
              <w:rPr>
                <w:i/>
                <w:sz w:val="20"/>
              </w:rPr>
              <w:t xml:space="preserve">од чега: консолидована средства јавног пензијског фонда (средства без државних обавеза) </w:t>
            </w:r>
          </w:p>
        </w:tc>
        <w:tc>
          <w:tcPr>
            <w:tcW w:w="1076" w:type="dxa"/>
            <w:tcBorders>
              <w:top w:val="dashed" w:sz="4" w:space="0" w:color="000000"/>
              <w:left w:val="single" w:sz="4" w:space="0" w:color="000000"/>
              <w:bottom w:val="single" w:sz="4" w:space="0" w:color="000000"/>
              <w:right w:val="dashed" w:sz="4" w:space="0" w:color="000000"/>
            </w:tcBorders>
          </w:tcPr>
          <w:p w:rsidR="00E8309B" w:rsidRDefault="009D0949">
            <w:pPr>
              <w:spacing w:after="0" w:line="259" w:lineRule="auto"/>
              <w:ind w:left="3" w:right="0" w:firstLine="0"/>
              <w:jc w:val="center"/>
            </w:pPr>
            <w:r>
              <w:rPr>
                <w:sz w:val="20"/>
              </w:rPr>
              <w:t xml:space="preserve"> </w:t>
            </w:r>
          </w:p>
        </w:tc>
        <w:tc>
          <w:tcPr>
            <w:tcW w:w="1075" w:type="dxa"/>
            <w:tcBorders>
              <w:top w:val="dashed" w:sz="4" w:space="0" w:color="000000"/>
              <w:left w:val="dashed" w:sz="4" w:space="0" w:color="000000"/>
              <w:bottom w:val="single" w:sz="4" w:space="0" w:color="000000"/>
              <w:right w:val="dashed" w:sz="4" w:space="0" w:color="000000"/>
            </w:tcBorders>
          </w:tcPr>
          <w:p w:rsidR="00E8309B" w:rsidRDefault="009D0949">
            <w:pPr>
              <w:spacing w:after="0" w:line="259" w:lineRule="auto"/>
              <w:ind w:left="0" w:right="2" w:firstLine="0"/>
              <w:jc w:val="center"/>
            </w:pPr>
            <w:r>
              <w:rPr>
                <w:sz w:val="20"/>
              </w:rPr>
              <w:t xml:space="preserve"> </w:t>
            </w:r>
          </w:p>
        </w:tc>
        <w:tc>
          <w:tcPr>
            <w:tcW w:w="1075" w:type="dxa"/>
            <w:tcBorders>
              <w:top w:val="dashed" w:sz="4" w:space="0" w:color="000000"/>
              <w:left w:val="dashed" w:sz="4" w:space="0" w:color="000000"/>
              <w:bottom w:val="single" w:sz="4" w:space="0" w:color="000000"/>
              <w:right w:val="dashed" w:sz="4" w:space="0" w:color="000000"/>
            </w:tcBorders>
          </w:tcPr>
          <w:p w:rsidR="00E8309B" w:rsidRDefault="009D0949">
            <w:pPr>
              <w:spacing w:after="0" w:line="259" w:lineRule="auto"/>
              <w:ind w:left="0" w:right="2" w:firstLine="0"/>
              <w:jc w:val="center"/>
            </w:pPr>
            <w:r>
              <w:rPr>
                <w:sz w:val="20"/>
              </w:rPr>
              <w:t xml:space="preserve"> </w:t>
            </w:r>
          </w:p>
        </w:tc>
        <w:tc>
          <w:tcPr>
            <w:tcW w:w="1076" w:type="dxa"/>
            <w:tcBorders>
              <w:top w:val="dashed" w:sz="4" w:space="0" w:color="000000"/>
              <w:left w:val="dashed" w:sz="4" w:space="0" w:color="000000"/>
              <w:bottom w:val="single" w:sz="4" w:space="0" w:color="000000"/>
              <w:right w:val="dashed" w:sz="4" w:space="0" w:color="000000"/>
            </w:tcBorders>
          </w:tcPr>
          <w:p w:rsidR="00E8309B" w:rsidRDefault="009D0949">
            <w:pPr>
              <w:spacing w:after="0" w:line="259" w:lineRule="auto"/>
              <w:ind w:left="3" w:right="0" w:firstLine="0"/>
              <w:jc w:val="center"/>
            </w:pPr>
            <w:r>
              <w:rPr>
                <w:sz w:val="20"/>
              </w:rPr>
              <w:t xml:space="preserve"> </w:t>
            </w:r>
          </w:p>
        </w:tc>
        <w:tc>
          <w:tcPr>
            <w:tcW w:w="1075" w:type="dxa"/>
            <w:tcBorders>
              <w:top w:val="dashed" w:sz="4" w:space="0" w:color="000000"/>
              <w:left w:val="dashed" w:sz="4" w:space="0" w:color="000000"/>
              <w:bottom w:val="single" w:sz="4" w:space="0" w:color="000000"/>
              <w:right w:val="dashed" w:sz="4" w:space="0" w:color="000000"/>
            </w:tcBorders>
          </w:tcPr>
          <w:p w:rsidR="00E8309B" w:rsidRDefault="009D0949">
            <w:pPr>
              <w:spacing w:after="0" w:line="259" w:lineRule="auto"/>
              <w:ind w:left="2" w:right="0" w:firstLine="0"/>
              <w:jc w:val="center"/>
            </w:pPr>
            <w:r>
              <w:rPr>
                <w:sz w:val="20"/>
              </w:rPr>
              <w:t xml:space="preserve"> </w:t>
            </w:r>
          </w:p>
        </w:tc>
        <w:tc>
          <w:tcPr>
            <w:tcW w:w="1075" w:type="dxa"/>
            <w:tcBorders>
              <w:top w:val="dashed" w:sz="4" w:space="0" w:color="000000"/>
              <w:left w:val="dashed" w:sz="4" w:space="0" w:color="000000"/>
              <w:bottom w:val="single" w:sz="4" w:space="0" w:color="000000"/>
              <w:right w:val="dashed" w:sz="4" w:space="0" w:color="000000"/>
            </w:tcBorders>
          </w:tcPr>
          <w:p w:rsidR="00E8309B" w:rsidRDefault="009D0949">
            <w:pPr>
              <w:spacing w:after="0" w:line="259" w:lineRule="auto"/>
              <w:ind w:left="2" w:right="0" w:firstLine="0"/>
              <w:jc w:val="center"/>
            </w:pPr>
            <w:r>
              <w:rPr>
                <w:sz w:val="20"/>
              </w:rPr>
              <w:t xml:space="preserve"> </w:t>
            </w:r>
          </w:p>
        </w:tc>
        <w:tc>
          <w:tcPr>
            <w:tcW w:w="1076" w:type="dxa"/>
            <w:tcBorders>
              <w:top w:val="dashed" w:sz="4" w:space="0" w:color="000000"/>
              <w:left w:val="dashed" w:sz="4" w:space="0" w:color="000000"/>
              <w:bottom w:val="single" w:sz="4" w:space="0" w:color="000000"/>
              <w:right w:val="double" w:sz="6" w:space="0" w:color="000000"/>
            </w:tcBorders>
          </w:tcPr>
          <w:p w:rsidR="00E8309B" w:rsidRDefault="009D0949">
            <w:pPr>
              <w:spacing w:after="0" w:line="259" w:lineRule="auto"/>
              <w:ind w:left="0" w:right="2" w:firstLine="0"/>
              <w:jc w:val="center"/>
            </w:pPr>
            <w:r>
              <w:rPr>
                <w:sz w:val="20"/>
              </w:rPr>
              <w:t xml:space="preserve"> </w:t>
            </w:r>
          </w:p>
        </w:tc>
        <w:tc>
          <w:tcPr>
            <w:tcW w:w="0" w:type="auto"/>
            <w:vMerge/>
            <w:tcBorders>
              <w:top w:val="nil"/>
              <w:left w:val="double" w:sz="6" w:space="0" w:color="000000"/>
              <w:bottom w:val="nil"/>
              <w:right w:val="nil"/>
            </w:tcBorders>
          </w:tcPr>
          <w:p w:rsidR="00E8309B" w:rsidRDefault="00E8309B">
            <w:pPr>
              <w:spacing w:after="160" w:line="259" w:lineRule="auto"/>
              <w:ind w:left="0" w:right="0" w:firstLine="0"/>
              <w:jc w:val="left"/>
            </w:pPr>
          </w:p>
        </w:tc>
      </w:tr>
      <w:tr w:rsidR="00E8309B">
        <w:trPr>
          <w:trHeight w:val="266"/>
        </w:trPr>
        <w:tc>
          <w:tcPr>
            <w:tcW w:w="6762" w:type="dxa"/>
            <w:tcBorders>
              <w:top w:val="single" w:sz="4" w:space="0" w:color="000000"/>
              <w:left w:val="double" w:sz="6" w:space="0" w:color="000000"/>
              <w:bottom w:val="single" w:sz="4" w:space="0" w:color="000000"/>
              <w:right w:val="nil"/>
            </w:tcBorders>
          </w:tcPr>
          <w:p w:rsidR="00E8309B" w:rsidRDefault="009D0949">
            <w:pPr>
              <w:spacing w:after="0" w:line="259" w:lineRule="auto"/>
              <w:ind w:left="0" w:right="49" w:firstLine="0"/>
              <w:jc w:val="center"/>
            </w:pPr>
            <w:r>
              <w:rPr>
                <w:b/>
                <w:sz w:val="20"/>
              </w:rPr>
              <w:t xml:space="preserve">Претпоставке </w:t>
            </w:r>
          </w:p>
        </w:tc>
        <w:tc>
          <w:tcPr>
            <w:tcW w:w="1076" w:type="dxa"/>
            <w:tcBorders>
              <w:top w:val="single" w:sz="4" w:space="0" w:color="000000"/>
              <w:left w:val="nil"/>
              <w:bottom w:val="single" w:sz="4" w:space="0" w:color="000000"/>
              <w:right w:val="nil"/>
            </w:tcBorders>
          </w:tcPr>
          <w:p w:rsidR="00E8309B" w:rsidRDefault="009D0949">
            <w:pPr>
              <w:spacing w:after="0" w:line="259" w:lineRule="auto"/>
              <w:ind w:left="0" w:right="0" w:firstLine="0"/>
              <w:jc w:val="center"/>
            </w:pPr>
            <w:r>
              <w:rPr>
                <w:b/>
                <w:sz w:val="20"/>
              </w:rPr>
              <w:t xml:space="preserve">  </w:t>
            </w:r>
          </w:p>
        </w:tc>
        <w:tc>
          <w:tcPr>
            <w:tcW w:w="1075" w:type="dxa"/>
            <w:tcBorders>
              <w:top w:val="single" w:sz="4" w:space="0" w:color="000000"/>
              <w:left w:val="nil"/>
              <w:bottom w:val="single" w:sz="4" w:space="0" w:color="000000"/>
              <w:right w:val="nil"/>
            </w:tcBorders>
          </w:tcPr>
          <w:p w:rsidR="00E8309B" w:rsidRDefault="009D0949">
            <w:pPr>
              <w:spacing w:after="0" w:line="259" w:lineRule="auto"/>
              <w:ind w:left="0" w:right="5" w:firstLine="0"/>
              <w:jc w:val="center"/>
            </w:pPr>
            <w:r>
              <w:rPr>
                <w:b/>
                <w:sz w:val="20"/>
              </w:rPr>
              <w:t xml:space="preserve">  </w:t>
            </w:r>
          </w:p>
        </w:tc>
        <w:tc>
          <w:tcPr>
            <w:tcW w:w="1075" w:type="dxa"/>
            <w:tcBorders>
              <w:top w:val="single" w:sz="4" w:space="0" w:color="000000"/>
              <w:left w:val="nil"/>
              <w:bottom w:val="single" w:sz="4" w:space="0" w:color="000000"/>
              <w:right w:val="nil"/>
            </w:tcBorders>
          </w:tcPr>
          <w:p w:rsidR="00E8309B" w:rsidRDefault="009D0949">
            <w:pPr>
              <w:spacing w:after="0" w:line="259" w:lineRule="auto"/>
              <w:ind w:left="0" w:right="5" w:firstLine="0"/>
              <w:jc w:val="center"/>
            </w:pPr>
            <w:r>
              <w:rPr>
                <w:b/>
                <w:sz w:val="20"/>
              </w:rPr>
              <w:t xml:space="preserve">  </w:t>
            </w:r>
          </w:p>
        </w:tc>
        <w:tc>
          <w:tcPr>
            <w:tcW w:w="1076" w:type="dxa"/>
            <w:tcBorders>
              <w:top w:val="single" w:sz="4" w:space="0" w:color="000000"/>
              <w:left w:val="nil"/>
              <w:bottom w:val="single" w:sz="4" w:space="0" w:color="000000"/>
              <w:right w:val="nil"/>
            </w:tcBorders>
          </w:tcPr>
          <w:p w:rsidR="00E8309B" w:rsidRDefault="009D0949">
            <w:pPr>
              <w:spacing w:after="0" w:line="259" w:lineRule="auto"/>
              <w:ind w:left="1" w:right="0" w:firstLine="0"/>
              <w:jc w:val="center"/>
            </w:pPr>
            <w:r>
              <w:rPr>
                <w:b/>
                <w:sz w:val="20"/>
              </w:rPr>
              <w:t xml:space="preserve">  </w:t>
            </w:r>
          </w:p>
        </w:tc>
        <w:tc>
          <w:tcPr>
            <w:tcW w:w="1075" w:type="dxa"/>
            <w:tcBorders>
              <w:top w:val="single" w:sz="4" w:space="0" w:color="000000"/>
              <w:left w:val="nil"/>
              <w:bottom w:val="single" w:sz="4" w:space="0" w:color="000000"/>
              <w:right w:val="nil"/>
            </w:tcBorders>
          </w:tcPr>
          <w:p w:rsidR="00E8309B" w:rsidRDefault="009D0949">
            <w:pPr>
              <w:spacing w:after="0" w:line="259" w:lineRule="auto"/>
              <w:ind w:left="0" w:right="0" w:firstLine="0"/>
              <w:jc w:val="center"/>
            </w:pPr>
            <w:r>
              <w:rPr>
                <w:b/>
                <w:sz w:val="20"/>
              </w:rPr>
              <w:t xml:space="preserve">  </w:t>
            </w:r>
          </w:p>
        </w:tc>
        <w:tc>
          <w:tcPr>
            <w:tcW w:w="1075" w:type="dxa"/>
            <w:tcBorders>
              <w:top w:val="single" w:sz="4" w:space="0" w:color="000000"/>
              <w:left w:val="nil"/>
              <w:bottom w:val="single" w:sz="4" w:space="0" w:color="000000"/>
              <w:right w:val="nil"/>
            </w:tcBorders>
          </w:tcPr>
          <w:p w:rsidR="00E8309B" w:rsidRDefault="009D0949">
            <w:pPr>
              <w:spacing w:after="0" w:line="259" w:lineRule="auto"/>
              <w:ind w:left="0" w:right="0" w:firstLine="0"/>
              <w:jc w:val="center"/>
            </w:pPr>
            <w:r>
              <w:rPr>
                <w:b/>
                <w:sz w:val="20"/>
              </w:rPr>
              <w:t xml:space="preserve">  </w:t>
            </w:r>
          </w:p>
        </w:tc>
        <w:tc>
          <w:tcPr>
            <w:tcW w:w="1076" w:type="dxa"/>
            <w:tcBorders>
              <w:top w:val="single" w:sz="4" w:space="0" w:color="000000"/>
              <w:left w:val="nil"/>
              <w:bottom w:val="single" w:sz="4" w:space="0" w:color="000000"/>
              <w:right w:val="double" w:sz="6" w:space="0" w:color="000000"/>
            </w:tcBorders>
          </w:tcPr>
          <w:p w:rsidR="00E8309B" w:rsidRDefault="009D0949">
            <w:pPr>
              <w:spacing w:after="0" w:line="259" w:lineRule="auto"/>
              <w:ind w:left="0" w:right="4" w:firstLine="0"/>
              <w:jc w:val="center"/>
            </w:pPr>
            <w:r>
              <w:rPr>
                <w:b/>
                <w:sz w:val="20"/>
              </w:rPr>
              <w:t xml:space="preserve">  </w:t>
            </w:r>
          </w:p>
        </w:tc>
        <w:tc>
          <w:tcPr>
            <w:tcW w:w="0" w:type="auto"/>
            <w:vMerge/>
            <w:tcBorders>
              <w:top w:val="nil"/>
              <w:left w:val="double" w:sz="6" w:space="0" w:color="000000"/>
              <w:bottom w:val="nil"/>
              <w:right w:val="nil"/>
            </w:tcBorders>
          </w:tcPr>
          <w:p w:rsidR="00E8309B" w:rsidRDefault="00E8309B">
            <w:pPr>
              <w:spacing w:after="160" w:line="259" w:lineRule="auto"/>
              <w:ind w:left="0" w:right="0" w:firstLine="0"/>
              <w:jc w:val="left"/>
            </w:pPr>
          </w:p>
        </w:tc>
      </w:tr>
      <w:tr w:rsidR="00E8309B">
        <w:trPr>
          <w:trHeight w:val="264"/>
        </w:trPr>
        <w:tc>
          <w:tcPr>
            <w:tcW w:w="6762" w:type="dxa"/>
            <w:tcBorders>
              <w:top w:val="single" w:sz="4" w:space="0" w:color="000000"/>
              <w:left w:val="double" w:sz="6" w:space="0" w:color="000000"/>
              <w:bottom w:val="dashed" w:sz="4" w:space="0" w:color="000000"/>
              <w:right w:val="single" w:sz="4" w:space="0" w:color="000000"/>
            </w:tcBorders>
          </w:tcPr>
          <w:p w:rsidR="00E8309B" w:rsidRDefault="009D0949">
            <w:pPr>
              <w:spacing w:after="0" w:line="259" w:lineRule="auto"/>
              <w:ind w:left="2" w:right="0" w:firstLine="0"/>
              <w:jc w:val="left"/>
            </w:pPr>
            <w:r>
              <w:rPr>
                <w:sz w:val="20"/>
              </w:rPr>
              <w:t xml:space="preserve">Раст продуктивности рада </w:t>
            </w:r>
          </w:p>
        </w:tc>
        <w:tc>
          <w:tcPr>
            <w:tcW w:w="1076" w:type="dxa"/>
            <w:tcBorders>
              <w:top w:val="single" w:sz="4" w:space="0" w:color="000000"/>
              <w:left w:val="single" w:sz="4" w:space="0" w:color="000000"/>
              <w:bottom w:val="dashed" w:sz="4" w:space="0" w:color="000000"/>
              <w:right w:val="dashed" w:sz="4" w:space="0" w:color="000000"/>
            </w:tcBorders>
          </w:tcPr>
          <w:p w:rsidR="00E8309B" w:rsidRDefault="009D0949">
            <w:pPr>
              <w:spacing w:after="0" w:line="259" w:lineRule="auto"/>
              <w:ind w:left="3" w:right="0" w:firstLine="0"/>
              <w:jc w:val="center"/>
            </w:pPr>
            <w:r>
              <w:rPr>
                <w:sz w:val="20"/>
              </w:rPr>
              <w:t xml:space="preserve"> </w:t>
            </w:r>
          </w:p>
        </w:tc>
        <w:tc>
          <w:tcPr>
            <w:tcW w:w="1075" w:type="dxa"/>
            <w:tcBorders>
              <w:top w:val="single" w:sz="4" w:space="0" w:color="000000"/>
              <w:left w:val="dashed" w:sz="4" w:space="0" w:color="000000"/>
              <w:bottom w:val="dashed" w:sz="4" w:space="0" w:color="000000"/>
              <w:right w:val="dashed" w:sz="4" w:space="0" w:color="000000"/>
            </w:tcBorders>
          </w:tcPr>
          <w:p w:rsidR="00E8309B" w:rsidRDefault="009D0949">
            <w:pPr>
              <w:spacing w:after="0" w:line="259" w:lineRule="auto"/>
              <w:ind w:left="0" w:right="2" w:firstLine="0"/>
              <w:jc w:val="center"/>
            </w:pPr>
            <w:r>
              <w:rPr>
                <w:sz w:val="20"/>
              </w:rPr>
              <w:t xml:space="preserve"> </w:t>
            </w:r>
          </w:p>
        </w:tc>
        <w:tc>
          <w:tcPr>
            <w:tcW w:w="1075" w:type="dxa"/>
            <w:tcBorders>
              <w:top w:val="single" w:sz="4" w:space="0" w:color="000000"/>
              <w:left w:val="dashed" w:sz="4" w:space="0" w:color="000000"/>
              <w:bottom w:val="dashed" w:sz="4" w:space="0" w:color="000000"/>
              <w:right w:val="dashed" w:sz="4" w:space="0" w:color="000000"/>
            </w:tcBorders>
          </w:tcPr>
          <w:p w:rsidR="00E8309B" w:rsidRDefault="009D0949">
            <w:pPr>
              <w:spacing w:after="0" w:line="259" w:lineRule="auto"/>
              <w:ind w:left="0" w:right="2" w:firstLine="0"/>
              <w:jc w:val="center"/>
            </w:pPr>
            <w:r>
              <w:rPr>
                <w:sz w:val="20"/>
              </w:rPr>
              <w:t xml:space="preserve"> </w:t>
            </w:r>
          </w:p>
        </w:tc>
        <w:tc>
          <w:tcPr>
            <w:tcW w:w="1076" w:type="dxa"/>
            <w:tcBorders>
              <w:top w:val="single" w:sz="4" w:space="0" w:color="000000"/>
              <w:left w:val="dashed" w:sz="4" w:space="0" w:color="000000"/>
              <w:bottom w:val="dashed" w:sz="4" w:space="0" w:color="000000"/>
              <w:right w:val="dashed" w:sz="4" w:space="0" w:color="000000"/>
            </w:tcBorders>
          </w:tcPr>
          <w:p w:rsidR="00E8309B" w:rsidRDefault="009D0949">
            <w:pPr>
              <w:spacing w:after="0" w:line="259" w:lineRule="auto"/>
              <w:ind w:left="3" w:right="0" w:firstLine="0"/>
              <w:jc w:val="center"/>
            </w:pPr>
            <w:r>
              <w:rPr>
                <w:sz w:val="20"/>
              </w:rPr>
              <w:t xml:space="preserve"> </w:t>
            </w:r>
          </w:p>
        </w:tc>
        <w:tc>
          <w:tcPr>
            <w:tcW w:w="1075" w:type="dxa"/>
            <w:tcBorders>
              <w:top w:val="single" w:sz="4" w:space="0" w:color="000000"/>
              <w:left w:val="dashed" w:sz="4" w:space="0" w:color="000000"/>
              <w:bottom w:val="dashed" w:sz="4" w:space="0" w:color="000000"/>
              <w:right w:val="dashed" w:sz="4" w:space="0" w:color="000000"/>
            </w:tcBorders>
          </w:tcPr>
          <w:p w:rsidR="00E8309B" w:rsidRDefault="009D0949">
            <w:pPr>
              <w:spacing w:after="0" w:line="259" w:lineRule="auto"/>
              <w:ind w:left="2" w:right="0" w:firstLine="0"/>
              <w:jc w:val="center"/>
            </w:pPr>
            <w:r>
              <w:rPr>
                <w:sz w:val="20"/>
              </w:rPr>
              <w:t xml:space="preserve"> </w:t>
            </w:r>
          </w:p>
        </w:tc>
        <w:tc>
          <w:tcPr>
            <w:tcW w:w="1075" w:type="dxa"/>
            <w:tcBorders>
              <w:top w:val="single" w:sz="4" w:space="0" w:color="000000"/>
              <w:left w:val="dashed" w:sz="4" w:space="0" w:color="000000"/>
              <w:bottom w:val="dashed" w:sz="4" w:space="0" w:color="000000"/>
              <w:right w:val="dashed" w:sz="4" w:space="0" w:color="000000"/>
            </w:tcBorders>
          </w:tcPr>
          <w:p w:rsidR="00E8309B" w:rsidRDefault="009D0949">
            <w:pPr>
              <w:spacing w:after="0" w:line="259" w:lineRule="auto"/>
              <w:ind w:left="2" w:right="0" w:firstLine="0"/>
              <w:jc w:val="center"/>
            </w:pPr>
            <w:r>
              <w:rPr>
                <w:sz w:val="20"/>
              </w:rPr>
              <w:t xml:space="preserve"> </w:t>
            </w:r>
          </w:p>
        </w:tc>
        <w:tc>
          <w:tcPr>
            <w:tcW w:w="1076" w:type="dxa"/>
            <w:tcBorders>
              <w:top w:val="single" w:sz="4" w:space="0" w:color="000000"/>
              <w:left w:val="dashed" w:sz="4" w:space="0" w:color="000000"/>
              <w:bottom w:val="dashed" w:sz="4" w:space="0" w:color="000000"/>
              <w:right w:val="double" w:sz="6" w:space="0" w:color="000000"/>
            </w:tcBorders>
          </w:tcPr>
          <w:p w:rsidR="00E8309B" w:rsidRDefault="009D0949">
            <w:pPr>
              <w:spacing w:after="0" w:line="259" w:lineRule="auto"/>
              <w:ind w:left="0" w:right="2" w:firstLine="0"/>
              <w:jc w:val="center"/>
            </w:pPr>
            <w:r>
              <w:rPr>
                <w:sz w:val="20"/>
              </w:rPr>
              <w:t xml:space="preserve"> </w:t>
            </w:r>
          </w:p>
        </w:tc>
        <w:tc>
          <w:tcPr>
            <w:tcW w:w="0" w:type="auto"/>
            <w:vMerge/>
            <w:tcBorders>
              <w:top w:val="nil"/>
              <w:left w:val="double" w:sz="6" w:space="0" w:color="000000"/>
              <w:bottom w:val="nil"/>
              <w:right w:val="nil"/>
            </w:tcBorders>
          </w:tcPr>
          <w:p w:rsidR="00E8309B" w:rsidRDefault="00E8309B">
            <w:pPr>
              <w:spacing w:after="160" w:line="259" w:lineRule="auto"/>
              <w:ind w:left="0" w:right="0" w:firstLine="0"/>
              <w:jc w:val="left"/>
            </w:pPr>
          </w:p>
        </w:tc>
      </w:tr>
      <w:tr w:rsidR="00E8309B">
        <w:trPr>
          <w:trHeight w:val="266"/>
        </w:trPr>
        <w:tc>
          <w:tcPr>
            <w:tcW w:w="6762" w:type="dxa"/>
            <w:tcBorders>
              <w:top w:val="dashed" w:sz="4" w:space="0" w:color="000000"/>
              <w:left w:val="double" w:sz="6" w:space="0" w:color="000000"/>
              <w:bottom w:val="dashed" w:sz="4" w:space="0" w:color="000000"/>
              <w:right w:val="single" w:sz="4" w:space="0" w:color="000000"/>
            </w:tcBorders>
          </w:tcPr>
          <w:p w:rsidR="00E8309B" w:rsidRDefault="009D0949">
            <w:pPr>
              <w:spacing w:after="0" w:line="259" w:lineRule="auto"/>
              <w:ind w:left="2" w:right="0" w:firstLine="0"/>
              <w:jc w:val="left"/>
            </w:pPr>
            <w:r>
              <w:rPr>
                <w:sz w:val="20"/>
              </w:rPr>
              <w:t xml:space="preserve">Реални раст БДП-а </w:t>
            </w:r>
          </w:p>
        </w:tc>
        <w:tc>
          <w:tcPr>
            <w:tcW w:w="1076" w:type="dxa"/>
            <w:tcBorders>
              <w:top w:val="dashed" w:sz="4" w:space="0" w:color="000000"/>
              <w:left w:val="single" w:sz="4" w:space="0" w:color="000000"/>
              <w:bottom w:val="dashed" w:sz="4" w:space="0" w:color="000000"/>
              <w:right w:val="dashed" w:sz="4" w:space="0" w:color="000000"/>
            </w:tcBorders>
          </w:tcPr>
          <w:p w:rsidR="00E8309B" w:rsidRDefault="009D0949">
            <w:pPr>
              <w:spacing w:after="0" w:line="259" w:lineRule="auto"/>
              <w:ind w:left="3" w:right="0" w:firstLine="0"/>
              <w:jc w:val="center"/>
            </w:pPr>
            <w:r>
              <w:rPr>
                <w:sz w:val="20"/>
              </w:rPr>
              <w:t xml:space="preserve"> </w:t>
            </w:r>
          </w:p>
        </w:tc>
        <w:tc>
          <w:tcPr>
            <w:tcW w:w="1075"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2" w:firstLine="0"/>
              <w:jc w:val="center"/>
            </w:pPr>
            <w:r>
              <w:rPr>
                <w:sz w:val="20"/>
              </w:rPr>
              <w:t xml:space="preserve"> </w:t>
            </w:r>
          </w:p>
        </w:tc>
        <w:tc>
          <w:tcPr>
            <w:tcW w:w="1075"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2" w:firstLine="0"/>
              <w:jc w:val="center"/>
            </w:pPr>
            <w:r>
              <w:rPr>
                <w:sz w:val="20"/>
              </w:rPr>
              <w:t xml:space="preserve"> </w:t>
            </w:r>
          </w:p>
        </w:tc>
        <w:tc>
          <w:tcPr>
            <w:tcW w:w="1076"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3" w:right="0" w:firstLine="0"/>
              <w:jc w:val="center"/>
            </w:pPr>
            <w:r>
              <w:rPr>
                <w:sz w:val="20"/>
              </w:rPr>
              <w:t xml:space="preserve"> </w:t>
            </w:r>
          </w:p>
        </w:tc>
        <w:tc>
          <w:tcPr>
            <w:tcW w:w="1075"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2" w:right="0" w:firstLine="0"/>
              <w:jc w:val="center"/>
            </w:pPr>
            <w:r>
              <w:rPr>
                <w:sz w:val="20"/>
              </w:rPr>
              <w:t xml:space="preserve"> </w:t>
            </w:r>
          </w:p>
        </w:tc>
        <w:tc>
          <w:tcPr>
            <w:tcW w:w="1075"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2" w:right="0" w:firstLine="0"/>
              <w:jc w:val="center"/>
            </w:pPr>
            <w:r>
              <w:rPr>
                <w:sz w:val="20"/>
              </w:rPr>
              <w:t xml:space="preserve"> </w:t>
            </w:r>
          </w:p>
        </w:tc>
        <w:tc>
          <w:tcPr>
            <w:tcW w:w="1076" w:type="dxa"/>
            <w:tcBorders>
              <w:top w:val="dashed" w:sz="4" w:space="0" w:color="000000"/>
              <w:left w:val="dashed" w:sz="4" w:space="0" w:color="000000"/>
              <w:bottom w:val="dashed" w:sz="4" w:space="0" w:color="000000"/>
              <w:right w:val="double" w:sz="6" w:space="0" w:color="000000"/>
            </w:tcBorders>
          </w:tcPr>
          <w:p w:rsidR="00E8309B" w:rsidRDefault="009D0949">
            <w:pPr>
              <w:spacing w:after="0" w:line="259" w:lineRule="auto"/>
              <w:ind w:left="0" w:right="2" w:firstLine="0"/>
              <w:jc w:val="center"/>
            </w:pPr>
            <w:r>
              <w:rPr>
                <w:sz w:val="20"/>
              </w:rPr>
              <w:t xml:space="preserve"> </w:t>
            </w:r>
          </w:p>
        </w:tc>
        <w:tc>
          <w:tcPr>
            <w:tcW w:w="0" w:type="auto"/>
            <w:vMerge/>
            <w:tcBorders>
              <w:top w:val="nil"/>
              <w:left w:val="double" w:sz="6" w:space="0" w:color="000000"/>
              <w:bottom w:val="nil"/>
              <w:right w:val="nil"/>
            </w:tcBorders>
          </w:tcPr>
          <w:p w:rsidR="00E8309B" w:rsidRDefault="00E8309B">
            <w:pPr>
              <w:spacing w:after="160" w:line="259" w:lineRule="auto"/>
              <w:ind w:left="0" w:right="0" w:firstLine="0"/>
              <w:jc w:val="left"/>
            </w:pPr>
          </w:p>
        </w:tc>
      </w:tr>
      <w:tr w:rsidR="00E8309B">
        <w:trPr>
          <w:trHeight w:val="264"/>
        </w:trPr>
        <w:tc>
          <w:tcPr>
            <w:tcW w:w="6762" w:type="dxa"/>
            <w:tcBorders>
              <w:top w:val="dashed" w:sz="4" w:space="0" w:color="000000"/>
              <w:left w:val="double" w:sz="6" w:space="0" w:color="000000"/>
              <w:bottom w:val="dashed" w:sz="4" w:space="0" w:color="000000"/>
              <w:right w:val="single" w:sz="4" w:space="0" w:color="000000"/>
            </w:tcBorders>
          </w:tcPr>
          <w:p w:rsidR="00E8309B" w:rsidRDefault="009D0949">
            <w:pPr>
              <w:spacing w:after="0" w:line="259" w:lineRule="auto"/>
              <w:ind w:left="2" w:right="0" w:firstLine="0"/>
              <w:jc w:val="left"/>
            </w:pPr>
            <w:r>
              <w:rPr>
                <w:sz w:val="20"/>
              </w:rPr>
              <w:t xml:space="preserve">Стопа активности мушкараца (20-64 год.) </w:t>
            </w:r>
          </w:p>
        </w:tc>
        <w:tc>
          <w:tcPr>
            <w:tcW w:w="1076" w:type="dxa"/>
            <w:tcBorders>
              <w:top w:val="dashed" w:sz="4" w:space="0" w:color="000000"/>
              <w:left w:val="single" w:sz="4" w:space="0" w:color="000000"/>
              <w:bottom w:val="dashed" w:sz="4" w:space="0" w:color="000000"/>
              <w:right w:val="dashed" w:sz="4" w:space="0" w:color="000000"/>
            </w:tcBorders>
          </w:tcPr>
          <w:p w:rsidR="00E8309B" w:rsidRDefault="009D0949">
            <w:pPr>
              <w:spacing w:after="0" w:line="259" w:lineRule="auto"/>
              <w:ind w:left="3" w:right="0" w:firstLine="0"/>
              <w:jc w:val="center"/>
            </w:pPr>
            <w:r>
              <w:rPr>
                <w:sz w:val="20"/>
              </w:rPr>
              <w:t xml:space="preserve"> </w:t>
            </w:r>
          </w:p>
        </w:tc>
        <w:tc>
          <w:tcPr>
            <w:tcW w:w="1075"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2" w:firstLine="0"/>
              <w:jc w:val="center"/>
            </w:pPr>
            <w:r>
              <w:rPr>
                <w:sz w:val="20"/>
              </w:rPr>
              <w:t xml:space="preserve"> </w:t>
            </w:r>
          </w:p>
        </w:tc>
        <w:tc>
          <w:tcPr>
            <w:tcW w:w="1075"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2" w:firstLine="0"/>
              <w:jc w:val="center"/>
            </w:pPr>
            <w:r>
              <w:rPr>
                <w:sz w:val="20"/>
              </w:rPr>
              <w:t xml:space="preserve"> </w:t>
            </w:r>
          </w:p>
        </w:tc>
        <w:tc>
          <w:tcPr>
            <w:tcW w:w="1076"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3" w:right="0" w:firstLine="0"/>
              <w:jc w:val="center"/>
            </w:pPr>
            <w:r>
              <w:rPr>
                <w:sz w:val="20"/>
              </w:rPr>
              <w:t xml:space="preserve"> </w:t>
            </w:r>
          </w:p>
        </w:tc>
        <w:tc>
          <w:tcPr>
            <w:tcW w:w="1075"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2" w:right="0" w:firstLine="0"/>
              <w:jc w:val="center"/>
            </w:pPr>
            <w:r>
              <w:rPr>
                <w:sz w:val="20"/>
              </w:rPr>
              <w:t xml:space="preserve"> </w:t>
            </w:r>
          </w:p>
        </w:tc>
        <w:tc>
          <w:tcPr>
            <w:tcW w:w="1075"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2" w:right="0" w:firstLine="0"/>
              <w:jc w:val="center"/>
            </w:pPr>
            <w:r>
              <w:rPr>
                <w:sz w:val="20"/>
              </w:rPr>
              <w:t xml:space="preserve"> </w:t>
            </w:r>
          </w:p>
        </w:tc>
        <w:tc>
          <w:tcPr>
            <w:tcW w:w="1076" w:type="dxa"/>
            <w:tcBorders>
              <w:top w:val="dashed" w:sz="4" w:space="0" w:color="000000"/>
              <w:left w:val="dashed" w:sz="4" w:space="0" w:color="000000"/>
              <w:bottom w:val="dashed" w:sz="4" w:space="0" w:color="000000"/>
              <w:right w:val="double" w:sz="6" w:space="0" w:color="000000"/>
            </w:tcBorders>
          </w:tcPr>
          <w:p w:rsidR="00E8309B" w:rsidRDefault="009D0949">
            <w:pPr>
              <w:spacing w:after="0" w:line="259" w:lineRule="auto"/>
              <w:ind w:left="0" w:right="2" w:firstLine="0"/>
              <w:jc w:val="center"/>
            </w:pPr>
            <w:r>
              <w:rPr>
                <w:sz w:val="20"/>
              </w:rPr>
              <w:t xml:space="preserve"> </w:t>
            </w:r>
          </w:p>
        </w:tc>
        <w:tc>
          <w:tcPr>
            <w:tcW w:w="0" w:type="auto"/>
            <w:vMerge/>
            <w:tcBorders>
              <w:top w:val="nil"/>
              <w:left w:val="double" w:sz="6" w:space="0" w:color="000000"/>
              <w:bottom w:val="nil"/>
              <w:right w:val="nil"/>
            </w:tcBorders>
          </w:tcPr>
          <w:p w:rsidR="00E8309B" w:rsidRDefault="00E8309B">
            <w:pPr>
              <w:spacing w:after="160" w:line="259" w:lineRule="auto"/>
              <w:ind w:left="0" w:right="0" w:firstLine="0"/>
              <w:jc w:val="left"/>
            </w:pPr>
          </w:p>
        </w:tc>
      </w:tr>
      <w:tr w:rsidR="00E8309B">
        <w:trPr>
          <w:trHeight w:val="265"/>
        </w:trPr>
        <w:tc>
          <w:tcPr>
            <w:tcW w:w="6762" w:type="dxa"/>
            <w:tcBorders>
              <w:top w:val="dashed" w:sz="4" w:space="0" w:color="000000"/>
              <w:left w:val="double" w:sz="6" w:space="0" w:color="000000"/>
              <w:bottom w:val="dashed" w:sz="4" w:space="0" w:color="000000"/>
              <w:right w:val="single" w:sz="4" w:space="0" w:color="000000"/>
            </w:tcBorders>
          </w:tcPr>
          <w:p w:rsidR="00E8309B" w:rsidRDefault="009D0949">
            <w:pPr>
              <w:spacing w:after="0" w:line="259" w:lineRule="auto"/>
              <w:ind w:left="2" w:right="0" w:firstLine="0"/>
              <w:jc w:val="left"/>
            </w:pPr>
            <w:r>
              <w:rPr>
                <w:sz w:val="20"/>
              </w:rPr>
              <w:t xml:space="preserve">Стопа активности жена (20-64 год.) </w:t>
            </w:r>
          </w:p>
        </w:tc>
        <w:tc>
          <w:tcPr>
            <w:tcW w:w="1076" w:type="dxa"/>
            <w:tcBorders>
              <w:top w:val="dashed" w:sz="4" w:space="0" w:color="000000"/>
              <w:left w:val="single" w:sz="4" w:space="0" w:color="000000"/>
              <w:bottom w:val="dashed" w:sz="4" w:space="0" w:color="000000"/>
              <w:right w:val="dashed" w:sz="4" w:space="0" w:color="000000"/>
            </w:tcBorders>
          </w:tcPr>
          <w:p w:rsidR="00E8309B" w:rsidRDefault="009D0949">
            <w:pPr>
              <w:spacing w:after="0" w:line="259" w:lineRule="auto"/>
              <w:ind w:left="3" w:right="0" w:firstLine="0"/>
              <w:jc w:val="center"/>
            </w:pPr>
            <w:r>
              <w:rPr>
                <w:sz w:val="20"/>
              </w:rPr>
              <w:t xml:space="preserve"> </w:t>
            </w:r>
          </w:p>
        </w:tc>
        <w:tc>
          <w:tcPr>
            <w:tcW w:w="1075"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2" w:firstLine="0"/>
              <w:jc w:val="center"/>
            </w:pPr>
            <w:r>
              <w:rPr>
                <w:sz w:val="20"/>
              </w:rPr>
              <w:t xml:space="preserve"> </w:t>
            </w:r>
          </w:p>
        </w:tc>
        <w:tc>
          <w:tcPr>
            <w:tcW w:w="1075"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2" w:firstLine="0"/>
              <w:jc w:val="center"/>
            </w:pPr>
            <w:r>
              <w:rPr>
                <w:sz w:val="20"/>
              </w:rPr>
              <w:t xml:space="preserve"> </w:t>
            </w:r>
          </w:p>
        </w:tc>
        <w:tc>
          <w:tcPr>
            <w:tcW w:w="1076"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3" w:right="0" w:firstLine="0"/>
              <w:jc w:val="center"/>
            </w:pPr>
            <w:r>
              <w:rPr>
                <w:sz w:val="20"/>
              </w:rPr>
              <w:t xml:space="preserve"> </w:t>
            </w:r>
          </w:p>
        </w:tc>
        <w:tc>
          <w:tcPr>
            <w:tcW w:w="1075"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2" w:right="0" w:firstLine="0"/>
              <w:jc w:val="center"/>
            </w:pPr>
            <w:r>
              <w:rPr>
                <w:sz w:val="20"/>
              </w:rPr>
              <w:t xml:space="preserve"> </w:t>
            </w:r>
          </w:p>
        </w:tc>
        <w:tc>
          <w:tcPr>
            <w:tcW w:w="1075"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2" w:right="0" w:firstLine="0"/>
              <w:jc w:val="center"/>
            </w:pPr>
            <w:r>
              <w:rPr>
                <w:sz w:val="20"/>
              </w:rPr>
              <w:t xml:space="preserve"> </w:t>
            </w:r>
          </w:p>
        </w:tc>
        <w:tc>
          <w:tcPr>
            <w:tcW w:w="1076" w:type="dxa"/>
            <w:tcBorders>
              <w:top w:val="dashed" w:sz="4" w:space="0" w:color="000000"/>
              <w:left w:val="dashed" w:sz="4" w:space="0" w:color="000000"/>
              <w:bottom w:val="dashed" w:sz="4" w:space="0" w:color="000000"/>
              <w:right w:val="double" w:sz="6" w:space="0" w:color="000000"/>
            </w:tcBorders>
          </w:tcPr>
          <w:p w:rsidR="00E8309B" w:rsidRDefault="009D0949">
            <w:pPr>
              <w:spacing w:after="0" w:line="259" w:lineRule="auto"/>
              <w:ind w:left="0" w:right="2" w:firstLine="0"/>
              <w:jc w:val="center"/>
            </w:pPr>
            <w:r>
              <w:rPr>
                <w:sz w:val="20"/>
              </w:rPr>
              <w:t xml:space="preserve"> </w:t>
            </w:r>
          </w:p>
        </w:tc>
        <w:tc>
          <w:tcPr>
            <w:tcW w:w="0" w:type="auto"/>
            <w:vMerge/>
            <w:tcBorders>
              <w:top w:val="nil"/>
              <w:left w:val="double" w:sz="6" w:space="0" w:color="000000"/>
              <w:bottom w:val="nil"/>
              <w:right w:val="nil"/>
            </w:tcBorders>
          </w:tcPr>
          <w:p w:rsidR="00E8309B" w:rsidRDefault="00E8309B">
            <w:pPr>
              <w:spacing w:after="160" w:line="259" w:lineRule="auto"/>
              <w:ind w:left="0" w:right="0" w:firstLine="0"/>
              <w:jc w:val="left"/>
            </w:pPr>
          </w:p>
        </w:tc>
      </w:tr>
      <w:tr w:rsidR="00E8309B">
        <w:trPr>
          <w:trHeight w:val="266"/>
        </w:trPr>
        <w:tc>
          <w:tcPr>
            <w:tcW w:w="6762" w:type="dxa"/>
            <w:tcBorders>
              <w:top w:val="dashed" w:sz="4" w:space="0" w:color="000000"/>
              <w:left w:val="double" w:sz="6" w:space="0" w:color="000000"/>
              <w:bottom w:val="dashed" w:sz="4" w:space="0" w:color="000000"/>
              <w:right w:val="single" w:sz="4" w:space="0" w:color="000000"/>
            </w:tcBorders>
          </w:tcPr>
          <w:p w:rsidR="00E8309B" w:rsidRDefault="009D0949">
            <w:pPr>
              <w:spacing w:after="0" w:line="259" w:lineRule="auto"/>
              <w:ind w:left="2" w:right="0" w:firstLine="0"/>
              <w:jc w:val="left"/>
            </w:pPr>
            <w:r>
              <w:rPr>
                <w:sz w:val="20"/>
              </w:rPr>
              <w:t xml:space="preserve">Општа стопа активности (20-64 год.) </w:t>
            </w:r>
          </w:p>
        </w:tc>
        <w:tc>
          <w:tcPr>
            <w:tcW w:w="1076" w:type="dxa"/>
            <w:tcBorders>
              <w:top w:val="dashed" w:sz="4" w:space="0" w:color="000000"/>
              <w:left w:val="single" w:sz="4" w:space="0" w:color="000000"/>
              <w:bottom w:val="dashed" w:sz="4" w:space="0" w:color="000000"/>
              <w:right w:val="dashed" w:sz="4" w:space="0" w:color="000000"/>
            </w:tcBorders>
          </w:tcPr>
          <w:p w:rsidR="00E8309B" w:rsidRDefault="009D0949">
            <w:pPr>
              <w:spacing w:after="0" w:line="259" w:lineRule="auto"/>
              <w:ind w:left="3" w:right="0" w:firstLine="0"/>
              <w:jc w:val="center"/>
            </w:pPr>
            <w:r>
              <w:rPr>
                <w:sz w:val="20"/>
              </w:rPr>
              <w:t xml:space="preserve"> </w:t>
            </w:r>
          </w:p>
        </w:tc>
        <w:tc>
          <w:tcPr>
            <w:tcW w:w="1075"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2" w:firstLine="0"/>
              <w:jc w:val="center"/>
            </w:pPr>
            <w:r>
              <w:rPr>
                <w:sz w:val="20"/>
              </w:rPr>
              <w:t xml:space="preserve"> </w:t>
            </w:r>
          </w:p>
        </w:tc>
        <w:tc>
          <w:tcPr>
            <w:tcW w:w="1075"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2" w:firstLine="0"/>
              <w:jc w:val="center"/>
            </w:pPr>
            <w:r>
              <w:rPr>
                <w:sz w:val="20"/>
              </w:rPr>
              <w:t xml:space="preserve"> </w:t>
            </w:r>
          </w:p>
        </w:tc>
        <w:tc>
          <w:tcPr>
            <w:tcW w:w="1076"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3" w:right="0" w:firstLine="0"/>
              <w:jc w:val="center"/>
            </w:pPr>
            <w:r>
              <w:rPr>
                <w:sz w:val="20"/>
              </w:rPr>
              <w:t xml:space="preserve"> </w:t>
            </w:r>
          </w:p>
        </w:tc>
        <w:tc>
          <w:tcPr>
            <w:tcW w:w="1075"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2" w:right="0" w:firstLine="0"/>
              <w:jc w:val="center"/>
            </w:pPr>
            <w:r>
              <w:rPr>
                <w:sz w:val="20"/>
              </w:rPr>
              <w:t xml:space="preserve"> </w:t>
            </w:r>
          </w:p>
        </w:tc>
        <w:tc>
          <w:tcPr>
            <w:tcW w:w="1075"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2" w:right="0" w:firstLine="0"/>
              <w:jc w:val="center"/>
            </w:pPr>
            <w:r>
              <w:rPr>
                <w:sz w:val="20"/>
              </w:rPr>
              <w:t xml:space="preserve"> </w:t>
            </w:r>
          </w:p>
        </w:tc>
        <w:tc>
          <w:tcPr>
            <w:tcW w:w="1076" w:type="dxa"/>
            <w:tcBorders>
              <w:top w:val="dashed" w:sz="4" w:space="0" w:color="000000"/>
              <w:left w:val="dashed" w:sz="4" w:space="0" w:color="000000"/>
              <w:bottom w:val="dashed" w:sz="4" w:space="0" w:color="000000"/>
              <w:right w:val="double" w:sz="6" w:space="0" w:color="000000"/>
            </w:tcBorders>
          </w:tcPr>
          <w:p w:rsidR="00E8309B" w:rsidRDefault="009D0949">
            <w:pPr>
              <w:spacing w:after="0" w:line="259" w:lineRule="auto"/>
              <w:ind w:left="0" w:right="2" w:firstLine="0"/>
              <w:jc w:val="center"/>
            </w:pPr>
            <w:r>
              <w:rPr>
                <w:sz w:val="20"/>
              </w:rPr>
              <w:t xml:space="preserve"> </w:t>
            </w:r>
          </w:p>
        </w:tc>
        <w:tc>
          <w:tcPr>
            <w:tcW w:w="0" w:type="auto"/>
            <w:vMerge/>
            <w:tcBorders>
              <w:top w:val="nil"/>
              <w:left w:val="double" w:sz="6" w:space="0" w:color="000000"/>
              <w:bottom w:val="nil"/>
              <w:right w:val="nil"/>
            </w:tcBorders>
          </w:tcPr>
          <w:p w:rsidR="00E8309B" w:rsidRDefault="00E8309B">
            <w:pPr>
              <w:spacing w:after="160" w:line="259" w:lineRule="auto"/>
              <w:ind w:left="0" w:right="0" w:firstLine="0"/>
              <w:jc w:val="left"/>
            </w:pPr>
          </w:p>
        </w:tc>
      </w:tr>
      <w:tr w:rsidR="00E8309B">
        <w:trPr>
          <w:trHeight w:val="264"/>
        </w:trPr>
        <w:tc>
          <w:tcPr>
            <w:tcW w:w="6762" w:type="dxa"/>
            <w:tcBorders>
              <w:top w:val="dashed" w:sz="4" w:space="0" w:color="000000"/>
              <w:left w:val="double" w:sz="6" w:space="0" w:color="000000"/>
              <w:bottom w:val="dashed" w:sz="4" w:space="0" w:color="000000"/>
              <w:right w:val="single" w:sz="4" w:space="0" w:color="000000"/>
            </w:tcBorders>
          </w:tcPr>
          <w:p w:rsidR="00E8309B" w:rsidRDefault="009D0949">
            <w:pPr>
              <w:spacing w:after="0" w:line="259" w:lineRule="auto"/>
              <w:ind w:left="2" w:right="0" w:firstLine="0"/>
              <w:jc w:val="left"/>
            </w:pPr>
            <w:r>
              <w:rPr>
                <w:sz w:val="20"/>
              </w:rPr>
              <w:t xml:space="preserve">Стопа незапослености </w:t>
            </w:r>
          </w:p>
        </w:tc>
        <w:tc>
          <w:tcPr>
            <w:tcW w:w="1076" w:type="dxa"/>
            <w:tcBorders>
              <w:top w:val="dashed" w:sz="4" w:space="0" w:color="000000"/>
              <w:left w:val="single" w:sz="4" w:space="0" w:color="000000"/>
              <w:bottom w:val="dashed" w:sz="4" w:space="0" w:color="000000"/>
              <w:right w:val="dashed" w:sz="4" w:space="0" w:color="000000"/>
            </w:tcBorders>
          </w:tcPr>
          <w:p w:rsidR="00E8309B" w:rsidRDefault="009D0949">
            <w:pPr>
              <w:spacing w:after="0" w:line="259" w:lineRule="auto"/>
              <w:ind w:left="3" w:right="0" w:firstLine="0"/>
              <w:jc w:val="center"/>
            </w:pPr>
            <w:r>
              <w:rPr>
                <w:sz w:val="20"/>
              </w:rPr>
              <w:t xml:space="preserve"> </w:t>
            </w:r>
          </w:p>
        </w:tc>
        <w:tc>
          <w:tcPr>
            <w:tcW w:w="1075"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2" w:firstLine="0"/>
              <w:jc w:val="center"/>
            </w:pPr>
            <w:r>
              <w:rPr>
                <w:sz w:val="20"/>
              </w:rPr>
              <w:t xml:space="preserve"> </w:t>
            </w:r>
          </w:p>
        </w:tc>
        <w:tc>
          <w:tcPr>
            <w:tcW w:w="1075"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2" w:firstLine="0"/>
              <w:jc w:val="center"/>
            </w:pPr>
            <w:r>
              <w:rPr>
                <w:sz w:val="20"/>
              </w:rPr>
              <w:t xml:space="preserve"> </w:t>
            </w:r>
          </w:p>
        </w:tc>
        <w:tc>
          <w:tcPr>
            <w:tcW w:w="1076"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3" w:right="0" w:firstLine="0"/>
              <w:jc w:val="center"/>
            </w:pPr>
            <w:r>
              <w:rPr>
                <w:sz w:val="20"/>
              </w:rPr>
              <w:t xml:space="preserve"> </w:t>
            </w:r>
          </w:p>
        </w:tc>
        <w:tc>
          <w:tcPr>
            <w:tcW w:w="1075"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2" w:right="0" w:firstLine="0"/>
              <w:jc w:val="center"/>
            </w:pPr>
            <w:r>
              <w:rPr>
                <w:sz w:val="20"/>
              </w:rPr>
              <w:t xml:space="preserve"> </w:t>
            </w:r>
          </w:p>
        </w:tc>
        <w:tc>
          <w:tcPr>
            <w:tcW w:w="1075"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2" w:right="0" w:firstLine="0"/>
              <w:jc w:val="center"/>
            </w:pPr>
            <w:r>
              <w:rPr>
                <w:sz w:val="20"/>
              </w:rPr>
              <w:t xml:space="preserve"> </w:t>
            </w:r>
          </w:p>
        </w:tc>
        <w:tc>
          <w:tcPr>
            <w:tcW w:w="1076" w:type="dxa"/>
            <w:tcBorders>
              <w:top w:val="dashed" w:sz="4" w:space="0" w:color="000000"/>
              <w:left w:val="dashed" w:sz="4" w:space="0" w:color="000000"/>
              <w:bottom w:val="dashed" w:sz="4" w:space="0" w:color="000000"/>
              <w:right w:val="double" w:sz="6" w:space="0" w:color="000000"/>
            </w:tcBorders>
          </w:tcPr>
          <w:p w:rsidR="00E8309B" w:rsidRDefault="009D0949">
            <w:pPr>
              <w:spacing w:after="0" w:line="259" w:lineRule="auto"/>
              <w:ind w:left="0" w:right="2" w:firstLine="0"/>
              <w:jc w:val="center"/>
            </w:pPr>
            <w:r>
              <w:rPr>
                <w:sz w:val="20"/>
              </w:rPr>
              <w:t xml:space="preserve"> </w:t>
            </w:r>
          </w:p>
        </w:tc>
        <w:tc>
          <w:tcPr>
            <w:tcW w:w="0" w:type="auto"/>
            <w:vMerge/>
            <w:tcBorders>
              <w:top w:val="nil"/>
              <w:left w:val="double" w:sz="6" w:space="0" w:color="000000"/>
              <w:bottom w:val="nil"/>
              <w:right w:val="nil"/>
            </w:tcBorders>
          </w:tcPr>
          <w:p w:rsidR="00E8309B" w:rsidRDefault="00E8309B">
            <w:pPr>
              <w:spacing w:after="160" w:line="259" w:lineRule="auto"/>
              <w:ind w:left="0" w:right="0" w:firstLine="0"/>
              <w:jc w:val="left"/>
            </w:pPr>
          </w:p>
        </w:tc>
      </w:tr>
      <w:tr w:rsidR="00E8309B">
        <w:trPr>
          <w:trHeight w:val="300"/>
        </w:trPr>
        <w:tc>
          <w:tcPr>
            <w:tcW w:w="6762" w:type="dxa"/>
            <w:tcBorders>
              <w:top w:val="dashed" w:sz="4" w:space="0" w:color="000000"/>
              <w:left w:val="double" w:sz="6" w:space="0" w:color="000000"/>
              <w:bottom w:val="double" w:sz="6" w:space="0" w:color="000000"/>
              <w:right w:val="single" w:sz="4" w:space="0" w:color="000000"/>
            </w:tcBorders>
          </w:tcPr>
          <w:p w:rsidR="00E8309B" w:rsidRDefault="009D0949">
            <w:pPr>
              <w:spacing w:after="0" w:line="259" w:lineRule="auto"/>
              <w:ind w:left="2" w:right="0" w:firstLine="0"/>
              <w:jc w:val="left"/>
            </w:pPr>
            <w:r>
              <w:rPr>
                <w:sz w:val="20"/>
              </w:rPr>
              <w:t xml:space="preserve">Становништво узраста 65+ у укупном становништву </w:t>
            </w:r>
          </w:p>
        </w:tc>
        <w:tc>
          <w:tcPr>
            <w:tcW w:w="1076" w:type="dxa"/>
            <w:tcBorders>
              <w:top w:val="dashed" w:sz="4" w:space="0" w:color="000000"/>
              <w:left w:val="single" w:sz="4" w:space="0" w:color="000000"/>
              <w:bottom w:val="double" w:sz="6" w:space="0" w:color="000000"/>
              <w:right w:val="dashed" w:sz="4" w:space="0" w:color="000000"/>
            </w:tcBorders>
          </w:tcPr>
          <w:p w:rsidR="00E8309B" w:rsidRDefault="009D0949">
            <w:pPr>
              <w:spacing w:after="0" w:line="259" w:lineRule="auto"/>
              <w:ind w:left="3" w:right="0" w:firstLine="0"/>
              <w:jc w:val="center"/>
            </w:pPr>
            <w:r>
              <w:rPr>
                <w:b/>
                <w:sz w:val="20"/>
              </w:rPr>
              <w:t xml:space="preserve"> </w:t>
            </w:r>
          </w:p>
        </w:tc>
        <w:tc>
          <w:tcPr>
            <w:tcW w:w="1075" w:type="dxa"/>
            <w:tcBorders>
              <w:top w:val="dashed" w:sz="4" w:space="0" w:color="000000"/>
              <w:left w:val="dashed" w:sz="4" w:space="0" w:color="000000"/>
              <w:bottom w:val="double" w:sz="6" w:space="0" w:color="000000"/>
              <w:right w:val="dashed" w:sz="4" w:space="0" w:color="000000"/>
            </w:tcBorders>
          </w:tcPr>
          <w:p w:rsidR="00E8309B" w:rsidRDefault="009D0949">
            <w:pPr>
              <w:spacing w:after="0" w:line="259" w:lineRule="auto"/>
              <w:ind w:left="0" w:right="2" w:firstLine="0"/>
              <w:jc w:val="center"/>
            </w:pPr>
            <w:r>
              <w:rPr>
                <w:sz w:val="20"/>
              </w:rPr>
              <w:t xml:space="preserve"> </w:t>
            </w:r>
          </w:p>
        </w:tc>
        <w:tc>
          <w:tcPr>
            <w:tcW w:w="1075" w:type="dxa"/>
            <w:tcBorders>
              <w:top w:val="dashed" w:sz="4" w:space="0" w:color="000000"/>
              <w:left w:val="dashed" w:sz="4" w:space="0" w:color="000000"/>
              <w:bottom w:val="double" w:sz="6" w:space="0" w:color="000000"/>
              <w:right w:val="dashed" w:sz="4" w:space="0" w:color="000000"/>
            </w:tcBorders>
          </w:tcPr>
          <w:p w:rsidR="00E8309B" w:rsidRDefault="009D0949">
            <w:pPr>
              <w:spacing w:after="0" w:line="259" w:lineRule="auto"/>
              <w:ind w:left="0" w:right="2" w:firstLine="0"/>
              <w:jc w:val="center"/>
            </w:pPr>
            <w:r>
              <w:rPr>
                <w:sz w:val="20"/>
              </w:rPr>
              <w:t xml:space="preserve"> </w:t>
            </w:r>
          </w:p>
        </w:tc>
        <w:tc>
          <w:tcPr>
            <w:tcW w:w="1076" w:type="dxa"/>
            <w:tcBorders>
              <w:top w:val="dashed" w:sz="4" w:space="0" w:color="000000"/>
              <w:left w:val="dashed" w:sz="4" w:space="0" w:color="000000"/>
              <w:bottom w:val="double" w:sz="6" w:space="0" w:color="000000"/>
              <w:right w:val="dashed" w:sz="4" w:space="0" w:color="000000"/>
            </w:tcBorders>
          </w:tcPr>
          <w:p w:rsidR="00E8309B" w:rsidRDefault="009D0949">
            <w:pPr>
              <w:spacing w:after="0" w:line="259" w:lineRule="auto"/>
              <w:ind w:left="3" w:right="0" w:firstLine="0"/>
              <w:jc w:val="center"/>
            </w:pPr>
            <w:r>
              <w:rPr>
                <w:sz w:val="20"/>
              </w:rPr>
              <w:t xml:space="preserve"> </w:t>
            </w:r>
          </w:p>
        </w:tc>
        <w:tc>
          <w:tcPr>
            <w:tcW w:w="1075" w:type="dxa"/>
            <w:tcBorders>
              <w:top w:val="dashed" w:sz="4" w:space="0" w:color="000000"/>
              <w:left w:val="dashed" w:sz="4" w:space="0" w:color="000000"/>
              <w:bottom w:val="double" w:sz="6" w:space="0" w:color="000000"/>
              <w:right w:val="dashed" w:sz="4" w:space="0" w:color="000000"/>
            </w:tcBorders>
          </w:tcPr>
          <w:p w:rsidR="00E8309B" w:rsidRDefault="009D0949">
            <w:pPr>
              <w:spacing w:after="0" w:line="259" w:lineRule="auto"/>
              <w:ind w:left="2" w:right="0" w:firstLine="0"/>
              <w:jc w:val="center"/>
            </w:pPr>
            <w:r>
              <w:rPr>
                <w:sz w:val="20"/>
              </w:rPr>
              <w:t xml:space="preserve"> </w:t>
            </w:r>
          </w:p>
        </w:tc>
        <w:tc>
          <w:tcPr>
            <w:tcW w:w="1075" w:type="dxa"/>
            <w:tcBorders>
              <w:top w:val="dashed" w:sz="4" w:space="0" w:color="000000"/>
              <w:left w:val="dashed" w:sz="4" w:space="0" w:color="000000"/>
              <w:bottom w:val="double" w:sz="6" w:space="0" w:color="000000"/>
              <w:right w:val="dashed" w:sz="4" w:space="0" w:color="000000"/>
            </w:tcBorders>
          </w:tcPr>
          <w:p w:rsidR="00E8309B" w:rsidRDefault="009D0949">
            <w:pPr>
              <w:spacing w:after="0" w:line="259" w:lineRule="auto"/>
              <w:ind w:left="2" w:right="0" w:firstLine="0"/>
              <w:jc w:val="center"/>
            </w:pPr>
            <w:r>
              <w:rPr>
                <w:sz w:val="20"/>
              </w:rPr>
              <w:t xml:space="preserve"> </w:t>
            </w:r>
          </w:p>
        </w:tc>
        <w:tc>
          <w:tcPr>
            <w:tcW w:w="1076" w:type="dxa"/>
            <w:tcBorders>
              <w:top w:val="dashed" w:sz="4" w:space="0" w:color="000000"/>
              <w:left w:val="dashed" w:sz="4" w:space="0" w:color="000000"/>
              <w:bottom w:val="double" w:sz="6" w:space="0" w:color="000000"/>
              <w:right w:val="double" w:sz="6" w:space="0" w:color="000000"/>
            </w:tcBorders>
          </w:tcPr>
          <w:p w:rsidR="00E8309B" w:rsidRDefault="009D0949">
            <w:pPr>
              <w:spacing w:after="0" w:line="259" w:lineRule="auto"/>
              <w:ind w:left="0" w:right="2" w:firstLine="0"/>
              <w:jc w:val="center"/>
            </w:pPr>
            <w:r>
              <w:rPr>
                <w:sz w:val="20"/>
              </w:rPr>
              <w:t xml:space="preserve"> </w:t>
            </w:r>
          </w:p>
        </w:tc>
        <w:tc>
          <w:tcPr>
            <w:tcW w:w="0" w:type="auto"/>
            <w:vMerge/>
            <w:tcBorders>
              <w:top w:val="nil"/>
              <w:left w:val="double" w:sz="6" w:space="0" w:color="000000"/>
              <w:bottom w:val="single" w:sz="18" w:space="0" w:color="FFFFFF"/>
              <w:right w:val="nil"/>
            </w:tcBorders>
          </w:tcPr>
          <w:p w:rsidR="00E8309B" w:rsidRDefault="00E8309B">
            <w:pPr>
              <w:spacing w:after="160" w:line="259" w:lineRule="auto"/>
              <w:ind w:left="0" w:right="0" w:firstLine="0"/>
              <w:jc w:val="left"/>
            </w:pPr>
          </w:p>
        </w:tc>
      </w:tr>
    </w:tbl>
    <w:p w:rsidR="00E8309B" w:rsidRDefault="009D0949">
      <w:pPr>
        <w:spacing w:after="0" w:line="259" w:lineRule="auto"/>
        <w:ind w:left="0" w:right="25" w:firstLine="0"/>
        <w:jc w:val="right"/>
      </w:pPr>
      <w:r>
        <w:rPr>
          <w:sz w:val="20"/>
        </w:rPr>
        <w:t xml:space="preserve">  </w:t>
      </w:r>
      <w:r>
        <w:rPr>
          <w:sz w:val="20"/>
        </w:rPr>
        <w:tab/>
        <w:t xml:space="preserve">  </w:t>
      </w:r>
      <w:r>
        <w:rPr>
          <w:sz w:val="20"/>
        </w:rPr>
        <w:tab/>
        <w:t xml:space="preserve">  </w:t>
      </w:r>
      <w:r>
        <w:rPr>
          <w:sz w:val="20"/>
        </w:rPr>
        <w:tab/>
        <w:t xml:space="preserve">  </w:t>
      </w:r>
      <w:r>
        <w:rPr>
          <w:sz w:val="20"/>
        </w:rPr>
        <w:tab/>
        <w:t xml:space="preserve">  </w:t>
      </w:r>
      <w:r>
        <w:rPr>
          <w:sz w:val="20"/>
        </w:rPr>
        <w:tab/>
        <w:t xml:space="preserve">  </w:t>
      </w:r>
      <w:r>
        <w:rPr>
          <w:sz w:val="20"/>
        </w:rPr>
        <w:tab/>
        <w:t xml:space="preserve">  </w:t>
      </w:r>
      <w:r>
        <w:rPr>
          <w:sz w:val="20"/>
        </w:rPr>
        <w:tab/>
        <w:t xml:space="preserve">  </w:t>
      </w:r>
      <w:r>
        <w:rPr>
          <w:sz w:val="20"/>
        </w:rPr>
        <w:tab/>
        <w:t xml:space="preserve">  </w:t>
      </w:r>
    </w:p>
    <w:tbl>
      <w:tblPr>
        <w:tblStyle w:val="TableGrid"/>
        <w:tblW w:w="10355" w:type="dxa"/>
        <w:tblInd w:w="0" w:type="dxa"/>
        <w:tblCellMar>
          <w:top w:w="26" w:type="dxa"/>
          <w:left w:w="110" w:type="dxa"/>
          <w:bottom w:w="0" w:type="dxa"/>
          <w:right w:w="58" w:type="dxa"/>
        </w:tblCellMar>
        <w:tblLook w:val="04A0" w:firstRow="1" w:lastRow="0" w:firstColumn="1" w:lastColumn="0" w:noHBand="0" w:noVBand="1"/>
      </w:tblPr>
      <w:tblGrid>
        <w:gridCol w:w="6762"/>
        <w:gridCol w:w="1606"/>
        <w:gridCol w:w="994"/>
        <w:gridCol w:w="994"/>
      </w:tblGrid>
      <w:tr w:rsidR="00E8309B">
        <w:trPr>
          <w:trHeight w:val="331"/>
        </w:trPr>
        <w:tc>
          <w:tcPr>
            <w:tcW w:w="6762" w:type="dxa"/>
            <w:tcBorders>
              <w:top w:val="double" w:sz="6" w:space="0" w:color="000000"/>
              <w:left w:val="double" w:sz="6" w:space="0" w:color="000000"/>
              <w:bottom w:val="double" w:sz="6" w:space="0" w:color="000000"/>
              <w:right w:val="single" w:sz="8" w:space="0" w:color="000000"/>
            </w:tcBorders>
          </w:tcPr>
          <w:p w:rsidR="00E8309B" w:rsidRDefault="009D0949">
            <w:pPr>
              <w:spacing w:after="0" w:line="259" w:lineRule="auto"/>
              <w:ind w:left="0" w:right="0" w:firstLine="0"/>
              <w:jc w:val="left"/>
            </w:pPr>
            <w:r>
              <w:rPr>
                <w:b/>
                <w:sz w:val="20"/>
              </w:rPr>
              <w:t xml:space="preserve">Table 7a: Индиректне обавезе </w:t>
            </w:r>
          </w:p>
        </w:tc>
        <w:tc>
          <w:tcPr>
            <w:tcW w:w="1606" w:type="dxa"/>
            <w:tcBorders>
              <w:top w:val="double" w:sz="6" w:space="0" w:color="000000"/>
              <w:left w:val="single" w:sz="8" w:space="0" w:color="000000"/>
              <w:bottom w:val="double" w:sz="6" w:space="0" w:color="000000"/>
              <w:right w:val="single" w:sz="8" w:space="0" w:color="000000"/>
            </w:tcBorders>
          </w:tcPr>
          <w:p w:rsidR="00E8309B" w:rsidRDefault="009D0949">
            <w:pPr>
              <w:spacing w:after="0" w:line="259" w:lineRule="auto"/>
              <w:ind w:left="3" w:right="0" w:firstLine="0"/>
              <w:jc w:val="center"/>
            </w:pPr>
            <w:r>
              <w:rPr>
                <w:sz w:val="20"/>
              </w:rPr>
              <w:t xml:space="preserve">  </w:t>
            </w:r>
          </w:p>
        </w:tc>
        <w:tc>
          <w:tcPr>
            <w:tcW w:w="994" w:type="dxa"/>
            <w:tcBorders>
              <w:top w:val="double" w:sz="6" w:space="0" w:color="000000"/>
              <w:left w:val="single" w:sz="8" w:space="0" w:color="000000"/>
              <w:bottom w:val="double" w:sz="6" w:space="0" w:color="000000"/>
              <w:right w:val="dashed" w:sz="4" w:space="0" w:color="000000"/>
            </w:tcBorders>
          </w:tcPr>
          <w:p w:rsidR="00E8309B" w:rsidRDefault="009D0949">
            <w:pPr>
              <w:spacing w:after="0" w:line="259" w:lineRule="auto"/>
              <w:ind w:left="0" w:right="49" w:firstLine="0"/>
              <w:jc w:val="right"/>
            </w:pPr>
            <w:r>
              <w:rPr>
                <w:sz w:val="20"/>
              </w:rPr>
              <w:t xml:space="preserve">2020 </w:t>
            </w:r>
          </w:p>
        </w:tc>
        <w:tc>
          <w:tcPr>
            <w:tcW w:w="994" w:type="dxa"/>
            <w:tcBorders>
              <w:top w:val="double" w:sz="6" w:space="0" w:color="000000"/>
              <w:left w:val="dashed" w:sz="4" w:space="0" w:color="000000"/>
              <w:bottom w:val="double" w:sz="6" w:space="0" w:color="000000"/>
              <w:right w:val="double" w:sz="6" w:space="0" w:color="000000"/>
            </w:tcBorders>
          </w:tcPr>
          <w:p w:rsidR="00E8309B" w:rsidRDefault="009D0949">
            <w:pPr>
              <w:spacing w:after="0" w:line="259" w:lineRule="auto"/>
              <w:ind w:left="0" w:right="49" w:firstLine="0"/>
              <w:jc w:val="right"/>
            </w:pPr>
            <w:r>
              <w:rPr>
                <w:sz w:val="20"/>
              </w:rPr>
              <w:t xml:space="preserve">2021 </w:t>
            </w:r>
          </w:p>
        </w:tc>
      </w:tr>
      <w:tr w:rsidR="00E8309B">
        <w:trPr>
          <w:trHeight w:val="298"/>
        </w:trPr>
        <w:tc>
          <w:tcPr>
            <w:tcW w:w="6762" w:type="dxa"/>
            <w:tcBorders>
              <w:top w:val="double" w:sz="6" w:space="0" w:color="000000"/>
              <w:left w:val="double" w:sz="6" w:space="0" w:color="000000"/>
              <w:bottom w:val="dashed" w:sz="4" w:space="0" w:color="000000"/>
              <w:right w:val="single" w:sz="8" w:space="0" w:color="000000"/>
            </w:tcBorders>
          </w:tcPr>
          <w:p w:rsidR="00E8309B" w:rsidRDefault="009D0949">
            <w:pPr>
              <w:spacing w:after="0" w:line="259" w:lineRule="auto"/>
              <w:ind w:left="0" w:right="0" w:firstLine="0"/>
              <w:jc w:val="left"/>
            </w:pPr>
            <w:r>
              <w:rPr>
                <w:sz w:val="20"/>
              </w:rPr>
              <w:t xml:space="preserve">Државне гаранције </w:t>
            </w:r>
          </w:p>
        </w:tc>
        <w:tc>
          <w:tcPr>
            <w:tcW w:w="1606" w:type="dxa"/>
            <w:tcBorders>
              <w:top w:val="double" w:sz="6" w:space="0" w:color="000000"/>
              <w:left w:val="single" w:sz="8" w:space="0" w:color="000000"/>
              <w:bottom w:val="dashed" w:sz="4" w:space="0" w:color="000000"/>
              <w:right w:val="single" w:sz="8" w:space="0" w:color="000000"/>
            </w:tcBorders>
          </w:tcPr>
          <w:p w:rsidR="00E8309B" w:rsidRDefault="009D0949">
            <w:pPr>
              <w:spacing w:after="0" w:line="259" w:lineRule="auto"/>
              <w:ind w:left="0" w:right="51" w:firstLine="0"/>
              <w:jc w:val="center"/>
            </w:pPr>
            <w:r>
              <w:rPr>
                <w:sz w:val="20"/>
              </w:rPr>
              <w:t xml:space="preserve">млрд РСД </w:t>
            </w:r>
          </w:p>
        </w:tc>
        <w:tc>
          <w:tcPr>
            <w:tcW w:w="994" w:type="dxa"/>
            <w:tcBorders>
              <w:top w:val="double" w:sz="6" w:space="0" w:color="000000"/>
              <w:left w:val="single" w:sz="8" w:space="0" w:color="000000"/>
              <w:bottom w:val="dashed" w:sz="4" w:space="0" w:color="000000"/>
              <w:right w:val="dashed" w:sz="4" w:space="0" w:color="000000"/>
            </w:tcBorders>
          </w:tcPr>
          <w:p w:rsidR="00E8309B" w:rsidRDefault="009D0949">
            <w:pPr>
              <w:spacing w:after="0" w:line="259" w:lineRule="auto"/>
              <w:ind w:left="0" w:right="49" w:firstLine="0"/>
              <w:jc w:val="right"/>
            </w:pPr>
            <w:r>
              <w:rPr>
                <w:sz w:val="20"/>
              </w:rPr>
              <w:t xml:space="preserve">175,1  </w:t>
            </w:r>
          </w:p>
        </w:tc>
        <w:tc>
          <w:tcPr>
            <w:tcW w:w="994" w:type="dxa"/>
            <w:tcBorders>
              <w:top w:val="double" w:sz="6" w:space="0" w:color="000000"/>
              <w:left w:val="dashed" w:sz="4" w:space="0" w:color="000000"/>
              <w:bottom w:val="dashed" w:sz="4" w:space="0" w:color="000000"/>
              <w:right w:val="double" w:sz="6" w:space="0" w:color="000000"/>
            </w:tcBorders>
          </w:tcPr>
          <w:p w:rsidR="00E8309B" w:rsidRDefault="009D0949">
            <w:pPr>
              <w:spacing w:after="0" w:line="259" w:lineRule="auto"/>
              <w:ind w:left="0" w:right="50" w:firstLine="0"/>
              <w:jc w:val="right"/>
            </w:pPr>
            <w:r>
              <w:rPr>
                <w:sz w:val="20"/>
              </w:rPr>
              <w:t xml:space="preserve">166,8 </w:t>
            </w:r>
          </w:p>
        </w:tc>
      </w:tr>
      <w:tr w:rsidR="00E8309B">
        <w:trPr>
          <w:trHeight w:val="298"/>
        </w:trPr>
        <w:tc>
          <w:tcPr>
            <w:tcW w:w="6762" w:type="dxa"/>
            <w:tcBorders>
              <w:top w:val="dashed" w:sz="4" w:space="0" w:color="000000"/>
              <w:left w:val="double" w:sz="6" w:space="0" w:color="000000"/>
              <w:bottom w:val="double" w:sz="6" w:space="0" w:color="000000"/>
              <w:right w:val="single" w:sz="8" w:space="0" w:color="000000"/>
            </w:tcBorders>
          </w:tcPr>
          <w:p w:rsidR="00E8309B" w:rsidRDefault="009D0949">
            <w:pPr>
              <w:spacing w:after="0" w:line="259" w:lineRule="auto"/>
              <w:ind w:left="0" w:right="0" w:firstLine="0"/>
              <w:jc w:val="left"/>
            </w:pPr>
            <w:r>
              <w:rPr>
                <w:i/>
                <w:sz w:val="20"/>
              </w:rPr>
              <w:t xml:space="preserve">Од чега: везано за финансијски сектор </w:t>
            </w:r>
          </w:p>
        </w:tc>
        <w:tc>
          <w:tcPr>
            <w:tcW w:w="1606" w:type="dxa"/>
            <w:tcBorders>
              <w:top w:val="dashed" w:sz="4" w:space="0" w:color="000000"/>
              <w:left w:val="single" w:sz="8" w:space="0" w:color="000000"/>
              <w:bottom w:val="double" w:sz="6" w:space="0" w:color="000000"/>
              <w:right w:val="single" w:sz="8" w:space="0" w:color="000000"/>
            </w:tcBorders>
          </w:tcPr>
          <w:p w:rsidR="00E8309B" w:rsidRDefault="009D0949">
            <w:pPr>
              <w:spacing w:after="0" w:line="259" w:lineRule="auto"/>
              <w:ind w:left="0" w:right="51" w:firstLine="0"/>
              <w:jc w:val="center"/>
            </w:pPr>
            <w:r>
              <w:rPr>
                <w:sz w:val="20"/>
              </w:rPr>
              <w:t xml:space="preserve">млрд РСД </w:t>
            </w:r>
          </w:p>
        </w:tc>
        <w:tc>
          <w:tcPr>
            <w:tcW w:w="994" w:type="dxa"/>
            <w:tcBorders>
              <w:top w:val="dashed" w:sz="4" w:space="0" w:color="000000"/>
              <w:left w:val="single" w:sz="8" w:space="0" w:color="000000"/>
              <w:bottom w:val="double" w:sz="6" w:space="0" w:color="000000"/>
              <w:right w:val="dashed" w:sz="4" w:space="0" w:color="000000"/>
            </w:tcBorders>
          </w:tcPr>
          <w:p w:rsidR="00E8309B" w:rsidRDefault="00E8309B">
            <w:pPr>
              <w:spacing w:after="160" w:line="259" w:lineRule="auto"/>
              <w:ind w:left="0" w:right="0" w:firstLine="0"/>
              <w:jc w:val="left"/>
            </w:pPr>
          </w:p>
        </w:tc>
        <w:tc>
          <w:tcPr>
            <w:tcW w:w="994" w:type="dxa"/>
            <w:tcBorders>
              <w:top w:val="dashed" w:sz="4" w:space="0" w:color="000000"/>
              <w:left w:val="dashed" w:sz="4" w:space="0" w:color="000000"/>
              <w:bottom w:val="double" w:sz="6" w:space="0" w:color="000000"/>
              <w:right w:val="double" w:sz="6" w:space="0" w:color="000000"/>
            </w:tcBorders>
          </w:tcPr>
          <w:p w:rsidR="00E8309B" w:rsidRDefault="009D0949">
            <w:pPr>
              <w:spacing w:after="0" w:line="259" w:lineRule="auto"/>
              <w:ind w:left="0" w:right="49" w:firstLine="0"/>
              <w:jc w:val="right"/>
            </w:pPr>
            <w:r>
              <w:rPr>
                <w:sz w:val="16"/>
              </w:rPr>
              <w:t>Опционо</w:t>
            </w:r>
            <w:r>
              <w:rPr>
                <w:sz w:val="20"/>
              </w:rPr>
              <w:t xml:space="preserve"> </w:t>
            </w:r>
          </w:p>
        </w:tc>
      </w:tr>
    </w:tbl>
    <w:p w:rsidR="00E8309B" w:rsidRDefault="009D0949">
      <w:pPr>
        <w:spacing w:after="0" w:line="259" w:lineRule="auto"/>
        <w:ind w:left="0" w:right="0" w:firstLine="0"/>
        <w:jc w:val="left"/>
      </w:pPr>
      <w:r>
        <w:rPr>
          <w:sz w:val="22"/>
        </w:rPr>
        <w:t xml:space="preserve"> </w:t>
      </w:r>
    </w:p>
    <w:p w:rsidR="00E8309B" w:rsidRDefault="009D0949">
      <w:pPr>
        <w:tabs>
          <w:tab w:val="center" w:pos="2470"/>
          <w:tab w:val="center" w:pos="8245"/>
          <w:tab w:val="center" w:pos="9124"/>
          <w:tab w:val="center" w:pos="9971"/>
          <w:tab w:val="center" w:pos="10852"/>
          <w:tab w:val="center" w:pos="11700"/>
          <w:tab w:val="right" w:pos="14522"/>
        </w:tabs>
        <w:spacing w:after="0" w:line="259" w:lineRule="auto"/>
        <w:ind w:left="0" w:right="0" w:firstLine="0"/>
        <w:jc w:val="left"/>
      </w:pPr>
      <w:r>
        <w:rPr>
          <w:rFonts w:ascii="Calibri" w:eastAsia="Calibri" w:hAnsi="Calibri" w:cs="Calibri"/>
          <w:sz w:val="22"/>
        </w:rPr>
        <w:tab/>
      </w:r>
      <w:r>
        <w:rPr>
          <w:b/>
          <w:sz w:val="20"/>
        </w:rPr>
        <w:t xml:space="preserve">Табела 7: Дугорочна одрживост јавних финансија </w:t>
      </w:r>
      <w:r>
        <w:rPr>
          <w:b/>
          <w:sz w:val="20"/>
        </w:rPr>
        <w:tab/>
      </w:r>
      <w:r>
        <w:rPr>
          <w:sz w:val="20"/>
        </w:rPr>
        <w:t xml:space="preserve">  </w:t>
      </w:r>
      <w:r>
        <w:rPr>
          <w:sz w:val="20"/>
        </w:rPr>
        <w:tab/>
        <w:t xml:space="preserve">  </w:t>
      </w:r>
      <w:r>
        <w:rPr>
          <w:sz w:val="20"/>
        </w:rPr>
        <w:tab/>
        <w:t xml:space="preserve">  </w:t>
      </w:r>
      <w:r>
        <w:rPr>
          <w:sz w:val="20"/>
        </w:rPr>
        <w:tab/>
        <w:t xml:space="preserve">  </w:t>
      </w:r>
      <w:r>
        <w:rPr>
          <w:sz w:val="20"/>
        </w:rPr>
        <w:tab/>
      </w:r>
      <w:r>
        <w:rPr>
          <w:sz w:val="20"/>
          <w:u w:val="single" w:color="000000"/>
        </w:rPr>
        <w:t xml:space="preserve">  </w:t>
      </w:r>
      <w:r>
        <w:rPr>
          <w:sz w:val="20"/>
          <w:u w:val="single" w:color="000000"/>
        </w:rPr>
        <w:tab/>
      </w:r>
      <w:r>
        <w:rPr>
          <w:b/>
          <w:sz w:val="20"/>
          <w:u w:val="single" w:color="000000"/>
        </w:rPr>
        <w:t>Републи</w:t>
      </w:r>
      <w:r>
        <w:rPr>
          <w:b/>
          <w:sz w:val="20"/>
        </w:rPr>
        <w:t xml:space="preserve">ка Србија </w:t>
      </w:r>
    </w:p>
    <w:tbl>
      <w:tblPr>
        <w:tblStyle w:val="TableGrid"/>
        <w:tblW w:w="14482" w:type="dxa"/>
        <w:tblInd w:w="91" w:type="dxa"/>
        <w:tblCellMar>
          <w:top w:w="10" w:type="dxa"/>
          <w:left w:w="108" w:type="dxa"/>
          <w:bottom w:w="10" w:type="dxa"/>
          <w:right w:w="56" w:type="dxa"/>
        </w:tblCellMar>
        <w:tblLook w:val="04A0" w:firstRow="1" w:lastRow="0" w:firstColumn="1" w:lastColumn="0" w:noHBand="0" w:noVBand="1"/>
      </w:tblPr>
      <w:tblGrid>
        <w:gridCol w:w="7038"/>
        <w:gridCol w:w="1063"/>
        <w:gridCol w:w="1063"/>
        <w:gridCol w:w="1063"/>
        <w:gridCol w:w="1066"/>
        <w:gridCol w:w="1063"/>
        <w:gridCol w:w="1063"/>
        <w:gridCol w:w="1061"/>
      </w:tblGrid>
      <w:tr w:rsidR="00E8309B">
        <w:trPr>
          <w:trHeight w:val="326"/>
        </w:trPr>
        <w:tc>
          <w:tcPr>
            <w:tcW w:w="7038" w:type="dxa"/>
            <w:tcBorders>
              <w:top w:val="double" w:sz="6" w:space="0" w:color="000000"/>
              <w:left w:val="double" w:sz="6" w:space="0" w:color="000000"/>
              <w:bottom w:val="single" w:sz="4" w:space="0" w:color="000000"/>
              <w:right w:val="single" w:sz="4" w:space="0" w:color="000000"/>
            </w:tcBorders>
            <w:vAlign w:val="bottom"/>
          </w:tcPr>
          <w:p w:rsidR="00E8309B" w:rsidRDefault="009D0949">
            <w:pPr>
              <w:spacing w:after="0" w:line="259" w:lineRule="auto"/>
              <w:ind w:left="0" w:right="51" w:firstLine="0"/>
              <w:jc w:val="center"/>
            </w:pPr>
            <w:r>
              <w:rPr>
                <w:sz w:val="20"/>
              </w:rPr>
              <w:t xml:space="preserve">% БДП </w:t>
            </w:r>
          </w:p>
        </w:tc>
        <w:tc>
          <w:tcPr>
            <w:tcW w:w="1063" w:type="dxa"/>
            <w:tcBorders>
              <w:top w:val="double" w:sz="6" w:space="0" w:color="000000"/>
              <w:left w:val="single" w:sz="4" w:space="0" w:color="000000"/>
              <w:bottom w:val="single" w:sz="4" w:space="0" w:color="000000"/>
              <w:right w:val="dashed" w:sz="4" w:space="0" w:color="000000"/>
            </w:tcBorders>
          </w:tcPr>
          <w:p w:rsidR="00E8309B" w:rsidRDefault="009D0949">
            <w:pPr>
              <w:spacing w:after="0" w:line="259" w:lineRule="auto"/>
              <w:ind w:left="0" w:right="49" w:firstLine="0"/>
              <w:jc w:val="right"/>
            </w:pPr>
            <w:r>
              <w:rPr>
                <w:sz w:val="20"/>
              </w:rPr>
              <w:t xml:space="preserve">2007 </w:t>
            </w:r>
          </w:p>
        </w:tc>
        <w:tc>
          <w:tcPr>
            <w:tcW w:w="1063" w:type="dxa"/>
            <w:tcBorders>
              <w:top w:val="double" w:sz="6" w:space="0" w:color="000000"/>
              <w:left w:val="dashed" w:sz="4" w:space="0" w:color="000000"/>
              <w:bottom w:val="single" w:sz="4" w:space="0" w:color="000000"/>
              <w:right w:val="dashed" w:sz="4" w:space="0" w:color="000000"/>
            </w:tcBorders>
          </w:tcPr>
          <w:p w:rsidR="00E8309B" w:rsidRDefault="009D0949">
            <w:pPr>
              <w:spacing w:after="0" w:line="259" w:lineRule="auto"/>
              <w:ind w:left="0" w:right="49" w:firstLine="0"/>
              <w:jc w:val="right"/>
            </w:pPr>
            <w:r>
              <w:rPr>
                <w:sz w:val="20"/>
              </w:rPr>
              <w:t xml:space="preserve">2010 </w:t>
            </w:r>
          </w:p>
        </w:tc>
        <w:tc>
          <w:tcPr>
            <w:tcW w:w="1063" w:type="dxa"/>
            <w:tcBorders>
              <w:top w:val="double" w:sz="6" w:space="0" w:color="000000"/>
              <w:left w:val="dashed" w:sz="4" w:space="0" w:color="000000"/>
              <w:bottom w:val="single" w:sz="4" w:space="0" w:color="000000"/>
              <w:right w:val="dashed" w:sz="4" w:space="0" w:color="000000"/>
            </w:tcBorders>
          </w:tcPr>
          <w:p w:rsidR="00E8309B" w:rsidRDefault="009D0949">
            <w:pPr>
              <w:spacing w:after="0" w:line="259" w:lineRule="auto"/>
              <w:ind w:left="0" w:right="49" w:firstLine="0"/>
              <w:jc w:val="right"/>
            </w:pPr>
            <w:r>
              <w:rPr>
                <w:sz w:val="20"/>
              </w:rPr>
              <w:t xml:space="preserve">2020 </w:t>
            </w:r>
          </w:p>
        </w:tc>
        <w:tc>
          <w:tcPr>
            <w:tcW w:w="1066" w:type="dxa"/>
            <w:tcBorders>
              <w:top w:val="double" w:sz="6" w:space="0" w:color="000000"/>
              <w:left w:val="dashed" w:sz="4" w:space="0" w:color="000000"/>
              <w:bottom w:val="single" w:sz="4" w:space="0" w:color="000000"/>
              <w:right w:val="dashed" w:sz="4" w:space="0" w:color="000000"/>
            </w:tcBorders>
          </w:tcPr>
          <w:p w:rsidR="00E8309B" w:rsidRDefault="009D0949">
            <w:pPr>
              <w:spacing w:after="0" w:line="259" w:lineRule="auto"/>
              <w:ind w:left="0" w:right="51" w:firstLine="0"/>
              <w:jc w:val="right"/>
            </w:pPr>
            <w:r>
              <w:rPr>
                <w:sz w:val="20"/>
              </w:rPr>
              <w:t xml:space="preserve">2030 </w:t>
            </w:r>
          </w:p>
        </w:tc>
        <w:tc>
          <w:tcPr>
            <w:tcW w:w="1063" w:type="dxa"/>
            <w:tcBorders>
              <w:top w:val="double" w:sz="6" w:space="0" w:color="000000"/>
              <w:left w:val="dashed" w:sz="4" w:space="0" w:color="000000"/>
              <w:bottom w:val="single" w:sz="4" w:space="0" w:color="000000"/>
              <w:right w:val="dashed" w:sz="4" w:space="0" w:color="000000"/>
            </w:tcBorders>
          </w:tcPr>
          <w:p w:rsidR="00E8309B" w:rsidRDefault="009D0949">
            <w:pPr>
              <w:spacing w:after="0" w:line="259" w:lineRule="auto"/>
              <w:ind w:left="0" w:right="51" w:firstLine="0"/>
              <w:jc w:val="right"/>
            </w:pPr>
            <w:r>
              <w:rPr>
                <w:sz w:val="20"/>
              </w:rPr>
              <w:t xml:space="preserve">2040 </w:t>
            </w:r>
          </w:p>
        </w:tc>
        <w:tc>
          <w:tcPr>
            <w:tcW w:w="1063" w:type="dxa"/>
            <w:tcBorders>
              <w:top w:val="single" w:sz="6" w:space="0" w:color="000000"/>
              <w:left w:val="dashed" w:sz="4" w:space="0" w:color="000000"/>
              <w:bottom w:val="single" w:sz="4" w:space="0" w:color="000000"/>
              <w:right w:val="dashed" w:sz="4" w:space="0" w:color="000000"/>
            </w:tcBorders>
          </w:tcPr>
          <w:p w:rsidR="00E8309B" w:rsidRDefault="009D0949">
            <w:pPr>
              <w:spacing w:after="0" w:line="259" w:lineRule="auto"/>
              <w:ind w:left="0" w:right="51" w:firstLine="0"/>
              <w:jc w:val="right"/>
            </w:pPr>
            <w:r>
              <w:rPr>
                <w:sz w:val="20"/>
              </w:rPr>
              <w:t xml:space="preserve">2050 </w:t>
            </w:r>
          </w:p>
        </w:tc>
        <w:tc>
          <w:tcPr>
            <w:tcW w:w="1061" w:type="dxa"/>
            <w:tcBorders>
              <w:top w:val="double" w:sz="6" w:space="0" w:color="000000"/>
              <w:left w:val="dashed" w:sz="4" w:space="0" w:color="000000"/>
              <w:bottom w:val="single" w:sz="4" w:space="0" w:color="000000"/>
              <w:right w:val="double" w:sz="6" w:space="0" w:color="000000"/>
            </w:tcBorders>
          </w:tcPr>
          <w:p w:rsidR="00E8309B" w:rsidRDefault="009D0949">
            <w:pPr>
              <w:spacing w:after="0" w:line="259" w:lineRule="auto"/>
              <w:ind w:left="0" w:right="51" w:firstLine="0"/>
              <w:jc w:val="right"/>
            </w:pPr>
            <w:r>
              <w:rPr>
                <w:sz w:val="20"/>
              </w:rPr>
              <w:t xml:space="preserve">2060 </w:t>
            </w:r>
          </w:p>
        </w:tc>
      </w:tr>
      <w:tr w:rsidR="00E8309B">
        <w:trPr>
          <w:trHeight w:val="264"/>
        </w:trPr>
        <w:tc>
          <w:tcPr>
            <w:tcW w:w="7038" w:type="dxa"/>
            <w:tcBorders>
              <w:top w:val="single" w:sz="4" w:space="0" w:color="000000"/>
              <w:left w:val="double" w:sz="6" w:space="0" w:color="000000"/>
              <w:bottom w:val="dashed" w:sz="4" w:space="0" w:color="000000"/>
              <w:right w:val="single" w:sz="4" w:space="0" w:color="000000"/>
            </w:tcBorders>
          </w:tcPr>
          <w:p w:rsidR="00E8309B" w:rsidRDefault="009D0949">
            <w:pPr>
              <w:spacing w:after="0" w:line="259" w:lineRule="auto"/>
              <w:ind w:left="0" w:right="0" w:firstLine="0"/>
              <w:jc w:val="left"/>
            </w:pPr>
            <w:r>
              <w:rPr>
                <w:sz w:val="20"/>
              </w:rPr>
              <w:t xml:space="preserve">Укупни расходи </w:t>
            </w:r>
          </w:p>
        </w:tc>
        <w:tc>
          <w:tcPr>
            <w:tcW w:w="1063" w:type="dxa"/>
            <w:tcBorders>
              <w:top w:val="single" w:sz="4" w:space="0" w:color="000000"/>
              <w:left w:val="single" w:sz="4" w:space="0" w:color="000000"/>
              <w:bottom w:val="dashed" w:sz="4" w:space="0" w:color="000000"/>
              <w:right w:val="dashed" w:sz="4" w:space="0" w:color="000000"/>
            </w:tcBorders>
          </w:tcPr>
          <w:p w:rsidR="00E8309B" w:rsidRDefault="009D0949">
            <w:pPr>
              <w:spacing w:after="0" w:line="259" w:lineRule="auto"/>
              <w:ind w:left="0" w:right="47" w:firstLine="0"/>
              <w:jc w:val="center"/>
            </w:pPr>
            <w:r>
              <w:rPr>
                <w:sz w:val="20"/>
              </w:rPr>
              <w:t xml:space="preserve">: </w:t>
            </w:r>
          </w:p>
        </w:tc>
        <w:tc>
          <w:tcPr>
            <w:tcW w:w="1063" w:type="dxa"/>
            <w:tcBorders>
              <w:top w:val="single" w:sz="4" w:space="0" w:color="000000"/>
              <w:left w:val="dashed" w:sz="4" w:space="0" w:color="000000"/>
              <w:bottom w:val="dashed" w:sz="4" w:space="0" w:color="000000"/>
              <w:right w:val="dashed" w:sz="4" w:space="0" w:color="000000"/>
            </w:tcBorders>
          </w:tcPr>
          <w:p w:rsidR="00E8309B" w:rsidRDefault="009D0949">
            <w:pPr>
              <w:spacing w:after="0" w:line="259" w:lineRule="auto"/>
              <w:ind w:left="0" w:right="47" w:firstLine="0"/>
              <w:jc w:val="center"/>
            </w:pPr>
            <w:r>
              <w:rPr>
                <w:sz w:val="20"/>
              </w:rPr>
              <w:t xml:space="preserve">: </w:t>
            </w:r>
          </w:p>
        </w:tc>
        <w:tc>
          <w:tcPr>
            <w:tcW w:w="1063" w:type="dxa"/>
            <w:tcBorders>
              <w:top w:val="single" w:sz="4" w:space="0" w:color="000000"/>
              <w:left w:val="dashed" w:sz="4" w:space="0" w:color="000000"/>
              <w:bottom w:val="dashed" w:sz="4" w:space="0" w:color="000000"/>
              <w:right w:val="dashed" w:sz="4" w:space="0" w:color="000000"/>
            </w:tcBorders>
          </w:tcPr>
          <w:p w:rsidR="00E8309B" w:rsidRDefault="009D0949">
            <w:pPr>
              <w:spacing w:after="0" w:line="259" w:lineRule="auto"/>
              <w:ind w:left="0" w:right="47" w:firstLine="0"/>
              <w:jc w:val="center"/>
            </w:pPr>
            <w:r>
              <w:rPr>
                <w:sz w:val="20"/>
              </w:rPr>
              <w:t xml:space="preserve">: </w:t>
            </w:r>
          </w:p>
        </w:tc>
        <w:tc>
          <w:tcPr>
            <w:tcW w:w="1066" w:type="dxa"/>
            <w:tcBorders>
              <w:top w:val="single" w:sz="4" w:space="0" w:color="000000"/>
              <w:left w:val="dashed" w:sz="4" w:space="0" w:color="000000"/>
              <w:bottom w:val="dashed" w:sz="4" w:space="0" w:color="000000"/>
              <w:right w:val="dashed" w:sz="4" w:space="0" w:color="000000"/>
            </w:tcBorders>
          </w:tcPr>
          <w:p w:rsidR="00E8309B" w:rsidRDefault="009D0949">
            <w:pPr>
              <w:spacing w:after="0" w:line="259" w:lineRule="auto"/>
              <w:ind w:left="0" w:right="49" w:firstLine="0"/>
              <w:jc w:val="center"/>
            </w:pPr>
            <w:r>
              <w:rPr>
                <w:sz w:val="20"/>
              </w:rPr>
              <w:t xml:space="preserve">: </w:t>
            </w:r>
          </w:p>
        </w:tc>
        <w:tc>
          <w:tcPr>
            <w:tcW w:w="1063" w:type="dxa"/>
            <w:tcBorders>
              <w:top w:val="single" w:sz="4" w:space="0" w:color="000000"/>
              <w:left w:val="dashed" w:sz="4" w:space="0" w:color="000000"/>
              <w:bottom w:val="dashed" w:sz="4" w:space="0" w:color="000000"/>
              <w:right w:val="dashed" w:sz="4" w:space="0" w:color="000000"/>
            </w:tcBorders>
          </w:tcPr>
          <w:p w:rsidR="00E8309B" w:rsidRDefault="009D0949">
            <w:pPr>
              <w:spacing w:after="0" w:line="259" w:lineRule="auto"/>
              <w:ind w:left="0" w:right="52" w:firstLine="0"/>
              <w:jc w:val="center"/>
            </w:pPr>
            <w:r>
              <w:rPr>
                <w:sz w:val="20"/>
              </w:rPr>
              <w:t xml:space="preserve">: </w:t>
            </w:r>
          </w:p>
        </w:tc>
        <w:tc>
          <w:tcPr>
            <w:tcW w:w="1063" w:type="dxa"/>
            <w:tcBorders>
              <w:top w:val="single" w:sz="4" w:space="0" w:color="000000"/>
              <w:left w:val="dashed" w:sz="4" w:space="0" w:color="000000"/>
              <w:bottom w:val="dashed" w:sz="4" w:space="0" w:color="000000"/>
              <w:right w:val="dashed" w:sz="4" w:space="0" w:color="000000"/>
            </w:tcBorders>
          </w:tcPr>
          <w:p w:rsidR="00E8309B" w:rsidRDefault="009D0949">
            <w:pPr>
              <w:spacing w:after="0" w:line="259" w:lineRule="auto"/>
              <w:ind w:left="0" w:right="52" w:firstLine="0"/>
              <w:jc w:val="center"/>
            </w:pPr>
            <w:r>
              <w:rPr>
                <w:sz w:val="20"/>
              </w:rPr>
              <w:t xml:space="preserve">: </w:t>
            </w:r>
          </w:p>
        </w:tc>
        <w:tc>
          <w:tcPr>
            <w:tcW w:w="1061" w:type="dxa"/>
            <w:tcBorders>
              <w:top w:val="single" w:sz="4" w:space="0" w:color="000000"/>
              <w:left w:val="dashed" w:sz="4" w:space="0" w:color="000000"/>
              <w:bottom w:val="dashed" w:sz="4" w:space="0" w:color="000000"/>
              <w:right w:val="double" w:sz="6" w:space="0" w:color="000000"/>
            </w:tcBorders>
          </w:tcPr>
          <w:p w:rsidR="00E8309B" w:rsidRDefault="009D0949">
            <w:pPr>
              <w:spacing w:after="0" w:line="259" w:lineRule="auto"/>
              <w:ind w:left="0" w:right="54" w:firstLine="0"/>
              <w:jc w:val="center"/>
            </w:pPr>
            <w:r>
              <w:rPr>
                <w:sz w:val="20"/>
              </w:rPr>
              <w:t xml:space="preserve">: </w:t>
            </w:r>
          </w:p>
        </w:tc>
      </w:tr>
      <w:tr w:rsidR="00E8309B">
        <w:trPr>
          <w:trHeight w:val="266"/>
        </w:trPr>
        <w:tc>
          <w:tcPr>
            <w:tcW w:w="7038" w:type="dxa"/>
            <w:tcBorders>
              <w:top w:val="dashed" w:sz="4" w:space="0" w:color="000000"/>
              <w:left w:val="double" w:sz="6" w:space="0" w:color="000000"/>
              <w:bottom w:val="dashed" w:sz="4" w:space="0" w:color="000000"/>
              <w:right w:val="single" w:sz="4" w:space="0" w:color="000000"/>
            </w:tcBorders>
          </w:tcPr>
          <w:p w:rsidR="00E8309B" w:rsidRDefault="009D0949">
            <w:pPr>
              <w:spacing w:after="0" w:line="259" w:lineRule="auto"/>
              <w:ind w:left="0" w:right="0" w:firstLine="0"/>
              <w:jc w:val="left"/>
            </w:pPr>
            <w:r>
              <w:rPr>
                <w:sz w:val="20"/>
              </w:rPr>
              <w:t xml:space="preserve">од чега:  </w:t>
            </w:r>
          </w:p>
        </w:tc>
        <w:tc>
          <w:tcPr>
            <w:tcW w:w="1063" w:type="dxa"/>
            <w:tcBorders>
              <w:top w:val="dashed" w:sz="4" w:space="0" w:color="000000"/>
              <w:left w:val="single" w:sz="4" w:space="0" w:color="000000"/>
              <w:bottom w:val="dashed" w:sz="4" w:space="0" w:color="000000"/>
              <w:right w:val="dashed" w:sz="4" w:space="0" w:color="000000"/>
            </w:tcBorders>
          </w:tcPr>
          <w:p w:rsidR="00E8309B" w:rsidRDefault="009D0949">
            <w:pPr>
              <w:spacing w:after="0" w:line="259" w:lineRule="auto"/>
              <w:ind w:left="0" w:right="47" w:firstLine="0"/>
              <w:jc w:val="center"/>
            </w:pPr>
            <w:r>
              <w:rPr>
                <w:sz w:val="20"/>
              </w:rPr>
              <w:t xml:space="preserve">: </w:t>
            </w:r>
          </w:p>
        </w:tc>
        <w:tc>
          <w:tcPr>
            <w:tcW w:w="1063"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47" w:firstLine="0"/>
              <w:jc w:val="center"/>
            </w:pPr>
            <w:r>
              <w:rPr>
                <w:sz w:val="20"/>
              </w:rPr>
              <w:t xml:space="preserve">: </w:t>
            </w:r>
          </w:p>
        </w:tc>
        <w:tc>
          <w:tcPr>
            <w:tcW w:w="1063"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47" w:firstLine="0"/>
              <w:jc w:val="center"/>
            </w:pPr>
            <w:r>
              <w:rPr>
                <w:sz w:val="20"/>
              </w:rPr>
              <w:t xml:space="preserve">: </w:t>
            </w:r>
          </w:p>
        </w:tc>
        <w:tc>
          <w:tcPr>
            <w:tcW w:w="1066"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49" w:firstLine="0"/>
              <w:jc w:val="center"/>
            </w:pPr>
            <w:r>
              <w:rPr>
                <w:sz w:val="20"/>
              </w:rPr>
              <w:t xml:space="preserve">: </w:t>
            </w:r>
          </w:p>
        </w:tc>
        <w:tc>
          <w:tcPr>
            <w:tcW w:w="1063"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52" w:firstLine="0"/>
              <w:jc w:val="center"/>
            </w:pPr>
            <w:r>
              <w:rPr>
                <w:sz w:val="20"/>
              </w:rPr>
              <w:t xml:space="preserve">: </w:t>
            </w:r>
          </w:p>
        </w:tc>
        <w:tc>
          <w:tcPr>
            <w:tcW w:w="1063"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52" w:firstLine="0"/>
              <w:jc w:val="center"/>
            </w:pPr>
            <w:r>
              <w:rPr>
                <w:sz w:val="20"/>
              </w:rPr>
              <w:t xml:space="preserve">: </w:t>
            </w:r>
          </w:p>
        </w:tc>
        <w:tc>
          <w:tcPr>
            <w:tcW w:w="1061" w:type="dxa"/>
            <w:tcBorders>
              <w:top w:val="dashed" w:sz="4" w:space="0" w:color="000000"/>
              <w:left w:val="dashed" w:sz="4" w:space="0" w:color="000000"/>
              <w:bottom w:val="dashed" w:sz="4" w:space="0" w:color="000000"/>
              <w:right w:val="double" w:sz="6" w:space="0" w:color="000000"/>
            </w:tcBorders>
          </w:tcPr>
          <w:p w:rsidR="00E8309B" w:rsidRDefault="009D0949">
            <w:pPr>
              <w:spacing w:after="0" w:line="259" w:lineRule="auto"/>
              <w:ind w:left="0" w:right="54" w:firstLine="0"/>
              <w:jc w:val="center"/>
            </w:pPr>
            <w:r>
              <w:rPr>
                <w:sz w:val="20"/>
              </w:rPr>
              <w:t xml:space="preserve">: </w:t>
            </w:r>
          </w:p>
        </w:tc>
      </w:tr>
      <w:tr w:rsidR="00E8309B">
        <w:trPr>
          <w:trHeight w:val="264"/>
        </w:trPr>
        <w:tc>
          <w:tcPr>
            <w:tcW w:w="7038" w:type="dxa"/>
            <w:tcBorders>
              <w:top w:val="dashed" w:sz="4" w:space="0" w:color="000000"/>
              <w:left w:val="double" w:sz="6" w:space="0" w:color="000000"/>
              <w:bottom w:val="dashed" w:sz="4" w:space="0" w:color="000000"/>
              <w:right w:val="single" w:sz="4" w:space="0" w:color="000000"/>
            </w:tcBorders>
          </w:tcPr>
          <w:p w:rsidR="00E8309B" w:rsidRDefault="009D0949">
            <w:pPr>
              <w:spacing w:after="0" w:line="259" w:lineRule="auto"/>
              <w:ind w:left="199" w:right="0" w:firstLine="0"/>
              <w:jc w:val="left"/>
            </w:pPr>
            <w:r>
              <w:rPr>
                <w:sz w:val="20"/>
              </w:rPr>
              <w:t xml:space="preserve">- Расходи везани за године живота </w:t>
            </w:r>
          </w:p>
        </w:tc>
        <w:tc>
          <w:tcPr>
            <w:tcW w:w="1063" w:type="dxa"/>
            <w:tcBorders>
              <w:top w:val="dashed" w:sz="4" w:space="0" w:color="000000"/>
              <w:left w:val="single" w:sz="4" w:space="0" w:color="000000"/>
              <w:bottom w:val="dashed" w:sz="4" w:space="0" w:color="000000"/>
              <w:right w:val="dashed" w:sz="4" w:space="0" w:color="000000"/>
            </w:tcBorders>
          </w:tcPr>
          <w:p w:rsidR="00E8309B" w:rsidRDefault="009D0949">
            <w:pPr>
              <w:spacing w:after="0" w:line="259" w:lineRule="auto"/>
              <w:ind w:left="0" w:right="47" w:firstLine="0"/>
              <w:jc w:val="center"/>
            </w:pPr>
            <w:r>
              <w:rPr>
                <w:sz w:val="20"/>
              </w:rPr>
              <w:t xml:space="preserve">: </w:t>
            </w:r>
          </w:p>
        </w:tc>
        <w:tc>
          <w:tcPr>
            <w:tcW w:w="1063"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47" w:firstLine="0"/>
              <w:jc w:val="center"/>
            </w:pPr>
            <w:r>
              <w:rPr>
                <w:sz w:val="20"/>
              </w:rPr>
              <w:t xml:space="preserve">: </w:t>
            </w:r>
          </w:p>
        </w:tc>
        <w:tc>
          <w:tcPr>
            <w:tcW w:w="1063"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47" w:firstLine="0"/>
              <w:jc w:val="center"/>
            </w:pPr>
            <w:r>
              <w:rPr>
                <w:sz w:val="20"/>
              </w:rPr>
              <w:t xml:space="preserve">: </w:t>
            </w:r>
          </w:p>
        </w:tc>
        <w:tc>
          <w:tcPr>
            <w:tcW w:w="1066"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49" w:firstLine="0"/>
              <w:jc w:val="center"/>
            </w:pPr>
            <w:r>
              <w:rPr>
                <w:sz w:val="20"/>
              </w:rPr>
              <w:t xml:space="preserve">: </w:t>
            </w:r>
          </w:p>
        </w:tc>
        <w:tc>
          <w:tcPr>
            <w:tcW w:w="1063"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52" w:firstLine="0"/>
              <w:jc w:val="center"/>
            </w:pPr>
            <w:r>
              <w:rPr>
                <w:sz w:val="20"/>
              </w:rPr>
              <w:t xml:space="preserve">: </w:t>
            </w:r>
          </w:p>
        </w:tc>
        <w:tc>
          <w:tcPr>
            <w:tcW w:w="1063"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52" w:firstLine="0"/>
              <w:jc w:val="center"/>
            </w:pPr>
            <w:r>
              <w:rPr>
                <w:sz w:val="20"/>
              </w:rPr>
              <w:t xml:space="preserve">: </w:t>
            </w:r>
          </w:p>
        </w:tc>
        <w:tc>
          <w:tcPr>
            <w:tcW w:w="1061" w:type="dxa"/>
            <w:tcBorders>
              <w:top w:val="dashed" w:sz="4" w:space="0" w:color="000000"/>
              <w:left w:val="dashed" w:sz="4" w:space="0" w:color="000000"/>
              <w:bottom w:val="dashed" w:sz="4" w:space="0" w:color="000000"/>
              <w:right w:val="double" w:sz="6" w:space="0" w:color="000000"/>
            </w:tcBorders>
          </w:tcPr>
          <w:p w:rsidR="00E8309B" w:rsidRDefault="009D0949">
            <w:pPr>
              <w:spacing w:after="0" w:line="259" w:lineRule="auto"/>
              <w:ind w:left="0" w:right="54" w:firstLine="0"/>
              <w:jc w:val="center"/>
            </w:pPr>
            <w:r>
              <w:rPr>
                <w:sz w:val="20"/>
              </w:rPr>
              <w:t>:</w:t>
            </w:r>
            <w:r>
              <w:rPr>
                <w:sz w:val="20"/>
              </w:rPr>
              <w:t xml:space="preserve"> </w:t>
            </w:r>
          </w:p>
        </w:tc>
      </w:tr>
      <w:tr w:rsidR="00E8309B">
        <w:trPr>
          <w:trHeight w:val="264"/>
        </w:trPr>
        <w:tc>
          <w:tcPr>
            <w:tcW w:w="7038" w:type="dxa"/>
            <w:tcBorders>
              <w:top w:val="dashed" w:sz="4" w:space="0" w:color="000000"/>
              <w:left w:val="double" w:sz="6" w:space="0" w:color="000000"/>
              <w:bottom w:val="dashed" w:sz="4" w:space="0" w:color="000000"/>
              <w:right w:val="single" w:sz="4" w:space="0" w:color="000000"/>
            </w:tcBorders>
          </w:tcPr>
          <w:p w:rsidR="00E8309B" w:rsidRDefault="009D0949">
            <w:pPr>
              <w:spacing w:after="0" w:line="259" w:lineRule="auto"/>
              <w:ind w:left="199" w:right="0" w:firstLine="0"/>
              <w:jc w:val="left"/>
            </w:pPr>
            <w:r>
              <w:rPr>
                <w:sz w:val="20"/>
              </w:rPr>
              <w:t xml:space="preserve">- расходи за пензије </w:t>
            </w:r>
          </w:p>
        </w:tc>
        <w:tc>
          <w:tcPr>
            <w:tcW w:w="1063" w:type="dxa"/>
            <w:tcBorders>
              <w:top w:val="dashed" w:sz="4" w:space="0" w:color="000000"/>
              <w:left w:val="single" w:sz="4" w:space="0" w:color="000000"/>
              <w:bottom w:val="dashed" w:sz="4" w:space="0" w:color="000000"/>
              <w:right w:val="dashed" w:sz="4" w:space="0" w:color="000000"/>
            </w:tcBorders>
          </w:tcPr>
          <w:p w:rsidR="00E8309B" w:rsidRDefault="009D0949">
            <w:pPr>
              <w:spacing w:after="0" w:line="259" w:lineRule="auto"/>
              <w:ind w:left="0" w:right="47" w:firstLine="0"/>
              <w:jc w:val="center"/>
            </w:pPr>
            <w:r>
              <w:rPr>
                <w:sz w:val="20"/>
              </w:rPr>
              <w:t xml:space="preserve">: </w:t>
            </w:r>
          </w:p>
        </w:tc>
        <w:tc>
          <w:tcPr>
            <w:tcW w:w="1063"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47" w:firstLine="0"/>
              <w:jc w:val="center"/>
            </w:pPr>
            <w:r>
              <w:rPr>
                <w:sz w:val="20"/>
              </w:rPr>
              <w:t xml:space="preserve">: </w:t>
            </w:r>
          </w:p>
        </w:tc>
        <w:tc>
          <w:tcPr>
            <w:tcW w:w="1063"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47" w:firstLine="0"/>
              <w:jc w:val="center"/>
            </w:pPr>
            <w:r>
              <w:rPr>
                <w:sz w:val="20"/>
              </w:rPr>
              <w:t xml:space="preserve">: </w:t>
            </w:r>
          </w:p>
        </w:tc>
        <w:tc>
          <w:tcPr>
            <w:tcW w:w="1066"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49" w:firstLine="0"/>
              <w:jc w:val="center"/>
            </w:pPr>
            <w:r>
              <w:rPr>
                <w:sz w:val="20"/>
              </w:rPr>
              <w:t xml:space="preserve">: </w:t>
            </w:r>
          </w:p>
        </w:tc>
        <w:tc>
          <w:tcPr>
            <w:tcW w:w="1063"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52" w:firstLine="0"/>
              <w:jc w:val="center"/>
            </w:pPr>
            <w:r>
              <w:rPr>
                <w:sz w:val="20"/>
              </w:rPr>
              <w:t xml:space="preserve">: </w:t>
            </w:r>
          </w:p>
        </w:tc>
        <w:tc>
          <w:tcPr>
            <w:tcW w:w="1063"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52" w:firstLine="0"/>
              <w:jc w:val="center"/>
            </w:pPr>
            <w:r>
              <w:rPr>
                <w:sz w:val="20"/>
              </w:rPr>
              <w:t xml:space="preserve">: </w:t>
            </w:r>
          </w:p>
        </w:tc>
        <w:tc>
          <w:tcPr>
            <w:tcW w:w="1061" w:type="dxa"/>
            <w:tcBorders>
              <w:top w:val="dashed" w:sz="4" w:space="0" w:color="000000"/>
              <w:left w:val="dashed" w:sz="4" w:space="0" w:color="000000"/>
              <w:bottom w:val="dashed" w:sz="4" w:space="0" w:color="000000"/>
              <w:right w:val="double" w:sz="6" w:space="0" w:color="000000"/>
            </w:tcBorders>
          </w:tcPr>
          <w:p w:rsidR="00E8309B" w:rsidRDefault="009D0949">
            <w:pPr>
              <w:spacing w:after="0" w:line="259" w:lineRule="auto"/>
              <w:ind w:left="0" w:right="54" w:firstLine="0"/>
              <w:jc w:val="center"/>
            </w:pPr>
            <w:r>
              <w:rPr>
                <w:sz w:val="20"/>
              </w:rPr>
              <w:t xml:space="preserve">: </w:t>
            </w:r>
          </w:p>
        </w:tc>
      </w:tr>
      <w:tr w:rsidR="00E8309B">
        <w:trPr>
          <w:trHeight w:val="266"/>
        </w:trPr>
        <w:tc>
          <w:tcPr>
            <w:tcW w:w="7038" w:type="dxa"/>
            <w:tcBorders>
              <w:top w:val="dashed" w:sz="4" w:space="0" w:color="000000"/>
              <w:left w:val="double" w:sz="6" w:space="0" w:color="000000"/>
              <w:bottom w:val="dashed" w:sz="4" w:space="0" w:color="000000"/>
              <w:right w:val="single" w:sz="4" w:space="0" w:color="000000"/>
            </w:tcBorders>
          </w:tcPr>
          <w:p w:rsidR="00E8309B" w:rsidRDefault="009D0949">
            <w:pPr>
              <w:spacing w:after="0" w:line="259" w:lineRule="auto"/>
              <w:ind w:left="199" w:right="0" w:firstLine="0"/>
              <w:jc w:val="left"/>
            </w:pPr>
            <w:r>
              <w:rPr>
                <w:sz w:val="20"/>
              </w:rPr>
              <w:t xml:space="preserve">- Социјалне пензије  </w:t>
            </w:r>
          </w:p>
        </w:tc>
        <w:tc>
          <w:tcPr>
            <w:tcW w:w="1063" w:type="dxa"/>
            <w:tcBorders>
              <w:top w:val="dashed" w:sz="4" w:space="0" w:color="000000"/>
              <w:left w:val="single" w:sz="4" w:space="0" w:color="000000"/>
              <w:bottom w:val="dashed" w:sz="4" w:space="0" w:color="000000"/>
              <w:right w:val="dashed" w:sz="4" w:space="0" w:color="000000"/>
            </w:tcBorders>
          </w:tcPr>
          <w:p w:rsidR="00E8309B" w:rsidRDefault="009D0949">
            <w:pPr>
              <w:spacing w:after="0" w:line="259" w:lineRule="auto"/>
              <w:ind w:left="0" w:right="47" w:firstLine="0"/>
              <w:jc w:val="center"/>
            </w:pPr>
            <w:r>
              <w:rPr>
                <w:sz w:val="20"/>
              </w:rPr>
              <w:t xml:space="preserve">: </w:t>
            </w:r>
          </w:p>
        </w:tc>
        <w:tc>
          <w:tcPr>
            <w:tcW w:w="1063"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47" w:firstLine="0"/>
              <w:jc w:val="center"/>
            </w:pPr>
            <w:r>
              <w:rPr>
                <w:sz w:val="20"/>
              </w:rPr>
              <w:t xml:space="preserve">: </w:t>
            </w:r>
          </w:p>
        </w:tc>
        <w:tc>
          <w:tcPr>
            <w:tcW w:w="1063"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47" w:firstLine="0"/>
              <w:jc w:val="center"/>
            </w:pPr>
            <w:r>
              <w:rPr>
                <w:sz w:val="20"/>
              </w:rPr>
              <w:t xml:space="preserve">: </w:t>
            </w:r>
          </w:p>
        </w:tc>
        <w:tc>
          <w:tcPr>
            <w:tcW w:w="1066"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49" w:firstLine="0"/>
              <w:jc w:val="center"/>
            </w:pPr>
            <w:r>
              <w:rPr>
                <w:sz w:val="20"/>
              </w:rPr>
              <w:t xml:space="preserve">: </w:t>
            </w:r>
          </w:p>
        </w:tc>
        <w:tc>
          <w:tcPr>
            <w:tcW w:w="1063"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52" w:firstLine="0"/>
              <w:jc w:val="center"/>
            </w:pPr>
            <w:r>
              <w:rPr>
                <w:sz w:val="20"/>
              </w:rPr>
              <w:t xml:space="preserve">: </w:t>
            </w:r>
          </w:p>
        </w:tc>
        <w:tc>
          <w:tcPr>
            <w:tcW w:w="1063"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52" w:firstLine="0"/>
              <w:jc w:val="center"/>
            </w:pPr>
            <w:r>
              <w:rPr>
                <w:sz w:val="20"/>
              </w:rPr>
              <w:t xml:space="preserve">: </w:t>
            </w:r>
          </w:p>
        </w:tc>
        <w:tc>
          <w:tcPr>
            <w:tcW w:w="1061" w:type="dxa"/>
            <w:tcBorders>
              <w:top w:val="dashed" w:sz="4" w:space="0" w:color="000000"/>
              <w:left w:val="dashed" w:sz="4" w:space="0" w:color="000000"/>
              <w:bottom w:val="dashed" w:sz="4" w:space="0" w:color="000000"/>
              <w:right w:val="double" w:sz="6" w:space="0" w:color="000000"/>
            </w:tcBorders>
          </w:tcPr>
          <w:p w:rsidR="00E8309B" w:rsidRDefault="009D0949">
            <w:pPr>
              <w:spacing w:after="0" w:line="259" w:lineRule="auto"/>
              <w:ind w:left="0" w:right="54" w:firstLine="0"/>
              <w:jc w:val="center"/>
            </w:pPr>
            <w:r>
              <w:rPr>
                <w:sz w:val="20"/>
              </w:rPr>
              <w:t xml:space="preserve">: </w:t>
            </w:r>
          </w:p>
        </w:tc>
      </w:tr>
      <w:tr w:rsidR="00E8309B">
        <w:trPr>
          <w:trHeight w:val="264"/>
        </w:trPr>
        <w:tc>
          <w:tcPr>
            <w:tcW w:w="7038" w:type="dxa"/>
            <w:tcBorders>
              <w:top w:val="dashed" w:sz="4" w:space="0" w:color="000000"/>
              <w:left w:val="double" w:sz="6" w:space="0" w:color="000000"/>
              <w:bottom w:val="dashed" w:sz="4" w:space="0" w:color="000000"/>
              <w:right w:val="single" w:sz="4" w:space="0" w:color="000000"/>
            </w:tcBorders>
          </w:tcPr>
          <w:p w:rsidR="00E8309B" w:rsidRDefault="009D0949">
            <w:pPr>
              <w:spacing w:after="0" w:line="259" w:lineRule="auto"/>
              <w:ind w:left="199" w:right="0" w:firstLine="0"/>
              <w:jc w:val="left"/>
            </w:pPr>
            <w:r>
              <w:rPr>
                <w:sz w:val="20"/>
              </w:rPr>
              <w:t xml:space="preserve">- Старосне и превремене пензије </w:t>
            </w:r>
          </w:p>
        </w:tc>
        <w:tc>
          <w:tcPr>
            <w:tcW w:w="1063" w:type="dxa"/>
            <w:tcBorders>
              <w:top w:val="dashed" w:sz="4" w:space="0" w:color="000000"/>
              <w:left w:val="single" w:sz="4" w:space="0" w:color="000000"/>
              <w:bottom w:val="dashed" w:sz="4" w:space="0" w:color="000000"/>
              <w:right w:val="dashed" w:sz="4" w:space="0" w:color="000000"/>
            </w:tcBorders>
          </w:tcPr>
          <w:p w:rsidR="00E8309B" w:rsidRDefault="009D0949">
            <w:pPr>
              <w:spacing w:after="0" w:line="259" w:lineRule="auto"/>
              <w:ind w:left="0" w:right="47" w:firstLine="0"/>
              <w:jc w:val="center"/>
            </w:pPr>
            <w:r>
              <w:rPr>
                <w:sz w:val="20"/>
              </w:rPr>
              <w:t xml:space="preserve">: </w:t>
            </w:r>
          </w:p>
        </w:tc>
        <w:tc>
          <w:tcPr>
            <w:tcW w:w="1063"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47" w:firstLine="0"/>
              <w:jc w:val="center"/>
            </w:pPr>
            <w:r>
              <w:rPr>
                <w:sz w:val="20"/>
              </w:rPr>
              <w:t xml:space="preserve">: </w:t>
            </w:r>
          </w:p>
        </w:tc>
        <w:tc>
          <w:tcPr>
            <w:tcW w:w="1063"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47" w:firstLine="0"/>
              <w:jc w:val="center"/>
            </w:pPr>
            <w:r>
              <w:rPr>
                <w:sz w:val="20"/>
              </w:rPr>
              <w:t xml:space="preserve">: </w:t>
            </w:r>
          </w:p>
        </w:tc>
        <w:tc>
          <w:tcPr>
            <w:tcW w:w="1066"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49" w:firstLine="0"/>
              <w:jc w:val="center"/>
            </w:pPr>
            <w:r>
              <w:rPr>
                <w:sz w:val="20"/>
              </w:rPr>
              <w:t xml:space="preserve">: </w:t>
            </w:r>
          </w:p>
        </w:tc>
        <w:tc>
          <w:tcPr>
            <w:tcW w:w="1063"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52" w:firstLine="0"/>
              <w:jc w:val="center"/>
            </w:pPr>
            <w:r>
              <w:rPr>
                <w:sz w:val="20"/>
              </w:rPr>
              <w:t xml:space="preserve">: </w:t>
            </w:r>
          </w:p>
        </w:tc>
        <w:tc>
          <w:tcPr>
            <w:tcW w:w="1063"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52" w:firstLine="0"/>
              <w:jc w:val="center"/>
            </w:pPr>
            <w:r>
              <w:rPr>
                <w:sz w:val="20"/>
              </w:rPr>
              <w:t xml:space="preserve">: </w:t>
            </w:r>
          </w:p>
        </w:tc>
        <w:tc>
          <w:tcPr>
            <w:tcW w:w="1061" w:type="dxa"/>
            <w:tcBorders>
              <w:top w:val="dashed" w:sz="4" w:space="0" w:color="000000"/>
              <w:left w:val="dashed" w:sz="4" w:space="0" w:color="000000"/>
              <w:bottom w:val="dashed" w:sz="4" w:space="0" w:color="000000"/>
              <w:right w:val="double" w:sz="6" w:space="0" w:color="000000"/>
            </w:tcBorders>
          </w:tcPr>
          <w:p w:rsidR="00E8309B" w:rsidRDefault="009D0949">
            <w:pPr>
              <w:spacing w:after="0" w:line="259" w:lineRule="auto"/>
              <w:ind w:left="0" w:right="54" w:firstLine="0"/>
              <w:jc w:val="center"/>
            </w:pPr>
            <w:r>
              <w:rPr>
                <w:sz w:val="20"/>
              </w:rPr>
              <w:t xml:space="preserve">: </w:t>
            </w:r>
          </w:p>
        </w:tc>
      </w:tr>
      <w:tr w:rsidR="00E8309B">
        <w:trPr>
          <w:trHeight w:val="310"/>
        </w:trPr>
        <w:tc>
          <w:tcPr>
            <w:tcW w:w="7038" w:type="dxa"/>
            <w:tcBorders>
              <w:top w:val="dashed" w:sz="4" w:space="0" w:color="000000"/>
              <w:left w:val="double" w:sz="6" w:space="0" w:color="000000"/>
              <w:bottom w:val="dashed" w:sz="4" w:space="0" w:color="000000"/>
              <w:right w:val="single" w:sz="4" w:space="0" w:color="000000"/>
            </w:tcBorders>
          </w:tcPr>
          <w:p w:rsidR="00E8309B" w:rsidRDefault="009D0949">
            <w:pPr>
              <w:spacing w:after="0" w:line="259" w:lineRule="auto"/>
              <w:ind w:left="199" w:right="0" w:firstLine="0"/>
              <w:jc w:val="left"/>
            </w:pPr>
            <w:r>
              <w:rPr>
                <w:sz w:val="20"/>
              </w:rPr>
              <w:t xml:space="preserve">- Остале пензије (инвалидске, породичне) </w:t>
            </w:r>
          </w:p>
        </w:tc>
        <w:tc>
          <w:tcPr>
            <w:tcW w:w="1063" w:type="dxa"/>
            <w:tcBorders>
              <w:top w:val="dashed" w:sz="4" w:space="0" w:color="000000"/>
              <w:left w:val="single" w:sz="4" w:space="0" w:color="000000"/>
              <w:bottom w:val="dashed" w:sz="4" w:space="0" w:color="000000"/>
              <w:right w:val="dashed" w:sz="4" w:space="0" w:color="000000"/>
            </w:tcBorders>
          </w:tcPr>
          <w:p w:rsidR="00E8309B" w:rsidRDefault="009D0949">
            <w:pPr>
              <w:spacing w:after="0" w:line="259" w:lineRule="auto"/>
              <w:ind w:left="0" w:right="47" w:firstLine="0"/>
              <w:jc w:val="center"/>
            </w:pPr>
            <w:r>
              <w:rPr>
                <w:sz w:val="20"/>
              </w:rPr>
              <w:t xml:space="preserve">: </w:t>
            </w:r>
          </w:p>
        </w:tc>
        <w:tc>
          <w:tcPr>
            <w:tcW w:w="1063"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47" w:firstLine="0"/>
              <w:jc w:val="center"/>
            </w:pPr>
            <w:r>
              <w:rPr>
                <w:sz w:val="20"/>
              </w:rPr>
              <w:t xml:space="preserve">: </w:t>
            </w:r>
          </w:p>
        </w:tc>
        <w:tc>
          <w:tcPr>
            <w:tcW w:w="1063"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47" w:firstLine="0"/>
              <w:jc w:val="center"/>
            </w:pPr>
            <w:r>
              <w:rPr>
                <w:sz w:val="20"/>
              </w:rPr>
              <w:t xml:space="preserve">: </w:t>
            </w:r>
          </w:p>
        </w:tc>
        <w:tc>
          <w:tcPr>
            <w:tcW w:w="1066"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49" w:firstLine="0"/>
              <w:jc w:val="center"/>
            </w:pPr>
            <w:r>
              <w:rPr>
                <w:sz w:val="20"/>
              </w:rPr>
              <w:t xml:space="preserve">: </w:t>
            </w:r>
          </w:p>
        </w:tc>
        <w:tc>
          <w:tcPr>
            <w:tcW w:w="1063"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52" w:firstLine="0"/>
              <w:jc w:val="center"/>
            </w:pPr>
            <w:r>
              <w:rPr>
                <w:sz w:val="20"/>
              </w:rPr>
              <w:t xml:space="preserve">: </w:t>
            </w:r>
          </w:p>
        </w:tc>
        <w:tc>
          <w:tcPr>
            <w:tcW w:w="1063"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52" w:firstLine="0"/>
              <w:jc w:val="center"/>
            </w:pPr>
            <w:r>
              <w:rPr>
                <w:sz w:val="20"/>
              </w:rPr>
              <w:t xml:space="preserve">: </w:t>
            </w:r>
          </w:p>
        </w:tc>
        <w:tc>
          <w:tcPr>
            <w:tcW w:w="1061" w:type="dxa"/>
            <w:tcBorders>
              <w:top w:val="dashed" w:sz="4" w:space="0" w:color="000000"/>
              <w:left w:val="dashed" w:sz="4" w:space="0" w:color="000000"/>
              <w:bottom w:val="dashed" w:sz="4" w:space="0" w:color="000000"/>
              <w:right w:val="double" w:sz="6" w:space="0" w:color="000000"/>
            </w:tcBorders>
          </w:tcPr>
          <w:p w:rsidR="00E8309B" w:rsidRDefault="009D0949">
            <w:pPr>
              <w:spacing w:after="0" w:line="259" w:lineRule="auto"/>
              <w:ind w:left="0" w:right="54" w:firstLine="0"/>
              <w:jc w:val="center"/>
            </w:pPr>
            <w:r>
              <w:rPr>
                <w:sz w:val="20"/>
              </w:rPr>
              <w:t xml:space="preserve">: </w:t>
            </w:r>
          </w:p>
        </w:tc>
      </w:tr>
      <w:tr w:rsidR="00E8309B">
        <w:trPr>
          <w:trHeight w:val="312"/>
        </w:trPr>
        <w:tc>
          <w:tcPr>
            <w:tcW w:w="7038" w:type="dxa"/>
            <w:tcBorders>
              <w:top w:val="dashed" w:sz="4" w:space="0" w:color="000000"/>
              <w:left w:val="double" w:sz="6" w:space="0" w:color="000000"/>
              <w:bottom w:val="dashed" w:sz="4" w:space="0" w:color="000000"/>
              <w:right w:val="single" w:sz="4" w:space="0" w:color="000000"/>
            </w:tcBorders>
          </w:tcPr>
          <w:p w:rsidR="00E8309B" w:rsidRDefault="009D0949">
            <w:pPr>
              <w:spacing w:after="0" w:line="259" w:lineRule="auto"/>
              <w:ind w:left="199" w:right="0" w:firstLine="0"/>
              <w:jc w:val="left"/>
            </w:pPr>
            <w:r>
              <w:rPr>
                <w:sz w:val="20"/>
              </w:rPr>
              <w:t xml:space="preserve">- Професионалне пензије  </w:t>
            </w:r>
            <w:r>
              <w:rPr>
                <w:sz w:val="20"/>
              </w:rPr>
              <w:t xml:space="preserve">(уколико припадају општем нивоу државе) </w:t>
            </w:r>
          </w:p>
        </w:tc>
        <w:tc>
          <w:tcPr>
            <w:tcW w:w="1063" w:type="dxa"/>
            <w:tcBorders>
              <w:top w:val="dashed" w:sz="4" w:space="0" w:color="000000"/>
              <w:left w:val="single" w:sz="4" w:space="0" w:color="000000"/>
              <w:bottom w:val="dashed" w:sz="4" w:space="0" w:color="000000"/>
              <w:right w:val="dashed" w:sz="4" w:space="0" w:color="000000"/>
            </w:tcBorders>
          </w:tcPr>
          <w:p w:rsidR="00E8309B" w:rsidRDefault="009D0949">
            <w:pPr>
              <w:spacing w:after="0" w:line="259" w:lineRule="auto"/>
              <w:ind w:left="0" w:right="47" w:firstLine="0"/>
              <w:jc w:val="center"/>
            </w:pPr>
            <w:r>
              <w:rPr>
                <w:sz w:val="20"/>
              </w:rPr>
              <w:t xml:space="preserve">: </w:t>
            </w:r>
          </w:p>
        </w:tc>
        <w:tc>
          <w:tcPr>
            <w:tcW w:w="1063"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47" w:firstLine="0"/>
              <w:jc w:val="center"/>
            </w:pPr>
            <w:r>
              <w:rPr>
                <w:sz w:val="20"/>
              </w:rPr>
              <w:t xml:space="preserve">: </w:t>
            </w:r>
          </w:p>
        </w:tc>
        <w:tc>
          <w:tcPr>
            <w:tcW w:w="1063"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47" w:firstLine="0"/>
              <w:jc w:val="center"/>
            </w:pPr>
            <w:r>
              <w:rPr>
                <w:sz w:val="20"/>
              </w:rPr>
              <w:t xml:space="preserve">: </w:t>
            </w:r>
          </w:p>
        </w:tc>
        <w:tc>
          <w:tcPr>
            <w:tcW w:w="1066"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49" w:firstLine="0"/>
              <w:jc w:val="center"/>
            </w:pPr>
            <w:r>
              <w:rPr>
                <w:sz w:val="20"/>
              </w:rPr>
              <w:t xml:space="preserve">: </w:t>
            </w:r>
          </w:p>
        </w:tc>
        <w:tc>
          <w:tcPr>
            <w:tcW w:w="1063"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52" w:firstLine="0"/>
              <w:jc w:val="center"/>
            </w:pPr>
            <w:r>
              <w:rPr>
                <w:sz w:val="20"/>
              </w:rPr>
              <w:t xml:space="preserve">: </w:t>
            </w:r>
          </w:p>
        </w:tc>
        <w:tc>
          <w:tcPr>
            <w:tcW w:w="1063"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52" w:firstLine="0"/>
              <w:jc w:val="center"/>
            </w:pPr>
            <w:r>
              <w:rPr>
                <w:sz w:val="20"/>
              </w:rPr>
              <w:t xml:space="preserve">: </w:t>
            </w:r>
          </w:p>
        </w:tc>
        <w:tc>
          <w:tcPr>
            <w:tcW w:w="1061" w:type="dxa"/>
            <w:tcBorders>
              <w:top w:val="dashed" w:sz="4" w:space="0" w:color="000000"/>
              <w:left w:val="dashed" w:sz="4" w:space="0" w:color="000000"/>
              <w:bottom w:val="dashed" w:sz="4" w:space="0" w:color="000000"/>
              <w:right w:val="double" w:sz="6" w:space="0" w:color="000000"/>
            </w:tcBorders>
          </w:tcPr>
          <w:p w:rsidR="00E8309B" w:rsidRDefault="009D0949">
            <w:pPr>
              <w:spacing w:after="0" w:line="259" w:lineRule="auto"/>
              <w:ind w:left="0" w:right="54" w:firstLine="0"/>
              <w:jc w:val="center"/>
            </w:pPr>
            <w:r>
              <w:rPr>
                <w:sz w:val="20"/>
              </w:rPr>
              <w:t xml:space="preserve">: </w:t>
            </w:r>
          </w:p>
        </w:tc>
      </w:tr>
      <w:tr w:rsidR="00E8309B">
        <w:trPr>
          <w:trHeight w:val="264"/>
        </w:trPr>
        <w:tc>
          <w:tcPr>
            <w:tcW w:w="7038" w:type="dxa"/>
            <w:tcBorders>
              <w:top w:val="dashed" w:sz="4" w:space="0" w:color="000000"/>
              <w:left w:val="double" w:sz="6" w:space="0" w:color="000000"/>
              <w:bottom w:val="dashed" w:sz="4" w:space="0" w:color="000000"/>
              <w:right w:val="single" w:sz="4" w:space="0" w:color="000000"/>
            </w:tcBorders>
          </w:tcPr>
          <w:p w:rsidR="00E8309B" w:rsidRDefault="009D0949">
            <w:pPr>
              <w:spacing w:after="0" w:line="259" w:lineRule="auto"/>
              <w:ind w:left="199" w:right="0" w:firstLine="0"/>
              <w:jc w:val="left"/>
            </w:pPr>
            <w:r>
              <w:rPr>
                <w:sz w:val="20"/>
              </w:rPr>
              <w:t xml:space="preserve">- Здравство </w:t>
            </w:r>
          </w:p>
        </w:tc>
        <w:tc>
          <w:tcPr>
            <w:tcW w:w="1063" w:type="dxa"/>
            <w:tcBorders>
              <w:top w:val="dashed" w:sz="4" w:space="0" w:color="000000"/>
              <w:left w:val="single" w:sz="4" w:space="0" w:color="000000"/>
              <w:bottom w:val="dashed" w:sz="4" w:space="0" w:color="000000"/>
              <w:right w:val="dashed" w:sz="4" w:space="0" w:color="000000"/>
            </w:tcBorders>
          </w:tcPr>
          <w:p w:rsidR="00E8309B" w:rsidRDefault="009D0949">
            <w:pPr>
              <w:spacing w:after="0" w:line="259" w:lineRule="auto"/>
              <w:ind w:left="0" w:right="47" w:firstLine="0"/>
              <w:jc w:val="center"/>
            </w:pPr>
            <w:r>
              <w:rPr>
                <w:sz w:val="20"/>
              </w:rPr>
              <w:t xml:space="preserve">: </w:t>
            </w:r>
          </w:p>
        </w:tc>
        <w:tc>
          <w:tcPr>
            <w:tcW w:w="1063"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47" w:firstLine="0"/>
              <w:jc w:val="center"/>
            </w:pPr>
            <w:r>
              <w:rPr>
                <w:sz w:val="20"/>
              </w:rPr>
              <w:t xml:space="preserve">: </w:t>
            </w:r>
          </w:p>
        </w:tc>
        <w:tc>
          <w:tcPr>
            <w:tcW w:w="1063"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47" w:firstLine="0"/>
              <w:jc w:val="center"/>
            </w:pPr>
            <w:r>
              <w:rPr>
                <w:sz w:val="20"/>
              </w:rPr>
              <w:t xml:space="preserve">: </w:t>
            </w:r>
          </w:p>
        </w:tc>
        <w:tc>
          <w:tcPr>
            <w:tcW w:w="1066"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49" w:firstLine="0"/>
              <w:jc w:val="center"/>
            </w:pPr>
            <w:r>
              <w:rPr>
                <w:sz w:val="20"/>
              </w:rPr>
              <w:t xml:space="preserve">: </w:t>
            </w:r>
          </w:p>
        </w:tc>
        <w:tc>
          <w:tcPr>
            <w:tcW w:w="1063"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52" w:firstLine="0"/>
              <w:jc w:val="center"/>
            </w:pPr>
            <w:r>
              <w:rPr>
                <w:sz w:val="20"/>
              </w:rPr>
              <w:t xml:space="preserve">: </w:t>
            </w:r>
          </w:p>
        </w:tc>
        <w:tc>
          <w:tcPr>
            <w:tcW w:w="1063"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52" w:firstLine="0"/>
              <w:jc w:val="center"/>
            </w:pPr>
            <w:r>
              <w:rPr>
                <w:sz w:val="20"/>
              </w:rPr>
              <w:t xml:space="preserve">: </w:t>
            </w:r>
          </w:p>
        </w:tc>
        <w:tc>
          <w:tcPr>
            <w:tcW w:w="1061" w:type="dxa"/>
            <w:tcBorders>
              <w:top w:val="dashed" w:sz="4" w:space="0" w:color="000000"/>
              <w:left w:val="dashed" w:sz="4" w:space="0" w:color="000000"/>
              <w:bottom w:val="dashed" w:sz="4" w:space="0" w:color="000000"/>
              <w:right w:val="double" w:sz="6" w:space="0" w:color="000000"/>
            </w:tcBorders>
          </w:tcPr>
          <w:p w:rsidR="00E8309B" w:rsidRDefault="009D0949">
            <w:pPr>
              <w:spacing w:after="0" w:line="259" w:lineRule="auto"/>
              <w:ind w:left="0" w:right="54" w:firstLine="0"/>
              <w:jc w:val="center"/>
            </w:pPr>
            <w:r>
              <w:rPr>
                <w:sz w:val="20"/>
              </w:rPr>
              <w:t xml:space="preserve">: </w:t>
            </w:r>
          </w:p>
        </w:tc>
      </w:tr>
      <w:tr w:rsidR="00E8309B">
        <w:trPr>
          <w:trHeight w:val="310"/>
        </w:trPr>
        <w:tc>
          <w:tcPr>
            <w:tcW w:w="7038" w:type="dxa"/>
            <w:tcBorders>
              <w:top w:val="dashed" w:sz="4" w:space="0" w:color="000000"/>
              <w:left w:val="double" w:sz="6" w:space="0" w:color="000000"/>
              <w:bottom w:val="dashed" w:sz="4" w:space="0" w:color="000000"/>
              <w:right w:val="single" w:sz="4" w:space="0" w:color="000000"/>
            </w:tcBorders>
          </w:tcPr>
          <w:p w:rsidR="00E8309B" w:rsidRDefault="009D0949">
            <w:pPr>
              <w:spacing w:after="0" w:line="259" w:lineRule="auto"/>
              <w:ind w:left="199" w:right="0" w:firstLine="0"/>
              <w:jc w:val="left"/>
            </w:pPr>
            <w:r>
              <w:rPr>
                <w:sz w:val="20"/>
              </w:rPr>
              <w:t xml:space="preserve">- Дуготрајна нега (раније је била укључена у здравство) </w:t>
            </w:r>
          </w:p>
        </w:tc>
        <w:tc>
          <w:tcPr>
            <w:tcW w:w="1063" w:type="dxa"/>
            <w:tcBorders>
              <w:top w:val="dashed" w:sz="4" w:space="0" w:color="000000"/>
              <w:left w:val="single" w:sz="4" w:space="0" w:color="000000"/>
              <w:bottom w:val="dashed" w:sz="4" w:space="0" w:color="000000"/>
              <w:right w:val="dashed" w:sz="4" w:space="0" w:color="000000"/>
            </w:tcBorders>
          </w:tcPr>
          <w:p w:rsidR="00E8309B" w:rsidRDefault="009D0949">
            <w:pPr>
              <w:spacing w:after="0" w:line="259" w:lineRule="auto"/>
              <w:ind w:left="0" w:right="47" w:firstLine="0"/>
              <w:jc w:val="center"/>
            </w:pPr>
            <w:r>
              <w:rPr>
                <w:sz w:val="20"/>
              </w:rPr>
              <w:t xml:space="preserve">: </w:t>
            </w:r>
          </w:p>
        </w:tc>
        <w:tc>
          <w:tcPr>
            <w:tcW w:w="1063"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47" w:firstLine="0"/>
              <w:jc w:val="center"/>
            </w:pPr>
            <w:r>
              <w:rPr>
                <w:sz w:val="20"/>
              </w:rPr>
              <w:t xml:space="preserve">: </w:t>
            </w:r>
          </w:p>
        </w:tc>
        <w:tc>
          <w:tcPr>
            <w:tcW w:w="1063"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47" w:firstLine="0"/>
              <w:jc w:val="center"/>
            </w:pPr>
            <w:r>
              <w:rPr>
                <w:sz w:val="20"/>
              </w:rPr>
              <w:t xml:space="preserve">: </w:t>
            </w:r>
          </w:p>
        </w:tc>
        <w:tc>
          <w:tcPr>
            <w:tcW w:w="1066"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49" w:firstLine="0"/>
              <w:jc w:val="center"/>
            </w:pPr>
            <w:r>
              <w:rPr>
                <w:sz w:val="20"/>
              </w:rPr>
              <w:t xml:space="preserve">: </w:t>
            </w:r>
          </w:p>
        </w:tc>
        <w:tc>
          <w:tcPr>
            <w:tcW w:w="1063"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52" w:firstLine="0"/>
              <w:jc w:val="center"/>
            </w:pPr>
            <w:r>
              <w:rPr>
                <w:sz w:val="20"/>
              </w:rPr>
              <w:t xml:space="preserve">: </w:t>
            </w:r>
          </w:p>
        </w:tc>
        <w:tc>
          <w:tcPr>
            <w:tcW w:w="1063"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52" w:firstLine="0"/>
              <w:jc w:val="center"/>
            </w:pPr>
            <w:r>
              <w:rPr>
                <w:sz w:val="20"/>
              </w:rPr>
              <w:t xml:space="preserve">: </w:t>
            </w:r>
          </w:p>
        </w:tc>
        <w:tc>
          <w:tcPr>
            <w:tcW w:w="1061" w:type="dxa"/>
            <w:tcBorders>
              <w:top w:val="dashed" w:sz="4" w:space="0" w:color="000000"/>
              <w:left w:val="dashed" w:sz="4" w:space="0" w:color="000000"/>
              <w:bottom w:val="dashed" w:sz="4" w:space="0" w:color="000000"/>
              <w:right w:val="double" w:sz="6" w:space="0" w:color="000000"/>
            </w:tcBorders>
          </w:tcPr>
          <w:p w:rsidR="00E8309B" w:rsidRDefault="009D0949">
            <w:pPr>
              <w:spacing w:after="0" w:line="259" w:lineRule="auto"/>
              <w:ind w:left="0" w:right="54" w:firstLine="0"/>
              <w:jc w:val="center"/>
            </w:pPr>
            <w:r>
              <w:rPr>
                <w:sz w:val="20"/>
              </w:rPr>
              <w:t xml:space="preserve">: </w:t>
            </w:r>
          </w:p>
        </w:tc>
      </w:tr>
      <w:tr w:rsidR="00E8309B">
        <w:trPr>
          <w:trHeight w:val="266"/>
        </w:trPr>
        <w:tc>
          <w:tcPr>
            <w:tcW w:w="7038" w:type="dxa"/>
            <w:tcBorders>
              <w:top w:val="dashed" w:sz="4" w:space="0" w:color="000000"/>
              <w:left w:val="double" w:sz="6" w:space="0" w:color="000000"/>
              <w:bottom w:val="dashed" w:sz="4" w:space="0" w:color="000000"/>
              <w:right w:val="single" w:sz="4" w:space="0" w:color="000000"/>
            </w:tcBorders>
          </w:tcPr>
          <w:p w:rsidR="00E8309B" w:rsidRDefault="009D0949">
            <w:pPr>
              <w:spacing w:after="0" w:line="259" w:lineRule="auto"/>
              <w:ind w:left="0" w:right="0" w:firstLine="0"/>
              <w:jc w:val="left"/>
            </w:pPr>
            <w:r>
              <w:rPr>
                <w:sz w:val="20"/>
              </w:rPr>
              <w:t xml:space="preserve">Расходи за образовање </w:t>
            </w:r>
          </w:p>
        </w:tc>
        <w:tc>
          <w:tcPr>
            <w:tcW w:w="1063" w:type="dxa"/>
            <w:tcBorders>
              <w:top w:val="dashed" w:sz="4" w:space="0" w:color="000000"/>
              <w:left w:val="single" w:sz="4" w:space="0" w:color="000000"/>
              <w:bottom w:val="dashed" w:sz="4" w:space="0" w:color="000000"/>
              <w:right w:val="dashed" w:sz="4" w:space="0" w:color="000000"/>
            </w:tcBorders>
          </w:tcPr>
          <w:p w:rsidR="00E8309B" w:rsidRDefault="009D0949">
            <w:pPr>
              <w:spacing w:after="0" w:line="259" w:lineRule="auto"/>
              <w:ind w:left="0" w:right="47" w:firstLine="0"/>
              <w:jc w:val="center"/>
            </w:pPr>
            <w:r>
              <w:rPr>
                <w:sz w:val="20"/>
              </w:rPr>
              <w:t xml:space="preserve">: </w:t>
            </w:r>
          </w:p>
        </w:tc>
        <w:tc>
          <w:tcPr>
            <w:tcW w:w="1063"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47" w:firstLine="0"/>
              <w:jc w:val="center"/>
            </w:pPr>
            <w:r>
              <w:rPr>
                <w:sz w:val="20"/>
              </w:rPr>
              <w:t xml:space="preserve">: </w:t>
            </w:r>
          </w:p>
        </w:tc>
        <w:tc>
          <w:tcPr>
            <w:tcW w:w="1063"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47" w:firstLine="0"/>
              <w:jc w:val="center"/>
            </w:pPr>
            <w:r>
              <w:rPr>
                <w:sz w:val="20"/>
              </w:rPr>
              <w:t xml:space="preserve">: </w:t>
            </w:r>
          </w:p>
        </w:tc>
        <w:tc>
          <w:tcPr>
            <w:tcW w:w="1066"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49" w:firstLine="0"/>
              <w:jc w:val="center"/>
            </w:pPr>
            <w:r>
              <w:rPr>
                <w:sz w:val="20"/>
              </w:rPr>
              <w:t xml:space="preserve">: </w:t>
            </w:r>
          </w:p>
        </w:tc>
        <w:tc>
          <w:tcPr>
            <w:tcW w:w="1063"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52" w:firstLine="0"/>
              <w:jc w:val="center"/>
            </w:pPr>
            <w:r>
              <w:rPr>
                <w:sz w:val="20"/>
              </w:rPr>
              <w:t xml:space="preserve">: </w:t>
            </w:r>
          </w:p>
        </w:tc>
        <w:tc>
          <w:tcPr>
            <w:tcW w:w="1063"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52" w:firstLine="0"/>
              <w:jc w:val="center"/>
            </w:pPr>
            <w:r>
              <w:rPr>
                <w:sz w:val="20"/>
              </w:rPr>
              <w:t xml:space="preserve">: </w:t>
            </w:r>
          </w:p>
        </w:tc>
        <w:tc>
          <w:tcPr>
            <w:tcW w:w="1061" w:type="dxa"/>
            <w:tcBorders>
              <w:top w:val="dashed" w:sz="4" w:space="0" w:color="000000"/>
              <w:left w:val="dashed" w:sz="4" w:space="0" w:color="000000"/>
              <w:bottom w:val="dashed" w:sz="4" w:space="0" w:color="000000"/>
              <w:right w:val="double" w:sz="6" w:space="0" w:color="000000"/>
            </w:tcBorders>
          </w:tcPr>
          <w:p w:rsidR="00E8309B" w:rsidRDefault="009D0949">
            <w:pPr>
              <w:spacing w:after="0" w:line="259" w:lineRule="auto"/>
              <w:ind w:left="0" w:right="54" w:firstLine="0"/>
              <w:jc w:val="center"/>
            </w:pPr>
            <w:r>
              <w:rPr>
                <w:sz w:val="20"/>
              </w:rPr>
              <w:t xml:space="preserve">: </w:t>
            </w:r>
          </w:p>
        </w:tc>
      </w:tr>
      <w:tr w:rsidR="00E8309B">
        <w:trPr>
          <w:trHeight w:val="264"/>
        </w:trPr>
        <w:tc>
          <w:tcPr>
            <w:tcW w:w="7038" w:type="dxa"/>
            <w:tcBorders>
              <w:top w:val="dashed" w:sz="4" w:space="0" w:color="000000"/>
              <w:left w:val="double" w:sz="6" w:space="0" w:color="000000"/>
              <w:bottom w:val="dashed" w:sz="4" w:space="0" w:color="000000"/>
              <w:right w:val="single" w:sz="4" w:space="0" w:color="000000"/>
            </w:tcBorders>
          </w:tcPr>
          <w:p w:rsidR="00E8309B" w:rsidRDefault="009D0949">
            <w:pPr>
              <w:spacing w:after="0" w:line="259" w:lineRule="auto"/>
              <w:ind w:left="0" w:right="0" w:firstLine="0"/>
              <w:jc w:val="left"/>
            </w:pPr>
            <w:r>
              <w:rPr>
                <w:sz w:val="20"/>
              </w:rPr>
              <w:t xml:space="preserve">Остали расходи везани за године живота </w:t>
            </w:r>
          </w:p>
        </w:tc>
        <w:tc>
          <w:tcPr>
            <w:tcW w:w="1063" w:type="dxa"/>
            <w:tcBorders>
              <w:top w:val="dashed" w:sz="4" w:space="0" w:color="000000"/>
              <w:left w:val="single" w:sz="4" w:space="0" w:color="000000"/>
              <w:bottom w:val="dashed" w:sz="4" w:space="0" w:color="000000"/>
              <w:right w:val="dashed" w:sz="4" w:space="0" w:color="000000"/>
            </w:tcBorders>
          </w:tcPr>
          <w:p w:rsidR="00E8309B" w:rsidRDefault="009D0949">
            <w:pPr>
              <w:spacing w:after="0" w:line="259" w:lineRule="auto"/>
              <w:ind w:left="0" w:right="47" w:firstLine="0"/>
              <w:jc w:val="center"/>
            </w:pPr>
            <w:r>
              <w:rPr>
                <w:sz w:val="20"/>
              </w:rPr>
              <w:t xml:space="preserve">: </w:t>
            </w:r>
          </w:p>
        </w:tc>
        <w:tc>
          <w:tcPr>
            <w:tcW w:w="1063"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47" w:firstLine="0"/>
              <w:jc w:val="center"/>
            </w:pPr>
            <w:r>
              <w:rPr>
                <w:sz w:val="20"/>
              </w:rPr>
              <w:t xml:space="preserve">: </w:t>
            </w:r>
          </w:p>
        </w:tc>
        <w:tc>
          <w:tcPr>
            <w:tcW w:w="1063"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47" w:firstLine="0"/>
              <w:jc w:val="center"/>
            </w:pPr>
            <w:r>
              <w:rPr>
                <w:sz w:val="20"/>
              </w:rPr>
              <w:t xml:space="preserve">: </w:t>
            </w:r>
          </w:p>
        </w:tc>
        <w:tc>
          <w:tcPr>
            <w:tcW w:w="1066"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49" w:firstLine="0"/>
              <w:jc w:val="center"/>
            </w:pPr>
            <w:r>
              <w:rPr>
                <w:sz w:val="20"/>
              </w:rPr>
              <w:t xml:space="preserve">: </w:t>
            </w:r>
          </w:p>
        </w:tc>
        <w:tc>
          <w:tcPr>
            <w:tcW w:w="1063"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52" w:firstLine="0"/>
              <w:jc w:val="center"/>
            </w:pPr>
            <w:r>
              <w:rPr>
                <w:sz w:val="20"/>
              </w:rPr>
              <w:t xml:space="preserve">: </w:t>
            </w:r>
          </w:p>
        </w:tc>
        <w:tc>
          <w:tcPr>
            <w:tcW w:w="1063"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52" w:firstLine="0"/>
              <w:jc w:val="center"/>
            </w:pPr>
            <w:r>
              <w:rPr>
                <w:sz w:val="20"/>
              </w:rPr>
              <w:t xml:space="preserve">: </w:t>
            </w:r>
          </w:p>
        </w:tc>
        <w:tc>
          <w:tcPr>
            <w:tcW w:w="1061" w:type="dxa"/>
            <w:tcBorders>
              <w:top w:val="dashed" w:sz="4" w:space="0" w:color="000000"/>
              <w:left w:val="dashed" w:sz="4" w:space="0" w:color="000000"/>
              <w:bottom w:val="dashed" w:sz="4" w:space="0" w:color="000000"/>
              <w:right w:val="double" w:sz="6" w:space="0" w:color="000000"/>
            </w:tcBorders>
          </w:tcPr>
          <w:p w:rsidR="00E8309B" w:rsidRDefault="009D0949">
            <w:pPr>
              <w:spacing w:after="0" w:line="259" w:lineRule="auto"/>
              <w:ind w:left="0" w:right="54" w:firstLine="0"/>
              <w:jc w:val="center"/>
            </w:pPr>
            <w:r>
              <w:rPr>
                <w:sz w:val="20"/>
              </w:rPr>
              <w:t xml:space="preserve">: </w:t>
            </w:r>
          </w:p>
        </w:tc>
      </w:tr>
      <w:tr w:rsidR="00E8309B">
        <w:trPr>
          <w:trHeight w:val="264"/>
        </w:trPr>
        <w:tc>
          <w:tcPr>
            <w:tcW w:w="7038" w:type="dxa"/>
            <w:tcBorders>
              <w:top w:val="dashed" w:sz="4" w:space="0" w:color="000000"/>
              <w:left w:val="double" w:sz="6" w:space="0" w:color="000000"/>
              <w:bottom w:val="dashed" w:sz="4" w:space="0" w:color="000000"/>
              <w:right w:val="single" w:sz="4" w:space="0" w:color="000000"/>
            </w:tcBorders>
          </w:tcPr>
          <w:p w:rsidR="00E8309B" w:rsidRDefault="009D0949">
            <w:pPr>
              <w:spacing w:after="0" w:line="259" w:lineRule="auto"/>
              <w:ind w:left="0" w:right="0" w:firstLine="0"/>
              <w:jc w:val="left"/>
            </w:pPr>
            <w:r>
              <w:rPr>
                <w:sz w:val="20"/>
              </w:rPr>
              <w:t xml:space="preserve">Расходи за камате </w:t>
            </w:r>
          </w:p>
        </w:tc>
        <w:tc>
          <w:tcPr>
            <w:tcW w:w="1063" w:type="dxa"/>
            <w:tcBorders>
              <w:top w:val="dashed" w:sz="4" w:space="0" w:color="000000"/>
              <w:left w:val="single" w:sz="4" w:space="0" w:color="000000"/>
              <w:bottom w:val="dashed" w:sz="4" w:space="0" w:color="000000"/>
              <w:right w:val="dashed" w:sz="4" w:space="0" w:color="000000"/>
            </w:tcBorders>
          </w:tcPr>
          <w:p w:rsidR="00E8309B" w:rsidRDefault="009D0949">
            <w:pPr>
              <w:spacing w:after="0" w:line="259" w:lineRule="auto"/>
              <w:ind w:left="0" w:right="47" w:firstLine="0"/>
              <w:jc w:val="center"/>
            </w:pPr>
            <w:r>
              <w:rPr>
                <w:sz w:val="20"/>
              </w:rPr>
              <w:t xml:space="preserve">: </w:t>
            </w:r>
          </w:p>
        </w:tc>
        <w:tc>
          <w:tcPr>
            <w:tcW w:w="1063"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47" w:firstLine="0"/>
              <w:jc w:val="center"/>
            </w:pPr>
            <w:r>
              <w:rPr>
                <w:sz w:val="20"/>
              </w:rPr>
              <w:t xml:space="preserve">: </w:t>
            </w:r>
          </w:p>
        </w:tc>
        <w:tc>
          <w:tcPr>
            <w:tcW w:w="1063"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47" w:firstLine="0"/>
              <w:jc w:val="center"/>
            </w:pPr>
            <w:r>
              <w:rPr>
                <w:sz w:val="20"/>
              </w:rPr>
              <w:t xml:space="preserve">: </w:t>
            </w:r>
          </w:p>
        </w:tc>
        <w:tc>
          <w:tcPr>
            <w:tcW w:w="1066"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49" w:firstLine="0"/>
              <w:jc w:val="center"/>
            </w:pPr>
            <w:r>
              <w:rPr>
                <w:sz w:val="20"/>
              </w:rPr>
              <w:t xml:space="preserve">: </w:t>
            </w:r>
          </w:p>
        </w:tc>
        <w:tc>
          <w:tcPr>
            <w:tcW w:w="1063"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52" w:firstLine="0"/>
              <w:jc w:val="center"/>
            </w:pPr>
            <w:r>
              <w:rPr>
                <w:sz w:val="20"/>
              </w:rPr>
              <w:t xml:space="preserve">: </w:t>
            </w:r>
          </w:p>
        </w:tc>
        <w:tc>
          <w:tcPr>
            <w:tcW w:w="1063"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52" w:firstLine="0"/>
              <w:jc w:val="center"/>
            </w:pPr>
            <w:r>
              <w:rPr>
                <w:sz w:val="20"/>
              </w:rPr>
              <w:t xml:space="preserve">: </w:t>
            </w:r>
          </w:p>
        </w:tc>
        <w:tc>
          <w:tcPr>
            <w:tcW w:w="1061" w:type="dxa"/>
            <w:tcBorders>
              <w:top w:val="dashed" w:sz="4" w:space="0" w:color="000000"/>
              <w:left w:val="dashed" w:sz="4" w:space="0" w:color="000000"/>
              <w:bottom w:val="dashed" w:sz="4" w:space="0" w:color="000000"/>
              <w:right w:val="double" w:sz="6" w:space="0" w:color="000000"/>
            </w:tcBorders>
          </w:tcPr>
          <w:p w:rsidR="00E8309B" w:rsidRDefault="009D0949">
            <w:pPr>
              <w:spacing w:after="0" w:line="259" w:lineRule="auto"/>
              <w:ind w:left="0" w:right="54" w:firstLine="0"/>
              <w:jc w:val="center"/>
            </w:pPr>
            <w:r>
              <w:rPr>
                <w:sz w:val="20"/>
              </w:rPr>
              <w:t xml:space="preserve">: </w:t>
            </w:r>
          </w:p>
        </w:tc>
      </w:tr>
      <w:tr w:rsidR="00E8309B">
        <w:trPr>
          <w:trHeight w:val="266"/>
        </w:trPr>
        <w:tc>
          <w:tcPr>
            <w:tcW w:w="7038" w:type="dxa"/>
            <w:tcBorders>
              <w:top w:val="dashed" w:sz="4" w:space="0" w:color="000000"/>
              <w:left w:val="double" w:sz="6" w:space="0" w:color="000000"/>
              <w:bottom w:val="dashed" w:sz="4" w:space="0" w:color="000000"/>
              <w:right w:val="single" w:sz="4" w:space="0" w:color="000000"/>
            </w:tcBorders>
          </w:tcPr>
          <w:p w:rsidR="00E8309B" w:rsidRDefault="009D0949">
            <w:pPr>
              <w:spacing w:after="0" w:line="259" w:lineRule="auto"/>
              <w:ind w:left="0" w:right="0" w:firstLine="0"/>
              <w:jc w:val="left"/>
            </w:pPr>
            <w:r>
              <w:rPr>
                <w:sz w:val="20"/>
              </w:rPr>
              <w:t xml:space="preserve">Укупни приходи </w:t>
            </w:r>
          </w:p>
        </w:tc>
        <w:tc>
          <w:tcPr>
            <w:tcW w:w="1063" w:type="dxa"/>
            <w:tcBorders>
              <w:top w:val="dashed" w:sz="4" w:space="0" w:color="000000"/>
              <w:left w:val="single" w:sz="4" w:space="0" w:color="000000"/>
              <w:bottom w:val="dashed" w:sz="4" w:space="0" w:color="000000"/>
              <w:right w:val="dashed" w:sz="4" w:space="0" w:color="000000"/>
            </w:tcBorders>
          </w:tcPr>
          <w:p w:rsidR="00E8309B" w:rsidRDefault="009D0949">
            <w:pPr>
              <w:spacing w:after="0" w:line="259" w:lineRule="auto"/>
              <w:ind w:left="0" w:right="47" w:firstLine="0"/>
              <w:jc w:val="center"/>
            </w:pPr>
            <w:r>
              <w:rPr>
                <w:sz w:val="20"/>
              </w:rPr>
              <w:t xml:space="preserve">: </w:t>
            </w:r>
          </w:p>
        </w:tc>
        <w:tc>
          <w:tcPr>
            <w:tcW w:w="1063"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47" w:firstLine="0"/>
              <w:jc w:val="center"/>
            </w:pPr>
            <w:r>
              <w:rPr>
                <w:sz w:val="20"/>
              </w:rPr>
              <w:t xml:space="preserve">: </w:t>
            </w:r>
          </w:p>
        </w:tc>
        <w:tc>
          <w:tcPr>
            <w:tcW w:w="1063"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47" w:firstLine="0"/>
              <w:jc w:val="center"/>
            </w:pPr>
            <w:r>
              <w:rPr>
                <w:sz w:val="20"/>
              </w:rPr>
              <w:t xml:space="preserve">: </w:t>
            </w:r>
          </w:p>
        </w:tc>
        <w:tc>
          <w:tcPr>
            <w:tcW w:w="1066"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49" w:firstLine="0"/>
              <w:jc w:val="center"/>
            </w:pPr>
            <w:r>
              <w:rPr>
                <w:sz w:val="20"/>
              </w:rPr>
              <w:t xml:space="preserve">: </w:t>
            </w:r>
          </w:p>
        </w:tc>
        <w:tc>
          <w:tcPr>
            <w:tcW w:w="1063"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52" w:firstLine="0"/>
              <w:jc w:val="center"/>
            </w:pPr>
            <w:r>
              <w:rPr>
                <w:sz w:val="20"/>
              </w:rPr>
              <w:t xml:space="preserve">: </w:t>
            </w:r>
          </w:p>
        </w:tc>
        <w:tc>
          <w:tcPr>
            <w:tcW w:w="1063"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52" w:firstLine="0"/>
              <w:jc w:val="center"/>
            </w:pPr>
            <w:r>
              <w:rPr>
                <w:sz w:val="20"/>
              </w:rPr>
              <w:t xml:space="preserve">: </w:t>
            </w:r>
          </w:p>
        </w:tc>
        <w:tc>
          <w:tcPr>
            <w:tcW w:w="1061" w:type="dxa"/>
            <w:tcBorders>
              <w:top w:val="dashed" w:sz="4" w:space="0" w:color="000000"/>
              <w:left w:val="dashed" w:sz="4" w:space="0" w:color="000000"/>
              <w:bottom w:val="dashed" w:sz="4" w:space="0" w:color="000000"/>
              <w:right w:val="double" w:sz="6" w:space="0" w:color="000000"/>
            </w:tcBorders>
          </w:tcPr>
          <w:p w:rsidR="00E8309B" w:rsidRDefault="009D0949">
            <w:pPr>
              <w:spacing w:after="0" w:line="259" w:lineRule="auto"/>
              <w:ind w:left="0" w:right="54" w:firstLine="0"/>
              <w:jc w:val="center"/>
            </w:pPr>
            <w:r>
              <w:rPr>
                <w:sz w:val="20"/>
              </w:rPr>
              <w:t xml:space="preserve">: </w:t>
            </w:r>
          </w:p>
        </w:tc>
      </w:tr>
      <w:tr w:rsidR="00E8309B">
        <w:trPr>
          <w:trHeight w:val="264"/>
        </w:trPr>
        <w:tc>
          <w:tcPr>
            <w:tcW w:w="7038" w:type="dxa"/>
            <w:tcBorders>
              <w:top w:val="dashed" w:sz="4" w:space="0" w:color="000000"/>
              <w:left w:val="double" w:sz="6" w:space="0" w:color="000000"/>
              <w:bottom w:val="dashed" w:sz="4" w:space="0" w:color="000000"/>
              <w:right w:val="single" w:sz="4" w:space="0" w:color="000000"/>
            </w:tcBorders>
          </w:tcPr>
          <w:p w:rsidR="00E8309B" w:rsidRDefault="009D0949">
            <w:pPr>
              <w:spacing w:after="0" w:line="259" w:lineRule="auto"/>
              <w:ind w:left="199" w:right="0" w:firstLine="0"/>
              <w:jc w:val="left"/>
            </w:pPr>
            <w:r>
              <w:rPr>
                <w:i/>
                <w:sz w:val="20"/>
              </w:rPr>
              <w:t>од чега</w:t>
            </w:r>
            <w:r>
              <w:rPr>
                <w:sz w:val="20"/>
              </w:rPr>
              <w:t xml:space="preserve">: приходи од имовине </w:t>
            </w:r>
          </w:p>
        </w:tc>
        <w:tc>
          <w:tcPr>
            <w:tcW w:w="1063" w:type="dxa"/>
            <w:tcBorders>
              <w:top w:val="dashed" w:sz="4" w:space="0" w:color="000000"/>
              <w:left w:val="single" w:sz="4" w:space="0" w:color="000000"/>
              <w:bottom w:val="dashed" w:sz="4" w:space="0" w:color="000000"/>
              <w:right w:val="dashed" w:sz="4" w:space="0" w:color="000000"/>
            </w:tcBorders>
          </w:tcPr>
          <w:p w:rsidR="00E8309B" w:rsidRDefault="009D0949">
            <w:pPr>
              <w:spacing w:after="0" w:line="259" w:lineRule="auto"/>
              <w:ind w:left="0" w:right="47" w:firstLine="0"/>
              <w:jc w:val="center"/>
            </w:pPr>
            <w:r>
              <w:rPr>
                <w:sz w:val="20"/>
              </w:rPr>
              <w:t xml:space="preserve">: </w:t>
            </w:r>
          </w:p>
        </w:tc>
        <w:tc>
          <w:tcPr>
            <w:tcW w:w="1063"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47" w:firstLine="0"/>
              <w:jc w:val="center"/>
            </w:pPr>
            <w:r>
              <w:rPr>
                <w:sz w:val="20"/>
              </w:rPr>
              <w:t xml:space="preserve">: </w:t>
            </w:r>
          </w:p>
        </w:tc>
        <w:tc>
          <w:tcPr>
            <w:tcW w:w="1063"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47" w:firstLine="0"/>
              <w:jc w:val="center"/>
            </w:pPr>
            <w:r>
              <w:rPr>
                <w:sz w:val="20"/>
              </w:rPr>
              <w:t xml:space="preserve">: </w:t>
            </w:r>
          </w:p>
        </w:tc>
        <w:tc>
          <w:tcPr>
            <w:tcW w:w="1066"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49" w:firstLine="0"/>
              <w:jc w:val="center"/>
            </w:pPr>
            <w:r>
              <w:rPr>
                <w:sz w:val="20"/>
              </w:rPr>
              <w:t xml:space="preserve">: </w:t>
            </w:r>
          </w:p>
        </w:tc>
        <w:tc>
          <w:tcPr>
            <w:tcW w:w="1063"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52" w:firstLine="0"/>
              <w:jc w:val="center"/>
            </w:pPr>
            <w:r>
              <w:rPr>
                <w:sz w:val="20"/>
              </w:rPr>
              <w:t xml:space="preserve">: </w:t>
            </w:r>
          </w:p>
        </w:tc>
        <w:tc>
          <w:tcPr>
            <w:tcW w:w="1063"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52" w:firstLine="0"/>
              <w:jc w:val="center"/>
            </w:pPr>
            <w:r>
              <w:rPr>
                <w:sz w:val="20"/>
              </w:rPr>
              <w:t xml:space="preserve">: </w:t>
            </w:r>
          </w:p>
        </w:tc>
        <w:tc>
          <w:tcPr>
            <w:tcW w:w="1061" w:type="dxa"/>
            <w:tcBorders>
              <w:top w:val="dashed" w:sz="4" w:space="0" w:color="000000"/>
              <w:left w:val="dashed" w:sz="4" w:space="0" w:color="000000"/>
              <w:bottom w:val="dashed" w:sz="4" w:space="0" w:color="000000"/>
              <w:right w:val="double" w:sz="6" w:space="0" w:color="000000"/>
            </w:tcBorders>
          </w:tcPr>
          <w:p w:rsidR="00E8309B" w:rsidRDefault="009D0949">
            <w:pPr>
              <w:spacing w:after="0" w:line="259" w:lineRule="auto"/>
              <w:ind w:left="0" w:right="54" w:firstLine="0"/>
              <w:jc w:val="center"/>
            </w:pPr>
            <w:r>
              <w:rPr>
                <w:sz w:val="20"/>
              </w:rPr>
              <w:t xml:space="preserve">: </w:t>
            </w:r>
          </w:p>
        </w:tc>
      </w:tr>
      <w:tr w:rsidR="00E8309B">
        <w:trPr>
          <w:trHeight w:val="550"/>
        </w:trPr>
        <w:tc>
          <w:tcPr>
            <w:tcW w:w="7038" w:type="dxa"/>
            <w:tcBorders>
              <w:top w:val="dashed" w:sz="4" w:space="0" w:color="000000"/>
              <w:left w:val="double" w:sz="6" w:space="0" w:color="000000"/>
              <w:bottom w:val="dashed" w:sz="4" w:space="0" w:color="000000"/>
              <w:right w:val="single" w:sz="4" w:space="0" w:color="000000"/>
            </w:tcBorders>
          </w:tcPr>
          <w:p w:rsidR="00E8309B" w:rsidRDefault="009D0949">
            <w:pPr>
              <w:spacing w:after="0" w:line="259" w:lineRule="auto"/>
              <w:ind w:left="0" w:right="0" w:firstLine="401"/>
              <w:jc w:val="left"/>
            </w:pPr>
            <w:r>
              <w:rPr>
                <w:sz w:val="20"/>
              </w:rPr>
              <w:t xml:space="preserve">од доприноса за пензијско осигурање (или доприноса за социјално осигурање, уколико је то случај) </w:t>
            </w:r>
          </w:p>
        </w:tc>
        <w:tc>
          <w:tcPr>
            <w:tcW w:w="1063" w:type="dxa"/>
            <w:tcBorders>
              <w:top w:val="dashed" w:sz="4" w:space="0" w:color="000000"/>
              <w:left w:val="single" w:sz="4" w:space="0" w:color="000000"/>
              <w:bottom w:val="dashed" w:sz="4" w:space="0" w:color="000000"/>
              <w:right w:val="dashed" w:sz="4" w:space="0" w:color="000000"/>
            </w:tcBorders>
          </w:tcPr>
          <w:p w:rsidR="00E8309B" w:rsidRDefault="009D0949">
            <w:pPr>
              <w:spacing w:after="0" w:line="259" w:lineRule="auto"/>
              <w:ind w:left="0" w:right="47" w:firstLine="0"/>
              <w:jc w:val="center"/>
            </w:pPr>
            <w:r>
              <w:rPr>
                <w:sz w:val="20"/>
              </w:rPr>
              <w:t xml:space="preserve">: </w:t>
            </w:r>
          </w:p>
        </w:tc>
        <w:tc>
          <w:tcPr>
            <w:tcW w:w="1063"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47" w:firstLine="0"/>
              <w:jc w:val="center"/>
            </w:pPr>
            <w:r>
              <w:rPr>
                <w:sz w:val="20"/>
              </w:rPr>
              <w:t xml:space="preserve">: </w:t>
            </w:r>
          </w:p>
        </w:tc>
        <w:tc>
          <w:tcPr>
            <w:tcW w:w="1063"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47" w:firstLine="0"/>
              <w:jc w:val="center"/>
            </w:pPr>
            <w:r>
              <w:rPr>
                <w:sz w:val="20"/>
              </w:rPr>
              <w:t xml:space="preserve">: </w:t>
            </w:r>
          </w:p>
        </w:tc>
        <w:tc>
          <w:tcPr>
            <w:tcW w:w="1066"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49" w:firstLine="0"/>
              <w:jc w:val="center"/>
            </w:pPr>
            <w:r>
              <w:rPr>
                <w:sz w:val="20"/>
              </w:rPr>
              <w:t xml:space="preserve">: </w:t>
            </w:r>
          </w:p>
        </w:tc>
        <w:tc>
          <w:tcPr>
            <w:tcW w:w="1063"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52" w:firstLine="0"/>
              <w:jc w:val="center"/>
            </w:pPr>
            <w:r>
              <w:rPr>
                <w:sz w:val="20"/>
              </w:rPr>
              <w:t xml:space="preserve">: </w:t>
            </w:r>
          </w:p>
        </w:tc>
        <w:tc>
          <w:tcPr>
            <w:tcW w:w="1063"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52" w:firstLine="0"/>
              <w:jc w:val="center"/>
            </w:pPr>
            <w:r>
              <w:rPr>
                <w:sz w:val="20"/>
              </w:rPr>
              <w:t xml:space="preserve">: </w:t>
            </w:r>
          </w:p>
        </w:tc>
        <w:tc>
          <w:tcPr>
            <w:tcW w:w="1061" w:type="dxa"/>
            <w:tcBorders>
              <w:top w:val="dashed" w:sz="4" w:space="0" w:color="000000"/>
              <w:left w:val="dashed" w:sz="4" w:space="0" w:color="000000"/>
              <w:bottom w:val="dashed" w:sz="4" w:space="0" w:color="000000"/>
              <w:right w:val="double" w:sz="6" w:space="0" w:color="000000"/>
            </w:tcBorders>
          </w:tcPr>
          <w:p w:rsidR="00E8309B" w:rsidRDefault="009D0949">
            <w:pPr>
              <w:spacing w:after="0" w:line="259" w:lineRule="auto"/>
              <w:ind w:left="0" w:right="54" w:firstLine="0"/>
              <w:jc w:val="center"/>
            </w:pPr>
            <w:r>
              <w:rPr>
                <w:sz w:val="20"/>
              </w:rPr>
              <w:t xml:space="preserve">: </w:t>
            </w:r>
          </w:p>
        </w:tc>
      </w:tr>
      <w:tr w:rsidR="00E8309B">
        <w:trPr>
          <w:trHeight w:val="266"/>
        </w:trPr>
        <w:tc>
          <w:tcPr>
            <w:tcW w:w="7038" w:type="dxa"/>
            <w:tcBorders>
              <w:top w:val="dashed" w:sz="4" w:space="0" w:color="000000"/>
              <w:left w:val="double" w:sz="6" w:space="0" w:color="000000"/>
              <w:bottom w:val="dashed" w:sz="4" w:space="0" w:color="000000"/>
              <w:right w:val="single" w:sz="4" w:space="0" w:color="000000"/>
            </w:tcBorders>
          </w:tcPr>
          <w:p w:rsidR="00E8309B" w:rsidRDefault="009D0949">
            <w:pPr>
              <w:spacing w:after="0" w:line="259" w:lineRule="auto"/>
              <w:ind w:left="0" w:right="0" w:firstLine="0"/>
              <w:jc w:val="left"/>
            </w:pPr>
            <w:r>
              <w:rPr>
                <w:sz w:val="20"/>
              </w:rPr>
              <w:t xml:space="preserve">Средства резервног пензијског фонда </w:t>
            </w:r>
          </w:p>
        </w:tc>
        <w:tc>
          <w:tcPr>
            <w:tcW w:w="1063" w:type="dxa"/>
            <w:tcBorders>
              <w:top w:val="dashed" w:sz="4" w:space="0" w:color="000000"/>
              <w:left w:val="single" w:sz="4" w:space="0" w:color="000000"/>
              <w:bottom w:val="dashed" w:sz="4" w:space="0" w:color="000000"/>
              <w:right w:val="dashed" w:sz="4" w:space="0" w:color="000000"/>
            </w:tcBorders>
          </w:tcPr>
          <w:p w:rsidR="00E8309B" w:rsidRDefault="009D0949">
            <w:pPr>
              <w:spacing w:after="0" w:line="259" w:lineRule="auto"/>
              <w:ind w:left="0" w:right="47" w:firstLine="0"/>
              <w:jc w:val="center"/>
            </w:pPr>
            <w:r>
              <w:rPr>
                <w:sz w:val="20"/>
              </w:rPr>
              <w:t xml:space="preserve">: </w:t>
            </w:r>
          </w:p>
        </w:tc>
        <w:tc>
          <w:tcPr>
            <w:tcW w:w="1063"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47" w:firstLine="0"/>
              <w:jc w:val="center"/>
            </w:pPr>
            <w:r>
              <w:rPr>
                <w:sz w:val="20"/>
              </w:rPr>
              <w:t xml:space="preserve">: </w:t>
            </w:r>
          </w:p>
        </w:tc>
        <w:tc>
          <w:tcPr>
            <w:tcW w:w="1063"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47" w:firstLine="0"/>
              <w:jc w:val="center"/>
            </w:pPr>
            <w:r>
              <w:rPr>
                <w:sz w:val="20"/>
              </w:rPr>
              <w:t xml:space="preserve">: </w:t>
            </w:r>
          </w:p>
        </w:tc>
        <w:tc>
          <w:tcPr>
            <w:tcW w:w="1066"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49" w:firstLine="0"/>
              <w:jc w:val="center"/>
            </w:pPr>
            <w:r>
              <w:rPr>
                <w:sz w:val="20"/>
              </w:rPr>
              <w:t xml:space="preserve">: </w:t>
            </w:r>
          </w:p>
        </w:tc>
        <w:tc>
          <w:tcPr>
            <w:tcW w:w="1063"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52" w:firstLine="0"/>
              <w:jc w:val="center"/>
            </w:pPr>
            <w:r>
              <w:rPr>
                <w:sz w:val="20"/>
              </w:rPr>
              <w:t xml:space="preserve">: </w:t>
            </w:r>
          </w:p>
        </w:tc>
        <w:tc>
          <w:tcPr>
            <w:tcW w:w="1063"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52" w:firstLine="0"/>
              <w:jc w:val="center"/>
            </w:pPr>
            <w:r>
              <w:rPr>
                <w:sz w:val="20"/>
              </w:rPr>
              <w:t xml:space="preserve">: </w:t>
            </w:r>
          </w:p>
        </w:tc>
        <w:tc>
          <w:tcPr>
            <w:tcW w:w="1061" w:type="dxa"/>
            <w:tcBorders>
              <w:top w:val="dashed" w:sz="4" w:space="0" w:color="000000"/>
              <w:left w:val="dashed" w:sz="4" w:space="0" w:color="000000"/>
              <w:bottom w:val="dashed" w:sz="4" w:space="0" w:color="000000"/>
              <w:right w:val="double" w:sz="6" w:space="0" w:color="000000"/>
            </w:tcBorders>
          </w:tcPr>
          <w:p w:rsidR="00E8309B" w:rsidRDefault="009D0949">
            <w:pPr>
              <w:spacing w:after="0" w:line="259" w:lineRule="auto"/>
              <w:ind w:left="0" w:right="54" w:firstLine="0"/>
              <w:jc w:val="center"/>
            </w:pPr>
            <w:r>
              <w:rPr>
                <w:sz w:val="20"/>
              </w:rPr>
              <w:t xml:space="preserve">: </w:t>
            </w:r>
          </w:p>
        </w:tc>
      </w:tr>
      <w:tr w:rsidR="00E8309B">
        <w:trPr>
          <w:trHeight w:val="535"/>
        </w:trPr>
        <w:tc>
          <w:tcPr>
            <w:tcW w:w="7038" w:type="dxa"/>
            <w:tcBorders>
              <w:top w:val="dashed" w:sz="4" w:space="0" w:color="000000"/>
              <w:left w:val="double" w:sz="6" w:space="0" w:color="000000"/>
              <w:bottom w:val="single" w:sz="4" w:space="0" w:color="000000"/>
              <w:right w:val="single" w:sz="4" w:space="0" w:color="000000"/>
            </w:tcBorders>
          </w:tcPr>
          <w:p w:rsidR="00E8309B" w:rsidRDefault="009D0949">
            <w:pPr>
              <w:spacing w:after="0" w:line="259" w:lineRule="auto"/>
              <w:ind w:left="0" w:right="0" w:firstLine="401"/>
              <w:jc w:val="left"/>
            </w:pPr>
            <w:r>
              <w:rPr>
                <w:i/>
                <w:sz w:val="20"/>
              </w:rPr>
              <w:t xml:space="preserve">од чега: консолидована средства јавног пензијског фонда (средства без државних обавеза) </w:t>
            </w:r>
          </w:p>
        </w:tc>
        <w:tc>
          <w:tcPr>
            <w:tcW w:w="1063" w:type="dxa"/>
            <w:tcBorders>
              <w:top w:val="dashed" w:sz="4" w:space="0" w:color="000000"/>
              <w:left w:val="single" w:sz="4" w:space="0" w:color="000000"/>
              <w:bottom w:val="single" w:sz="4" w:space="0" w:color="000000"/>
              <w:right w:val="dashed" w:sz="4" w:space="0" w:color="000000"/>
            </w:tcBorders>
          </w:tcPr>
          <w:p w:rsidR="00E8309B" w:rsidRDefault="009D0949">
            <w:pPr>
              <w:spacing w:after="0" w:line="259" w:lineRule="auto"/>
              <w:ind w:left="0" w:right="47" w:firstLine="0"/>
              <w:jc w:val="center"/>
            </w:pPr>
            <w:r>
              <w:rPr>
                <w:sz w:val="20"/>
              </w:rPr>
              <w:t xml:space="preserve">: </w:t>
            </w:r>
          </w:p>
        </w:tc>
        <w:tc>
          <w:tcPr>
            <w:tcW w:w="1063" w:type="dxa"/>
            <w:tcBorders>
              <w:top w:val="dashed" w:sz="4" w:space="0" w:color="000000"/>
              <w:left w:val="dashed" w:sz="4" w:space="0" w:color="000000"/>
              <w:bottom w:val="single" w:sz="4" w:space="0" w:color="000000"/>
              <w:right w:val="dashed" w:sz="4" w:space="0" w:color="000000"/>
            </w:tcBorders>
          </w:tcPr>
          <w:p w:rsidR="00E8309B" w:rsidRDefault="009D0949">
            <w:pPr>
              <w:spacing w:after="0" w:line="259" w:lineRule="auto"/>
              <w:ind w:left="0" w:right="47" w:firstLine="0"/>
              <w:jc w:val="center"/>
            </w:pPr>
            <w:r>
              <w:rPr>
                <w:sz w:val="20"/>
              </w:rPr>
              <w:t xml:space="preserve">: </w:t>
            </w:r>
          </w:p>
        </w:tc>
        <w:tc>
          <w:tcPr>
            <w:tcW w:w="1063" w:type="dxa"/>
            <w:tcBorders>
              <w:top w:val="dashed" w:sz="4" w:space="0" w:color="000000"/>
              <w:left w:val="dashed" w:sz="4" w:space="0" w:color="000000"/>
              <w:bottom w:val="single" w:sz="4" w:space="0" w:color="000000"/>
              <w:right w:val="dashed" w:sz="4" w:space="0" w:color="000000"/>
            </w:tcBorders>
          </w:tcPr>
          <w:p w:rsidR="00E8309B" w:rsidRDefault="009D0949">
            <w:pPr>
              <w:spacing w:after="0" w:line="259" w:lineRule="auto"/>
              <w:ind w:left="0" w:right="47" w:firstLine="0"/>
              <w:jc w:val="center"/>
            </w:pPr>
            <w:r>
              <w:rPr>
                <w:sz w:val="20"/>
              </w:rPr>
              <w:t xml:space="preserve">: </w:t>
            </w:r>
          </w:p>
        </w:tc>
        <w:tc>
          <w:tcPr>
            <w:tcW w:w="1066" w:type="dxa"/>
            <w:tcBorders>
              <w:top w:val="dashed" w:sz="4" w:space="0" w:color="000000"/>
              <w:left w:val="dashed" w:sz="4" w:space="0" w:color="000000"/>
              <w:bottom w:val="single" w:sz="4" w:space="0" w:color="000000"/>
              <w:right w:val="dashed" w:sz="4" w:space="0" w:color="000000"/>
            </w:tcBorders>
          </w:tcPr>
          <w:p w:rsidR="00E8309B" w:rsidRDefault="009D0949">
            <w:pPr>
              <w:spacing w:after="0" w:line="259" w:lineRule="auto"/>
              <w:ind w:left="0" w:right="49" w:firstLine="0"/>
              <w:jc w:val="center"/>
            </w:pPr>
            <w:r>
              <w:rPr>
                <w:sz w:val="20"/>
              </w:rPr>
              <w:t xml:space="preserve">: </w:t>
            </w:r>
          </w:p>
        </w:tc>
        <w:tc>
          <w:tcPr>
            <w:tcW w:w="1063" w:type="dxa"/>
            <w:tcBorders>
              <w:top w:val="dashed" w:sz="4" w:space="0" w:color="000000"/>
              <w:left w:val="dashed" w:sz="4" w:space="0" w:color="000000"/>
              <w:bottom w:val="single" w:sz="4" w:space="0" w:color="000000"/>
              <w:right w:val="dashed" w:sz="4" w:space="0" w:color="000000"/>
            </w:tcBorders>
          </w:tcPr>
          <w:p w:rsidR="00E8309B" w:rsidRDefault="009D0949">
            <w:pPr>
              <w:spacing w:after="0" w:line="259" w:lineRule="auto"/>
              <w:ind w:left="0" w:right="52" w:firstLine="0"/>
              <w:jc w:val="center"/>
            </w:pPr>
            <w:r>
              <w:rPr>
                <w:sz w:val="20"/>
              </w:rPr>
              <w:t xml:space="preserve">: </w:t>
            </w:r>
          </w:p>
        </w:tc>
        <w:tc>
          <w:tcPr>
            <w:tcW w:w="1063" w:type="dxa"/>
            <w:tcBorders>
              <w:top w:val="dashed" w:sz="4" w:space="0" w:color="000000"/>
              <w:left w:val="dashed" w:sz="4" w:space="0" w:color="000000"/>
              <w:bottom w:val="single" w:sz="4" w:space="0" w:color="000000"/>
              <w:right w:val="dashed" w:sz="4" w:space="0" w:color="000000"/>
            </w:tcBorders>
          </w:tcPr>
          <w:p w:rsidR="00E8309B" w:rsidRDefault="009D0949">
            <w:pPr>
              <w:spacing w:after="0" w:line="259" w:lineRule="auto"/>
              <w:ind w:left="0" w:right="52" w:firstLine="0"/>
              <w:jc w:val="center"/>
            </w:pPr>
            <w:r>
              <w:rPr>
                <w:sz w:val="20"/>
              </w:rPr>
              <w:t xml:space="preserve">: </w:t>
            </w:r>
          </w:p>
        </w:tc>
        <w:tc>
          <w:tcPr>
            <w:tcW w:w="1061" w:type="dxa"/>
            <w:tcBorders>
              <w:top w:val="dashed" w:sz="4" w:space="0" w:color="000000"/>
              <w:left w:val="dashed" w:sz="4" w:space="0" w:color="000000"/>
              <w:bottom w:val="single" w:sz="4" w:space="0" w:color="000000"/>
              <w:right w:val="double" w:sz="6" w:space="0" w:color="000000"/>
            </w:tcBorders>
          </w:tcPr>
          <w:p w:rsidR="00E8309B" w:rsidRDefault="009D0949">
            <w:pPr>
              <w:spacing w:after="0" w:line="259" w:lineRule="auto"/>
              <w:ind w:left="0" w:right="54" w:firstLine="0"/>
              <w:jc w:val="center"/>
            </w:pPr>
            <w:r>
              <w:rPr>
                <w:sz w:val="20"/>
              </w:rPr>
              <w:t xml:space="preserve">: </w:t>
            </w:r>
          </w:p>
        </w:tc>
      </w:tr>
      <w:tr w:rsidR="00E8309B">
        <w:trPr>
          <w:trHeight w:val="264"/>
        </w:trPr>
        <w:tc>
          <w:tcPr>
            <w:tcW w:w="8101" w:type="dxa"/>
            <w:gridSpan w:val="2"/>
            <w:tcBorders>
              <w:top w:val="single" w:sz="4" w:space="0" w:color="000000"/>
              <w:left w:val="double" w:sz="6" w:space="0" w:color="000000"/>
              <w:bottom w:val="single" w:sz="4" w:space="0" w:color="000000"/>
              <w:right w:val="nil"/>
            </w:tcBorders>
          </w:tcPr>
          <w:p w:rsidR="00E8309B" w:rsidRDefault="009D0949">
            <w:pPr>
              <w:spacing w:after="0" w:line="259" w:lineRule="auto"/>
              <w:ind w:left="0" w:right="172" w:firstLine="0"/>
              <w:jc w:val="right"/>
            </w:pPr>
            <w:r>
              <w:rPr>
                <w:b/>
                <w:sz w:val="20"/>
              </w:rPr>
              <w:t xml:space="preserve">Претпоставке </w:t>
            </w:r>
          </w:p>
        </w:tc>
        <w:tc>
          <w:tcPr>
            <w:tcW w:w="1063" w:type="dxa"/>
            <w:tcBorders>
              <w:top w:val="single" w:sz="4" w:space="0" w:color="000000"/>
              <w:left w:val="nil"/>
              <w:bottom w:val="single" w:sz="4" w:space="0" w:color="000000"/>
              <w:right w:val="nil"/>
            </w:tcBorders>
          </w:tcPr>
          <w:p w:rsidR="00E8309B" w:rsidRDefault="00E8309B">
            <w:pPr>
              <w:spacing w:after="160" w:line="259" w:lineRule="auto"/>
              <w:ind w:left="0" w:right="0" w:firstLine="0"/>
              <w:jc w:val="left"/>
            </w:pPr>
          </w:p>
        </w:tc>
        <w:tc>
          <w:tcPr>
            <w:tcW w:w="1063" w:type="dxa"/>
            <w:tcBorders>
              <w:top w:val="single" w:sz="4" w:space="0" w:color="000000"/>
              <w:left w:val="nil"/>
              <w:bottom w:val="single" w:sz="4" w:space="0" w:color="000000"/>
              <w:right w:val="nil"/>
            </w:tcBorders>
          </w:tcPr>
          <w:p w:rsidR="00E8309B" w:rsidRDefault="00E8309B">
            <w:pPr>
              <w:spacing w:after="160" w:line="259" w:lineRule="auto"/>
              <w:ind w:left="0" w:right="0" w:firstLine="0"/>
              <w:jc w:val="left"/>
            </w:pPr>
          </w:p>
        </w:tc>
        <w:tc>
          <w:tcPr>
            <w:tcW w:w="1066" w:type="dxa"/>
            <w:tcBorders>
              <w:top w:val="single" w:sz="4" w:space="0" w:color="000000"/>
              <w:left w:val="nil"/>
              <w:bottom w:val="single" w:sz="4" w:space="0" w:color="000000"/>
              <w:right w:val="nil"/>
            </w:tcBorders>
          </w:tcPr>
          <w:p w:rsidR="00E8309B" w:rsidRDefault="00E8309B">
            <w:pPr>
              <w:spacing w:after="160" w:line="259" w:lineRule="auto"/>
              <w:ind w:left="0" w:right="0" w:firstLine="0"/>
              <w:jc w:val="left"/>
            </w:pPr>
          </w:p>
        </w:tc>
        <w:tc>
          <w:tcPr>
            <w:tcW w:w="1063" w:type="dxa"/>
            <w:tcBorders>
              <w:top w:val="single" w:sz="4" w:space="0" w:color="000000"/>
              <w:left w:val="nil"/>
              <w:bottom w:val="single" w:sz="4" w:space="0" w:color="000000"/>
              <w:right w:val="nil"/>
            </w:tcBorders>
          </w:tcPr>
          <w:p w:rsidR="00E8309B" w:rsidRDefault="00E8309B">
            <w:pPr>
              <w:spacing w:after="160" w:line="259" w:lineRule="auto"/>
              <w:ind w:left="0" w:right="0" w:firstLine="0"/>
              <w:jc w:val="left"/>
            </w:pPr>
          </w:p>
        </w:tc>
        <w:tc>
          <w:tcPr>
            <w:tcW w:w="1063" w:type="dxa"/>
            <w:tcBorders>
              <w:top w:val="single" w:sz="4" w:space="0" w:color="000000"/>
              <w:left w:val="nil"/>
              <w:bottom w:val="single" w:sz="4" w:space="0" w:color="000000"/>
              <w:right w:val="nil"/>
            </w:tcBorders>
          </w:tcPr>
          <w:p w:rsidR="00E8309B" w:rsidRDefault="00E8309B">
            <w:pPr>
              <w:spacing w:after="160" w:line="259" w:lineRule="auto"/>
              <w:ind w:left="0" w:right="0" w:firstLine="0"/>
              <w:jc w:val="left"/>
            </w:pPr>
          </w:p>
        </w:tc>
        <w:tc>
          <w:tcPr>
            <w:tcW w:w="1061" w:type="dxa"/>
            <w:tcBorders>
              <w:top w:val="single" w:sz="4" w:space="0" w:color="000000"/>
              <w:left w:val="nil"/>
              <w:bottom w:val="single" w:sz="4" w:space="0" w:color="000000"/>
              <w:right w:val="double" w:sz="6" w:space="0" w:color="000000"/>
            </w:tcBorders>
          </w:tcPr>
          <w:p w:rsidR="00E8309B" w:rsidRDefault="00E8309B">
            <w:pPr>
              <w:spacing w:after="160" w:line="259" w:lineRule="auto"/>
              <w:ind w:left="0" w:right="0" w:firstLine="0"/>
              <w:jc w:val="left"/>
            </w:pPr>
          </w:p>
        </w:tc>
      </w:tr>
      <w:tr w:rsidR="00E8309B">
        <w:trPr>
          <w:trHeight w:val="266"/>
        </w:trPr>
        <w:tc>
          <w:tcPr>
            <w:tcW w:w="7038" w:type="dxa"/>
            <w:tcBorders>
              <w:top w:val="single" w:sz="4" w:space="0" w:color="000000"/>
              <w:left w:val="double" w:sz="6" w:space="0" w:color="000000"/>
              <w:bottom w:val="dashed" w:sz="4" w:space="0" w:color="000000"/>
              <w:right w:val="single" w:sz="4" w:space="0" w:color="000000"/>
            </w:tcBorders>
          </w:tcPr>
          <w:p w:rsidR="00E8309B" w:rsidRDefault="009D0949">
            <w:pPr>
              <w:spacing w:after="0" w:line="259" w:lineRule="auto"/>
              <w:ind w:left="0" w:right="0" w:firstLine="0"/>
              <w:jc w:val="left"/>
            </w:pPr>
            <w:r>
              <w:rPr>
                <w:sz w:val="20"/>
              </w:rPr>
              <w:t xml:space="preserve">Раст продуктивности рада </w:t>
            </w:r>
          </w:p>
        </w:tc>
        <w:tc>
          <w:tcPr>
            <w:tcW w:w="1063" w:type="dxa"/>
            <w:tcBorders>
              <w:top w:val="single" w:sz="4" w:space="0" w:color="000000"/>
              <w:left w:val="single" w:sz="4" w:space="0" w:color="000000"/>
              <w:bottom w:val="dashed" w:sz="4" w:space="0" w:color="000000"/>
              <w:right w:val="dashed" w:sz="4" w:space="0" w:color="000000"/>
            </w:tcBorders>
          </w:tcPr>
          <w:p w:rsidR="00E8309B" w:rsidRDefault="009D0949">
            <w:pPr>
              <w:spacing w:after="0" w:line="259" w:lineRule="auto"/>
              <w:ind w:left="0" w:right="47" w:firstLine="0"/>
              <w:jc w:val="center"/>
            </w:pPr>
            <w:r>
              <w:rPr>
                <w:sz w:val="20"/>
              </w:rPr>
              <w:t xml:space="preserve">: </w:t>
            </w:r>
          </w:p>
        </w:tc>
        <w:tc>
          <w:tcPr>
            <w:tcW w:w="1063" w:type="dxa"/>
            <w:tcBorders>
              <w:top w:val="single" w:sz="4" w:space="0" w:color="000000"/>
              <w:left w:val="dashed" w:sz="4" w:space="0" w:color="000000"/>
              <w:bottom w:val="dashed" w:sz="4" w:space="0" w:color="000000"/>
              <w:right w:val="dashed" w:sz="4" w:space="0" w:color="000000"/>
            </w:tcBorders>
          </w:tcPr>
          <w:p w:rsidR="00E8309B" w:rsidRDefault="009D0949">
            <w:pPr>
              <w:spacing w:after="0" w:line="259" w:lineRule="auto"/>
              <w:ind w:left="0" w:right="47" w:firstLine="0"/>
              <w:jc w:val="center"/>
            </w:pPr>
            <w:r>
              <w:rPr>
                <w:sz w:val="20"/>
              </w:rPr>
              <w:t xml:space="preserve">: </w:t>
            </w:r>
          </w:p>
        </w:tc>
        <w:tc>
          <w:tcPr>
            <w:tcW w:w="1063" w:type="dxa"/>
            <w:tcBorders>
              <w:top w:val="single" w:sz="4" w:space="0" w:color="000000"/>
              <w:left w:val="dashed" w:sz="4" w:space="0" w:color="000000"/>
              <w:bottom w:val="dashed" w:sz="4" w:space="0" w:color="000000"/>
              <w:right w:val="dashed" w:sz="4" w:space="0" w:color="000000"/>
            </w:tcBorders>
          </w:tcPr>
          <w:p w:rsidR="00E8309B" w:rsidRDefault="009D0949">
            <w:pPr>
              <w:spacing w:after="0" w:line="259" w:lineRule="auto"/>
              <w:ind w:left="0" w:right="47" w:firstLine="0"/>
              <w:jc w:val="center"/>
            </w:pPr>
            <w:r>
              <w:rPr>
                <w:sz w:val="20"/>
              </w:rPr>
              <w:t xml:space="preserve">: </w:t>
            </w:r>
          </w:p>
        </w:tc>
        <w:tc>
          <w:tcPr>
            <w:tcW w:w="1066" w:type="dxa"/>
            <w:tcBorders>
              <w:top w:val="single" w:sz="4" w:space="0" w:color="000000"/>
              <w:left w:val="dashed" w:sz="4" w:space="0" w:color="000000"/>
              <w:bottom w:val="dashed" w:sz="4" w:space="0" w:color="000000"/>
              <w:right w:val="dashed" w:sz="4" w:space="0" w:color="000000"/>
            </w:tcBorders>
          </w:tcPr>
          <w:p w:rsidR="00E8309B" w:rsidRDefault="009D0949">
            <w:pPr>
              <w:spacing w:after="0" w:line="259" w:lineRule="auto"/>
              <w:ind w:left="0" w:right="49" w:firstLine="0"/>
              <w:jc w:val="center"/>
            </w:pPr>
            <w:r>
              <w:rPr>
                <w:sz w:val="20"/>
              </w:rPr>
              <w:t xml:space="preserve">: </w:t>
            </w:r>
          </w:p>
        </w:tc>
        <w:tc>
          <w:tcPr>
            <w:tcW w:w="1063" w:type="dxa"/>
            <w:tcBorders>
              <w:top w:val="single" w:sz="4" w:space="0" w:color="000000"/>
              <w:left w:val="dashed" w:sz="4" w:space="0" w:color="000000"/>
              <w:bottom w:val="dashed" w:sz="4" w:space="0" w:color="000000"/>
              <w:right w:val="dashed" w:sz="4" w:space="0" w:color="000000"/>
            </w:tcBorders>
          </w:tcPr>
          <w:p w:rsidR="00E8309B" w:rsidRDefault="009D0949">
            <w:pPr>
              <w:spacing w:after="0" w:line="259" w:lineRule="auto"/>
              <w:ind w:left="0" w:right="52" w:firstLine="0"/>
              <w:jc w:val="center"/>
            </w:pPr>
            <w:r>
              <w:rPr>
                <w:sz w:val="20"/>
              </w:rPr>
              <w:t xml:space="preserve">: </w:t>
            </w:r>
          </w:p>
        </w:tc>
        <w:tc>
          <w:tcPr>
            <w:tcW w:w="1063" w:type="dxa"/>
            <w:tcBorders>
              <w:top w:val="single" w:sz="4" w:space="0" w:color="000000"/>
              <w:left w:val="dashed" w:sz="4" w:space="0" w:color="000000"/>
              <w:bottom w:val="dashed" w:sz="4" w:space="0" w:color="000000"/>
              <w:right w:val="dashed" w:sz="4" w:space="0" w:color="000000"/>
            </w:tcBorders>
          </w:tcPr>
          <w:p w:rsidR="00E8309B" w:rsidRDefault="009D0949">
            <w:pPr>
              <w:spacing w:after="0" w:line="259" w:lineRule="auto"/>
              <w:ind w:left="0" w:right="52" w:firstLine="0"/>
              <w:jc w:val="center"/>
            </w:pPr>
            <w:r>
              <w:rPr>
                <w:sz w:val="20"/>
              </w:rPr>
              <w:t xml:space="preserve">: </w:t>
            </w:r>
          </w:p>
        </w:tc>
        <w:tc>
          <w:tcPr>
            <w:tcW w:w="1061" w:type="dxa"/>
            <w:tcBorders>
              <w:top w:val="single" w:sz="4" w:space="0" w:color="000000"/>
              <w:left w:val="dashed" w:sz="4" w:space="0" w:color="000000"/>
              <w:bottom w:val="dashed" w:sz="4" w:space="0" w:color="000000"/>
              <w:right w:val="double" w:sz="6" w:space="0" w:color="000000"/>
            </w:tcBorders>
          </w:tcPr>
          <w:p w:rsidR="00E8309B" w:rsidRDefault="009D0949">
            <w:pPr>
              <w:spacing w:after="0" w:line="259" w:lineRule="auto"/>
              <w:ind w:left="0" w:right="54" w:firstLine="0"/>
              <w:jc w:val="center"/>
            </w:pPr>
            <w:r>
              <w:rPr>
                <w:sz w:val="20"/>
              </w:rPr>
              <w:t xml:space="preserve">: </w:t>
            </w:r>
          </w:p>
        </w:tc>
      </w:tr>
      <w:tr w:rsidR="00E8309B">
        <w:trPr>
          <w:trHeight w:val="264"/>
        </w:trPr>
        <w:tc>
          <w:tcPr>
            <w:tcW w:w="7038" w:type="dxa"/>
            <w:tcBorders>
              <w:top w:val="dashed" w:sz="4" w:space="0" w:color="000000"/>
              <w:left w:val="double" w:sz="6" w:space="0" w:color="000000"/>
              <w:bottom w:val="dashed" w:sz="4" w:space="0" w:color="000000"/>
              <w:right w:val="single" w:sz="4" w:space="0" w:color="000000"/>
            </w:tcBorders>
          </w:tcPr>
          <w:p w:rsidR="00E8309B" w:rsidRDefault="009D0949">
            <w:pPr>
              <w:spacing w:after="0" w:line="259" w:lineRule="auto"/>
              <w:ind w:left="0" w:right="0" w:firstLine="0"/>
              <w:jc w:val="left"/>
            </w:pPr>
            <w:r>
              <w:rPr>
                <w:sz w:val="20"/>
              </w:rPr>
              <w:t xml:space="preserve">Реални раст БДП-а </w:t>
            </w:r>
          </w:p>
        </w:tc>
        <w:tc>
          <w:tcPr>
            <w:tcW w:w="1063" w:type="dxa"/>
            <w:tcBorders>
              <w:top w:val="dashed" w:sz="4" w:space="0" w:color="000000"/>
              <w:left w:val="single" w:sz="4" w:space="0" w:color="000000"/>
              <w:bottom w:val="dashed" w:sz="4" w:space="0" w:color="000000"/>
              <w:right w:val="dashed" w:sz="4" w:space="0" w:color="000000"/>
            </w:tcBorders>
          </w:tcPr>
          <w:p w:rsidR="00E8309B" w:rsidRDefault="009D0949">
            <w:pPr>
              <w:spacing w:after="0" w:line="259" w:lineRule="auto"/>
              <w:ind w:left="0" w:right="47" w:firstLine="0"/>
              <w:jc w:val="center"/>
            </w:pPr>
            <w:r>
              <w:rPr>
                <w:sz w:val="20"/>
              </w:rPr>
              <w:t xml:space="preserve">: </w:t>
            </w:r>
          </w:p>
        </w:tc>
        <w:tc>
          <w:tcPr>
            <w:tcW w:w="1063"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47" w:firstLine="0"/>
              <w:jc w:val="center"/>
            </w:pPr>
            <w:r>
              <w:rPr>
                <w:sz w:val="20"/>
              </w:rPr>
              <w:t xml:space="preserve">: </w:t>
            </w:r>
          </w:p>
        </w:tc>
        <w:tc>
          <w:tcPr>
            <w:tcW w:w="1063"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47" w:firstLine="0"/>
              <w:jc w:val="center"/>
            </w:pPr>
            <w:r>
              <w:rPr>
                <w:sz w:val="20"/>
              </w:rPr>
              <w:t xml:space="preserve">: </w:t>
            </w:r>
          </w:p>
        </w:tc>
        <w:tc>
          <w:tcPr>
            <w:tcW w:w="1066"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49" w:firstLine="0"/>
              <w:jc w:val="center"/>
            </w:pPr>
            <w:r>
              <w:rPr>
                <w:sz w:val="20"/>
              </w:rPr>
              <w:t xml:space="preserve">: </w:t>
            </w:r>
          </w:p>
        </w:tc>
        <w:tc>
          <w:tcPr>
            <w:tcW w:w="1063"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52" w:firstLine="0"/>
              <w:jc w:val="center"/>
            </w:pPr>
            <w:r>
              <w:rPr>
                <w:sz w:val="20"/>
              </w:rPr>
              <w:t xml:space="preserve">: </w:t>
            </w:r>
          </w:p>
        </w:tc>
        <w:tc>
          <w:tcPr>
            <w:tcW w:w="1063"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52" w:firstLine="0"/>
              <w:jc w:val="center"/>
            </w:pPr>
            <w:r>
              <w:rPr>
                <w:sz w:val="20"/>
              </w:rPr>
              <w:t xml:space="preserve">: </w:t>
            </w:r>
          </w:p>
        </w:tc>
        <w:tc>
          <w:tcPr>
            <w:tcW w:w="1061" w:type="dxa"/>
            <w:tcBorders>
              <w:top w:val="dashed" w:sz="4" w:space="0" w:color="000000"/>
              <w:left w:val="dashed" w:sz="4" w:space="0" w:color="000000"/>
              <w:bottom w:val="dashed" w:sz="4" w:space="0" w:color="000000"/>
              <w:right w:val="double" w:sz="6" w:space="0" w:color="000000"/>
            </w:tcBorders>
          </w:tcPr>
          <w:p w:rsidR="00E8309B" w:rsidRDefault="009D0949">
            <w:pPr>
              <w:spacing w:after="0" w:line="259" w:lineRule="auto"/>
              <w:ind w:left="0" w:right="54" w:firstLine="0"/>
              <w:jc w:val="center"/>
            </w:pPr>
            <w:r>
              <w:rPr>
                <w:sz w:val="20"/>
              </w:rPr>
              <w:t xml:space="preserve">: </w:t>
            </w:r>
          </w:p>
        </w:tc>
      </w:tr>
      <w:tr w:rsidR="00E8309B">
        <w:trPr>
          <w:trHeight w:val="264"/>
        </w:trPr>
        <w:tc>
          <w:tcPr>
            <w:tcW w:w="7038" w:type="dxa"/>
            <w:tcBorders>
              <w:top w:val="dashed" w:sz="4" w:space="0" w:color="000000"/>
              <w:left w:val="double" w:sz="6" w:space="0" w:color="000000"/>
              <w:bottom w:val="dashed" w:sz="4" w:space="0" w:color="000000"/>
              <w:right w:val="single" w:sz="4" w:space="0" w:color="000000"/>
            </w:tcBorders>
          </w:tcPr>
          <w:p w:rsidR="00E8309B" w:rsidRDefault="009D0949">
            <w:pPr>
              <w:spacing w:after="0" w:line="259" w:lineRule="auto"/>
              <w:ind w:left="0" w:right="0" w:firstLine="0"/>
              <w:jc w:val="left"/>
            </w:pPr>
            <w:r>
              <w:rPr>
                <w:sz w:val="20"/>
              </w:rPr>
              <w:t>Стопа активности мушкараца (20-</w:t>
            </w:r>
            <w:r>
              <w:rPr>
                <w:sz w:val="20"/>
              </w:rPr>
              <w:t xml:space="preserve">64 год.) </w:t>
            </w:r>
          </w:p>
        </w:tc>
        <w:tc>
          <w:tcPr>
            <w:tcW w:w="1063" w:type="dxa"/>
            <w:tcBorders>
              <w:top w:val="dashed" w:sz="4" w:space="0" w:color="000000"/>
              <w:left w:val="single" w:sz="4" w:space="0" w:color="000000"/>
              <w:bottom w:val="dashed" w:sz="4" w:space="0" w:color="000000"/>
              <w:right w:val="dashed" w:sz="4" w:space="0" w:color="000000"/>
            </w:tcBorders>
          </w:tcPr>
          <w:p w:rsidR="00E8309B" w:rsidRDefault="009D0949">
            <w:pPr>
              <w:spacing w:after="0" w:line="259" w:lineRule="auto"/>
              <w:ind w:left="0" w:right="47" w:firstLine="0"/>
              <w:jc w:val="center"/>
            </w:pPr>
            <w:r>
              <w:rPr>
                <w:sz w:val="20"/>
              </w:rPr>
              <w:t xml:space="preserve">: </w:t>
            </w:r>
          </w:p>
        </w:tc>
        <w:tc>
          <w:tcPr>
            <w:tcW w:w="1063"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47" w:firstLine="0"/>
              <w:jc w:val="center"/>
            </w:pPr>
            <w:r>
              <w:rPr>
                <w:sz w:val="20"/>
              </w:rPr>
              <w:t xml:space="preserve">: </w:t>
            </w:r>
          </w:p>
        </w:tc>
        <w:tc>
          <w:tcPr>
            <w:tcW w:w="1063"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47" w:firstLine="0"/>
              <w:jc w:val="center"/>
            </w:pPr>
            <w:r>
              <w:rPr>
                <w:sz w:val="20"/>
              </w:rPr>
              <w:t xml:space="preserve">: </w:t>
            </w:r>
          </w:p>
        </w:tc>
        <w:tc>
          <w:tcPr>
            <w:tcW w:w="1066"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49" w:firstLine="0"/>
              <w:jc w:val="center"/>
            </w:pPr>
            <w:r>
              <w:rPr>
                <w:sz w:val="20"/>
              </w:rPr>
              <w:t xml:space="preserve">: </w:t>
            </w:r>
          </w:p>
        </w:tc>
        <w:tc>
          <w:tcPr>
            <w:tcW w:w="1063"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52" w:firstLine="0"/>
              <w:jc w:val="center"/>
            </w:pPr>
            <w:r>
              <w:rPr>
                <w:sz w:val="20"/>
              </w:rPr>
              <w:t xml:space="preserve">: </w:t>
            </w:r>
          </w:p>
        </w:tc>
        <w:tc>
          <w:tcPr>
            <w:tcW w:w="1063"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52" w:firstLine="0"/>
              <w:jc w:val="center"/>
            </w:pPr>
            <w:r>
              <w:rPr>
                <w:sz w:val="20"/>
              </w:rPr>
              <w:t xml:space="preserve">: </w:t>
            </w:r>
          </w:p>
        </w:tc>
        <w:tc>
          <w:tcPr>
            <w:tcW w:w="1061" w:type="dxa"/>
            <w:tcBorders>
              <w:top w:val="dashed" w:sz="4" w:space="0" w:color="000000"/>
              <w:left w:val="dashed" w:sz="4" w:space="0" w:color="000000"/>
              <w:bottom w:val="dashed" w:sz="4" w:space="0" w:color="000000"/>
              <w:right w:val="double" w:sz="6" w:space="0" w:color="000000"/>
            </w:tcBorders>
          </w:tcPr>
          <w:p w:rsidR="00E8309B" w:rsidRDefault="009D0949">
            <w:pPr>
              <w:spacing w:after="0" w:line="259" w:lineRule="auto"/>
              <w:ind w:left="0" w:right="54" w:firstLine="0"/>
              <w:jc w:val="center"/>
            </w:pPr>
            <w:r>
              <w:rPr>
                <w:sz w:val="20"/>
              </w:rPr>
              <w:t xml:space="preserve">: </w:t>
            </w:r>
          </w:p>
        </w:tc>
      </w:tr>
      <w:tr w:rsidR="00E8309B">
        <w:trPr>
          <w:trHeight w:val="267"/>
        </w:trPr>
        <w:tc>
          <w:tcPr>
            <w:tcW w:w="7038" w:type="dxa"/>
            <w:tcBorders>
              <w:top w:val="dashed" w:sz="4" w:space="0" w:color="000000"/>
              <w:left w:val="double" w:sz="6" w:space="0" w:color="000000"/>
              <w:bottom w:val="dashed" w:sz="4" w:space="0" w:color="000000"/>
              <w:right w:val="single" w:sz="4" w:space="0" w:color="000000"/>
            </w:tcBorders>
          </w:tcPr>
          <w:p w:rsidR="00E8309B" w:rsidRDefault="009D0949">
            <w:pPr>
              <w:spacing w:after="0" w:line="259" w:lineRule="auto"/>
              <w:ind w:left="0" w:right="0" w:firstLine="0"/>
              <w:jc w:val="left"/>
            </w:pPr>
            <w:r>
              <w:rPr>
                <w:sz w:val="20"/>
              </w:rPr>
              <w:t xml:space="preserve">Стопа активности жена (20-64 год.) </w:t>
            </w:r>
          </w:p>
        </w:tc>
        <w:tc>
          <w:tcPr>
            <w:tcW w:w="1063" w:type="dxa"/>
            <w:tcBorders>
              <w:top w:val="dashed" w:sz="4" w:space="0" w:color="000000"/>
              <w:left w:val="single" w:sz="4" w:space="0" w:color="000000"/>
              <w:bottom w:val="dashed" w:sz="4" w:space="0" w:color="000000"/>
              <w:right w:val="dashed" w:sz="4" w:space="0" w:color="000000"/>
            </w:tcBorders>
          </w:tcPr>
          <w:p w:rsidR="00E8309B" w:rsidRDefault="009D0949">
            <w:pPr>
              <w:spacing w:after="0" w:line="259" w:lineRule="auto"/>
              <w:ind w:left="0" w:right="47" w:firstLine="0"/>
              <w:jc w:val="center"/>
            </w:pPr>
            <w:r>
              <w:rPr>
                <w:sz w:val="20"/>
              </w:rPr>
              <w:t xml:space="preserve">: </w:t>
            </w:r>
          </w:p>
        </w:tc>
        <w:tc>
          <w:tcPr>
            <w:tcW w:w="1063"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47" w:firstLine="0"/>
              <w:jc w:val="center"/>
            </w:pPr>
            <w:r>
              <w:rPr>
                <w:sz w:val="20"/>
              </w:rPr>
              <w:t xml:space="preserve">: </w:t>
            </w:r>
          </w:p>
        </w:tc>
        <w:tc>
          <w:tcPr>
            <w:tcW w:w="1063"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47" w:firstLine="0"/>
              <w:jc w:val="center"/>
            </w:pPr>
            <w:r>
              <w:rPr>
                <w:sz w:val="20"/>
              </w:rPr>
              <w:t xml:space="preserve">: </w:t>
            </w:r>
          </w:p>
        </w:tc>
        <w:tc>
          <w:tcPr>
            <w:tcW w:w="1066"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49" w:firstLine="0"/>
              <w:jc w:val="center"/>
            </w:pPr>
            <w:r>
              <w:rPr>
                <w:sz w:val="20"/>
              </w:rPr>
              <w:t xml:space="preserve">: </w:t>
            </w:r>
          </w:p>
        </w:tc>
        <w:tc>
          <w:tcPr>
            <w:tcW w:w="1063"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52" w:firstLine="0"/>
              <w:jc w:val="center"/>
            </w:pPr>
            <w:r>
              <w:rPr>
                <w:sz w:val="20"/>
              </w:rPr>
              <w:t xml:space="preserve">: </w:t>
            </w:r>
          </w:p>
        </w:tc>
        <w:tc>
          <w:tcPr>
            <w:tcW w:w="1063"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52" w:firstLine="0"/>
              <w:jc w:val="center"/>
            </w:pPr>
            <w:r>
              <w:rPr>
                <w:sz w:val="20"/>
              </w:rPr>
              <w:t xml:space="preserve">: </w:t>
            </w:r>
          </w:p>
        </w:tc>
        <w:tc>
          <w:tcPr>
            <w:tcW w:w="1061" w:type="dxa"/>
            <w:tcBorders>
              <w:top w:val="dashed" w:sz="4" w:space="0" w:color="000000"/>
              <w:left w:val="dashed" w:sz="4" w:space="0" w:color="000000"/>
              <w:bottom w:val="dashed" w:sz="4" w:space="0" w:color="000000"/>
              <w:right w:val="double" w:sz="6" w:space="0" w:color="000000"/>
            </w:tcBorders>
          </w:tcPr>
          <w:p w:rsidR="00E8309B" w:rsidRDefault="009D0949">
            <w:pPr>
              <w:spacing w:after="0" w:line="259" w:lineRule="auto"/>
              <w:ind w:left="0" w:right="54" w:firstLine="0"/>
              <w:jc w:val="center"/>
            </w:pPr>
            <w:r>
              <w:rPr>
                <w:sz w:val="20"/>
              </w:rPr>
              <w:t xml:space="preserve">: </w:t>
            </w:r>
          </w:p>
        </w:tc>
      </w:tr>
      <w:tr w:rsidR="00E8309B">
        <w:trPr>
          <w:trHeight w:val="264"/>
        </w:trPr>
        <w:tc>
          <w:tcPr>
            <w:tcW w:w="7038" w:type="dxa"/>
            <w:tcBorders>
              <w:top w:val="dashed" w:sz="4" w:space="0" w:color="000000"/>
              <w:left w:val="double" w:sz="6" w:space="0" w:color="000000"/>
              <w:bottom w:val="dashed" w:sz="4" w:space="0" w:color="000000"/>
              <w:right w:val="single" w:sz="4" w:space="0" w:color="000000"/>
            </w:tcBorders>
          </w:tcPr>
          <w:p w:rsidR="00E8309B" w:rsidRDefault="009D0949">
            <w:pPr>
              <w:spacing w:after="0" w:line="259" w:lineRule="auto"/>
              <w:ind w:left="0" w:right="0" w:firstLine="0"/>
              <w:jc w:val="left"/>
            </w:pPr>
            <w:r>
              <w:rPr>
                <w:sz w:val="20"/>
              </w:rPr>
              <w:t xml:space="preserve">Општа стопа активности (20-64 год.) </w:t>
            </w:r>
          </w:p>
        </w:tc>
        <w:tc>
          <w:tcPr>
            <w:tcW w:w="1063" w:type="dxa"/>
            <w:tcBorders>
              <w:top w:val="dashed" w:sz="4" w:space="0" w:color="000000"/>
              <w:left w:val="single" w:sz="4" w:space="0" w:color="000000"/>
              <w:bottom w:val="dashed" w:sz="4" w:space="0" w:color="000000"/>
              <w:right w:val="dashed" w:sz="4" w:space="0" w:color="000000"/>
            </w:tcBorders>
          </w:tcPr>
          <w:p w:rsidR="00E8309B" w:rsidRDefault="009D0949">
            <w:pPr>
              <w:spacing w:after="0" w:line="259" w:lineRule="auto"/>
              <w:ind w:left="0" w:right="47" w:firstLine="0"/>
              <w:jc w:val="center"/>
            </w:pPr>
            <w:r>
              <w:rPr>
                <w:sz w:val="20"/>
              </w:rPr>
              <w:t xml:space="preserve">: </w:t>
            </w:r>
          </w:p>
        </w:tc>
        <w:tc>
          <w:tcPr>
            <w:tcW w:w="1063"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47" w:firstLine="0"/>
              <w:jc w:val="center"/>
            </w:pPr>
            <w:r>
              <w:rPr>
                <w:sz w:val="20"/>
              </w:rPr>
              <w:t xml:space="preserve">: </w:t>
            </w:r>
          </w:p>
        </w:tc>
        <w:tc>
          <w:tcPr>
            <w:tcW w:w="1063"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47" w:firstLine="0"/>
              <w:jc w:val="center"/>
            </w:pPr>
            <w:r>
              <w:rPr>
                <w:sz w:val="20"/>
              </w:rPr>
              <w:t xml:space="preserve">: </w:t>
            </w:r>
          </w:p>
        </w:tc>
        <w:tc>
          <w:tcPr>
            <w:tcW w:w="1066"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49" w:firstLine="0"/>
              <w:jc w:val="center"/>
            </w:pPr>
            <w:r>
              <w:rPr>
                <w:sz w:val="20"/>
              </w:rPr>
              <w:t xml:space="preserve">: </w:t>
            </w:r>
          </w:p>
        </w:tc>
        <w:tc>
          <w:tcPr>
            <w:tcW w:w="1063"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52" w:firstLine="0"/>
              <w:jc w:val="center"/>
            </w:pPr>
            <w:r>
              <w:rPr>
                <w:sz w:val="20"/>
              </w:rPr>
              <w:t xml:space="preserve">: </w:t>
            </w:r>
          </w:p>
        </w:tc>
        <w:tc>
          <w:tcPr>
            <w:tcW w:w="1063"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52" w:firstLine="0"/>
              <w:jc w:val="center"/>
            </w:pPr>
            <w:r>
              <w:rPr>
                <w:sz w:val="20"/>
              </w:rPr>
              <w:t xml:space="preserve">: </w:t>
            </w:r>
          </w:p>
        </w:tc>
        <w:tc>
          <w:tcPr>
            <w:tcW w:w="1061" w:type="dxa"/>
            <w:tcBorders>
              <w:top w:val="dashed" w:sz="4" w:space="0" w:color="000000"/>
              <w:left w:val="dashed" w:sz="4" w:space="0" w:color="000000"/>
              <w:bottom w:val="dashed" w:sz="4" w:space="0" w:color="000000"/>
              <w:right w:val="double" w:sz="6" w:space="0" w:color="000000"/>
            </w:tcBorders>
          </w:tcPr>
          <w:p w:rsidR="00E8309B" w:rsidRDefault="009D0949">
            <w:pPr>
              <w:spacing w:after="0" w:line="259" w:lineRule="auto"/>
              <w:ind w:left="0" w:right="54" w:firstLine="0"/>
              <w:jc w:val="center"/>
            </w:pPr>
            <w:r>
              <w:rPr>
                <w:sz w:val="20"/>
              </w:rPr>
              <w:t xml:space="preserve">: </w:t>
            </w:r>
          </w:p>
        </w:tc>
      </w:tr>
      <w:tr w:rsidR="00E8309B">
        <w:trPr>
          <w:trHeight w:val="266"/>
        </w:trPr>
        <w:tc>
          <w:tcPr>
            <w:tcW w:w="7038" w:type="dxa"/>
            <w:tcBorders>
              <w:top w:val="dashed" w:sz="4" w:space="0" w:color="000000"/>
              <w:left w:val="double" w:sz="6" w:space="0" w:color="000000"/>
              <w:bottom w:val="dashed" w:sz="4" w:space="0" w:color="000000"/>
              <w:right w:val="single" w:sz="4" w:space="0" w:color="000000"/>
            </w:tcBorders>
          </w:tcPr>
          <w:p w:rsidR="00E8309B" w:rsidRDefault="009D0949">
            <w:pPr>
              <w:spacing w:after="0" w:line="259" w:lineRule="auto"/>
              <w:ind w:left="0" w:right="0" w:firstLine="0"/>
              <w:jc w:val="left"/>
            </w:pPr>
            <w:r>
              <w:rPr>
                <w:sz w:val="20"/>
              </w:rPr>
              <w:t xml:space="preserve">Стопа незапослености </w:t>
            </w:r>
          </w:p>
        </w:tc>
        <w:tc>
          <w:tcPr>
            <w:tcW w:w="1063" w:type="dxa"/>
            <w:tcBorders>
              <w:top w:val="dashed" w:sz="4" w:space="0" w:color="000000"/>
              <w:left w:val="single" w:sz="4" w:space="0" w:color="000000"/>
              <w:bottom w:val="dashed" w:sz="4" w:space="0" w:color="000000"/>
              <w:right w:val="dashed" w:sz="4" w:space="0" w:color="000000"/>
            </w:tcBorders>
          </w:tcPr>
          <w:p w:rsidR="00E8309B" w:rsidRDefault="009D0949">
            <w:pPr>
              <w:spacing w:after="0" w:line="259" w:lineRule="auto"/>
              <w:ind w:left="0" w:right="47" w:firstLine="0"/>
              <w:jc w:val="center"/>
            </w:pPr>
            <w:r>
              <w:rPr>
                <w:sz w:val="20"/>
              </w:rPr>
              <w:t xml:space="preserve">: </w:t>
            </w:r>
          </w:p>
        </w:tc>
        <w:tc>
          <w:tcPr>
            <w:tcW w:w="1063"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47" w:firstLine="0"/>
              <w:jc w:val="center"/>
            </w:pPr>
            <w:r>
              <w:rPr>
                <w:sz w:val="20"/>
              </w:rPr>
              <w:t xml:space="preserve">: </w:t>
            </w:r>
          </w:p>
        </w:tc>
        <w:tc>
          <w:tcPr>
            <w:tcW w:w="1063"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47" w:firstLine="0"/>
              <w:jc w:val="center"/>
            </w:pPr>
            <w:r>
              <w:rPr>
                <w:sz w:val="20"/>
              </w:rPr>
              <w:t xml:space="preserve">: </w:t>
            </w:r>
          </w:p>
        </w:tc>
        <w:tc>
          <w:tcPr>
            <w:tcW w:w="1066"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49" w:firstLine="0"/>
              <w:jc w:val="center"/>
            </w:pPr>
            <w:r>
              <w:rPr>
                <w:sz w:val="20"/>
              </w:rPr>
              <w:t xml:space="preserve">: </w:t>
            </w:r>
          </w:p>
        </w:tc>
        <w:tc>
          <w:tcPr>
            <w:tcW w:w="1063"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52" w:firstLine="0"/>
              <w:jc w:val="center"/>
            </w:pPr>
            <w:r>
              <w:rPr>
                <w:sz w:val="20"/>
              </w:rPr>
              <w:t xml:space="preserve">: </w:t>
            </w:r>
          </w:p>
        </w:tc>
        <w:tc>
          <w:tcPr>
            <w:tcW w:w="1063"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52" w:firstLine="0"/>
              <w:jc w:val="center"/>
            </w:pPr>
            <w:r>
              <w:rPr>
                <w:sz w:val="20"/>
              </w:rPr>
              <w:t xml:space="preserve">: </w:t>
            </w:r>
          </w:p>
        </w:tc>
        <w:tc>
          <w:tcPr>
            <w:tcW w:w="1061" w:type="dxa"/>
            <w:tcBorders>
              <w:top w:val="dashed" w:sz="4" w:space="0" w:color="000000"/>
              <w:left w:val="dashed" w:sz="4" w:space="0" w:color="000000"/>
              <w:bottom w:val="dashed" w:sz="4" w:space="0" w:color="000000"/>
              <w:right w:val="double" w:sz="6" w:space="0" w:color="000000"/>
            </w:tcBorders>
          </w:tcPr>
          <w:p w:rsidR="00E8309B" w:rsidRDefault="009D0949">
            <w:pPr>
              <w:spacing w:after="0" w:line="259" w:lineRule="auto"/>
              <w:ind w:left="0" w:right="54" w:firstLine="0"/>
              <w:jc w:val="center"/>
            </w:pPr>
            <w:r>
              <w:rPr>
                <w:sz w:val="20"/>
              </w:rPr>
              <w:t xml:space="preserve">: </w:t>
            </w:r>
          </w:p>
        </w:tc>
      </w:tr>
      <w:tr w:rsidR="00E8309B">
        <w:trPr>
          <w:trHeight w:val="298"/>
        </w:trPr>
        <w:tc>
          <w:tcPr>
            <w:tcW w:w="7038" w:type="dxa"/>
            <w:tcBorders>
              <w:top w:val="dashed" w:sz="4" w:space="0" w:color="000000"/>
              <w:left w:val="double" w:sz="6" w:space="0" w:color="000000"/>
              <w:bottom w:val="double" w:sz="6" w:space="0" w:color="000000"/>
              <w:right w:val="single" w:sz="4" w:space="0" w:color="000000"/>
            </w:tcBorders>
          </w:tcPr>
          <w:p w:rsidR="00E8309B" w:rsidRDefault="009D0949">
            <w:pPr>
              <w:spacing w:after="0" w:line="259" w:lineRule="auto"/>
              <w:ind w:left="0" w:right="0" w:firstLine="0"/>
              <w:jc w:val="left"/>
            </w:pPr>
            <w:r>
              <w:rPr>
                <w:sz w:val="20"/>
              </w:rPr>
              <w:t xml:space="preserve">Становништво узраста 65+ у укупном становништву </w:t>
            </w:r>
          </w:p>
        </w:tc>
        <w:tc>
          <w:tcPr>
            <w:tcW w:w="1063" w:type="dxa"/>
            <w:tcBorders>
              <w:top w:val="dashed" w:sz="4" w:space="0" w:color="000000"/>
              <w:left w:val="single" w:sz="4" w:space="0" w:color="000000"/>
              <w:bottom w:val="double" w:sz="6" w:space="0" w:color="000000"/>
              <w:right w:val="dashed" w:sz="4" w:space="0" w:color="000000"/>
            </w:tcBorders>
          </w:tcPr>
          <w:p w:rsidR="00E8309B" w:rsidRDefault="009D0949">
            <w:pPr>
              <w:spacing w:after="0" w:line="259" w:lineRule="auto"/>
              <w:ind w:left="0" w:right="47" w:firstLine="0"/>
              <w:jc w:val="center"/>
            </w:pPr>
            <w:r>
              <w:rPr>
                <w:sz w:val="20"/>
              </w:rPr>
              <w:t xml:space="preserve">: </w:t>
            </w:r>
          </w:p>
        </w:tc>
        <w:tc>
          <w:tcPr>
            <w:tcW w:w="1063" w:type="dxa"/>
            <w:tcBorders>
              <w:top w:val="dashed" w:sz="4" w:space="0" w:color="000000"/>
              <w:left w:val="dashed" w:sz="4" w:space="0" w:color="000000"/>
              <w:bottom w:val="double" w:sz="6" w:space="0" w:color="000000"/>
              <w:right w:val="dashed" w:sz="4" w:space="0" w:color="000000"/>
            </w:tcBorders>
          </w:tcPr>
          <w:p w:rsidR="00E8309B" w:rsidRDefault="009D0949">
            <w:pPr>
              <w:spacing w:after="0" w:line="259" w:lineRule="auto"/>
              <w:ind w:left="0" w:right="47" w:firstLine="0"/>
              <w:jc w:val="center"/>
            </w:pPr>
            <w:r>
              <w:rPr>
                <w:sz w:val="20"/>
              </w:rPr>
              <w:t xml:space="preserve">: </w:t>
            </w:r>
          </w:p>
        </w:tc>
        <w:tc>
          <w:tcPr>
            <w:tcW w:w="1063" w:type="dxa"/>
            <w:tcBorders>
              <w:top w:val="dashed" w:sz="4" w:space="0" w:color="000000"/>
              <w:left w:val="dashed" w:sz="4" w:space="0" w:color="000000"/>
              <w:bottom w:val="double" w:sz="6" w:space="0" w:color="000000"/>
              <w:right w:val="dashed" w:sz="4" w:space="0" w:color="000000"/>
            </w:tcBorders>
          </w:tcPr>
          <w:p w:rsidR="00E8309B" w:rsidRDefault="009D0949">
            <w:pPr>
              <w:spacing w:after="0" w:line="259" w:lineRule="auto"/>
              <w:ind w:left="0" w:right="47" w:firstLine="0"/>
              <w:jc w:val="center"/>
            </w:pPr>
            <w:r>
              <w:rPr>
                <w:sz w:val="20"/>
              </w:rPr>
              <w:t xml:space="preserve">: </w:t>
            </w:r>
          </w:p>
        </w:tc>
        <w:tc>
          <w:tcPr>
            <w:tcW w:w="1066" w:type="dxa"/>
            <w:tcBorders>
              <w:top w:val="dashed" w:sz="4" w:space="0" w:color="000000"/>
              <w:left w:val="dashed" w:sz="4" w:space="0" w:color="000000"/>
              <w:bottom w:val="double" w:sz="6" w:space="0" w:color="000000"/>
              <w:right w:val="dashed" w:sz="4" w:space="0" w:color="000000"/>
            </w:tcBorders>
          </w:tcPr>
          <w:p w:rsidR="00E8309B" w:rsidRDefault="009D0949">
            <w:pPr>
              <w:spacing w:after="0" w:line="259" w:lineRule="auto"/>
              <w:ind w:left="0" w:right="49" w:firstLine="0"/>
              <w:jc w:val="center"/>
            </w:pPr>
            <w:r>
              <w:rPr>
                <w:sz w:val="20"/>
              </w:rPr>
              <w:t xml:space="preserve">: </w:t>
            </w:r>
          </w:p>
        </w:tc>
        <w:tc>
          <w:tcPr>
            <w:tcW w:w="1063" w:type="dxa"/>
            <w:tcBorders>
              <w:top w:val="dashed" w:sz="4" w:space="0" w:color="000000"/>
              <w:left w:val="dashed" w:sz="4" w:space="0" w:color="000000"/>
              <w:bottom w:val="double" w:sz="6" w:space="0" w:color="000000"/>
              <w:right w:val="dashed" w:sz="4" w:space="0" w:color="000000"/>
            </w:tcBorders>
          </w:tcPr>
          <w:p w:rsidR="00E8309B" w:rsidRDefault="009D0949">
            <w:pPr>
              <w:spacing w:after="0" w:line="259" w:lineRule="auto"/>
              <w:ind w:left="0" w:right="52" w:firstLine="0"/>
              <w:jc w:val="center"/>
            </w:pPr>
            <w:r>
              <w:rPr>
                <w:sz w:val="20"/>
              </w:rPr>
              <w:t xml:space="preserve">: </w:t>
            </w:r>
          </w:p>
        </w:tc>
        <w:tc>
          <w:tcPr>
            <w:tcW w:w="1063" w:type="dxa"/>
            <w:tcBorders>
              <w:top w:val="dashed" w:sz="4" w:space="0" w:color="000000"/>
              <w:left w:val="dashed" w:sz="4" w:space="0" w:color="000000"/>
              <w:bottom w:val="double" w:sz="6" w:space="0" w:color="000000"/>
              <w:right w:val="dashed" w:sz="4" w:space="0" w:color="000000"/>
            </w:tcBorders>
          </w:tcPr>
          <w:p w:rsidR="00E8309B" w:rsidRDefault="009D0949">
            <w:pPr>
              <w:spacing w:after="0" w:line="259" w:lineRule="auto"/>
              <w:ind w:left="0" w:right="52" w:firstLine="0"/>
              <w:jc w:val="center"/>
            </w:pPr>
            <w:r>
              <w:rPr>
                <w:sz w:val="20"/>
              </w:rPr>
              <w:t xml:space="preserve">: </w:t>
            </w:r>
          </w:p>
        </w:tc>
        <w:tc>
          <w:tcPr>
            <w:tcW w:w="1061" w:type="dxa"/>
            <w:tcBorders>
              <w:top w:val="dashed" w:sz="4" w:space="0" w:color="000000"/>
              <w:left w:val="dashed" w:sz="4" w:space="0" w:color="000000"/>
              <w:bottom w:val="double" w:sz="6" w:space="0" w:color="000000"/>
              <w:right w:val="double" w:sz="6" w:space="0" w:color="000000"/>
            </w:tcBorders>
          </w:tcPr>
          <w:p w:rsidR="00E8309B" w:rsidRDefault="009D0949">
            <w:pPr>
              <w:spacing w:after="0" w:line="259" w:lineRule="auto"/>
              <w:ind w:left="0" w:right="54" w:firstLine="0"/>
              <w:jc w:val="center"/>
            </w:pPr>
            <w:r>
              <w:rPr>
                <w:sz w:val="20"/>
              </w:rPr>
              <w:t xml:space="preserve">: </w:t>
            </w:r>
          </w:p>
        </w:tc>
      </w:tr>
    </w:tbl>
    <w:p w:rsidR="00E8309B" w:rsidRDefault="009D0949">
      <w:pPr>
        <w:spacing w:after="0" w:line="259" w:lineRule="auto"/>
        <w:ind w:left="199" w:right="0" w:firstLine="0"/>
        <w:jc w:val="left"/>
      </w:pPr>
      <w:r>
        <w:rPr>
          <w:b/>
        </w:rPr>
        <w:t xml:space="preserve"> </w:t>
      </w:r>
    </w:p>
    <w:p w:rsidR="00E8309B" w:rsidRDefault="009D0949">
      <w:pPr>
        <w:spacing w:after="0" w:line="259" w:lineRule="auto"/>
        <w:ind w:left="199" w:right="0" w:firstLine="0"/>
        <w:jc w:val="left"/>
      </w:pPr>
      <w:r>
        <w:rPr>
          <w:b/>
        </w:rPr>
        <w:t xml:space="preserve"> </w:t>
      </w:r>
    </w:p>
    <w:p w:rsidR="00E8309B" w:rsidRDefault="009D0949">
      <w:pPr>
        <w:spacing w:after="0" w:line="259" w:lineRule="auto"/>
        <w:ind w:left="1219" w:right="0" w:firstLine="0"/>
        <w:jc w:val="center"/>
      </w:pPr>
      <w:r>
        <w:rPr>
          <w:sz w:val="20"/>
        </w:rPr>
        <w:t xml:space="preserve">  </w:t>
      </w:r>
      <w:r>
        <w:rPr>
          <w:sz w:val="20"/>
        </w:rPr>
        <w:tab/>
        <w:t xml:space="preserve">  </w:t>
      </w:r>
      <w:r>
        <w:rPr>
          <w:sz w:val="20"/>
        </w:rPr>
        <w:tab/>
        <w:t xml:space="preserve">  </w:t>
      </w:r>
    </w:p>
    <w:p w:rsidR="00E8309B" w:rsidRDefault="009D0949">
      <w:pPr>
        <w:spacing w:after="0" w:line="259" w:lineRule="auto"/>
        <w:ind w:left="199" w:right="0" w:firstLine="0"/>
        <w:jc w:val="left"/>
      </w:pPr>
      <w:r>
        <w:rPr>
          <w:b/>
        </w:rPr>
        <w:t xml:space="preserve"> </w:t>
      </w:r>
    </w:p>
    <w:p w:rsidR="00E8309B" w:rsidRDefault="009D0949">
      <w:pPr>
        <w:spacing w:after="0" w:line="259" w:lineRule="auto"/>
        <w:ind w:left="199" w:right="0" w:firstLine="0"/>
        <w:jc w:val="left"/>
      </w:pPr>
      <w:r>
        <w:rPr>
          <w:b/>
        </w:rPr>
        <w:t xml:space="preserve"> </w:t>
      </w:r>
    </w:p>
    <w:p w:rsidR="00E8309B" w:rsidRDefault="009D0949">
      <w:pPr>
        <w:spacing w:after="98" w:line="259" w:lineRule="auto"/>
        <w:ind w:left="199" w:right="0" w:firstLine="0"/>
        <w:jc w:val="left"/>
      </w:pPr>
      <w:r>
        <w:rPr>
          <w:b/>
        </w:rPr>
        <w:t xml:space="preserve"> </w:t>
      </w:r>
    </w:p>
    <w:p w:rsidR="00E8309B" w:rsidRDefault="009D0949">
      <w:pPr>
        <w:tabs>
          <w:tab w:val="center" w:pos="1536"/>
          <w:tab w:val="center" w:pos="6395"/>
          <w:tab w:val="center" w:pos="8025"/>
          <w:tab w:val="center" w:pos="10532"/>
        </w:tabs>
        <w:spacing w:after="0" w:line="259" w:lineRule="auto"/>
        <w:ind w:left="0" w:right="0" w:firstLine="0"/>
        <w:jc w:val="left"/>
      </w:pPr>
      <w:r>
        <w:rPr>
          <w:rFonts w:ascii="Calibri" w:eastAsia="Calibri" w:hAnsi="Calibri" w:cs="Calibri"/>
          <w:sz w:val="22"/>
        </w:rPr>
        <w:tab/>
      </w:r>
      <w:r>
        <w:rPr>
          <w:b/>
          <w:sz w:val="20"/>
        </w:rPr>
        <w:t xml:space="preserve">Table 7a: Индиректне обавезе </w:t>
      </w:r>
      <w:r>
        <w:rPr>
          <w:b/>
          <w:sz w:val="20"/>
        </w:rPr>
        <w:tab/>
      </w:r>
      <w:r>
        <w:rPr>
          <w:sz w:val="20"/>
        </w:rPr>
        <w:t xml:space="preserve">  </w:t>
      </w:r>
      <w:r>
        <w:rPr>
          <w:sz w:val="20"/>
        </w:rPr>
        <w:tab/>
        <w:t xml:space="preserve">  </w:t>
      </w:r>
      <w:r>
        <w:rPr>
          <w:sz w:val="20"/>
        </w:rPr>
        <w:tab/>
      </w:r>
      <w:r>
        <w:rPr>
          <w:b/>
          <w:sz w:val="20"/>
        </w:rPr>
        <w:t xml:space="preserve">Република Србија </w:t>
      </w:r>
    </w:p>
    <w:tbl>
      <w:tblPr>
        <w:tblStyle w:val="TableGrid"/>
        <w:tblW w:w="11469" w:type="dxa"/>
        <w:tblInd w:w="0" w:type="dxa"/>
        <w:tblCellMar>
          <w:top w:w="10" w:type="dxa"/>
          <w:left w:w="0" w:type="dxa"/>
          <w:bottom w:w="0" w:type="dxa"/>
          <w:right w:w="5" w:type="dxa"/>
        </w:tblCellMar>
        <w:tblLook w:val="04A0" w:firstRow="1" w:lastRow="0" w:firstColumn="1" w:lastColumn="0" w:noHBand="0" w:noVBand="1"/>
      </w:tblPr>
      <w:tblGrid>
        <w:gridCol w:w="3653"/>
        <w:gridCol w:w="4261"/>
        <w:gridCol w:w="1776"/>
        <w:gridCol w:w="1779"/>
      </w:tblGrid>
      <w:tr w:rsidR="00E8309B">
        <w:trPr>
          <w:trHeight w:val="540"/>
        </w:trPr>
        <w:tc>
          <w:tcPr>
            <w:tcW w:w="3653" w:type="dxa"/>
            <w:tcBorders>
              <w:top w:val="double" w:sz="6" w:space="0" w:color="000000"/>
              <w:left w:val="double" w:sz="6" w:space="0" w:color="000000"/>
              <w:bottom w:val="single" w:sz="8" w:space="0" w:color="000000"/>
              <w:right w:val="nil"/>
            </w:tcBorders>
          </w:tcPr>
          <w:p w:rsidR="00E8309B" w:rsidRDefault="00E8309B">
            <w:pPr>
              <w:spacing w:after="160" w:line="259" w:lineRule="auto"/>
              <w:ind w:left="0" w:right="0" w:firstLine="0"/>
              <w:jc w:val="left"/>
            </w:pPr>
          </w:p>
        </w:tc>
        <w:tc>
          <w:tcPr>
            <w:tcW w:w="4261" w:type="dxa"/>
            <w:tcBorders>
              <w:top w:val="double" w:sz="6" w:space="0" w:color="000000"/>
              <w:left w:val="nil"/>
              <w:bottom w:val="single" w:sz="8" w:space="0" w:color="000000"/>
              <w:right w:val="single" w:sz="8" w:space="0" w:color="000000"/>
            </w:tcBorders>
            <w:vAlign w:val="bottom"/>
          </w:tcPr>
          <w:p w:rsidR="00E8309B" w:rsidRDefault="009D0949">
            <w:pPr>
              <w:spacing w:after="0" w:line="259" w:lineRule="auto"/>
              <w:ind w:left="0" w:right="0" w:firstLine="0"/>
              <w:jc w:val="left"/>
            </w:pPr>
            <w:r>
              <w:rPr>
                <w:sz w:val="20"/>
              </w:rPr>
              <w:t xml:space="preserve">% БДП </w:t>
            </w:r>
          </w:p>
          <w:p w:rsidR="00E8309B" w:rsidRDefault="009D0949">
            <w:pPr>
              <w:spacing w:after="0" w:line="259" w:lineRule="auto"/>
              <w:ind w:left="1276" w:right="0" w:firstLine="0"/>
              <w:jc w:val="center"/>
            </w:pPr>
            <w:r>
              <w:rPr>
                <w:sz w:val="20"/>
              </w:rPr>
              <w:t xml:space="preserve"> </w:t>
            </w:r>
          </w:p>
        </w:tc>
        <w:tc>
          <w:tcPr>
            <w:tcW w:w="1776" w:type="dxa"/>
            <w:tcBorders>
              <w:top w:val="double" w:sz="6" w:space="0" w:color="000000"/>
              <w:left w:val="single" w:sz="8" w:space="0" w:color="000000"/>
              <w:bottom w:val="single" w:sz="8" w:space="0" w:color="000000"/>
              <w:right w:val="dashed" w:sz="4" w:space="0" w:color="000000"/>
            </w:tcBorders>
          </w:tcPr>
          <w:p w:rsidR="00E8309B" w:rsidRDefault="009D0949">
            <w:pPr>
              <w:spacing w:after="0" w:line="259" w:lineRule="auto"/>
              <w:ind w:left="7" w:right="0" w:firstLine="0"/>
              <w:jc w:val="center"/>
            </w:pPr>
            <w:r>
              <w:rPr>
                <w:sz w:val="20"/>
              </w:rPr>
              <w:t xml:space="preserve">год. </w:t>
            </w:r>
          </w:p>
          <w:p w:rsidR="00E8309B" w:rsidRDefault="009D0949">
            <w:pPr>
              <w:spacing w:after="5" w:line="259" w:lineRule="auto"/>
              <w:ind w:right="0" w:firstLine="0"/>
              <w:jc w:val="left"/>
            </w:pPr>
            <w:r>
              <w:rPr>
                <w:rFonts w:ascii="Calibri" w:eastAsia="Calibri" w:hAnsi="Calibri" w:cs="Calibri"/>
                <w:noProof/>
                <w:sz w:val="22"/>
              </w:rPr>
              <mc:AlternateContent>
                <mc:Choice Requires="wpg">
                  <w:drawing>
                    <wp:inline distT="0" distB="0" distL="0" distR="0">
                      <wp:extent cx="1118616" cy="28956"/>
                      <wp:effectExtent l="0" t="0" r="0" b="0"/>
                      <wp:docPr id="814178" name="Group 814178"/>
                      <wp:cNvGraphicFramePr/>
                      <a:graphic xmlns:a="http://schemas.openxmlformats.org/drawingml/2006/main">
                        <a:graphicData uri="http://schemas.microsoft.com/office/word/2010/wordprocessingGroup">
                          <wpg:wgp>
                            <wpg:cNvGrpSpPr/>
                            <wpg:grpSpPr>
                              <a:xfrm>
                                <a:off x="0" y="0"/>
                                <a:ext cx="1118616" cy="28956"/>
                                <a:chOff x="0" y="0"/>
                                <a:chExt cx="1118616" cy="28956"/>
                              </a:xfrm>
                            </wpg:grpSpPr>
                            <wps:wsp>
                              <wps:cNvPr id="900694" name="Shape 900694"/>
                              <wps:cNvSpPr/>
                              <wps:spPr>
                                <a:xfrm>
                                  <a:off x="0" y="0"/>
                                  <a:ext cx="1118616" cy="28956"/>
                                </a:xfrm>
                                <a:custGeom>
                                  <a:avLst/>
                                  <a:gdLst/>
                                  <a:ahLst/>
                                  <a:cxnLst/>
                                  <a:rect l="0" t="0" r="0" b="0"/>
                                  <a:pathLst>
                                    <a:path w="1118616" h="28956">
                                      <a:moveTo>
                                        <a:pt x="0" y="0"/>
                                      </a:moveTo>
                                      <a:lnTo>
                                        <a:pt x="1118616" y="0"/>
                                      </a:lnTo>
                                      <a:lnTo>
                                        <a:pt x="1118616" y="28956"/>
                                      </a:lnTo>
                                      <a:lnTo>
                                        <a:pt x="0" y="28956"/>
                                      </a:lnTo>
                                      <a:lnTo>
                                        <a:pt x="0" y="0"/>
                                      </a:lnTo>
                                    </a:path>
                                  </a:pathLst>
                                </a:custGeom>
                                <a:ln w="0" cap="flat">
                                  <a:miter lim="127000"/>
                                </a:ln>
                              </wps:spPr>
                              <wps:style>
                                <a:lnRef idx="0">
                                  <a:srgbClr val="000000">
                                    <a:alpha val="0"/>
                                  </a:srgbClr>
                                </a:lnRef>
                                <a:fillRef idx="1">
                                  <a:srgbClr val="FFFFFF"/>
                                </a:fillRef>
                                <a:effectRef idx="0">
                                  <a:scrgbClr r="0" g="0" b="0"/>
                                </a:effectRef>
                                <a:fontRef idx="none"/>
                              </wps:style>
                              <wps:bodyPr/>
                            </wps:wsp>
                          </wpg:wgp>
                        </a:graphicData>
                      </a:graphic>
                    </wp:inline>
                  </w:drawing>
                </mc:Choice>
                <mc:Fallback xmlns:a="http://schemas.openxmlformats.org/drawingml/2006/main">
                  <w:pict>
                    <v:group id="Group 814178" style="width:88.08pt;height:2.28pt;mso-position-horizontal-relative:char;mso-position-vertical-relative:line" coordsize="11186,289">
                      <v:shape id="Shape 900695" style="position:absolute;width:11186;height:289;left:0;top:0;" coordsize="1118616,28956" path="m0,0l1118616,0l1118616,28956l0,28956l0,0">
                        <v:stroke weight="0pt" endcap="flat" joinstyle="miter" miterlimit="10" on="false" color="#000000" opacity="0"/>
                        <v:fill on="true" color="#ffffff"/>
                      </v:shape>
                    </v:group>
                  </w:pict>
                </mc:Fallback>
              </mc:AlternateContent>
            </w:r>
          </w:p>
          <w:p w:rsidR="00E8309B" w:rsidRDefault="009D0949">
            <w:pPr>
              <w:spacing w:after="0" w:line="259" w:lineRule="auto"/>
              <w:ind w:left="8" w:right="0" w:firstLine="0"/>
              <w:jc w:val="center"/>
            </w:pPr>
            <w:r>
              <w:rPr>
                <w:sz w:val="20"/>
              </w:rPr>
              <w:t xml:space="preserve">2020 </w:t>
            </w:r>
          </w:p>
        </w:tc>
        <w:tc>
          <w:tcPr>
            <w:tcW w:w="1779" w:type="dxa"/>
            <w:tcBorders>
              <w:top w:val="double" w:sz="6" w:space="0" w:color="000000"/>
              <w:left w:val="dashed" w:sz="4" w:space="0" w:color="000000"/>
              <w:bottom w:val="single" w:sz="8" w:space="0" w:color="000000"/>
              <w:right w:val="double" w:sz="6" w:space="0" w:color="000000"/>
            </w:tcBorders>
          </w:tcPr>
          <w:p w:rsidR="00E8309B" w:rsidRDefault="009D0949">
            <w:pPr>
              <w:spacing w:after="27" w:line="259" w:lineRule="auto"/>
              <w:ind w:right="0" w:firstLine="0"/>
              <w:jc w:val="center"/>
            </w:pPr>
            <w:r>
              <w:rPr>
                <w:sz w:val="20"/>
              </w:rPr>
              <w:t xml:space="preserve">год. </w:t>
            </w:r>
          </w:p>
          <w:p w:rsidR="00E8309B" w:rsidRDefault="009D0949">
            <w:pPr>
              <w:spacing w:after="0" w:line="259" w:lineRule="auto"/>
              <w:ind w:left="11" w:right="0" w:firstLine="0"/>
              <w:jc w:val="center"/>
            </w:pPr>
            <w:r>
              <w:rPr>
                <w:sz w:val="20"/>
              </w:rPr>
              <w:t xml:space="preserve">2021 </w:t>
            </w:r>
          </w:p>
        </w:tc>
      </w:tr>
      <w:tr w:rsidR="00E8309B">
        <w:trPr>
          <w:trHeight w:val="314"/>
        </w:trPr>
        <w:tc>
          <w:tcPr>
            <w:tcW w:w="3653" w:type="dxa"/>
            <w:tcBorders>
              <w:top w:val="single" w:sz="8" w:space="0" w:color="000000"/>
              <w:left w:val="double" w:sz="6" w:space="0" w:color="000000"/>
              <w:bottom w:val="dashed" w:sz="4" w:space="0" w:color="000000"/>
              <w:right w:val="nil"/>
            </w:tcBorders>
          </w:tcPr>
          <w:p w:rsidR="00E8309B" w:rsidRDefault="009D0949">
            <w:pPr>
              <w:spacing w:after="0" w:line="259" w:lineRule="auto"/>
              <w:ind w:left="110" w:right="0" w:firstLine="0"/>
              <w:jc w:val="left"/>
            </w:pPr>
            <w:r>
              <w:rPr>
                <w:sz w:val="20"/>
              </w:rPr>
              <w:t xml:space="preserve">Државне гаранције </w:t>
            </w:r>
          </w:p>
        </w:tc>
        <w:tc>
          <w:tcPr>
            <w:tcW w:w="4261" w:type="dxa"/>
            <w:tcBorders>
              <w:top w:val="single" w:sz="8" w:space="0" w:color="000000"/>
              <w:left w:val="nil"/>
              <w:bottom w:val="dashed" w:sz="4" w:space="0" w:color="000000"/>
              <w:right w:val="single" w:sz="8" w:space="0" w:color="000000"/>
            </w:tcBorders>
            <w:vAlign w:val="bottom"/>
          </w:tcPr>
          <w:p w:rsidR="00E8309B" w:rsidRDefault="009D0949">
            <w:pPr>
              <w:spacing w:after="0" w:line="259" w:lineRule="auto"/>
              <w:ind w:left="1276" w:right="0" w:firstLine="0"/>
              <w:jc w:val="center"/>
            </w:pPr>
            <w:r>
              <w:rPr>
                <w:sz w:val="20"/>
              </w:rPr>
              <w:t xml:space="preserve"> </w:t>
            </w:r>
          </w:p>
        </w:tc>
        <w:tc>
          <w:tcPr>
            <w:tcW w:w="1776" w:type="dxa"/>
            <w:tcBorders>
              <w:top w:val="single" w:sz="8" w:space="0" w:color="000000"/>
              <w:left w:val="single" w:sz="8" w:space="0" w:color="000000"/>
              <w:bottom w:val="dashed" w:sz="4" w:space="0" w:color="000000"/>
              <w:right w:val="dashed" w:sz="4" w:space="0" w:color="000000"/>
            </w:tcBorders>
          </w:tcPr>
          <w:p w:rsidR="00E8309B" w:rsidRDefault="009D0949">
            <w:pPr>
              <w:spacing w:after="0" w:line="259" w:lineRule="auto"/>
              <w:ind w:right="0" w:firstLine="0"/>
              <w:jc w:val="center"/>
            </w:pPr>
            <w:r>
              <w:rPr>
                <w:sz w:val="20"/>
              </w:rPr>
              <w:t xml:space="preserve">3,5 </w:t>
            </w:r>
          </w:p>
        </w:tc>
        <w:tc>
          <w:tcPr>
            <w:tcW w:w="1779" w:type="dxa"/>
            <w:tcBorders>
              <w:top w:val="single" w:sz="8" w:space="0" w:color="000000"/>
              <w:left w:val="dashed" w:sz="4" w:space="0" w:color="000000"/>
              <w:bottom w:val="dashed" w:sz="4" w:space="0" w:color="000000"/>
              <w:right w:val="double" w:sz="6" w:space="0" w:color="000000"/>
            </w:tcBorders>
          </w:tcPr>
          <w:p w:rsidR="00E8309B" w:rsidRDefault="009D0949">
            <w:pPr>
              <w:spacing w:after="0" w:line="259" w:lineRule="auto"/>
              <w:ind w:left="9" w:right="0" w:firstLine="0"/>
              <w:jc w:val="center"/>
            </w:pPr>
            <w:r>
              <w:rPr>
                <w:sz w:val="20"/>
              </w:rPr>
              <w:t xml:space="preserve">3,1 </w:t>
            </w:r>
          </w:p>
        </w:tc>
      </w:tr>
      <w:tr w:rsidR="00E8309B">
        <w:trPr>
          <w:trHeight w:val="346"/>
        </w:trPr>
        <w:tc>
          <w:tcPr>
            <w:tcW w:w="3653" w:type="dxa"/>
            <w:tcBorders>
              <w:top w:val="dashed" w:sz="4" w:space="0" w:color="000000"/>
              <w:left w:val="double" w:sz="6" w:space="0" w:color="000000"/>
              <w:bottom w:val="double" w:sz="6" w:space="0" w:color="000000"/>
              <w:right w:val="nil"/>
            </w:tcBorders>
          </w:tcPr>
          <w:p w:rsidR="00E8309B" w:rsidRDefault="009D0949">
            <w:pPr>
              <w:spacing w:after="0" w:line="259" w:lineRule="auto"/>
              <w:ind w:left="110" w:right="0" w:firstLine="0"/>
              <w:jc w:val="left"/>
            </w:pPr>
            <w:r>
              <w:rPr>
                <w:sz w:val="20"/>
              </w:rPr>
              <w:t xml:space="preserve">од чега: везано за финансијски сектор </w:t>
            </w:r>
          </w:p>
        </w:tc>
        <w:tc>
          <w:tcPr>
            <w:tcW w:w="4261" w:type="dxa"/>
            <w:tcBorders>
              <w:top w:val="dashed" w:sz="4" w:space="0" w:color="000000"/>
              <w:left w:val="nil"/>
              <w:bottom w:val="double" w:sz="6" w:space="0" w:color="000000"/>
              <w:right w:val="single" w:sz="8" w:space="0" w:color="000000"/>
            </w:tcBorders>
          </w:tcPr>
          <w:p w:rsidR="00E8309B" w:rsidRDefault="00E8309B">
            <w:pPr>
              <w:spacing w:after="160" w:line="259" w:lineRule="auto"/>
              <w:ind w:left="0" w:right="0" w:firstLine="0"/>
              <w:jc w:val="left"/>
            </w:pPr>
          </w:p>
        </w:tc>
        <w:tc>
          <w:tcPr>
            <w:tcW w:w="1776" w:type="dxa"/>
            <w:tcBorders>
              <w:top w:val="dashed" w:sz="4" w:space="0" w:color="000000"/>
              <w:left w:val="single" w:sz="8" w:space="0" w:color="000000"/>
              <w:bottom w:val="double" w:sz="6" w:space="0" w:color="000000"/>
              <w:right w:val="dashed" w:sz="4" w:space="0" w:color="000000"/>
            </w:tcBorders>
          </w:tcPr>
          <w:p w:rsidR="00E8309B" w:rsidRDefault="009D0949">
            <w:pPr>
              <w:spacing w:after="0" w:line="259" w:lineRule="auto"/>
              <w:ind w:left="7" w:right="0" w:firstLine="0"/>
              <w:jc w:val="center"/>
            </w:pPr>
            <w:r>
              <w:rPr>
                <w:sz w:val="20"/>
              </w:rPr>
              <w:t xml:space="preserve">: </w:t>
            </w:r>
          </w:p>
        </w:tc>
        <w:tc>
          <w:tcPr>
            <w:tcW w:w="1779" w:type="dxa"/>
            <w:tcBorders>
              <w:top w:val="dashed" w:sz="4" w:space="0" w:color="000000"/>
              <w:left w:val="dashed" w:sz="4" w:space="0" w:color="000000"/>
              <w:bottom w:val="double" w:sz="6" w:space="0" w:color="000000"/>
              <w:right w:val="double" w:sz="6" w:space="0" w:color="000000"/>
            </w:tcBorders>
          </w:tcPr>
          <w:p w:rsidR="00E8309B" w:rsidRDefault="009D0949">
            <w:pPr>
              <w:spacing w:after="0" w:line="259" w:lineRule="auto"/>
              <w:ind w:right="0" w:firstLine="0"/>
              <w:jc w:val="center"/>
            </w:pPr>
            <w:r>
              <w:rPr>
                <w:sz w:val="20"/>
              </w:rPr>
              <w:t xml:space="preserve">: </w:t>
            </w:r>
          </w:p>
        </w:tc>
      </w:tr>
    </w:tbl>
    <w:p w:rsidR="00E8309B" w:rsidRDefault="009D0949">
      <w:pPr>
        <w:spacing w:after="96" w:line="259" w:lineRule="auto"/>
        <w:ind w:left="0" w:right="0" w:firstLine="0"/>
        <w:jc w:val="left"/>
      </w:pPr>
      <w:r>
        <w:rPr>
          <w:sz w:val="22"/>
        </w:rPr>
        <w:t xml:space="preserve"> </w:t>
      </w:r>
    </w:p>
    <w:p w:rsidR="00E8309B" w:rsidRDefault="009D0949">
      <w:pPr>
        <w:spacing w:after="0" w:line="259" w:lineRule="auto"/>
        <w:ind w:left="0" w:right="0" w:firstLine="0"/>
        <w:jc w:val="left"/>
      </w:pPr>
      <w:r>
        <w:rPr>
          <w:sz w:val="22"/>
        </w:rPr>
        <w:t xml:space="preserve"> </w:t>
      </w:r>
      <w:r>
        <w:rPr>
          <w:sz w:val="22"/>
        </w:rPr>
        <w:tab/>
        <w:t xml:space="preserve"> </w:t>
      </w:r>
      <w:r>
        <w:br w:type="page"/>
      </w:r>
    </w:p>
    <w:p w:rsidR="00E8309B" w:rsidRDefault="009D0949">
      <w:pPr>
        <w:pStyle w:val="Heading1"/>
        <w:numPr>
          <w:ilvl w:val="0"/>
          <w:numId w:val="0"/>
        </w:numPr>
        <w:spacing w:after="0" w:line="259" w:lineRule="auto"/>
      </w:pPr>
      <w:r>
        <w:rPr>
          <w:sz w:val="20"/>
        </w:rPr>
        <w:t xml:space="preserve">Табела 8: Основне претпоставке о екстерном економском окружењу на ком се заснива програмски оквир [1] </w:t>
      </w:r>
    </w:p>
    <w:tbl>
      <w:tblPr>
        <w:tblStyle w:val="TableGrid"/>
        <w:tblW w:w="14292" w:type="dxa"/>
        <w:tblInd w:w="0" w:type="dxa"/>
        <w:tblCellMar>
          <w:top w:w="18" w:type="dxa"/>
          <w:left w:w="110" w:type="dxa"/>
          <w:bottom w:w="9" w:type="dxa"/>
          <w:right w:w="56" w:type="dxa"/>
        </w:tblCellMar>
        <w:tblLook w:val="04A0" w:firstRow="1" w:lastRow="0" w:firstColumn="1" w:lastColumn="0" w:noHBand="0" w:noVBand="1"/>
      </w:tblPr>
      <w:tblGrid>
        <w:gridCol w:w="6764"/>
        <w:gridCol w:w="2600"/>
        <w:gridCol w:w="984"/>
        <w:gridCol w:w="987"/>
        <w:gridCol w:w="984"/>
        <w:gridCol w:w="986"/>
        <w:gridCol w:w="987"/>
      </w:tblGrid>
      <w:tr w:rsidR="00E8309B">
        <w:trPr>
          <w:trHeight w:val="389"/>
        </w:trPr>
        <w:tc>
          <w:tcPr>
            <w:tcW w:w="6764" w:type="dxa"/>
            <w:tcBorders>
              <w:top w:val="double" w:sz="6" w:space="0" w:color="000000"/>
              <w:left w:val="double" w:sz="6" w:space="0" w:color="000000"/>
              <w:bottom w:val="double" w:sz="6" w:space="0" w:color="000000"/>
              <w:right w:val="single" w:sz="8" w:space="0" w:color="000000"/>
            </w:tcBorders>
          </w:tcPr>
          <w:p w:rsidR="00E8309B" w:rsidRDefault="009D0949">
            <w:pPr>
              <w:spacing w:after="0" w:line="259" w:lineRule="auto"/>
              <w:ind w:left="0" w:right="0" w:firstLine="0"/>
              <w:jc w:val="left"/>
            </w:pPr>
            <w:r>
              <w:rPr>
                <w:b/>
                <w:sz w:val="20"/>
              </w:rPr>
              <w:t xml:space="preserve"> </w:t>
            </w:r>
          </w:p>
        </w:tc>
        <w:tc>
          <w:tcPr>
            <w:tcW w:w="2600" w:type="dxa"/>
            <w:tcBorders>
              <w:top w:val="double" w:sz="6" w:space="0" w:color="000000"/>
              <w:left w:val="single" w:sz="8" w:space="0" w:color="000000"/>
              <w:bottom w:val="double" w:sz="6" w:space="0" w:color="000000"/>
              <w:right w:val="single" w:sz="8" w:space="0" w:color="000000"/>
            </w:tcBorders>
          </w:tcPr>
          <w:p w:rsidR="00E8309B" w:rsidRDefault="009D0949">
            <w:pPr>
              <w:spacing w:after="0" w:line="259" w:lineRule="auto"/>
              <w:ind w:left="0" w:right="58" w:firstLine="0"/>
              <w:jc w:val="center"/>
            </w:pPr>
            <w:r>
              <w:rPr>
                <w:b/>
                <w:sz w:val="20"/>
              </w:rPr>
              <w:t xml:space="preserve">Димензија </w:t>
            </w:r>
          </w:p>
        </w:tc>
        <w:tc>
          <w:tcPr>
            <w:tcW w:w="984" w:type="dxa"/>
            <w:tcBorders>
              <w:top w:val="double" w:sz="6" w:space="0" w:color="000000"/>
              <w:left w:val="single" w:sz="8" w:space="0" w:color="000000"/>
              <w:bottom w:val="double" w:sz="6" w:space="0" w:color="000000"/>
              <w:right w:val="dashed" w:sz="4" w:space="0" w:color="000000"/>
            </w:tcBorders>
          </w:tcPr>
          <w:p w:rsidR="00E8309B" w:rsidRDefault="009D0949">
            <w:pPr>
              <w:spacing w:after="0" w:line="259" w:lineRule="auto"/>
              <w:ind w:left="0" w:right="51" w:firstLine="0"/>
              <w:jc w:val="right"/>
            </w:pPr>
            <w:r>
              <w:rPr>
                <w:b/>
                <w:sz w:val="20"/>
              </w:rPr>
              <w:t xml:space="preserve">2019 </w:t>
            </w:r>
          </w:p>
        </w:tc>
        <w:tc>
          <w:tcPr>
            <w:tcW w:w="987" w:type="dxa"/>
            <w:tcBorders>
              <w:top w:val="double" w:sz="6" w:space="0" w:color="000000"/>
              <w:left w:val="dashed" w:sz="4" w:space="0" w:color="000000"/>
              <w:bottom w:val="double" w:sz="6" w:space="0" w:color="000000"/>
              <w:right w:val="dashed" w:sz="4" w:space="0" w:color="000000"/>
            </w:tcBorders>
          </w:tcPr>
          <w:p w:rsidR="00E8309B" w:rsidRDefault="009D0949">
            <w:pPr>
              <w:spacing w:after="0" w:line="259" w:lineRule="auto"/>
              <w:ind w:left="0" w:right="51" w:firstLine="0"/>
              <w:jc w:val="right"/>
            </w:pPr>
            <w:r>
              <w:rPr>
                <w:b/>
                <w:sz w:val="20"/>
              </w:rPr>
              <w:t xml:space="preserve">2020 </w:t>
            </w:r>
          </w:p>
        </w:tc>
        <w:tc>
          <w:tcPr>
            <w:tcW w:w="984" w:type="dxa"/>
            <w:tcBorders>
              <w:top w:val="double" w:sz="6" w:space="0" w:color="000000"/>
              <w:left w:val="dashed" w:sz="4" w:space="0" w:color="000000"/>
              <w:bottom w:val="double" w:sz="6" w:space="0" w:color="000000"/>
              <w:right w:val="dashed" w:sz="4" w:space="0" w:color="000000"/>
            </w:tcBorders>
          </w:tcPr>
          <w:p w:rsidR="00E8309B" w:rsidRDefault="009D0949">
            <w:pPr>
              <w:spacing w:after="0" w:line="259" w:lineRule="auto"/>
              <w:ind w:left="0" w:right="51" w:firstLine="0"/>
              <w:jc w:val="right"/>
            </w:pPr>
            <w:r>
              <w:rPr>
                <w:b/>
                <w:sz w:val="20"/>
              </w:rPr>
              <w:t xml:space="preserve">2021 </w:t>
            </w:r>
          </w:p>
        </w:tc>
        <w:tc>
          <w:tcPr>
            <w:tcW w:w="986" w:type="dxa"/>
            <w:tcBorders>
              <w:top w:val="double" w:sz="6" w:space="0" w:color="000000"/>
              <w:left w:val="dashed" w:sz="4" w:space="0" w:color="000000"/>
              <w:bottom w:val="double" w:sz="6" w:space="0" w:color="000000"/>
              <w:right w:val="dashed" w:sz="4" w:space="0" w:color="000000"/>
            </w:tcBorders>
          </w:tcPr>
          <w:p w:rsidR="00E8309B" w:rsidRDefault="009D0949">
            <w:pPr>
              <w:spacing w:after="0" w:line="259" w:lineRule="auto"/>
              <w:ind w:left="0" w:right="51" w:firstLine="0"/>
              <w:jc w:val="right"/>
            </w:pPr>
            <w:r>
              <w:rPr>
                <w:b/>
                <w:sz w:val="20"/>
              </w:rPr>
              <w:t xml:space="preserve">2022 </w:t>
            </w:r>
          </w:p>
        </w:tc>
        <w:tc>
          <w:tcPr>
            <w:tcW w:w="987" w:type="dxa"/>
            <w:tcBorders>
              <w:top w:val="double" w:sz="6" w:space="0" w:color="000000"/>
              <w:left w:val="dashed" w:sz="4" w:space="0" w:color="000000"/>
              <w:bottom w:val="double" w:sz="6" w:space="0" w:color="000000"/>
              <w:right w:val="double" w:sz="6" w:space="0" w:color="000000"/>
            </w:tcBorders>
          </w:tcPr>
          <w:p w:rsidR="00E8309B" w:rsidRDefault="009D0949">
            <w:pPr>
              <w:spacing w:after="0" w:line="259" w:lineRule="auto"/>
              <w:ind w:left="0" w:right="49" w:firstLine="0"/>
              <w:jc w:val="right"/>
            </w:pPr>
            <w:r>
              <w:rPr>
                <w:b/>
                <w:sz w:val="20"/>
              </w:rPr>
              <w:t xml:space="preserve">2023 </w:t>
            </w:r>
          </w:p>
        </w:tc>
      </w:tr>
      <w:tr w:rsidR="00E8309B">
        <w:trPr>
          <w:trHeight w:val="312"/>
        </w:trPr>
        <w:tc>
          <w:tcPr>
            <w:tcW w:w="6764" w:type="dxa"/>
            <w:tcBorders>
              <w:top w:val="double" w:sz="6" w:space="0" w:color="000000"/>
              <w:left w:val="double" w:sz="6" w:space="0" w:color="000000"/>
              <w:bottom w:val="dashed" w:sz="4" w:space="0" w:color="000000"/>
              <w:right w:val="single" w:sz="4" w:space="0" w:color="000000"/>
            </w:tcBorders>
            <w:vAlign w:val="bottom"/>
          </w:tcPr>
          <w:p w:rsidR="00E8309B" w:rsidRDefault="009D0949">
            <w:pPr>
              <w:spacing w:after="0" w:line="259" w:lineRule="auto"/>
              <w:ind w:left="0" w:right="0" w:firstLine="0"/>
              <w:jc w:val="left"/>
            </w:pPr>
            <w:r>
              <w:rPr>
                <w:sz w:val="20"/>
              </w:rPr>
              <w:t xml:space="preserve">Краткорочна каматна стопа </w:t>
            </w:r>
          </w:p>
        </w:tc>
        <w:tc>
          <w:tcPr>
            <w:tcW w:w="2600" w:type="dxa"/>
            <w:tcBorders>
              <w:top w:val="double" w:sz="6" w:space="0" w:color="000000"/>
              <w:left w:val="single" w:sz="4" w:space="0" w:color="000000"/>
              <w:bottom w:val="dashed" w:sz="4" w:space="0" w:color="000000"/>
              <w:right w:val="single" w:sz="8" w:space="0" w:color="000000"/>
            </w:tcBorders>
            <w:vAlign w:val="bottom"/>
          </w:tcPr>
          <w:p w:rsidR="00E8309B" w:rsidRDefault="009D0949">
            <w:pPr>
              <w:spacing w:after="0" w:line="259" w:lineRule="auto"/>
              <w:ind w:left="0" w:right="54" w:firstLine="0"/>
              <w:jc w:val="center"/>
            </w:pPr>
            <w:r>
              <w:rPr>
                <w:sz w:val="18"/>
              </w:rPr>
              <w:t xml:space="preserve">Год. просек </w:t>
            </w:r>
          </w:p>
        </w:tc>
        <w:tc>
          <w:tcPr>
            <w:tcW w:w="984" w:type="dxa"/>
            <w:tcBorders>
              <w:top w:val="double" w:sz="6" w:space="0" w:color="000000"/>
              <w:left w:val="single" w:sz="8" w:space="0" w:color="000000"/>
              <w:bottom w:val="dashed" w:sz="4" w:space="0" w:color="000000"/>
              <w:right w:val="dashed" w:sz="4" w:space="0" w:color="000000"/>
            </w:tcBorders>
          </w:tcPr>
          <w:p w:rsidR="00E8309B" w:rsidRDefault="009D0949">
            <w:pPr>
              <w:spacing w:after="0" w:line="259" w:lineRule="auto"/>
              <w:ind w:left="3" w:right="0" w:firstLine="0"/>
              <w:jc w:val="center"/>
            </w:pPr>
            <w:r>
              <w:rPr>
                <w:sz w:val="23"/>
              </w:rPr>
              <w:t xml:space="preserve"> </w:t>
            </w:r>
          </w:p>
        </w:tc>
        <w:tc>
          <w:tcPr>
            <w:tcW w:w="987" w:type="dxa"/>
            <w:tcBorders>
              <w:top w:val="double" w:sz="6" w:space="0" w:color="000000"/>
              <w:left w:val="dashed" w:sz="4" w:space="0" w:color="000000"/>
              <w:bottom w:val="dashed" w:sz="4" w:space="0" w:color="000000"/>
              <w:right w:val="dashed" w:sz="4" w:space="0" w:color="000000"/>
            </w:tcBorders>
          </w:tcPr>
          <w:p w:rsidR="00E8309B" w:rsidRDefault="009D0949">
            <w:pPr>
              <w:spacing w:after="0" w:line="259" w:lineRule="auto"/>
              <w:ind w:left="6" w:right="0" w:firstLine="0"/>
              <w:jc w:val="center"/>
            </w:pPr>
            <w:r>
              <w:rPr>
                <w:sz w:val="23"/>
              </w:rPr>
              <w:t xml:space="preserve"> </w:t>
            </w:r>
          </w:p>
        </w:tc>
        <w:tc>
          <w:tcPr>
            <w:tcW w:w="984" w:type="dxa"/>
            <w:tcBorders>
              <w:top w:val="double" w:sz="6" w:space="0" w:color="000000"/>
              <w:left w:val="dashed" w:sz="4" w:space="0" w:color="000000"/>
              <w:bottom w:val="dashed" w:sz="4" w:space="0" w:color="000000"/>
              <w:right w:val="dashed" w:sz="4" w:space="0" w:color="000000"/>
            </w:tcBorders>
          </w:tcPr>
          <w:p w:rsidR="00E8309B" w:rsidRDefault="009D0949">
            <w:pPr>
              <w:spacing w:after="0" w:line="259" w:lineRule="auto"/>
              <w:ind w:left="3" w:right="0" w:firstLine="0"/>
              <w:jc w:val="center"/>
            </w:pPr>
            <w:r>
              <w:rPr>
                <w:sz w:val="23"/>
              </w:rPr>
              <w:t xml:space="preserve"> </w:t>
            </w:r>
          </w:p>
        </w:tc>
        <w:tc>
          <w:tcPr>
            <w:tcW w:w="986" w:type="dxa"/>
            <w:tcBorders>
              <w:top w:val="double" w:sz="6" w:space="0" w:color="000000"/>
              <w:left w:val="dashed" w:sz="4" w:space="0" w:color="000000"/>
              <w:bottom w:val="dashed" w:sz="4" w:space="0" w:color="000000"/>
              <w:right w:val="dashed" w:sz="4" w:space="0" w:color="000000"/>
            </w:tcBorders>
          </w:tcPr>
          <w:p w:rsidR="00E8309B" w:rsidRDefault="009D0949">
            <w:pPr>
              <w:spacing w:after="0" w:line="259" w:lineRule="auto"/>
              <w:ind w:left="5" w:right="0" w:firstLine="0"/>
              <w:jc w:val="center"/>
            </w:pPr>
            <w:r>
              <w:rPr>
                <w:sz w:val="23"/>
              </w:rPr>
              <w:t xml:space="preserve"> </w:t>
            </w:r>
          </w:p>
        </w:tc>
        <w:tc>
          <w:tcPr>
            <w:tcW w:w="987" w:type="dxa"/>
            <w:tcBorders>
              <w:top w:val="double" w:sz="6" w:space="0" w:color="000000"/>
              <w:left w:val="dashed" w:sz="4" w:space="0" w:color="000000"/>
              <w:bottom w:val="dashed" w:sz="4" w:space="0" w:color="000000"/>
              <w:right w:val="double" w:sz="6" w:space="0" w:color="000000"/>
            </w:tcBorders>
          </w:tcPr>
          <w:p w:rsidR="00E8309B" w:rsidRDefault="009D0949">
            <w:pPr>
              <w:spacing w:after="0" w:line="259" w:lineRule="auto"/>
              <w:ind w:left="6" w:right="0" w:firstLine="0"/>
              <w:jc w:val="center"/>
            </w:pPr>
            <w:r>
              <w:rPr>
                <w:sz w:val="23"/>
              </w:rPr>
              <w:t xml:space="preserve"> </w:t>
            </w:r>
          </w:p>
        </w:tc>
      </w:tr>
      <w:tr w:rsidR="00E8309B">
        <w:trPr>
          <w:trHeight w:val="293"/>
        </w:trPr>
        <w:tc>
          <w:tcPr>
            <w:tcW w:w="6764" w:type="dxa"/>
            <w:tcBorders>
              <w:top w:val="dashed" w:sz="4" w:space="0" w:color="000000"/>
              <w:left w:val="double" w:sz="6" w:space="0" w:color="000000"/>
              <w:bottom w:val="dashed" w:sz="4" w:space="0" w:color="000000"/>
              <w:right w:val="single" w:sz="4" w:space="0" w:color="000000"/>
            </w:tcBorders>
          </w:tcPr>
          <w:p w:rsidR="00E8309B" w:rsidRDefault="009D0949">
            <w:pPr>
              <w:spacing w:after="0" w:line="259" w:lineRule="auto"/>
              <w:ind w:left="0" w:right="0" w:firstLine="0"/>
              <w:jc w:val="left"/>
            </w:pPr>
            <w:r>
              <w:rPr>
                <w:sz w:val="20"/>
              </w:rPr>
              <w:t xml:space="preserve">Дугорочна каматна стопа </w:t>
            </w:r>
          </w:p>
        </w:tc>
        <w:tc>
          <w:tcPr>
            <w:tcW w:w="2600" w:type="dxa"/>
            <w:tcBorders>
              <w:top w:val="dashed" w:sz="4" w:space="0" w:color="000000"/>
              <w:left w:val="single" w:sz="4" w:space="0" w:color="000000"/>
              <w:bottom w:val="dashed" w:sz="4" w:space="0" w:color="000000"/>
              <w:right w:val="single" w:sz="8" w:space="0" w:color="000000"/>
            </w:tcBorders>
            <w:vAlign w:val="bottom"/>
          </w:tcPr>
          <w:p w:rsidR="00E8309B" w:rsidRDefault="009D0949">
            <w:pPr>
              <w:spacing w:after="0" w:line="259" w:lineRule="auto"/>
              <w:ind w:left="0" w:right="54" w:firstLine="0"/>
              <w:jc w:val="center"/>
            </w:pPr>
            <w:r>
              <w:rPr>
                <w:sz w:val="18"/>
              </w:rPr>
              <w:t xml:space="preserve">Год. просек </w:t>
            </w:r>
          </w:p>
        </w:tc>
        <w:tc>
          <w:tcPr>
            <w:tcW w:w="984" w:type="dxa"/>
            <w:tcBorders>
              <w:top w:val="dashed" w:sz="4" w:space="0" w:color="000000"/>
              <w:left w:val="single" w:sz="8" w:space="0" w:color="000000"/>
              <w:bottom w:val="dashed" w:sz="4" w:space="0" w:color="000000"/>
              <w:right w:val="dashed" w:sz="4" w:space="0" w:color="000000"/>
            </w:tcBorders>
          </w:tcPr>
          <w:p w:rsidR="00E8309B" w:rsidRDefault="009D0949">
            <w:pPr>
              <w:spacing w:after="0" w:line="259" w:lineRule="auto"/>
              <w:ind w:left="0" w:right="5" w:firstLine="0"/>
              <w:jc w:val="center"/>
            </w:pPr>
            <w:r>
              <w:rPr>
                <w:sz w:val="20"/>
              </w:rPr>
              <w:t xml:space="preserve"> </w:t>
            </w:r>
          </w:p>
        </w:tc>
        <w:tc>
          <w:tcPr>
            <w:tcW w:w="987"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2" w:firstLine="0"/>
              <w:jc w:val="center"/>
            </w:pPr>
            <w:r>
              <w:rPr>
                <w:sz w:val="20"/>
              </w:rPr>
              <w:t xml:space="preserve"> </w:t>
            </w:r>
          </w:p>
        </w:tc>
        <w:tc>
          <w:tcPr>
            <w:tcW w:w="984"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5" w:firstLine="0"/>
              <w:jc w:val="center"/>
            </w:pPr>
            <w:r>
              <w:rPr>
                <w:sz w:val="20"/>
              </w:rPr>
              <w:t xml:space="preserve"> </w:t>
            </w:r>
          </w:p>
        </w:tc>
        <w:tc>
          <w:tcPr>
            <w:tcW w:w="986"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2" w:firstLine="0"/>
              <w:jc w:val="center"/>
            </w:pPr>
            <w:r>
              <w:rPr>
                <w:sz w:val="20"/>
              </w:rPr>
              <w:t xml:space="preserve"> </w:t>
            </w:r>
          </w:p>
        </w:tc>
        <w:tc>
          <w:tcPr>
            <w:tcW w:w="987" w:type="dxa"/>
            <w:tcBorders>
              <w:top w:val="dashed" w:sz="4" w:space="0" w:color="000000"/>
              <w:left w:val="dashed" w:sz="4" w:space="0" w:color="000000"/>
              <w:bottom w:val="dashed" w:sz="4" w:space="0" w:color="000000"/>
              <w:right w:val="double" w:sz="6" w:space="0" w:color="000000"/>
            </w:tcBorders>
          </w:tcPr>
          <w:p w:rsidR="00E8309B" w:rsidRDefault="009D0949">
            <w:pPr>
              <w:spacing w:after="0" w:line="259" w:lineRule="auto"/>
              <w:ind w:left="6" w:right="0" w:firstLine="0"/>
              <w:jc w:val="center"/>
            </w:pPr>
            <w:r>
              <w:rPr>
                <w:sz w:val="23"/>
              </w:rPr>
              <w:t xml:space="preserve"> </w:t>
            </w:r>
          </w:p>
        </w:tc>
      </w:tr>
      <w:tr w:rsidR="00E8309B">
        <w:trPr>
          <w:trHeight w:val="293"/>
        </w:trPr>
        <w:tc>
          <w:tcPr>
            <w:tcW w:w="6764" w:type="dxa"/>
            <w:tcBorders>
              <w:top w:val="dashed" w:sz="4" w:space="0" w:color="000000"/>
              <w:left w:val="double" w:sz="6" w:space="0" w:color="000000"/>
              <w:bottom w:val="dashed" w:sz="4" w:space="0" w:color="000000"/>
              <w:right w:val="single" w:sz="4" w:space="0" w:color="000000"/>
            </w:tcBorders>
          </w:tcPr>
          <w:p w:rsidR="00E8309B" w:rsidRDefault="009D0949">
            <w:pPr>
              <w:spacing w:after="0" w:line="259" w:lineRule="auto"/>
              <w:ind w:left="0" w:right="0" w:firstLine="0"/>
              <w:jc w:val="left"/>
            </w:pPr>
            <w:r>
              <w:rPr>
                <w:sz w:val="20"/>
              </w:rPr>
              <w:t xml:space="preserve">Курс USD/EUR </w:t>
            </w:r>
          </w:p>
        </w:tc>
        <w:tc>
          <w:tcPr>
            <w:tcW w:w="2600" w:type="dxa"/>
            <w:tcBorders>
              <w:top w:val="dashed" w:sz="4" w:space="0" w:color="000000"/>
              <w:left w:val="single" w:sz="4" w:space="0" w:color="000000"/>
              <w:bottom w:val="dashed" w:sz="4" w:space="0" w:color="000000"/>
              <w:right w:val="single" w:sz="8" w:space="0" w:color="000000"/>
            </w:tcBorders>
            <w:vAlign w:val="bottom"/>
          </w:tcPr>
          <w:p w:rsidR="00E8309B" w:rsidRDefault="009D0949">
            <w:pPr>
              <w:spacing w:after="0" w:line="259" w:lineRule="auto"/>
              <w:ind w:left="0" w:right="54" w:firstLine="0"/>
              <w:jc w:val="center"/>
            </w:pPr>
            <w:r>
              <w:rPr>
                <w:sz w:val="18"/>
              </w:rPr>
              <w:t xml:space="preserve">Год. просек </w:t>
            </w:r>
          </w:p>
        </w:tc>
        <w:tc>
          <w:tcPr>
            <w:tcW w:w="984" w:type="dxa"/>
            <w:tcBorders>
              <w:top w:val="dashed" w:sz="4" w:space="0" w:color="000000"/>
              <w:left w:val="single" w:sz="8" w:space="0" w:color="000000"/>
              <w:bottom w:val="dashed" w:sz="4" w:space="0" w:color="000000"/>
              <w:right w:val="dashed" w:sz="4" w:space="0" w:color="000000"/>
            </w:tcBorders>
          </w:tcPr>
          <w:p w:rsidR="00E8309B" w:rsidRDefault="009D0949">
            <w:pPr>
              <w:spacing w:after="0" w:line="259" w:lineRule="auto"/>
              <w:ind w:left="0" w:right="5" w:firstLine="0"/>
              <w:jc w:val="center"/>
            </w:pPr>
            <w:r>
              <w:rPr>
                <w:sz w:val="20"/>
              </w:rPr>
              <w:t xml:space="preserve"> </w:t>
            </w:r>
          </w:p>
        </w:tc>
        <w:tc>
          <w:tcPr>
            <w:tcW w:w="987"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2" w:firstLine="0"/>
              <w:jc w:val="center"/>
            </w:pPr>
            <w:r>
              <w:rPr>
                <w:sz w:val="20"/>
              </w:rPr>
              <w:t xml:space="preserve"> </w:t>
            </w:r>
          </w:p>
        </w:tc>
        <w:tc>
          <w:tcPr>
            <w:tcW w:w="984"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5" w:firstLine="0"/>
              <w:jc w:val="center"/>
            </w:pPr>
            <w:r>
              <w:rPr>
                <w:sz w:val="20"/>
              </w:rPr>
              <w:t xml:space="preserve"> </w:t>
            </w:r>
          </w:p>
        </w:tc>
        <w:tc>
          <w:tcPr>
            <w:tcW w:w="986"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2" w:firstLine="0"/>
              <w:jc w:val="center"/>
            </w:pPr>
            <w:r>
              <w:rPr>
                <w:sz w:val="20"/>
              </w:rPr>
              <w:t xml:space="preserve"> </w:t>
            </w:r>
          </w:p>
        </w:tc>
        <w:tc>
          <w:tcPr>
            <w:tcW w:w="987" w:type="dxa"/>
            <w:tcBorders>
              <w:top w:val="dashed" w:sz="4" w:space="0" w:color="000000"/>
              <w:left w:val="dashed" w:sz="4" w:space="0" w:color="000000"/>
              <w:bottom w:val="dashed" w:sz="4" w:space="0" w:color="000000"/>
              <w:right w:val="double" w:sz="6" w:space="0" w:color="000000"/>
            </w:tcBorders>
          </w:tcPr>
          <w:p w:rsidR="00E8309B" w:rsidRDefault="009D0949">
            <w:pPr>
              <w:spacing w:after="0" w:line="259" w:lineRule="auto"/>
              <w:ind w:left="6" w:right="0" w:firstLine="0"/>
              <w:jc w:val="center"/>
            </w:pPr>
            <w:r>
              <w:rPr>
                <w:sz w:val="23"/>
              </w:rPr>
              <w:t xml:space="preserve"> </w:t>
            </w:r>
          </w:p>
        </w:tc>
      </w:tr>
      <w:tr w:rsidR="00E8309B">
        <w:trPr>
          <w:trHeight w:val="293"/>
        </w:trPr>
        <w:tc>
          <w:tcPr>
            <w:tcW w:w="6764" w:type="dxa"/>
            <w:tcBorders>
              <w:top w:val="dashed" w:sz="4" w:space="0" w:color="000000"/>
              <w:left w:val="double" w:sz="6" w:space="0" w:color="000000"/>
              <w:bottom w:val="dashed" w:sz="4" w:space="0" w:color="000000"/>
              <w:right w:val="single" w:sz="4" w:space="0" w:color="000000"/>
            </w:tcBorders>
          </w:tcPr>
          <w:p w:rsidR="00E8309B" w:rsidRDefault="009D0949">
            <w:pPr>
              <w:spacing w:after="0" w:line="259" w:lineRule="auto"/>
              <w:ind w:left="0" w:right="0" w:firstLine="0"/>
              <w:jc w:val="left"/>
            </w:pPr>
            <w:r>
              <w:rPr>
                <w:sz w:val="20"/>
              </w:rPr>
              <w:t xml:space="preserve">Номинални ефективни девизни курс </w:t>
            </w:r>
          </w:p>
        </w:tc>
        <w:tc>
          <w:tcPr>
            <w:tcW w:w="2600" w:type="dxa"/>
            <w:tcBorders>
              <w:top w:val="dashed" w:sz="4" w:space="0" w:color="000000"/>
              <w:left w:val="single" w:sz="4" w:space="0" w:color="000000"/>
              <w:bottom w:val="dashed" w:sz="4" w:space="0" w:color="000000"/>
              <w:right w:val="single" w:sz="8" w:space="0" w:color="000000"/>
            </w:tcBorders>
            <w:vAlign w:val="bottom"/>
          </w:tcPr>
          <w:p w:rsidR="00E8309B" w:rsidRDefault="009D0949">
            <w:pPr>
              <w:spacing w:after="0" w:line="259" w:lineRule="auto"/>
              <w:ind w:left="0" w:right="54" w:firstLine="0"/>
              <w:jc w:val="center"/>
            </w:pPr>
            <w:r>
              <w:rPr>
                <w:sz w:val="18"/>
              </w:rPr>
              <w:t xml:space="preserve">Год. просек </w:t>
            </w:r>
          </w:p>
        </w:tc>
        <w:tc>
          <w:tcPr>
            <w:tcW w:w="984" w:type="dxa"/>
            <w:tcBorders>
              <w:top w:val="dashed" w:sz="4" w:space="0" w:color="000000"/>
              <w:left w:val="single" w:sz="8" w:space="0" w:color="000000"/>
              <w:bottom w:val="dashed" w:sz="4" w:space="0" w:color="000000"/>
              <w:right w:val="dashed" w:sz="4" w:space="0" w:color="000000"/>
            </w:tcBorders>
          </w:tcPr>
          <w:p w:rsidR="00E8309B" w:rsidRDefault="009D0949">
            <w:pPr>
              <w:spacing w:after="0" w:line="259" w:lineRule="auto"/>
              <w:ind w:left="0" w:right="5" w:firstLine="0"/>
              <w:jc w:val="center"/>
            </w:pPr>
            <w:r>
              <w:rPr>
                <w:sz w:val="20"/>
              </w:rPr>
              <w:t xml:space="preserve"> </w:t>
            </w:r>
          </w:p>
        </w:tc>
        <w:tc>
          <w:tcPr>
            <w:tcW w:w="987"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2" w:firstLine="0"/>
              <w:jc w:val="center"/>
            </w:pPr>
            <w:r>
              <w:rPr>
                <w:sz w:val="20"/>
              </w:rPr>
              <w:t xml:space="preserve"> </w:t>
            </w:r>
          </w:p>
        </w:tc>
        <w:tc>
          <w:tcPr>
            <w:tcW w:w="984"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5" w:firstLine="0"/>
              <w:jc w:val="center"/>
            </w:pPr>
            <w:r>
              <w:rPr>
                <w:sz w:val="20"/>
              </w:rPr>
              <w:t xml:space="preserve"> </w:t>
            </w:r>
          </w:p>
        </w:tc>
        <w:tc>
          <w:tcPr>
            <w:tcW w:w="986"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2" w:firstLine="0"/>
              <w:jc w:val="center"/>
            </w:pPr>
            <w:r>
              <w:rPr>
                <w:sz w:val="20"/>
              </w:rPr>
              <w:t xml:space="preserve"> </w:t>
            </w:r>
          </w:p>
        </w:tc>
        <w:tc>
          <w:tcPr>
            <w:tcW w:w="987" w:type="dxa"/>
            <w:tcBorders>
              <w:top w:val="dashed" w:sz="4" w:space="0" w:color="000000"/>
              <w:left w:val="dashed" w:sz="4" w:space="0" w:color="000000"/>
              <w:bottom w:val="dashed" w:sz="4" w:space="0" w:color="000000"/>
              <w:right w:val="double" w:sz="6" w:space="0" w:color="000000"/>
            </w:tcBorders>
          </w:tcPr>
          <w:p w:rsidR="00E8309B" w:rsidRDefault="009D0949">
            <w:pPr>
              <w:spacing w:after="0" w:line="259" w:lineRule="auto"/>
              <w:ind w:left="6" w:right="0" w:firstLine="0"/>
              <w:jc w:val="center"/>
            </w:pPr>
            <w:r>
              <w:rPr>
                <w:sz w:val="23"/>
              </w:rPr>
              <w:t xml:space="preserve"> </w:t>
            </w:r>
          </w:p>
        </w:tc>
      </w:tr>
      <w:tr w:rsidR="00E8309B">
        <w:trPr>
          <w:trHeight w:val="293"/>
        </w:trPr>
        <w:tc>
          <w:tcPr>
            <w:tcW w:w="6764" w:type="dxa"/>
            <w:tcBorders>
              <w:top w:val="dashed" w:sz="4" w:space="0" w:color="000000"/>
              <w:left w:val="double" w:sz="6" w:space="0" w:color="000000"/>
              <w:bottom w:val="dashed" w:sz="4" w:space="0" w:color="000000"/>
              <w:right w:val="single" w:sz="4" w:space="0" w:color="000000"/>
            </w:tcBorders>
          </w:tcPr>
          <w:p w:rsidR="00E8309B" w:rsidRDefault="009D0949">
            <w:pPr>
              <w:spacing w:after="0" w:line="259" w:lineRule="auto"/>
              <w:ind w:left="0" w:right="0" w:firstLine="0"/>
              <w:jc w:val="left"/>
            </w:pPr>
            <w:r>
              <w:rPr>
                <w:sz w:val="20"/>
              </w:rPr>
              <w:t xml:space="preserve">Курс у односу на EUR </w:t>
            </w:r>
          </w:p>
        </w:tc>
        <w:tc>
          <w:tcPr>
            <w:tcW w:w="2600" w:type="dxa"/>
            <w:tcBorders>
              <w:top w:val="dashed" w:sz="4" w:space="0" w:color="000000"/>
              <w:left w:val="single" w:sz="4" w:space="0" w:color="000000"/>
              <w:bottom w:val="dashed" w:sz="4" w:space="0" w:color="000000"/>
              <w:right w:val="single" w:sz="8" w:space="0" w:color="000000"/>
            </w:tcBorders>
            <w:vAlign w:val="bottom"/>
          </w:tcPr>
          <w:p w:rsidR="00E8309B" w:rsidRDefault="009D0949">
            <w:pPr>
              <w:spacing w:after="0" w:line="259" w:lineRule="auto"/>
              <w:ind w:left="0" w:right="54" w:firstLine="0"/>
              <w:jc w:val="center"/>
            </w:pPr>
            <w:r>
              <w:rPr>
                <w:sz w:val="18"/>
              </w:rPr>
              <w:t xml:space="preserve">Год. просек </w:t>
            </w:r>
          </w:p>
        </w:tc>
        <w:tc>
          <w:tcPr>
            <w:tcW w:w="984" w:type="dxa"/>
            <w:tcBorders>
              <w:top w:val="dashed" w:sz="4" w:space="0" w:color="000000"/>
              <w:left w:val="single" w:sz="8" w:space="0" w:color="000000"/>
              <w:bottom w:val="dashed" w:sz="4" w:space="0" w:color="000000"/>
              <w:right w:val="dashed" w:sz="4" w:space="0" w:color="000000"/>
            </w:tcBorders>
          </w:tcPr>
          <w:p w:rsidR="00E8309B" w:rsidRDefault="009D0949">
            <w:pPr>
              <w:spacing w:after="0" w:line="259" w:lineRule="auto"/>
              <w:ind w:left="0" w:right="5" w:firstLine="0"/>
              <w:jc w:val="center"/>
            </w:pPr>
            <w:r>
              <w:rPr>
                <w:sz w:val="20"/>
              </w:rPr>
              <w:t xml:space="preserve"> </w:t>
            </w:r>
          </w:p>
        </w:tc>
        <w:tc>
          <w:tcPr>
            <w:tcW w:w="987"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2" w:firstLine="0"/>
              <w:jc w:val="center"/>
            </w:pPr>
            <w:r>
              <w:rPr>
                <w:sz w:val="20"/>
              </w:rPr>
              <w:t xml:space="preserve"> </w:t>
            </w:r>
          </w:p>
        </w:tc>
        <w:tc>
          <w:tcPr>
            <w:tcW w:w="984"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5" w:firstLine="0"/>
              <w:jc w:val="center"/>
            </w:pPr>
            <w:r>
              <w:rPr>
                <w:sz w:val="20"/>
              </w:rPr>
              <w:t xml:space="preserve"> </w:t>
            </w:r>
          </w:p>
        </w:tc>
        <w:tc>
          <w:tcPr>
            <w:tcW w:w="986"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2" w:firstLine="0"/>
              <w:jc w:val="center"/>
            </w:pPr>
            <w:r>
              <w:rPr>
                <w:sz w:val="20"/>
              </w:rPr>
              <w:t xml:space="preserve"> </w:t>
            </w:r>
          </w:p>
        </w:tc>
        <w:tc>
          <w:tcPr>
            <w:tcW w:w="987" w:type="dxa"/>
            <w:tcBorders>
              <w:top w:val="dashed" w:sz="4" w:space="0" w:color="000000"/>
              <w:left w:val="dashed" w:sz="4" w:space="0" w:color="000000"/>
              <w:bottom w:val="dashed" w:sz="4" w:space="0" w:color="000000"/>
              <w:right w:val="double" w:sz="6" w:space="0" w:color="000000"/>
            </w:tcBorders>
          </w:tcPr>
          <w:p w:rsidR="00E8309B" w:rsidRDefault="009D0949">
            <w:pPr>
              <w:spacing w:after="0" w:line="259" w:lineRule="auto"/>
              <w:ind w:left="0" w:right="2" w:firstLine="0"/>
              <w:jc w:val="center"/>
            </w:pPr>
            <w:r>
              <w:rPr>
                <w:sz w:val="20"/>
              </w:rPr>
              <w:t xml:space="preserve"> </w:t>
            </w:r>
          </w:p>
        </w:tc>
      </w:tr>
      <w:tr w:rsidR="00E8309B">
        <w:trPr>
          <w:trHeight w:val="293"/>
        </w:trPr>
        <w:tc>
          <w:tcPr>
            <w:tcW w:w="6764" w:type="dxa"/>
            <w:tcBorders>
              <w:top w:val="dashed" w:sz="4" w:space="0" w:color="000000"/>
              <w:left w:val="double" w:sz="6" w:space="0" w:color="000000"/>
              <w:bottom w:val="dashed" w:sz="4" w:space="0" w:color="000000"/>
              <w:right w:val="single" w:sz="4" w:space="0" w:color="000000"/>
            </w:tcBorders>
          </w:tcPr>
          <w:p w:rsidR="00E8309B" w:rsidRDefault="009D0949">
            <w:pPr>
              <w:spacing w:after="0" w:line="259" w:lineRule="auto"/>
              <w:ind w:left="0" w:right="0" w:firstLine="0"/>
              <w:jc w:val="left"/>
            </w:pPr>
            <w:r>
              <w:rPr>
                <w:sz w:val="20"/>
              </w:rPr>
              <w:t xml:space="preserve">Раст светског БДП-а, без ЕУ </w:t>
            </w:r>
          </w:p>
        </w:tc>
        <w:tc>
          <w:tcPr>
            <w:tcW w:w="2600" w:type="dxa"/>
            <w:tcBorders>
              <w:top w:val="dashed" w:sz="4" w:space="0" w:color="000000"/>
              <w:left w:val="single" w:sz="4" w:space="0" w:color="000000"/>
              <w:bottom w:val="dashed" w:sz="4" w:space="0" w:color="000000"/>
              <w:right w:val="single" w:sz="8" w:space="0" w:color="000000"/>
            </w:tcBorders>
            <w:vAlign w:val="bottom"/>
          </w:tcPr>
          <w:p w:rsidR="00E8309B" w:rsidRDefault="009D0949">
            <w:pPr>
              <w:spacing w:after="0" w:line="259" w:lineRule="auto"/>
              <w:ind w:left="0" w:right="54" w:firstLine="0"/>
              <w:jc w:val="center"/>
            </w:pPr>
            <w:r>
              <w:rPr>
                <w:sz w:val="18"/>
              </w:rPr>
              <w:t xml:space="preserve">Год. просек </w:t>
            </w:r>
          </w:p>
        </w:tc>
        <w:tc>
          <w:tcPr>
            <w:tcW w:w="984" w:type="dxa"/>
            <w:tcBorders>
              <w:top w:val="dashed" w:sz="4" w:space="0" w:color="000000"/>
              <w:left w:val="single" w:sz="8" w:space="0" w:color="000000"/>
              <w:bottom w:val="dashed" w:sz="4" w:space="0" w:color="000000"/>
              <w:right w:val="dashed" w:sz="4" w:space="0" w:color="000000"/>
            </w:tcBorders>
          </w:tcPr>
          <w:p w:rsidR="00E8309B" w:rsidRDefault="009D0949">
            <w:pPr>
              <w:spacing w:after="0" w:line="259" w:lineRule="auto"/>
              <w:ind w:left="0" w:right="5" w:firstLine="0"/>
              <w:jc w:val="center"/>
            </w:pPr>
            <w:r>
              <w:rPr>
                <w:sz w:val="20"/>
              </w:rPr>
              <w:t xml:space="preserve"> </w:t>
            </w:r>
          </w:p>
        </w:tc>
        <w:tc>
          <w:tcPr>
            <w:tcW w:w="987"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2" w:firstLine="0"/>
              <w:jc w:val="center"/>
            </w:pPr>
            <w:r>
              <w:rPr>
                <w:sz w:val="20"/>
              </w:rPr>
              <w:t xml:space="preserve"> </w:t>
            </w:r>
          </w:p>
        </w:tc>
        <w:tc>
          <w:tcPr>
            <w:tcW w:w="984"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5" w:firstLine="0"/>
              <w:jc w:val="center"/>
            </w:pPr>
            <w:r>
              <w:rPr>
                <w:sz w:val="20"/>
              </w:rPr>
              <w:t xml:space="preserve"> </w:t>
            </w:r>
          </w:p>
        </w:tc>
        <w:tc>
          <w:tcPr>
            <w:tcW w:w="986"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2" w:firstLine="0"/>
              <w:jc w:val="center"/>
            </w:pPr>
            <w:r>
              <w:rPr>
                <w:sz w:val="20"/>
              </w:rPr>
              <w:t xml:space="preserve"> </w:t>
            </w:r>
          </w:p>
        </w:tc>
        <w:tc>
          <w:tcPr>
            <w:tcW w:w="987" w:type="dxa"/>
            <w:tcBorders>
              <w:top w:val="dashed" w:sz="4" w:space="0" w:color="000000"/>
              <w:left w:val="dashed" w:sz="4" w:space="0" w:color="000000"/>
              <w:bottom w:val="dashed" w:sz="4" w:space="0" w:color="000000"/>
              <w:right w:val="double" w:sz="6" w:space="0" w:color="000000"/>
            </w:tcBorders>
          </w:tcPr>
          <w:p w:rsidR="00E8309B" w:rsidRDefault="009D0949">
            <w:pPr>
              <w:spacing w:after="0" w:line="259" w:lineRule="auto"/>
              <w:ind w:left="6" w:right="0" w:firstLine="0"/>
              <w:jc w:val="center"/>
            </w:pPr>
            <w:r>
              <w:rPr>
                <w:sz w:val="23"/>
              </w:rPr>
              <w:t xml:space="preserve"> </w:t>
            </w:r>
          </w:p>
        </w:tc>
      </w:tr>
      <w:tr w:rsidR="00E8309B">
        <w:trPr>
          <w:trHeight w:val="295"/>
        </w:trPr>
        <w:tc>
          <w:tcPr>
            <w:tcW w:w="6764" w:type="dxa"/>
            <w:tcBorders>
              <w:top w:val="dashed" w:sz="4" w:space="0" w:color="000000"/>
              <w:left w:val="double" w:sz="6" w:space="0" w:color="000000"/>
              <w:bottom w:val="dashed" w:sz="4" w:space="0" w:color="000000"/>
              <w:right w:val="single" w:sz="4" w:space="0" w:color="000000"/>
            </w:tcBorders>
          </w:tcPr>
          <w:p w:rsidR="00E8309B" w:rsidRDefault="009D0949">
            <w:pPr>
              <w:spacing w:after="0" w:line="259" w:lineRule="auto"/>
              <w:ind w:left="0" w:right="0" w:firstLine="0"/>
              <w:jc w:val="left"/>
            </w:pPr>
            <w:r>
              <w:rPr>
                <w:sz w:val="20"/>
              </w:rPr>
              <w:t xml:space="preserve">Раст БДП-а у ЕУ </w:t>
            </w:r>
          </w:p>
        </w:tc>
        <w:tc>
          <w:tcPr>
            <w:tcW w:w="2600" w:type="dxa"/>
            <w:tcBorders>
              <w:top w:val="dashed" w:sz="4" w:space="0" w:color="000000"/>
              <w:left w:val="single" w:sz="4" w:space="0" w:color="000000"/>
              <w:bottom w:val="dashed" w:sz="4" w:space="0" w:color="000000"/>
              <w:right w:val="single" w:sz="8" w:space="0" w:color="000000"/>
            </w:tcBorders>
            <w:vAlign w:val="bottom"/>
          </w:tcPr>
          <w:p w:rsidR="00E8309B" w:rsidRDefault="009D0949">
            <w:pPr>
              <w:spacing w:after="0" w:line="259" w:lineRule="auto"/>
              <w:ind w:left="0" w:right="54" w:firstLine="0"/>
              <w:jc w:val="center"/>
            </w:pPr>
            <w:r>
              <w:rPr>
                <w:sz w:val="18"/>
              </w:rPr>
              <w:t xml:space="preserve">Год. просек </w:t>
            </w:r>
          </w:p>
        </w:tc>
        <w:tc>
          <w:tcPr>
            <w:tcW w:w="984" w:type="dxa"/>
            <w:tcBorders>
              <w:top w:val="dashed" w:sz="4" w:space="0" w:color="000000"/>
              <w:left w:val="single" w:sz="8" w:space="0" w:color="000000"/>
              <w:bottom w:val="dashed" w:sz="4" w:space="0" w:color="000000"/>
              <w:right w:val="dashed" w:sz="4" w:space="0" w:color="000000"/>
            </w:tcBorders>
          </w:tcPr>
          <w:p w:rsidR="00E8309B" w:rsidRDefault="009D0949">
            <w:pPr>
              <w:spacing w:after="0" w:line="259" w:lineRule="auto"/>
              <w:ind w:left="0" w:right="5" w:firstLine="0"/>
              <w:jc w:val="center"/>
            </w:pPr>
            <w:r>
              <w:rPr>
                <w:sz w:val="20"/>
              </w:rPr>
              <w:t xml:space="preserve"> </w:t>
            </w:r>
          </w:p>
        </w:tc>
        <w:tc>
          <w:tcPr>
            <w:tcW w:w="987"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2" w:firstLine="0"/>
              <w:jc w:val="center"/>
            </w:pPr>
            <w:r>
              <w:rPr>
                <w:sz w:val="20"/>
              </w:rPr>
              <w:t xml:space="preserve"> </w:t>
            </w:r>
          </w:p>
        </w:tc>
        <w:tc>
          <w:tcPr>
            <w:tcW w:w="984"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5" w:firstLine="0"/>
              <w:jc w:val="center"/>
            </w:pPr>
            <w:r>
              <w:rPr>
                <w:sz w:val="20"/>
              </w:rPr>
              <w:t xml:space="preserve"> </w:t>
            </w:r>
          </w:p>
        </w:tc>
        <w:tc>
          <w:tcPr>
            <w:tcW w:w="986"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2" w:firstLine="0"/>
              <w:jc w:val="center"/>
            </w:pPr>
            <w:r>
              <w:rPr>
                <w:sz w:val="20"/>
              </w:rPr>
              <w:t xml:space="preserve"> </w:t>
            </w:r>
          </w:p>
        </w:tc>
        <w:tc>
          <w:tcPr>
            <w:tcW w:w="987" w:type="dxa"/>
            <w:tcBorders>
              <w:top w:val="dashed" w:sz="4" w:space="0" w:color="000000"/>
              <w:left w:val="dashed" w:sz="4" w:space="0" w:color="000000"/>
              <w:bottom w:val="dashed" w:sz="4" w:space="0" w:color="000000"/>
              <w:right w:val="double" w:sz="6" w:space="0" w:color="000000"/>
            </w:tcBorders>
          </w:tcPr>
          <w:p w:rsidR="00E8309B" w:rsidRDefault="009D0949">
            <w:pPr>
              <w:spacing w:after="0" w:line="259" w:lineRule="auto"/>
              <w:ind w:left="6" w:right="0" w:firstLine="0"/>
              <w:jc w:val="center"/>
            </w:pPr>
            <w:r>
              <w:rPr>
                <w:sz w:val="23"/>
              </w:rPr>
              <w:t xml:space="preserve"> </w:t>
            </w:r>
          </w:p>
        </w:tc>
      </w:tr>
      <w:tr w:rsidR="00E8309B">
        <w:trPr>
          <w:trHeight w:val="293"/>
        </w:trPr>
        <w:tc>
          <w:tcPr>
            <w:tcW w:w="6764" w:type="dxa"/>
            <w:tcBorders>
              <w:top w:val="dashed" w:sz="4" w:space="0" w:color="000000"/>
              <w:left w:val="double" w:sz="6" w:space="0" w:color="000000"/>
              <w:bottom w:val="dashed" w:sz="4" w:space="0" w:color="000000"/>
              <w:right w:val="single" w:sz="4" w:space="0" w:color="000000"/>
            </w:tcBorders>
          </w:tcPr>
          <w:p w:rsidR="00E8309B" w:rsidRDefault="009D0949">
            <w:pPr>
              <w:spacing w:after="0" w:line="259" w:lineRule="auto"/>
              <w:ind w:left="0" w:right="0" w:firstLine="0"/>
              <w:jc w:val="left"/>
            </w:pPr>
            <w:r>
              <w:rPr>
                <w:sz w:val="20"/>
              </w:rPr>
              <w:t xml:space="preserve">Раст релевантних страних тржишта </w:t>
            </w:r>
          </w:p>
        </w:tc>
        <w:tc>
          <w:tcPr>
            <w:tcW w:w="2600" w:type="dxa"/>
            <w:tcBorders>
              <w:top w:val="dashed" w:sz="4" w:space="0" w:color="000000"/>
              <w:left w:val="single" w:sz="4" w:space="0" w:color="000000"/>
              <w:bottom w:val="dashed" w:sz="4" w:space="0" w:color="000000"/>
              <w:right w:val="single" w:sz="8" w:space="0" w:color="000000"/>
            </w:tcBorders>
            <w:vAlign w:val="bottom"/>
          </w:tcPr>
          <w:p w:rsidR="00E8309B" w:rsidRDefault="009D0949">
            <w:pPr>
              <w:spacing w:after="0" w:line="259" w:lineRule="auto"/>
              <w:ind w:left="0" w:right="54" w:firstLine="0"/>
              <w:jc w:val="center"/>
            </w:pPr>
            <w:r>
              <w:rPr>
                <w:sz w:val="18"/>
              </w:rPr>
              <w:t xml:space="preserve">Год. просек </w:t>
            </w:r>
          </w:p>
        </w:tc>
        <w:tc>
          <w:tcPr>
            <w:tcW w:w="984" w:type="dxa"/>
            <w:tcBorders>
              <w:top w:val="dashed" w:sz="4" w:space="0" w:color="000000"/>
              <w:left w:val="single" w:sz="8" w:space="0" w:color="000000"/>
              <w:bottom w:val="dashed" w:sz="4" w:space="0" w:color="000000"/>
              <w:right w:val="dashed" w:sz="4" w:space="0" w:color="000000"/>
            </w:tcBorders>
          </w:tcPr>
          <w:p w:rsidR="00E8309B" w:rsidRDefault="009D0949">
            <w:pPr>
              <w:spacing w:after="0" w:line="259" w:lineRule="auto"/>
              <w:ind w:left="3" w:right="0" w:firstLine="0"/>
              <w:jc w:val="center"/>
            </w:pPr>
            <w:r>
              <w:rPr>
                <w:sz w:val="23"/>
              </w:rPr>
              <w:t xml:space="preserve"> </w:t>
            </w:r>
          </w:p>
        </w:tc>
        <w:tc>
          <w:tcPr>
            <w:tcW w:w="987"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6" w:right="0" w:firstLine="0"/>
              <w:jc w:val="center"/>
            </w:pPr>
            <w:r>
              <w:rPr>
                <w:sz w:val="23"/>
              </w:rPr>
              <w:t xml:space="preserve"> </w:t>
            </w:r>
          </w:p>
        </w:tc>
        <w:tc>
          <w:tcPr>
            <w:tcW w:w="984"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3" w:right="0" w:firstLine="0"/>
              <w:jc w:val="center"/>
            </w:pPr>
            <w:r>
              <w:rPr>
                <w:sz w:val="23"/>
              </w:rPr>
              <w:t xml:space="preserve"> </w:t>
            </w:r>
          </w:p>
        </w:tc>
        <w:tc>
          <w:tcPr>
            <w:tcW w:w="986"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5" w:right="0" w:firstLine="0"/>
              <w:jc w:val="center"/>
            </w:pPr>
            <w:r>
              <w:rPr>
                <w:sz w:val="23"/>
              </w:rPr>
              <w:t xml:space="preserve"> </w:t>
            </w:r>
          </w:p>
        </w:tc>
        <w:tc>
          <w:tcPr>
            <w:tcW w:w="987" w:type="dxa"/>
            <w:tcBorders>
              <w:top w:val="dashed" w:sz="4" w:space="0" w:color="000000"/>
              <w:left w:val="dashed" w:sz="4" w:space="0" w:color="000000"/>
              <w:bottom w:val="dashed" w:sz="4" w:space="0" w:color="000000"/>
              <w:right w:val="double" w:sz="6" w:space="0" w:color="000000"/>
            </w:tcBorders>
          </w:tcPr>
          <w:p w:rsidR="00E8309B" w:rsidRDefault="009D0949">
            <w:pPr>
              <w:spacing w:after="0" w:line="259" w:lineRule="auto"/>
              <w:ind w:left="6" w:right="0" w:firstLine="0"/>
              <w:jc w:val="center"/>
            </w:pPr>
            <w:r>
              <w:rPr>
                <w:sz w:val="23"/>
              </w:rPr>
              <w:t xml:space="preserve"> </w:t>
            </w:r>
          </w:p>
        </w:tc>
      </w:tr>
      <w:tr w:rsidR="00E8309B">
        <w:trPr>
          <w:trHeight w:val="293"/>
        </w:trPr>
        <w:tc>
          <w:tcPr>
            <w:tcW w:w="6764" w:type="dxa"/>
            <w:tcBorders>
              <w:top w:val="dashed" w:sz="4" w:space="0" w:color="000000"/>
              <w:left w:val="double" w:sz="6" w:space="0" w:color="000000"/>
              <w:bottom w:val="dashed" w:sz="4" w:space="0" w:color="000000"/>
              <w:right w:val="single" w:sz="4" w:space="0" w:color="000000"/>
            </w:tcBorders>
          </w:tcPr>
          <w:p w:rsidR="00E8309B" w:rsidRDefault="009D0949">
            <w:pPr>
              <w:spacing w:after="0" w:line="259" w:lineRule="auto"/>
              <w:ind w:left="0" w:right="0" w:firstLine="0"/>
              <w:jc w:val="left"/>
            </w:pPr>
            <w:r>
              <w:rPr>
                <w:sz w:val="20"/>
              </w:rPr>
              <w:t xml:space="preserve">Обим светског увоза, без ЕУ </w:t>
            </w:r>
          </w:p>
        </w:tc>
        <w:tc>
          <w:tcPr>
            <w:tcW w:w="2600" w:type="dxa"/>
            <w:tcBorders>
              <w:top w:val="dashed" w:sz="4" w:space="0" w:color="000000"/>
              <w:left w:val="single" w:sz="4" w:space="0" w:color="000000"/>
              <w:bottom w:val="dashed" w:sz="4" w:space="0" w:color="000000"/>
              <w:right w:val="single" w:sz="8" w:space="0" w:color="000000"/>
            </w:tcBorders>
            <w:vAlign w:val="bottom"/>
          </w:tcPr>
          <w:p w:rsidR="00E8309B" w:rsidRDefault="009D0949">
            <w:pPr>
              <w:spacing w:after="0" w:line="259" w:lineRule="auto"/>
              <w:ind w:left="0" w:right="54" w:firstLine="0"/>
              <w:jc w:val="center"/>
            </w:pPr>
            <w:r>
              <w:rPr>
                <w:sz w:val="18"/>
              </w:rPr>
              <w:t xml:space="preserve">Год. просек </w:t>
            </w:r>
          </w:p>
        </w:tc>
        <w:tc>
          <w:tcPr>
            <w:tcW w:w="984" w:type="dxa"/>
            <w:tcBorders>
              <w:top w:val="dashed" w:sz="4" w:space="0" w:color="000000"/>
              <w:left w:val="single" w:sz="8" w:space="0" w:color="000000"/>
              <w:bottom w:val="dashed" w:sz="4" w:space="0" w:color="000000"/>
              <w:right w:val="dashed" w:sz="4" w:space="0" w:color="000000"/>
            </w:tcBorders>
          </w:tcPr>
          <w:p w:rsidR="00E8309B" w:rsidRDefault="009D0949">
            <w:pPr>
              <w:spacing w:after="0" w:line="259" w:lineRule="auto"/>
              <w:ind w:left="0" w:right="5" w:firstLine="0"/>
              <w:jc w:val="center"/>
            </w:pPr>
            <w:r>
              <w:rPr>
                <w:sz w:val="20"/>
              </w:rPr>
              <w:t xml:space="preserve"> </w:t>
            </w:r>
          </w:p>
        </w:tc>
        <w:tc>
          <w:tcPr>
            <w:tcW w:w="987"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2" w:firstLine="0"/>
              <w:jc w:val="center"/>
            </w:pPr>
            <w:r>
              <w:rPr>
                <w:sz w:val="20"/>
              </w:rPr>
              <w:t xml:space="preserve"> </w:t>
            </w:r>
          </w:p>
        </w:tc>
        <w:tc>
          <w:tcPr>
            <w:tcW w:w="984"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5" w:firstLine="0"/>
              <w:jc w:val="center"/>
            </w:pPr>
            <w:r>
              <w:rPr>
                <w:sz w:val="20"/>
              </w:rPr>
              <w:t xml:space="preserve"> </w:t>
            </w:r>
          </w:p>
        </w:tc>
        <w:tc>
          <w:tcPr>
            <w:tcW w:w="986"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0" w:right="2" w:firstLine="0"/>
              <w:jc w:val="center"/>
            </w:pPr>
            <w:r>
              <w:rPr>
                <w:sz w:val="20"/>
              </w:rPr>
              <w:t xml:space="preserve"> </w:t>
            </w:r>
          </w:p>
        </w:tc>
        <w:tc>
          <w:tcPr>
            <w:tcW w:w="987" w:type="dxa"/>
            <w:tcBorders>
              <w:top w:val="dashed" w:sz="4" w:space="0" w:color="000000"/>
              <w:left w:val="dashed" w:sz="4" w:space="0" w:color="000000"/>
              <w:bottom w:val="dashed" w:sz="4" w:space="0" w:color="000000"/>
              <w:right w:val="double" w:sz="6" w:space="0" w:color="000000"/>
            </w:tcBorders>
          </w:tcPr>
          <w:p w:rsidR="00E8309B" w:rsidRDefault="009D0949">
            <w:pPr>
              <w:spacing w:after="0" w:line="259" w:lineRule="auto"/>
              <w:ind w:left="6" w:right="0" w:firstLine="0"/>
              <w:jc w:val="center"/>
            </w:pPr>
            <w:r>
              <w:rPr>
                <w:sz w:val="23"/>
              </w:rPr>
              <w:t xml:space="preserve"> </w:t>
            </w:r>
          </w:p>
        </w:tc>
      </w:tr>
      <w:tr w:rsidR="00E8309B">
        <w:trPr>
          <w:trHeight w:val="310"/>
        </w:trPr>
        <w:tc>
          <w:tcPr>
            <w:tcW w:w="6764" w:type="dxa"/>
            <w:tcBorders>
              <w:top w:val="dashed" w:sz="4" w:space="0" w:color="000000"/>
              <w:left w:val="double" w:sz="6" w:space="0" w:color="000000"/>
              <w:bottom w:val="double" w:sz="6" w:space="0" w:color="000000"/>
              <w:right w:val="single" w:sz="4" w:space="0" w:color="000000"/>
            </w:tcBorders>
          </w:tcPr>
          <w:p w:rsidR="00E8309B" w:rsidRDefault="009D0949">
            <w:pPr>
              <w:spacing w:after="0" w:line="259" w:lineRule="auto"/>
              <w:ind w:left="0" w:right="0" w:firstLine="0"/>
              <w:jc w:val="left"/>
            </w:pPr>
            <w:r>
              <w:rPr>
                <w:sz w:val="20"/>
              </w:rPr>
              <w:t xml:space="preserve">Цене нафте (Брент, USD/барел) </w:t>
            </w:r>
          </w:p>
        </w:tc>
        <w:tc>
          <w:tcPr>
            <w:tcW w:w="2600" w:type="dxa"/>
            <w:tcBorders>
              <w:top w:val="dashed" w:sz="4" w:space="0" w:color="000000"/>
              <w:left w:val="single" w:sz="4" w:space="0" w:color="000000"/>
              <w:bottom w:val="double" w:sz="6" w:space="0" w:color="000000"/>
              <w:right w:val="single" w:sz="8" w:space="0" w:color="000000"/>
            </w:tcBorders>
          </w:tcPr>
          <w:p w:rsidR="00E8309B" w:rsidRDefault="009D0949">
            <w:pPr>
              <w:spacing w:after="0" w:line="259" w:lineRule="auto"/>
              <w:ind w:left="0" w:right="54" w:firstLine="0"/>
              <w:jc w:val="center"/>
            </w:pPr>
            <w:r>
              <w:rPr>
                <w:sz w:val="18"/>
              </w:rPr>
              <w:t xml:space="preserve">Год. просек </w:t>
            </w:r>
          </w:p>
        </w:tc>
        <w:tc>
          <w:tcPr>
            <w:tcW w:w="984" w:type="dxa"/>
            <w:tcBorders>
              <w:top w:val="dashed" w:sz="4" w:space="0" w:color="000000"/>
              <w:left w:val="single" w:sz="8" w:space="0" w:color="000000"/>
              <w:bottom w:val="double" w:sz="6" w:space="0" w:color="000000"/>
              <w:right w:val="dashed" w:sz="4" w:space="0" w:color="000000"/>
            </w:tcBorders>
          </w:tcPr>
          <w:p w:rsidR="00E8309B" w:rsidRDefault="009D0949">
            <w:pPr>
              <w:spacing w:after="0" w:line="259" w:lineRule="auto"/>
              <w:ind w:left="0" w:right="5" w:firstLine="0"/>
              <w:jc w:val="center"/>
            </w:pPr>
            <w:r>
              <w:rPr>
                <w:sz w:val="20"/>
              </w:rPr>
              <w:t xml:space="preserve"> </w:t>
            </w:r>
          </w:p>
        </w:tc>
        <w:tc>
          <w:tcPr>
            <w:tcW w:w="987" w:type="dxa"/>
            <w:tcBorders>
              <w:top w:val="dashed" w:sz="4" w:space="0" w:color="000000"/>
              <w:left w:val="dashed" w:sz="4" w:space="0" w:color="000000"/>
              <w:bottom w:val="double" w:sz="6" w:space="0" w:color="000000"/>
              <w:right w:val="dashed" w:sz="4" w:space="0" w:color="000000"/>
            </w:tcBorders>
          </w:tcPr>
          <w:p w:rsidR="00E8309B" w:rsidRDefault="009D0949">
            <w:pPr>
              <w:spacing w:after="0" w:line="259" w:lineRule="auto"/>
              <w:ind w:left="0" w:right="2" w:firstLine="0"/>
              <w:jc w:val="center"/>
            </w:pPr>
            <w:r>
              <w:rPr>
                <w:sz w:val="20"/>
              </w:rPr>
              <w:t xml:space="preserve"> </w:t>
            </w:r>
          </w:p>
        </w:tc>
        <w:tc>
          <w:tcPr>
            <w:tcW w:w="984" w:type="dxa"/>
            <w:tcBorders>
              <w:top w:val="dashed" w:sz="4" w:space="0" w:color="000000"/>
              <w:left w:val="dashed" w:sz="4" w:space="0" w:color="000000"/>
              <w:bottom w:val="double" w:sz="6" w:space="0" w:color="000000"/>
              <w:right w:val="dashed" w:sz="4" w:space="0" w:color="000000"/>
            </w:tcBorders>
          </w:tcPr>
          <w:p w:rsidR="00E8309B" w:rsidRDefault="009D0949">
            <w:pPr>
              <w:spacing w:after="0" w:line="259" w:lineRule="auto"/>
              <w:ind w:left="0" w:right="5" w:firstLine="0"/>
              <w:jc w:val="center"/>
            </w:pPr>
            <w:r>
              <w:rPr>
                <w:sz w:val="20"/>
              </w:rPr>
              <w:t xml:space="preserve"> </w:t>
            </w:r>
          </w:p>
        </w:tc>
        <w:tc>
          <w:tcPr>
            <w:tcW w:w="986" w:type="dxa"/>
            <w:tcBorders>
              <w:top w:val="dashed" w:sz="4" w:space="0" w:color="000000"/>
              <w:left w:val="dashed" w:sz="4" w:space="0" w:color="000000"/>
              <w:bottom w:val="double" w:sz="6" w:space="0" w:color="000000"/>
              <w:right w:val="dashed" w:sz="4" w:space="0" w:color="000000"/>
            </w:tcBorders>
          </w:tcPr>
          <w:p w:rsidR="00E8309B" w:rsidRDefault="009D0949">
            <w:pPr>
              <w:spacing w:after="0" w:line="259" w:lineRule="auto"/>
              <w:ind w:left="0" w:right="2" w:firstLine="0"/>
              <w:jc w:val="center"/>
            </w:pPr>
            <w:r>
              <w:rPr>
                <w:sz w:val="20"/>
              </w:rPr>
              <w:t xml:space="preserve"> </w:t>
            </w:r>
          </w:p>
        </w:tc>
        <w:tc>
          <w:tcPr>
            <w:tcW w:w="987" w:type="dxa"/>
            <w:tcBorders>
              <w:top w:val="dashed" w:sz="4" w:space="0" w:color="000000"/>
              <w:left w:val="dashed" w:sz="4" w:space="0" w:color="000000"/>
              <w:bottom w:val="double" w:sz="6" w:space="0" w:color="000000"/>
              <w:right w:val="double" w:sz="6" w:space="0" w:color="000000"/>
            </w:tcBorders>
          </w:tcPr>
          <w:p w:rsidR="00E8309B" w:rsidRDefault="009D0949">
            <w:pPr>
              <w:spacing w:after="0" w:line="259" w:lineRule="auto"/>
              <w:ind w:left="6" w:right="0" w:firstLine="0"/>
              <w:jc w:val="center"/>
            </w:pPr>
            <w:r>
              <w:rPr>
                <w:sz w:val="23"/>
              </w:rPr>
              <w:t xml:space="preserve"> </w:t>
            </w:r>
          </w:p>
        </w:tc>
      </w:tr>
    </w:tbl>
    <w:p w:rsidR="00E8309B" w:rsidRDefault="009D0949">
      <w:pPr>
        <w:tabs>
          <w:tab w:val="center" w:pos="6872"/>
          <w:tab w:val="center" w:pos="8478"/>
          <w:tab w:val="center" w:pos="9472"/>
          <w:tab w:val="center" w:pos="10466"/>
          <w:tab w:val="center" w:pos="11484"/>
          <w:tab w:val="center" w:pos="12458"/>
          <w:tab w:val="center" w:pos="13428"/>
          <w:tab w:val="center" w:pos="14402"/>
        </w:tabs>
        <w:spacing w:after="13" w:line="269" w:lineRule="auto"/>
        <w:ind w:left="0" w:right="0" w:firstLine="0"/>
        <w:jc w:val="left"/>
      </w:pPr>
      <w:r>
        <w:rPr>
          <w:sz w:val="20"/>
        </w:rPr>
        <w:t xml:space="preserve">[1] Уколико је потребно, само техничка претпоставка. </w:t>
      </w:r>
      <w:r>
        <w:rPr>
          <w:sz w:val="20"/>
        </w:rPr>
        <w:tab/>
      </w:r>
      <w:r>
        <w:rPr>
          <w:sz w:val="25"/>
          <w:vertAlign w:val="subscript"/>
        </w:rPr>
        <w:t xml:space="preserve"> </w:t>
      </w:r>
      <w:r>
        <w:rPr>
          <w:sz w:val="16"/>
        </w:rPr>
        <w:t xml:space="preserve"> </w:t>
      </w:r>
      <w:r>
        <w:rPr>
          <w:sz w:val="16"/>
        </w:rPr>
        <w:tab/>
      </w:r>
      <w:r>
        <w:rPr>
          <w:sz w:val="20"/>
        </w:rPr>
        <w:t xml:space="preserve">  </w:t>
      </w:r>
      <w:r>
        <w:rPr>
          <w:sz w:val="20"/>
        </w:rPr>
        <w:tab/>
        <w:t xml:space="preserve">  </w:t>
      </w:r>
      <w:r>
        <w:rPr>
          <w:sz w:val="20"/>
        </w:rPr>
        <w:tab/>
        <w:t xml:space="preserve">  </w:t>
      </w:r>
      <w:r>
        <w:rPr>
          <w:sz w:val="20"/>
        </w:rPr>
        <w:tab/>
        <w:t xml:space="preserve">  </w:t>
      </w:r>
      <w:r>
        <w:rPr>
          <w:sz w:val="20"/>
        </w:rPr>
        <w:tab/>
        <w:t xml:space="preserve">  </w:t>
      </w:r>
      <w:r>
        <w:rPr>
          <w:sz w:val="20"/>
        </w:rPr>
        <w:tab/>
        <w:t xml:space="preserve">  </w:t>
      </w:r>
      <w:r>
        <w:rPr>
          <w:sz w:val="20"/>
        </w:rPr>
        <w:tab/>
      </w:r>
      <w:r>
        <w:rPr>
          <w:b/>
        </w:rPr>
        <w:t xml:space="preserve">  </w:t>
      </w:r>
    </w:p>
    <w:p w:rsidR="00E8309B" w:rsidRDefault="009D0949">
      <w:pPr>
        <w:spacing w:after="188" w:line="259" w:lineRule="auto"/>
        <w:ind w:left="0" w:right="0" w:firstLine="0"/>
        <w:jc w:val="left"/>
      </w:pPr>
      <w:r>
        <w:rPr>
          <w:sz w:val="22"/>
        </w:rPr>
        <w:t xml:space="preserve"> </w:t>
      </w:r>
    </w:p>
    <w:p w:rsidR="00E8309B" w:rsidRDefault="009D0949">
      <w:pPr>
        <w:tabs>
          <w:tab w:val="center" w:pos="13353"/>
          <w:tab w:val="center" w:pos="14398"/>
        </w:tabs>
        <w:spacing w:after="0" w:line="259" w:lineRule="auto"/>
        <w:ind w:left="0" w:right="0" w:firstLine="0"/>
        <w:jc w:val="left"/>
      </w:pPr>
      <w:r>
        <w:rPr>
          <w:b/>
          <w:sz w:val="20"/>
        </w:rPr>
        <w:t xml:space="preserve">Табела 8: Основне претпоставке о екстерном економском окружењу на ком се заснива програмски оквир [1] </w:t>
      </w:r>
      <w:r>
        <w:rPr>
          <w:b/>
          <w:sz w:val="20"/>
        </w:rPr>
        <w:tab/>
        <w:t xml:space="preserve">Република Србија </w:t>
      </w:r>
      <w:r>
        <w:rPr>
          <w:b/>
          <w:sz w:val="20"/>
        </w:rPr>
        <w:tab/>
        <w:t xml:space="preserve">  </w:t>
      </w:r>
    </w:p>
    <w:tbl>
      <w:tblPr>
        <w:tblStyle w:val="TableGrid"/>
        <w:tblW w:w="14290" w:type="dxa"/>
        <w:tblInd w:w="0" w:type="dxa"/>
        <w:tblCellMar>
          <w:top w:w="48" w:type="dxa"/>
          <w:left w:w="110" w:type="dxa"/>
          <w:bottom w:w="6" w:type="dxa"/>
          <w:right w:w="115" w:type="dxa"/>
        </w:tblCellMar>
        <w:tblLook w:val="04A0" w:firstRow="1" w:lastRow="0" w:firstColumn="1" w:lastColumn="0" w:noHBand="0" w:noVBand="1"/>
      </w:tblPr>
      <w:tblGrid>
        <w:gridCol w:w="6759"/>
        <w:gridCol w:w="2602"/>
        <w:gridCol w:w="984"/>
        <w:gridCol w:w="985"/>
        <w:gridCol w:w="986"/>
        <w:gridCol w:w="984"/>
        <w:gridCol w:w="989"/>
      </w:tblGrid>
      <w:tr w:rsidR="00E8309B">
        <w:trPr>
          <w:trHeight w:val="598"/>
        </w:trPr>
        <w:tc>
          <w:tcPr>
            <w:tcW w:w="6759" w:type="dxa"/>
            <w:tcBorders>
              <w:top w:val="double" w:sz="6" w:space="0" w:color="000000"/>
              <w:left w:val="double" w:sz="6" w:space="0" w:color="000000"/>
              <w:bottom w:val="double" w:sz="6" w:space="0" w:color="000000"/>
              <w:right w:val="single" w:sz="8" w:space="0" w:color="000000"/>
            </w:tcBorders>
          </w:tcPr>
          <w:p w:rsidR="00E8309B" w:rsidRDefault="009D0949">
            <w:pPr>
              <w:spacing w:after="0" w:line="259" w:lineRule="auto"/>
              <w:ind w:left="0" w:right="0" w:firstLine="0"/>
              <w:jc w:val="left"/>
            </w:pPr>
            <w:r>
              <w:rPr>
                <w:b/>
                <w:sz w:val="20"/>
              </w:rPr>
              <w:t xml:space="preserve"> </w:t>
            </w:r>
          </w:p>
        </w:tc>
        <w:tc>
          <w:tcPr>
            <w:tcW w:w="2602" w:type="dxa"/>
            <w:tcBorders>
              <w:top w:val="double" w:sz="6" w:space="0" w:color="000000"/>
              <w:left w:val="single" w:sz="8" w:space="0" w:color="000000"/>
              <w:bottom w:val="double" w:sz="6" w:space="0" w:color="000000"/>
              <w:right w:val="single" w:sz="8" w:space="0" w:color="000000"/>
            </w:tcBorders>
            <w:vAlign w:val="center"/>
          </w:tcPr>
          <w:p w:rsidR="00E8309B" w:rsidRDefault="009D0949">
            <w:pPr>
              <w:spacing w:after="0" w:line="259" w:lineRule="auto"/>
              <w:ind w:left="4" w:right="0" w:firstLine="0"/>
              <w:jc w:val="center"/>
            </w:pPr>
            <w:r>
              <w:rPr>
                <w:b/>
                <w:sz w:val="20"/>
              </w:rPr>
              <w:t xml:space="preserve">Димензија </w:t>
            </w:r>
          </w:p>
        </w:tc>
        <w:tc>
          <w:tcPr>
            <w:tcW w:w="984" w:type="dxa"/>
            <w:tcBorders>
              <w:top w:val="double" w:sz="6" w:space="0" w:color="000000"/>
              <w:left w:val="single" w:sz="8" w:space="0" w:color="000000"/>
              <w:bottom w:val="double" w:sz="6" w:space="0" w:color="000000"/>
              <w:right w:val="dashed" w:sz="4" w:space="0" w:color="000000"/>
            </w:tcBorders>
          </w:tcPr>
          <w:p w:rsidR="00E8309B" w:rsidRDefault="009D0949">
            <w:pPr>
              <w:spacing w:after="27" w:line="259" w:lineRule="auto"/>
              <w:ind w:left="2" w:right="0" w:firstLine="0"/>
              <w:jc w:val="center"/>
            </w:pPr>
            <w:r>
              <w:rPr>
                <w:sz w:val="20"/>
              </w:rPr>
              <w:t>год.</w:t>
            </w:r>
            <w:r>
              <w:rPr>
                <w:b/>
                <w:sz w:val="20"/>
              </w:rPr>
              <w:t xml:space="preserve"> </w:t>
            </w:r>
          </w:p>
          <w:p w:rsidR="00E8309B" w:rsidRDefault="009D0949">
            <w:pPr>
              <w:spacing w:after="0" w:line="259" w:lineRule="auto"/>
              <w:ind w:left="4" w:right="0" w:firstLine="0"/>
              <w:jc w:val="center"/>
            </w:pPr>
            <w:r>
              <w:rPr>
                <w:sz w:val="20"/>
              </w:rPr>
              <w:t>2019</w:t>
            </w:r>
            <w:r>
              <w:rPr>
                <w:b/>
                <w:sz w:val="20"/>
              </w:rPr>
              <w:t xml:space="preserve"> </w:t>
            </w:r>
          </w:p>
        </w:tc>
        <w:tc>
          <w:tcPr>
            <w:tcW w:w="985" w:type="dxa"/>
            <w:tcBorders>
              <w:top w:val="double" w:sz="6" w:space="0" w:color="000000"/>
              <w:left w:val="dashed" w:sz="4" w:space="0" w:color="000000"/>
              <w:bottom w:val="double" w:sz="6" w:space="0" w:color="000000"/>
              <w:right w:val="dashed" w:sz="4" w:space="0" w:color="000000"/>
            </w:tcBorders>
          </w:tcPr>
          <w:p w:rsidR="00E8309B" w:rsidRDefault="009D0949">
            <w:pPr>
              <w:spacing w:after="27" w:line="259" w:lineRule="auto"/>
              <w:ind w:left="3" w:right="0" w:firstLine="0"/>
              <w:jc w:val="center"/>
            </w:pPr>
            <w:r>
              <w:rPr>
                <w:sz w:val="20"/>
              </w:rPr>
              <w:t>год.</w:t>
            </w:r>
            <w:r>
              <w:rPr>
                <w:b/>
                <w:sz w:val="20"/>
              </w:rPr>
              <w:t xml:space="preserve"> </w:t>
            </w:r>
          </w:p>
          <w:p w:rsidR="00E8309B" w:rsidRDefault="009D0949">
            <w:pPr>
              <w:spacing w:after="0" w:line="259" w:lineRule="auto"/>
              <w:ind w:left="4" w:right="0" w:firstLine="0"/>
              <w:jc w:val="center"/>
            </w:pPr>
            <w:r>
              <w:rPr>
                <w:sz w:val="20"/>
              </w:rPr>
              <w:t>2020</w:t>
            </w:r>
            <w:r>
              <w:rPr>
                <w:b/>
                <w:sz w:val="20"/>
              </w:rPr>
              <w:t xml:space="preserve"> </w:t>
            </w:r>
          </w:p>
        </w:tc>
        <w:tc>
          <w:tcPr>
            <w:tcW w:w="986" w:type="dxa"/>
            <w:tcBorders>
              <w:top w:val="double" w:sz="6" w:space="0" w:color="000000"/>
              <w:left w:val="dashed" w:sz="4" w:space="0" w:color="000000"/>
              <w:bottom w:val="double" w:sz="6" w:space="0" w:color="000000"/>
              <w:right w:val="dashed" w:sz="4" w:space="0" w:color="000000"/>
            </w:tcBorders>
          </w:tcPr>
          <w:p w:rsidR="00E8309B" w:rsidRDefault="009D0949">
            <w:pPr>
              <w:spacing w:after="27" w:line="259" w:lineRule="auto"/>
              <w:ind w:left="5" w:right="0" w:firstLine="0"/>
              <w:jc w:val="center"/>
            </w:pPr>
            <w:r>
              <w:rPr>
                <w:sz w:val="20"/>
              </w:rPr>
              <w:t>год.</w:t>
            </w:r>
            <w:r>
              <w:rPr>
                <w:b/>
                <w:sz w:val="20"/>
              </w:rPr>
              <w:t xml:space="preserve"> </w:t>
            </w:r>
          </w:p>
          <w:p w:rsidR="00E8309B" w:rsidRDefault="009D0949">
            <w:pPr>
              <w:spacing w:after="0" w:line="259" w:lineRule="auto"/>
              <w:ind w:left="6" w:right="0" w:firstLine="0"/>
              <w:jc w:val="center"/>
            </w:pPr>
            <w:r>
              <w:rPr>
                <w:sz w:val="20"/>
              </w:rPr>
              <w:t>2021</w:t>
            </w:r>
            <w:r>
              <w:rPr>
                <w:b/>
                <w:sz w:val="20"/>
              </w:rPr>
              <w:t xml:space="preserve"> </w:t>
            </w:r>
          </w:p>
        </w:tc>
        <w:tc>
          <w:tcPr>
            <w:tcW w:w="984" w:type="dxa"/>
            <w:tcBorders>
              <w:top w:val="double" w:sz="6" w:space="0" w:color="000000"/>
              <w:left w:val="dashed" w:sz="4" w:space="0" w:color="000000"/>
              <w:bottom w:val="double" w:sz="6" w:space="0" w:color="000000"/>
              <w:right w:val="dashed" w:sz="4" w:space="0" w:color="000000"/>
            </w:tcBorders>
          </w:tcPr>
          <w:p w:rsidR="00E8309B" w:rsidRDefault="009D0949">
            <w:pPr>
              <w:spacing w:after="27" w:line="259" w:lineRule="auto"/>
              <w:ind w:left="2" w:right="0" w:firstLine="0"/>
              <w:jc w:val="center"/>
            </w:pPr>
            <w:r>
              <w:rPr>
                <w:sz w:val="20"/>
              </w:rPr>
              <w:t>год.</w:t>
            </w:r>
            <w:r>
              <w:rPr>
                <w:b/>
                <w:sz w:val="20"/>
              </w:rPr>
              <w:t xml:space="preserve"> </w:t>
            </w:r>
          </w:p>
          <w:p w:rsidR="00E8309B" w:rsidRDefault="009D0949">
            <w:pPr>
              <w:spacing w:after="0" w:line="259" w:lineRule="auto"/>
              <w:ind w:left="4" w:right="0" w:firstLine="0"/>
              <w:jc w:val="center"/>
            </w:pPr>
            <w:r>
              <w:rPr>
                <w:sz w:val="20"/>
              </w:rPr>
              <w:t>2022</w:t>
            </w:r>
            <w:r>
              <w:rPr>
                <w:b/>
                <w:sz w:val="20"/>
              </w:rPr>
              <w:t xml:space="preserve"> </w:t>
            </w:r>
          </w:p>
        </w:tc>
        <w:tc>
          <w:tcPr>
            <w:tcW w:w="989" w:type="dxa"/>
            <w:tcBorders>
              <w:top w:val="double" w:sz="6" w:space="0" w:color="000000"/>
              <w:left w:val="dashed" w:sz="4" w:space="0" w:color="000000"/>
              <w:bottom w:val="double" w:sz="6" w:space="0" w:color="000000"/>
              <w:right w:val="double" w:sz="6" w:space="0" w:color="000000"/>
            </w:tcBorders>
          </w:tcPr>
          <w:p w:rsidR="00E8309B" w:rsidRDefault="009D0949">
            <w:pPr>
              <w:spacing w:after="27" w:line="259" w:lineRule="auto"/>
              <w:ind w:left="7" w:right="0" w:firstLine="0"/>
              <w:jc w:val="center"/>
            </w:pPr>
            <w:r>
              <w:rPr>
                <w:sz w:val="20"/>
              </w:rPr>
              <w:t>год.</w:t>
            </w:r>
            <w:r>
              <w:rPr>
                <w:b/>
                <w:sz w:val="20"/>
              </w:rPr>
              <w:t xml:space="preserve"> </w:t>
            </w:r>
          </w:p>
          <w:p w:rsidR="00E8309B" w:rsidRDefault="009D0949">
            <w:pPr>
              <w:spacing w:after="0" w:line="259" w:lineRule="auto"/>
              <w:ind w:left="8" w:right="0" w:firstLine="0"/>
              <w:jc w:val="center"/>
            </w:pPr>
            <w:r>
              <w:rPr>
                <w:sz w:val="20"/>
              </w:rPr>
              <w:t>2023</w:t>
            </w:r>
            <w:r>
              <w:rPr>
                <w:b/>
                <w:sz w:val="20"/>
              </w:rPr>
              <w:t xml:space="preserve"> </w:t>
            </w:r>
          </w:p>
        </w:tc>
      </w:tr>
      <w:tr w:rsidR="00E8309B">
        <w:trPr>
          <w:trHeight w:val="310"/>
        </w:trPr>
        <w:tc>
          <w:tcPr>
            <w:tcW w:w="6759" w:type="dxa"/>
            <w:tcBorders>
              <w:top w:val="double" w:sz="6" w:space="0" w:color="000000"/>
              <w:left w:val="double" w:sz="6" w:space="0" w:color="000000"/>
              <w:bottom w:val="dashed" w:sz="4" w:space="0" w:color="000000"/>
              <w:right w:val="single" w:sz="4" w:space="0" w:color="000000"/>
            </w:tcBorders>
            <w:vAlign w:val="bottom"/>
          </w:tcPr>
          <w:p w:rsidR="00E8309B" w:rsidRDefault="009D0949">
            <w:pPr>
              <w:spacing w:after="0" w:line="259" w:lineRule="auto"/>
              <w:ind w:left="0" w:right="0" w:firstLine="0"/>
              <w:jc w:val="left"/>
            </w:pPr>
            <w:r>
              <w:rPr>
                <w:sz w:val="20"/>
              </w:rPr>
              <w:t xml:space="preserve">Краткорочна каматна стопа </w:t>
            </w:r>
          </w:p>
        </w:tc>
        <w:tc>
          <w:tcPr>
            <w:tcW w:w="2602" w:type="dxa"/>
            <w:tcBorders>
              <w:top w:val="double" w:sz="6" w:space="0" w:color="000000"/>
              <w:left w:val="single" w:sz="4" w:space="0" w:color="000000"/>
              <w:bottom w:val="dashed" w:sz="4" w:space="0" w:color="000000"/>
              <w:right w:val="single" w:sz="8" w:space="0" w:color="000000"/>
            </w:tcBorders>
            <w:vAlign w:val="bottom"/>
          </w:tcPr>
          <w:p w:rsidR="00E8309B" w:rsidRDefault="009D0949">
            <w:pPr>
              <w:spacing w:after="0" w:line="259" w:lineRule="auto"/>
              <w:ind w:left="8" w:right="0" w:firstLine="0"/>
              <w:jc w:val="center"/>
            </w:pPr>
            <w:r>
              <w:rPr>
                <w:sz w:val="18"/>
              </w:rPr>
              <w:t xml:space="preserve">Год. просек </w:t>
            </w:r>
          </w:p>
        </w:tc>
        <w:tc>
          <w:tcPr>
            <w:tcW w:w="984" w:type="dxa"/>
            <w:tcBorders>
              <w:top w:val="double" w:sz="6" w:space="0" w:color="000000"/>
              <w:left w:val="single" w:sz="8" w:space="0" w:color="000000"/>
              <w:bottom w:val="dashed" w:sz="4" w:space="0" w:color="000000"/>
              <w:right w:val="dashed" w:sz="4" w:space="0" w:color="000000"/>
            </w:tcBorders>
          </w:tcPr>
          <w:p w:rsidR="00E8309B" w:rsidRDefault="009D0949">
            <w:pPr>
              <w:spacing w:after="0" w:line="259" w:lineRule="auto"/>
              <w:ind w:left="3" w:right="0" w:firstLine="0"/>
              <w:jc w:val="center"/>
            </w:pPr>
            <w:r>
              <w:rPr>
                <w:sz w:val="20"/>
              </w:rPr>
              <w:t>:</w:t>
            </w:r>
            <w:r>
              <w:rPr>
                <w:sz w:val="23"/>
              </w:rPr>
              <w:t xml:space="preserve"> </w:t>
            </w:r>
          </w:p>
        </w:tc>
        <w:tc>
          <w:tcPr>
            <w:tcW w:w="985" w:type="dxa"/>
            <w:tcBorders>
              <w:top w:val="double" w:sz="6" w:space="0" w:color="000000"/>
              <w:left w:val="dashed" w:sz="4" w:space="0" w:color="000000"/>
              <w:bottom w:val="dashed" w:sz="4" w:space="0" w:color="000000"/>
              <w:right w:val="dashed" w:sz="4" w:space="0" w:color="000000"/>
            </w:tcBorders>
          </w:tcPr>
          <w:p w:rsidR="00E8309B" w:rsidRDefault="009D0949">
            <w:pPr>
              <w:spacing w:after="0" w:line="259" w:lineRule="auto"/>
              <w:ind w:left="3" w:right="0" w:firstLine="0"/>
              <w:jc w:val="center"/>
            </w:pPr>
            <w:r>
              <w:rPr>
                <w:sz w:val="20"/>
              </w:rPr>
              <w:t>:</w:t>
            </w:r>
            <w:r>
              <w:rPr>
                <w:sz w:val="23"/>
              </w:rPr>
              <w:t xml:space="preserve"> </w:t>
            </w:r>
          </w:p>
        </w:tc>
        <w:tc>
          <w:tcPr>
            <w:tcW w:w="986" w:type="dxa"/>
            <w:tcBorders>
              <w:top w:val="double" w:sz="6" w:space="0" w:color="000000"/>
              <w:left w:val="dashed" w:sz="4" w:space="0" w:color="000000"/>
              <w:bottom w:val="dashed" w:sz="4" w:space="0" w:color="000000"/>
              <w:right w:val="dashed" w:sz="4" w:space="0" w:color="000000"/>
            </w:tcBorders>
          </w:tcPr>
          <w:p w:rsidR="00E8309B" w:rsidRDefault="009D0949">
            <w:pPr>
              <w:spacing w:after="0" w:line="259" w:lineRule="auto"/>
              <w:ind w:left="5" w:right="0" w:firstLine="0"/>
              <w:jc w:val="center"/>
            </w:pPr>
            <w:r>
              <w:rPr>
                <w:sz w:val="20"/>
              </w:rPr>
              <w:t>:</w:t>
            </w:r>
            <w:r>
              <w:rPr>
                <w:sz w:val="23"/>
              </w:rPr>
              <w:t xml:space="preserve"> </w:t>
            </w:r>
          </w:p>
        </w:tc>
        <w:tc>
          <w:tcPr>
            <w:tcW w:w="984" w:type="dxa"/>
            <w:tcBorders>
              <w:top w:val="double" w:sz="6" w:space="0" w:color="000000"/>
              <w:left w:val="dashed" w:sz="4" w:space="0" w:color="000000"/>
              <w:bottom w:val="dashed" w:sz="4" w:space="0" w:color="000000"/>
              <w:right w:val="dashed" w:sz="4" w:space="0" w:color="000000"/>
            </w:tcBorders>
          </w:tcPr>
          <w:p w:rsidR="00E8309B" w:rsidRDefault="009D0949">
            <w:pPr>
              <w:spacing w:after="0" w:line="259" w:lineRule="auto"/>
              <w:ind w:left="3" w:right="0" w:firstLine="0"/>
              <w:jc w:val="center"/>
            </w:pPr>
            <w:r>
              <w:rPr>
                <w:sz w:val="20"/>
              </w:rPr>
              <w:t>:</w:t>
            </w:r>
            <w:r>
              <w:rPr>
                <w:sz w:val="23"/>
              </w:rPr>
              <w:t xml:space="preserve"> </w:t>
            </w:r>
          </w:p>
        </w:tc>
        <w:tc>
          <w:tcPr>
            <w:tcW w:w="989" w:type="dxa"/>
            <w:tcBorders>
              <w:top w:val="double" w:sz="6" w:space="0" w:color="000000"/>
              <w:left w:val="dashed" w:sz="4" w:space="0" w:color="000000"/>
              <w:bottom w:val="dashed" w:sz="4" w:space="0" w:color="000000"/>
              <w:right w:val="double" w:sz="6" w:space="0" w:color="000000"/>
            </w:tcBorders>
          </w:tcPr>
          <w:p w:rsidR="00E8309B" w:rsidRDefault="009D0949">
            <w:pPr>
              <w:spacing w:after="0" w:line="259" w:lineRule="auto"/>
              <w:ind w:left="8" w:right="0" w:firstLine="0"/>
              <w:jc w:val="center"/>
            </w:pPr>
            <w:r>
              <w:rPr>
                <w:sz w:val="20"/>
              </w:rPr>
              <w:t>:</w:t>
            </w:r>
            <w:r>
              <w:rPr>
                <w:sz w:val="23"/>
              </w:rPr>
              <w:t xml:space="preserve"> </w:t>
            </w:r>
          </w:p>
        </w:tc>
      </w:tr>
      <w:tr w:rsidR="00E8309B">
        <w:trPr>
          <w:trHeight w:val="295"/>
        </w:trPr>
        <w:tc>
          <w:tcPr>
            <w:tcW w:w="6759" w:type="dxa"/>
            <w:tcBorders>
              <w:top w:val="dashed" w:sz="4" w:space="0" w:color="000000"/>
              <w:left w:val="double" w:sz="6" w:space="0" w:color="000000"/>
              <w:bottom w:val="dashed" w:sz="4" w:space="0" w:color="000000"/>
              <w:right w:val="single" w:sz="4" w:space="0" w:color="000000"/>
            </w:tcBorders>
          </w:tcPr>
          <w:p w:rsidR="00E8309B" w:rsidRDefault="009D0949">
            <w:pPr>
              <w:spacing w:after="0" w:line="259" w:lineRule="auto"/>
              <w:ind w:left="0" w:right="0" w:firstLine="0"/>
              <w:jc w:val="left"/>
            </w:pPr>
            <w:r>
              <w:rPr>
                <w:sz w:val="20"/>
              </w:rPr>
              <w:t xml:space="preserve">Дугорочна каматна стопа </w:t>
            </w:r>
          </w:p>
        </w:tc>
        <w:tc>
          <w:tcPr>
            <w:tcW w:w="2602" w:type="dxa"/>
            <w:tcBorders>
              <w:top w:val="dashed" w:sz="4" w:space="0" w:color="000000"/>
              <w:left w:val="single" w:sz="4" w:space="0" w:color="000000"/>
              <w:bottom w:val="dashed" w:sz="4" w:space="0" w:color="000000"/>
              <w:right w:val="single" w:sz="8" w:space="0" w:color="000000"/>
            </w:tcBorders>
            <w:vAlign w:val="bottom"/>
          </w:tcPr>
          <w:p w:rsidR="00E8309B" w:rsidRDefault="009D0949">
            <w:pPr>
              <w:spacing w:after="0" w:line="259" w:lineRule="auto"/>
              <w:ind w:left="8" w:right="0" w:firstLine="0"/>
              <w:jc w:val="center"/>
            </w:pPr>
            <w:r>
              <w:rPr>
                <w:sz w:val="18"/>
              </w:rPr>
              <w:t xml:space="preserve">Год. просек </w:t>
            </w:r>
          </w:p>
        </w:tc>
        <w:tc>
          <w:tcPr>
            <w:tcW w:w="984" w:type="dxa"/>
            <w:tcBorders>
              <w:top w:val="dashed" w:sz="4" w:space="0" w:color="000000"/>
              <w:left w:val="single" w:sz="8" w:space="0" w:color="000000"/>
              <w:bottom w:val="dashed" w:sz="4" w:space="0" w:color="000000"/>
              <w:right w:val="dashed" w:sz="4" w:space="0" w:color="000000"/>
            </w:tcBorders>
          </w:tcPr>
          <w:p w:rsidR="00E8309B" w:rsidRDefault="009D0949">
            <w:pPr>
              <w:spacing w:after="0" w:line="259" w:lineRule="auto"/>
              <w:ind w:left="3" w:right="0" w:firstLine="0"/>
              <w:jc w:val="center"/>
            </w:pPr>
            <w:r>
              <w:rPr>
                <w:sz w:val="20"/>
              </w:rPr>
              <w:t xml:space="preserve">: </w:t>
            </w:r>
          </w:p>
        </w:tc>
        <w:tc>
          <w:tcPr>
            <w:tcW w:w="985"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3" w:right="0" w:firstLine="0"/>
              <w:jc w:val="center"/>
            </w:pPr>
            <w:r>
              <w:rPr>
                <w:sz w:val="20"/>
              </w:rPr>
              <w:t xml:space="preserve">: </w:t>
            </w:r>
          </w:p>
        </w:tc>
        <w:tc>
          <w:tcPr>
            <w:tcW w:w="986"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5" w:right="0" w:firstLine="0"/>
              <w:jc w:val="center"/>
            </w:pPr>
            <w:r>
              <w:rPr>
                <w:sz w:val="20"/>
              </w:rPr>
              <w:t xml:space="preserve">: </w:t>
            </w:r>
          </w:p>
        </w:tc>
        <w:tc>
          <w:tcPr>
            <w:tcW w:w="984"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3" w:right="0" w:firstLine="0"/>
              <w:jc w:val="center"/>
            </w:pPr>
            <w:r>
              <w:rPr>
                <w:sz w:val="20"/>
              </w:rPr>
              <w:t xml:space="preserve">: </w:t>
            </w:r>
          </w:p>
        </w:tc>
        <w:tc>
          <w:tcPr>
            <w:tcW w:w="989" w:type="dxa"/>
            <w:tcBorders>
              <w:top w:val="dashed" w:sz="4" w:space="0" w:color="000000"/>
              <w:left w:val="dashed" w:sz="4" w:space="0" w:color="000000"/>
              <w:bottom w:val="dashed" w:sz="4" w:space="0" w:color="000000"/>
              <w:right w:val="double" w:sz="6" w:space="0" w:color="000000"/>
            </w:tcBorders>
          </w:tcPr>
          <w:p w:rsidR="00E8309B" w:rsidRDefault="009D0949">
            <w:pPr>
              <w:spacing w:after="0" w:line="259" w:lineRule="auto"/>
              <w:ind w:left="8" w:right="0" w:firstLine="0"/>
              <w:jc w:val="center"/>
            </w:pPr>
            <w:r>
              <w:rPr>
                <w:sz w:val="20"/>
              </w:rPr>
              <w:t>:</w:t>
            </w:r>
            <w:r>
              <w:rPr>
                <w:sz w:val="23"/>
              </w:rPr>
              <w:t xml:space="preserve"> </w:t>
            </w:r>
          </w:p>
        </w:tc>
      </w:tr>
      <w:tr w:rsidR="00E8309B">
        <w:trPr>
          <w:trHeight w:val="293"/>
        </w:trPr>
        <w:tc>
          <w:tcPr>
            <w:tcW w:w="6759" w:type="dxa"/>
            <w:tcBorders>
              <w:top w:val="dashed" w:sz="4" w:space="0" w:color="000000"/>
              <w:left w:val="double" w:sz="6" w:space="0" w:color="000000"/>
              <w:bottom w:val="dashed" w:sz="4" w:space="0" w:color="000000"/>
              <w:right w:val="single" w:sz="4" w:space="0" w:color="000000"/>
            </w:tcBorders>
          </w:tcPr>
          <w:p w:rsidR="00E8309B" w:rsidRDefault="009D0949">
            <w:pPr>
              <w:spacing w:after="0" w:line="259" w:lineRule="auto"/>
              <w:ind w:left="0" w:right="0" w:firstLine="0"/>
              <w:jc w:val="left"/>
            </w:pPr>
            <w:r>
              <w:rPr>
                <w:sz w:val="20"/>
              </w:rPr>
              <w:t xml:space="preserve">Курс USD/EUR </w:t>
            </w:r>
          </w:p>
        </w:tc>
        <w:tc>
          <w:tcPr>
            <w:tcW w:w="2602" w:type="dxa"/>
            <w:tcBorders>
              <w:top w:val="dashed" w:sz="4" w:space="0" w:color="000000"/>
              <w:left w:val="single" w:sz="4" w:space="0" w:color="000000"/>
              <w:bottom w:val="dashed" w:sz="4" w:space="0" w:color="000000"/>
              <w:right w:val="single" w:sz="8" w:space="0" w:color="000000"/>
            </w:tcBorders>
            <w:vAlign w:val="bottom"/>
          </w:tcPr>
          <w:p w:rsidR="00E8309B" w:rsidRDefault="009D0949">
            <w:pPr>
              <w:spacing w:after="0" w:line="259" w:lineRule="auto"/>
              <w:ind w:left="8" w:right="0" w:firstLine="0"/>
              <w:jc w:val="center"/>
            </w:pPr>
            <w:r>
              <w:rPr>
                <w:sz w:val="18"/>
              </w:rPr>
              <w:t xml:space="preserve">Год. просек </w:t>
            </w:r>
          </w:p>
        </w:tc>
        <w:tc>
          <w:tcPr>
            <w:tcW w:w="984" w:type="dxa"/>
            <w:tcBorders>
              <w:top w:val="dashed" w:sz="4" w:space="0" w:color="000000"/>
              <w:left w:val="single" w:sz="8" w:space="0" w:color="000000"/>
              <w:bottom w:val="dashed" w:sz="4" w:space="0" w:color="000000"/>
              <w:right w:val="dashed" w:sz="4" w:space="0" w:color="000000"/>
            </w:tcBorders>
          </w:tcPr>
          <w:p w:rsidR="00E8309B" w:rsidRDefault="009D0949">
            <w:pPr>
              <w:spacing w:after="0" w:line="259" w:lineRule="auto"/>
              <w:ind w:left="3" w:right="0" w:firstLine="0"/>
              <w:jc w:val="center"/>
            </w:pPr>
            <w:r>
              <w:rPr>
                <w:sz w:val="20"/>
              </w:rPr>
              <w:t xml:space="preserve">: </w:t>
            </w:r>
          </w:p>
        </w:tc>
        <w:tc>
          <w:tcPr>
            <w:tcW w:w="985"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3" w:right="0" w:firstLine="0"/>
              <w:jc w:val="center"/>
            </w:pPr>
            <w:r>
              <w:rPr>
                <w:sz w:val="20"/>
              </w:rPr>
              <w:t xml:space="preserve">: </w:t>
            </w:r>
          </w:p>
        </w:tc>
        <w:tc>
          <w:tcPr>
            <w:tcW w:w="986"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5" w:right="0" w:firstLine="0"/>
              <w:jc w:val="center"/>
            </w:pPr>
            <w:r>
              <w:rPr>
                <w:sz w:val="20"/>
              </w:rPr>
              <w:t xml:space="preserve">: </w:t>
            </w:r>
          </w:p>
        </w:tc>
        <w:tc>
          <w:tcPr>
            <w:tcW w:w="984"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3" w:right="0" w:firstLine="0"/>
              <w:jc w:val="center"/>
            </w:pPr>
            <w:r>
              <w:rPr>
                <w:sz w:val="20"/>
              </w:rPr>
              <w:t xml:space="preserve">: </w:t>
            </w:r>
          </w:p>
        </w:tc>
        <w:tc>
          <w:tcPr>
            <w:tcW w:w="989" w:type="dxa"/>
            <w:tcBorders>
              <w:top w:val="dashed" w:sz="4" w:space="0" w:color="000000"/>
              <w:left w:val="dashed" w:sz="4" w:space="0" w:color="000000"/>
              <w:bottom w:val="dashed" w:sz="4" w:space="0" w:color="000000"/>
              <w:right w:val="double" w:sz="6" w:space="0" w:color="000000"/>
            </w:tcBorders>
          </w:tcPr>
          <w:p w:rsidR="00E8309B" w:rsidRDefault="009D0949">
            <w:pPr>
              <w:spacing w:after="0" w:line="259" w:lineRule="auto"/>
              <w:ind w:left="8" w:right="0" w:firstLine="0"/>
              <w:jc w:val="center"/>
            </w:pPr>
            <w:r>
              <w:rPr>
                <w:sz w:val="20"/>
              </w:rPr>
              <w:t>:</w:t>
            </w:r>
            <w:r>
              <w:rPr>
                <w:sz w:val="23"/>
              </w:rPr>
              <w:t xml:space="preserve"> </w:t>
            </w:r>
          </w:p>
        </w:tc>
      </w:tr>
      <w:tr w:rsidR="00E8309B">
        <w:trPr>
          <w:trHeight w:val="293"/>
        </w:trPr>
        <w:tc>
          <w:tcPr>
            <w:tcW w:w="6759" w:type="dxa"/>
            <w:tcBorders>
              <w:top w:val="dashed" w:sz="4" w:space="0" w:color="000000"/>
              <w:left w:val="double" w:sz="6" w:space="0" w:color="000000"/>
              <w:bottom w:val="dashed" w:sz="4" w:space="0" w:color="000000"/>
              <w:right w:val="single" w:sz="4" w:space="0" w:color="000000"/>
            </w:tcBorders>
          </w:tcPr>
          <w:p w:rsidR="00E8309B" w:rsidRDefault="009D0949">
            <w:pPr>
              <w:spacing w:after="0" w:line="259" w:lineRule="auto"/>
              <w:ind w:left="0" w:right="0" w:firstLine="0"/>
              <w:jc w:val="left"/>
            </w:pPr>
            <w:r>
              <w:rPr>
                <w:sz w:val="20"/>
              </w:rPr>
              <w:t xml:space="preserve">Номинални ефективни девизни курс </w:t>
            </w:r>
          </w:p>
        </w:tc>
        <w:tc>
          <w:tcPr>
            <w:tcW w:w="2602" w:type="dxa"/>
            <w:tcBorders>
              <w:top w:val="dashed" w:sz="4" w:space="0" w:color="000000"/>
              <w:left w:val="single" w:sz="4" w:space="0" w:color="000000"/>
              <w:bottom w:val="dashed" w:sz="4" w:space="0" w:color="000000"/>
              <w:right w:val="single" w:sz="8" w:space="0" w:color="000000"/>
            </w:tcBorders>
            <w:vAlign w:val="bottom"/>
          </w:tcPr>
          <w:p w:rsidR="00E8309B" w:rsidRDefault="009D0949">
            <w:pPr>
              <w:spacing w:after="0" w:line="259" w:lineRule="auto"/>
              <w:ind w:left="8" w:right="0" w:firstLine="0"/>
              <w:jc w:val="center"/>
            </w:pPr>
            <w:r>
              <w:rPr>
                <w:sz w:val="18"/>
              </w:rPr>
              <w:t xml:space="preserve">Год. просек </w:t>
            </w:r>
          </w:p>
        </w:tc>
        <w:tc>
          <w:tcPr>
            <w:tcW w:w="984" w:type="dxa"/>
            <w:tcBorders>
              <w:top w:val="dashed" w:sz="4" w:space="0" w:color="000000"/>
              <w:left w:val="single" w:sz="8" w:space="0" w:color="000000"/>
              <w:bottom w:val="dashed" w:sz="4" w:space="0" w:color="000000"/>
              <w:right w:val="dashed" w:sz="4" w:space="0" w:color="000000"/>
            </w:tcBorders>
          </w:tcPr>
          <w:p w:rsidR="00E8309B" w:rsidRDefault="009D0949">
            <w:pPr>
              <w:spacing w:after="0" w:line="259" w:lineRule="auto"/>
              <w:ind w:left="3" w:right="0" w:firstLine="0"/>
              <w:jc w:val="center"/>
            </w:pPr>
            <w:r>
              <w:rPr>
                <w:sz w:val="20"/>
              </w:rPr>
              <w:t xml:space="preserve">: </w:t>
            </w:r>
          </w:p>
        </w:tc>
        <w:tc>
          <w:tcPr>
            <w:tcW w:w="985"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3" w:right="0" w:firstLine="0"/>
              <w:jc w:val="center"/>
            </w:pPr>
            <w:r>
              <w:rPr>
                <w:sz w:val="20"/>
              </w:rPr>
              <w:t xml:space="preserve">: </w:t>
            </w:r>
          </w:p>
        </w:tc>
        <w:tc>
          <w:tcPr>
            <w:tcW w:w="986"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5" w:right="0" w:firstLine="0"/>
              <w:jc w:val="center"/>
            </w:pPr>
            <w:r>
              <w:rPr>
                <w:sz w:val="20"/>
              </w:rPr>
              <w:t xml:space="preserve">: </w:t>
            </w:r>
          </w:p>
        </w:tc>
        <w:tc>
          <w:tcPr>
            <w:tcW w:w="984"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3" w:right="0" w:firstLine="0"/>
              <w:jc w:val="center"/>
            </w:pPr>
            <w:r>
              <w:rPr>
                <w:sz w:val="20"/>
              </w:rPr>
              <w:t xml:space="preserve">: </w:t>
            </w:r>
          </w:p>
        </w:tc>
        <w:tc>
          <w:tcPr>
            <w:tcW w:w="989" w:type="dxa"/>
            <w:tcBorders>
              <w:top w:val="dashed" w:sz="4" w:space="0" w:color="000000"/>
              <w:left w:val="dashed" w:sz="4" w:space="0" w:color="000000"/>
              <w:bottom w:val="dashed" w:sz="4" w:space="0" w:color="000000"/>
              <w:right w:val="double" w:sz="6" w:space="0" w:color="000000"/>
            </w:tcBorders>
          </w:tcPr>
          <w:p w:rsidR="00E8309B" w:rsidRDefault="009D0949">
            <w:pPr>
              <w:spacing w:after="0" w:line="259" w:lineRule="auto"/>
              <w:ind w:left="8" w:right="0" w:firstLine="0"/>
              <w:jc w:val="center"/>
            </w:pPr>
            <w:r>
              <w:rPr>
                <w:sz w:val="20"/>
              </w:rPr>
              <w:t>:</w:t>
            </w:r>
            <w:r>
              <w:rPr>
                <w:sz w:val="23"/>
              </w:rPr>
              <w:t xml:space="preserve"> </w:t>
            </w:r>
          </w:p>
        </w:tc>
      </w:tr>
      <w:tr w:rsidR="00E8309B">
        <w:trPr>
          <w:trHeight w:val="293"/>
        </w:trPr>
        <w:tc>
          <w:tcPr>
            <w:tcW w:w="6759" w:type="dxa"/>
            <w:tcBorders>
              <w:top w:val="dashed" w:sz="4" w:space="0" w:color="000000"/>
              <w:left w:val="double" w:sz="6" w:space="0" w:color="000000"/>
              <w:bottom w:val="dashed" w:sz="4" w:space="0" w:color="000000"/>
              <w:right w:val="single" w:sz="4" w:space="0" w:color="000000"/>
            </w:tcBorders>
          </w:tcPr>
          <w:p w:rsidR="00E8309B" w:rsidRDefault="009D0949">
            <w:pPr>
              <w:spacing w:after="0" w:line="259" w:lineRule="auto"/>
              <w:ind w:left="0" w:right="0" w:firstLine="0"/>
              <w:jc w:val="left"/>
            </w:pPr>
            <w:r>
              <w:rPr>
                <w:sz w:val="20"/>
              </w:rPr>
              <w:t xml:space="preserve">Курс у односу на EUR </w:t>
            </w:r>
          </w:p>
        </w:tc>
        <w:tc>
          <w:tcPr>
            <w:tcW w:w="2602" w:type="dxa"/>
            <w:tcBorders>
              <w:top w:val="dashed" w:sz="4" w:space="0" w:color="000000"/>
              <w:left w:val="single" w:sz="4" w:space="0" w:color="000000"/>
              <w:bottom w:val="dashed" w:sz="4" w:space="0" w:color="000000"/>
              <w:right w:val="single" w:sz="8" w:space="0" w:color="000000"/>
            </w:tcBorders>
            <w:vAlign w:val="bottom"/>
          </w:tcPr>
          <w:p w:rsidR="00E8309B" w:rsidRDefault="009D0949">
            <w:pPr>
              <w:spacing w:after="0" w:line="259" w:lineRule="auto"/>
              <w:ind w:left="8" w:right="0" w:firstLine="0"/>
              <w:jc w:val="center"/>
            </w:pPr>
            <w:r>
              <w:rPr>
                <w:sz w:val="18"/>
              </w:rPr>
              <w:t xml:space="preserve">Год. просек </w:t>
            </w:r>
          </w:p>
        </w:tc>
        <w:tc>
          <w:tcPr>
            <w:tcW w:w="984" w:type="dxa"/>
            <w:tcBorders>
              <w:top w:val="dashed" w:sz="4" w:space="0" w:color="000000"/>
              <w:left w:val="single" w:sz="8" w:space="0" w:color="000000"/>
              <w:bottom w:val="dashed" w:sz="4" w:space="0" w:color="000000"/>
              <w:right w:val="dashed" w:sz="4" w:space="0" w:color="000000"/>
            </w:tcBorders>
          </w:tcPr>
          <w:p w:rsidR="00E8309B" w:rsidRDefault="009D0949">
            <w:pPr>
              <w:spacing w:after="0" w:line="259" w:lineRule="auto"/>
              <w:ind w:left="3" w:right="0" w:firstLine="0"/>
              <w:jc w:val="center"/>
            </w:pPr>
            <w:r>
              <w:rPr>
                <w:sz w:val="20"/>
              </w:rPr>
              <w:t xml:space="preserve">: </w:t>
            </w:r>
          </w:p>
        </w:tc>
        <w:tc>
          <w:tcPr>
            <w:tcW w:w="985"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3" w:right="0" w:firstLine="0"/>
              <w:jc w:val="center"/>
            </w:pPr>
            <w:r>
              <w:rPr>
                <w:sz w:val="20"/>
              </w:rPr>
              <w:t xml:space="preserve">: </w:t>
            </w:r>
          </w:p>
        </w:tc>
        <w:tc>
          <w:tcPr>
            <w:tcW w:w="986"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5" w:right="0" w:firstLine="0"/>
              <w:jc w:val="center"/>
            </w:pPr>
            <w:r>
              <w:rPr>
                <w:sz w:val="20"/>
              </w:rPr>
              <w:t xml:space="preserve">: </w:t>
            </w:r>
          </w:p>
        </w:tc>
        <w:tc>
          <w:tcPr>
            <w:tcW w:w="984"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3" w:right="0" w:firstLine="0"/>
              <w:jc w:val="center"/>
            </w:pPr>
            <w:r>
              <w:rPr>
                <w:sz w:val="20"/>
              </w:rPr>
              <w:t xml:space="preserve">: </w:t>
            </w:r>
          </w:p>
        </w:tc>
        <w:tc>
          <w:tcPr>
            <w:tcW w:w="989" w:type="dxa"/>
            <w:tcBorders>
              <w:top w:val="dashed" w:sz="4" w:space="0" w:color="000000"/>
              <w:left w:val="dashed" w:sz="4" w:space="0" w:color="000000"/>
              <w:bottom w:val="dashed" w:sz="4" w:space="0" w:color="000000"/>
              <w:right w:val="double" w:sz="6" w:space="0" w:color="000000"/>
            </w:tcBorders>
          </w:tcPr>
          <w:p w:rsidR="00E8309B" w:rsidRDefault="009D0949">
            <w:pPr>
              <w:spacing w:after="0" w:line="259" w:lineRule="auto"/>
              <w:ind w:left="8" w:right="0" w:firstLine="0"/>
              <w:jc w:val="center"/>
            </w:pPr>
            <w:r>
              <w:rPr>
                <w:sz w:val="20"/>
              </w:rPr>
              <w:t xml:space="preserve">: </w:t>
            </w:r>
          </w:p>
        </w:tc>
      </w:tr>
      <w:tr w:rsidR="00E8309B">
        <w:trPr>
          <w:trHeight w:val="293"/>
        </w:trPr>
        <w:tc>
          <w:tcPr>
            <w:tcW w:w="6759" w:type="dxa"/>
            <w:tcBorders>
              <w:top w:val="dashed" w:sz="4" w:space="0" w:color="000000"/>
              <w:left w:val="double" w:sz="6" w:space="0" w:color="000000"/>
              <w:bottom w:val="dashed" w:sz="4" w:space="0" w:color="000000"/>
              <w:right w:val="single" w:sz="4" w:space="0" w:color="000000"/>
            </w:tcBorders>
          </w:tcPr>
          <w:p w:rsidR="00E8309B" w:rsidRDefault="009D0949">
            <w:pPr>
              <w:spacing w:after="0" w:line="259" w:lineRule="auto"/>
              <w:ind w:left="0" w:right="0" w:firstLine="0"/>
              <w:jc w:val="left"/>
            </w:pPr>
            <w:r>
              <w:rPr>
                <w:sz w:val="20"/>
              </w:rPr>
              <w:t xml:space="preserve">Раст светског БДП-а, без ЕУ </w:t>
            </w:r>
          </w:p>
        </w:tc>
        <w:tc>
          <w:tcPr>
            <w:tcW w:w="2602" w:type="dxa"/>
            <w:tcBorders>
              <w:top w:val="dashed" w:sz="4" w:space="0" w:color="000000"/>
              <w:left w:val="single" w:sz="4" w:space="0" w:color="000000"/>
              <w:bottom w:val="dashed" w:sz="4" w:space="0" w:color="000000"/>
              <w:right w:val="single" w:sz="8" w:space="0" w:color="000000"/>
            </w:tcBorders>
            <w:vAlign w:val="bottom"/>
          </w:tcPr>
          <w:p w:rsidR="00E8309B" w:rsidRDefault="009D0949">
            <w:pPr>
              <w:spacing w:after="0" w:line="259" w:lineRule="auto"/>
              <w:ind w:left="8" w:right="0" w:firstLine="0"/>
              <w:jc w:val="center"/>
            </w:pPr>
            <w:r>
              <w:rPr>
                <w:sz w:val="18"/>
              </w:rPr>
              <w:t xml:space="preserve">Год. просек </w:t>
            </w:r>
          </w:p>
        </w:tc>
        <w:tc>
          <w:tcPr>
            <w:tcW w:w="984" w:type="dxa"/>
            <w:tcBorders>
              <w:top w:val="dashed" w:sz="4" w:space="0" w:color="000000"/>
              <w:left w:val="single" w:sz="8" w:space="0" w:color="000000"/>
              <w:bottom w:val="dashed" w:sz="4" w:space="0" w:color="000000"/>
              <w:right w:val="dashed" w:sz="4" w:space="0" w:color="000000"/>
            </w:tcBorders>
          </w:tcPr>
          <w:p w:rsidR="00E8309B" w:rsidRDefault="009D0949">
            <w:pPr>
              <w:spacing w:after="0" w:line="259" w:lineRule="auto"/>
              <w:ind w:left="3" w:right="0" w:firstLine="0"/>
              <w:jc w:val="center"/>
            </w:pPr>
            <w:r>
              <w:rPr>
                <w:sz w:val="20"/>
              </w:rPr>
              <w:t xml:space="preserve">: </w:t>
            </w:r>
          </w:p>
        </w:tc>
        <w:tc>
          <w:tcPr>
            <w:tcW w:w="985"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3" w:right="0" w:firstLine="0"/>
              <w:jc w:val="center"/>
            </w:pPr>
            <w:r>
              <w:rPr>
                <w:sz w:val="20"/>
              </w:rPr>
              <w:t xml:space="preserve">: </w:t>
            </w:r>
          </w:p>
        </w:tc>
        <w:tc>
          <w:tcPr>
            <w:tcW w:w="986"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5" w:right="0" w:firstLine="0"/>
              <w:jc w:val="center"/>
            </w:pPr>
            <w:r>
              <w:rPr>
                <w:sz w:val="20"/>
              </w:rPr>
              <w:t xml:space="preserve">: </w:t>
            </w:r>
          </w:p>
        </w:tc>
        <w:tc>
          <w:tcPr>
            <w:tcW w:w="984"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3" w:right="0" w:firstLine="0"/>
              <w:jc w:val="center"/>
            </w:pPr>
            <w:r>
              <w:rPr>
                <w:sz w:val="20"/>
              </w:rPr>
              <w:t xml:space="preserve">: </w:t>
            </w:r>
          </w:p>
        </w:tc>
        <w:tc>
          <w:tcPr>
            <w:tcW w:w="989" w:type="dxa"/>
            <w:tcBorders>
              <w:top w:val="dashed" w:sz="4" w:space="0" w:color="000000"/>
              <w:left w:val="dashed" w:sz="4" w:space="0" w:color="000000"/>
              <w:bottom w:val="dashed" w:sz="4" w:space="0" w:color="000000"/>
              <w:right w:val="double" w:sz="6" w:space="0" w:color="000000"/>
            </w:tcBorders>
          </w:tcPr>
          <w:p w:rsidR="00E8309B" w:rsidRDefault="009D0949">
            <w:pPr>
              <w:spacing w:after="0" w:line="259" w:lineRule="auto"/>
              <w:ind w:left="8" w:right="0" w:firstLine="0"/>
              <w:jc w:val="center"/>
            </w:pPr>
            <w:r>
              <w:rPr>
                <w:sz w:val="20"/>
              </w:rPr>
              <w:t>:</w:t>
            </w:r>
            <w:r>
              <w:rPr>
                <w:sz w:val="23"/>
              </w:rPr>
              <w:t xml:space="preserve"> </w:t>
            </w:r>
          </w:p>
        </w:tc>
      </w:tr>
      <w:tr w:rsidR="00E8309B">
        <w:trPr>
          <w:trHeight w:val="293"/>
        </w:trPr>
        <w:tc>
          <w:tcPr>
            <w:tcW w:w="6759" w:type="dxa"/>
            <w:tcBorders>
              <w:top w:val="dashed" w:sz="4" w:space="0" w:color="000000"/>
              <w:left w:val="double" w:sz="6" w:space="0" w:color="000000"/>
              <w:bottom w:val="dashed" w:sz="4" w:space="0" w:color="000000"/>
              <w:right w:val="single" w:sz="4" w:space="0" w:color="000000"/>
            </w:tcBorders>
          </w:tcPr>
          <w:p w:rsidR="00E8309B" w:rsidRDefault="009D0949">
            <w:pPr>
              <w:spacing w:after="0" w:line="259" w:lineRule="auto"/>
              <w:ind w:left="0" w:right="0" w:firstLine="0"/>
              <w:jc w:val="left"/>
            </w:pPr>
            <w:r>
              <w:rPr>
                <w:sz w:val="20"/>
              </w:rPr>
              <w:t xml:space="preserve">Раст БДП-а у ЕУ </w:t>
            </w:r>
          </w:p>
        </w:tc>
        <w:tc>
          <w:tcPr>
            <w:tcW w:w="2602" w:type="dxa"/>
            <w:tcBorders>
              <w:top w:val="dashed" w:sz="4" w:space="0" w:color="000000"/>
              <w:left w:val="single" w:sz="4" w:space="0" w:color="000000"/>
              <w:bottom w:val="dashed" w:sz="4" w:space="0" w:color="000000"/>
              <w:right w:val="single" w:sz="8" w:space="0" w:color="000000"/>
            </w:tcBorders>
            <w:vAlign w:val="bottom"/>
          </w:tcPr>
          <w:p w:rsidR="00E8309B" w:rsidRDefault="009D0949">
            <w:pPr>
              <w:spacing w:after="0" w:line="259" w:lineRule="auto"/>
              <w:ind w:left="8" w:right="0" w:firstLine="0"/>
              <w:jc w:val="center"/>
            </w:pPr>
            <w:r>
              <w:rPr>
                <w:sz w:val="18"/>
              </w:rPr>
              <w:t xml:space="preserve">Год. просек </w:t>
            </w:r>
          </w:p>
        </w:tc>
        <w:tc>
          <w:tcPr>
            <w:tcW w:w="984" w:type="dxa"/>
            <w:tcBorders>
              <w:top w:val="dashed" w:sz="4" w:space="0" w:color="000000"/>
              <w:left w:val="single" w:sz="8" w:space="0" w:color="000000"/>
              <w:bottom w:val="dashed" w:sz="4" w:space="0" w:color="000000"/>
              <w:right w:val="dashed" w:sz="4" w:space="0" w:color="000000"/>
            </w:tcBorders>
          </w:tcPr>
          <w:p w:rsidR="00E8309B" w:rsidRDefault="009D0949">
            <w:pPr>
              <w:spacing w:after="0" w:line="259" w:lineRule="auto"/>
              <w:ind w:left="3" w:right="0" w:firstLine="0"/>
              <w:jc w:val="center"/>
            </w:pPr>
            <w:r>
              <w:rPr>
                <w:sz w:val="20"/>
              </w:rPr>
              <w:t xml:space="preserve">: </w:t>
            </w:r>
          </w:p>
        </w:tc>
        <w:tc>
          <w:tcPr>
            <w:tcW w:w="985"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3" w:right="0" w:firstLine="0"/>
              <w:jc w:val="center"/>
            </w:pPr>
            <w:r>
              <w:rPr>
                <w:sz w:val="20"/>
              </w:rPr>
              <w:t xml:space="preserve">: </w:t>
            </w:r>
          </w:p>
        </w:tc>
        <w:tc>
          <w:tcPr>
            <w:tcW w:w="986"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5" w:right="0" w:firstLine="0"/>
              <w:jc w:val="center"/>
            </w:pPr>
            <w:r>
              <w:rPr>
                <w:sz w:val="20"/>
              </w:rPr>
              <w:t xml:space="preserve">: </w:t>
            </w:r>
          </w:p>
        </w:tc>
        <w:tc>
          <w:tcPr>
            <w:tcW w:w="984"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3" w:right="0" w:firstLine="0"/>
              <w:jc w:val="center"/>
            </w:pPr>
            <w:r>
              <w:rPr>
                <w:sz w:val="20"/>
              </w:rPr>
              <w:t xml:space="preserve">: </w:t>
            </w:r>
          </w:p>
        </w:tc>
        <w:tc>
          <w:tcPr>
            <w:tcW w:w="989" w:type="dxa"/>
            <w:tcBorders>
              <w:top w:val="dashed" w:sz="4" w:space="0" w:color="000000"/>
              <w:left w:val="dashed" w:sz="4" w:space="0" w:color="000000"/>
              <w:bottom w:val="dashed" w:sz="4" w:space="0" w:color="000000"/>
              <w:right w:val="double" w:sz="6" w:space="0" w:color="000000"/>
            </w:tcBorders>
          </w:tcPr>
          <w:p w:rsidR="00E8309B" w:rsidRDefault="009D0949">
            <w:pPr>
              <w:spacing w:after="0" w:line="259" w:lineRule="auto"/>
              <w:ind w:left="8" w:right="0" w:firstLine="0"/>
              <w:jc w:val="center"/>
            </w:pPr>
            <w:r>
              <w:rPr>
                <w:sz w:val="20"/>
              </w:rPr>
              <w:t>:</w:t>
            </w:r>
            <w:r>
              <w:rPr>
                <w:sz w:val="23"/>
              </w:rPr>
              <w:t xml:space="preserve"> </w:t>
            </w:r>
          </w:p>
        </w:tc>
      </w:tr>
      <w:tr w:rsidR="00E8309B">
        <w:trPr>
          <w:trHeight w:val="293"/>
        </w:trPr>
        <w:tc>
          <w:tcPr>
            <w:tcW w:w="6759" w:type="dxa"/>
            <w:tcBorders>
              <w:top w:val="dashed" w:sz="4" w:space="0" w:color="000000"/>
              <w:left w:val="double" w:sz="6" w:space="0" w:color="000000"/>
              <w:bottom w:val="dashed" w:sz="4" w:space="0" w:color="000000"/>
              <w:right w:val="single" w:sz="4" w:space="0" w:color="000000"/>
            </w:tcBorders>
          </w:tcPr>
          <w:p w:rsidR="00E8309B" w:rsidRDefault="009D0949">
            <w:pPr>
              <w:spacing w:after="0" w:line="259" w:lineRule="auto"/>
              <w:ind w:left="0" w:right="0" w:firstLine="0"/>
              <w:jc w:val="left"/>
            </w:pPr>
            <w:r>
              <w:rPr>
                <w:sz w:val="20"/>
              </w:rPr>
              <w:t xml:space="preserve">Раст релевантних страних тржишта </w:t>
            </w:r>
          </w:p>
        </w:tc>
        <w:tc>
          <w:tcPr>
            <w:tcW w:w="2602" w:type="dxa"/>
            <w:tcBorders>
              <w:top w:val="dashed" w:sz="4" w:space="0" w:color="000000"/>
              <w:left w:val="single" w:sz="4" w:space="0" w:color="000000"/>
              <w:bottom w:val="dashed" w:sz="4" w:space="0" w:color="000000"/>
              <w:right w:val="single" w:sz="8" w:space="0" w:color="000000"/>
            </w:tcBorders>
            <w:vAlign w:val="bottom"/>
          </w:tcPr>
          <w:p w:rsidR="00E8309B" w:rsidRDefault="009D0949">
            <w:pPr>
              <w:spacing w:after="0" w:line="259" w:lineRule="auto"/>
              <w:ind w:left="8" w:right="0" w:firstLine="0"/>
              <w:jc w:val="center"/>
            </w:pPr>
            <w:r>
              <w:rPr>
                <w:sz w:val="18"/>
              </w:rPr>
              <w:t xml:space="preserve">Год. просек </w:t>
            </w:r>
          </w:p>
        </w:tc>
        <w:tc>
          <w:tcPr>
            <w:tcW w:w="984" w:type="dxa"/>
            <w:tcBorders>
              <w:top w:val="dashed" w:sz="4" w:space="0" w:color="000000"/>
              <w:left w:val="single" w:sz="8" w:space="0" w:color="000000"/>
              <w:bottom w:val="dashed" w:sz="4" w:space="0" w:color="000000"/>
              <w:right w:val="dashed" w:sz="4" w:space="0" w:color="000000"/>
            </w:tcBorders>
          </w:tcPr>
          <w:p w:rsidR="00E8309B" w:rsidRDefault="009D0949">
            <w:pPr>
              <w:spacing w:after="0" w:line="259" w:lineRule="auto"/>
              <w:ind w:left="3" w:right="0" w:firstLine="0"/>
              <w:jc w:val="center"/>
            </w:pPr>
            <w:r>
              <w:rPr>
                <w:sz w:val="20"/>
              </w:rPr>
              <w:t>:</w:t>
            </w:r>
            <w:r>
              <w:rPr>
                <w:sz w:val="23"/>
              </w:rPr>
              <w:t xml:space="preserve"> </w:t>
            </w:r>
          </w:p>
        </w:tc>
        <w:tc>
          <w:tcPr>
            <w:tcW w:w="985"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3" w:right="0" w:firstLine="0"/>
              <w:jc w:val="center"/>
            </w:pPr>
            <w:r>
              <w:rPr>
                <w:sz w:val="20"/>
              </w:rPr>
              <w:t>:</w:t>
            </w:r>
            <w:r>
              <w:rPr>
                <w:sz w:val="23"/>
              </w:rPr>
              <w:t xml:space="preserve"> </w:t>
            </w:r>
          </w:p>
        </w:tc>
        <w:tc>
          <w:tcPr>
            <w:tcW w:w="986"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5" w:right="0" w:firstLine="0"/>
              <w:jc w:val="center"/>
            </w:pPr>
            <w:r>
              <w:rPr>
                <w:sz w:val="20"/>
              </w:rPr>
              <w:t>:</w:t>
            </w:r>
            <w:r>
              <w:rPr>
                <w:sz w:val="23"/>
              </w:rPr>
              <w:t xml:space="preserve"> </w:t>
            </w:r>
          </w:p>
        </w:tc>
        <w:tc>
          <w:tcPr>
            <w:tcW w:w="984"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3" w:right="0" w:firstLine="0"/>
              <w:jc w:val="center"/>
            </w:pPr>
            <w:r>
              <w:rPr>
                <w:sz w:val="20"/>
              </w:rPr>
              <w:t>:</w:t>
            </w:r>
            <w:r>
              <w:rPr>
                <w:sz w:val="23"/>
              </w:rPr>
              <w:t xml:space="preserve"> </w:t>
            </w:r>
          </w:p>
        </w:tc>
        <w:tc>
          <w:tcPr>
            <w:tcW w:w="989" w:type="dxa"/>
            <w:tcBorders>
              <w:top w:val="dashed" w:sz="4" w:space="0" w:color="000000"/>
              <w:left w:val="dashed" w:sz="4" w:space="0" w:color="000000"/>
              <w:bottom w:val="dashed" w:sz="4" w:space="0" w:color="000000"/>
              <w:right w:val="double" w:sz="6" w:space="0" w:color="000000"/>
            </w:tcBorders>
          </w:tcPr>
          <w:p w:rsidR="00E8309B" w:rsidRDefault="009D0949">
            <w:pPr>
              <w:spacing w:after="0" w:line="259" w:lineRule="auto"/>
              <w:ind w:left="8" w:right="0" w:firstLine="0"/>
              <w:jc w:val="center"/>
            </w:pPr>
            <w:r>
              <w:rPr>
                <w:sz w:val="20"/>
              </w:rPr>
              <w:t>:</w:t>
            </w:r>
            <w:r>
              <w:rPr>
                <w:sz w:val="23"/>
              </w:rPr>
              <w:t xml:space="preserve"> </w:t>
            </w:r>
          </w:p>
        </w:tc>
      </w:tr>
      <w:tr w:rsidR="00E8309B">
        <w:trPr>
          <w:trHeight w:val="293"/>
        </w:trPr>
        <w:tc>
          <w:tcPr>
            <w:tcW w:w="6759" w:type="dxa"/>
            <w:tcBorders>
              <w:top w:val="dashed" w:sz="4" w:space="0" w:color="000000"/>
              <w:left w:val="double" w:sz="6" w:space="0" w:color="000000"/>
              <w:bottom w:val="dashed" w:sz="4" w:space="0" w:color="000000"/>
              <w:right w:val="single" w:sz="4" w:space="0" w:color="000000"/>
            </w:tcBorders>
          </w:tcPr>
          <w:p w:rsidR="00E8309B" w:rsidRDefault="009D0949">
            <w:pPr>
              <w:spacing w:after="0" w:line="259" w:lineRule="auto"/>
              <w:ind w:left="0" w:right="0" w:firstLine="0"/>
              <w:jc w:val="left"/>
            </w:pPr>
            <w:r>
              <w:rPr>
                <w:sz w:val="20"/>
              </w:rPr>
              <w:t xml:space="preserve">Обим светског увоза, без ЕУ </w:t>
            </w:r>
          </w:p>
        </w:tc>
        <w:tc>
          <w:tcPr>
            <w:tcW w:w="2602" w:type="dxa"/>
            <w:tcBorders>
              <w:top w:val="dashed" w:sz="4" w:space="0" w:color="000000"/>
              <w:left w:val="single" w:sz="4" w:space="0" w:color="000000"/>
              <w:bottom w:val="dashed" w:sz="4" w:space="0" w:color="000000"/>
              <w:right w:val="single" w:sz="8" w:space="0" w:color="000000"/>
            </w:tcBorders>
            <w:vAlign w:val="bottom"/>
          </w:tcPr>
          <w:p w:rsidR="00E8309B" w:rsidRDefault="009D0949">
            <w:pPr>
              <w:spacing w:after="0" w:line="259" w:lineRule="auto"/>
              <w:ind w:left="8" w:right="0" w:firstLine="0"/>
              <w:jc w:val="center"/>
            </w:pPr>
            <w:r>
              <w:rPr>
                <w:sz w:val="18"/>
              </w:rPr>
              <w:t xml:space="preserve">Год. просек </w:t>
            </w:r>
          </w:p>
        </w:tc>
        <w:tc>
          <w:tcPr>
            <w:tcW w:w="984" w:type="dxa"/>
            <w:tcBorders>
              <w:top w:val="dashed" w:sz="4" w:space="0" w:color="000000"/>
              <w:left w:val="single" w:sz="8" w:space="0" w:color="000000"/>
              <w:bottom w:val="dashed" w:sz="4" w:space="0" w:color="000000"/>
              <w:right w:val="dashed" w:sz="4" w:space="0" w:color="000000"/>
            </w:tcBorders>
          </w:tcPr>
          <w:p w:rsidR="00E8309B" w:rsidRDefault="009D0949">
            <w:pPr>
              <w:spacing w:after="0" w:line="259" w:lineRule="auto"/>
              <w:ind w:left="3" w:right="0" w:firstLine="0"/>
              <w:jc w:val="center"/>
            </w:pPr>
            <w:r>
              <w:rPr>
                <w:sz w:val="20"/>
              </w:rPr>
              <w:t xml:space="preserve">: </w:t>
            </w:r>
          </w:p>
        </w:tc>
        <w:tc>
          <w:tcPr>
            <w:tcW w:w="985"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3" w:right="0" w:firstLine="0"/>
              <w:jc w:val="center"/>
            </w:pPr>
            <w:r>
              <w:rPr>
                <w:sz w:val="20"/>
              </w:rPr>
              <w:t xml:space="preserve">: </w:t>
            </w:r>
          </w:p>
        </w:tc>
        <w:tc>
          <w:tcPr>
            <w:tcW w:w="986"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5" w:right="0" w:firstLine="0"/>
              <w:jc w:val="center"/>
            </w:pPr>
            <w:r>
              <w:rPr>
                <w:sz w:val="20"/>
              </w:rPr>
              <w:t xml:space="preserve">: </w:t>
            </w:r>
          </w:p>
        </w:tc>
        <w:tc>
          <w:tcPr>
            <w:tcW w:w="984" w:type="dxa"/>
            <w:tcBorders>
              <w:top w:val="dashed" w:sz="4" w:space="0" w:color="000000"/>
              <w:left w:val="dashed" w:sz="4" w:space="0" w:color="000000"/>
              <w:bottom w:val="dashed" w:sz="4" w:space="0" w:color="000000"/>
              <w:right w:val="dashed" w:sz="4" w:space="0" w:color="000000"/>
            </w:tcBorders>
          </w:tcPr>
          <w:p w:rsidR="00E8309B" w:rsidRDefault="009D0949">
            <w:pPr>
              <w:spacing w:after="0" w:line="259" w:lineRule="auto"/>
              <w:ind w:left="3" w:right="0" w:firstLine="0"/>
              <w:jc w:val="center"/>
            </w:pPr>
            <w:r>
              <w:rPr>
                <w:sz w:val="20"/>
              </w:rPr>
              <w:t xml:space="preserve">: </w:t>
            </w:r>
          </w:p>
        </w:tc>
        <w:tc>
          <w:tcPr>
            <w:tcW w:w="989" w:type="dxa"/>
            <w:tcBorders>
              <w:top w:val="dashed" w:sz="4" w:space="0" w:color="000000"/>
              <w:left w:val="dashed" w:sz="4" w:space="0" w:color="000000"/>
              <w:bottom w:val="dashed" w:sz="4" w:space="0" w:color="000000"/>
              <w:right w:val="double" w:sz="6" w:space="0" w:color="000000"/>
            </w:tcBorders>
          </w:tcPr>
          <w:p w:rsidR="00E8309B" w:rsidRDefault="009D0949">
            <w:pPr>
              <w:spacing w:after="0" w:line="259" w:lineRule="auto"/>
              <w:ind w:left="8" w:right="0" w:firstLine="0"/>
              <w:jc w:val="center"/>
            </w:pPr>
            <w:r>
              <w:rPr>
                <w:sz w:val="20"/>
              </w:rPr>
              <w:t>:</w:t>
            </w:r>
            <w:r>
              <w:rPr>
                <w:sz w:val="23"/>
              </w:rPr>
              <w:t xml:space="preserve"> </w:t>
            </w:r>
          </w:p>
        </w:tc>
      </w:tr>
      <w:tr w:rsidR="00E8309B">
        <w:trPr>
          <w:trHeight w:val="312"/>
        </w:trPr>
        <w:tc>
          <w:tcPr>
            <w:tcW w:w="6759" w:type="dxa"/>
            <w:tcBorders>
              <w:top w:val="dashed" w:sz="4" w:space="0" w:color="000000"/>
              <w:left w:val="double" w:sz="6" w:space="0" w:color="000000"/>
              <w:bottom w:val="double" w:sz="6" w:space="0" w:color="000000"/>
              <w:right w:val="single" w:sz="4" w:space="0" w:color="000000"/>
            </w:tcBorders>
          </w:tcPr>
          <w:p w:rsidR="00E8309B" w:rsidRDefault="009D0949">
            <w:pPr>
              <w:spacing w:after="0" w:line="259" w:lineRule="auto"/>
              <w:ind w:left="0" w:right="0" w:firstLine="0"/>
              <w:jc w:val="left"/>
            </w:pPr>
            <w:r>
              <w:rPr>
                <w:sz w:val="20"/>
              </w:rPr>
              <w:t xml:space="preserve">Цене нафте (Брент, USD/барел) </w:t>
            </w:r>
          </w:p>
        </w:tc>
        <w:tc>
          <w:tcPr>
            <w:tcW w:w="2602" w:type="dxa"/>
            <w:tcBorders>
              <w:top w:val="dashed" w:sz="4" w:space="0" w:color="000000"/>
              <w:left w:val="single" w:sz="4" w:space="0" w:color="000000"/>
              <w:bottom w:val="double" w:sz="6" w:space="0" w:color="000000"/>
              <w:right w:val="single" w:sz="8" w:space="0" w:color="000000"/>
            </w:tcBorders>
          </w:tcPr>
          <w:p w:rsidR="00E8309B" w:rsidRDefault="009D0949">
            <w:pPr>
              <w:spacing w:after="0" w:line="259" w:lineRule="auto"/>
              <w:ind w:left="8" w:right="0" w:firstLine="0"/>
              <w:jc w:val="center"/>
            </w:pPr>
            <w:r>
              <w:rPr>
                <w:sz w:val="18"/>
              </w:rPr>
              <w:t xml:space="preserve">Год. просек </w:t>
            </w:r>
          </w:p>
        </w:tc>
        <w:tc>
          <w:tcPr>
            <w:tcW w:w="984" w:type="dxa"/>
            <w:tcBorders>
              <w:top w:val="dashed" w:sz="4" w:space="0" w:color="000000"/>
              <w:left w:val="single" w:sz="8" w:space="0" w:color="000000"/>
              <w:bottom w:val="double" w:sz="6" w:space="0" w:color="000000"/>
              <w:right w:val="dashed" w:sz="4" w:space="0" w:color="000000"/>
            </w:tcBorders>
          </w:tcPr>
          <w:p w:rsidR="00E8309B" w:rsidRDefault="009D0949">
            <w:pPr>
              <w:spacing w:after="0" w:line="259" w:lineRule="auto"/>
              <w:ind w:left="3" w:right="0" w:firstLine="0"/>
              <w:jc w:val="center"/>
            </w:pPr>
            <w:r>
              <w:rPr>
                <w:sz w:val="20"/>
              </w:rPr>
              <w:t xml:space="preserve">: </w:t>
            </w:r>
          </w:p>
        </w:tc>
        <w:tc>
          <w:tcPr>
            <w:tcW w:w="985" w:type="dxa"/>
            <w:tcBorders>
              <w:top w:val="dashed" w:sz="4" w:space="0" w:color="000000"/>
              <w:left w:val="dashed" w:sz="4" w:space="0" w:color="000000"/>
              <w:bottom w:val="double" w:sz="6" w:space="0" w:color="000000"/>
              <w:right w:val="dashed" w:sz="4" w:space="0" w:color="000000"/>
            </w:tcBorders>
          </w:tcPr>
          <w:p w:rsidR="00E8309B" w:rsidRDefault="009D0949">
            <w:pPr>
              <w:spacing w:after="0" w:line="259" w:lineRule="auto"/>
              <w:ind w:left="3" w:right="0" w:firstLine="0"/>
              <w:jc w:val="center"/>
            </w:pPr>
            <w:r>
              <w:rPr>
                <w:sz w:val="20"/>
              </w:rPr>
              <w:t xml:space="preserve">: </w:t>
            </w:r>
          </w:p>
        </w:tc>
        <w:tc>
          <w:tcPr>
            <w:tcW w:w="986" w:type="dxa"/>
            <w:tcBorders>
              <w:top w:val="dashed" w:sz="4" w:space="0" w:color="000000"/>
              <w:left w:val="dashed" w:sz="4" w:space="0" w:color="000000"/>
              <w:bottom w:val="double" w:sz="6" w:space="0" w:color="000000"/>
              <w:right w:val="dashed" w:sz="4" w:space="0" w:color="000000"/>
            </w:tcBorders>
          </w:tcPr>
          <w:p w:rsidR="00E8309B" w:rsidRDefault="009D0949">
            <w:pPr>
              <w:spacing w:after="0" w:line="259" w:lineRule="auto"/>
              <w:ind w:left="5" w:right="0" w:firstLine="0"/>
              <w:jc w:val="center"/>
            </w:pPr>
            <w:r>
              <w:rPr>
                <w:sz w:val="20"/>
              </w:rPr>
              <w:t xml:space="preserve">: </w:t>
            </w:r>
          </w:p>
        </w:tc>
        <w:tc>
          <w:tcPr>
            <w:tcW w:w="984" w:type="dxa"/>
            <w:tcBorders>
              <w:top w:val="dashed" w:sz="4" w:space="0" w:color="000000"/>
              <w:left w:val="dashed" w:sz="4" w:space="0" w:color="000000"/>
              <w:bottom w:val="double" w:sz="6" w:space="0" w:color="000000"/>
              <w:right w:val="dashed" w:sz="4" w:space="0" w:color="000000"/>
            </w:tcBorders>
          </w:tcPr>
          <w:p w:rsidR="00E8309B" w:rsidRDefault="009D0949">
            <w:pPr>
              <w:spacing w:after="0" w:line="259" w:lineRule="auto"/>
              <w:ind w:left="3" w:right="0" w:firstLine="0"/>
              <w:jc w:val="center"/>
            </w:pPr>
            <w:r>
              <w:rPr>
                <w:sz w:val="20"/>
              </w:rPr>
              <w:t xml:space="preserve">: </w:t>
            </w:r>
          </w:p>
        </w:tc>
        <w:tc>
          <w:tcPr>
            <w:tcW w:w="989" w:type="dxa"/>
            <w:tcBorders>
              <w:top w:val="dashed" w:sz="4" w:space="0" w:color="000000"/>
              <w:left w:val="dashed" w:sz="4" w:space="0" w:color="000000"/>
              <w:bottom w:val="double" w:sz="6" w:space="0" w:color="000000"/>
              <w:right w:val="double" w:sz="6" w:space="0" w:color="000000"/>
            </w:tcBorders>
          </w:tcPr>
          <w:p w:rsidR="00E8309B" w:rsidRDefault="009D0949">
            <w:pPr>
              <w:spacing w:after="0" w:line="259" w:lineRule="auto"/>
              <w:ind w:left="8" w:right="0" w:firstLine="0"/>
              <w:jc w:val="center"/>
            </w:pPr>
            <w:r>
              <w:rPr>
                <w:sz w:val="20"/>
              </w:rPr>
              <w:t>:</w:t>
            </w:r>
            <w:r>
              <w:rPr>
                <w:sz w:val="23"/>
              </w:rPr>
              <w:t xml:space="preserve"> </w:t>
            </w:r>
          </w:p>
        </w:tc>
      </w:tr>
    </w:tbl>
    <w:p w:rsidR="00E8309B" w:rsidRDefault="009D0949">
      <w:pPr>
        <w:tabs>
          <w:tab w:val="center" w:pos="6870"/>
          <w:tab w:val="center" w:pos="8476"/>
          <w:tab w:val="center" w:pos="9469"/>
          <w:tab w:val="center" w:pos="10464"/>
          <w:tab w:val="center" w:pos="11481"/>
          <w:tab w:val="center" w:pos="12453"/>
          <w:tab w:val="center" w:pos="13425"/>
          <w:tab w:val="center" w:pos="14398"/>
        </w:tabs>
        <w:spacing w:after="13" w:line="269" w:lineRule="auto"/>
        <w:ind w:left="0" w:right="0" w:firstLine="0"/>
        <w:jc w:val="left"/>
      </w:pPr>
      <w:r>
        <w:rPr>
          <w:sz w:val="20"/>
        </w:rPr>
        <w:t xml:space="preserve">[1] Уколико је потребно, само техничка претпоставка. </w:t>
      </w:r>
      <w:r>
        <w:rPr>
          <w:sz w:val="20"/>
        </w:rPr>
        <w:tab/>
      </w:r>
      <w:r>
        <w:rPr>
          <w:sz w:val="25"/>
          <w:vertAlign w:val="subscript"/>
        </w:rPr>
        <w:t xml:space="preserve"> </w:t>
      </w:r>
      <w:r>
        <w:rPr>
          <w:sz w:val="16"/>
        </w:rPr>
        <w:t xml:space="preserve"> </w:t>
      </w:r>
      <w:r>
        <w:rPr>
          <w:sz w:val="16"/>
        </w:rPr>
        <w:tab/>
      </w:r>
      <w:r>
        <w:rPr>
          <w:sz w:val="20"/>
        </w:rPr>
        <w:t xml:space="preserve">  </w:t>
      </w:r>
      <w:r>
        <w:rPr>
          <w:sz w:val="20"/>
        </w:rPr>
        <w:tab/>
        <w:t xml:space="preserve">  </w:t>
      </w:r>
      <w:r>
        <w:rPr>
          <w:sz w:val="20"/>
        </w:rPr>
        <w:tab/>
        <w:t xml:space="preserve">  </w:t>
      </w:r>
      <w:r>
        <w:rPr>
          <w:sz w:val="20"/>
        </w:rPr>
        <w:tab/>
        <w:t xml:space="preserve">  </w:t>
      </w:r>
      <w:r>
        <w:rPr>
          <w:sz w:val="20"/>
        </w:rPr>
        <w:tab/>
        <w:t xml:space="preserve">  </w:t>
      </w:r>
      <w:r>
        <w:rPr>
          <w:sz w:val="20"/>
        </w:rPr>
        <w:tab/>
        <w:t xml:space="preserve">  </w:t>
      </w:r>
      <w:r>
        <w:rPr>
          <w:sz w:val="20"/>
        </w:rPr>
        <w:tab/>
      </w:r>
      <w:r>
        <w:rPr>
          <w:b/>
        </w:rPr>
        <w:t xml:space="preserve">  </w:t>
      </w:r>
    </w:p>
    <w:p w:rsidR="00E8309B" w:rsidRDefault="009D0949">
      <w:pPr>
        <w:spacing w:after="238" w:line="259" w:lineRule="auto"/>
        <w:ind w:left="0" w:right="0" w:firstLine="0"/>
        <w:jc w:val="left"/>
      </w:pPr>
      <w:r>
        <w:rPr>
          <w:sz w:val="16"/>
        </w:rPr>
        <w:t xml:space="preserve"> </w:t>
      </w:r>
    </w:p>
    <w:p w:rsidR="00E8309B" w:rsidRDefault="009D0949">
      <w:pPr>
        <w:spacing w:after="0" w:line="259" w:lineRule="auto"/>
        <w:ind w:left="0" w:right="0" w:firstLine="0"/>
        <w:jc w:val="left"/>
      </w:pPr>
      <w:r>
        <w:rPr>
          <w:b/>
        </w:rPr>
        <w:t xml:space="preserve"> </w:t>
      </w:r>
    </w:p>
    <w:p w:rsidR="00E8309B" w:rsidRDefault="00E8309B">
      <w:pPr>
        <w:sectPr w:rsidR="00E8309B">
          <w:headerReference w:type="even" r:id="rId227"/>
          <w:headerReference w:type="default" r:id="rId228"/>
          <w:footerReference w:type="even" r:id="rId229"/>
          <w:footerReference w:type="default" r:id="rId230"/>
          <w:headerReference w:type="first" r:id="rId231"/>
          <w:footerReference w:type="first" r:id="rId232"/>
          <w:pgSz w:w="16838" w:h="11906" w:orient="landscape"/>
          <w:pgMar w:top="968" w:right="1183" w:bottom="1164" w:left="1133" w:header="720" w:footer="720" w:gutter="0"/>
          <w:cols w:space="720"/>
          <w:titlePg/>
        </w:sectPr>
      </w:pPr>
    </w:p>
    <w:p w:rsidR="00E8309B" w:rsidRDefault="009D0949">
      <w:pPr>
        <w:pStyle w:val="Heading1"/>
        <w:numPr>
          <w:ilvl w:val="0"/>
          <w:numId w:val="0"/>
        </w:numPr>
        <w:spacing w:after="0" w:line="259" w:lineRule="auto"/>
      </w:pPr>
      <w:r>
        <w:rPr>
          <w:sz w:val="20"/>
        </w:rPr>
        <w:t xml:space="preserve">Табела 9: Изабрани индикатори запослености и социјалне политике </w:t>
      </w:r>
    </w:p>
    <w:tbl>
      <w:tblPr>
        <w:tblStyle w:val="TableGrid"/>
        <w:tblW w:w="9631" w:type="dxa"/>
        <w:tblInd w:w="5" w:type="dxa"/>
        <w:tblCellMar>
          <w:top w:w="0" w:type="dxa"/>
          <w:left w:w="108" w:type="dxa"/>
          <w:bottom w:w="0" w:type="dxa"/>
          <w:right w:w="58" w:type="dxa"/>
        </w:tblCellMar>
        <w:tblLook w:val="04A0" w:firstRow="1" w:lastRow="0" w:firstColumn="1" w:lastColumn="0" w:noHBand="0" w:noVBand="1"/>
      </w:tblPr>
      <w:tblGrid>
        <w:gridCol w:w="3965"/>
        <w:gridCol w:w="1342"/>
        <w:gridCol w:w="900"/>
        <w:gridCol w:w="900"/>
        <w:gridCol w:w="989"/>
        <w:gridCol w:w="814"/>
        <w:gridCol w:w="720"/>
      </w:tblGrid>
      <w:tr w:rsidR="00E8309B">
        <w:trPr>
          <w:trHeight w:val="490"/>
        </w:trPr>
        <w:tc>
          <w:tcPr>
            <w:tcW w:w="3965"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2" w:right="0" w:firstLine="0"/>
              <w:jc w:val="left"/>
            </w:pPr>
            <w:r>
              <w:rPr>
                <w:sz w:val="18"/>
              </w:rPr>
              <w:t xml:space="preserve">  </w:t>
            </w:r>
          </w:p>
        </w:tc>
        <w:tc>
          <w:tcPr>
            <w:tcW w:w="1342"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0" w:firstLine="0"/>
              <w:jc w:val="center"/>
            </w:pPr>
            <w:r>
              <w:rPr>
                <w:b/>
                <w:sz w:val="18"/>
              </w:rPr>
              <w:t xml:space="preserve">Извор података </w:t>
            </w:r>
          </w:p>
        </w:tc>
        <w:tc>
          <w:tcPr>
            <w:tcW w:w="900"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0" w:right="51" w:firstLine="0"/>
              <w:jc w:val="center"/>
            </w:pPr>
            <w:r>
              <w:rPr>
                <w:b/>
                <w:sz w:val="18"/>
              </w:rPr>
              <w:t xml:space="preserve">2015 </w:t>
            </w:r>
          </w:p>
        </w:tc>
        <w:tc>
          <w:tcPr>
            <w:tcW w:w="900"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0" w:right="51" w:firstLine="0"/>
              <w:jc w:val="center"/>
            </w:pPr>
            <w:r>
              <w:rPr>
                <w:b/>
                <w:sz w:val="18"/>
              </w:rPr>
              <w:t xml:space="preserve">2016 </w:t>
            </w:r>
          </w:p>
        </w:tc>
        <w:tc>
          <w:tcPr>
            <w:tcW w:w="989"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0" w:right="48" w:firstLine="0"/>
              <w:jc w:val="center"/>
            </w:pPr>
            <w:r>
              <w:rPr>
                <w:b/>
                <w:sz w:val="18"/>
              </w:rPr>
              <w:t xml:space="preserve">2017 </w:t>
            </w:r>
          </w:p>
        </w:tc>
        <w:tc>
          <w:tcPr>
            <w:tcW w:w="814"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0" w:right="51" w:firstLine="0"/>
              <w:jc w:val="center"/>
            </w:pPr>
            <w:r>
              <w:rPr>
                <w:b/>
                <w:sz w:val="18"/>
              </w:rPr>
              <w:t xml:space="preserve">2018 </w:t>
            </w:r>
          </w:p>
        </w:tc>
        <w:tc>
          <w:tcPr>
            <w:tcW w:w="720"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0" w:right="49" w:firstLine="0"/>
              <w:jc w:val="center"/>
            </w:pPr>
            <w:r>
              <w:rPr>
                <w:b/>
                <w:sz w:val="18"/>
              </w:rPr>
              <w:t xml:space="preserve">2019 </w:t>
            </w:r>
          </w:p>
        </w:tc>
      </w:tr>
      <w:tr w:rsidR="00E8309B">
        <w:trPr>
          <w:trHeight w:val="425"/>
        </w:trPr>
        <w:tc>
          <w:tcPr>
            <w:tcW w:w="3965"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2" w:right="0" w:firstLine="0"/>
              <w:jc w:val="left"/>
            </w:pPr>
            <w:r>
              <w:rPr>
                <w:sz w:val="18"/>
              </w:rPr>
              <w:t xml:space="preserve">1. Стопа активности на тржишту рада (%), укупна (20-64 год.) </w:t>
            </w:r>
          </w:p>
        </w:tc>
        <w:tc>
          <w:tcPr>
            <w:tcW w:w="1342"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0" w:firstLine="0"/>
              <w:jc w:val="center"/>
            </w:pPr>
            <w:r>
              <w:rPr>
                <w:sz w:val="18"/>
              </w:rPr>
              <w:t xml:space="preserve">АРС - Анкета о радној снази </w:t>
            </w:r>
          </w:p>
        </w:tc>
        <w:tc>
          <w:tcPr>
            <w:tcW w:w="900"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0" w:right="49" w:firstLine="0"/>
              <w:jc w:val="right"/>
            </w:pPr>
            <w:r>
              <w:rPr>
                <w:sz w:val="20"/>
              </w:rPr>
              <w:t xml:space="preserve">68,0 </w:t>
            </w:r>
          </w:p>
        </w:tc>
        <w:tc>
          <w:tcPr>
            <w:tcW w:w="900"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0" w:right="49" w:firstLine="0"/>
              <w:jc w:val="right"/>
            </w:pPr>
            <w:r>
              <w:rPr>
                <w:sz w:val="20"/>
              </w:rPr>
              <w:t xml:space="preserve">70,0 </w:t>
            </w:r>
          </w:p>
        </w:tc>
        <w:tc>
          <w:tcPr>
            <w:tcW w:w="989"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0" w:right="49" w:firstLine="0"/>
              <w:jc w:val="right"/>
            </w:pPr>
            <w:r>
              <w:rPr>
                <w:sz w:val="20"/>
              </w:rPr>
              <w:t xml:space="preserve">71,2 </w:t>
            </w:r>
          </w:p>
        </w:tc>
        <w:tc>
          <w:tcPr>
            <w:tcW w:w="814"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0" w:right="49" w:firstLine="0"/>
              <w:jc w:val="right"/>
            </w:pPr>
            <w:r>
              <w:rPr>
                <w:sz w:val="20"/>
              </w:rPr>
              <w:t xml:space="preserve">72,5 </w:t>
            </w:r>
          </w:p>
        </w:tc>
        <w:tc>
          <w:tcPr>
            <w:tcW w:w="720"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0" w:right="49" w:firstLine="0"/>
              <w:jc w:val="right"/>
            </w:pPr>
            <w:r>
              <w:rPr>
                <w:sz w:val="20"/>
              </w:rPr>
              <w:t xml:space="preserve">72,9 </w:t>
            </w:r>
          </w:p>
        </w:tc>
      </w:tr>
      <w:tr w:rsidR="00E8309B">
        <w:trPr>
          <w:trHeight w:val="310"/>
        </w:trPr>
        <w:tc>
          <w:tcPr>
            <w:tcW w:w="3965"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2" w:right="0" w:firstLine="0"/>
              <w:jc w:val="left"/>
            </w:pPr>
            <w:r>
              <w:rPr>
                <w:sz w:val="18"/>
              </w:rPr>
              <w:t xml:space="preserve">- мушкарци </w:t>
            </w:r>
          </w:p>
        </w:tc>
        <w:tc>
          <w:tcPr>
            <w:tcW w:w="1342"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53" w:firstLine="0"/>
              <w:jc w:val="center"/>
            </w:pPr>
            <w:r>
              <w:rPr>
                <w:sz w:val="18"/>
              </w:rPr>
              <w:t xml:space="preserve">АРС </w:t>
            </w:r>
          </w:p>
        </w:tc>
        <w:tc>
          <w:tcPr>
            <w:tcW w:w="900"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49" w:firstLine="0"/>
              <w:jc w:val="right"/>
            </w:pPr>
            <w:r>
              <w:rPr>
                <w:sz w:val="20"/>
              </w:rPr>
              <w:t xml:space="preserve">76,6 </w:t>
            </w:r>
          </w:p>
        </w:tc>
        <w:tc>
          <w:tcPr>
            <w:tcW w:w="900"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49" w:firstLine="0"/>
              <w:jc w:val="right"/>
            </w:pPr>
            <w:r>
              <w:rPr>
                <w:sz w:val="20"/>
              </w:rPr>
              <w:t xml:space="preserve">78,0 </w:t>
            </w:r>
          </w:p>
        </w:tc>
        <w:tc>
          <w:tcPr>
            <w:tcW w:w="989"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49" w:firstLine="0"/>
              <w:jc w:val="right"/>
            </w:pPr>
            <w:r>
              <w:rPr>
                <w:sz w:val="20"/>
              </w:rPr>
              <w:t xml:space="preserve">78,8 </w:t>
            </w:r>
          </w:p>
        </w:tc>
        <w:tc>
          <w:tcPr>
            <w:tcW w:w="814"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49" w:firstLine="0"/>
              <w:jc w:val="right"/>
            </w:pPr>
            <w:r>
              <w:rPr>
                <w:sz w:val="20"/>
              </w:rPr>
              <w:t xml:space="preserve">80,2 </w:t>
            </w:r>
          </w:p>
        </w:tc>
        <w:tc>
          <w:tcPr>
            <w:tcW w:w="720"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49" w:firstLine="0"/>
              <w:jc w:val="right"/>
            </w:pPr>
            <w:r>
              <w:rPr>
                <w:sz w:val="20"/>
              </w:rPr>
              <w:t xml:space="preserve">80,1 </w:t>
            </w:r>
          </w:p>
        </w:tc>
      </w:tr>
      <w:tr w:rsidR="00E8309B">
        <w:trPr>
          <w:trHeight w:val="310"/>
        </w:trPr>
        <w:tc>
          <w:tcPr>
            <w:tcW w:w="3965"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2" w:right="0" w:firstLine="0"/>
              <w:jc w:val="left"/>
            </w:pPr>
            <w:r>
              <w:rPr>
                <w:sz w:val="18"/>
              </w:rPr>
              <w:t xml:space="preserve">- жене </w:t>
            </w:r>
          </w:p>
        </w:tc>
        <w:tc>
          <w:tcPr>
            <w:tcW w:w="1342"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53" w:firstLine="0"/>
              <w:jc w:val="center"/>
            </w:pPr>
            <w:r>
              <w:rPr>
                <w:sz w:val="18"/>
              </w:rPr>
              <w:t xml:space="preserve">АРС </w:t>
            </w:r>
          </w:p>
        </w:tc>
        <w:tc>
          <w:tcPr>
            <w:tcW w:w="900"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49" w:firstLine="0"/>
              <w:jc w:val="right"/>
            </w:pPr>
            <w:r>
              <w:rPr>
                <w:sz w:val="20"/>
              </w:rPr>
              <w:t xml:space="preserve">59,4 </w:t>
            </w:r>
          </w:p>
        </w:tc>
        <w:tc>
          <w:tcPr>
            <w:tcW w:w="900"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49" w:firstLine="0"/>
              <w:jc w:val="right"/>
            </w:pPr>
            <w:r>
              <w:rPr>
                <w:sz w:val="20"/>
              </w:rPr>
              <w:t xml:space="preserve">62,0 </w:t>
            </w:r>
          </w:p>
        </w:tc>
        <w:tc>
          <w:tcPr>
            <w:tcW w:w="989"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49" w:firstLine="0"/>
              <w:jc w:val="right"/>
            </w:pPr>
            <w:r>
              <w:rPr>
                <w:sz w:val="20"/>
              </w:rPr>
              <w:t xml:space="preserve">63,6 </w:t>
            </w:r>
          </w:p>
        </w:tc>
        <w:tc>
          <w:tcPr>
            <w:tcW w:w="814"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49" w:firstLine="0"/>
              <w:jc w:val="right"/>
            </w:pPr>
            <w:r>
              <w:rPr>
                <w:sz w:val="20"/>
              </w:rPr>
              <w:t xml:space="preserve">64,8 </w:t>
            </w:r>
          </w:p>
        </w:tc>
        <w:tc>
          <w:tcPr>
            <w:tcW w:w="720"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49" w:firstLine="0"/>
              <w:jc w:val="right"/>
            </w:pPr>
            <w:r>
              <w:rPr>
                <w:sz w:val="20"/>
              </w:rPr>
              <w:t xml:space="preserve">65,6 </w:t>
            </w:r>
          </w:p>
        </w:tc>
      </w:tr>
      <w:tr w:rsidR="00E8309B">
        <w:trPr>
          <w:trHeight w:val="310"/>
        </w:trPr>
        <w:tc>
          <w:tcPr>
            <w:tcW w:w="3965"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2" w:right="0" w:firstLine="0"/>
              <w:jc w:val="left"/>
            </w:pPr>
            <w:r>
              <w:rPr>
                <w:sz w:val="18"/>
              </w:rPr>
              <w:t xml:space="preserve">2. Стопа запослености (%), укупна (20-64 год.) </w:t>
            </w:r>
          </w:p>
        </w:tc>
        <w:tc>
          <w:tcPr>
            <w:tcW w:w="1342"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53" w:firstLine="0"/>
              <w:jc w:val="center"/>
            </w:pPr>
            <w:r>
              <w:rPr>
                <w:sz w:val="18"/>
              </w:rPr>
              <w:t xml:space="preserve">АРС </w:t>
            </w:r>
          </w:p>
        </w:tc>
        <w:tc>
          <w:tcPr>
            <w:tcW w:w="900"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49" w:firstLine="0"/>
              <w:jc w:val="right"/>
            </w:pPr>
            <w:r>
              <w:rPr>
                <w:sz w:val="20"/>
              </w:rPr>
              <w:t xml:space="preserve">55,9 </w:t>
            </w:r>
          </w:p>
        </w:tc>
        <w:tc>
          <w:tcPr>
            <w:tcW w:w="900"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49" w:firstLine="0"/>
              <w:jc w:val="right"/>
            </w:pPr>
            <w:r>
              <w:rPr>
                <w:sz w:val="20"/>
              </w:rPr>
              <w:t xml:space="preserve">59,1 </w:t>
            </w:r>
          </w:p>
        </w:tc>
        <w:tc>
          <w:tcPr>
            <w:tcW w:w="989"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49" w:firstLine="0"/>
              <w:jc w:val="right"/>
            </w:pPr>
            <w:r>
              <w:rPr>
                <w:sz w:val="20"/>
              </w:rPr>
              <w:t xml:space="preserve">61,4 </w:t>
            </w:r>
          </w:p>
        </w:tc>
        <w:tc>
          <w:tcPr>
            <w:tcW w:w="814"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49" w:firstLine="0"/>
              <w:jc w:val="right"/>
            </w:pPr>
            <w:r>
              <w:rPr>
                <w:sz w:val="20"/>
              </w:rPr>
              <w:t xml:space="preserve">63,1 </w:t>
            </w:r>
          </w:p>
        </w:tc>
        <w:tc>
          <w:tcPr>
            <w:tcW w:w="720"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49" w:firstLine="0"/>
              <w:jc w:val="right"/>
            </w:pPr>
            <w:r>
              <w:rPr>
                <w:sz w:val="20"/>
              </w:rPr>
              <w:t xml:space="preserve">65,1 </w:t>
            </w:r>
          </w:p>
        </w:tc>
      </w:tr>
      <w:tr w:rsidR="00E8309B">
        <w:trPr>
          <w:trHeight w:val="310"/>
        </w:trPr>
        <w:tc>
          <w:tcPr>
            <w:tcW w:w="3965"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2" w:right="0" w:firstLine="0"/>
              <w:jc w:val="left"/>
            </w:pPr>
            <w:r>
              <w:rPr>
                <w:sz w:val="18"/>
              </w:rPr>
              <w:t xml:space="preserve">- мушкарци </w:t>
            </w:r>
          </w:p>
        </w:tc>
        <w:tc>
          <w:tcPr>
            <w:tcW w:w="1342"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53" w:firstLine="0"/>
              <w:jc w:val="center"/>
            </w:pPr>
            <w:r>
              <w:rPr>
                <w:sz w:val="18"/>
              </w:rPr>
              <w:t xml:space="preserve">АРС </w:t>
            </w:r>
          </w:p>
        </w:tc>
        <w:tc>
          <w:tcPr>
            <w:tcW w:w="900"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49" w:firstLine="0"/>
              <w:jc w:val="right"/>
            </w:pPr>
            <w:r>
              <w:rPr>
                <w:sz w:val="20"/>
              </w:rPr>
              <w:t xml:space="preserve">63,6 </w:t>
            </w:r>
          </w:p>
        </w:tc>
        <w:tc>
          <w:tcPr>
            <w:tcW w:w="900"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49" w:firstLine="0"/>
              <w:jc w:val="right"/>
            </w:pPr>
            <w:r>
              <w:rPr>
                <w:sz w:val="20"/>
              </w:rPr>
              <w:t xml:space="preserve">66,3 </w:t>
            </w:r>
          </w:p>
        </w:tc>
        <w:tc>
          <w:tcPr>
            <w:tcW w:w="989"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49" w:firstLine="0"/>
              <w:jc w:val="right"/>
            </w:pPr>
            <w:r>
              <w:rPr>
                <w:sz w:val="20"/>
              </w:rPr>
              <w:t xml:space="preserve">68,5 </w:t>
            </w:r>
          </w:p>
        </w:tc>
        <w:tc>
          <w:tcPr>
            <w:tcW w:w="814"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49" w:firstLine="0"/>
              <w:jc w:val="right"/>
            </w:pPr>
            <w:r>
              <w:rPr>
                <w:sz w:val="20"/>
              </w:rPr>
              <w:t xml:space="preserve">70,5 </w:t>
            </w:r>
          </w:p>
        </w:tc>
        <w:tc>
          <w:tcPr>
            <w:tcW w:w="720"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49" w:firstLine="0"/>
              <w:jc w:val="right"/>
            </w:pPr>
            <w:r>
              <w:rPr>
                <w:sz w:val="20"/>
              </w:rPr>
              <w:t xml:space="preserve">72,1 </w:t>
            </w:r>
          </w:p>
        </w:tc>
      </w:tr>
      <w:tr w:rsidR="00E8309B">
        <w:trPr>
          <w:trHeight w:val="312"/>
        </w:trPr>
        <w:tc>
          <w:tcPr>
            <w:tcW w:w="3965"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2" w:right="0" w:firstLine="0"/>
              <w:jc w:val="left"/>
            </w:pPr>
            <w:r>
              <w:rPr>
                <w:sz w:val="18"/>
              </w:rPr>
              <w:t xml:space="preserve">- жене </w:t>
            </w:r>
          </w:p>
        </w:tc>
        <w:tc>
          <w:tcPr>
            <w:tcW w:w="1342"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53" w:firstLine="0"/>
              <w:jc w:val="center"/>
            </w:pPr>
            <w:r>
              <w:rPr>
                <w:sz w:val="18"/>
              </w:rPr>
              <w:t xml:space="preserve">АРС </w:t>
            </w:r>
          </w:p>
        </w:tc>
        <w:tc>
          <w:tcPr>
            <w:tcW w:w="900"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49" w:firstLine="0"/>
              <w:jc w:val="right"/>
            </w:pPr>
            <w:r>
              <w:rPr>
                <w:sz w:val="20"/>
              </w:rPr>
              <w:t xml:space="preserve">48,2 </w:t>
            </w:r>
          </w:p>
        </w:tc>
        <w:tc>
          <w:tcPr>
            <w:tcW w:w="900"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49" w:firstLine="0"/>
              <w:jc w:val="right"/>
            </w:pPr>
            <w:r>
              <w:rPr>
                <w:sz w:val="20"/>
              </w:rPr>
              <w:t xml:space="preserve">51,9 </w:t>
            </w:r>
          </w:p>
        </w:tc>
        <w:tc>
          <w:tcPr>
            <w:tcW w:w="989"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49" w:firstLine="0"/>
              <w:jc w:val="right"/>
            </w:pPr>
            <w:r>
              <w:rPr>
                <w:sz w:val="20"/>
              </w:rPr>
              <w:t xml:space="preserve">54,4 </w:t>
            </w:r>
          </w:p>
        </w:tc>
        <w:tc>
          <w:tcPr>
            <w:tcW w:w="814"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49" w:firstLine="0"/>
              <w:jc w:val="right"/>
            </w:pPr>
            <w:r>
              <w:rPr>
                <w:sz w:val="20"/>
              </w:rPr>
              <w:t xml:space="preserve">55,8 </w:t>
            </w:r>
          </w:p>
        </w:tc>
        <w:tc>
          <w:tcPr>
            <w:tcW w:w="720"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49" w:firstLine="0"/>
              <w:jc w:val="right"/>
            </w:pPr>
            <w:r>
              <w:rPr>
                <w:sz w:val="20"/>
              </w:rPr>
              <w:t xml:space="preserve">58,2 </w:t>
            </w:r>
          </w:p>
        </w:tc>
      </w:tr>
      <w:tr w:rsidR="00E8309B">
        <w:trPr>
          <w:trHeight w:val="310"/>
        </w:trPr>
        <w:tc>
          <w:tcPr>
            <w:tcW w:w="3965"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2" w:right="0" w:firstLine="0"/>
              <w:jc w:val="left"/>
            </w:pPr>
            <w:r>
              <w:rPr>
                <w:sz w:val="18"/>
              </w:rPr>
              <w:t xml:space="preserve">3. Стопа незапослености (%), укупна (15+) </w:t>
            </w:r>
          </w:p>
        </w:tc>
        <w:tc>
          <w:tcPr>
            <w:tcW w:w="1342"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53" w:firstLine="0"/>
              <w:jc w:val="center"/>
            </w:pPr>
            <w:r>
              <w:rPr>
                <w:sz w:val="18"/>
              </w:rPr>
              <w:t xml:space="preserve">АРС </w:t>
            </w:r>
          </w:p>
        </w:tc>
        <w:tc>
          <w:tcPr>
            <w:tcW w:w="900"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49" w:firstLine="0"/>
              <w:jc w:val="right"/>
            </w:pPr>
            <w:r>
              <w:rPr>
                <w:sz w:val="20"/>
              </w:rPr>
              <w:t xml:space="preserve">17,7 </w:t>
            </w:r>
          </w:p>
        </w:tc>
        <w:tc>
          <w:tcPr>
            <w:tcW w:w="900"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49" w:firstLine="0"/>
              <w:jc w:val="right"/>
            </w:pPr>
            <w:r>
              <w:rPr>
                <w:sz w:val="20"/>
              </w:rPr>
              <w:t xml:space="preserve">15,3 </w:t>
            </w:r>
          </w:p>
        </w:tc>
        <w:tc>
          <w:tcPr>
            <w:tcW w:w="989"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49" w:firstLine="0"/>
              <w:jc w:val="right"/>
            </w:pPr>
            <w:r>
              <w:rPr>
                <w:sz w:val="20"/>
              </w:rPr>
              <w:t xml:space="preserve">13,5 </w:t>
            </w:r>
          </w:p>
        </w:tc>
        <w:tc>
          <w:tcPr>
            <w:tcW w:w="814"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49" w:firstLine="0"/>
              <w:jc w:val="right"/>
            </w:pPr>
            <w:r>
              <w:rPr>
                <w:sz w:val="20"/>
              </w:rPr>
              <w:t xml:space="preserve">12,7 </w:t>
            </w:r>
          </w:p>
        </w:tc>
        <w:tc>
          <w:tcPr>
            <w:tcW w:w="720"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49" w:firstLine="0"/>
              <w:jc w:val="right"/>
            </w:pPr>
            <w:r>
              <w:rPr>
                <w:sz w:val="20"/>
              </w:rPr>
              <w:t xml:space="preserve">10,4 </w:t>
            </w:r>
          </w:p>
        </w:tc>
      </w:tr>
      <w:tr w:rsidR="00E8309B">
        <w:trPr>
          <w:trHeight w:val="310"/>
        </w:trPr>
        <w:tc>
          <w:tcPr>
            <w:tcW w:w="3965"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2" w:right="0" w:firstLine="0"/>
              <w:jc w:val="left"/>
            </w:pPr>
            <w:r>
              <w:rPr>
                <w:sz w:val="18"/>
              </w:rPr>
              <w:t xml:space="preserve">- мушкарци </w:t>
            </w:r>
          </w:p>
        </w:tc>
        <w:tc>
          <w:tcPr>
            <w:tcW w:w="1342"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53" w:firstLine="0"/>
              <w:jc w:val="center"/>
            </w:pPr>
            <w:r>
              <w:rPr>
                <w:sz w:val="18"/>
              </w:rPr>
              <w:t xml:space="preserve">АРС </w:t>
            </w:r>
          </w:p>
        </w:tc>
        <w:tc>
          <w:tcPr>
            <w:tcW w:w="900"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49" w:firstLine="0"/>
              <w:jc w:val="right"/>
            </w:pPr>
            <w:r>
              <w:rPr>
                <w:sz w:val="20"/>
              </w:rPr>
              <w:t xml:space="preserve">16,8 </w:t>
            </w:r>
          </w:p>
        </w:tc>
        <w:tc>
          <w:tcPr>
            <w:tcW w:w="900"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49" w:firstLine="0"/>
              <w:jc w:val="right"/>
            </w:pPr>
            <w:r>
              <w:rPr>
                <w:sz w:val="20"/>
              </w:rPr>
              <w:t xml:space="preserve">14,6 </w:t>
            </w:r>
          </w:p>
        </w:tc>
        <w:tc>
          <w:tcPr>
            <w:tcW w:w="989"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49" w:firstLine="0"/>
              <w:jc w:val="right"/>
            </w:pPr>
            <w:r>
              <w:rPr>
                <w:sz w:val="20"/>
              </w:rPr>
              <w:t xml:space="preserve">12,8 </w:t>
            </w:r>
          </w:p>
        </w:tc>
        <w:tc>
          <w:tcPr>
            <w:tcW w:w="814"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49" w:firstLine="0"/>
              <w:jc w:val="right"/>
            </w:pPr>
            <w:r>
              <w:rPr>
                <w:sz w:val="20"/>
              </w:rPr>
              <w:t xml:space="preserve">11,9 </w:t>
            </w:r>
          </w:p>
        </w:tc>
        <w:tc>
          <w:tcPr>
            <w:tcW w:w="720"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49" w:firstLine="0"/>
              <w:jc w:val="right"/>
            </w:pPr>
            <w:r>
              <w:rPr>
                <w:sz w:val="20"/>
              </w:rPr>
              <w:t xml:space="preserve">9,8 </w:t>
            </w:r>
          </w:p>
        </w:tc>
      </w:tr>
      <w:tr w:rsidR="00E8309B">
        <w:trPr>
          <w:trHeight w:val="310"/>
        </w:trPr>
        <w:tc>
          <w:tcPr>
            <w:tcW w:w="3965"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2" w:right="0" w:firstLine="0"/>
              <w:jc w:val="left"/>
            </w:pPr>
            <w:r>
              <w:rPr>
                <w:sz w:val="18"/>
              </w:rPr>
              <w:t xml:space="preserve">- жене </w:t>
            </w:r>
          </w:p>
        </w:tc>
        <w:tc>
          <w:tcPr>
            <w:tcW w:w="1342"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53" w:firstLine="0"/>
              <w:jc w:val="center"/>
            </w:pPr>
            <w:r>
              <w:rPr>
                <w:sz w:val="18"/>
              </w:rPr>
              <w:t xml:space="preserve">АРС </w:t>
            </w:r>
          </w:p>
        </w:tc>
        <w:tc>
          <w:tcPr>
            <w:tcW w:w="900"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49" w:firstLine="0"/>
              <w:jc w:val="right"/>
            </w:pPr>
            <w:r>
              <w:rPr>
                <w:sz w:val="20"/>
              </w:rPr>
              <w:t xml:space="preserve">18,8 </w:t>
            </w:r>
          </w:p>
        </w:tc>
        <w:tc>
          <w:tcPr>
            <w:tcW w:w="900"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49" w:firstLine="0"/>
              <w:jc w:val="right"/>
            </w:pPr>
            <w:r>
              <w:rPr>
                <w:sz w:val="20"/>
              </w:rPr>
              <w:t xml:space="preserve">16,1 </w:t>
            </w:r>
          </w:p>
        </w:tc>
        <w:tc>
          <w:tcPr>
            <w:tcW w:w="989"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49" w:firstLine="0"/>
              <w:jc w:val="right"/>
            </w:pPr>
            <w:r>
              <w:rPr>
                <w:sz w:val="20"/>
              </w:rPr>
              <w:t xml:space="preserve">14,3 </w:t>
            </w:r>
          </w:p>
        </w:tc>
        <w:tc>
          <w:tcPr>
            <w:tcW w:w="814"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49" w:firstLine="0"/>
              <w:jc w:val="right"/>
            </w:pPr>
            <w:r>
              <w:rPr>
                <w:sz w:val="20"/>
              </w:rPr>
              <w:t xml:space="preserve">13,7 </w:t>
            </w:r>
          </w:p>
        </w:tc>
        <w:tc>
          <w:tcPr>
            <w:tcW w:w="720"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49" w:firstLine="0"/>
              <w:jc w:val="right"/>
            </w:pPr>
            <w:r>
              <w:rPr>
                <w:sz w:val="20"/>
              </w:rPr>
              <w:t xml:space="preserve">11,1 </w:t>
            </w:r>
          </w:p>
        </w:tc>
      </w:tr>
      <w:tr w:rsidR="00E8309B">
        <w:trPr>
          <w:trHeight w:val="310"/>
        </w:trPr>
        <w:tc>
          <w:tcPr>
            <w:tcW w:w="3965"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2" w:right="0" w:firstLine="0"/>
              <w:jc w:val="left"/>
            </w:pPr>
            <w:r>
              <w:rPr>
                <w:sz w:val="18"/>
              </w:rPr>
              <w:t xml:space="preserve">4. Стопа дугорочне незапослености (%), укупна </w:t>
            </w:r>
          </w:p>
        </w:tc>
        <w:tc>
          <w:tcPr>
            <w:tcW w:w="1342"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53" w:firstLine="0"/>
              <w:jc w:val="center"/>
            </w:pPr>
            <w:r>
              <w:rPr>
                <w:sz w:val="18"/>
              </w:rPr>
              <w:t xml:space="preserve">АРС </w:t>
            </w:r>
          </w:p>
        </w:tc>
        <w:tc>
          <w:tcPr>
            <w:tcW w:w="900"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49" w:firstLine="0"/>
              <w:jc w:val="right"/>
            </w:pPr>
            <w:r>
              <w:rPr>
                <w:sz w:val="20"/>
              </w:rPr>
              <w:t xml:space="preserve">11,3 </w:t>
            </w:r>
          </w:p>
        </w:tc>
        <w:tc>
          <w:tcPr>
            <w:tcW w:w="900"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49" w:firstLine="0"/>
              <w:jc w:val="right"/>
            </w:pPr>
            <w:r>
              <w:rPr>
                <w:sz w:val="20"/>
              </w:rPr>
              <w:t xml:space="preserve">9,9 </w:t>
            </w:r>
          </w:p>
        </w:tc>
        <w:tc>
          <w:tcPr>
            <w:tcW w:w="989"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49" w:firstLine="0"/>
              <w:jc w:val="right"/>
            </w:pPr>
            <w:r>
              <w:rPr>
                <w:sz w:val="20"/>
              </w:rPr>
              <w:t xml:space="preserve">8,2 </w:t>
            </w:r>
          </w:p>
        </w:tc>
        <w:tc>
          <w:tcPr>
            <w:tcW w:w="814"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49" w:firstLine="0"/>
              <w:jc w:val="right"/>
            </w:pPr>
            <w:r>
              <w:rPr>
                <w:sz w:val="20"/>
              </w:rPr>
              <w:t xml:space="preserve">7,5 </w:t>
            </w:r>
          </w:p>
        </w:tc>
        <w:tc>
          <w:tcPr>
            <w:tcW w:w="720"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49" w:firstLine="0"/>
              <w:jc w:val="right"/>
            </w:pPr>
            <w:r>
              <w:rPr>
                <w:sz w:val="20"/>
              </w:rPr>
              <w:t xml:space="preserve">6,0 </w:t>
            </w:r>
          </w:p>
        </w:tc>
      </w:tr>
      <w:tr w:rsidR="00E8309B">
        <w:trPr>
          <w:trHeight w:val="310"/>
        </w:trPr>
        <w:tc>
          <w:tcPr>
            <w:tcW w:w="3965"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2" w:right="0" w:firstLine="0"/>
              <w:jc w:val="left"/>
            </w:pPr>
            <w:r>
              <w:rPr>
                <w:sz w:val="18"/>
              </w:rPr>
              <w:t xml:space="preserve">- мушкарци </w:t>
            </w:r>
          </w:p>
        </w:tc>
        <w:tc>
          <w:tcPr>
            <w:tcW w:w="1342"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53" w:firstLine="0"/>
              <w:jc w:val="center"/>
            </w:pPr>
            <w:r>
              <w:rPr>
                <w:sz w:val="18"/>
              </w:rPr>
              <w:t xml:space="preserve">АРС </w:t>
            </w:r>
          </w:p>
        </w:tc>
        <w:tc>
          <w:tcPr>
            <w:tcW w:w="900"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49" w:firstLine="0"/>
              <w:jc w:val="right"/>
            </w:pPr>
            <w:r>
              <w:rPr>
                <w:sz w:val="20"/>
              </w:rPr>
              <w:t xml:space="preserve">10,6 </w:t>
            </w:r>
          </w:p>
        </w:tc>
        <w:tc>
          <w:tcPr>
            <w:tcW w:w="900"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49" w:firstLine="0"/>
              <w:jc w:val="right"/>
            </w:pPr>
            <w:r>
              <w:rPr>
                <w:sz w:val="20"/>
              </w:rPr>
              <w:t xml:space="preserve">9,5 </w:t>
            </w:r>
          </w:p>
        </w:tc>
        <w:tc>
          <w:tcPr>
            <w:tcW w:w="989"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49" w:firstLine="0"/>
              <w:jc w:val="right"/>
            </w:pPr>
            <w:r>
              <w:rPr>
                <w:sz w:val="20"/>
              </w:rPr>
              <w:t xml:space="preserve">7,9 </w:t>
            </w:r>
          </w:p>
        </w:tc>
        <w:tc>
          <w:tcPr>
            <w:tcW w:w="814"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49" w:firstLine="0"/>
              <w:jc w:val="right"/>
            </w:pPr>
            <w:r>
              <w:rPr>
                <w:sz w:val="20"/>
              </w:rPr>
              <w:t xml:space="preserve">7,2 </w:t>
            </w:r>
          </w:p>
        </w:tc>
        <w:tc>
          <w:tcPr>
            <w:tcW w:w="720"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49" w:firstLine="0"/>
              <w:jc w:val="right"/>
            </w:pPr>
            <w:r>
              <w:rPr>
                <w:sz w:val="20"/>
              </w:rPr>
              <w:t xml:space="preserve">5,8 </w:t>
            </w:r>
          </w:p>
        </w:tc>
      </w:tr>
      <w:tr w:rsidR="00E8309B">
        <w:trPr>
          <w:trHeight w:val="312"/>
        </w:trPr>
        <w:tc>
          <w:tcPr>
            <w:tcW w:w="3965"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2" w:right="0" w:firstLine="0"/>
              <w:jc w:val="left"/>
            </w:pPr>
            <w:r>
              <w:rPr>
                <w:sz w:val="18"/>
              </w:rPr>
              <w:t xml:space="preserve">- жене </w:t>
            </w:r>
          </w:p>
        </w:tc>
        <w:tc>
          <w:tcPr>
            <w:tcW w:w="1342"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53" w:firstLine="0"/>
              <w:jc w:val="center"/>
            </w:pPr>
            <w:r>
              <w:rPr>
                <w:sz w:val="18"/>
              </w:rPr>
              <w:t xml:space="preserve">АРС </w:t>
            </w:r>
          </w:p>
        </w:tc>
        <w:tc>
          <w:tcPr>
            <w:tcW w:w="900"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49" w:firstLine="0"/>
              <w:jc w:val="right"/>
            </w:pPr>
            <w:r>
              <w:rPr>
                <w:sz w:val="20"/>
              </w:rPr>
              <w:t xml:space="preserve">12,2 </w:t>
            </w:r>
          </w:p>
        </w:tc>
        <w:tc>
          <w:tcPr>
            <w:tcW w:w="900"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49" w:firstLine="0"/>
              <w:jc w:val="right"/>
            </w:pPr>
            <w:r>
              <w:rPr>
                <w:sz w:val="20"/>
              </w:rPr>
              <w:t xml:space="preserve">10,5 </w:t>
            </w:r>
          </w:p>
        </w:tc>
        <w:tc>
          <w:tcPr>
            <w:tcW w:w="989"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49" w:firstLine="0"/>
              <w:jc w:val="right"/>
            </w:pPr>
            <w:r>
              <w:rPr>
                <w:sz w:val="20"/>
              </w:rPr>
              <w:t xml:space="preserve">8,5 </w:t>
            </w:r>
          </w:p>
        </w:tc>
        <w:tc>
          <w:tcPr>
            <w:tcW w:w="814"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49" w:firstLine="0"/>
              <w:jc w:val="right"/>
            </w:pPr>
            <w:r>
              <w:rPr>
                <w:sz w:val="20"/>
              </w:rPr>
              <w:t xml:space="preserve">8,0 </w:t>
            </w:r>
          </w:p>
        </w:tc>
        <w:tc>
          <w:tcPr>
            <w:tcW w:w="720"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49" w:firstLine="0"/>
              <w:jc w:val="right"/>
            </w:pPr>
            <w:r>
              <w:rPr>
                <w:sz w:val="20"/>
              </w:rPr>
              <w:t xml:space="preserve">6,4 </w:t>
            </w:r>
          </w:p>
        </w:tc>
      </w:tr>
      <w:tr w:rsidR="00E8309B">
        <w:trPr>
          <w:trHeight w:val="422"/>
        </w:trPr>
        <w:tc>
          <w:tcPr>
            <w:tcW w:w="3965" w:type="dxa"/>
            <w:tcBorders>
              <w:top w:val="single" w:sz="4" w:space="0" w:color="000000"/>
              <w:left w:val="single" w:sz="4" w:space="0" w:color="000000"/>
              <w:bottom w:val="single" w:sz="4" w:space="0" w:color="000000"/>
              <w:right w:val="single" w:sz="4" w:space="0" w:color="000000"/>
            </w:tcBorders>
          </w:tcPr>
          <w:p w:rsidR="00E8309B" w:rsidRDefault="009D0949">
            <w:pPr>
              <w:spacing w:after="15" w:line="259" w:lineRule="auto"/>
              <w:ind w:left="2" w:right="0" w:firstLine="0"/>
              <w:jc w:val="left"/>
            </w:pPr>
            <w:r>
              <w:rPr>
                <w:sz w:val="18"/>
              </w:rPr>
              <w:t xml:space="preserve">5. Стопа незапослености младих (15-24 год.) </w:t>
            </w:r>
          </w:p>
          <w:p w:rsidR="00E8309B" w:rsidRDefault="009D0949">
            <w:pPr>
              <w:spacing w:after="0" w:line="259" w:lineRule="auto"/>
              <w:ind w:left="2" w:right="0" w:firstLine="0"/>
              <w:jc w:val="left"/>
            </w:pPr>
            <w:r>
              <w:rPr>
                <w:sz w:val="18"/>
              </w:rPr>
              <w:t xml:space="preserve">(%), укупна </w:t>
            </w:r>
          </w:p>
        </w:tc>
        <w:tc>
          <w:tcPr>
            <w:tcW w:w="1342"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0" w:right="53" w:firstLine="0"/>
              <w:jc w:val="center"/>
            </w:pPr>
            <w:r>
              <w:rPr>
                <w:sz w:val="18"/>
              </w:rPr>
              <w:t xml:space="preserve">АРС </w:t>
            </w:r>
          </w:p>
        </w:tc>
        <w:tc>
          <w:tcPr>
            <w:tcW w:w="900"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0" w:right="49" w:firstLine="0"/>
              <w:jc w:val="right"/>
            </w:pPr>
            <w:r>
              <w:rPr>
                <w:sz w:val="20"/>
              </w:rPr>
              <w:t xml:space="preserve">43,2 </w:t>
            </w:r>
          </w:p>
        </w:tc>
        <w:tc>
          <w:tcPr>
            <w:tcW w:w="900"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0" w:right="49" w:firstLine="0"/>
              <w:jc w:val="right"/>
            </w:pPr>
            <w:r>
              <w:rPr>
                <w:sz w:val="20"/>
              </w:rPr>
              <w:t xml:space="preserve">34,9 </w:t>
            </w:r>
          </w:p>
        </w:tc>
        <w:tc>
          <w:tcPr>
            <w:tcW w:w="989"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0" w:right="49" w:firstLine="0"/>
              <w:jc w:val="right"/>
            </w:pPr>
            <w:r>
              <w:rPr>
                <w:sz w:val="20"/>
              </w:rPr>
              <w:t xml:space="preserve">31,9 </w:t>
            </w:r>
          </w:p>
        </w:tc>
        <w:tc>
          <w:tcPr>
            <w:tcW w:w="814"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0" w:right="49" w:firstLine="0"/>
              <w:jc w:val="right"/>
            </w:pPr>
            <w:r>
              <w:rPr>
                <w:sz w:val="20"/>
              </w:rPr>
              <w:t xml:space="preserve">29,7 </w:t>
            </w:r>
          </w:p>
        </w:tc>
        <w:tc>
          <w:tcPr>
            <w:tcW w:w="720"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0" w:right="49" w:firstLine="0"/>
              <w:jc w:val="right"/>
            </w:pPr>
            <w:r>
              <w:rPr>
                <w:sz w:val="20"/>
              </w:rPr>
              <w:t xml:space="preserve">27,5 </w:t>
            </w:r>
          </w:p>
        </w:tc>
      </w:tr>
      <w:tr w:rsidR="00E8309B">
        <w:trPr>
          <w:trHeight w:val="310"/>
        </w:trPr>
        <w:tc>
          <w:tcPr>
            <w:tcW w:w="3965"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2" w:right="0" w:firstLine="0"/>
              <w:jc w:val="left"/>
            </w:pPr>
            <w:r>
              <w:rPr>
                <w:sz w:val="18"/>
              </w:rPr>
              <w:t xml:space="preserve">- мушкарци </w:t>
            </w:r>
          </w:p>
        </w:tc>
        <w:tc>
          <w:tcPr>
            <w:tcW w:w="1342"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53" w:firstLine="0"/>
              <w:jc w:val="center"/>
            </w:pPr>
            <w:r>
              <w:rPr>
                <w:sz w:val="18"/>
              </w:rPr>
              <w:t xml:space="preserve">АРС </w:t>
            </w:r>
          </w:p>
        </w:tc>
        <w:tc>
          <w:tcPr>
            <w:tcW w:w="900"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49" w:firstLine="0"/>
              <w:jc w:val="right"/>
            </w:pPr>
            <w:r>
              <w:rPr>
                <w:sz w:val="20"/>
              </w:rPr>
              <w:t xml:space="preserve">40,1 </w:t>
            </w:r>
          </w:p>
        </w:tc>
        <w:tc>
          <w:tcPr>
            <w:tcW w:w="900"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49" w:firstLine="0"/>
              <w:jc w:val="right"/>
            </w:pPr>
            <w:r>
              <w:rPr>
                <w:sz w:val="20"/>
              </w:rPr>
              <w:t xml:space="preserve">32,2 </w:t>
            </w:r>
          </w:p>
        </w:tc>
        <w:tc>
          <w:tcPr>
            <w:tcW w:w="989"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49" w:firstLine="0"/>
              <w:jc w:val="right"/>
            </w:pPr>
            <w:r>
              <w:rPr>
                <w:sz w:val="20"/>
              </w:rPr>
              <w:t xml:space="preserve">29,2 </w:t>
            </w:r>
          </w:p>
        </w:tc>
        <w:tc>
          <w:tcPr>
            <w:tcW w:w="814"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49" w:firstLine="0"/>
              <w:jc w:val="right"/>
            </w:pPr>
            <w:r>
              <w:rPr>
                <w:sz w:val="20"/>
              </w:rPr>
              <w:t xml:space="preserve">28,3 </w:t>
            </w:r>
          </w:p>
        </w:tc>
        <w:tc>
          <w:tcPr>
            <w:tcW w:w="720"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49" w:firstLine="0"/>
              <w:jc w:val="right"/>
            </w:pPr>
            <w:r>
              <w:rPr>
                <w:sz w:val="20"/>
              </w:rPr>
              <w:t xml:space="preserve">26,1 </w:t>
            </w:r>
          </w:p>
        </w:tc>
      </w:tr>
      <w:tr w:rsidR="00E8309B">
        <w:trPr>
          <w:trHeight w:val="312"/>
        </w:trPr>
        <w:tc>
          <w:tcPr>
            <w:tcW w:w="3965"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2" w:right="0" w:firstLine="0"/>
              <w:jc w:val="left"/>
            </w:pPr>
            <w:r>
              <w:rPr>
                <w:sz w:val="18"/>
              </w:rPr>
              <w:t xml:space="preserve">- жене </w:t>
            </w:r>
          </w:p>
        </w:tc>
        <w:tc>
          <w:tcPr>
            <w:tcW w:w="1342"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53" w:firstLine="0"/>
              <w:jc w:val="center"/>
            </w:pPr>
            <w:r>
              <w:rPr>
                <w:sz w:val="18"/>
              </w:rPr>
              <w:t xml:space="preserve">АРС </w:t>
            </w:r>
          </w:p>
        </w:tc>
        <w:tc>
          <w:tcPr>
            <w:tcW w:w="900"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49" w:firstLine="0"/>
              <w:jc w:val="right"/>
            </w:pPr>
            <w:r>
              <w:rPr>
                <w:sz w:val="20"/>
              </w:rPr>
              <w:t xml:space="preserve">48,2 </w:t>
            </w:r>
          </w:p>
        </w:tc>
        <w:tc>
          <w:tcPr>
            <w:tcW w:w="900"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49" w:firstLine="0"/>
              <w:jc w:val="right"/>
            </w:pPr>
            <w:r>
              <w:rPr>
                <w:sz w:val="20"/>
              </w:rPr>
              <w:t xml:space="preserve">39,5 </w:t>
            </w:r>
          </w:p>
        </w:tc>
        <w:tc>
          <w:tcPr>
            <w:tcW w:w="989"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49" w:firstLine="0"/>
              <w:jc w:val="right"/>
            </w:pPr>
            <w:r>
              <w:rPr>
                <w:sz w:val="20"/>
              </w:rPr>
              <w:t xml:space="preserve">36,3 </w:t>
            </w:r>
          </w:p>
        </w:tc>
        <w:tc>
          <w:tcPr>
            <w:tcW w:w="814"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49" w:firstLine="0"/>
              <w:jc w:val="right"/>
            </w:pPr>
            <w:r>
              <w:rPr>
                <w:sz w:val="20"/>
              </w:rPr>
              <w:t xml:space="preserve">32,0 </w:t>
            </w:r>
          </w:p>
        </w:tc>
        <w:tc>
          <w:tcPr>
            <w:tcW w:w="720"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49" w:firstLine="0"/>
              <w:jc w:val="right"/>
            </w:pPr>
            <w:r>
              <w:rPr>
                <w:sz w:val="20"/>
              </w:rPr>
              <w:t xml:space="preserve">29,9 </w:t>
            </w:r>
          </w:p>
        </w:tc>
      </w:tr>
      <w:tr w:rsidR="00E8309B">
        <w:trPr>
          <w:trHeight w:val="629"/>
        </w:trPr>
        <w:tc>
          <w:tcPr>
            <w:tcW w:w="3965"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2" w:right="19" w:firstLine="0"/>
              <w:jc w:val="left"/>
            </w:pPr>
            <w:r>
              <w:rPr>
                <w:sz w:val="18"/>
              </w:rPr>
              <w:t>6. Млади (15-24 год,</w:t>
            </w:r>
            <w:r>
              <w:rPr>
                <w:sz w:val="18"/>
              </w:rPr>
              <w:t xml:space="preserve">) који нису запослени и нису укључени у образовање или обуку (NEET), у % </w:t>
            </w:r>
          </w:p>
        </w:tc>
        <w:tc>
          <w:tcPr>
            <w:tcW w:w="1342"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0" w:right="53" w:firstLine="0"/>
              <w:jc w:val="center"/>
            </w:pPr>
            <w:r>
              <w:rPr>
                <w:sz w:val="18"/>
              </w:rPr>
              <w:t xml:space="preserve">АРС </w:t>
            </w:r>
          </w:p>
        </w:tc>
        <w:tc>
          <w:tcPr>
            <w:tcW w:w="900"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0" w:right="49" w:firstLine="0"/>
              <w:jc w:val="right"/>
            </w:pPr>
            <w:r>
              <w:rPr>
                <w:sz w:val="20"/>
              </w:rPr>
              <w:t xml:space="preserve">19,9 </w:t>
            </w:r>
          </w:p>
        </w:tc>
        <w:tc>
          <w:tcPr>
            <w:tcW w:w="900"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0" w:right="49" w:firstLine="0"/>
              <w:jc w:val="right"/>
            </w:pPr>
            <w:r>
              <w:rPr>
                <w:sz w:val="20"/>
              </w:rPr>
              <w:t xml:space="preserve">17,7 </w:t>
            </w:r>
          </w:p>
        </w:tc>
        <w:tc>
          <w:tcPr>
            <w:tcW w:w="989"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0" w:right="49" w:firstLine="0"/>
              <w:jc w:val="right"/>
            </w:pPr>
            <w:r>
              <w:rPr>
                <w:sz w:val="20"/>
              </w:rPr>
              <w:t xml:space="preserve">17,2 </w:t>
            </w:r>
          </w:p>
        </w:tc>
        <w:tc>
          <w:tcPr>
            <w:tcW w:w="814"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0" w:right="49" w:firstLine="0"/>
              <w:jc w:val="right"/>
            </w:pPr>
            <w:r>
              <w:rPr>
                <w:sz w:val="20"/>
              </w:rPr>
              <w:t xml:space="preserve">16,5 </w:t>
            </w:r>
          </w:p>
        </w:tc>
        <w:tc>
          <w:tcPr>
            <w:tcW w:w="720"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0" w:right="49" w:firstLine="0"/>
              <w:jc w:val="right"/>
            </w:pPr>
            <w:r>
              <w:rPr>
                <w:sz w:val="20"/>
              </w:rPr>
              <w:t xml:space="preserve">15,3 </w:t>
            </w:r>
          </w:p>
        </w:tc>
      </w:tr>
      <w:tr w:rsidR="00E8309B">
        <w:trPr>
          <w:trHeight w:val="425"/>
        </w:trPr>
        <w:tc>
          <w:tcPr>
            <w:tcW w:w="3965" w:type="dxa"/>
            <w:tcBorders>
              <w:top w:val="single" w:sz="4" w:space="0" w:color="000000"/>
              <w:left w:val="single" w:sz="4" w:space="0" w:color="000000"/>
              <w:bottom w:val="single" w:sz="4" w:space="0" w:color="000000"/>
              <w:right w:val="single" w:sz="4" w:space="0" w:color="000000"/>
            </w:tcBorders>
          </w:tcPr>
          <w:p w:rsidR="00E8309B" w:rsidRDefault="009D0949">
            <w:pPr>
              <w:spacing w:after="16" w:line="259" w:lineRule="auto"/>
              <w:ind w:left="2" w:right="0" w:firstLine="0"/>
              <w:jc w:val="left"/>
            </w:pPr>
            <w:r>
              <w:rPr>
                <w:sz w:val="18"/>
              </w:rPr>
              <w:t xml:space="preserve">7. Лица која су рано прекинула школовање, у % </w:t>
            </w:r>
          </w:p>
          <w:p w:rsidR="00E8309B" w:rsidRDefault="009D0949">
            <w:pPr>
              <w:spacing w:after="0" w:line="259" w:lineRule="auto"/>
              <w:ind w:left="2" w:right="0" w:firstLine="0"/>
              <w:jc w:val="left"/>
            </w:pPr>
            <w:r>
              <w:rPr>
                <w:sz w:val="18"/>
              </w:rPr>
              <w:t xml:space="preserve">(дефиниција Еуростата) </w:t>
            </w:r>
          </w:p>
        </w:tc>
        <w:tc>
          <w:tcPr>
            <w:tcW w:w="1342"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0" w:right="53" w:firstLine="0"/>
              <w:jc w:val="center"/>
            </w:pPr>
            <w:r>
              <w:rPr>
                <w:sz w:val="18"/>
              </w:rPr>
              <w:t xml:space="preserve">АРС </w:t>
            </w:r>
          </w:p>
        </w:tc>
        <w:tc>
          <w:tcPr>
            <w:tcW w:w="900"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0" w:right="49" w:firstLine="0"/>
              <w:jc w:val="right"/>
            </w:pPr>
            <w:r>
              <w:rPr>
                <w:sz w:val="20"/>
              </w:rPr>
              <w:t xml:space="preserve">7,4 </w:t>
            </w:r>
          </w:p>
        </w:tc>
        <w:tc>
          <w:tcPr>
            <w:tcW w:w="900"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0" w:right="49" w:firstLine="0"/>
              <w:jc w:val="right"/>
            </w:pPr>
            <w:r>
              <w:rPr>
                <w:sz w:val="20"/>
              </w:rPr>
              <w:t xml:space="preserve">7,0 </w:t>
            </w:r>
          </w:p>
        </w:tc>
        <w:tc>
          <w:tcPr>
            <w:tcW w:w="989"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0" w:right="49" w:firstLine="0"/>
              <w:jc w:val="right"/>
            </w:pPr>
            <w:r>
              <w:rPr>
                <w:sz w:val="20"/>
              </w:rPr>
              <w:t xml:space="preserve">6,2 </w:t>
            </w:r>
          </w:p>
        </w:tc>
        <w:tc>
          <w:tcPr>
            <w:tcW w:w="814"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0" w:right="49" w:firstLine="0"/>
              <w:jc w:val="right"/>
            </w:pPr>
            <w:r>
              <w:rPr>
                <w:sz w:val="20"/>
              </w:rPr>
              <w:t xml:space="preserve">6,8 </w:t>
            </w:r>
          </w:p>
        </w:tc>
        <w:tc>
          <w:tcPr>
            <w:tcW w:w="720"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0" w:right="49" w:firstLine="0"/>
              <w:jc w:val="right"/>
            </w:pPr>
            <w:r>
              <w:rPr>
                <w:sz w:val="20"/>
              </w:rPr>
              <w:t xml:space="preserve">5,8 </w:t>
            </w:r>
          </w:p>
        </w:tc>
      </w:tr>
      <w:tr w:rsidR="00E8309B">
        <w:trPr>
          <w:trHeight w:val="425"/>
        </w:trPr>
        <w:tc>
          <w:tcPr>
            <w:tcW w:w="3965"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2" w:right="0" w:firstLine="0"/>
              <w:jc w:val="left"/>
            </w:pPr>
            <w:r>
              <w:rPr>
                <w:sz w:val="18"/>
              </w:rPr>
              <w:t xml:space="preserve">8. ПИСА рејтинг (Међународни програм процене ученичких постигнућа) </w:t>
            </w:r>
          </w:p>
        </w:tc>
        <w:tc>
          <w:tcPr>
            <w:tcW w:w="1342"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8" w:firstLine="0"/>
              <w:jc w:val="center"/>
            </w:pPr>
            <w:r>
              <w:rPr>
                <w:sz w:val="18"/>
              </w:rPr>
              <w:t xml:space="preserve"> </w:t>
            </w:r>
          </w:p>
        </w:tc>
        <w:tc>
          <w:tcPr>
            <w:tcW w:w="900"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0" w:right="0" w:firstLine="0"/>
              <w:jc w:val="right"/>
            </w:pPr>
            <w:r>
              <w:rPr>
                <w:sz w:val="20"/>
              </w:rPr>
              <w:t xml:space="preserve">  </w:t>
            </w:r>
          </w:p>
        </w:tc>
        <w:tc>
          <w:tcPr>
            <w:tcW w:w="900"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0" w:right="0" w:firstLine="0"/>
              <w:jc w:val="right"/>
            </w:pPr>
            <w:r>
              <w:rPr>
                <w:sz w:val="20"/>
              </w:rPr>
              <w:t xml:space="preserve">  </w:t>
            </w:r>
          </w:p>
        </w:tc>
        <w:tc>
          <w:tcPr>
            <w:tcW w:w="989"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0" w:right="0" w:firstLine="0"/>
              <w:jc w:val="right"/>
            </w:pPr>
            <w:r>
              <w:rPr>
                <w:sz w:val="20"/>
              </w:rPr>
              <w:t xml:space="preserve">  </w:t>
            </w:r>
          </w:p>
        </w:tc>
        <w:tc>
          <w:tcPr>
            <w:tcW w:w="814"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0" w:right="0" w:firstLine="0"/>
              <w:jc w:val="right"/>
            </w:pPr>
            <w:r>
              <w:rPr>
                <w:sz w:val="20"/>
              </w:rPr>
              <w:t xml:space="preserve">  </w:t>
            </w:r>
          </w:p>
        </w:tc>
        <w:tc>
          <w:tcPr>
            <w:tcW w:w="720"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0" w:right="0" w:firstLine="0"/>
              <w:jc w:val="right"/>
            </w:pPr>
            <w:r>
              <w:rPr>
                <w:sz w:val="20"/>
              </w:rPr>
              <w:t xml:space="preserve">  </w:t>
            </w:r>
          </w:p>
        </w:tc>
      </w:tr>
      <w:tr w:rsidR="00E8309B">
        <w:trPr>
          <w:trHeight w:val="422"/>
        </w:trPr>
        <w:tc>
          <w:tcPr>
            <w:tcW w:w="3965"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2" w:right="0" w:firstLine="0"/>
              <w:jc w:val="left"/>
            </w:pPr>
            <w:r>
              <w:rPr>
                <w:sz w:val="18"/>
              </w:rPr>
              <w:t xml:space="preserve">9. PIAAC рејтинг (Програм за међународну процену компетенција одраслих) </w:t>
            </w:r>
          </w:p>
        </w:tc>
        <w:tc>
          <w:tcPr>
            <w:tcW w:w="1342"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8" w:firstLine="0"/>
              <w:jc w:val="center"/>
            </w:pPr>
            <w:r>
              <w:rPr>
                <w:sz w:val="18"/>
              </w:rPr>
              <w:t xml:space="preserve"> </w:t>
            </w:r>
          </w:p>
        </w:tc>
        <w:tc>
          <w:tcPr>
            <w:tcW w:w="900"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0" w:right="0" w:firstLine="0"/>
              <w:jc w:val="right"/>
            </w:pPr>
            <w:r>
              <w:rPr>
                <w:sz w:val="20"/>
              </w:rPr>
              <w:t xml:space="preserve">  </w:t>
            </w:r>
          </w:p>
        </w:tc>
        <w:tc>
          <w:tcPr>
            <w:tcW w:w="900"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0" w:right="0" w:firstLine="0"/>
              <w:jc w:val="right"/>
            </w:pPr>
            <w:r>
              <w:rPr>
                <w:sz w:val="20"/>
              </w:rPr>
              <w:t xml:space="preserve">  </w:t>
            </w:r>
          </w:p>
        </w:tc>
        <w:tc>
          <w:tcPr>
            <w:tcW w:w="989"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0" w:right="0" w:firstLine="0"/>
              <w:jc w:val="right"/>
            </w:pPr>
            <w:r>
              <w:rPr>
                <w:sz w:val="20"/>
              </w:rPr>
              <w:t xml:space="preserve">  </w:t>
            </w:r>
          </w:p>
        </w:tc>
        <w:tc>
          <w:tcPr>
            <w:tcW w:w="814"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0" w:right="0" w:firstLine="0"/>
              <w:jc w:val="right"/>
            </w:pPr>
            <w:r>
              <w:rPr>
                <w:sz w:val="20"/>
              </w:rPr>
              <w:t xml:space="preserve">  </w:t>
            </w:r>
          </w:p>
        </w:tc>
        <w:tc>
          <w:tcPr>
            <w:tcW w:w="720"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0" w:right="0" w:firstLine="0"/>
              <w:jc w:val="right"/>
            </w:pPr>
            <w:r>
              <w:rPr>
                <w:sz w:val="20"/>
              </w:rPr>
              <w:t xml:space="preserve">  </w:t>
            </w:r>
          </w:p>
        </w:tc>
      </w:tr>
      <w:tr w:rsidR="00E8309B">
        <w:trPr>
          <w:trHeight w:val="631"/>
        </w:trPr>
        <w:tc>
          <w:tcPr>
            <w:tcW w:w="3965"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2" w:right="0" w:firstLine="0"/>
              <w:jc w:val="left"/>
            </w:pPr>
            <w:r>
              <w:rPr>
                <w:sz w:val="18"/>
              </w:rPr>
              <w:t xml:space="preserve">10. Стопа партиципације у раном образовању и васпитању </w:t>
            </w:r>
          </w:p>
        </w:tc>
        <w:tc>
          <w:tcPr>
            <w:tcW w:w="1342"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50" w:firstLine="0"/>
              <w:jc w:val="center"/>
            </w:pPr>
            <w:r>
              <w:rPr>
                <w:sz w:val="18"/>
              </w:rPr>
              <w:t>РЗС-</w:t>
            </w:r>
          </w:p>
          <w:p w:rsidR="00E8309B" w:rsidRDefault="009D0949">
            <w:pPr>
              <w:spacing w:after="0" w:line="259" w:lineRule="auto"/>
              <w:ind w:left="0" w:right="0" w:firstLine="0"/>
              <w:jc w:val="center"/>
            </w:pPr>
            <w:r>
              <w:rPr>
                <w:sz w:val="18"/>
              </w:rPr>
              <w:t xml:space="preserve">Статистика образовања </w:t>
            </w:r>
          </w:p>
        </w:tc>
        <w:tc>
          <w:tcPr>
            <w:tcW w:w="900"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0" w:right="49" w:firstLine="0"/>
              <w:jc w:val="right"/>
            </w:pPr>
            <w:r>
              <w:rPr>
                <w:sz w:val="20"/>
              </w:rPr>
              <w:t xml:space="preserve">48,5 </w:t>
            </w:r>
          </w:p>
        </w:tc>
        <w:tc>
          <w:tcPr>
            <w:tcW w:w="900"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0" w:right="49" w:firstLine="0"/>
              <w:jc w:val="right"/>
            </w:pPr>
            <w:r>
              <w:rPr>
                <w:sz w:val="20"/>
              </w:rPr>
              <w:t xml:space="preserve">50,7 </w:t>
            </w:r>
          </w:p>
        </w:tc>
        <w:tc>
          <w:tcPr>
            <w:tcW w:w="989"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0" w:right="49" w:firstLine="0"/>
              <w:jc w:val="right"/>
            </w:pPr>
            <w:r>
              <w:rPr>
                <w:sz w:val="20"/>
              </w:rPr>
              <w:t xml:space="preserve">52,5 </w:t>
            </w:r>
          </w:p>
        </w:tc>
        <w:tc>
          <w:tcPr>
            <w:tcW w:w="814"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0" w:right="49" w:firstLine="0"/>
              <w:jc w:val="right"/>
            </w:pPr>
            <w:r>
              <w:rPr>
                <w:sz w:val="20"/>
              </w:rPr>
              <w:t xml:space="preserve">54,5 </w:t>
            </w:r>
          </w:p>
        </w:tc>
        <w:tc>
          <w:tcPr>
            <w:tcW w:w="720"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0" w:right="49" w:firstLine="0"/>
              <w:jc w:val="right"/>
            </w:pPr>
            <w:r>
              <w:rPr>
                <w:sz w:val="20"/>
              </w:rPr>
              <w:t xml:space="preserve">57,5 </w:t>
            </w:r>
          </w:p>
        </w:tc>
      </w:tr>
      <w:tr w:rsidR="00E8309B">
        <w:trPr>
          <w:trHeight w:val="1066"/>
        </w:trPr>
        <w:tc>
          <w:tcPr>
            <w:tcW w:w="3965"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2" w:right="0" w:firstLine="0"/>
              <w:jc w:val="left"/>
            </w:pPr>
            <w:r>
              <w:rPr>
                <w:sz w:val="18"/>
              </w:rPr>
              <w:t xml:space="preserve">11. GINI коефицијент </w:t>
            </w:r>
          </w:p>
        </w:tc>
        <w:tc>
          <w:tcPr>
            <w:tcW w:w="1342"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50" w:firstLine="0"/>
              <w:jc w:val="center"/>
            </w:pPr>
            <w:r>
              <w:rPr>
                <w:sz w:val="18"/>
              </w:rPr>
              <w:t xml:space="preserve">EU-SILC - </w:t>
            </w:r>
          </w:p>
          <w:p w:rsidR="00E8309B" w:rsidRDefault="009D0949">
            <w:pPr>
              <w:spacing w:after="2" w:line="238" w:lineRule="auto"/>
              <w:ind w:left="0" w:right="0" w:firstLine="0"/>
              <w:jc w:val="center"/>
            </w:pPr>
            <w:r>
              <w:rPr>
                <w:sz w:val="18"/>
              </w:rPr>
              <w:t xml:space="preserve">Анкета о приходима и </w:t>
            </w:r>
          </w:p>
          <w:p w:rsidR="00E8309B" w:rsidRDefault="009D0949">
            <w:pPr>
              <w:spacing w:after="0" w:line="259" w:lineRule="auto"/>
              <w:ind w:left="0" w:right="0" w:firstLine="0"/>
              <w:jc w:val="center"/>
            </w:pPr>
            <w:r>
              <w:rPr>
                <w:sz w:val="18"/>
              </w:rPr>
              <w:t xml:space="preserve">условима живота </w:t>
            </w:r>
          </w:p>
        </w:tc>
        <w:tc>
          <w:tcPr>
            <w:tcW w:w="900"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0" w:right="49" w:firstLine="0"/>
              <w:jc w:val="right"/>
            </w:pPr>
            <w:r>
              <w:rPr>
                <w:sz w:val="20"/>
              </w:rPr>
              <w:t xml:space="preserve">40,0 </w:t>
            </w:r>
          </w:p>
        </w:tc>
        <w:tc>
          <w:tcPr>
            <w:tcW w:w="900"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0" w:right="49" w:firstLine="0"/>
              <w:jc w:val="right"/>
            </w:pPr>
            <w:r>
              <w:rPr>
                <w:sz w:val="20"/>
              </w:rPr>
              <w:t xml:space="preserve">39,8 </w:t>
            </w:r>
          </w:p>
        </w:tc>
        <w:tc>
          <w:tcPr>
            <w:tcW w:w="989"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0" w:right="49" w:firstLine="0"/>
              <w:jc w:val="right"/>
            </w:pPr>
            <w:r>
              <w:rPr>
                <w:sz w:val="20"/>
              </w:rPr>
              <w:t xml:space="preserve">37,8 </w:t>
            </w:r>
          </w:p>
        </w:tc>
        <w:tc>
          <w:tcPr>
            <w:tcW w:w="814"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0" w:right="49" w:firstLine="0"/>
              <w:jc w:val="right"/>
            </w:pPr>
            <w:r>
              <w:rPr>
                <w:sz w:val="20"/>
              </w:rPr>
              <w:t xml:space="preserve">35,6 </w:t>
            </w:r>
          </w:p>
        </w:tc>
        <w:tc>
          <w:tcPr>
            <w:tcW w:w="720"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0" w:right="49" w:firstLine="0"/>
              <w:jc w:val="right"/>
            </w:pPr>
            <w:r>
              <w:rPr>
                <w:sz w:val="20"/>
              </w:rPr>
              <w:t xml:space="preserve">33,3 </w:t>
            </w:r>
          </w:p>
        </w:tc>
      </w:tr>
      <w:tr w:rsidR="00E8309B">
        <w:trPr>
          <w:trHeight w:val="425"/>
        </w:trPr>
        <w:tc>
          <w:tcPr>
            <w:tcW w:w="3965"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2" w:right="0" w:firstLine="0"/>
              <w:jc w:val="left"/>
            </w:pPr>
            <w:r>
              <w:rPr>
                <w:sz w:val="18"/>
              </w:rPr>
              <w:t xml:space="preserve">12. Неједнакост расподеле дохотка S80/S20 </w:t>
            </w:r>
          </w:p>
          <w:p w:rsidR="00E8309B" w:rsidRDefault="009D0949">
            <w:pPr>
              <w:spacing w:after="0" w:line="259" w:lineRule="auto"/>
              <w:ind w:left="2" w:right="0" w:firstLine="0"/>
              <w:jc w:val="left"/>
            </w:pPr>
            <w:r>
              <w:rPr>
                <w:sz w:val="18"/>
              </w:rPr>
              <w:t xml:space="preserve">(Income quintile ratio) </w:t>
            </w:r>
          </w:p>
        </w:tc>
        <w:tc>
          <w:tcPr>
            <w:tcW w:w="1342"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0" w:right="50" w:firstLine="0"/>
              <w:jc w:val="center"/>
            </w:pPr>
            <w:r>
              <w:rPr>
                <w:sz w:val="18"/>
              </w:rPr>
              <w:t xml:space="preserve">EU-SILC </w:t>
            </w:r>
          </w:p>
        </w:tc>
        <w:tc>
          <w:tcPr>
            <w:tcW w:w="900"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0" w:right="49" w:firstLine="0"/>
              <w:jc w:val="right"/>
            </w:pPr>
            <w:r>
              <w:rPr>
                <w:sz w:val="20"/>
              </w:rPr>
              <w:t xml:space="preserve">10,7 </w:t>
            </w:r>
          </w:p>
        </w:tc>
        <w:tc>
          <w:tcPr>
            <w:tcW w:w="900"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0" w:right="49" w:firstLine="0"/>
              <w:jc w:val="right"/>
            </w:pPr>
            <w:r>
              <w:rPr>
                <w:sz w:val="20"/>
              </w:rPr>
              <w:t xml:space="preserve">11,0 </w:t>
            </w:r>
          </w:p>
        </w:tc>
        <w:tc>
          <w:tcPr>
            <w:tcW w:w="989"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0" w:right="49" w:firstLine="0"/>
              <w:jc w:val="right"/>
            </w:pPr>
            <w:r>
              <w:rPr>
                <w:sz w:val="20"/>
              </w:rPr>
              <w:t xml:space="preserve">9,4 </w:t>
            </w:r>
          </w:p>
        </w:tc>
        <w:tc>
          <w:tcPr>
            <w:tcW w:w="814"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0" w:right="49" w:firstLine="0"/>
              <w:jc w:val="right"/>
            </w:pPr>
            <w:r>
              <w:rPr>
                <w:sz w:val="20"/>
              </w:rPr>
              <w:t xml:space="preserve">8,6 </w:t>
            </w:r>
          </w:p>
        </w:tc>
        <w:tc>
          <w:tcPr>
            <w:tcW w:w="720"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0" w:right="49" w:firstLine="0"/>
              <w:jc w:val="right"/>
            </w:pPr>
            <w:r>
              <w:rPr>
                <w:sz w:val="20"/>
              </w:rPr>
              <w:t xml:space="preserve">6,5 </w:t>
            </w:r>
          </w:p>
        </w:tc>
      </w:tr>
      <w:tr w:rsidR="00E8309B">
        <w:trPr>
          <w:trHeight w:val="310"/>
        </w:trPr>
        <w:tc>
          <w:tcPr>
            <w:tcW w:w="3965"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2" w:right="0" w:firstLine="0"/>
              <w:jc w:val="left"/>
            </w:pPr>
            <w:r>
              <w:rPr>
                <w:sz w:val="18"/>
              </w:rPr>
              <w:t xml:space="preserve">13. Расходи за социјалну заштиту у % БДП-а </w:t>
            </w:r>
          </w:p>
        </w:tc>
        <w:tc>
          <w:tcPr>
            <w:tcW w:w="1342"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8" w:firstLine="0"/>
              <w:jc w:val="center"/>
            </w:pPr>
            <w:r>
              <w:rPr>
                <w:sz w:val="18"/>
              </w:rPr>
              <w:t xml:space="preserve"> </w:t>
            </w:r>
          </w:p>
        </w:tc>
        <w:tc>
          <w:tcPr>
            <w:tcW w:w="900"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0" w:firstLine="0"/>
              <w:jc w:val="right"/>
            </w:pPr>
            <w:r>
              <w:rPr>
                <w:sz w:val="20"/>
              </w:rPr>
              <w:t xml:space="preserve">  </w:t>
            </w:r>
          </w:p>
        </w:tc>
        <w:tc>
          <w:tcPr>
            <w:tcW w:w="900"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0" w:firstLine="0"/>
              <w:jc w:val="right"/>
            </w:pPr>
            <w:r>
              <w:rPr>
                <w:sz w:val="20"/>
              </w:rPr>
              <w:t xml:space="preserve">  </w:t>
            </w:r>
          </w:p>
        </w:tc>
        <w:tc>
          <w:tcPr>
            <w:tcW w:w="989"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0" w:firstLine="0"/>
              <w:jc w:val="right"/>
            </w:pPr>
            <w:r>
              <w:rPr>
                <w:sz w:val="20"/>
              </w:rPr>
              <w:t xml:space="preserve">  </w:t>
            </w:r>
          </w:p>
        </w:tc>
        <w:tc>
          <w:tcPr>
            <w:tcW w:w="814"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0" w:firstLine="0"/>
              <w:jc w:val="right"/>
            </w:pPr>
            <w:r>
              <w:rPr>
                <w:sz w:val="20"/>
              </w:rPr>
              <w:t xml:space="preserve">  </w:t>
            </w:r>
          </w:p>
        </w:tc>
        <w:tc>
          <w:tcPr>
            <w:tcW w:w="720"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0" w:firstLine="0"/>
              <w:jc w:val="right"/>
            </w:pPr>
            <w:r>
              <w:rPr>
                <w:sz w:val="20"/>
              </w:rPr>
              <w:t xml:space="preserve">  </w:t>
            </w:r>
          </w:p>
        </w:tc>
      </w:tr>
      <w:tr w:rsidR="00E8309B">
        <w:trPr>
          <w:trHeight w:val="310"/>
        </w:trPr>
        <w:tc>
          <w:tcPr>
            <w:tcW w:w="3965"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2" w:right="0" w:firstLine="0"/>
              <w:jc w:val="left"/>
            </w:pPr>
            <w:r>
              <w:rPr>
                <w:sz w:val="18"/>
              </w:rPr>
              <w:t xml:space="preserve">14. Расходи за здравство у % БДП-а </w:t>
            </w:r>
          </w:p>
        </w:tc>
        <w:tc>
          <w:tcPr>
            <w:tcW w:w="1342"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8" w:firstLine="0"/>
              <w:jc w:val="center"/>
            </w:pPr>
            <w:r>
              <w:rPr>
                <w:sz w:val="18"/>
              </w:rPr>
              <w:t xml:space="preserve"> </w:t>
            </w:r>
          </w:p>
        </w:tc>
        <w:tc>
          <w:tcPr>
            <w:tcW w:w="900"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0" w:firstLine="0"/>
              <w:jc w:val="right"/>
            </w:pPr>
            <w:r>
              <w:rPr>
                <w:sz w:val="20"/>
              </w:rPr>
              <w:t xml:space="preserve">  </w:t>
            </w:r>
          </w:p>
        </w:tc>
        <w:tc>
          <w:tcPr>
            <w:tcW w:w="900"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0" w:firstLine="0"/>
              <w:jc w:val="right"/>
            </w:pPr>
            <w:r>
              <w:rPr>
                <w:sz w:val="20"/>
              </w:rPr>
              <w:t xml:space="preserve">  </w:t>
            </w:r>
          </w:p>
        </w:tc>
        <w:tc>
          <w:tcPr>
            <w:tcW w:w="989"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0" w:firstLine="0"/>
              <w:jc w:val="right"/>
            </w:pPr>
            <w:r>
              <w:rPr>
                <w:sz w:val="20"/>
              </w:rPr>
              <w:t xml:space="preserve">  </w:t>
            </w:r>
          </w:p>
        </w:tc>
        <w:tc>
          <w:tcPr>
            <w:tcW w:w="814"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0" w:firstLine="0"/>
              <w:jc w:val="right"/>
            </w:pPr>
            <w:r>
              <w:rPr>
                <w:sz w:val="20"/>
              </w:rPr>
              <w:t xml:space="preserve">  </w:t>
            </w:r>
          </w:p>
        </w:tc>
        <w:tc>
          <w:tcPr>
            <w:tcW w:w="720"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0" w:firstLine="0"/>
              <w:jc w:val="right"/>
            </w:pPr>
            <w:r>
              <w:rPr>
                <w:sz w:val="20"/>
              </w:rPr>
              <w:t xml:space="preserve">  </w:t>
            </w:r>
          </w:p>
        </w:tc>
      </w:tr>
      <w:tr w:rsidR="00E8309B">
        <w:trPr>
          <w:trHeight w:val="425"/>
        </w:trPr>
        <w:tc>
          <w:tcPr>
            <w:tcW w:w="3965"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2" w:right="0" w:firstLine="0"/>
              <w:jc w:val="left"/>
            </w:pPr>
            <w:r>
              <w:rPr>
                <w:sz w:val="18"/>
              </w:rPr>
              <w:t xml:space="preserve">15. Стопа ризика сиромаштва пре социјалних трансфера, % становништва </w:t>
            </w:r>
          </w:p>
        </w:tc>
        <w:tc>
          <w:tcPr>
            <w:tcW w:w="1342"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0" w:right="50" w:firstLine="0"/>
              <w:jc w:val="center"/>
            </w:pPr>
            <w:r>
              <w:rPr>
                <w:sz w:val="18"/>
              </w:rPr>
              <w:t xml:space="preserve">EU-SILC </w:t>
            </w:r>
          </w:p>
        </w:tc>
        <w:tc>
          <w:tcPr>
            <w:tcW w:w="900"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0" w:right="49" w:firstLine="0"/>
              <w:jc w:val="right"/>
            </w:pPr>
            <w:r>
              <w:rPr>
                <w:sz w:val="20"/>
              </w:rPr>
              <w:t xml:space="preserve">52,2 </w:t>
            </w:r>
          </w:p>
        </w:tc>
        <w:tc>
          <w:tcPr>
            <w:tcW w:w="900"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0" w:right="49" w:firstLine="0"/>
              <w:jc w:val="right"/>
            </w:pPr>
            <w:r>
              <w:rPr>
                <w:sz w:val="20"/>
              </w:rPr>
              <w:t xml:space="preserve">52,1 </w:t>
            </w:r>
          </w:p>
        </w:tc>
        <w:tc>
          <w:tcPr>
            <w:tcW w:w="989"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0" w:right="49" w:firstLine="0"/>
              <w:jc w:val="right"/>
            </w:pPr>
            <w:r>
              <w:rPr>
                <w:sz w:val="20"/>
              </w:rPr>
              <w:t xml:space="preserve">51,3 </w:t>
            </w:r>
          </w:p>
        </w:tc>
        <w:tc>
          <w:tcPr>
            <w:tcW w:w="814"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0" w:right="49" w:firstLine="0"/>
              <w:jc w:val="right"/>
            </w:pPr>
            <w:r>
              <w:rPr>
                <w:sz w:val="20"/>
              </w:rPr>
              <w:t xml:space="preserve">48,7 </w:t>
            </w:r>
          </w:p>
        </w:tc>
        <w:tc>
          <w:tcPr>
            <w:tcW w:w="720"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0" w:right="49" w:firstLine="0"/>
              <w:jc w:val="right"/>
            </w:pPr>
            <w:r>
              <w:rPr>
                <w:sz w:val="20"/>
              </w:rPr>
              <w:t xml:space="preserve">46,6 </w:t>
            </w:r>
          </w:p>
        </w:tc>
      </w:tr>
      <w:tr w:rsidR="00E8309B">
        <w:trPr>
          <w:trHeight w:val="310"/>
        </w:trPr>
        <w:tc>
          <w:tcPr>
            <w:tcW w:w="3965"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2" w:right="0" w:firstLine="0"/>
              <w:jc w:val="left"/>
            </w:pPr>
            <w:r>
              <w:rPr>
                <w:sz w:val="18"/>
              </w:rPr>
              <w:t xml:space="preserve">16. Стопа ризика од сиромаштва, у % </w:t>
            </w:r>
          </w:p>
        </w:tc>
        <w:tc>
          <w:tcPr>
            <w:tcW w:w="1342"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50" w:firstLine="0"/>
              <w:jc w:val="center"/>
            </w:pPr>
            <w:r>
              <w:rPr>
                <w:sz w:val="18"/>
              </w:rPr>
              <w:t xml:space="preserve">EU-SILC </w:t>
            </w:r>
          </w:p>
        </w:tc>
        <w:tc>
          <w:tcPr>
            <w:tcW w:w="900"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49" w:firstLine="0"/>
              <w:jc w:val="right"/>
            </w:pPr>
            <w:r>
              <w:rPr>
                <w:sz w:val="20"/>
              </w:rPr>
              <w:t xml:space="preserve">26,7 </w:t>
            </w:r>
          </w:p>
        </w:tc>
        <w:tc>
          <w:tcPr>
            <w:tcW w:w="900"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49" w:firstLine="0"/>
              <w:jc w:val="right"/>
            </w:pPr>
            <w:r>
              <w:rPr>
                <w:sz w:val="20"/>
              </w:rPr>
              <w:t xml:space="preserve">25,9 </w:t>
            </w:r>
          </w:p>
        </w:tc>
        <w:tc>
          <w:tcPr>
            <w:tcW w:w="989"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49" w:firstLine="0"/>
              <w:jc w:val="right"/>
            </w:pPr>
            <w:r>
              <w:rPr>
                <w:sz w:val="20"/>
              </w:rPr>
              <w:t xml:space="preserve">25,7 </w:t>
            </w:r>
          </w:p>
        </w:tc>
        <w:tc>
          <w:tcPr>
            <w:tcW w:w="814"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49" w:firstLine="0"/>
              <w:jc w:val="right"/>
            </w:pPr>
            <w:r>
              <w:rPr>
                <w:sz w:val="20"/>
              </w:rPr>
              <w:t xml:space="preserve">24,3 </w:t>
            </w:r>
          </w:p>
        </w:tc>
        <w:tc>
          <w:tcPr>
            <w:tcW w:w="720"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49" w:firstLine="0"/>
              <w:jc w:val="right"/>
            </w:pPr>
            <w:r>
              <w:rPr>
                <w:sz w:val="20"/>
              </w:rPr>
              <w:t xml:space="preserve">23,2 </w:t>
            </w:r>
          </w:p>
        </w:tc>
      </w:tr>
      <w:tr w:rsidR="00E8309B">
        <w:trPr>
          <w:trHeight w:val="310"/>
        </w:trPr>
        <w:tc>
          <w:tcPr>
            <w:tcW w:w="3965"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2" w:right="0" w:firstLine="0"/>
              <w:jc w:val="left"/>
            </w:pPr>
            <w:r>
              <w:rPr>
                <w:sz w:val="18"/>
              </w:rPr>
              <w:t xml:space="preserve">17. Релативни јаз ризика од сиромаштва, у % </w:t>
            </w:r>
          </w:p>
        </w:tc>
        <w:tc>
          <w:tcPr>
            <w:tcW w:w="1342"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50" w:firstLine="0"/>
              <w:jc w:val="center"/>
            </w:pPr>
            <w:r>
              <w:rPr>
                <w:sz w:val="18"/>
              </w:rPr>
              <w:t xml:space="preserve">EU-SILC </w:t>
            </w:r>
          </w:p>
        </w:tc>
        <w:tc>
          <w:tcPr>
            <w:tcW w:w="900"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49" w:firstLine="0"/>
              <w:jc w:val="right"/>
            </w:pPr>
            <w:r>
              <w:rPr>
                <w:sz w:val="20"/>
              </w:rPr>
              <w:t xml:space="preserve">37,5 </w:t>
            </w:r>
          </w:p>
        </w:tc>
        <w:tc>
          <w:tcPr>
            <w:tcW w:w="900"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49" w:firstLine="0"/>
              <w:jc w:val="right"/>
            </w:pPr>
            <w:r>
              <w:rPr>
                <w:sz w:val="20"/>
              </w:rPr>
              <w:t xml:space="preserve">39,4 </w:t>
            </w:r>
          </w:p>
        </w:tc>
        <w:tc>
          <w:tcPr>
            <w:tcW w:w="989"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49" w:firstLine="0"/>
              <w:jc w:val="right"/>
            </w:pPr>
            <w:r>
              <w:rPr>
                <w:sz w:val="20"/>
              </w:rPr>
              <w:t xml:space="preserve">38,8 </w:t>
            </w:r>
          </w:p>
        </w:tc>
        <w:tc>
          <w:tcPr>
            <w:tcW w:w="814"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49" w:firstLine="0"/>
              <w:jc w:val="right"/>
            </w:pPr>
            <w:r>
              <w:rPr>
                <w:sz w:val="20"/>
              </w:rPr>
              <w:t xml:space="preserve">37,4 </w:t>
            </w:r>
          </w:p>
        </w:tc>
        <w:tc>
          <w:tcPr>
            <w:tcW w:w="720"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49" w:firstLine="0"/>
              <w:jc w:val="right"/>
            </w:pPr>
            <w:r>
              <w:rPr>
                <w:sz w:val="20"/>
              </w:rPr>
              <w:t xml:space="preserve">32,1 </w:t>
            </w:r>
          </w:p>
        </w:tc>
      </w:tr>
      <w:tr w:rsidR="00E8309B">
        <w:trPr>
          <w:trHeight w:val="461"/>
        </w:trPr>
        <w:tc>
          <w:tcPr>
            <w:tcW w:w="9631" w:type="dxa"/>
            <w:gridSpan w:val="7"/>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0" w:right="45" w:firstLine="0"/>
              <w:jc w:val="center"/>
            </w:pPr>
            <w:r>
              <w:rPr>
                <w:sz w:val="18"/>
              </w:rPr>
              <w:t xml:space="preserve">Други показатељи који се користе у Прегледу социјалних показатеља ЕУ (EU Social Scoreboard) </w:t>
            </w:r>
          </w:p>
        </w:tc>
      </w:tr>
      <w:tr w:rsidR="00E8309B">
        <w:trPr>
          <w:trHeight w:val="838"/>
        </w:trPr>
        <w:tc>
          <w:tcPr>
            <w:tcW w:w="3965"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2" w:right="0" w:firstLine="0"/>
              <w:jc w:val="left"/>
            </w:pPr>
            <w:r>
              <w:rPr>
                <w:sz w:val="18"/>
              </w:rPr>
              <w:t xml:space="preserve">18. Реални кориговани бруто расположиви доходак домаћинства (GDHI) – по глави становника у PPS (стандард куповне моћи) (Индекс 2008=100) </w:t>
            </w:r>
          </w:p>
        </w:tc>
        <w:tc>
          <w:tcPr>
            <w:tcW w:w="1342"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8" w:firstLine="0"/>
              <w:jc w:val="center"/>
            </w:pPr>
            <w:r>
              <w:rPr>
                <w:sz w:val="18"/>
              </w:rPr>
              <w:t xml:space="preserve"> </w:t>
            </w:r>
          </w:p>
        </w:tc>
        <w:tc>
          <w:tcPr>
            <w:tcW w:w="900"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0" w:firstLine="0"/>
              <w:jc w:val="left"/>
            </w:pPr>
            <w:r>
              <w:rPr>
                <w:sz w:val="18"/>
              </w:rPr>
              <w:t xml:space="preserve">  </w:t>
            </w:r>
          </w:p>
        </w:tc>
        <w:tc>
          <w:tcPr>
            <w:tcW w:w="900"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0" w:firstLine="0"/>
              <w:jc w:val="left"/>
            </w:pPr>
            <w:r>
              <w:rPr>
                <w:sz w:val="18"/>
              </w:rPr>
              <w:t xml:space="preserve">  </w:t>
            </w:r>
          </w:p>
        </w:tc>
        <w:tc>
          <w:tcPr>
            <w:tcW w:w="989"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0" w:firstLine="0"/>
              <w:jc w:val="left"/>
            </w:pPr>
            <w:r>
              <w:rPr>
                <w:sz w:val="18"/>
              </w:rPr>
              <w:t xml:space="preserve">  </w:t>
            </w:r>
          </w:p>
        </w:tc>
        <w:tc>
          <w:tcPr>
            <w:tcW w:w="814"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0" w:firstLine="0"/>
              <w:jc w:val="left"/>
            </w:pPr>
            <w:r>
              <w:rPr>
                <w:sz w:val="18"/>
              </w:rPr>
              <w:t xml:space="preserve">  </w:t>
            </w:r>
          </w:p>
        </w:tc>
        <w:tc>
          <w:tcPr>
            <w:tcW w:w="720"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0" w:firstLine="0"/>
              <w:jc w:val="left"/>
            </w:pPr>
            <w:r>
              <w:rPr>
                <w:sz w:val="18"/>
              </w:rPr>
              <w:t xml:space="preserve">  </w:t>
            </w:r>
          </w:p>
        </w:tc>
      </w:tr>
      <w:tr w:rsidR="00E8309B">
        <w:trPr>
          <w:trHeight w:val="425"/>
        </w:trPr>
        <w:tc>
          <w:tcPr>
            <w:tcW w:w="3965"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2" w:right="0" w:firstLine="0"/>
              <w:jc w:val="left"/>
            </w:pPr>
            <w:r>
              <w:rPr>
                <w:sz w:val="18"/>
              </w:rPr>
              <w:t xml:space="preserve">19. Утицај социјалних трансфера (осим пензија) на смањење сиромаштва </w:t>
            </w:r>
          </w:p>
        </w:tc>
        <w:tc>
          <w:tcPr>
            <w:tcW w:w="1342"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0" w:right="50" w:firstLine="0"/>
              <w:jc w:val="center"/>
            </w:pPr>
            <w:r>
              <w:rPr>
                <w:sz w:val="18"/>
              </w:rPr>
              <w:t xml:space="preserve">EU-SILC </w:t>
            </w:r>
          </w:p>
        </w:tc>
        <w:tc>
          <w:tcPr>
            <w:tcW w:w="900"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0" w:right="49" w:firstLine="0"/>
              <w:jc w:val="right"/>
            </w:pPr>
            <w:r>
              <w:rPr>
                <w:sz w:val="20"/>
              </w:rPr>
              <w:t xml:space="preserve">33,4 </w:t>
            </w:r>
          </w:p>
        </w:tc>
        <w:tc>
          <w:tcPr>
            <w:tcW w:w="900"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0" w:right="49" w:firstLine="0"/>
              <w:jc w:val="right"/>
            </w:pPr>
            <w:r>
              <w:rPr>
                <w:sz w:val="20"/>
              </w:rPr>
              <w:t xml:space="preserve">32,9 </w:t>
            </w:r>
          </w:p>
        </w:tc>
        <w:tc>
          <w:tcPr>
            <w:tcW w:w="989"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0" w:right="49" w:firstLine="0"/>
              <w:jc w:val="right"/>
            </w:pPr>
            <w:r>
              <w:rPr>
                <w:sz w:val="20"/>
              </w:rPr>
              <w:t xml:space="preserve">31,6 </w:t>
            </w:r>
          </w:p>
        </w:tc>
        <w:tc>
          <w:tcPr>
            <w:tcW w:w="814"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0" w:right="49" w:firstLine="0"/>
              <w:jc w:val="right"/>
            </w:pPr>
            <w:r>
              <w:rPr>
                <w:sz w:val="20"/>
              </w:rPr>
              <w:t xml:space="preserve">29,6 </w:t>
            </w:r>
          </w:p>
        </w:tc>
        <w:tc>
          <w:tcPr>
            <w:tcW w:w="720"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0" w:right="49" w:firstLine="0"/>
              <w:jc w:val="right"/>
            </w:pPr>
            <w:r>
              <w:rPr>
                <w:sz w:val="20"/>
              </w:rPr>
              <w:t xml:space="preserve">28,3 </w:t>
            </w:r>
          </w:p>
        </w:tc>
      </w:tr>
      <w:tr w:rsidR="00E8309B">
        <w:trPr>
          <w:trHeight w:val="631"/>
        </w:trPr>
        <w:tc>
          <w:tcPr>
            <w:tcW w:w="3965"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2" w:right="0" w:firstLine="0"/>
              <w:jc w:val="left"/>
            </w:pPr>
            <w:r>
              <w:rPr>
                <w:sz w:val="18"/>
              </w:rPr>
              <w:t xml:space="preserve">20. Лично пријављена неиспуњена потреба за медицинском негом </w:t>
            </w:r>
            <w:r>
              <w:rPr>
                <w:i/>
                <w:sz w:val="18"/>
              </w:rPr>
              <w:t>(индикатор се односи на особе узраста 16 и више година)</w:t>
            </w:r>
            <w:r>
              <w:rPr>
                <w:sz w:val="18"/>
              </w:rPr>
              <w:t xml:space="preserve"> </w:t>
            </w:r>
          </w:p>
        </w:tc>
        <w:tc>
          <w:tcPr>
            <w:tcW w:w="1342"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0" w:right="50" w:firstLine="0"/>
              <w:jc w:val="center"/>
            </w:pPr>
            <w:r>
              <w:rPr>
                <w:sz w:val="18"/>
              </w:rPr>
              <w:t xml:space="preserve">EU-SILC </w:t>
            </w:r>
          </w:p>
        </w:tc>
        <w:tc>
          <w:tcPr>
            <w:tcW w:w="900"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0" w:right="49" w:firstLine="0"/>
              <w:jc w:val="right"/>
            </w:pPr>
            <w:r>
              <w:rPr>
                <w:sz w:val="20"/>
              </w:rPr>
              <w:t xml:space="preserve">14,6 </w:t>
            </w:r>
          </w:p>
        </w:tc>
        <w:tc>
          <w:tcPr>
            <w:tcW w:w="900"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0" w:right="49" w:firstLine="0"/>
              <w:jc w:val="right"/>
            </w:pPr>
            <w:r>
              <w:rPr>
                <w:sz w:val="20"/>
              </w:rPr>
              <w:t xml:space="preserve">10,5 </w:t>
            </w:r>
          </w:p>
        </w:tc>
        <w:tc>
          <w:tcPr>
            <w:tcW w:w="989"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0" w:right="49" w:firstLine="0"/>
              <w:jc w:val="right"/>
            </w:pPr>
            <w:r>
              <w:rPr>
                <w:sz w:val="20"/>
              </w:rPr>
              <w:t xml:space="preserve">11,9 </w:t>
            </w:r>
          </w:p>
        </w:tc>
        <w:tc>
          <w:tcPr>
            <w:tcW w:w="814"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0" w:right="49" w:firstLine="0"/>
              <w:jc w:val="right"/>
            </w:pPr>
            <w:r>
              <w:rPr>
                <w:sz w:val="20"/>
              </w:rPr>
              <w:t xml:space="preserve">11,8 </w:t>
            </w:r>
          </w:p>
        </w:tc>
        <w:tc>
          <w:tcPr>
            <w:tcW w:w="720"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0" w:right="49" w:firstLine="0"/>
              <w:jc w:val="right"/>
            </w:pPr>
            <w:r>
              <w:rPr>
                <w:sz w:val="20"/>
              </w:rPr>
              <w:t xml:space="preserve">10,2 </w:t>
            </w:r>
          </w:p>
        </w:tc>
      </w:tr>
      <w:tr w:rsidR="00E8309B">
        <w:trPr>
          <w:trHeight w:val="632"/>
        </w:trPr>
        <w:tc>
          <w:tcPr>
            <w:tcW w:w="3965"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2" w:right="0" w:firstLine="0"/>
              <w:jc w:val="left"/>
            </w:pPr>
            <w:r>
              <w:rPr>
                <w:sz w:val="18"/>
              </w:rPr>
              <w:t xml:space="preserve">21. Ниво дигиталних вештина појединаца (% лица са укупним дигиталним вештинама на основном или напреднијем нивоу) </w:t>
            </w:r>
          </w:p>
        </w:tc>
        <w:tc>
          <w:tcPr>
            <w:tcW w:w="1342"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8" w:firstLine="0"/>
              <w:jc w:val="center"/>
            </w:pPr>
            <w:r>
              <w:rPr>
                <w:sz w:val="18"/>
              </w:rPr>
              <w:t xml:space="preserve"> </w:t>
            </w:r>
          </w:p>
        </w:tc>
        <w:tc>
          <w:tcPr>
            <w:tcW w:w="900"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0" w:right="0" w:firstLine="0"/>
              <w:jc w:val="right"/>
            </w:pPr>
            <w:r>
              <w:rPr>
                <w:sz w:val="20"/>
              </w:rPr>
              <w:t xml:space="preserve">  </w:t>
            </w:r>
          </w:p>
        </w:tc>
        <w:tc>
          <w:tcPr>
            <w:tcW w:w="900"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0" w:right="0" w:firstLine="0"/>
              <w:jc w:val="right"/>
            </w:pPr>
            <w:r>
              <w:rPr>
                <w:sz w:val="20"/>
              </w:rPr>
              <w:t xml:space="preserve">  </w:t>
            </w:r>
          </w:p>
        </w:tc>
        <w:tc>
          <w:tcPr>
            <w:tcW w:w="989"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0" w:right="0" w:firstLine="0"/>
              <w:jc w:val="right"/>
            </w:pPr>
            <w:r>
              <w:rPr>
                <w:sz w:val="20"/>
              </w:rPr>
              <w:t xml:space="preserve">  </w:t>
            </w:r>
          </w:p>
        </w:tc>
        <w:tc>
          <w:tcPr>
            <w:tcW w:w="814"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0" w:right="0" w:firstLine="0"/>
              <w:jc w:val="right"/>
            </w:pPr>
            <w:r>
              <w:rPr>
                <w:sz w:val="20"/>
              </w:rPr>
              <w:t xml:space="preserve">  </w:t>
            </w:r>
          </w:p>
        </w:tc>
        <w:tc>
          <w:tcPr>
            <w:tcW w:w="720" w:type="dxa"/>
            <w:tcBorders>
              <w:top w:val="single" w:sz="4" w:space="0" w:color="000000"/>
              <w:left w:val="single" w:sz="4" w:space="0" w:color="000000"/>
              <w:bottom w:val="single" w:sz="4" w:space="0" w:color="000000"/>
              <w:right w:val="single" w:sz="4" w:space="0" w:color="000000"/>
            </w:tcBorders>
            <w:vAlign w:val="center"/>
          </w:tcPr>
          <w:p w:rsidR="00E8309B" w:rsidRDefault="009D0949">
            <w:pPr>
              <w:spacing w:after="0" w:line="259" w:lineRule="auto"/>
              <w:ind w:left="0" w:right="0" w:firstLine="0"/>
              <w:jc w:val="right"/>
            </w:pPr>
            <w:r>
              <w:rPr>
                <w:sz w:val="20"/>
              </w:rPr>
              <w:t xml:space="preserve">  </w:t>
            </w:r>
          </w:p>
        </w:tc>
      </w:tr>
    </w:tbl>
    <w:p w:rsidR="00E8309B" w:rsidRDefault="009D0949">
      <w:pPr>
        <w:spacing w:after="0" w:line="259" w:lineRule="auto"/>
        <w:ind w:left="0" w:right="0" w:firstLine="0"/>
        <w:jc w:val="left"/>
      </w:pPr>
      <w:r>
        <w:rPr>
          <w:b/>
          <w:sz w:val="22"/>
        </w:rPr>
        <w:t xml:space="preserve"> </w:t>
      </w:r>
    </w:p>
    <w:p w:rsidR="00E8309B" w:rsidRDefault="009D0949">
      <w:pPr>
        <w:pStyle w:val="Heading1"/>
        <w:numPr>
          <w:ilvl w:val="0"/>
          <w:numId w:val="0"/>
        </w:numPr>
        <w:spacing w:after="0" w:line="259" w:lineRule="auto"/>
      </w:pPr>
      <w:r>
        <w:rPr>
          <w:sz w:val="20"/>
        </w:rPr>
        <w:t xml:space="preserve">Табела 10: Ефекти структурних реформи на буџет </w:t>
      </w:r>
    </w:p>
    <w:p w:rsidR="00E8309B" w:rsidRDefault="009D0949">
      <w:pPr>
        <w:spacing w:after="0" w:line="259" w:lineRule="auto"/>
        <w:ind w:left="0" w:right="0" w:firstLine="0"/>
        <w:jc w:val="left"/>
      </w:pPr>
      <w:r>
        <w:rPr>
          <w:sz w:val="22"/>
        </w:rPr>
        <w:t xml:space="preserve"> </w:t>
      </w:r>
    </w:p>
    <w:p w:rsidR="00E8309B" w:rsidRDefault="009D0949">
      <w:pPr>
        <w:spacing w:after="0" w:line="259" w:lineRule="auto"/>
        <w:ind w:left="103" w:right="0"/>
        <w:jc w:val="left"/>
      </w:pPr>
      <w:r>
        <w:rPr>
          <w:b/>
          <w:sz w:val="20"/>
        </w:rPr>
        <w:t>Табела 10а: Трошкови структурних реформских мера у периоду 2021-</w:t>
      </w:r>
      <w:r>
        <w:rPr>
          <w:b/>
          <w:sz w:val="20"/>
        </w:rPr>
        <w:t xml:space="preserve">2023. година у еврима </w:t>
      </w:r>
    </w:p>
    <w:tbl>
      <w:tblPr>
        <w:tblStyle w:val="TableGrid"/>
        <w:tblW w:w="9252" w:type="dxa"/>
        <w:tblInd w:w="3" w:type="dxa"/>
        <w:tblCellMar>
          <w:top w:w="15" w:type="dxa"/>
          <w:left w:w="105" w:type="dxa"/>
          <w:bottom w:w="1" w:type="dxa"/>
          <w:right w:w="56" w:type="dxa"/>
        </w:tblCellMar>
        <w:tblLook w:val="04A0" w:firstRow="1" w:lastRow="0" w:firstColumn="1" w:lastColumn="0" w:noHBand="0" w:noVBand="1"/>
      </w:tblPr>
      <w:tblGrid>
        <w:gridCol w:w="1120"/>
        <w:gridCol w:w="1489"/>
        <w:gridCol w:w="1855"/>
        <w:gridCol w:w="1467"/>
        <w:gridCol w:w="1467"/>
        <w:gridCol w:w="1855"/>
      </w:tblGrid>
      <w:tr w:rsidR="00E8309B">
        <w:trPr>
          <w:trHeight w:val="299"/>
        </w:trPr>
        <w:tc>
          <w:tcPr>
            <w:tcW w:w="9252" w:type="dxa"/>
            <w:gridSpan w:val="6"/>
            <w:tcBorders>
              <w:top w:val="single" w:sz="8" w:space="0" w:color="000000"/>
              <w:left w:val="single" w:sz="8" w:space="0" w:color="000000"/>
              <w:bottom w:val="single" w:sz="8" w:space="0" w:color="000000"/>
              <w:right w:val="single" w:sz="8" w:space="0" w:color="000000"/>
            </w:tcBorders>
            <w:shd w:val="clear" w:color="auto" w:fill="D0CECE"/>
            <w:vAlign w:val="bottom"/>
          </w:tcPr>
          <w:p w:rsidR="00E8309B" w:rsidRDefault="009D0949">
            <w:pPr>
              <w:spacing w:after="0" w:line="259" w:lineRule="auto"/>
              <w:ind w:left="0" w:right="0" w:firstLine="0"/>
              <w:jc w:val="left"/>
            </w:pPr>
            <w:r>
              <w:rPr>
                <w:b/>
                <w:sz w:val="20"/>
              </w:rPr>
              <w:t xml:space="preserve">1. Развој енергетског тржишта уз изградњу енергетске инфраструктуре </w:t>
            </w:r>
          </w:p>
        </w:tc>
      </w:tr>
      <w:tr w:rsidR="00E8309B">
        <w:trPr>
          <w:trHeight w:val="461"/>
        </w:trPr>
        <w:tc>
          <w:tcPr>
            <w:tcW w:w="1120" w:type="dxa"/>
            <w:tcBorders>
              <w:top w:val="single" w:sz="8" w:space="0" w:color="000000"/>
              <w:left w:val="single" w:sz="8" w:space="0" w:color="000000"/>
              <w:bottom w:val="single" w:sz="8" w:space="0" w:color="000000"/>
              <w:right w:val="single" w:sz="8" w:space="0" w:color="000000"/>
            </w:tcBorders>
            <w:vAlign w:val="bottom"/>
          </w:tcPr>
          <w:p w:rsidR="00E8309B" w:rsidRDefault="009D0949">
            <w:pPr>
              <w:spacing w:after="0" w:line="259" w:lineRule="auto"/>
              <w:ind w:left="0" w:right="56" w:firstLine="0"/>
              <w:jc w:val="center"/>
            </w:pPr>
            <w:r>
              <w:rPr>
                <w:b/>
                <w:sz w:val="20"/>
              </w:rPr>
              <w:t>Година</w:t>
            </w:r>
            <w:r>
              <w:rPr>
                <w:sz w:val="20"/>
              </w:rPr>
              <w:t xml:space="preserve">  </w:t>
            </w:r>
          </w:p>
        </w:tc>
        <w:tc>
          <w:tcPr>
            <w:tcW w:w="1489" w:type="dxa"/>
            <w:tcBorders>
              <w:top w:val="single" w:sz="8" w:space="0" w:color="000000"/>
              <w:left w:val="single" w:sz="8" w:space="0" w:color="000000"/>
              <w:bottom w:val="single" w:sz="8" w:space="0" w:color="000000"/>
              <w:right w:val="single" w:sz="8" w:space="0" w:color="000000"/>
            </w:tcBorders>
            <w:vAlign w:val="bottom"/>
          </w:tcPr>
          <w:p w:rsidR="00E8309B" w:rsidRDefault="009D0949">
            <w:pPr>
              <w:spacing w:after="0" w:line="259" w:lineRule="auto"/>
              <w:ind w:left="0" w:right="52" w:firstLine="0"/>
              <w:jc w:val="center"/>
            </w:pPr>
            <w:r>
              <w:rPr>
                <w:sz w:val="20"/>
              </w:rPr>
              <w:t xml:space="preserve">Плате </w:t>
            </w:r>
          </w:p>
        </w:tc>
        <w:tc>
          <w:tcPr>
            <w:tcW w:w="1855" w:type="dxa"/>
            <w:tcBorders>
              <w:top w:val="single" w:sz="8" w:space="0" w:color="000000"/>
              <w:left w:val="single" w:sz="8" w:space="0" w:color="000000"/>
              <w:bottom w:val="single" w:sz="8" w:space="0" w:color="000000"/>
              <w:right w:val="single" w:sz="8" w:space="0" w:color="000000"/>
            </w:tcBorders>
            <w:vAlign w:val="bottom"/>
          </w:tcPr>
          <w:p w:rsidR="00E8309B" w:rsidRDefault="009D0949">
            <w:pPr>
              <w:spacing w:after="0" w:line="259" w:lineRule="auto"/>
              <w:ind w:left="0" w:right="53" w:firstLine="0"/>
              <w:jc w:val="center"/>
            </w:pPr>
            <w:r>
              <w:rPr>
                <w:sz w:val="20"/>
              </w:rPr>
              <w:t xml:space="preserve">Добра и услуге </w:t>
            </w:r>
          </w:p>
        </w:tc>
        <w:tc>
          <w:tcPr>
            <w:tcW w:w="1467"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0" w:firstLine="0"/>
              <w:jc w:val="center"/>
            </w:pPr>
            <w:r>
              <w:rPr>
                <w:sz w:val="20"/>
              </w:rPr>
              <w:t xml:space="preserve">Субвенције и трансфери </w:t>
            </w:r>
          </w:p>
        </w:tc>
        <w:tc>
          <w:tcPr>
            <w:tcW w:w="1467"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0" w:firstLine="0"/>
              <w:jc w:val="center"/>
            </w:pPr>
            <w:r>
              <w:rPr>
                <w:sz w:val="20"/>
              </w:rPr>
              <w:t xml:space="preserve">Капитални расходи </w:t>
            </w:r>
          </w:p>
        </w:tc>
        <w:tc>
          <w:tcPr>
            <w:tcW w:w="1855" w:type="dxa"/>
            <w:tcBorders>
              <w:top w:val="single" w:sz="8" w:space="0" w:color="000000"/>
              <w:left w:val="single" w:sz="8" w:space="0" w:color="000000"/>
              <w:bottom w:val="single" w:sz="8" w:space="0" w:color="000000"/>
              <w:right w:val="single" w:sz="8" w:space="0" w:color="000000"/>
            </w:tcBorders>
            <w:vAlign w:val="bottom"/>
          </w:tcPr>
          <w:p w:rsidR="00E8309B" w:rsidRDefault="009D0949">
            <w:pPr>
              <w:spacing w:after="0" w:line="259" w:lineRule="auto"/>
              <w:ind w:left="0" w:right="50" w:firstLine="0"/>
              <w:jc w:val="center"/>
            </w:pPr>
            <w:r>
              <w:rPr>
                <w:sz w:val="20"/>
              </w:rPr>
              <w:t xml:space="preserve">Укупно </w:t>
            </w:r>
          </w:p>
        </w:tc>
      </w:tr>
      <w:tr w:rsidR="00E8309B">
        <w:trPr>
          <w:trHeight w:val="305"/>
        </w:trPr>
        <w:tc>
          <w:tcPr>
            <w:tcW w:w="1120"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3" w:firstLine="0"/>
              <w:jc w:val="center"/>
            </w:pPr>
            <w:r>
              <w:rPr>
                <w:sz w:val="20"/>
              </w:rPr>
              <w:t xml:space="preserve">2021 </w:t>
            </w:r>
          </w:p>
        </w:tc>
        <w:tc>
          <w:tcPr>
            <w:tcW w:w="1489"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4" w:firstLine="0"/>
              <w:jc w:val="right"/>
            </w:pPr>
            <w:r>
              <w:rPr>
                <w:sz w:val="20"/>
              </w:rPr>
              <w:t xml:space="preserve">0 </w:t>
            </w:r>
          </w:p>
        </w:tc>
        <w:tc>
          <w:tcPr>
            <w:tcW w:w="1855"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0" w:firstLine="0"/>
              <w:jc w:val="right"/>
            </w:pPr>
            <w:r>
              <w:rPr>
                <w:sz w:val="20"/>
              </w:rPr>
              <w:t xml:space="preserve">179.010,96 </w:t>
            </w:r>
          </w:p>
        </w:tc>
        <w:tc>
          <w:tcPr>
            <w:tcW w:w="1467"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1" w:firstLine="0"/>
              <w:jc w:val="right"/>
            </w:pPr>
            <w:r>
              <w:rPr>
                <w:sz w:val="20"/>
              </w:rPr>
              <w:t xml:space="preserve">0 </w:t>
            </w:r>
          </w:p>
        </w:tc>
        <w:tc>
          <w:tcPr>
            <w:tcW w:w="1467"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49" w:firstLine="0"/>
              <w:jc w:val="right"/>
            </w:pPr>
            <w:r>
              <w:rPr>
                <w:sz w:val="20"/>
              </w:rPr>
              <w:t xml:space="preserve">17.162.577,65 </w:t>
            </w:r>
          </w:p>
        </w:tc>
        <w:tc>
          <w:tcPr>
            <w:tcW w:w="1855"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0" w:firstLine="0"/>
              <w:jc w:val="right"/>
            </w:pPr>
            <w:r>
              <w:rPr>
                <w:sz w:val="20"/>
              </w:rPr>
              <w:t xml:space="preserve">17.341.588,61 </w:t>
            </w:r>
          </w:p>
        </w:tc>
      </w:tr>
      <w:tr w:rsidR="00E8309B">
        <w:trPr>
          <w:trHeight w:val="305"/>
        </w:trPr>
        <w:tc>
          <w:tcPr>
            <w:tcW w:w="1120"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3" w:firstLine="0"/>
              <w:jc w:val="center"/>
            </w:pPr>
            <w:r>
              <w:rPr>
                <w:sz w:val="20"/>
              </w:rPr>
              <w:t xml:space="preserve">2022 </w:t>
            </w:r>
          </w:p>
        </w:tc>
        <w:tc>
          <w:tcPr>
            <w:tcW w:w="1489"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4" w:firstLine="0"/>
              <w:jc w:val="right"/>
            </w:pPr>
            <w:r>
              <w:rPr>
                <w:sz w:val="20"/>
              </w:rPr>
              <w:t xml:space="preserve">0 </w:t>
            </w:r>
          </w:p>
        </w:tc>
        <w:tc>
          <w:tcPr>
            <w:tcW w:w="1855"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0" w:firstLine="0"/>
              <w:jc w:val="right"/>
            </w:pPr>
            <w:r>
              <w:rPr>
                <w:sz w:val="20"/>
              </w:rPr>
              <w:t xml:space="preserve">105.841,76 </w:t>
            </w:r>
          </w:p>
        </w:tc>
        <w:tc>
          <w:tcPr>
            <w:tcW w:w="1467"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1" w:firstLine="0"/>
              <w:jc w:val="right"/>
            </w:pPr>
            <w:r>
              <w:rPr>
                <w:sz w:val="20"/>
              </w:rPr>
              <w:t xml:space="preserve">0 </w:t>
            </w:r>
          </w:p>
        </w:tc>
        <w:tc>
          <w:tcPr>
            <w:tcW w:w="1467"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1" w:firstLine="0"/>
              <w:jc w:val="right"/>
            </w:pPr>
            <w:r>
              <w:rPr>
                <w:sz w:val="20"/>
              </w:rPr>
              <w:t xml:space="preserve">3.093.191.66 </w:t>
            </w:r>
          </w:p>
        </w:tc>
        <w:tc>
          <w:tcPr>
            <w:tcW w:w="1855"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0" w:firstLine="0"/>
              <w:jc w:val="right"/>
            </w:pPr>
            <w:r>
              <w:rPr>
                <w:sz w:val="20"/>
              </w:rPr>
              <w:t xml:space="preserve">3.199.033,42 </w:t>
            </w:r>
          </w:p>
        </w:tc>
      </w:tr>
      <w:tr w:rsidR="00E8309B">
        <w:trPr>
          <w:trHeight w:val="307"/>
        </w:trPr>
        <w:tc>
          <w:tcPr>
            <w:tcW w:w="1120"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3" w:firstLine="0"/>
              <w:jc w:val="center"/>
            </w:pPr>
            <w:r>
              <w:rPr>
                <w:sz w:val="20"/>
              </w:rPr>
              <w:t xml:space="preserve">2023 </w:t>
            </w:r>
          </w:p>
        </w:tc>
        <w:tc>
          <w:tcPr>
            <w:tcW w:w="1489"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4" w:firstLine="0"/>
              <w:jc w:val="right"/>
            </w:pPr>
            <w:r>
              <w:rPr>
                <w:sz w:val="20"/>
              </w:rPr>
              <w:t xml:space="preserve">0 </w:t>
            </w:r>
          </w:p>
        </w:tc>
        <w:tc>
          <w:tcPr>
            <w:tcW w:w="1855"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0" w:firstLine="0"/>
              <w:jc w:val="right"/>
            </w:pPr>
            <w:r>
              <w:rPr>
                <w:sz w:val="20"/>
              </w:rPr>
              <w:t xml:space="preserve">18.906,72 </w:t>
            </w:r>
          </w:p>
        </w:tc>
        <w:tc>
          <w:tcPr>
            <w:tcW w:w="1467"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1" w:firstLine="0"/>
              <w:jc w:val="right"/>
            </w:pPr>
            <w:r>
              <w:rPr>
                <w:sz w:val="20"/>
              </w:rPr>
              <w:t xml:space="preserve">0 </w:t>
            </w:r>
          </w:p>
        </w:tc>
        <w:tc>
          <w:tcPr>
            <w:tcW w:w="1467"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1" w:firstLine="0"/>
              <w:jc w:val="right"/>
            </w:pPr>
            <w:r>
              <w:rPr>
                <w:sz w:val="20"/>
              </w:rPr>
              <w:t xml:space="preserve">22.830.000,00 </w:t>
            </w:r>
          </w:p>
        </w:tc>
        <w:tc>
          <w:tcPr>
            <w:tcW w:w="1855"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0" w:firstLine="0"/>
              <w:jc w:val="right"/>
            </w:pPr>
            <w:r>
              <w:rPr>
                <w:sz w:val="20"/>
              </w:rPr>
              <w:t xml:space="preserve">22.848.906,72 </w:t>
            </w:r>
          </w:p>
        </w:tc>
      </w:tr>
      <w:tr w:rsidR="00E8309B">
        <w:trPr>
          <w:trHeight w:val="454"/>
        </w:trPr>
        <w:tc>
          <w:tcPr>
            <w:tcW w:w="9252" w:type="dxa"/>
            <w:gridSpan w:val="6"/>
            <w:tcBorders>
              <w:top w:val="single" w:sz="8" w:space="0" w:color="000000"/>
              <w:left w:val="single" w:sz="8" w:space="0" w:color="000000"/>
              <w:bottom w:val="single" w:sz="8" w:space="0" w:color="000000"/>
              <w:right w:val="single" w:sz="8" w:space="0" w:color="000000"/>
            </w:tcBorders>
            <w:shd w:val="clear" w:color="auto" w:fill="D0CECE"/>
          </w:tcPr>
          <w:p w:rsidR="00E8309B" w:rsidRDefault="009D0949">
            <w:pPr>
              <w:spacing w:after="0" w:line="259" w:lineRule="auto"/>
              <w:ind w:left="0" w:right="0" w:firstLine="0"/>
              <w:jc w:val="left"/>
            </w:pPr>
            <w:r>
              <w:rPr>
                <w:b/>
                <w:sz w:val="20"/>
              </w:rPr>
              <w:t xml:space="preserve">2. Унапређење услова за повећање енергетске ефикасности кроз хармонизацију законодавног оквира и успостављање одрживог начина финансирања пројеката енергетске ефикасности  </w:t>
            </w:r>
          </w:p>
        </w:tc>
      </w:tr>
      <w:tr w:rsidR="00E8309B">
        <w:trPr>
          <w:trHeight w:val="458"/>
        </w:trPr>
        <w:tc>
          <w:tcPr>
            <w:tcW w:w="1120" w:type="dxa"/>
            <w:tcBorders>
              <w:top w:val="single" w:sz="8" w:space="0" w:color="000000"/>
              <w:left w:val="single" w:sz="8" w:space="0" w:color="000000"/>
              <w:bottom w:val="single" w:sz="8" w:space="0" w:color="000000"/>
              <w:right w:val="single" w:sz="8" w:space="0" w:color="000000"/>
            </w:tcBorders>
            <w:vAlign w:val="bottom"/>
          </w:tcPr>
          <w:p w:rsidR="00E8309B" w:rsidRDefault="009D0949">
            <w:pPr>
              <w:spacing w:after="0" w:line="259" w:lineRule="auto"/>
              <w:ind w:left="0" w:right="56" w:firstLine="0"/>
              <w:jc w:val="center"/>
            </w:pPr>
            <w:r>
              <w:rPr>
                <w:b/>
                <w:sz w:val="20"/>
              </w:rPr>
              <w:t>Година</w:t>
            </w:r>
            <w:r>
              <w:rPr>
                <w:sz w:val="20"/>
              </w:rPr>
              <w:t xml:space="preserve">  </w:t>
            </w:r>
          </w:p>
        </w:tc>
        <w:tc>
          <w:tcPr>
            <w:tcW w:w="1489" w:type="dxa"/>
            <w:tcBorders>
              <w:top w:val="single" w:sz="8" w:space="0" w:color="000000"/>
              <w:left w:val="single" w:sz="8" w:space="0" w:color="000000"/>
              <w:bottom w:val="single" w:sz="8" w:space="0" w:color="000000"/>
              <w:right w:val="single" w:sz="8" w:space="0" w:color="000000"/>
            </w:tcBorders>
            <w:vAlign w:val="bottom"/>
          </w:tcPr>
          <w:p w:rsidR="00E8309B" w:rsidRDefault="009D0949">
            <w:pPr>
              <w:spacing w:after="0" w:line="259" w:lineRule="auto"/>
              <w:ind w:left="0" w:right="52" w:firstLine="0"/>
              <w:jc w:val="center"/>
            </w:pPr>
            <w:r>
              <w:rPr>
                <w:sz w:val="20"/>
              </w:rPr>
              <w:t xml:space="preserve">Плате </w:t>
            </w:r>
          </w:p>
        </w:tc>
        <w:tc>
          <w:tcPr>
            <w:tcW w:w="1855" w:type="dxa"/>
            <w:tcBorders>
              <w:top w:val="single" w:sz="8" w:space="0" w:color="000000"/>
              <w:left w:val="single" w:sz="8" w:space="0" w:color="000000"/>
              <w:bottom w:val="single" w:sz="8" w:space="0" w:color="000000"/>
              <w:right w:val="single" w:sz="8" w:space="0" w:color="000000"/>
            </w:tcBorders>
            <w:vAlign w:val="bottom"/>
          </w:tcPr>
          <w:p w:rsidR="00E8309B" w:rsidRDefault="009D0949">
            <w:pPr>
              <w:spacing w:after="0" w:line="259" w:lineRule="auto"/>
              <w:ind w:left="0" w:right="53" w:firstLine="0"/>
              <w:jc w:val="center"/>
            </w:pPr>
            <w:r>
              <w:rPr>
                <w:sz w:val="20"/>
              </w:rPr>
              <w:t xml:space="preserve">Добра и услуге </w:t>
            </w:r>
          </w:p>
        </w:tc>
        <w:tc>
          <w:tcPr>
            <w:tcW w:w="1467"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0" w:firstLine="0"/>
              <w:jc w:val="center"/>
            </w:pPr>
            <w:r>
              <w:rPr>
                <w:sz w:val="20"/>
              </w:rPr>
              <w:t xml:space="preserve">Субвенције и трансфери </w:t>
            </w:r>
          </w:p>
        </w:tc>
        <w:tc>
          <w:tcPr>
            <w:tcW w:w="1467"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0" w:firstLine="0"/>
              <w:jc w:val="center"/>
            </w:pPr>
            <w:r>
              <w:rPr>
                <w:sz w:val="20"/>
              </w:rPr>
              <w:t xml:space="preserve">Капитални расходи </w:t>
            </w:r>
          </w:p>
        </w:tc>
        <w:tc>
          <w:tcPr>
            <w:tcW w:w="1855" w:type="dxa"/>
            <w:tcBorders>
              <w:top w:val="single" w:sz="8" w:space="0" w:color="000000"/>
              <w:left w:val="single" w:sz="8" w:space="0" w:color="000000"/>
              <w:bottom w:val="single" w:sz="8" w:space="0" w:color="000000"/>
              <w:right w:val="single" w:sz="8" w:space="0" w:color="000000"/>
            </w:tcBorders>
            <w:vAlign w:val="bottom"/>
          </w:tcPr>
          <w:p w:rsidR="00E8309B" w:rsidRDefault="009D0949">
            <w:pPr>
              <w:spacing w:after="0" w:line="259" w:lineRule="auto"/>
              <w:ind w:left="0" w:right="50" w:firstLine="0"/>
              <w:jc w:val="center"/>
            </w:pPr>
            <w:r>
              <w:rPr>
                <w:sz w:val="20"/>
              </w:rPr>
              <w:t xml:space="preserve">Укупно </w:t>
            </w:r>
          </w:p>
        </w:tc>
      </w:tr>
      <w:tr w:rsidR="00E8309B">
        <w:trPr>
          <w:trHeight w:val="305"/>
        </w:trPr>
        <w:tc>
          <w:tcPr>
            <w:tcW w:w="1120"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3" w:firstLine="0"/>
              <w:jc w:val="center"/>
            </w:pPr>
            <w:r>
              <w:rPr>
                <w:sz w:val="20"/>
              </w:rPr>
              <w:t xml:space="preserve">2021 </w:t>
            </w:r>
          </w:p>
        </w:tc>
        <w:tc>
          <w:tcPr>
            <w:tcW w:w="1489"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3" w:firstLine="0"/>
              <w:jc w:val="right"/>
            </w:pPr>
            <w:r>
              <w:rPr>
                <w:sz w:val="20"/>
              </w:rPr>
              <w:t xml:space="preserve">31.932,00 </w:t>
            </w:r>
          </w:p>
        </w:tc>
        <w:tc>
          <w:tcPr>
            <w:tcW w:w="1855"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0" w:firstLine="0"/>
              <w:jc w:val="right"/>
            </w:pPr>
            <w:r>
              <w:rPr>
                <w:sz w:val="20"/>
              </w:rPr>
              <w:t xml:space="preserve">2.536.367,83 </w:t>
            </w:r>
          </w:p>
        </w:tc>
        <w:tc>
          <w:tcPr>
            <w:tcW w:w="1467"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1" w:firstLine="0"/>
              <w:jc w:val="right"/>
            </w:pPr>
            <w:r>
              <w:rPr>
                <w:sz w:val="20"/>
              </w:rPr>
              <w:t xml:space="preserve">4.168.666,67 </w:t>
            </w:r>
          </w:p>
        </w:tc>
        <w:tc>
          <w:tcPr>
            <w:tcW w:w="1467"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1" w:firstLine="0"/>
              <w:jc w:val="right"/>
            </w:pPr>
            <w:r>
              <w:rPr>
                <w:sz w:val="20"/>
              </w:rPr>
              <w:t xml:space="preserve">9.433.086,43 </w:t>
            </w:r>
          </w:p>
        </w:tc>
        <w:tc>
          <w:tcPr>
            <w:tcW w:w="1855"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0" w:firstLine="0"/>
              <w:jc w:val="right"/>
            </w:pPr>
            <w:r>
              <w:rPr>
                <w:sz w:val="20"/>
              </w:rPr>
              <w:t xml:space="preserve">16.170.052,93 </w:t>
            </w:r>
          </w:p>
        </w:tc>
      </w:tr>
      <w:tr w:rsidR="00E8309B">
        <w:trPr>
          <w:trHeight w:val="305"/>
        </w:trPr>
        <w:tc>
          <w:tcPr>
            <w:tcW w:w="1120"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3" w:firstLine="0"/>
              <w:jc w:val="center"/>
            </w:pPr>
            <w:r>
              <w:rPr>
                <w:sz w:val="20"/>
              </w:rPr>
              <w:t xml:space="preserve">2022 </w:t>
            </w:r>
          </w:p>
        </w:tc>
        <w:tc>
          <w:tcPr>
            <w:tcW w:w="1489"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3" w:firstLine="0"/>
              <w:jc w:val="right"/>
            </w:pPr>
            <w:r>
              <w:rPr>
                <w:sz w:val="20"/>
              </w:rPr>
              <w:t xml:space="preserve">52.836,00 </w:t>
            </w:r>
          </w:p>
        </w:tc>
        <w:tc>
          <w:tcPr>
            <w:tcW w:w="1855"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0" w:firstLine="0"/>
              <w:jc w:val="right"/>
            </w:pPr>
            <w:r>
              <w:rPr>
                <w:sz w:val="20"/>
              </w:rPr>
              <w:t xml:space="preserve">6.789.543,18 </w:t>
            </w:r>
          </w:p>
        </w:tc>
        <w:tc>
          <w:tcPr>
            <w:tcW w:w="1467"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1" w:firstLine="0"/>
              <w:jc w:val="right"/>
            </w:pPr>
            <w:r>
              <w:rPr>
                <w:sz w:val="20"/>
              </w:rPr>
              <w:t xml:space="preserve">9.000.000,00 </w:t>
            </w:r>
          </w:p>
        </w:tc>
        <w:tc>
          <w:tcPr>
            <w:tcW w:w="1467"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1" w:firstLine="0"/>
              <w:jc w:val="right"/>
            </w:pPr>
            <w:r>
              <w:rPr>
                <w:sz w:val="20"/>
              </w:rPr>
              <w:t xml:space="preserve">30.128.571.43 </w:t>
            </w:r>
          </w:p>
        </w:tc>
        <w:tc>
          <w:tcPr>
            <w:tcW w:w="1855"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49" w:firstLine="0"/>
              <w:jc w:val="right"/>
            </w:pPr>
            <w:r>
              <w:rPr>
                <w:sz w:val="20"/>
              </w:rPr>
              <w:t xml:space="preserve">45.970.950.61 </w:t>
            </w:r>
          </w:p>
        </w:tc>
      </w:tr>
      <w:tr w:rsidR="00E8309B">
        <w:trPr>
          <w:trHeight w:val="307"/>
        </w:trPr>
        <w:tc>
          <w:tcPr>
            <w:tcW w:w="1120"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3" w:firstLine="0"/>
              <w:jc w:val="center"/>
            </w:pPr>
            <w:r>
              <w:rPr>
                <w:sz w:val="20"/>
              </w:rPr>
              <w:t xml:space="preserve">2023 </w:t>
            </w:r>
          </w:p>
        </w:tc>
        <w:tc>
          <w:tcPr>
            <w:tcW w:w="1489"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2" w:firstLine="0"/>
              <w:jc w:val="right"/>
            </w:pPr>
            <w:r>
              <w:rPr>
                <w:sz w:val="20"/>
              </w:rPr>
              <w:t xml:space="preserve">73.740,00 </w:t>
            </w:r>
          </w:p>
        </w:tc>
        <w:tc>
          <w:tcPr>
            <w:tcW w:w="1855"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0" w:firstLine="0"/>
              <w:jc w:val="right"/>
            </w:pPr>
            <w:r>
              <w:rPr>
                <w:sz w:val="20"/>
              </w:rPr>
              <w:t xml:space="preserve">2.270.460,00 </w:t>
            </w:r>
          </w:p>
        </w:tc>
        <w:tc>
          <w:tcPr>
            <w:tcW w:w="1467"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1" w:firstLine="0"/>
              <w:jc w:val="right"/>
            </w:pPr>
            <w:r>
              <w:rPr>
                <w:sz w:val="20"/>
              </w:rPr>
              <w:t xml:space="preserve">9.000.000,00 </w:t>
            </w:r>
          </w:p>
        </w:tc>
        <w:tc>
          <w:tcPr>
            <w:tcW w:w="1467"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1" w:firstLine="0"/>
              <w:jc w:val="right"/>
            </w:pPr>
            <w:r>
              <w:rPr>
                <w:sz w:val="20"/>
              </w:rPr>
              <w:t xml:space="preserve">54.928.571,43 </w:t>
            </w:r>
          </w:p>
        </w:tc>
        <w:tc>
          <w:tcPr>
            <w:tcW w:w="1855"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0" w:firstLine="0"/>
              <w:jc w:val="right"/>
            </w:pPr>
            <w:r>
              <w:rPr>
                <w:sz w:val="20"/>
              </w:rPr>
              <w:t xml:space="preserve">66.272.771,43 </w:t>
            </w:r>
          </w:p>
        </w:tc>
      </w:tr>
      <w:tr w:rsidR="00E8309B">
        <w:trPr>
          <w:trHeight w:val="300"/>
        </w:trPr>
        <w:tc>
          <w:tcPr>
            <w:tcW w:w="9252" w:type="dxa"/>
            <w:gridSpan w:val="6"/>
            <w:tcBorders>
              <w:top w:val="single" w:sz="8" w:space="0" w:color="000000"/>
              <w:left w:val="single" w:sz="8" w:space="0" w:color="000000"/>
              <w:bottom w:val="single" w:sz="8" w:space="0" w:color="000000"/>
              <w:right w:val="single" w:sz="8" w:space="0" w:color="000000"/>
            </w:tcBorders>
            <w:shd w:val="clear" w:color="auto" w:fill="D0CECE"/>
            <w:vAlign w:val="bottom"/>
          </w:tcPr>
          <w:p w:rsidR="00E8309B" w:rsidRDefault="009D0949">
            <w:pPr>
              <w:spacing w:after="0" w:line="259" w:lineRule="auto"/>
              <w:ind w:left="0" w:right="0" w:firstLine="0"/>
              <w:jc w:val="left"/>
            </w:pPr>
            <w:r>
              <w:rPr>
                <w:b/>
                <w:sz w:val="20"/>
              </w:rPr>
              <w:t xml:space="preserve">3. Реформа железнице кроз усаглашавање регулаторног оквира и унапређење безбедности  </w:t>
            </w:r>
          </w:p>
        </w:tc>
      </w:tr>
      <w:tr w:rsidR="00E8309B">
        <w:trPr>
          <w:trHeight w:val="461"/>
        </w:trPr>
        <w:tc>
          <w:tcPr>
            <w:tcW w:w="1120" w:type="dxa"/>
            <w:tcBorders>
              <w:top w:val="single" w:sz="8" w:space="0" w:color="000000"/>
              <w:left w:val="single" w:sz="8" w:space="0" w:color="000000"/>
              <w:bottom w:val="single" w:sz="8" w:space="0" w:color="000000"/>
              <w:right w:val="single" w:sz="8" w:space="0" w:color="000000"/>
            </w:tcBorders>
            <w:vAlign w:val="bottom"/>
          </w:tcPr>
          <w:p w:rsidR="00E8309B" w:rsidRDefault="009D0949">
            <w:pPr>
              <w:spacing w:after="0" w:line="259" w:lineRule="auto"/>
              <w:ind w:left="0" w:right="56" w:firstLine="0"/>
              <w:jc w:val="center"/>
            </w:pPr>
            <w:r>
              <w:rPr>
                <w:b/>
                <w:sz w:val="20"/>
              </w:rPr>
              <w:t>Година</w:t>
            </w:r>
            <w:r>
              <w:rPr>
                <w:sz w:val="20"/>
              </w:rPr>
              <w:t xml:space="preserve">  </w:t>
            </w:r>
          </w:p>
        </w:tc>
        <w:tc>
          <w:tcPr>
            <w:tcW w:w="1489" w:type="dxa"/>
            <w:tcBorders>
              <w:top w:val="single" w:sz="8" w:space="0" w:color="000000"/>
              <w:left w:val="single" w:sz="8" w:space="0" w:color="000000"/>
              <w:bottom w:val="single" w:sz="8" w:space="0" w:color="000000"/>
              <w:right w:val="single" w:sz="8" w:space="0" w:color="000000"/>
            </w:tcBorders>
            <w:vAlign w:val="bottom"/>
          </w:tcPr>
          <w:p w:rsidR="00E8309B" w:rsidRDefault="009D0949">
            <w:pPr>
              <w:spacing w:after="0" w:line="259" w:lineRule="auto"/>
              <w:ind w:left="0" w:right="52" w:firstLine="0"/>
              <w:jc w:val="center"/>
            </w:pPr>
            <w:r>
              <w:rPr>
                <w:sz w:val="20"/>
              </w:rPr>
              <w:t xml:space="preserve">Плате </w:t>
            </w:r>
          </w:p>
        </w:tc>
        <w:tc>
          <w:tcPr>
            <w:tcW w:w="1855" w:type="dxa"/>
            <w:tcBorders>
              <w:top w:val="single" w:sz="8" w:space="0" w:color="000000"/>
              <w:left w:val="single" w:sz="8" w:space="0" w:color="000000"/>
              <w:bottom w:val="single" w:sz="8" w:space="0" w:color="000000"/>
              <w:right w:val="single" w:sz="8" w:space="0" w:color="000000"/>
            </w:tcBorders>
            <w:vAlign w:val="bottom"/>
          </w:tcPr>
          <w:p w:rsidR="00E8309B" w:rsidRDefault="009D0949">
            <w:pPr>
              <w:spacing w:after="0" w:line="259" w:lineRule="auto"/>
              <w:ind w:left="0" w:right="53" w:firstLine="0"/>
              <w:jc w:val="center"/>
            </w:pPr>
            <w:r>
              <w:rPr>
                <w:sz w:val="20"/>
              </w:rPr>
              <w:t xml:space="preserve">Добра и услуге </w:t>
            </w:r>
          </w:p>
        </w:tc>
        <w:tc>
          <w:tcPr>
            <w:tcW w:w="1467"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0" w:firstLine="0"/>
              <w:jc w:val="center"/>
            </w:pPr>
            <w:r>
              <w:rPr>
                <w:sz w:val="20"/>
              </w:rPr>
              <w:t xml:space="preserve">Субвенције и трансфери </w:t>
            </w:r>
          </w:p>
        </w:tc>
        <w:tc>
          <w:tcPr>
            <w:tcW w:w="1467"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0" w:firstLine="0"/>
              <w:jc w:val="center"/>
            </w:pPr>
            <w:r>
              <w:rPr>
                <w:sz w:val="20"/>
              </w:rPr>
              <w:t xml:space="preserve">Капитални расходи </w:t>
            </w:r>
          </w:p>
        </w:tc>
        <w:tc>
          <w:tcPr>
            <w:tcW w:w="1855" w:type="dxa"/>
            <w:tcBorders>
              <w:top w:val="single" w:sz="8" w:space="0" w:color="000000"/>
              <w:left w:val="single" w:sz="8" w:space="0" w:color="000000"/>
              <w:bottom w:val="single" w:sz="8" w:space="0" w:color="000000"/>
              <w:right w:val="single" w:sz="8" w:space="0" w:color="000000"/>
            </w:tcBorders>
            <w:vAlign w:val="bottom"/>
          </w:tcPr>
          <w:p w:rsidR="00E8309B" w:rsidRDefault="009D0949">
            <w:pPr>
              <w:spacing w:after="0" w:line="259" w:lineRule="auto"/>
              <w:ind w:left="0" w:right="50" w:firstLine="0"/>
              <w:jc w:val="center"/>
            </w:pPr>
            <w:r>
              <w:rPr>
                <w:sz w:val="20"/>
              </w:rPr>
              <w:t xml:space="preserve">Укупно </w:t>
            </w:r>
          </w:p>
        </w:tc>
      </w:tr>
      <w:tr w:rsidR="00E8309B">
        <w:trPr>
          <w:trHeight w:val="305"/>
        </w:trPr>
        <w:tc>
          <w:tcPr>
            <w:tcW w:w="1120"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3" w:firstLine="0"/>
              <w:jc w:val="center"/>
            </w:pPr>
            <w:r>
              <w:rPr>
                <w:sz w:val="20"/>
              </w:rPr>
              <w:t xml:space="preserve">2021 </w:t>
            </w:r>
          </w:p>
        </w:tc>
        <w:tc>
          <w:tcPr>
            <w:tcW w:w="1489"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4" w:firstLine="0"/>
              <w:jc w:val="right"/>
            </w:pPr>
            <w:r>
              <w:rPr>
                <w:sz w:val="20"/>
              </w:rPr>
              <w:t xml:space="preserve">0 </w:t>
            </w:r>
          </w:p>
        </w:tc>
        <w:tc>
          <w:tcPr>
            <w:tcW w:w="1855"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0" w:firstLine="0"/>
              <w:jc w:val="right"/>
            </w:pPr>
            <w:r>
              <w:rPr>
                <w:sz w:val="20"/>
              </w:rPr>
              <w:t xml:space="preserve">48.937,00 </w:t>
            </w:r>
          </w:p>
        </w:tc>
        <w:tc>
          <w:tcPr>
            <w:tcW w:w="1467"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1" w:firstLine="0"/>
              <w:jc w:val="right"/>
            </w:pPr>
            <w:r>
              <w:rPr>
                <w:sz w:val="20"/>
              </w:rPr>
              <w:t xml:space="preserve">0 </w:t>
            </w:r>
          </w:p>
        </w:tc>
        <w:tc>
          <w:tcPr>
            <w:tcW w:w="1467"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1" w:firstLine="0"/>
              <w:jc w:val="right"/>
            </w:pPr>
            <w:r>
              <w:rPr>
                <w:sz w:val="20"/>
              </w:rPr>
              <w:t xml:space="preserve">8.173.333,00 </w:t>
            </w:r>
          </w:p>
        </w:tc>
        <w:tc>
          <w:tcPr>
            <w:tcW w:w="1855"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0" w:firstLine="0"/>
              <w:jc w:val="right"/>
            </w:pPr>
            <w:r>
              <w:rPr>
                <w:sz w:val="20"/>
              </w:rPr>
              <w:t xml:space="preserve">8.222.270,00 </w:t>
            </w:r>
          </w:p>
        </w:tc>
      </w:tr>
      <w:tr w:rsidR="00E8309B">
        <w:trPr>
          <w:trHeight w:val="305"/>
        </w:trPr>
        <w:tc>
          <w:tcPr>
            <w:tcW w:w="1120"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3" w:firstLine="0"/>
              <w:jc w:val="center"/>
            </w:pPr>
            <w:r>
              <w:rPr>
                <w:sz w:val="20"/>
              </w:rPr>
              <w:t xml:space="preserve">2022 </w:t>
            </w:r>
          </w:p>
        </w:tc>
        <w:tc>
          <w:tcPr>
            <w:tcW w:w="1489"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4" w:firstLine="0"/>
              <w:jc w:val="right"/>
            </w:pPr>
            <w:r>
              <w:rPr>
                <w:sz w:val="20"/>
              </w:rPr>
              <w:t xml:space="preserve">0 </w:t>
            </w:r>
          </w:p>
        </w:tc>
        <w:tc>
          <w:tcPr>
            <w:tcW w:w="1855"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0" w:firstLine="0"/>
              <w:jc w:val="right"/>
            </w:pPr>
            <w:r>
              <w:rPr>
                <w:sz w:val="20"/>
              </w:rPr>
              <w:t xml:space="preserve">48.340,50 </w:t>
            </w:r>
          </w:p>
        </w:tc>
        <w:tc>
          <w:tcPr>
            <w:tcW w:w="1467"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1" w:firstLine="0"/>
              <w:jc w:val="right"/>
            </w:pPr>
            <w:r>
              <w:rPr>
                <w:sz w:val="20"/>
              </w:rPr>
              <w:t xml:space="preserve">0 </w:t>
            </w:r>
          </w:p>
        </w:tc>
        <w:tc>
          <w:tcPr>
            <w:tcW w:w="1467"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1" w:firstLine="0"/>
              <w:jc w:val="right"/>
            </w:pPr>
            <w:r>
              <w:rPr>
                <w:sz w:val="20"/>
              </w:rPr>
              <w:t xml:space="preserve">17.903.333,00 </w:t>
            </w:r>
          </w:p>
        </w:tc>
        <w:tc>
          <w:tcPr>
            <w:tcW w:w="1855"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0" w:firstLine="0"/>
              <w:jc w:val="right"/>
            </w:pPr>
            <w:r>
              <w:rPr>
                <w:sz w:val="20"/>
              </w:rPr>
              <w:t xml:space="preserve">17.951.673,50 </w:t>
            </w:r>
          </w:p>
        </w:tc>
      </w:tr>
      <w:tr w:rsidR="00E8309B">
        <w:trPr>
          <w:trHeight w:val="307"/>
        </w:trPr>
        <w:tc>
          <w:tcPr>
            <w:tcW w:w="1120"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3" w:firstLine="0"/>
              <w:jc w:val="center"/>
            </w:pPr>
            <w:r>
              <w:rPr>
                <w:sz w:val="20"/>
              </w:rPr>
              <w:t xml:space="preserve">2023 </w:t>
            </w:r>
          </w:p>
        </w:tc>
        <w:tc>
          <w:tcPr>
            <w:tcW w:w="1489"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4" w:firstLine="0"/>
              <w:jc w:val="right"/>
            </w:pPr>
            <w:r>
              <w:rPr>
                <w:sz w:val="20"/>
              </w:rPr>
              <w:t xml:space="preserve">0 </w:t>
            </w:r>
          </w:p>
        </w:tc>
        <w:tc>
          <w:tcPr>
            <w:tcW w:w="1855"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0" w:firstLine="0"/>
              <w:jc w:val="right"/>
            </w:pPr>
            <w:r>
              <w:rPr>
                <w:sz w:val="20"/>
              </w:rPr>
              <w:t xml:space="preserve">48.340,50 </w:t>
            </w:r>
          </w:p>
        </w:tc>
        <w:tc>
          <w:tcPr>
            <w:tcW w:w="1467"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1" w:firstLine="0"/>
              <w:jc w:val="right"/>
            </w:pPr>
            <w:r>
              <w:rPr>
                <w:sz w:val="20"/>
              </w:rPr>
              <w:t xml:space="preserve">0 </w:t>
            </w:r>
          </w:p>
        </w:tc>
        <w:tc>
          <w:tcPr>
            <w:tcW w:w="1467"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1" w:firstLine="0"/>
              <w:jc w:val="right"/>
            </w:pPr>
            <w:r>
              <w:rPr>
                <w:sz w:val="20"/>
              </w:rPr>
              <w:t xml:space="preserve">17.903.333,00 </w:t>
            </w:r>
          </w:p>
        </w:tc>
        <w:tc>
          <w:tcPr>
            <w:tcW w:w="1855"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0" w:firstLine="0"/>
              <w:jc w:val="right"/>
            </w:pPr>
            <w:r>
              <w:rPr>
                <w:sz w:val="20"/>
              </w:rPr>
              <w:t xml:space="preserve">17.951.673,50 </w:t>
            </w:r>
          </w:p>
        </w:tc>
      </w:tr>
      <w:tr w:rsidR="00E8309B">
        <w:trPr>
          <w:trHeight w:val="300"/>
        </w:trPr>
        <w:tc>
          <w:tcPr>
            <w:tcW w:w="9252" w:type="dxa"/>
            <w:gridSpan w:val="6"/>
            <w:tcBorders>
              <w:top w:val="single" w:sz="8" w:space="0" w:color="000000"/>
              <w:left w:val="single" w:sz="8" w:space="0" w:color="000000"/>
              <w:bottom w:val="single" w:sz="8" w:space="0" w:color="000000"/>
              <w:right w:val="single" w:sz="8" w:space="0" w:color="000000"/>
            </w:tcBorders>
            <w:shd w:val="clear" w:color="auto" w:fill="D0CECE"/>
            <w:vAlign w:val="bottom"/>
          </w:tcPr>
          <w:p w:rsidR="00E8309B" w:rsidRDefault="009D0949">
            <w:pPr>
              <w:tabs>
                <w:tab w:val="center" w:pos="4469"/>
                <w:tab w:val="center" w:pos="5936"/>
                <w:tab w:val="center" w:pos="7401"/>
              </w:tabs>
              <w:spacing w:after="0" w:line="259" w:lineRule="auto"/>
              <w:ind w:left="0" w:right="0" w:firstLine="0"/>
              <w:jc w:val="left"/>
            </w:pPr>
            <w:r>
              <w:rPr>
                <w:b/>
                <w:sz w:val="20"/>
              </w:rPr>
              <w:t xml:space="preserve">4. Унапређење процеса комасације  </w:t>
            </w:r>
            <w:r>
              <w:rPr>
                <w:b/>
                <w:sz w:val="20"/>
              </w:rPr>
              <w:tab/>
              <w:t xml:space="preserve">  </w:t>
            </w:r>
            <w:r>
              <w:rPr>
                <w:b/>
                <w:sz w:val="20"/>
              </w:rPr>
              <w:tab/>
              <w:t xml:space="preserve">  </w:t>
            </w:r>
            <w:r>
              <w:rPr>
                <w:b/>
                <w:sz w:val="20"/>
              </w:rPr>
              <w:tab/>
              <w:t xml:space="preserve">  </w:t>
            </w:r>
          </w:p>
        </w:tc>
      </w:tr>
      <w:tr w:rsidR="00E8309B">
        <w:trPr>
          <w:trHeight w:val="458"/>
        </w:trPr>
        <w:tc>
          <w:tcPr>
            <w:tcW w:w="1120" w:type="dxa"/>
            <w:tcBorders>
              <w:top w:val="single" w:sz="8" w:space="0" w:color="000000"/>
              <w:left w:val="single" w:sz="8" w:space="0" w:color="000000"/>
              <w:bottom w:val="single" w:sz="8" w:space="0" w:color="000000"/>
              <w:right w:val="single" w:sz="8" w:space="0" w:color="000000"/>
            </w:tcBorders>
            <w:vAlign w:val="bottom"/>
          </w:tcPr>
          <w:p w:rsidR="00E8309B" w:rsidRDefault="009D0949">
            <w:pPr>
              <w:spacing w:after="0" w:line="259" w:lineRule="auto"/>
              <w:ind w:left="0" w:right="56" w:firstLine="0"/>
              <w:jc w:val="center"/>
            </w:pPr>
            <w:r>
              <w:rPr>
                <w:b/>
                <w:sz w:val="20"/>
              </w:rPr>
              <w:t>Година</w:t>
            </w:r>
            <w:r>
              <w:rPr>
                <w:sz w:val="20"/>
              </w:rPr>
              <w:t xml:space="preserve">  </w:t>
            </w:r>
          </w:p>
        </w:tc>
        <w:tc>
          <w:tcPr>
            <w:tcW w:w="1489" w:type="dxa"/>
            <w:tcBorders>
              <w:top w:val="single" w:sz="8" w:space="0" w:color="000000"/>
              <w:left w:val="single" w:sz="8" w:space="0" w:color="000000"/>
              <w:bottom w:val="single" w:sz="8" w:space="0" w:color="000000"/>
              <w:right w:val="single" w:sz="8" w:space="0" w:color="000000"/>
            </w:tcBorders>
            <w:vAlign w:val="bottom"/>
          </w:tcPr>
          <w:p w:rsidR="00E8309B" w:rsidRDefault="009D0949">
            <w:pPr>
              <w:spacing w:after="0" w:line="259" w:lineRule="auto"/>
              <w:ind w:left="0" w:right="52" w:firstLine="0"/>
              <w:jc w:val="center"/>
            </w:pPr>
            <w:r>
              <w:rPr>
                <w:sz w:val="20"/>
              </w:rPr>
              <w:t xml:space="preserve">Плате </w:t>
            </w:r>
          </w:p>
        </w:tc>
        <w:tc>
          <w:tcPr>
            <w:tcW w:w="1855" w:type="dxa"/>
            <w:tcBorders>
              <w:top w:val="single" w:sz="8" w:space="0" w:color="000000"/>
              <w:left w:val="single" w:sz="8" w:space="0" w:color="000000"/>
              <w:bottom w:val="single" w:sz="8" w:space="0" w:color="000000"/>
              <w:right w:val="single" w:sz="8" w:space="0" w:color="000000"/>
            </w:tcBorders>
            <w:vAlign w:val="bottom"/>
          </w:tcPr>
          <w:p w:rsidR="00E8309B" w:rsidRDefault="009D0949">
            <w:pPr>
              <w:spacing w:after="0" w:line="259" w:lineRule="auto"/>
              <w:ind w:left="0" w:right="53" w:firstLine="0"/>
              <w:jc w:val="center"/>
            </w:pPr>
            <w:r>
              <w:rPr>
                <w:sz w:val="20"/>
              </w:rPr>
              <w:t xml:space="preserve">Добра и услуге </w:t>
            </w:r>
          </w:p>
        </w:tc>
        <w:tc>
          <w:tcPr>
            <w:tcW w:w="1467"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0" w:firstLine="0"/>
              <w:jc w:val="center"/>
            </w:pPr>
            <w:r>
              <w:rPr>
                <w:sz w:val="20"/>
              </w:rPr>
              <w:t xml:space="preserve">Субвенције и трансфери </w:t>
            </w:r>
          </w:p>
        </w:tc>
        <w:tc>
          <w:tcPr>
            <w:tcW w:w="1467"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0" w:firstLine="0"/>
              <w:jc w:val="center"/>
            </w:pPr>
            <w:r>
              <w:rPr>
                <w:sz w:val="20"/>
              </w:rPr>
              <w:t xml:space="preserve">Капитални расходи </w:t>
            </w:r>
          </w:p>
        </w:tc>
        <w:tc>
          <w:tcPr>
            <w:tcW w:w="1855" w:type="dxa"/>
            <w:tcBorders>
              <w:top w:val="single" w:sz="8" w:space="0" w:color="000000"/>
              <w:left w:val="single" w:sz="8" w:space="0" w:color="000000"/>
              <w:bottom w:val="single" w:sz="8" w:space="0" w:color="000000"/>
              <w:right w:val="single" w:sz="8" w:space="0" w:color="000000"/>
            </w:tcBorders>
            <w:vAlign w:val="bottom"/>
          </w:tcPr>
          <w:p w:rsidR="00E8309B" w:rsidRDefault="009D0949">
            <w:pPr>
              <w:spacing w:after="0" w:line="259" w:lineRule="auto"/>
              <w:ind w:left="0" w:right="50" w:firstLine="0"/>
              <w:jc w:val="center"/>
            </w:pPr>
            <w:r>
              <w:rPr>
                <w:sz w:val="20"/>
              </w:rPr>
              <w:t xml:space="preserve">Укупно </w:t>
            </w:r>
          </w:p>
        </w:tc>
      </w:tr>
      <w:tr w:rsidR="00E8309B">
        <w:trPr>
          <w:trHeight w:val="305"/>
        </w:trPr>
        <w:tc>
          <w:tcPr>
            <w:tcW w:w="1120"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3" w:firstLine="0"/>
              <w:jc w:val="center"/>
            </w:pPr>
            <w:r>
              <w:rPr>
                <w:sz w:val="20"/>
              </w:rPr>
              <w:t xml:space="preserve">2021 </w:t>
            </w:r>
          </w:p>
        </w:tc>
        <w:tc>
          <w:tcPr>
            <w:tcW w:w="1489"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2" w:firstLine="0"/>
              <w:jc w:val="right"/>
            </w:pPr>
            <w:r>
              <w:rPr>
                <w:sz w:val="20"/>
              </w:rPr>
              <w:t xml:space="preserve">10.452,00 </w:t>
            </w:r>
          </w:p>
        </w:tc>
        <w:tc>
          <w:tcPr>
            <w:tcW w:w="1855"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49" w:firstLine="0"/>
              <w:jc w:val="right"/>
            </w:pPr>
            <w:r>
              <w:rPr>
                <w:sz w:val="20"/>
              </w:rPr>
              <w:t xml:space="preserve">400.000,00 </w:t>
            </w:r>
          </w:p>
        </w:tc>
        <w:tc>
          <w:tcPr>
            <w:tcW w:w="1467"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1" w:firstLine="0"/>
              <w:jc w:val="right"/>
            </w:pPr>
            <w:r>
              <w:rPr>
                <w:sz w:val="20"/>
              </w:rPr>
              <w:t xml:space="preserve">0 </w:t>
            </w:r>
          </w:p>
        </w:tc>
        <w:tc>
          <w:tcPr>
            <w:tcW w:w="1467"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2" w:firstLine="0"/>
              <w:jc w:val="right"/>
            </w:pPr>
            <w:r>
              <w:rPr>
                <w:sz w:val="20"/>
              </w:rPr>
              <w:t xml:space="preserve">0 </w:t>
            </w:r>
          </w:p>
        </w:tc>
        <w:tc>
          <w:tcPr>
            <w:tcW w:w="1855"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49" w:firstLine="0"/>
              <w:jc w:val="right"/>
            </w:pPr>
            <w:r>
              <w:rPr>
                <w:sz w:val="20"/>
              </w:rPr>
              <w:t xml:space="preserve">410.452,00 </w:t>
            </w:r>
          </w:p>
        </w:tc>
      </w:tr>
      <w:tr w:rsidR="00E8309B">
        <w:trPr>
          <w:trHeight w:val="308"/>
        </w:trPr>
        <w:tc>
          <w:tcPr>
            <w:tcW w:w="1120"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3" w:firstLine="0"/>
              <w:jc w:val="center"/>
            </w:pPr>
            <w:r>
              <w:rPr>
                <w:sz w:val="20"/>
              </w:rPr>
              <w:t xml:space="preserve">2022 </w:t>
            </w:r>
          </w:p>
        </w:tc>
        <w:tc>
          <w:tcPr>
            <w:tcW w:w="1489"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3" w:firstLine="0"/>
              <w:jc w:val="right"/>
            </w:pPr>
            <w:r>
              <w:rPr>
                <w:sz w:val="20"/>
              </w:rPr>
              <w:t xml:space="preserve">52.260,00 </w:t>
            </w:r>
          </w:p>
        </w:tc>
        <w:tc>
          <w:tcPr>
            <w:tcW w:w="1855"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0" w:firstLine="0"/>
              <w:jc w:val="right"/>
            </w:pPr>
            <w:r>
              <w:rPr>
                <w:sz w:val="20"/>
              </w:rPr>
              <w:t xml:space="preserve">750.000,00 </w:t>
            </w:r>
          </w:p>
        </w:tc>
        <w:tc>
          <w:tcPr>
            <w:tcW w:w="1467"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1" w:firstLine="0"/>
              <w:jc w:val="right"/>
            </w:pPr>
            <w:r>
              <w:rPr>
                <w:sz w:val="20"/>
              </w:rPr>
              <w:t xml:space="preserve">0 </w:t>
            </w:r>
          </w:p>
        </w:tc>
        <w:tc>
          <w:tcPr>
            <w:tcW w:w="1467"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1" w:firstLine="0"/>
              <w:jc w:val="right"/>
            </w:pPr>
            <w:r>
              <w:rPr>
                <w:sz w:val="20"/>
              </w:rPr>
              <w:t xml:space="preserve">600.000,00 </w:t>
            </w:r>
          </w:p>
        </w:tc>
        <w:tc>
          <w:tcPr>
            <w:tcW w:w="1855"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49" w:firstLine="0"/>
              <w:jc w:val="right"/>
            </w:pPr>
            <w:r>
              <w:rPr>
                <w:sz w:val="20"/>
              </w:rPr>
              <w:t xml:space="preserve">1.402.260,00 </w:t>
            </w:r>
          </w:p>
        </w:tc>
      </w:tr>
      <w:tr w:rsidR="00E8309B">
        <w:trPr>
          <w:trHeight w:val="307"/>
        </w:trPr>
        <w:tc>
          <w:tcPr>
            <w:tcW w:w="1120"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3" w:firstLine="0"/>
              <w:jc w:val="center"/>
            </w:pPr>
            <w:r>
              <w:rPr>
                <w:sz w:val="20"/>
              </w:rPr>
              <w:t xml:space="preserve">2023 </w:t>
            </w:r>
          </w:p>
        </w:tc>
        <w:tc>
          <w:tcPr>
            <w:tcW w:w="1489"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3" w:firstLine="0"/>
              <w:jc w:val="right"/>
            </w:pPr>
            <w:r>
              <w:rPr>
                <w:sz w:val="20"/>
              </w:rPr>
              <w:t xml:space="preserve">52.260,00 </w:t>
            </w:r>
          </w:p>
        </w:tc>
        <w:tc>
          <w:tcPr>
            <w:tcW w:w="1855"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0" w:firstLine="0"/>
              <w:jc w:val="right"/>
            </w:pPr>
            <w:r>
              <w:rPr>
                <w:sz w:val="20"/>
              </w:rPr>
              <w:t xml:space="preserve">200.000,00 </w:t>
            </w:r>
          </w:p>
        </w:tc>
        <w:tc>
          <w:tcPr>
            <w:tcW w:w="1467"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1" w:firstLine="0"/>
              <w:jc w:val="right"/>
            </w:pPr>
            <w:r>
              <w:rPr>
                <w:sz w:val="20"/>
              </w:rPr>
              <w:t xml:space="preserve">0 </w:t>
            </w:r>
          </w:p>
        </w:tc>
        <w:tc>
          <w:tcPr>
            <w:tcW w:w="1467"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1" w:firstLine="0"/>
              <w:jc w:val="right"/>
            </w:pPr>
            <w:r>
              <w:rPr>
                <w:sz w:val="20"/>
              </w:rPr>
              <w:t xml:space="preserve">1.850.000,00 </w:t>
            </w:r>
          </w:p>
        </w:tc>
        <w:tc>
          <w:tcPr>
            <w:tcW w:w="1855"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49" w:firstLine="0"/>
              <w:jc w:val="right"/>
            </w:pPr>
            <w:r>
              <w:rPr>
                <w:sz w:val="20"/>
              </w:rPr>
              <w:t xml:space="preserve">2.102.260,00 </w:t>
            </w:r>
          </w:p>
        </w:tc>
      </w:tr>
      <w:tr w:rsidR="00E8309B">
        <w:trPr>
          <w:trHeight w:val="451"/>
        </w:trPr>
        <w:tc>
          <w:tcPr>
            <w:tcW w:w="9252" w:type="dxa"/>
            <w:gridSpan w:val="6"/>
            <w:tcBorders>
              <w:top w:val="single" w:sz="8" w:space="0" w:color="000000"/>
              <w:left w:val="single" w:sz="8" w:space="0" w:color="000000"/>
              <w:bottom w:val="single" w:sz="8" w:space="0" w:color="000000"/>
              <w:right w:val="single" w:sz="8" w:space="0" w:color="000000"/>
            </w:tcBorders>
            <w:shd w:val="clear" w:color="auto" w:fill="D0CECE"/>
          </w:tcPr>
          <w:p w:rsidR="00E8309B" w:rsidRDefault="009D0949">
            <w:pPr>
              <w:spacing w:after="0" w:line="259" w:lineRule="auto"/>
              <w:ind w:left="0" w:right="2" w:firstLine="0"/>
              <w:jc w:val="left"/>
            </w:pPr>
            <w:r>
              <w:rPr>
                <w:b/>
                <w:sz w:val="20"/>
              </w:rPr>
              <w:t xml:space="preserve">5. Унапређење система финансијске подршке пољопривреди кроз дигитализацију и аутоматизацију процеса </w:t>
            </w:r>
          </w:p>
        </w:tc>
      </w:tr>
      <w:tr w:rsidR="00E8309B">
        <w:trPr>
          <w:trHeight w:val="458"/>
        </w:trPr>
        <w:tc>
          <w:tcPr>
            <w:tcW w:w="1120" w:type="dxa"/>
            <w:tcBorders>
              <w:top w:val="single" w:sz="8" w:space="0" w:color="000000"/>
              <w:left w:val="single" w:sz="8" w:space="0" w:color="000000"/>
              <w:bottom w:val="single" w:sz="8" w:space="0" w:color="000000"/>
              <w:right w:val="single" w:sz="8" w:space="0" w:color="000000"/>
            </w:tcBorders>
            <w:vAlign w:val="bottom"/>
          </w:tcPr>
          <w:p w:rsidR="00E8309B" w:rsidRDefault="009D0949">
            <w:pPr>
              <w:spacing w:after="0" w:line="259" w:lineRule="auto"/>
              <w:ind w:left="0" w:right="56" w:firstLine="0"/>
              <w:jc w:val="center"/>
            </w:pPr>
            <w:r>
              <w:rPr>
                <w:b/>
                <w:sz w:val="20"/>
              </w:rPr>
              <w:t>Година</w:t>
            </w:r>
            <w:r>
              <w:rPr>
                <w:sz w:val="20"/>
              </w:rPr>
              <w:t xml:space="preserve">  </w:t>
            </w:r>
          </w:p>
        </w:tc>
        <w:tc>
          <w:tcPr>
            <w:tcW w:w="1489" w:type="dxa"/>
            <w:tcBorders>
              <w:top w:val="single" w:sz="8" w:space="0" w:color="000000"/>
              <w:left w:val="single" w:sz="8" w:space="0" w:color="000000"/>
              <w:bottom w:val="single" w:sz="8" w:space="0" w:color="000000"/>
              <w:right w:val="single" w:sz="8" w:space="0" w:color="000000"/>
            </w:tcBorders>
            <w:vAlign w:val="bottom"/>
          </w:tcPr>
          <w:p w:rsidR="00E8309B" w:rsidRDefault="009D0949">
            <w:pPr>
              <w:spacing w:after="0" w:line="259" w:lineRule="auto"/>
              <w:ind w:left="0" w:right="52" w:firstLine="0"/>
              <w:jc w:val="center"/>
            </w:pPr>
            <w:r>
              <w:rPr>
                <w:sz w:val="20"/>
              </w:rPr>
              <w:t xml:space="preserve">Плате </w:t>
            </w:r>
          </w:p>
        </w:tc>
        <w:tc>
          <w:tcPr>
            <w:tcW w:w="1855" w:type="dxa"/>
            <w:tcBorders>
              <w:top w:val="single" w:sz="8" w:space="0" w:color="000000"/>
              <w:left w:val="single" w:sz="8" w:space="0" w:color="000000"/>
              <w:bottom w:val="single" w:sz="8" w:space="0" w:color="000000"/>
              <w:right w:val="single" w:sz="8" w:space="0" w:color="000000"/>
            </w:tcBorders>
            <w:vAlign w:val="bottom"/>
          </w:tcPr>
          <w:p w:rsidR="00E8309B" w:rsidRDefault="009D0949">
            <w:pPr>
              <w:spacing w:after="0" w:line="259" w:lineRule="auto"/>
              <w:ind w:left="0" w:right="53" w:firstLine="0"/>
              <w:jc w:val="center"/>
            </w:pPr>
            <w:r>
              <w:rPr>
                <w:sz w:val="20"/>
              </w:rPr>
              <w:t xml:space="preserve">Добра и услуге </w:t>
            </w:r>
          </w:p>
        </w:tc>
        <w:tc>
          <w:tcPr>
            <w:tcW w:w="1467"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0" w:firstLine="0"/>
              <w:jc w:val="center"/>
            </w:pPr>
            <w:r>
              <w:rPr>
                <w:sz w:val="20"/>
              </w:rPr>
              <w:t xml:space="preserve">Субвенције и трансфери </w:t>
            </w:r>
          </w:p>
        </w:tc>
        <w:tc>
          <w:tcPr>
            <w:tcW w:w="1467"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0" w:firstLine="0"/>
              <w:jc w:val="center"/>
            </w:pPr>
            <w:r>
              <w:rPr>
                <w:sz w:val="20"/>
              </w:rPr>
              <w:t xml:space="preserve">Капитални расходи </w:t>
            </w:r>
          </w:p>
        </w:tc>
        <w:tc>
          <w:tcPr>
            <w:tcW w:w="1855" w:type="dxa"/>
            <w:tcBorders>
              <w:top w:val="single" w:sz="8" w:space="0" w:color="000000"/>
              <w:left w:val="single" w:sz="8" w:space="0" w:color="000000"/>
              <w:bottom w:val="single" w:sz="8" w:space="0" w:color="000000"/>
              <w:right w:val="single" w:sz="8" w:space="0" w:color="000000"/>
            </w:tcBorders>
            <w:vAlign w:val="bottom"/>
          </w:tcPr>
          <w:p w:rsidR="00E8309B" w:rsidRDefault="009D0949">
            <w:pPr>
              <w:spacing w:after="0" w:line="259" w:lineRule="auto"/>
              <w:ind w:left="0" w:right="50" w:firstLine="0"/>
              <w:jc w:val="center"/>
            </w:pPr>
            <w:r>
              <w:rPr>
                <w:sz w:val="20"/>
              </w:rPr>
              <w:t xml:space="preserve">Укупно </w:t>
            </w:r>
          </w:p>
        </w:tc>
      </w:tr>
      <w:tr w:rsidR="00E8309B">
        <w:trPr>
          <w:trHeight w:val="307"/>
        </w:trPr>
        <w:tc>
          <w:tcPr>
            <w:tcW w:w="1120"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3" w:firstLine="0"/>
              <w:jc w:val="center"/>
            </w:pPr>
            <w:r>
              <w:rPr>
                <w:sz w:val="20"/>
              </w:rPr>
              <w:t xml:space="preserve">2021 </w:t>
            </w:r>
          </w:p>
        </w:tc>
        <w:tc>
          <w:tcPr>
            <w:tcW w:w="1489"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3" w:firstLine="0"/>
              <w:jc w:val="right"/>
            </w:pPr>
            <w:r>
              <w:rPr>
                <w:sz w:val="20"/>
              </w:rPr>
              <w:t xml:space="preserve">14.580.000,00 </w:t>
            </w:r>
          </w:p>
        </w:tc>
        <w:tc>
          <w:tcPr>
            <w:tcW w:w="1855"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1" w:firstLine="0"/>
              <w:jc w:val="right"/>
            </w:pPr>
            <w:r>
              <w:rPr>
                <w:sz w:val="20"/>
              </w:rPr>
              <w:t xml:space="preserve">228.420.000,00 </w:t>
            </w:r>
          </w:p>
        </w:tc>
        <w:tc>
          <w:tcPr>
            <w:tcW w:w="1467"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1" w:firstLine="0"/>
              <w:jc w:val="right"/>
            </w:pPr>
            <w:r>
              <w:rPr>
                <w:sz w:val="20"/>
              </w:rPr>
              <w:t xml:space="preserve">0 </w:t>
            </w:r>
          </w:p>
        </w:tc>
        <w:tc>
          <w:tcPr>
            <w:tcW w:w="1467"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6" w:right="0" w:firstLine="0"/>
              <w:jc w:val="left"/>
            </w:pPr>
            <w:r>
              <w:rPr>
                <w:sz w:val="20"/>
              </w:rPr>
              <w:t xml:space="preserve">104.880.000,00 </w:t>
            </w:r>
          </w:p>
        </w:tc>
        <w:tc>
          <w:tcPr>
            <w:tcW w:w="1855"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1" w:firstLine="0"/>
              <w:jc w:val="right"/>
            </w:pPr>
            <w:r>
              <w:rPr>
                <w:sz w:val="20"/>
              </w:rPr>
              <w:t>347.880.000,00</w:t>
            </w:r>
            <w:r>
              <w:rPr>
                <w:sz w:val="20"/>
              </w:rPr>
              <w:t xml:space="preserve"> </w:t>
            </w:r>
          </w:p>
        </w:tc>
      </w:tr>
      <w:tr w:rsidR="00E8309B">
        <w:trPr>
          <w:trHeight w:val="305"/>
        </w:trPr>
        <w:tc>
          <w:tcPr>
            <w:tcW w:w="1120"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3" w:firstLine="0"/>
              <w:jc w:val="center"/>
            </w:pPr>
            <w:r>
              <w:rPr>
                <w:sz w:val="20"/>
              </w:rPr>
              <w:t xml:space="preserve">2022 </w:t>
            </w:r>
          </w:p>
        </w:tc>
        <w:tc>
          <w:tcPr>
            <w:tcW w:w="1489"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3" w:firstLine="0"/>
              <w:jc w:val="right"/>
            </w:pPr>
            <w:r>
              <w:rPr>
                <w:sz w:val="20"/>
              </w:rPr>
              <w:t xml:space="preserve">14.580.000,00 </w:t>
            </w:r>
          </w:p>
        </w:tc>
        <w:tc>
          <w:tcPr>
            <w:tcW w:w="1855"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1" w:firstLine="0"/>
              <w:jc w:val="right"/>
            </w:pPr>
            <w:r>
              <w:rPr>
                <w:sz w:val="20"/>
              </w:rPr>
              <w:t xml:space="preserve">349.920.000,00 </w:t>
            </w:r>
          </w:p>
        </w:tc>
        <w:tc>
          <w:tcPr>
            <w:tcW w:w="1467"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1" w:firstLine="0"/>
              <w:jc w:val="right"/>
            </w:pPr>
            <w:r>
              <w:rPr>
                <w:sz w:val="20"/>
              </w:rPr>
              <w:t xml:space="preserve">0 </w:t>
            </w:r>
          </w:p>
        </w:tc>
        <w:tc>
          <w:tcPr>
            <w:tcW w:w="1467"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1" w:firstLine="0"/>
              <w:jc w:val="right"/>
            </w:pPr>
            <w:r>
              <w:rPr>
                <w:sz w:val="20"/>
              </w:rPr>
              <w:t xml:space="preserve">77.760.000,00 </w:t>
            </w:r>
          </w:p>
        </w:tc>
        <w:tc>
          <w:tcPr>
            <w:tcW w:w="1855"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1" w:firstLine="0"/>
              <w:jc w:val="right"/>
            </w:pPr>
            <w:r>
              <w:rPr>
                <w:sz w:val="20"/>
              </w:rPr>
              <w:t xml:space="preserve">442.260.000,00 </w:t>
            </w:r>
          </w:p>
        </w:tc>
      </w:tr>
      <w:tr w:rsidR="00E8309B">
        <w:trPr>
          <w:trHeight w:val="307"/>
        </w:trPr>
        <w:tc>
          <w:tcPr>
            <w:tcW w:w="1120"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3" w:firstLine="0"/>
              <w:jc w:val="center"/>
            </w:pPr>
            <w:r>
              <w:rPr>
                <w:sz w:val="20"/>
              </w:rPr>
              <w:t xml:space="preserve">2023 </w:t>
            </w:r>
          </w:p>
        </w:tc>
        <w:tc>
          <w:tcPr>
            <w:tcW w:w="1489"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3" w:firstLine="0"/>
              <w:jc w:val="right"/>
            </w:pPr>
            <w:r>
              <w:rPr>
                <w:sz w:val="20"/>
              </w:rPr>
              <w:t xml:space="preserve">14.580.000,00 </w:t>
            </w:r>
          </w:p>
        </w:tc>
        <w:tc>
          <w:tcPr>
            <w:tcW w:w="1855"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1" w:firstLine="0"/>
              <w:jc w:val="right"/>
            </w:pPr>
            <w:r>
              <w:rPr>
                <w:sz w:val="20"/>
              </w:rPr>
              <w:t xml:space="preserve">697.920.000,00 </w:t>
            </w:r>
          </w:p>
        </w:tc>
        <w:tc>
          <w:tcPr>
            <w:tcW w:w="1467"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1" w:firstLine="0"/>
              <w:jc w:val="right"/>
            </w:pPr>
            <w:r>
              <w:rPr>
                <w:sz w:val="20"/>
              </w:rPr>
              <w:t xml:space="preserve">0 </w:t>
            </w:r>
          </w:p>
        </w:tc>
        <w:tc>
          <w:tcPr>
            <w:tcW w:w="1467"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6" w:right="0" w:firstLine="0"/>
              <w:jc w:val="left"/>
            </w:pPr>
            <w:r>
              <w:rPr>
                <w:sz w:val="20"/>
              </w:rPr>
              <w:t xml:space="preserve">184.560.000,00 </w:t>
            </w:r>
          </w:p>
        </w:tc>
        <w:tc>
          <w:tcPr>
            <w:tcW w:w="1855"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1" w:firstLine="0"/>
              <w:jc w:val="right"/>
            </w:pPr>
            <w:r>
              <w:rPr>
                <w:sz w:val="20"/>
              </w:rPr>
              <w:t xml:space="preserve">897.060.000,00 </w:t>
            </w:r>
          </w:p>
        </w:tc>
      </w:tr>
      <w:tr w:rsidR="00E8309B">
        <w:trPr>
          <w:trHeight w:val="300"/>
        </w:trPr>
        <w:tc>
          <w:tcPr>
            <w:tcW w:w="9252" w:type="dxa"/>
            <w:gridSpan w:val="6"/>
            <w:tcBorders>
              <w:top w:val="single" w:sz="8" w:space="0" w:color="000000"/>
              <w:left w:val="single" w:sz="8" w:space="0" w:color="000000"/>
              <w:bottom w:val="single" w:sz="8" w:space="0" w:color="000000"/>
              <w:right w:val="single" w:sz="8" w:space="0" w:color="000000"/>
            </w:tcBorders>
            <w:shd w:val="clear" w:color="auto" w:fill="D0CECE"/>
            <w:vAlign w:val="bottom"/>
          </w:tcPr>
          <w:p w:rsidR="00E8309B" w:rsidRDefault="009D0949">
            <w:pPr>
              <w:spacing w:after="0" w:line="259" w:lineRule="auto"/>
              <w:ind w:left="0" w:right="0" w:firstLine="0"/>
              <w:jc w:val="left"/>
            </w:pPr>
            <w:r>
              <w:rPr>
                <w:b/>
                <w:sz w:val="20"/>
              </w:rPr>
              <w:t xml:space="preserve">6.  Унапређење конкурентности пољопривреде </w:t>
            </w:r>
          </w:p>
        </w:tc>
      </w:tr>
      <w:tr w:rsidR="00E8309B">
        <w:trPr>
          <w:trHeight w:val="458"/>
        </w:trPr>
        <w:tc>
          <w:tcPr>
            <w:tcW w:w="1120" w:type="dxa"/>
            <w:tcBorders>
              <w:top w:val="single" w:sz="8" w:space="0" w:color="000000"/>
              <w:left w:val="single" w:sz="8" w:space="0" w:color="000000"/>
              <w:bottom w:val="single" w:sz="8" w:space="0" w:color="000000"/>
              <w:right w:val="single" w:sz="8" w:space="0" w:color="000000"/>
            </w:tcBorders>
            <w:vAlign w:val="bottom"/>
          </w:tcPr>
          <w:p w:rsidR="00E8309B" w:rsidRDefault="009D0949">
            <w:pPr>
              <w:spacing w:after="0" w:line="259" w:lineRule="auto"/>
              <w:ind w:left="0" w:right="56" w:firstLine="0"/>
              <w:jc w:val="center"/>
            </w:pPr>
            <w:r>
              <w:rPr>
                <w:b/>
                <w:sz w:val="20"/>
              </w:rPr>
              <w:t>Година</w:t>
            </w:r>
            <w:r>
              <w:rPr>
                <w:sz w:val="20"/>
              </w:rPr>
              <w:t xml:space="preserve">  </w:t>
            </w:r>
          </w:p>
        </w:tc>
        <w:tc>
          <w:tcPr>
            <w:tcW w:w="1489" w:type="dxa"/>
            <w:tcBorders>
              <w:top w:val="single" w:sz="8" w:space="0" w:color="000000"/>
              <w:left w:val="single" w:sz="8" w:space="0" w:color="000000"/>
              <w:bottom w:val="single" w:sz="8" w:space="0" w:color="000000"/>
              <w:right w:val="single" w:sz="8" w:space="0" w:color="000000"/>
            </w:tcBorders>
            <w:vAlign w:val="bottom"/>
          </w:tcPr>
          <w:p w:rsidR="00E8309B" w:rsidRDefault="009D0949">
            <w:pPr>
              <w:spacing w:after="0" w:line="259" w:lineRule="auto"/>
              <w:ind w:left="0" w:right="52" w:firstLine="0"/>
              <w:jc w:val="center"/>
            </w:pPr>
            <w:r>
              <w:rPr>
                <w:sz w:val="20"/>
              </w:rPr>
              <w:t xml:space="preserve">Плате </w:t>
            </w:r>
          </w:p>
        </w:tc>
        <w:tc>
          <w:tcPr>
            <w:tcW w:w="1855" w:type="dxa"/>
            <w:tcBorders>
              <w:top w:val="single" w:sz="8" w:space="0" w:color="000000"/>
              <w:left w:val="single" w:sz="8" w:space="0" w:color="000000"/>
              <w:bottom w:val="single" w:sz="8" w:space="0" w:color="000000"/>
              <w:right w:val="single" w:sz="8" w:space="0" w:color="000000"/>
            </w:tcBorders>
            <w:vAlign w:val="bottom"/>
          </w:tcPr>
          <w:p w:rsidR="00E8309B" w:rsidRDefault="009D0949">
            <w:pPr>
              <w:spacing w:after="0" w:line="259" w:lineRule="auto"/>
              <w:ind w:left="0" w:right="53" w:firstLine="0"/>
              <w:jc w:val="center"/>
            </w:pPr>
            <w:r>
              <w:rPr>
                <w:sz w:val="20"/>
              </w:rPr>
              <w:t xml:space="preserve">Добра и услуге </w:t>
            </w:r>
          </w:p>
        </w:tc>
        <w:tc>
          <w:tcPr>
            <w:tcW w:w="1467"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0" w:firstLine="0"/>
              <w:jc w:val="center"/>
            </w:pPr>
            <w:r>
              <w:rPr>
                <w:sz w:val="20"/>
              </w:rPr>
              <w:t xml:space="preserve">Субвенције и трансфери </w:t>
            </w:r>
          </w:p>
        </w:tc>
        <w:tc>
          <w:tcPr>
            <w:tcW w:w="1467"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0" w:firstLine="0"/>
              <w:jc w:val="center"/>
            </w:pPr>
            <w:r>
              <w:rPr>
                <w:sz w:val="20"/>
              </w:rPr>
              <w:t xml:space="preserve">Капитални расходи </w:t>
            </w:r>
          </w:p>
        </w:tc>
        <w:tc>
          <w:tcPr>
            <w:tcW w:w="1855" w:type="dxa"/>
            <w:tcBorders>
              <w:top w:val="single" w:sz="8" w:space="0" w:color="000000"/>
              <w:left w:val="single" w:sz="8" w:space="0" w:color="000000"/>
              <w:bottom w:val="single" w:sz="8" w:space="0" w:color="000000"/>
              <w:right w:val="single" w:sz="8" w:space="0" w:color="000000"/>
            </w:tcBorders>
            <w:vAlign w:val="bottom"/>
          </w:tcPr>
          <w:p w:rsidR="00E8309B" w:rsidRDefault="009D0949">
            <w:pPr>
              <w:spacing w:after="0" w:line="259" w:lineRule="auto"/>
              <w:ind w:left="0" w:right="50" w:firstLine="0"/>
              <w:jc w:val="center"/>
            </w:pPr>
            <w:r>
              <w:rPr>
                <w:sz w:val="20"/>
              </w:rPr>
              <w:t xml:space="preserve">Укупно </w:t>
            </w:r>
          </w:p>
        </w:tc>
      </w:tr>
      <w:tr w:rsidR="00E8309B">
        <w:trPr>
          <w:trHeight w:val="305"/>
        </w:trPr>
        <w:tc>
          <w:tcPr>
            <w:tcW w:w="1120"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3" w:firstLine="0"/>
              <w:jc w:val="center"/>
            </w:pPr>
            <w:r>
              <w:rPr>
                <w:sz w:val="20"/>
              </w:rPr>
              <w:t xml:space="preserve">2021 </w:t>
            </w:r>
          </w:p>
        </w:tc>
        <w:tc>
          <w:tcPr>
            <w:tcW w:w="1489"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4" w:firstLine="0"/>
              <w:jc w:val="right"/>
            </w:pPr>
            <w:r>
              <w:rPr>
                <w:sz w:val="20"/>
              </w:rPr>
              <w:t xml:space="preserve">0 </w:t>
            </w:r>
          </w:p>
        </w:tc>
        <w:tc>
          <w:tcPr>
            <w:tcW w:w="1855"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49" w:firstLine="0"/>
              <w:jc w:val="right"/>
            </w:pPr>
            <w:r>
              <w:rPr>
                <w:sz w:val="20"/>
              </w:rPr>
              <w:t xml:space="preserve">713.997,10 </w:t>
            </w:r>
          </w:p>
        </w:tc>
        <w:tc>
          <w:tcPr>
            <w:tcW w:w="1467"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1" w:firstLine="0"/>
              <w:jc w:val="right"/>
            </w:pPr>
            <w:r>
              <w:rPr>
                <w:sz w:val="20"/>
              </w:rPr>
              <w:t xml:space="preserve">0 </w:t>
            </w:r>
          </w:p>
        </w:tc>
        <w:tc>
          <w:tcPr>
            <w:tcW w:w="1467"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2" w:firstLine="0"/>
              <w:jc w:val="right"/>
            </w:pPr>
            <w:r>
              <w:rPr>
                <w:sz w:val="20"/>
              </w:rPr>
              <w:t xml:space="preserve">0 </w:t>
            </w:r>
          </w:p>
        </w:tc>
        <w:tc>
          <w:tcPr>
            <w:tcW w:w="1855"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49" w:firstLine="0"/>
              <w:jc w:val="right"/>
            </w:pPr>
            <w:r>
              <w:rPr>
                <w:sz w:val="20"/>
              </w:rPr>
              <w:t xml:space="preserve">713.997,10 </w:t>
            </w:r>
          </w:p>
        </w:tc>
      </w:tr>
      <w:tr w:rsidR="00E8309B">
        <w:trPr>
          <w:trHeight w:val="468"/>
        </w:trPr>
        <w:tc>
          <w:tcPr>
            <w:tcW w:w="1120" w:type="dxa"/>
            <w:tcBorders>
              <w:top w:val="single" w:sz="8" w:space="0" w:color="000000"/>
              <w:left w:val="single" w:sz="8" w:space="0" w:color="000000"/>
              <w:bottom w:val="single" w:sz="8" w:space="0" w:color="000000"/>
              <w:right w:val="single" w:sz="8" w:space="0" w:color="000000"/>
            </w:tcBorders>
            <w:vAlign w:val="bottom"/>
          </w:tcPr>
          <w:p w:rsidR="00E8309B" w:rsidRDefault="009D0949">
            <w:pPr>
              <w:spacing w:after="0" w:line="259" w:lineRule="auto"/>
              <w:ind w:left="0" w:right="53" w:firstLine="0"/>
              <w:jc w:val="center"/>
            </w:pPr>
            <w:r>
              <w:rPr>
                <w:sz w:val="20"/>
              </w:rPr>
              <w:t xml:space="preserve">2022 </w:t>
            </w:r>
          </w:p>
        </w:tc>
        <w:tc>
          <w:tcPr>
            <w:tcW w:w="1489" w:type="dxa"/>
            <w:tcBorders>
              <w:top w:val="single" w:sz="8" w:space="0" w:color="000000"/>
              <w:left w:val="single" w:sz="8" w:space="0" w:color="000000"/>
              <w:bottom w:val="single" w:sz="8" w:space="0" w:color="000000"/>
              <w:right w:val="single" w:sz="8" w:space="0" w:color="000000"/>
            </w:tcBorders>
            <w:vAlign w:val="bottom"/>
          </w:tcPr>
          <w:p w:rsidR="00E8309B" w:rsidRDefault="009D0949">
            <w:pPr>
              <w:spacing w:after="0" w:line="259" w:lineRule="auto"/>
              <w:ind w:left="0" w:right="52" w:firstLine="0"/>
              <w:jc w:val="right"/>
            </w:pPr>
            <w:r>
              <w:rPr>
                <w:sz w:val="20"/>
              </w:rPr>
              <w:t xml:space="preserve">18.672,00 </w:t>
            </w:r>
          </w:p>
        </w:tc>
        <w:tc>
          <w:tcPr>
            <w:tcW w:w="1855" w:type="dxa"/>
            <w:tcBorders>
              <w:top w:val="single" w:sz="8" w:space="0" w:color="000000"/>
              <w:left w:val="single" w:sz="8" w:space="0" w:color="000000"/>
              <w:bottom w:val="single" w:sz="8" w:space="0" w:color="000000"/>
              <w:right w:val="single" w:sz="8" w:space="0" w:color="000000"/>
            </w:tcBorders>
            <w:vAlign w:val="bottom"/>
          </w:tcPr>
          <w:p w:rsidR="00E8309B" w:rsidRDefault="009D0949">
            <w:pPr>
              <w:spacing w:after="0" w:line="259" w:lineRule="auto"/>
              <w:ind w:left="0" w:right="49" w:firstLine="0"/>
              <w:jc w:val="right"/>
            </w:pPr>
            <w:r>
              <w:rPr>
                <w:sz w:val="20"/>
              </w:rPr>
              <w:t xml:space="preserve">1.002.395,00 </w:t>
            </w:r>
          </w:p>
        </w:tc>
        <w:tc>
          <w:tcPr>
            <w:tcW w:w="1467" w:type="dxa"/>
            <w:tcBorders>
              <w:top w:val="single" w:sz="8" w:space="0" w:color="000000"/>
              <w:left w:val="single" w:sz="8" w:space="0" w:color="000000"/>
              <w:bottom w:val="single" w:sz="8" w:space="0" w:color="000000"/>
              <w:right w:val="single" w:sz="8" w:space="0" w:color="000000"/>
            </w:tcBorders>
            <w:vAlign w:val="bottom"/>
          </w:tcPr>
          <w:p w:rsidR="00E8309B" w:rsidRDefault="009D0949">
            <w:pPr>
              <w:spacing w:after="0" w:line="259" w:lineRule="auto"/>
              <w:ind w:left="0" w:right="49" w:firstLine="0"/>
              <w:jc w:val="right"/>
            </w:pPr>
            <w:r>
              <w:rPr>
                <w:sz w:val="20"/>
              </w:rPr>
              <w:t xml:space="preserve">4.500.000,00 </w:t>
            </w:r>
          </w:p>
        </w:tc>
        <w:tc>
          <w:tcPr>
            <w:tcW w:w="1467" w:type="dxa"/>
            <w:tcBorders>
              <w:top w:val="single" w:sz="8" w:space="0" w:color="000000"/>
              <w:left w:val="single" w:sz="8" w:space="0" w:color="000000"/>
              <w:bottom w:val="single" w:sz="8" w:space="0" w:color="000000"/>
              <w:right w:val="single" w:sz="8" w:space="0" w:color="000000"/>
            </w:tcBorders>
            <w:vAlign w:val="bottom"/>
          </w:tcPr>
          <w:p w:rsidR="00E8309B" w:rsidRDefault="009D0949">
            <w:pPr>
              <w:spacing w:after="0" w:line="259" w:lineRule="auto"/>
              <w:ind w:left="0" w:right="52" w:firstLine="0"/>
              <w:jc w:val="right"/>
            </w:pPr>
            <w:r>
              <w:rPr>
                <w:sz w:val="20"/>
              </w:rPr>
              <w:t xml:space="preserve">0 </w:t>
            </w:r>
          </w:p>
        </w:tc>
        <w:tc>
          <w:tcPr>
            <w:tcW w:w="1855"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49" w:firstLine="0"/>
              <w:jc w:val="right"/>
            </w:pPr>
            <w:r>
              <w:rPr>
                <w:sz w:val="20"/>
              </w:rPr>
              <w:t xml:space="preserve">5.521.067,00 </w:t>
            </w:r>
          </w:p>
          <w:p w:rsidR="00E8309B" w:rsidRDefault="009D0949">
            <w:pPr>
              <w:spacing w:after="0" w:line="259" w:lineRule="auto"/>
              <w:ind w:left="0" w:right="0" w:firstLine="0"/>
              <w:jc w:val="right"/>
            </w:pPr>
            <w:r>
              <w:rPr>
                <w:sz w:val="20"/>
              </w:rPr>
              <w:t xml:space="preserve"> </w:t>
            </w:r>
          </w:p>
        </w:tc>
      </w:tr>
      <w:tr w:rsidR="00E8309B">
        <w:trPr>
          <w:trHeight w:val="310"/>
        </w:trPr>
        <w:tc>
          <w:tcPr>
            <w:tcW w:w="1120"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3" w:firstLine="0"/>
              <w:jc w:val="center"/>
            </w:pPr>
            <w:r>
              <w:rPr>
                <w:sz w:val="20"/>
              </w:rPr>
              <w:t xml:space="preserve">2023 </w:t>
            </w:r>
          </w:p>
        </w:tc>
        <w:tc>
          <w:tcPr>
            <w:tcW w:w="1489"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2" w:firstLine="0"/>
              <w:jc w:val="right"/>
            </w:pPr>
            <w:r>
              <w:rPr>
                <w:sz w:val="20"/>
              </w:rPr>
              <w:t xml:space="preserve">18.672,00 </w:t>
            </w:r>
          </w:p>
        </w:tc>
        <w:tc>
          <w:tcPr>
            <w:tcW w:w="1855"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49" w:firstLine="0"/>
              <w:jc w:val="right"/>
            </w:pPr>
            <w:r>
              <w:rPr>
                <w:sz w:val="20"/>
              </w:rPr>
              <w:t xml:space="preserve">202.395, 00 </w:t>
            </w:r>
          </w:p>
        </w:tc>
        <w:tc>
          <w:tcPr>
            <w:tcW w:w="1467"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49" w:firstLine="0"/>
              <w:jc w:val="right"/>
            </w:pPr>
            <w:r>
              <w:rPr>
                <w:sz w:val="20"/>
              </w:rPr>
              <w:t xml:space="preserve">4.500.000,00 </w:t>
            </w:r>
          </w:p>
        </w:tc>
        <w:tc>
          <w:tcPr>
            <w:tcW w:w="1467"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2" w:firstLine="0"/>
              <w:jc w:val="right"/>
            </w:pPr>
            <w:r>
              <w:rPr>
                <w:sz w:val="20"/>
              </w:rPr>
              <w:t xml:space="preserve">0 </w:t>
            </w:r>
          </w:p>
        </w:tc>
        <w:tc>
          <w:tcPr>
            <w:tcW w:w="1855"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49" w:firstLine="0"/>
              <w:jc w:val="right"/>
            </w:pPr>
            <w:r>
              <w:rPr>
                <w:sz w:val="20"/>
              </w:rPr>
              <w:t xml:space="preserve">4.721.067,00 </w:t>
            </w:r>
          </w:p>
        </w:tc>
      </w:tr>
      <w:tr w:rsidR="00E8309B">
        <w:trPr>
          <w:trHeight w:val="300"/>
        </w:trPr>
        <w:tc>
          <w:tcPr>
            <w:tcW w:w="9252" w:type="dxa"/>
            <w:gridSpan w:val="6"/>
            <w:tcBorders>
              <w:top w:val="single" w:sz="8" w:space="0" w:color="000000"/>
              <w:left w:val="single" w:sz="8" w:space="0" w:color="000000"/>
              <w:bottom w:val="single" w:sz="8" w:space="0" w:color="000000"/>
              <w:right w:val="single" w:sz="8" w:space="0" w:color="000000"/>
            </w:tcBorders>
            <w:shd w:val="clear" w:color="auto" w:fill="D0CECE"/>
            <w:vAlign w:val="bottom"/>
          </w:tcPr>
          <w:p w:rsidR="00E8309B" w:rsidRDefault="009D0949">
            <w:pPr>
              <w:tabs>
                <w:tab w:val="center" w:pos="4469"/>
                <w:tab w:val="center" w:pos="5936"/>
                <w:tab w:val="center" w:pos="7401"/>
              </w:tabs>
              <w:spacing w:after="0" w:line="259" w:lineRule="auto"/>
              <w:ind w:left="0" w:right="0" w:firstLine="0"/>
              <w:jc w:val="left"/>
            </w:pPr>
            <w:r>
              <w:rPr>
                <w:b/>
                <w:sz w:val="20"/>
              </w:rPr>
              <w:t xml:space="preserve">7. Подизање конкурентности индустрије </w:t>
            </w:r>
            <w:r>
              <w:rPr>
                <w:b/>
                <w:sz w:val="20"/>
              </w:rPr>
              <w:tab/>
              <w:t xml:space="preserve">  </w:t>
            </w:r>
            <w:r>
              <w:rPr>
                <w:b/>
                <w:sz w:val="20"/>
              </w:rPr>
              <w:tab/>
              <w:t xml:space="preserve">  </w:t>
            </w:r>
            <w:r>
              <w:rPr>
                <w:b/>
                <w:sz w:val="20"/>
              </w:rPr>
              <w:tab/>
              <w:t xml:space="preserve">  </w:t>
            </w:r>
          </w:p>
        </w:tc>
      </w:tr>
      <w:tr w:rsidR="00E8309B">
        <w:trPr>
          <w:trHeight w:val="458"/>
        </w:trPr>
        <w:tc>
          <w:tcPr>
            <w:tcW w:w="1120" w:type="dxa"/>
            <w:tcBorders>
              <w:top w:val="single" w:sz="8" w:space="0" w:color="000000"/>
              <w:left w:val="single" w:sz="8" w:space="0" w:color="000000"/>
              <w:bottom w:val="single" w:sz="8" w:space="0" w:color="000000"/>
              <w:right w:val="single" w:sz="8" w:space="0" w:color="000000"/>
            </w:tcBorders>
            <w:vAlign w:val="bottom"/>
          </w:tcPr>
          <w:p w:rsidR="00E8309B" w:rsidRDefault="009D0949">
            <w:pPr>
              <w:spacing w:after="0" w:line="259" w:lineRule="auto"/>
              <w:ind w:left="0" w:right="56" w:firstLine="0"/>
              <w:jc w:val="center"/>
            </w:pPr>
            <w:r>
              <w:rPr>
                <w:b/>
                <w:sz w:val="20"/>
              </w:rPr>
              <w:t>Година</w:t>
            </w:r>
            <w:r>
              <w:rPr>
                <w:sz w:val="20"/>
              </w:rPr>
              <w:t xml:space="preserve">  </w:t>
            </w:r>
          </w:p>
        </w:tc>
        <w:tc>
          <w:tcPr>
            <w:tcW w:w="1489" w:type="dxa"/>
            <w:tcBorders>
              <w:top w:val="single" w:sz="8" w:space="0" w:color="000000"/>
              <w:left w:val="single" w:sz="8" w:space="0" w:color="000000"/>
              <w:bottom w:val="single" w:sz="8" w:space="0" w:color="000000"/>
              <w:right w:val="single" w:sz="8" w:space="0" w:color="000000"/>
            </w:tcBorders>
            <w:vAlign w:val="bottom"/>
          </w:tcPr>
          <w:p w:rsidR="00E8309B" w:rsidRDefault="009D0949">
            <w:pPr>
              <w:spacing w:after="0" w:line="259" w:lineRule="auto"/>
              <w:ind w:left="0" w:right="52" w:firstLine="0"/>
              <w:jc w:val="center"/>
            </w:pPr>
            <w:r>
              <w:rPr>
                <w:sz w:val="20"/>
              </w:rPr>
              <w:t xml:space="preserve">Плате </w:t>
            </w:r>
          </w:p>
        </w:tc>
        <w:tc>
          <w:tcPr>
            <w:tcW w:w="1855" w:type="dxa"/>
            <w:tcBorders>
              <w:top w:val="single" w:sz="8" w:space="0" w:color="000000"/>
              <w:left w:val="single" w:sz="8" w:space="0" w:color="000000"/>
              <w:bottom w:val="single" w:sz="8" w:space="0" w:color="000000"/>
              <w:right w:val="single" w:sz="8" w:space="0" w:color="000000"/>
            </w:tcBorders>
            <w:vAlign w:val="bottom"/>
          </w:tcPr>
          <w:p w:rsidR="00E8309B" w:rsidRDefault="009D0949">
            <w:pPr>
              <w:spacing w:after="0" w:line="259" w:lineRule="auto"/>
              <w:ind w:left="0" w:right="53" w:firstLine="0"/>
              <w:jc w:val="center"/>
            </w:pPr>
            <w:r>
              <w:rPr>
                <w:sz w:val="20"/>
              </w:rPr>
              <w:t xml:space="preserve">Добра и услуге </w:t>
            </w:r>
          </w:p>
        </w:tc>
        <w:tc>
          <w:tcPr>
            <w:tcW w:w="1467"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0" w:firstLine="0"/>
              <w:jc w:val="center"/>
            </w:pPr>
            <w:r>
              <w:rPr>
                <w:sz w:val="20"/>
              </w:rPr>
              <w:t xml:space="preserve">Субвенције и трансфери </w:t>
            </w:r>
          </w:p>
        </w:tc>
        <w:tc>
          <w:tcPr>
            <w:tcW w:w="1467"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0" w:firstLine="0"/>
              <w:jc w:val="center"/>
            </w:pPr>
            <w:r>
              <w:rPr>
                <w:sz w:val="20"/>
              </w:rPr>
              <w:t xml:space="preserve">Капитални расходи </w:t>
            </w:r>
          </w:p>
        </w:tc>
        <w:tc>
          <w:tcPr>
            <w:tcW w:w="1855" w:type="dxa"/>
            <w:tcBorders>
              <w:top w:val="single" w:sz="8" w:space="0" w:color="000000"/>
              <w:left w:val="single" w:sz="8" w:space="0" w:color="000000"/>
              <w:bottom w:val="single" w:sz="8" w:space="0" w:color="000000"/>
              <w:right w:val="single" w:sz="8" w:space="0" w:color="000000"/>
            </w:tcBorders>
            <w:vAlign w:val="bottom"/>
          </w:tcPr>
          <w:p w:rsidR="00E8309B" w:rsidRDefault="009D0949">
            <w:pPr>
              <w:spacing w:after="0" w:line="259" w:lineRule="auto"/>
              <w:ind w:left="0" w:right="50" w:firstLine="0"/>
              <w:jc w:val="center"/>
            </w:pPr>
            <w:r>
              <w:rPr>
                <w:sz w:val="20"/>
              </w:rPr>
              <w:t xml:space="preserve">Укупно </w:t>
            </w:r>
          </w:p>
        </w:tc>
      </w:tr>
      <w:tr w:rsidR="00E8309B">
        <w:trPr>
          <w:trHeight w:val="305"/>
        </w:trPr>
        <w:tc>
          <w:tcPr>
            <w:tcW w:w="1120"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3" w:firstLine="0"/>
              <w:jc w:val="center"/>
            </w:pPr>
            <w:r>
              <w:rPr>
                <w:sz w:val="20"/>
              </w:rPr>
              <w:t xml:space="preserve">2021 </w:t>
            </w:r>
          </w:p>
        </w:tc>
        <w:tc>
          <w:tcPr>
            <w:tcW w:w="1489"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4" w:firstLine="0"/>
              <w:jc w:val="right"/>
            </w:pPr>
            <w:r>
              <w:rPr>
                <w:sz w:val="20"/>
              </w:rPr>
              <w:t xml:space="preserve">0 </w:t>
            </w:r>
          </w:p>
        </w:tc>
        <w:tc>
          <w:tcPr>
            <w:tcW w:w="1855"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49" w:firstLine="0"/>
              <w:jc w:val="right"/>
            </w:pPr>
            <w:r>
              <w:rPr>
                <w:sz w:val="20"/>
              </w:rPr>
              <w:t xml:space="preserve">566.667,00 </w:t>
            </w:r>
          </w:p>
        </w:tc>
        <w:tc>
          <w:tcPr>
            <w:tcW w:w="1467"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49" w:firstLine="0"/>
              <w:jc w:val="right"/>
            </w:pPr>
            <w:r>
              <w:rPr>
                <w:sz w:val="20"/>
              </w:rPr>
              <w:t xml:space="preserve">858.333,00 </w:t>
            </w:r>
          </w:p>
        </w:tc>
        <w:tc>
          <w:tcPr>
            <w:tcW w:w="1467"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1" w:firstLine="0"/>
              <w:jc w:val="right"/>
            </w:pPr>
            <w:r>
              <w:rPr>
                <w:sz w:val="20"/>
              </w:rPr>
              <w:t xml:space="preserve">12.250.000,00 </w:t>
            </w:r>
          </w:p>
        </w:tc>
        <w:tc>
          <w:tcPr>
            <w:tcW w:w="1855"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0" w:firstLine="0"/>
              <w:jc w:val="right"/>
            </w:pPr>
            <w:r>
              <w:rPr>
                <w:sz w:val="20"/>
              </w:rPr>
              <w:t xml:space="preserve">13.675.000,00 </w:t>
            </w:r>
          </w:p>
        </w:tc>
      </w:tr>
      <w:tr w:rsidR="00E8309B">
        <w:trPr>
          <w:trHeight w:val="305"/>
        </w:trPr>
        <w:tc>
          <w:tcPr>
            <w:tcW w:w="1120"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3" w:firstLine="0"/>
              <w:jc w:val="center"/>
            </w:pPr>
            <w:r>
              <w:rPr>
                <w:sz w:val="20"/>
              </w:rPr>
              <w:t xml:space="preserve">2022 </w:t>
            </w:r>
          </w:p>
        </w:tc>
        <w:tc>
          <w:tcPr>
            <w:tcW w:w="1489"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4" w:firstLine="0"/>
              <w:jc w:val="right"/>
            </w:pPr>
            <w:r>
              <w:rPr>
                <w:sz w:val="20"/>
              </w:rPr>
              <w:t xml:space="preserve">0 </w:t>
            </w:r>
          </w:p>
        </w:tc>
        <w:tc>
          <w:tcPr>
            <w:tcW w:w="1855"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0" w:firstLine="0"/>
              <w:jc w:val="right"/>
            </w:pPr>
            <w:r>
              <w:rPr>
                <w:sz w:val="20"/>
              </w:rPr>
              <w:t xml:space="preserve">304.167,00 </w:t>
            </w:r>
          </w:p>
        </w:tc>
        <w:tc>
          <w:tcPr>
            <w:tcW w:w="1467"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1" w:firstLine="0"/>
              <w:jc w:val="right"/>
            </w:pPr>
            <w:r>
              <w:rPr>
                <w:sz w:val="20"/>
              </w:rPr>
              <w:t xml:space="preserve">1.291.667,00 </w:t>
            </w:r>
          </w:p>
        </w:tc>
        <w:tc>
          <w:tcPr>
            <w:tcW w:w="1467"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1" w:firstLine="0"/>
              <w:jc w:val="right"/>
            </w:pPr>
            <w:r>
              <w:rPr>
                <w:sz w:val="20"/>
              </w:rPr>
              <w:t xml:space="preserve">12.250.000,00 </w:t>
            </w:r>
          </w:p>
        </w:tc>
        <w:tc>
          <w:tcPr>
            <w:tcW w:w="1855"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49" w:firstLine="0"/>
              <w:jc w:val="right"/>
            </w:pPr>
            <w:r>
              <w:rPr>
                <w:sz w:val="20"/>
              </w:rPr>
              <w:t xml:space="preserve">13.845.834,00 </w:t>
            </w:r>
          </w:p>
        </w:tc>
      </w:tr>
      <w:tr w:rsidR="00E8309B">
        <w:trPr>
          <w:trHeight w:val="308"/>
        </w:trPr>
        <w:tc>
          <w:tcPr>
            <w:tcW w:w="1120"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3" w:firstLine="0"/>
              <w:jc w:val="center"/>
            </w:pPr>
            <w:r>
              <w:rPr>
                <w:sz w:val="20"/>
              </w:rPr>
              <w:t xml:space="preserve">2023 </w:t>
            </w:r>
          </w:p>
        </w:tc>
        <w:tc>
          <w:tcPr>
            <w:tcW w:w="1489"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4" w:firstLine="0"/>
              <w:jc w:val="right"/>
            </w:pPr>
            <w:r>
              <w:rPr>
                <w:sz w:val="20"/>
              </w:rPr>
              <w:t xml:space="preserve">0 </w:t>
            </w:r>
          </w:p>
        </w:tc>
        <w:tc>
          <w:tcPr>
            <w:tcW w:w="1855"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49" w:firstLine="0"/>
              <w:jc w:val="right"/>
            </w:pPr>
            <w:r>
              <w:rPr>
                <w:sz w:val="20"/>
              </w:rPr>
              <w:t xml:space="preserve">304.167,00 </w:t>
            </w:r>
          </w:p>
        </w:tc>
        <w:tc>
          <w:tcPr>
            <w:tcW w:w="1467"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1" w:firstLine="0"/>
              <w:jc w:val="right"/>
            </w:pPr>
            <w:r>
              <w:rPr>
                <w:sz w:val="20"/>
              </w:rPr>
              <w:t xml:space="preserve">1.375.000,00 </w:t>
            </w:r>
          </w:p>
        </w:tc>
        <w:tc>
          <w:tcPr>
            <w:tcW w:w="1467"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1" w:firstLine="0"/>
              <w:jc w:val="right"/>
            </w:pPr>
            <w:r>
              <w:rPr>
                <w:sz w:val="20"/>
              </w:rPr>
              <w:t xml:space="preserve">12.250.000,00 </w:t>
            </w:r>
          </w:p>
        </w:tc>
        <w:tc>
          <w:tcPr>
            <w:tcW w:w="1855"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0" w:firstLine="0"/>
              <w:jc w:val="right"/>
            </w:pPr>
            <w:r>
              <w:rPr>
                <w:sz w:val="20"/>
              </w:rPr>
              <w:t xml:space="preserve">13.929.167,00 </w:t>
            </w:r>
          </w:p>
        </w:tc>
      </w:tr>
      <w:tr w:rsidR="00E8309B">
        <w:trPr>
          <w:trHeight w:val="295"/>
        </w:trPr>
        <w:tc>
          <w:tcPr>
            <w:tcW w:w="9252" w:type="dxa"/>
            <w:gridSpan w:val="6"/>
            <w:tcBorders>
              <w:top w:val="single" w:sz="8" w:space="0" w:color="000000"/>
              <w:left w:val="single" w:sz="8" w:space="0" w:color="000000"/>
              <w:bottom w:val="single" w:sz="4" w:space="0" w:color="000000"/>
              <w:right w:val="single" w:sz="8" w:space="0" w:color="000000"/>
            </w:tcBorders>
            <w:shd w:val="clear" w:color="auto" w:fill="D0CECE"/>
            <w:vAlign w:val="bottom"/>
          </w:tcPr>
          <w:p w:rsidR="00E8309B" w:rsidRDefault="009D0949">
            <w:pPr>
              <w:spacing w:after="0" w:line="259" w:lineRule="auto"/>
              <w:ind w:left="0" w:right="0" w:firstLine="0"/>
              <w:jc w:val="left"/>
            </w:pPr>
            <w:r>
              <w:rPr>
                <w:b/>
                <w:sz w:val="20"/>
              </w:rPr>
              <w:t xml:space="preserve">8. Увођење концепта циркуларне економије </w:t>
            </w:r>
          </w:p>
        </w:tc>
      </w:tr>
      <w:tr w:rsidR="00E8309B">
        <w:trPr>
          <w:trHeight w:val="455"/>
        </w:trPr>
        <w:tc>
          <w:tcPr>
            <w:tcW w:w="1120" w:type="dxa"/>
            <w:tcBorders>
              <w:top w:val="single" w:sz="4" w:space="0" w:color="000000"/>
              <w:left w:val="single" w:sz="8" w:space="0" w:color="000000"/>
              <w:bottom w:val="single" w:sz="8" w:space="0" w:color="000000"/>
              <w:right w:val="single" w:sz="8" w:space="0" w:color="000000"/>
            </w:tcBorders>
            <w:vAlign w:val="bottom"/>
          </w:tcPr>
          <w:p w:rsidR="00E8309B" w:rsidRDefault="009D0949">
            <w:pPr>
              <w:spacing w:after="0" w:line="259" w:lineRule="auto"/>
              <w:ind w:left="0" w:right="56" w:firstLine="0"/>
              <w:jc w:val="center"/>
            </w:pPr>
            <w:r>
              <w:rPr>
                <w:b/>
                <w:sz w:val="20"/>
              </w:rPr>
              <w:t>Година</w:t>
            </w:r>
            <w:r>
              <w:rPr>
                <w:sz w:val="20"/>
              </w:rPr>
              <w:t xml:space="preserve">  </w:t>
            </w:r>
          </w:p>
        </w:tc>
        <w:tc>
          <w:tcPr>
            <w:tcW w:w="1489" w:type="dxa"/>
            <w:tcBorders>
              <w:top w:val="single" w:sz="4" w:space="0" w:color="000000"/>
              <w:left w:val="single" w:sz="8" w:space="0" w:color="000000"/>
              <w:bottom w:val="single" w:sz="8" w:space="0" w:color="000000"/>
              <w:right w:val="single" w:sz="8" w:space="0" w:color="000000"/>
            </w:tcBorders>
            <w:vAlign w:val="bottom"/>
          </w:tcPr>
          <w:p w:rsidR="00E8309B" w:rsidRDefault="009D0949">
            <w:pPr>
              <w:spacing w:after="0" w:line="259" w:lineRule="auto"/>
              <w:ind w:left="0" w:right="52" w:firstLine="0"/>
              <w:jc w:val="center"/>
            </w:pPr>
            <w:r>
              <w:rPr>
                <w:sz w:val="20"/>
              </w:rPr>
              <w:t xml:space="preserve">Плате </w:t>
            </w:r>
          </w:p>
        </w:tc>
        <w:tc>
          <w:tcPr>
            <w:tcW w:w="1855" w:type="dxa"/>
            <w:tcBorders>
              <w:top w:val="single" w:sz="4" w:space="0" w:color="000000"/>
              <w:left w:val="single" w:sz="8" w:space="0" w:color="000000"/>
              <w:bottom w:val="single" w:sz="8" w:space="0" w:color="000000"/>
              <w:right w:val="single" w:sz="8" w:space="0" w:color="000000"/>
            </w:tcBorders>
            <w:vAlign w:val="bottom"/>
          </w:tcPr>
          <w:p w:rsidR="00E8309B" w:rsidRDefault="009D0949">
            <w:pPr>
              <w:spacing w:after="0" w:line="259" w:lineRule="auto"/>
              <w:ind w:left="0" w:right="53" w:firstLine="0"/>
              <w:jc w:val="center"/>
            </w:pPr>
            <w:r>
              <w:rPr>
                <w:sz w:val="20"/>
              </w:rPr>
              <w:t xml:space="preserve">Добра и услуге </w:t>
            </w:r>
          </w:p>
        </w:tc>
        <w:tc>
          <w:tcPr>
            <w:tcW w:w="1467" w:type="dxa"/>
            <w:tcBorders>
              <w:top w:val="single" w:sz="4" w:space="0" w:color="000000"/>
              <w:left w:val="single" w:sz="8" w:space="0" w:color="000000"/>
              <w:bottom w:val="single" w:sz="8" w:space="0" w:color="000000"/>
              <w:right w:val="single" w:sz="8" w:space="0" w:color="000000"/>
            </w:tcBorders>
          </w:tcPr>
          <w:p w:rsidR="00E8309B" w:rsidRDefault="009D0949">
            <w:pPr>
              <w:spacing w:after="0" w:line="259" w:lineRule="auto"/>
              <w:ind w:left="0" w:right="0" w:firstLine="0"/>
              <w:jc w:val="center"/>
            </w:pPr>
            <w:r>
              <w:rPr>
                <w:sz w:val="20"/>
              </w:rPr>
              <w:t xml:space="preserve">Субвенције и трансфери </w:t>
            </w:r>
          </w:p>
        </w:tc>
        <w:tc>
          <w:tcPr>
            <w:tcW w:w="1467" w:type="dxa"/>
            <w:tcBorders>
              <w:top w:val="single" w:sz="4" w:space="0" w:color="000000"/>
              <w:left w:val="single" w:sz="8" w:space="0" w:color="000000"/>
              <w:bottom w:val="single" w:sz="8" w:space="0" w:color="000000"/>
              <w:right w:val="single" w:sz="8" w:space="0" w:color="000000"/>
            </w:tcBorders>
          </w:tcPr>
          <w:p w:rsidR="00E8309B" w:rsidRDefault="009D0949">
            <w:pPr>
              <w:spacing w:after="0" w:line="259" w:lineRule="auto"/>
              <w:ind w:left="0" w:right="0" w:firstLine="0"/>
              <w:jc w:val="center"/>
            </w:pPr>
            <w:r>
              <w:rPr>
                <w:sz w:val="20"/>
              </w:rPr>
              <w:t xml:space="preserve">Капитални расходи </w:t>
            </w:r>
          </w:p>
        </w:tc>
        <w:tc>
          <w:tcPr>
            <w:tcW w:w="1855" w:type="dxa"/>
            <w:tcBorders>
              <w:top w:val="single" w:sz="4" w:space="0" w:color="000000"/>
              <w:left w:val="single" w:sz="8" w:space="0" w:color="000000"/>
              <w:bottom w:val="single" w:sz="8" w:space="0" w:color="000000"/>
              <w:right w:val="single" w:sz="8" w:space="0" w:color="000000"/>
            </w:tcBorders>
            <w:vAlign w:val="bottom"/>
          </w:tcPr>
          <w:p w:rsidR="00E8309B" w:rsidRDefault="009D0949">
            <w:pPr>
              <w:spacing w:after="0" w:line="259" w:lineRule="auto"/>
              <w:ind w:left="0" w:right="50" w:firstLine="0"/>
              <w:jc w:val="center"/>
            </w:pPr>
            <w:r>
              <w:rPr>
                <w:sz w:val="20"/>
              </w:rPr>
              <w:t xml:space="preserve">Укупно </w:t>
            </w:r>
          </w:p>
        </w:tc>
      </w:tr>
      <w:tr w:rsidR="00E8309B">
        <w:trPr>
          <w:trHeight w:val="305"/>
        </w:trPr>
        <w:tc>
          <w:tcPr>
            <w:tcW w:w="1120"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3" w:firstLine="0"/>
              <w:jc w:val="center"/>
            </w:pPr>
            <w:r>
              <w:rPr>
                <w:sz w:val="20"/>
              </w:rPr>
              <w:t xml:space="preserve">2021 </w:t>
            </w:r>
          </w:p>
        </w:tc>
        <w:tc>
          <w:tcPr>
            <w:tcW w:w="1489"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4" w:firstLine="0"/>
              <w:jc w:val="right"/>
            </w:pPr>
            <w:r>
              <w:rPr>
                <w:sz w:val="20"/>
              </w:rPr>
              <w:t xml:space="preserve">0 </w:t>
            </w:r>
          </w:p>
        </w:tc>
        <w:tc>
          <w:tcPr>
            <w:tcW w:w="1855"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0" w:firstLine="0"/>
              <w:jc w:val="right"/>
            </w:pPr>
            <w:r>
              <w:rPr>
                <w:sz w:val="20"/>
              </w:rPr>
              <w:t xml:space="preserve">14.000.000,00 </w:t>
            </w:r>
          </w:p>
        </w:tc>
        <w:tc>
          <w:tcPr>
            <w:tcW w:w="1467"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1" w:firstLine="0"/>
              <w:jc w:val="right"/>
            </w:pPr>
            <w:r>
              <w:rPr>
                <w:sz w:val="20"/>
              </w:rPr>
              <w:t xml:space="preserve">0 </w:t>
            </w:r>
          </w:p>
        </w:tc>
        <w:tc>
          <w:tcPr>
            <w:tcW w:w="1467"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2" w:firstLine="0"/>
              <w:jc w:val="right"/>
            </w:pPr>
            <w:r>
              <w:rPr>
                <w:sz w:val="20"/>
              </w:rPr>
              <w:t xml:space="preserve">0 </w:t>
            </w:r>
          </w:p>
        </w:tc>
        <w:tc>
          <w:tcPr>
            <w:tcW w:w="1855"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0" w:firstLine="0"/>
              <w:jc w:val="right"/>
            </w:pPr>
            <w:r>
              <w:rPr>
                <w:sz w:val="20"/>
              </w:rPr>
              <w:t xml:space="preserve">14.000.000,00 </w:t>
            </w:r>
          </w:p>
        </w:tc>
      </w:tr>
      <w:tr w:rsidR="00E8309B">
        <w:trPr>
          <w:trHeight w:val="305"/>
        </w:trPr>
        <w:tc>
          <w:tcPr>
            <w:tcW w:w="1120"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3" w:firstLine="0"/>
              <w:jc w:val="center"/>
            </w:pPr>
            <w:r>
              <w:rPr>
                <w:sz w:val="20"/>
              </w:rPr>
              <w:t xml:space="preserve">2022 </w:t>
            </w:r>
          </w:p>
        </w:tc>
        <w:tc>
          <w:tcPr>
            <w:tcW w:w="1489"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4" w:firstLine="0"/>
              <w:jc w:val="right"/>
            </w:pPr>
            <w:r>
              <w:rPr>
                <w:sz w:val="20"/>
              </w:rPr>
              <w:t xml:space="preserve">0 </w:t>
            </w:r>
          </w:p>
        </w:tc>
        <w:tc>
          <w:tcPr>
            <w:tcW w:w="1855"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1" w:firstLine="0"/>
              <w:jc w:val="right"/>
            </w:pPr>
            <w:r>
              <w:rPr>
                <w:sz w:val="20"/>
              </w:rPr>
              <w:t xml:space="preserve">0 </w:t>
            </w:r>
          </w:p>
        </w:tc>
        <w:tc>
          <w:tcPr>
            <w:tcW w:w="1467"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1" w:firstLine="0"/>
              <w:jc w:val="right"/>
            </w:pPr>
            <w:r>
              <w:rPr>
                <w:sz w:val="20"/>
              </w:rPr>
              <w:t xml:space="preserve">0 </w:t>
            </w:r>
          </w:p>
        </w:tc>
        <w:tc>
          <w:tcPr>
            <w:tcW w:w="1467"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2" w:firstLine="0"/>
              <w:jc w:val="right"/>
            </w:pPr>
            <w:r>
              <w:rPr>
                <w:sz w:val="20"/>
              </w:rPr>
              <w:t xml:space="preserve">0 </w:t>
            </w:r>
          </w:p>
        </w:tc>
        <w:tc>
          <w:tcPr>
            <w:tcW w:w="1855"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1" w:firstLine="0"/>
              <w:jc w:val="right"/>
            </w:pPr>
            <w:r>
              <w:rPr>
                <w:sz w:val="20"/>
              </w:rPr>
              <w:t xml:space="preserve">0 </w:t>
            </w:r>
          </w:p>
        </w:tc>
      </w:tr>
      <w:tr w:rsidR="00E8309B">
        <w:trPr>
          <w:trHeight w:val="305"/>
        </w:trPr>
        <w:tc>
          <w:tcPr>
            <w:tcW w:w="1120"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3" w:firstLine="0"/>
              <w:jc w:val="center"/>
            </w:pPr>
            <w:r>
              <w:rPr>
                <w:sz w:val="20"/>
              </w:rPr>
              <w:t xml:space="preserve">2023 </w:t>
            </w:r>
          </w:p>
        </w:tc>
        <w:tc>
          <w:tcPr>
            <w:tcW w:w="1489"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4" w:firstLine="0"/>
              <w:jc w:val="right"/>
            </w:pPr>
            <w:r>
              <w:rPr>
                <w:sz w:val="20"/>
              </w:rPr>
              <w:t xml:space="preserve">0 </w:t>
            </w:r>
          </w:p>
        </w:tc>
        <w:tc>
          <w:tcPr>
            <w:tcW w:w="1855"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1" w:firstLine="0"/>
              <w:jc w:val="right"/>
            </w:pPr>
            <w:r>
              <w:rPr>
                <w:sz w:val="20"/>
              </w:rPr>
              <w:t xml:space="preserve">0 </w:t>
            </w:r>
          </w:p>
        </w:tc>
        <w:tc>
          <w:tcPr>
            <w:tcW w:w="1467"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1" w:firstLine="0"/>
              <w:jc w:val="right"/>
            </w:pPr>
            <w:r>
              <w:rPr>
                <w:sz w:val="20"/>
              </w:rPr>
              <w:t xml:space="preserve">0 </w:t>
            </w:r>
          </w:p>
        </w:tc>
        <w:tc>
          <w:tcPr>
            <w:tcW w:w="1467"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2" w:firstLine="0"/>
              <w:jc w:val="right"/>
            </w:pPr>
            <w:r>
              <w:rPr>
                <w:sz w:val="20"/>
              </w:rPr>
              <w:t xml:space="preserve">0 </w:t>
            </w:r>
          </w:p>
        </w:tc>
        <w:tc>
          <w:tcPr>
            <w:tcW w:w="1855"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1" w:firstLine="0"/>
              <w:jc w:val="right"/>
            </w:pPr>
            <w:r>
              <w:rPr>
                <w:sz w:val="20"/>
              </w:rPr>
              <w:t xml:space="preserve">0 </w:t>
            </w:r>
          </w:p>
        </w:tc>
      </w:tr>
    </w:tbl>
    <w:p w:rsidR="00E8309B" w:rsidRDefault="00E8309B">
      <w:pPr>
        <w:spacing w:after="0" w:line="259" w:lineRule="auto"/>
        <w:ind w:left="-1133" w:right="9571" w:firstLine="0"/>
        <w:jc w:val="left"/>
      </w:pPr>
    </w:p>
    <w:tbl>
      <w:tblPr>
        <w:tblStyle w:val="TableGrid"/>
        <w:tblW w:w="9252" w:type="dxa"/>
        <w:tblInd w:w="3" w:type="dxa"/>
        <w:tblCellMar>
          <w:top w:w="45" w:type="dxa"/>
          <w:left w:w="105" w:type="dxa"/>
          <w:bottom w:w="5" w:type="dxa"/>
          <w:right w:w="53" w:type="dxa"/>
        </w:tblCellMar>
        <w:tblLook w:val="04A0" w:firstRow="1" w:lastRow="0" w:firstColumn="1" w:lastColumn="0" w:noHBand="0" w:noVBand="1"/>
      </w:tblPr>
      <w:tblGrid>
        <w:gridCol w:w="1120"/>
        <w:gridCol w:w="1489"/>
        <w:gridCol w:w="1855"/>
        <w:gridCol w:w="1467"/>
        <w:gridCol w:w="1467"/>
        <w:gridCol w:w="1855"/>
      </w:tblGrid>
      <w:tr w:rsidR="00E8309B">
        <w:trPr>
          <w:trHeight w:val="602"/>
        </w:trPr>
        <w:tc>
          <w:tcPr>
            <w:tcW w:w="9252" w:type="dxa"/>
            <w:gridSpan w:val="6"/>
            <w:tcBorders>
              <w:top w:val="single" w:sz="8" w:space="0" w:color="000000"/>
              <w:left w:val="single" w:sz="8" w:space="0" w:color="000000"/>
              <w:bottom w:val="single" w:sz="8" w:space="0" w:color="000000"/>
              <w:right w:val="single" w:sz="8" w:space="0" w:color="000000"/>
            </w:tcBorders>
            <w:shd w:val="clear" w:color="auto" w:fill="D0CECE"/>
            <w:vAlign w:val="bottom"/>
          </w:tcPr>
          <w:p w:rsidR="00E8309B" w:rsidRDefault="009D0949">
            <w:pPr>
              <w:spacing w:after="0" w:line="259" w:lineRule="auto"/>
              <w:ind w:left="0" w:right="0" w:firstLine="0"/>
              <w:jc w:val="left"/>
            </w:pPr>
            <w:r>
              <w:rPr>
                <w:b/>
                <w:sz w:val="20"/>
              </w:rPr>
              <w:t xml:space="preserve">9. Унапређење квалитета пружања јавних услуга кроз оптимизацију и дигитализацију административних поступака - е-Папир  </w:t>
            </w:r>
          </w:p>
        </w:tc>
      </w:tr>
      <w:tr w:rsidR="00E8309B">
        <w:trPr>
          <w:trHeight w:val="458"/>
        </w:trPr>
        <w:tc>
          <w:tcPr>
            <w:tcW w:w="1120" w:type="dxa"/>
            <w:tcBorders>
              <w:top w:val="single" w:sz="8" w:space="0" w:color="000000"/>
              <w:left w:val="single" w:sz="8" w:space="0" w:color="000000"/>
              <w:bottom w:val="single" w:sz="8" w:space="0" w:color="000000"/>
              <w:right w:val="single" w:sz="8" w:space="0" w:color="000000"/>
            </w:tcBorders>
            <w:vAlign w:val="bottom"/>
          </w:tcPr>
          <w:p w:rsidR="00E8309B" w:rsidRDefault="009D0949">
            <w:pPr>
              <w:spacing w:after="0" w:line="259" w:lineRule="auto"/>
              <w:ind w:left="0" w:right="56" w:firstLine="0"/>
              <w:jc w:val="center"/>
            </w:pPr>
            <w:r>
              <w:rPr>
                <w:b/>
                <w:sz w:val="20"/>
              </w:rPr>
              <w:t>Година</w:t>
            </w:r>
            <w:r>
              <w:rPr>
                <w:sz w:val="20"/>
              </w:rPr>
              <w:t xml:space="preserve">  </w:t>
            </w:r>
          </w:p>
        </w:tc>
        <w:tc>
          <w:tcPr>
            <w:tcW w:w="1489" w:type="dxa"/>
            <w:tcBorders>
              <w:top w:val="single" w:sz="8" w:space="0" w:color="000000"/>
              <w:left w:val="single" w:sz="8" w:space="0" w:color="000000"/>
              <w:bottom w:val="single" w:sz="8" w:space="0" w:color="000000"/>
              <w:right w:val="single" w:sz="8" w:space="0" w:color="000000"/>
            </w:tcBorders>
            <w:vAlign w:val="bottom"/>
          </w:tcPr>
          <w:p w:rsidR="00E8309B" w:rsidRDefault="009D0949">
            <w:pPr>
              <w:spacing w:after="0" w:line="259" w:lineRule="auto"/>
              <w:ind w:left="0" w:right="52" w:firstLine="0"/>
              <w:jc w:val="center"/>
            </w:pPr>
            <w:r>
              <w:rPr>
                <w:sz w:val="20"/>
              </w:rPr>
              <w:t xml:space="preserve">Плате </w:t>
            </w:r>
          </w:p>
        </w:tc>
        <w:tc>
          <w:tcPr>
            <w:tcW w:w="1855" w:type="dxa"/>
            <w:tcBorders>
              <w:top w:val="single" w:sz="8" w:space="0" w:color="000000"/>
              <w:left w:val="single" w:sz="8" w:space="0" w:color="000000"/>
              <w:bottom w:val="single" w:sz="8" w:space="0" w:color="000000"/>
              <w:right w:val="single" w:sz="8" w:space="0" w:color="000000"/>
            </w:tcBorders>
            <w:vAlign w:val="bottom"/>
          </w:tcPr>
          <w:p w:rsidR="00E8309B" w:rsidRDefault="009D0949">
            <w:pPr>
              <w:spacing w:after="0" w:line="259" w:lineRule="auto"/>
              <w:ind w:left="0" w:right="53" w:firstLine="0"/>
              <w:jc w:val="center"/>
            </w:pPr>
            <w:r>
              <w:rPr>
                <w:sz w:val="20"/>
              </w:rPr>
              <w:t xml:space="preserve">Добра и услуге </w:t>
            </w:r>
          </w:p>
        </w:tc>
        <w:tc>
          <w:tcPr>
            <w:tcW w:w="1467"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0" w:firstLine="0"/>
              <w:jc w:val="center"/>
            </w:pPr>
            <w:r>
              <w:rPr>
                <w:sz w:val="20"/>
              </w:rPr>
              <w:t xml:space="preserve">Субвенције и трансфери </w:t>
            </w:r>
          </w:p>
        </w:tc>
        <w:tc>
          <w:tcPr>
            <w:tcW w:w="1467"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0" w:firstLine="0"/>
              <w:jc w:val="center"/>
            </w:pPr>
            <w:r>
              <w:rPr>
                <w:sz w:val="20"/>
              </w:rPr>
              <w:t xml:space="preserve">Капитални расходи </w:t>
            </w:r>
          </w:p>
        </w:tc>
        <w:tc>
          <w:tcPr>
            <w:tcW w:w="1855" w:type="dxa"/>
            <w:tcBorders>
              <w:top w:val="single" w:sz="8" w:space="0" w:color="000000"/>
              <w:left w:val="single" w:sz="8" w:space="0" w:color="000000"/>
              <w:bottom w:val="single" w:sz="8" w:space="0" w:color="000000"/>
              <w:right w:val="single" w:sz="8" w:space="0" w:color="000000"/>
            </w:tcBorders>
            <w:vAlign w:val="bottom"/>
          </w:tcPr>
          <w:p w:rsidR="00E8309B" w:rsidRDefault="009D0949">
            <w:pPr>
              <w:spacing w:after="0" w:line="259" w:lineRule="auto"/>
              <w:ind w:left="0" w:right="50" w:firstLine="0"/>
              <w:jc w:val="center"/>
            </w:pPr>
            <w:r>
              <w:rPr>
                <w:sz w:val="20"/>
              </w:rPr>
              <w:t xml:space="preserve">Укупно </w:t>
            </w:r>
          </w:p>
        </w:tc>
      </w:tr>
      <w:tr w:rsidR="00E8309B">
        <w:trPr>
          <w:trHeight w:val="305"/>
        </w:trPr>
        <w:tc>
          <w:tcPr>
            <w:tcW w:w="1120"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3" w:firstLine="0"/>
              <w:jc w:val="center"/>
            </w:pPr>
            <w:r>
              <w:rPr>
                <w:sz w:val="20"/>
              </w:rPr>
              <w:t xml:space="preserve">2021 </w:t>
            </w:r>
          </w:p>
        </w:tc>
        <w:tc>
          <w:tcPr>
            <w:tcW w:w="1489"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4" w:firstLine="0"/>
              <w:jc w:val="right"/>
            </w:pPr>
            <w:r>
              <w:rPr>
                <w:sz w:val="20"/>
              </w:rPr>
              <w:t xml:space="preserve">0 </w:t>
            </w:r>
          </w:p>
        </w:tc>
        <w:tc>
          <w:tcPr>
            <w:tcW w:w="1855"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0" w:firstLine="0"/>
              <w:jc w:val="right"/>
            </w:pPr>
            <w:r>
              <w:rPr>
                <w:sz w:val="20"/>
              </w:rPr>
              <w:t xml:space="preserve">710.000,00 </w:t>
            </w:r>
          </w:p>
        </w:tc>
        <w:tc>
          <w:tcPr>
            <w:tcW w:w="1467"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1" w:firstLine="0"/>
              <w:jc w:val="right"/>
            </w:pPr>
            <w:r>
              <w:rPr>
                <w:sz w:val="20"/>
              </w:rPr>
              <w:t xml:space="preserve">0 </w:t>
            </w:r>
          </w:p>
        </w:tc>
        <w:tc>
          <w:tcPr>
            <w:tcW w:w="1467"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2" w:firstLine="0"/>
              <w:jc w:val="right"/>
            </w:pPr>
            <w:r>
              <w:rPr>
                <w:sz w:val="20"/>
              </w:rPr>
              <w:t xml:space="preserve">0 </w:t>
            </w:r>
          </w:p>
        </w:tc>
        <w:tc>
          <w:tcPr>
            <w:tcW w:w="1855"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0" w:firstLine="0"/>
              <w:jc w:val="right"/>
            </w:pPr>
            <w:r>
              <w:rPr>
                <w:sz w:val="20"/>
              </w:rPr>
              <w:t xml:space="preserve">710.000,00 </w:t>
            </w:r>
          </w:p>
        </w:tc>
      </w:tr>
      <w:tr w:rsidR="00E8309B">
        <w:trPr>
          <w:trHeight w:val="305"/>
        </w:trPr>
        <w:tc>
          <w:tcPr>
            <w:tcW w:w="1120"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3" w:firstLine="0"/>
              <w:jc w:val="center"/>
            </w:pPr>
            <w:r>
              <w:rPr>
                <w:sz w:val="20"/>
              </w:rPr>
              <w:t xml:space="preserve">2022 </w:t>
            </w:r>
          </w:p>
        </w:tc>
        <w:tc>
          <w:tcPr>
            <w:tcW w:w="1489"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4" w:firstLine="0"/>
              <w:jc w:val="right"/>
            </w:pPr>
            <w:r>
              <w:rPr>
                <w:sz w:val="20"/>
              </w:rPr>
              <w:t xml:space="preserve">0 </w:t>
            </w:r>
          </w:p>
        </w:tc>
        <w:tc>
          <w:tcPr>
            <w:tcW w:w="1855"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0" w:firstLine="0"/>
              <w:jc w:val="right"/>
            </w:pPr>
            <w:r>
              <w:rPr>
                <w:sz w:val="20"/>
              </w:rPr>
              <w:t xml:space="preserve">1.435.000,00 </w:t>
            </w:r>
          </w:p>
        </w:tc>
        <w:tc>
          <w:tcPr>
            <w:tcW w:w="1467"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1" w:firstLine="0"/>
              <w:jc w:val="right"/>
            </w:pPr>
            <w:r>
              <w:rPr>
                <w:sz w:val="20"/>
              </w:rPr>
              <w:t xml:space="preserve">0 </w:t>
            </w:r>
          </w:p>
        </w:tc>
        <w:tc>
          <w:tcPr>
            <w:tcW w:w="1467"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2" w:firstLine="0"/>
              <w:jc w:val="right"/>
            </w:pPr>
            <w:r>
              <w:rPr>
                <w:sz w:val="20"/>
              </w:rPr>
              <w:t xml:space="preserve">0 </w:t>
            </w:r>
          </w:p>
        </w:tc>
        <w:tc>
          <w:tcPr>
            <w:tcW w:w="1855"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0" w:firstLine="0"/>
              <w:jc w:val="right"/>
            </w:pPr>
            <w:r>
              <w:rPr>
                <w:sz w:val="20"/>
              </w:rPr>
              <w:t xml:space="preserve">1.435.000,00 </w:t>
            </w:r>
          </w:p>
        </w:tc>
      </w:tr>
      <w:tr w:rsidR="00E8309B">
        <w:trPr>
          <w:trHeight w:val="308"/>
        </w:trPr>
        <w:tc>
          <w:tcPr>
            <w:tcW w:w="1120"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3" w:firstLine="0"/>
              <w:jc w:val="center"/>
            </w:pPr>
            <w:r>
              <w:rPr>
                <w:sz w:val="20"/>
              </w:rPr>
              <w:t xml:space="preserve">2023 </w:t>
            </w:r>
          </w:p>
        </w:tc>
        <w:tc>
          <w:tcPr>
            <w:tcW w:w="1489"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4" w:firstLine="0"/>
              <w:jc w:val="right"/>
            </w:pPr>
            <w:r>
              <w:rPr>
                <w:sz w:val="20"/>
              </w:rPr>
              <w:t xml:space="preserve">0 </w:t>
            </w:r>
          </w:p>
        </w:tc>
        <w:tc>
          <w:tcPr>
            <w:tcW w:w="1855"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0" w:firstLine="0"/>
              <w:jc w:val="right"/>
            </w:pPr>
            <w:r>
              <w:rPr>
                <w:sz w:val="20"/>
              </w:rPr>
              <w:t xml:space="preserve">585.000,00 </w:t>
            </w:r>
          </w:p>
        </w:tc>
        <w:tc>
          <w:tcPr>
            <w:tcW w:w="1467"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1" w:firstLine="0"/>
              <w:jc w:val="right"/>
            </w:pPr>
            <w:r>
              <w:rPr>
                <w:sz w:val="20"/>
              </w:rPr>
              <w:t xml:space="preserve">0 </w:t>
            </w:r>
          </w:p>
        </w:tc>
        <w:tc>
          <w:tcPr>
            <w:tcW w:w="1467"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2" w:firstLine="0"/>
              <w:jc w:val="right"/>
            </w:pPr>
            <w:r>
              <w:rPr>
                <w:sz w:val="20"/>
              </w:rPr>
              <w:t xml:space="preserve">0 </w:t>
            </w:r>
          </w:p>
        </w:tc>
        <w:tc>
          <w:tcPr>
            <w:tcW w:w="1855"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0" w:firstLine="0"/>
              <w:jc w:val="right"/>
            </w:pPr>
            <w:r>
              <w:rPr>
                <w:sz w:val="20"/>
              </w:rPr>
              <w:t xml:space="preserve">585.000,00 </w:t>
            </w:r>
          </w:p>
        </w:tc>
      </w:tr>
      <w:tr w:rsidR="00E8309B">
        <w:trPr>
          <w:trHeight w:val="299"/>
        </w:trPr>
        <w:tc>
          <w:tcPr>
            <w:tcW w:w="9252" w:type="dxa"/>
            <w:gridSpan w:val="6"/>
            <w:tcBorders>
              <w:top w:val="single" w:sz="8" w:space="0" w:color="000000"/>
              <w:left w:val="single" w:sz="8" w:space="0" w:color="000000"/>
              <w:bottom w:val="single" w:sz="8" w:space="0" w:color="000000"/>
              <w:right w:val="single" w:sz="8" w:space="0" w:color="000000"/>
            </w:tcBorders>
            <w:shd w:val="clear" w:color="auto" w:fill="D0CECE"/>
            <w:vAlign w:val="bottom"/>
          </w:tcPr>
          <w:p w:rsidR="00E8309B" w:rsidRDefault="009D0949">
            <w:pPr>
              <w:tabs>
                <w:tab w:val="center" w:pos="1650"/>
                <w:tab w:val="center" w:pos="4469"/>
                <w:tab w:val="center" w:pos="5936"/>
                <w:tab w:val="center" w:pos="7401"/>
              </w:tabs>
              <w:spacing w:after="0" w:line="259" w:lineRule="auto"/>
              <w:ind w:left="0" w:right="0" w:firstLine="0"/>
              <w:jc w:val="left"/>
            </w:pPr>
            <w:r>
              <w:rPr>
                <w:rFonts w:ascii="Calibri" w:eastAsia="Calibri" w:hAnsi="Calibri" w:cs="Calibri"/>
                <w:sz w:val="22"/>
              </w:rPr>
              <w:tab/>
            </w:r>
            <w:r>
              <w:rPr>
                <w:b/>
                <w:sz w:val="20"/>
              </w:rPr>
              <w:t xml:space="preserve">10. Трансформација Пореске управе  </w:t>
            </w:r>
            <w:r>
              <w:rPr>
                <w:b/>
                <w:sz w:val="20"/>
              </w:rPr>
              <w:tab/>
              <w:t xml:space="preserve">  </w:t>
            </w:r>
            <w:r>
              <w:rPr>
                <w:b/>
                <w:sz w:val="20"/>
              </w:rPr>
              <w:tab/>
              <w:t xml:space="preserve">  </w:t>
            </w:r>
            <w:r>
              <w:rPr>
                <w:b/>
                <w:sz w:val="20"/>
              </w:rPr>
              <w:tab/>
              <w:t xml:space="preserve">  </w:t>
            </w:r>
          </w:p>
        </w:tc>
      </w:tr>
      <w:tr w:rsidR="00E8309B">
        <w:trPr>
          <w:trHeight w:val="461"/>
        </w:trPr>
        <w:tc>
          <w:tcPr>
            <w:tcW w:w="1120" w:type="dxa"/>
            <w:tcBorders>
              <w:top w:val="single" w:sz="8" w:space="0" w:color="000000"/>
              <w:left w:val="single" w:sz="8" w:space="0" w:color="000000"/>
              <w:bottom w:val="single" w:sz="8" w:space="0" w:color="000000"/>
              <w:right w:val="single" w:sz="8" w:space="0" w:color="000000"/>
            </w:tcBorders>
            <w:vAlign w:val="bottom"/>
          </w:tcPr>
          <w:p w:rsidR="00E8309B" w:rsidRDefault="009D0949">
            <w:pPr>
              <w:spacing w:after="0" w:line="259" w:lineRule="auto"/>
              <w:ind w:left="0" w:right="56" w:firstLine="0"/>
              <w:jc w:val="center"/>
            </w:pPr>
            <w:r>
              <w:rPr>
                <w:b/>
                <w:sz w:val="20"/>
              </w:rPr>
              <w:t>Година</w:t>
            </w:r>
            <w:r>
              <w:rPr>
                <w:sz w:val="20"/>
              </w:rPr>
              <w:t xml:space="preserve">  </w:t>
            </w:r>
          </w:p>
        </w:tc>
        <w:tc>
          <w:tcPr>
            <w:tcW w:w="1489" w:type="dxa"/>
            <w:tcBorders>
              <w:top w:val="single" w:sz="8" w:space="0" w:color="000000"/>
              <w:left w:val="single" w:sz="8" w:space="0" w:color="000000"/>
              <w:bottom w:val="single" w:sz="8" w:space="0" w:color="000000"/>
              <w:right w:val="single" w:sz="8" w:space="0" w:color="000000"/>
            </w:tcBorders>
            <w:vAlign w:val="bottom"/>
          </w:tcPr>
          <w:p w:rsidR="00E8309B" w:rsidRDefault="009D0949">
            <w:pPr>
              <w:spacing w:after="0" w:line="259" w:lineRule="auto"/>
              <w:ind w:left="0" w:right="52" w:firstLine="0"/>
              <w:jc w:val="center"/>
            </w:pPr>
            <w:r>
              <w:rPr>
                <w:sz w:val="20"/>
              </w:rPr>
              <w:t xml:space="preserve">Плате </w:t>
            </w:r>
          </w:p>
        </w:tc>
        <w:tc>
          <w:tcPr>
            <w:tcW w:w="1855" w:type="dxa"/>
            <w:tcBorders>
              <w:top w:val="single" w:sz="8" w:space="0" w:color="000000"/>
              <w:left w:val="single" w:sz="8" w:space="0" w:color="000000"/>
              <w:bottom w:val="single" w:sz="8" w:space="0" w:color="000000"/>
              <w:right w:val="single" w:sz="8" w:space="0" w:color="000000"/>
            </w:tcBorders>
            <w:vAlign w:val="bottom"/>
          </w:tcPr>
          <w:p w:rsidR="00E8309B" w:rsidRDefault="009D0949">
            <w:pPr>
              <w:spacing w:after="0" w:line="259" w:lineRule="auto"/>
              <w:ind w:left="0" w:right="53" w:firstLine="0"/>
              <w:jc w:val="center"/>
            </w:pPr>
            <w:r>
              <w:rPr>
                <w:sz w:val="20"/>
              </w:rPr>
              <w:t xml:space="preserve">Добра и услуге </w:t>
            </w:r>
          </w:p>
        </w:tc>
        <w:tc>
          <w:tcPr>
            <w:tcW w:w="1467"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0" w:firstLine="0"/>
              <w:jc w:val="center"/>
            </w:pPr>
            <w:r>
              <w:rPr>
                <w:sz w:val="20"/>
              </w:rPr>
              <w:t xml:space="preserve">Субвенције и трансфери </w:t>
            </w:r>
          </w:p>
        </w:tc>
        <w:tc>
          <w:tcPr>
            <w:tcW w:w="1467"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0" w:firstLine="0"/>
              <w:jc w:val="center"/>
            </w:pPr>
            <w:r>
              <w:rPr>
                <w:sz w:val="20"/>
              </w:rPr>
              <w:t xml:space="preserve">Капитални расходи </w:t>
            </w:r>
          </w:p>
        </w:tc>
        <w:tc>
          <w:tcPr>
            <w:tcW w:w="1855" w:type="dxa"/>
            <w:tcBorders>
              <w:top w:val="single" w:sz="8" w:space="0" w:color="000000"/>
              <w:left w:val="single" w:sz="8" w:space="0" w:color="000000"/>
              <w:bottom w:val="single" w:sz="8" w:space="0" w:color="000000"/>
              <w:right w:val="single" w:sz="8" w:space="0" w:color="000000"/>
            </w:tcBorders>
            <w:vAlign w:val="bottom"/>
          </w:tcPr>
          <w:p w:rsidR="00E8309B" w:rsidRDefault="009D0949">
            <w:pPr>
              <w:spacing w:after="0" w:line="259" w:lineRule="auto"/>
              <w:ind w:left="0" w:right="50" w:firstLine="0"/>
              <w:jc w:val="center"/>
            </w:pPr>
            <w:r>
              <w:rPr>
                <w:sz w:val="20"/>
              </w:rPr>
              <w:t xml:space="preserve">Укупно </w:t>
            </w:r>
          </w:p>
        </w:tc>
      </w:tr>
      <w:tr w:rsidR="00E8309B">
        <w:trPr>
          <w:trHeight w:val="305"/>
        </w:trPr>
        <w:tc>
          <w:tcPr>
            <w:tcW w:w="1120"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3" w:firstLine="0"/>
              <w:jc w:val="center"/>
            </w:pPr>
            <w:r>
              <w:rPr>
                <w:sz w:val="20"/>
              </w:rPr>
              <w:t xml:space="preserve">2021 </w:t>
            </w:r>
          </w:p>
        </w:tc>
        <w:tc>
          <w:tcPr>
            <w:tcW w:w="1489"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4" w:firstLine="0"/>
              <w:jc w:val="right"/>
            </w:pPr>
            <w:r>
              <w:rPr>
                <w:sz w:val="20"/>
              </w:rPr>
              <w:t xml:space="preserve">0 </w:t>
            </w:r>
          </w:p>
        </w:tc>
        <w:tc>
          <w:tcPr>
            <w:tcW w:w="1855"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0" w:firstLine="0"/>
              <w:jc w:val="right"/>
            </w:pPr>
            <w:r>
              <w:rPr>
                <w:sz w:val="20"/>
              </w:rPr>
              <w:t xml:space="preserve">1.782.600,00 </w:t>
            </w:r>
          </w:p>
        </w:tc>
        <w:tc>
          <w:tcPr>
            <w:tcW w:w="1467"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1" w:firstLine="0"/>
              <w:jc w:val="right"/>
            </w:pPr>
            <w:r>
              <w:rPr>
                <w:sz w:val="20"/>
              </w:rPr>
              <w:t xml:space="preserve">0 </w:t>
            </w:r>
          </w:p>
        </w:tc>
        <w:tc>
          <w:tcPr>
            <w:tcW w:w="1467"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1" w:firstLine="0"/>
              <w:jc w:val="right"/>
            </w:pPr>
            <w:r>
              <w:rPr>
                <w:sz w:val="20"/>
              </w:rPr>
              <w:t xml:space="preserve">7.444.142,00 </w:t>
            </w:r>
          </w:p>
        </w:tc>
        <w:tc>
          <w:tcPr>
            <w:tcW w:w="1855"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0" w:firstLine="0"/>
              <w:jc w:val="right"/>
            </w:pPr>
            <w:r>
              <w:rPr>
                <w:sz w:val="20"/>
              </w:rPr>
              <w:t xml:space="preserve">9.226.742,00 </w:t>
            </w:r>
          </w:p>
        </w:tc>
      </w:tr>
      <w:tr w:rsidR="00E8309B">
        <w:trPr>
          <w:trHeight w:val="305"/>
        </w:trPr>
        <w:tc>
          <w:tcPr>
            <w:tcW w:w="1120"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3" w:firstLine="0"/>
              <w:jc w:val="center"/>
            </w:pPr>
            <w:r>
              <w:rPr>
                <w:sz w:val="20"/>
              </w:rPr>
              <w:t xml:space="preserve">2022 </w:t>
            </w:r>
          </w:p>
        </w:tc>
        <w:tc>
          <w:tcPr>
            <w:tcW w:w="1489"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4" w:firstLine="0"/>
              <w:jc w:val="right"/>
            </w:pPr>
            <w:r>
              <w:rPr>
                <w:sz w:val="20"/>
              </w:rPr>
              <w:t xml:space="preserve">0 </w:t>
            </w:r>
          </w:p>
        </w:tc>
        <w:tc>
          <w:tcPr>
            <w:tcW w:w="1855"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0" w:firstLine="0"/>
              <w:jc w:val="right"/>
            </w:pPr>
            <w:r>
              <w:rPr>
                <w:sz w:val="20"/>
              </w:rPr>
              <w:t xml:space="preserve">8.877.975,00 </w:t>
            </w:r>
          </w:p>
        </w:tc>
        <w:tc>
          <w:tcPr>
            <w:tcW w:w="1467"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1" w:firstLine="0"/>
              <w:jc w:val="right"/>
            </w:pPr>
            <w:r>
              <w:rPr>
                <w:sz w:val="20"/>
              </w:rPr>
              <w:t xml:space="preserve">0 </w:t>
            </w:r>
          </w:p>
        </w:tc>
        <w:tc>
          <w:tcPr>
            <w:tcW w:w="1467"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1" w:firstLine="0"/>
              <w:jc w:val="right"/>
            </w:pPr>
            <w:r>
              <w:rPr>
                <w:sz w:val="20"/>
              </w:rPr>
              <w:t xml:space="preserve">5.765.481,00 </w:t>
            </w:r>
          </w:p>
        </w:tc>
        <w:tc>
          <w:tcPr>
            <w:tcW w:w="1855"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0" w:firstLine="0"/>
              <w:jc w:val="right"/>
            </w:pPr>
            <w:r>
              <w:rPr>
                <w:sz w:val="20"/>
              </w:rPr>
              <w:t xml:space="preserve">14.643.456,00 </w:t>
            </w:r>
          </w:p>
        </w:tc>
      </w:tr>
      <w:tr w:rsidR="00E8309B">
        <w:trPr>
          <w:trHeight w:val="307"/>
        </w:trPr>
        <w:tc>
          <w:tcPr>
            <w:tcW w:w="1120"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3" w:firstLine="0"/>
              <w:jc w:val="center"/>
            </w:pPr>
            <w:r>
              <w:rPr>
                <w:sz w:val="20"/>
              </w:rPr>
              <w:t xml:space="preserve">2023 </w:t>
            </w:r>
          </w:p>
        </w:tc>
        <w:tc>
          <w:tcPr>
            <w:tcW w:w="1489"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4" w:firstLine="0"/>
              <w:jc w:val="right"/>
            </w:pPr>
            <w:r>
              <w:rPr>
                <w:sz w:val="20"/>
              </w:rPr>
              <w:t xml:space="preserve">0 </w:t>
            </w:r>
          </w:p>
        </w:tc>
        <w:tc>
          <w:tcPr>
            <w:tcW w:w="1855"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0" w:firstLine="0"/>
              <w:jc w:val="right"/>
            </w:pPr>
            <w:r>
              <w:rPr>
                <w:sz w:val="20"/>
              </w:rPr>
              <w:t xml:space="preserve">5.637.077,00 </w:t>
            </w:r>
          </w:p>
        </w:tc>
        <w:tc>
          <w:tcPr>
            <w:tcW w:w="1467"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1" w:firstLine="0"/>
              <w:jc w:val="right"/>
            </w:pPr>
            <w:r>
              <w:rPr>
                <w:sz w:val="20"/>
              </w:rPr>
              <w:t xml:space="preserve">0 </w:t>
            </w:r>
          </w:p>
        </w:tc>
        <w:tc>
          <w:tcPr>
            <w:tcW w:w="1467"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1" w:firstLine="0"/>
              <w:jc w:val="right"/>
            </w:pPr>
            <w:r>
              <w:rPr>
                <w:sz w:val="20"/>
              </w:rPr>
              <w:t xml:space="preserve">5.774.806,00 </w:t>
            </w:r>
          </w:p>
        </w:tc>
        <w:tc>
          <w:tcPr>
            <w:tcW w:w="1855"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0" w:firstLine="0"/>
              <w:jc w:val="right"/>
            </w:pPr>
            <w:r>
              <w:rPr>
                <w:sz w:val="20"/>
              </w:rPr>
              <w:t xml:space="preserve">11.411.883,00 </w:t>
            </w:r>
          </w:p>
        </w:tc>
      </w:tr>
      <w:tr w:rsidR="00E8309B">
        <w:trPr>
          <w:trHeight w:val="301"/>
        </w:trPr>
        <w:tc>
          <w:tcPr>
            <w:tcW w:w="9252" w:type="dxa"/>
            <w:gridSpan w:val="6"/>
            <w:tcBorders>
              <w:top w:val="single" w:sz="8" w:space="0" w:color="000000"/>
              <w:left w:val="single" w:sz="8" w:space="0" w:color="000000"/>
              <w:bottom w:val="single" w:sz="8" w:space="0" w:color="000000"/>
              <w:right w:val="single" w:sz="8" w:space="0" w:color="000000"/>
            </w:tcBorders>
            <w:shd w:val="clear" w:color="auto" w:fill="D0CECE"/>
            <w:vAlign w:val="bottom"/>
          </w:tcPr>
          <w:p w:rsidR="00E8309B" w:rsidRDefault="009D0949">
            <w:pPr>
              <w:spacing w:after="0" w:line="259" w:lineRule="auto"/>
              <w:ind w:left="0" w:right="0" w:firstLine="0"/>
              <w:jc w:val="left"/>
            </w:pPr>
            <w:r>
              <w:rPr>
                <w:b/>
                <w:sz w:val="20"/>
              </w:rPr>
              <w:t xml:space="preserve">11. Увођење новог модела фискализације и прелазак на електронско фактурисање  </w:t>
            </w:r>
          </w:p>
        </w:tc>
      </w:tr>
      <w:tr w:rsidR="00E8309B">
        <w:trPr>
          <w:trHeight w:val="458"/>
        </w:trPr>
        <w:tc>
          <w:tcPr>
            <w:tcW w:w="1120" w:type="dxa"/>
            <w:tcBorders>
              <w:top w:val="single" w:sz="8" w:space="0" w:color="000000"/>
              <w:left w:val="single" w:sz="8" w:space="0" w:color="000000"/>
              <w:bottom w:val="single" w:sz="8" w:space="0" w:color="000000"/>
              <w:right w:val="single" w:sz="8" w:space="0" w:color="000000"/>
            </w:tcBorders>
            <w:vAlign w:val="bottom"/>
          </w:tcPr>
          <w:p w:rsidR="00E8309B" w:rsidRDefault="009D0949">
            <w:pPr>
              <w:spacing w:after="0" w:line="259" w:lineRule="auto"/>
              <w:ind w:left="0" w:right="56" w:firstLine="0"/>
              <w:jc w:val="center"/>
            </w:pPr>
            <w:r>
              <w:rPr>
                <w:b/>
                <w:sz w:val="20"/>
              </w:rPr>
              <w:t>Година</w:t>
            </w:r>
            <w:r>
              <w:rPr>
                <w:sz w:val="20"/>
              </w:rPr>
              <w:t xml:space="preserve">  </w:t>
            </w:r>
          </w:p>
        </w:tc>
        <w:tc>
          <w:tcPr>
            <w:tcW w:w="1489" w:type="dxa"/>
            <w:tcBorders>
              <w:top w:val="single" w:sz="8" w:space="0" w:color="000000"/>
              <w:left w:val="single" w:sz="8" w:space="0" w:color="000000"/>
              <w:bottom w:val="single" w:sz="8" w:space="0" w:color="000000"/>
              <w:right w:val="single" w:sz="8" w:space="0" w:color="000000"/>
            </w:tcBorders>
            <w:vAlign w:val="bottom"/>
          </w:tcPr>
          <w:p w:rsidR="00E8309B" w:rsidRDefault="009D0949">
            <w:pPr>
              <w:spacing w:after="0" w:line="259" w:lineRule="auto"/>
              <w:ind w:left="0" w:right="52" w:firstLine="0"/>
              <w:jc w:val="center"/>
            </w:pPr>
            <w:r>
              <w:rPr>
                <w:sz w:val="20"/>
              </w:rPr>
              <w:t xml:space="preserve">Плате </w:t>
            </w:r>
          </w:p>
        </w:tc>
        <w:tc>
          <w:tcPr>
            <w:tcW w:w="1855" w:type="dxa"/>
            <w:tcBorders>
              <w:top w:val="single" w:sz="8" w:space="0" w:color="000000"/>
              <w:left w:val="single" w:sz="8" w:space="0" w:color="000000"/>
              <w:bottom w:val="single" w:sz="8" w:space="0" w:color="000000"/>
              <w:right w:val="single" w:sz="8" w:space="0" w:color="000000"/>
            </w:tcBorders>
            <w:vAlign w:val="bottom"/>
          </w:tcPr>
          <w:p w:rsidR="00E8309B" w:rsidRDefault="009D0949">
            <w:pPr>
              <w:spacing w:after="0" w:line="259" w:lineRule="auto"/>
              <w:ind w:left="0" w:right="53" w:firstLine="0"/>
              <w:jc w:val="center"/>
            </w:pPr>
            <w:r>
              <w:rPr>
                <w:sz w:val="20"/>
              </w:rPr>
              <w:t xml:space="preserve">Добра и услуге </w:t>
            </w:r>
          </w:p>
        </w:tc>
        <w:tc>
          <w:tcPr>
            <w:tcW w:w="1467"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0" w:firstLine="0"/>
              <w:jc w:val="center"/>
            </w:pPr>
            <w:r>
              <w:rPr>
                <w:sz w:val="20"/>
              </w:rPr>
              <w:t xml:space="preserve">Субвенције и трансфери </w:t>
            </w:r>
          </w:p>
        </w:tc>
        <w:tc>
          <w:tcPr>
            <w:tcW w:w="1467"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0" w:firstLine="0"/>
              <w:jc w:val="center"/>
            </w:pPr>
            <w:r>
              <w:rPr>
                <w:sz w:val="20"/>
              </w:rPr>
              <w:t xml:space="preserve">Капитални расходи </w:t>
            </w:r>
          </w:p>
        </w:tc>
        <w:tc>
          <w:tcPr>
            <w:tcW w:w="1855" w:type="dxa"/>
            <w:tcBorders>
              <w:top w:val="single" w:sz="8" w:space="0" w:color="000000"/>
              <w:left w:val="single" w:sz="8" w:space="0" w:color="000000"/>
              <w:bottom w:val="single" w:sz="8" w:space="0" w:color="000000"/>
              <w:right w:val="single" w:sz="8" w:space="0" w:color="000000"/>
            </w:tcBorders>
            <w:vAlign w:val="bottom"/>
          </w:tcPr>
          <w:p w:rsidR="00E8309B" w:rsidRDefault="009D0949">
            <w:pPr>
              <w:spacing w:after="0" w:line="259" w:lineRule="auto"/>
              <w:ind w:left="0" w:right="50" w:firstLine="0"/>
              <w:jc w:val="center"/>
            </w:pPr>
            <w:r>
              <w:rPr>
                <w:sz w:val="20"/>
              </w:rPr>
              <w:t xml:space="preserve">Укупно </w:t>
            </w:r>
          </w:p>
        </w:tc>
      </w:tr>
      <w:tr w:rsidR="00E8309B">
        <w:trPr>
          <w:trHeight w:val="307"/>
        </w:trPr>
        <w:tc>
          <w:tcPr>
            <w:tcW w:w="1120"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3" w:firstLine="0"/>
              <w:jc w:val="center"/>
            </w:pPr>
            <w:r>
              <w:rPr>
                <w:sz w:val="20"/>
              </w:rPr>
              <w:t xml:space="preserve">2021 </w:t>
            </w:r>
          </w:p>
        </w:tc>
        <w:tc>
          <w:tcPr>
            <w:tcW w:w="1489"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4" w:firstLine="0"/>
              <w:jc w:val="right"/>
            </w:pPr>
            <w:r>
              <w:rPr>
                <w:sz w:val="20"/>
              </w:rPr>
              <w:t xml:space="preserve">0 </w:t>
            </w:r>
          </w:p>
        </w:tc>
        <w:tc>
          <w:tcPr>
            <w:tcW w:w="1855"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0" w:firstLine="0"/>
              <w:jc w:val="right"/>
            </w:pPr>
            <w:r>
              <w:rPr>
                <w:sz w:val="20"/>
              </w:rPr>
              <w:t xml:space="preserve">3.200.000,00 </w:t>
            </w:r>
          </w:p>
        </w:tc>
        <w:tc>
          <w:tcPr>
            <w:tcW w:w="1467"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1" w:firstLine="0"/>
              <w:jc w:val="right"/>
            </w:pPr>
            <w:r>
              <w:rPr>
                <w:sz w:val="20"/>
              </w:rPr>
              <w:t xml:space="preserve">25.000.000,00 </w:t>
            </w:r>
          </w:p>
        </w:tc>
        <w:tc>
          <w:tcPr>
            <w:tcW w:w="1467"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1" w:firstLine="0"/>
              <w:jc w:val="right"/>
            </w:pPr>
            <w:r>
              <w:rPr>
                <w:sz w:val="20"/>
              </w:rPr>
              <w:t xml:space="preserve">5.400.000,00 </w:t>
            </w:r>
          </w:p>
        </w:tc>
        <w:tc>
          <w:tcPr>
            <w:tcW w:w="1855"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0" w:firstLine="0"/>
              <w:jc w:val="right"/>
            </w:pPr>
            <w:r>
              <w:rPr>
                <w:sz w:val="20"/>
              </w:rPr>
              <w:t xml:space="preserve">33.600.000,00 </w:t>
            </w:r>
          </w:p>
        </w:tc>
      </w:tr>
      <w:tr w:rsidR="00E8309B">
        <w:trPr>
          <w:trHeight w:val="305"/>
        </w:trPr>
        <w:tc>
          <w:tcPr>
            <w:tcW w:w="1120"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3" w:firstLine="0"/>
              <w:jc w:val="center"/>
            </w:pPr>
            <w:r>
              <w:rPr>
                <w:sz w:val="20"/>
              </w:rPr>
              <w:t xml:space="preserve">2022 </w:t>
            </w:r>
          </w:p>
        </w:tc>
        <w:tc>
          <w:tcPr>
            <w:tcW w:w="1489"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4" w:firstLine="0"/>
              <w:jc w:val="right"/>
            </w:pPr>
            <w:r>
              <w:rPr>
                <w:sz w:val="20"/>
              </w:rPr>
              <w:t xml:space="preserve">0 </w:t>
            </w:r>
          </w:p>
        </w:tc>
        <w:tc>
          <w:tcPr>
            <w:tcW w:w="1855"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1" w:firstLine="0"/>
              <w:jc w:val="right"/>
            </w:pPr>
            <w:r>
              <w:rPr>
                <w:sz w:val="20"/>
              </w:rPr>
              <w:t xml:space="preserve">0 </w:t>
            </w:r>
          </w:p>
        </w:tc>
        <w:tc>
          <w:tcPr>
            <w:tcW w:w="1467"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1" w:firstLine="0"/>
              <w:jc w:val="right"/>
            </w:pPr>
            <w:r>
              <w:rPr>
                <w:sz w:val="20"/>
              </w:rPr>
              <w:t xml:space="preserve">0 </w:t>
            </w:r>
          </w:p>
        </w:tc>
        <w:tc>
          <w:tcPr>
            <w:tcW w:w="1467"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2" w:firstLine="0"/>
              <w:jc w:val="right"/>
            </w:pPr>
            <w:r>
              <w:rPr>
                <w:sz w:val="20"/>
              </w:rPr>
              <w:t xml:space="preserve">0 </w:t>
            </w:r>
          </w:p>
        </w:tc>
        <w:tc>
          <w:tcPr>
            <w:tcW w:w="1855"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1" w:firstLine="0"/>
              <w:jc w:val="right"/>
            </w:pPr>
            <w:r>
              <w:rPr>
                <w:sz w:val="20"/>
              </w:rPr>
              <w:t xml:space="preserve">0 </w:t>
            </w:r>
          </w:p>
        </w:tc>
      </w:tr>
      <w:tr w:rsidR="00E8309B">
        <w:trPr>
          <w:trHeight w:val="307"/>
        </w:trPr>
        <w:tc>
          <w:tcPr>
            <w:tcW w:w="1120"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3" w:firstLine="0"/>
              <w:jc w:val="center"/>
            </w:pPr>
            <w:r>
              <w:rPr>
                <w:sz w:val="20"/>
              </w:rPr>
              <w:t xml:space="preserve">2023 </w:t>
            </w:r>
          </w:p>
        </w:tc>
        <w:tc>
          <w:tcPr>
            <w:tcW w:w="1489"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4" w:firstLine="0"/>
              <w:jc w:val="right"/>
            </w:pPr>
            <w:r>
              <w:rPr>
                <w:sz w:val="20"/>
              </w:rPr>
              <w:t xml:space="preserve">0 </w:t>
            </w:r>
          </w:p>
        </w:tc>
        <w:tc>
          <w:tcPr>
            <w:tcW w:w="1855"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1" w:firstLine="0"/>
              <w:jc w:val="right"/>
            </w:pPr>
            <w:r>
              <w:rPr>
                <w:sz w:val="20"/>
              </w:rPr>
              <w:t xml:space="preserve">0 </w:t>
            </w:r>
          </w:p>
        </w:tc>
        <w:tc>
          <w:tcPr>
            <w:tcW w:w="1467"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1" w:firstLine="0"/>
              <w:jc w:val="right"/>
            </w:pPr>
            <w:r>
              <w:rPr>
                <w:sz w:val="20"/>
              </w:rPr>
              <w:t xml:space="preserve">0 </w:t>
            </w:r>
          </w:p>
        </w:tc>
        <w:tc>
          <w:tcPr>
            <w:tcW w:w="1467"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2" w:firstLine="0"/>
              <w:jc w:val="right"/>
            </w:pPr>
            <w:r>
              <w:rPr>
                <w:sz w:val="20"/>
              </w:rPr>
              <w:t xml:space="preserve">0 </w:t>
            </w:r>
          </w:p>
        </w:tc>
        <w:tc>
          <w:tcPr>
            <w:tcW w:w="1855"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1" w:firstLine="0"/>
              <w:jc w:val="right"/>
            </w:pPr>
            <w:r>
              <w:rPr>
                <w:sz w:val="20"/>
              </w:rPr>
              <w:t xml:space="preserve">0 </w:t>
            </w:r>
          </w:p>
        </w:tc>
      </w:tr>
      <w:tr w:rsidR="00E8309B">
        <w:trPr>
          <w:trHeight w:val="586"/>
        </w:trPr>
        <w:tc>
          <w:tcPr>
            <w:tcW w:w="9252" w:type="dxa"/>
            <w:gridSpan w:val="6"/>
            <w:tcBorders>
              <w:top w:val="single" w:sz="8" w:space="0" w:color="000000"/>
              <w:left w:val="single" w:sz="8" w:space="0" w:color="000000"/>
              <w:bottom w:val="single" w:sz="8" w:space="0" w:color="000000"/>
              <w:right w:val="single" w:sz="8" w:space="0" w:color="000000"/>
            </w:tcBorders>
            <w:shd w:val="clear" w:color="auto" w:fill="D0CECE"/>
            <w:vAlign w:val="bottom"/>
          </w:tcPr>
          <w:p w:rsidR="00E8309B" w:rsidRDefault="009D0949">
            <w:pPr>
              <w:spacing w:after="0" w:line="259" w:lineRule="auto"/>
              <w:ind w:left="0" w:right="0" w:firstLine="0"/>
              <w:jc w:val="left"/>
            </w:pPr>
            <w:r>
              <w:rPr>
                <w:b/>
                <w:sz w:val="20"/>
              </w:rPr>
              <w:t xml:space="preserve">12. Унапређење геопросторног сектора креирањем стратешке дигиталне платформе као подршка инвестиционом одлучивању  </w:t>
            </w:r>
          </w:p>
        </w:tc>
      </w:tr>
      <w:tr w:rsidR="00E8309B">
        <w:trPr>
          <w:trHeight w:val="458"/>
        </w:trPr>
        <w:tc>
          <w:tcPr>
            <w:tcW w:w="1120" w:type="dxa"/>
            <w:tcBorders>
              <w:top w:val="single" w:sz="8" w:space="0" w:color="000000"/>
              <w:left w:val="single" w:sz="8" w:space="0" w:color="000000"/>
              <w:bottom w:val="single" w:sz="8" w:space="0" w:color="000000"/>
              <w:right w:val="single" w:sz="8" w:space="0" w:color="000000"/>
            </w:tcBorders>
            <w:vAlign w:val="bottom"/>
          </w:tcPr>
          <w:p w:rsidR="00E8309B" w:rsidRDefault="009D0949">
            <w:pPr>
              <w:spacing w:after="0" w:line="259" w:lineRule="auto"/>
              <w:ind w:left="0" w:right="56" w:firstLine="0"/>
              <w:jc w:val="center"/>
            </w:pPr>
            <w:r>
              <w:rPr>
                <w:b/>
                <w:sz w:val="20"/>
              </w:rPr>
              <w:t>Година</w:t>
            </w:r>
            <w:r>
              <w:rPr>
                <w:sz w:val="20"/>
              </w:rPr>
              <w:t xml:space="preserve">  </w:t>
            </w:r>
          </w:p>
        </w:tc>
        <w:tc>
          <w:tcPr>
            <w:tcW w:w="1489" w:type="dxa"/>
            <w:tcBorders>
              <w:top w:val="single" w:sz="8" w:space="0" w:color="000000"/>
              <w:left w:val="single" w:sz="8" w:space="0" w:color="000000"/>
              <w:bottom w:val="single" w:sz="8" w:space="0" w:color="000000"/>
              <w:right w:val="single" w:sz="8" w:space="0" w:color="000000"/>
            </w:tcBorders>
            <w:vAlign w:val="bottom"/>
          </w:tcPr>
          <w:p w:rsidR="00E8309B" w:rsidRDefault="009D0949">
            <w:pPr>
              <w:spacing w:after="0" w:line="259" w:lineRule="auto"/>
              <w:ind w:left="0" w:right="52" w:firstLine="0"/>
              <w:jc w:val="center"/>
            </w:pPr>
            <w:r>
              <w:rPr>
                <w:sz w:val="20"/>
              </w:rPr>
              <w:t xml:space="preserve">Плате </w:t>
            </w:r>
          </w:p>
        </w:tc>
        <w:tc>
          <w:tcPr>
            <w:tcW w:w="1855" w:type="dxa"/>
            <w:tcBorders>
              <w:top w:val="single" w:sz="8" w:space="0" w:color="000000"/>
              <w:left w:val="single" w:sz="8" w:space="0" w:color="000000"/>
              <w:bottom w:val="single" w:sz="8" w:space="0" w:color="000000"/>
              <w:right w:val="single" w:sz="8" w:space="0" w:color="000000"/>
            </w:tcBorders>
            <w:vAlign w:val="bottom"/>
          </w:tcPr>
          <w:p w:rsidR="00E8309B" w:rsidRDefault="009D0949">
            <w:pPr>
              <w:spacing w:after="0" w:line="259" w:lineRule="auto"/>
              <w:ind w:left="0" w:right="53" w:firstLine="0"/>
              <w:jc w:val="center"/>
            </w:pPr>
            <w:r>
              <w:rPr>
                <w:sz w:val="20"/>
              </w:rPr>
              <w:t xml:space="preserve">Добра и услуге </w:t>
            </w:r>
          </w:p>
        </w:tc>
        <w:tc>
          <w:tcPr>
            <w:tcW w:w="1467"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0" w:firstLine="0"/>
              <w:jc w:val="center"/>
            </w:pPr>
            <w:r>
              <w:rPr>
                <w:sz w:val="20"/>
              </w:rPr>
              <w:t xml:space="preserve">Субвенције и трансфери </w:t>
            </w:r>
          </w:p>
        </w:tc>
        <w:tc>
          <w:tcPr>
            <w:tcW w:w="1467"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0" w:firstLine="0"/>
              <w:jc w:val="center"/>
            </w:pPr>
            <w:r>
              <w:rPr>
                <w:sz w:val="20"/>
              </w:rPr>
              <w:t xml:space="preserve">Капитални расходи </w:t>
            </w:r>
          </w:p>
        </w:tc>
        <w:tc>
          <w:tcPr>
            <w:tcW w:w="1855" w:type="dxa"/>
            <w:tcBorders>
              <w:top w:val="single" w:sz="8" w:space="0" w:color="000000"/>
              <w:left w:val="single" w:sz="8" w:space="0" w:color="000000"/>
              <w:bottom w:val="single" w:sz="8" w:space="0" w:color="000000"/>
              <w:right w:val="single" w:sz="8" w:space="0" w:color="000000"/>
            </w:tcBorders>
            <w:vAlign w:val="bottom"/>
          </w:tcPr>
          <w:p w:rsidR="00E8309B" w:rsidRDefault="009D0949">
            <w:pPr>
              <w:spacing w:after="0" w:line="259" w:lineRule="auto"/>
              <w:ind w:left="0" w:right="50" w:firstLine="0"/>
              <w:jc w:val="center"/>
            </w:pPr>
            <w:r>
              <w:rPr>
                <w:sz w:val="20"/>
              </w:rPr>
              <w:t xml:space="preserve">Укупно </w:t>
            </w:r>
          </w:p>
        </w:tc>
      </w:tr>
      <w:tr w:rsidR="00E8309B">
        <w:trPr>
          <w:trHeight w:val="305"/>
        </w:trPr>
        <w:tc>
          <w:tcPr>
            <w:tcW w:w="1120"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3" w:firstLine="0"/>
              <w:jc w:val="center"/>
            </w:pPr>
            <w:r>
              <w:rPr>
                <w:sz w:val="20"/>
              </w:rPr>
              <w:t xml:space="preserve">2021 </w:t>
            </w:r>
          </w:p>
        </w:tc>
        <w:tc>
          <w:tcPr>
            <w:tcW w:w="1489"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3" w:firstLine="0"/>
              <w:jc w:val="right"/>
            </w:pPr>
            <w:r>
              <w:rPr>
                <w:sz w:val="20"/>
              </w:rPr>
              <w:t xml:space="preserve">313.560,00 </w:t>
            </w:r>
          </w:p>
        </w:tc>
        <w:tc>
          <w:tcPr>
            <w:tcW w:w="1855"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0" w:firstLine="0"/>
              <w:jc w:val="right"/>
            </w:pPr>
            <w:r>
              <w:rPr>
                <w:sz w:val="20"/>
              </w:rPr>
              <w:t xml:space="preserve">2.510.000,00 </w:t>
            </w:r>
          </w:p>
        </w:tc>
        <w:tc>
          <w:tcPr>
            <w:tcW w:w="1467"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1" w:firstLine="0"/>
              <w:jc w:val="right"/>
            </w:pPr>
            <w:r>
              <w:rPr>
                <w:sz w:val="20"/>
              </w:rPr>
              <w:t xml:space="preserve">0 </w:t>
            </w:r>
          </w:p>
        </w:tc>
        <w:tc>
          <w:tcPr>
            <w:tcW w:w="1467"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2" w:firstLine="0"/>
              <w:jc w:val="right"/>
            </w:pPr>
            <w:r>
              <w:rPr>
                <w:sz w:val="20"/>
              </w:rPr>
              <w:t xml:space="preserve">0 </w:t>
            </w:r>
          </w:p>
        </w:tc>
        <w:tc>
          <w:tcPr>
            <w:tcW w:w="1855"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0" w:firstLine="0"/>
              <w:jc w:val="right"/>
            </w:pPr>
            <w:r>
              <w:rPr>
                <w:sz w:val="20"/>
              </w:rPr>
              <w:t xml:space="preserve">2.823.560,00 </w:t>
            </w:r>
          </w:p>
        </w:tc>
      </w:tr>
      <w:tr w:rsidR="00E8309B">
        <w:trPr>
          <w:trHeight w:val="307"/>
        </w:trPr>
        <w:tc>
          <w:tcPr>
            <w:tcW w:w="1120"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3" w:firstLine="0"/>
              <w:jc w:val="center"/>
            </w:pPr>
            <w:r>
              <w:rPr>
                <w:sz w:val="20"/>
              </w:rPr>
              <w:t xml:space="preserve">2022 </w:t>
            </w:r>
          </w:p>
        </w:tc>
        <w:tc>
          <w:tcPr>
            <w:tcW w:w="1489"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4" w:firstLine="0"/>
              <w:jc w:val="right"/>
            </w:pPr>
            <w:r>
              <w:rPr>
                <w:sz w:val="20"/>
              </w:rPr>
              <w:t xml:space="preserve">0 </w:t>
            </w:r>
          </w:p>
        </w:tc>
        <w:tc>
          <w:tcPr>
            <w:tcW w:w="1855"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0" w:firstLine="0"/>
              <w:jc w:val="right"/>
            </w:pPr>
            <w:r>
              <w:rPr>
                <w:sz w:val="20"/>
              </w:rPr>
              <w:t xml:space="preserve">2.400.000,00 </w:t>
            </w:r>
          </w:p>
        </w:tc>
        <w:tc>
          <w:tcPr>
            <w:tcW w:w="1467"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1" w:firstLine="0"/>
              <w:jc w:val="right"/>
            </w:pPr>
            <w:r>
              <w:rPr>
                <w:sz w:val="20"/>
              </w:rPr>
              <w:t xml:space="preserve">0 </w:t>
            </w:r>
          </w:p>
        </w:tc>
        <w:tc>
          <w:tcPr>
            <w:tcW w:w="1467"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2" w:firstLine="0"/>
              <w:jc w:val="right"/>
            </w:pPr>
            <w:r>
              <w:rPr>
                <w:sz w:val="20"/>
              </w:rPr>
              <w:t xml:space="preserve">0 </w:t>
            </w:r>
          </w:p>
        </w:tc>
        <w:tc>
          <w:tcPr>
            <w:tcW w:w="1855"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0" w:firstLine="0"/>
              <w:jc w:val="right"/>
            </w:pPr>
            <w:r>
              <w:rPr>
                <w:sz w:val="20"/>
              </w:rPr>
              <w:t xml:space="preserve">2.400.000,00 </w:t>
            </w:r>
          </w:p>
        </w:tc>
      </w:tr>
      <w:tr w:rsidR="00E8309B">
        <w:trPr>
          <w:trHeight w:val="308"/>
        </w:trPr>
        <w:tc>
          <w:tcPr>
            <w:tcW w:w="1120"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3" w:firstLine="0"/>
              <w:jc w:val="center"/>
            </w:pPr>
            <w:r>
              <w:rPr>
                <w:sz w:val="20"/>
              </w:rPr>
              <w:t xml:space="preserve">2023 </w:t>
            </w:r>
          </w:p>
        </w:tc>
        <w:tc>
          <w:tcPr>
            <w:tcW w:w="1489"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4" w:firstLine="0"/>
              <w:jc w:val="right"/>
            </w:pPr>
            <w:r>
              <w:rPr>
                <w:sz w:val="20"/>
              </w:rPr>
              <w:t xml:space="preserve">0 </w:t>
            </w:r>
          </w:p>
        </w:tc>
        <w:tc>
          <w:tcPr>
            <w:tcW w:w="1855"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1" w:firstLine="0"/>
              <w:jc w:val="right"/>
            </w:pPr>
            <w:r>
              <w:rPr>
                <w:sz w:val="20"/>
              </w:rPr>
              <w:t xml:space="preserve">0 </w:t>
            </w:r>
          </w:p>
        </w:tc>
        <w:tc>
          <w:tcPr>
            <w:tcW w:w="1467"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1" w:firstLine="0"/>
              <w:jc w:val="right"/>
            </w:pPr>
            <w:r>
              <w:rPr>
                <w:sz w:val="20"/>
              </w:rPr>
              <w:t xml:space="preserve">0 </w:t>
            </w:r>
          </w:p>
        </w:tc>
        <w:tc>
          <w:tcPr>
            <w:tcW w:w="1467"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2" w:firstLine="0"/>
              <w:jc w:val="right"/>
            </w:pPr>
            <w:r>
              <w:rPr>
                <w:sz w:val="20"/>
              </w:rPr>
              <w:t xml:space="preserve">0 </w:t>
            </w:r>
          </w:p>
        </w:tc>
        <w:tc>
          <w:tcPr>
            <w:tcW w:w="1855"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1" w:firstLine="0"/>
              <w:jc w:val="right"/>
            </w:pPr>
            <w:r>
              <w:rPr>
                <w:sz w:val="20"/>
              </w:rPr>
              <w:t xml:space="preserve">0 </w:t>
            </w:r>
          </w:p>
        </w:tc>
      </w:tr>
      <w:tr w:rsidR="00E8309B">
        <w:trPr>
          <w:trHeight w:val="545"/>
        </w:trPr>
        <w:tc>
          <w:tcPr>
            <w:tcW w:w="9252" w:type="dxa"/>
            <w:gridSpan w:val="6"/>
            <w:tcBorders>
              <w:top w:val="single" w:sz="8" w:space="0" w:color="000000"/>
              <w:left w:val="single" w:sz="8" w:space="0" w:color="000000"/>
              <w:bottom w:val="single" w:sz="8" w:space="0" w:color="000000"/>
              <w:right w:val="single" w:sz="8" w:space="0" w:color="000000"/>
            </w:tcBorders>
            <w:shd w:val="clear" w:color="auto" w:fill="D0CECE"/>
            <w:vAlign w:val="bottom"/>
          </w:tcPr>
          <w:p w:rsidR="00E8309B" w:rsidRDefault="009D0949">
            <w:pPr>
              <w:spacing w:after="0" w:line="259" w:lineRule="auto"/>
              <w:ind w:left="0" w:right="0" w:firstLine="0"/>
              <w:jc w:val="left"/>
            </w:pPr>
            <w:r>
              <w:rPr>
                <w:b/>
                <w:sz w:val="20"/>
              </w:rPr>
              <w:t xml:space="preserve">13. Унапређење управљања просторним развојем у Републици Србији кроз успостављање дигиталне платформе е-Простор  </w:t>
            </w:r>
          </w:p>
        </w:tc>
      </w:tr>
      <w:tr w:rsidR="00E8309B">
        <w:trPr>
          <w:trHeight w:val="458"/>
        </w:trPr>
        <w:tc>
          <w:tcPr>
            <w:tcW w:w="1120" w:type="dxa"/>
            <w:tcBorders>
              <w:top w:val="single" w:sz="8" w:space="0" w:color="000000"/>
              <w:left w:val="single" w:sz="8" w:space="0" w:color="000000"/>
              <w:bottom w:val="single" w:sz="8" w:space="0" w:color="000000"/>
              <w:right w:val="single" w:sz="8" w:space="0" w:color="000000"/>
            </w:tcBorders>
            <w:vAlign w:val="bottom"/>
          </w:tcPr>
          <w:p w:rsidR="00E8309B" w:rsidRDefault="009D0949">
            <w:pPr>
              <w:spacing w:after="0" w:line="259" w:lineRule="auto"/>
              <w:ind w:left="0" w:right="56" w:firstLine="0"/>
              <w:jc w:val="center"/>
            </w:pPr>
            <w:r>
              <w:rPr>
                <w:b/>
                <w:sz w:val="20"/>
              </w:rPr>
              <w:t>Година</w:t>
            </w:r>
            <w:r>
              <w:rPr>
                <w:sz w:val="20"/>
              </w:rPr>
              <w:t xml:space="preserve">  </w:t>
            </w:r>
          </w:p>
        </w:tc>
        <w:tc>
          <w:tcPr>
            <w:tcW w:w="1489" w:type="dxa"/>
            <w:tcBorders>
              <w:top w:val="single" w:sz="8" w:space="0" w:color="000000"/>
              <w:left w:val="single" w:sz="8" w:space="0" w:color="000000"/>
              <w:bottom w:val="single" w:sz="8" w:space="0" w:color="000000"/>
              <w:right w:val="single" w:sz="8" w:space="0" w:color="000000"/>
            </w:tcBorders>
            <w:vAlign w:val="bottom"/>
          </w:tcPr>
          <w:p w:rsidR="00E8309B" w:rsidRDefault="009D0949">
            <w:pPr>
              <w:spacing w:after="0" w:line="259" w:lineRule="auto"/>
              <w:ind w:left="0" w:right="52" w:firstLine="0"/>
              <w:jc w:val="center"/>
            </w:pPr>
            <w:r>
              <w:rPr>
                <w:sz w:val="20"/>
              </w:rPr>
              <w:t xml:space="preserve">Плате </w:t>
            </w:r>
          </w:p>
        </w:tc>
        <w:tc>
          <w:tcPr>
            <w:tcW w:w="1855" w:type="dxa"/>
            <w:tcBorders>
              <w:top w:val="single" w:sz="8" w:space="0" w:color="000000"/>
              <w:left w:val="single" w:sz="8" w:space="0" w:color="000000"/>
              <w:bottom w:val="single" w:sz="8" w:space="0" w:color="000000"/>
              <w:right w:val="single" w:sz="8" w:space="0" w:color="000000"/>
            </w:tcBorders>
            <w:vAlign w:val="bottom"/>
          </w:tcPr>
          <w:p w:rsidR="00E8309B" w:rsidRDefault="009D0949">
            <w:pPr>
              <w:spacing w:after="0" w:line="259" w:lineRule="auto"/>
              <w:ind w:left="0" w:right="53" w:firstLine="0"/>
              <w:jc w:val="center"/>
            </w:pPr>
            <w:r>
              <w:rPr>
                <w:sz w:val="20"/>
              </w:rPr>
              <w:t xml:space="preserve">Добра и услуге </w:t>
            </w:r>
          </w:p>
        </w:tc>
        <w:tc>
          <w:tcPr>
            <w:tcW w:w="1467"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0" w:firstLine="0"/>
              <w:jc w:val="center"/>
            </w:pPr>
            <w:r>
              <w:rPr>
                <w:sz w:val="20"/>
              </w:rPr>
              <w:t xml:space="preserve">Субвенције и трансфери </w:t>
            </w:r>
          </w:p>
        </w:tc>
        <w:tc>
          <w:tcPr>
            <w:tcW w:w="1467"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0" w:firstLine="0"/>
              <w:jc w:val="center"/>
            </w:pPr>
            <w:r>
              <w:rPr>
                <w:sz w:val="20"/>
              </w:rPr>
              <w:t xml:space="preserve">Капитални расходи </w:t>
            </w:r>
          </w:p>
        </w:tc>
        <w:tc>
          <w:tcPr>
            <w:tcW w:w="1855" w:type="dxa"/>
            <w:tcBorders>
              <w:top w:val="single" w:sz="8" w:space="0" w:color="000000"/>
              <w:left w:val="single" w:sz="8" w:space="0" w:color="000000"/>
              <w:bottom w:val="single" w:sz="8" w:space="0" w:color="000000"/>
              <w:right w:val="single" w:sz="8" w:space="0" w:color="000000"/>
            </w:tcBorders>
            <w:vAlign w:val="bottom"/>
          </w:tcPr>
          <w:p w:rsidR="00E8309B" w:rsidRDefault="009D0949">
            <w:pPr>
              <w:spacing w:after="0" w:line="259" w:lineRule="auto"/>
              <w:ind w:left="0" w:right="50" w:firstLine="0"/>
              <w:jc w:val="center"/>
            </w:pPr>
            <w:r>
              <w:rPr>
                <w:sz w:val="20"/>
              </w:rPr>
              <w:t xml:space="preserve">Укупно </w:t>
            </w:r>
          </w:p>
        </w:tc>
      </w:tr>
      <w:tr w:rsidR="00E8309B">
        <w:trPr>
          <w:trHeight w:val="305"/>
        </w:trPr>
        <w:tc>
          <w:tcPr>
            <w:tcW w:w="1120"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3" w:firstLine="0"/>
              <w:jc w:val="center"/>
            </w:pPr>
            <w:r>
              <w:rPr>
                <w:sz w:val="20"/>
              </w:rPr>
              <w:t xml:space="preserve">2021 </w:t>
            </w:r>
          </w:p>
        </w:tc>
        <w:tc>
          <w:tcPr>
            <w:tcW w:w="1489"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4" w:firstLine="0"/>
              <w:jc w:val="right"/>
            </w:pPr>
            <w:r>
              <w:rPr>
                <w:sz w:val="20"/>
              </w:rPr>
              <w:t xml:space="preserve">0 </w:t>
            </w:r>
          </w:p>
        </w:tc>
        <w:tc>
          <w:tcPr>
            <w:tcW w:w="1855"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0" w:firstLine="0"/>
              <w:jc w:val="right"/>
            </w:pPr>
            <w:r>
              <w:rPr>
                <w:sz w:val="20"/>
              </w:rPr>
              <w:t xml:space="preserve">80.000,00 </w:t>
            </w:r>
          </w:p>
        </w:tc>
        <w:tc>
          <w:tcPr>
            <w:tcW w:w="1467"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1" w:firstLine="0"/>
              <w:jc w:val="right"/>
            </w:pPr>
            <w:r>
              <w:rPr>
                <w:sz w:val="20"/>
              </w:rPr>
              <w:t xml:space="preserve">0 </w:t>
            </w:r>
          </w:p>
        </w:tc>
        <w:tc>
          <w:tcPr>
            <w:tcW w:w="1467"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2" w:firstLine="0"/>
              <w:jc w:val="right"/>
            </w:pPr>
            <w:r>
              <w:rPr>
                <w:sz w:val="20"/>
              </w:rPr>
              <w:t xml:space="preserve">0 </w:t>
            </w:r>
          </w:p>
        </w:tc>
        <w:tc>
          <w:tcPr>
            <w:tcW w:w="1855"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0" w:firstLine="0"/>
              <w:jc w:val="right"/>
            </w:pPr>
            <w:r>
              <w:rPr>
                <w:sz w:val="20"/>
              </w:rPr>
              <w:t xml:space="preserve">80.000,00 </w:t>
            </w:r>
          </w:p>
        </w:tc>
      </w:tr>
      <w:tr w:rsidR="00E8309B">
        <w:trPr>
          <w:trHeight w:val="305"/>
        </w:trPr>
        <w:tc>
          <w:tcPr>
            <w:tcW w:w="1120"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3" w:firstLine="0"/>
              <w:jc w:val="center"/>
            </w:pPr>
            <w:r>
              <w:rPr>
                <w:sz w:val="20"/>
              </w:rPr>
              <w:t xml:space="preserve">2022 </w:t>
            </w:r>
          </w:p>
        </w:tc>
        <w:tc>
          <w:tcPr>
            <w:tcW w:w="1489"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4" w:firstLine="0"/>
              <w:jc w:val="right"/>
            </w:pPr>
            <w:r>
              <w:rPr>
                <w:sz w:val="20"/>
              </w:rPr>
              <w:t xml:space="preserve">0 </w:t>
            </w:r>
          </w:p>
        </w:tc>
        <w:tc>
          <w:tcPr>
            <w:tcW w:w="1855"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0" w:firstLine="0"/>
              <w:jc w:val="right"/>
            </w:pPr>
            <w:r>
              <w:rPr>
                <w:sz w:val="20"/>
              </w:rPr>
              <w:t xml:space="preserve">1.500.000,00 </w:t>
            </w:r>
          </w:p>
        </w:tc>
        <w:tc>
          <w:tcPr>
            <w:tcW w:w="1467"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1" w:firstLine="0"/>
              <w:jc w:val="right"/>
            </w:pPr>
            <w:r>
              <w:rPr>
                <w:sz w:val="20"/>
              </w:rPr>
              <w:t xml:space="preserve">0 </w:t>
            </w:r>
          </w:p>
        </w:tc>
        <w:tc>
          <w:tcPr>
            <w:tcW w:w="1467"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2" w:firstLine="0"/>
              <w:jc w:val="right"/>
            </w:pPr>
            <w:r>
              <w:rPr>
                <w:sz w:val="20"/>
              </w:rPr>
              <w:t xml:space="preserve">0 </w:t>
            </w:r>
          </w:p>
        </w:tc>
        <w:tc>
          <w:tcPr>
            <w:tcW w:w="1855"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0" w:firstLine="0"/>
              <w:jc w:val="right"/>
            </w:pPr>
            <w:r>
              <w:rPr>
                <w:sz w:val="20"/>
              </w:rPr>
              <w:t xml:space="preserve">1.500.000,00 </w:t>
            </w:r>
          </w:p>
        </w:tc>
      </w:tr>
      <w:tr w:rsidR="00E8309B">
        <w:trPr>
          <w:trHeight w:val="308"/>
        </w:trPr>
        <w:tc>
          <w:tcPr>
            <w:tcW w:w="1120"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3" w:firstLine="0"/>
              <w:jc w:val="center"/>
            </w:pPr>
            <w:r>
              <w:rPr>
                <w:sz w:val="20"/>
              </w:rPr>
              <w:t xml:space="preserve">2023 </w:t>
            </w:r>
          </w:p>
        </w:tc>
        <w:tc>
          <w:tcPr>
            <w:tcW w:w="1489"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4" w:firstLine="0"/>
              <w:jc w:val="right"/>
            </w:pPr>
            <w:r>
              <w:rPr>
                <w:sz w:val="20"/>
              </w:rPr>
              <w:t xml:space="preserve">0 </w:t>
            </w:r>
          </w:p>
        </w:tc>
        <w:tc>
          <w:tcPr>
            <w:tcW w:w="1855"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0" w:firstLine="0"/>
              <w:jc w:val="right"/>
            </w:pPr>
            <w:r>
              <w:rPr>
                <w:sz w:val="20"/>
              </w:rPr>
              <w:t xml:space="preserve">1.370.000,00 </w:t>
            </w:r>
          </w:p>
        </w:tc>
        <w:tc>
          <w:tcPr>
            <w:tcW w:w="1467"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1" w:firstLine="0"/>
              <w:jc w:val="right"/>
            </w:pPr>
            <w:r>
              <w:rPr>
                <w:sz w:val="20"/>
              </w:rPr>
              <w:t xml:space="preserve">0 </w:t>
            </w:r>
          </w:p>
        </w:tc>
        <w:tc>
          <w:tcPr>
            <w:tcW w:w="1467"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2" w:firstLine="0"/>
              <w:jc w:val="right"/>
            </w:pPr>
            <w:r>
              <w:rPr>
                <w:sz w:val="20"/>
              </w:rPr>
              <w:t xml:space="preserve">0 </w:t>
            </w:r>
          </w:p>
        </w:tc>
        <w:tc>
          <w:tcPr>
            <w:tcW w:w="1855"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0" w:firstLine="0"/>
              <w:jc w:val="right"/>
            </w:pPr>
            <w:r>
              <w:rPr>
                <w:sz w:val="20"/>
              </w:rPr>
              <w:t xml:space="preserve">1.370.000,00 </w:t>
            </w:r>
          </w:p>
        </w:tc>
      </w:tr>
      <w:tr w:rsidR="00E8309B">
        <w:trPr>
          <w:trHeight w:val="301"/>
        </w:trPr>
        <w:tc>
          <w:tcPr>
            <w:tcW w:w="9252" w:type="dxa"/>
            <w:gridSpan w:val="6"/>
            <w:tcBorders>
              <w:top w:val="single" w:sz="8" w:space="0" w:color="000000"/>
              <w:left w:val="single" w:sz="8" w:space="0" w:color="000000"/>
              <w:bottom w:val="single" w:sz="8" w:space="0" w:color="000000"/>
              <w:right w:val="single" w:sz="8" w:space="0" w:color="000000"/>
            </w:tcBorders>
            <w:shd w:val="clear" w:color="auto" w:fill="D0CECE"/>
            <w:vAlign w:val="bottom"/>
          </w:tcPr>
          <w:p w:rsidR="00E8309B" w:rsidRDefault="009D0949">
            <w:pPr>
              <w:spacing w:after="0" w:line="259" w:lineRule="auto"/>
              <w:ind w:left="0" w:right="0" w:firstLine="0"/>
              <w:jc w:val="left"/>
            </w:pPr>
            <w:r>
              <w:rPr>
                <w:b/>
                <w:sz w:val="20"/>
              </w:rPr>
              <w:t xml:space="preserve">14. Подршка научноистраживачкој делатности кроз јачање научноистраживачких капацитета </w:t>
            </w:r>
          </w:p>
        </w:tc>
      </w:tr>
      <w:tr w:rsidR="00E8309B">
        <w:trPr>
          <w:trHeight w:val="458"/>
        </w:trPr>
        <w:tc>
          <w:tcPr>
            <w:tcW w:w="1120" w:type="dxa"/>
            <w:tcBorders>
              <w:top w:val="single" w:sz="8" w:space="0" w:color="000000"/>
              <w:left w:val="single" w:sz="8" w:space="0" w:color="000000"/>
              <w:bottom w:val="single" w:sz="8" w:space="0" w:color="000000"/>
              <w:right w:val="single" w:sz="8" w:space="0" w:color="000000"/>
            </w:tcBorders>
            <w:vAlign w:val="bottom"/>
          </w:tcPr>
          <w:p w:rsidR="00E8309B" w:rsidRDefault="009D0949">
            <w:pPr>
              <w:spacing w:after="0" w:line="259" w:lineRule="auto"/>
              <w:ind w:left="0" w:right="56" w:firstLine="0"/>
              <w:jc w:val="center"/>
            </w:pPr>
            <w:r>
              <w:rPr>
                <w:b/>
                <w:sz w:val="20"/>
              </w:rPr>
              <w:t>Година</w:t>
            </w:r>
            <w:r>
              <w:rPr>
                <w:sz w:val="20"/>
              </w:rPr>
              <w:t xml:space="preserve">  </w:t>
            </w:r>
          </w:p>
        </w:tc>
        <w:tc>
          <w:tcPr>
            <w:tcW w:w="1489" w:type="dxa"/>
            <w:tcBorders>
              <w:top w:val="single" w:sz="8" w:space="0" w:color="000000"/>
              <w:left w:val="single" w:sz="8" w:space="0" w:color="000000"/>
              <w:bottom w:val="single" w:sz="8" w:space="0" w:color="000000"/>
              <w:right w:val="single" w:sz="8" w:space="0" w:color="000000"/>
            </w:tcBorders>
            <w:vAlign w:val="bottom"/>
          </w:tcPr>
          <w:p w:rsidR="00E8309B" w:rsidRDefault="009D0949">
            <w:pPr>
              <w:spacing w:after="0" w:line="259" w:lineRule="auto"/>
              <w:ind w:left="0" w:right="52" w:firstLine="0"/>
              <w:jc w:val="center"/>
            </w:pPr>
            <w:r>
              <w:rPr>
                <w:sz w:val="20"/>
              </w:rPr>
              <w:t xml:space="preserve">Плате </w:t>
            </w:r>
          </w:p>
        </w:tc>
        <w:tc>
          <w:tcPr>
            <w:tcW w:w="1855" w:type="dxa"/>
            <w:tcBorders>
              <w:top w:val="single" w:sz="8" w:space="0" w:color="000000"/>
              <w:left w:val="single" w:sz="8" w:space="0" w:color="000000"/>
              <w:bottom w:val="single" w:sz="8" w:space="0" w:color="000000"/>
              <w:right w:val="single" w:sz="8" w:space="0" w:color="000000"/>
            </w:tcBorders>
            <w:vAlign w:val="bottom"/>
          </w:tcPr>
          <w:p w:rsidR="00E8309B" w:rsidRDefault="009D0949">
            <w:pPr>
              <w:spacing w:after="0" w:line="259" w:lineRule="auto"/>
              <w:ind w:left="0" w:right="53" w:firstLine="0"/>
              <w:jc w:val="center"/>
            </w:pPr>
            <w:r>
              <w:rPr>
                <w:sz w:val="20"/>
              </w:rPr>
              <w:t xml:space="preserve">Добра и услуге </w:t>
            </w:r>
          </w:p>
        </w:tc>
        <w:tc>
          <w:tcPr>
            <w:tcW w:w="1467"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0" w:firstLine="0"/>
              <w:jc w:val="center"/>
            </w:pPr>
            <w:r>
              <w:rPr>
                <w:sz w:val="20"/>
              </w:rPr>
              <w:t xml:space="preserve">Субвенције и трансфери </w:t>
            </w:r>
          </w:p>
        </w:tc>
        <w:tc>
          <w:tcPr>
            <w:tcW w:w="1467"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0" w:firstLine="0"/>
              <w:jc w:val="center"/>
            </w:pPr>
            <w:r>
              <w:rPr>
                <w:sz w:val="20"/>
              </w:rPr>
              <w:t xml:space="preserve">Капитални расходи </w:t>
            </w:r>
          </w:p>
        </w:tc>
        <w:tc>
          <w:tcPr>
            <w:tcW w:w="1855" w:type="dxa"/>
            <w:tcBorders>
              <w:top w:val="single" w:sz="8" w:space="0" w:color="000000"/>
              <w:left w:val="single" w:sz="8" w:space="0" w:color="000000"/>
              <w:bottom w:val="single" w:sz="8" w:space="0" w:color="000000"/>
              <w:right w:val="single" w:sz="8" w:space="0" w:color="000000"/>
            </w:tcBorders>
            <w:vAlign w:val="bottom"/>
          </w:tcPr>
          <w:p w:rsidR="00E8309B" w:rsidRDefault="009D0949">
            <w:pPr>
              <w:spacing w:after="0" w:line="259" w:lineRule="auto"/>
              <w:ind w:left="0" w:right="50" w:firstLine="0"/>
              <w:jc w:val="center"/>
            </w:pPr>
            <w:r>
              <w:rPr>
                <w:sz w:val="20"/>
              </w:rPr>
              <w:t xml:space="preserve">Укупно </w:t>
            </w:r>
          </w:p>
        </w:tc>
      </w:tr>
      <w:tr w:rsidR="00E8309B">
        <w:trPr>
          <w:trHeight w:val="305"/>
        </w:trPr>
        <w:tc>
          <w:tcPr>
            <w:tcW w:w="1120"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3" w:firstLine="0"/>
              <w:jc w:val="center"/>
            </w:pPr>
            <w:r>
              <w:rPr>
                <w:sz w:val="20"/>
              </w:rPr>
              <w:t xml:space="preserve">2021 </w:t>
            </w:r>
          </w:p>
        </w:tc>
        <w:tc>
          <w:tcPr>
            <w:tcW w:w="1489"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4" w:firstLine="0"/>
              <w:jc w:val="right"/>
            </w:pPr>
            <w:r>
              <w:rPr>
                <w:sz w:val="20"/>
              </w:rPr>
              <w:t xml:space="preserve">0 </w:t>
            </w:r>
          </w:p>
        </w:tc>
        <w:tc>
          <w:tcPr>
            <w:tcW w:w="1855"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0" w:firstLine="0"/>
              <w:jc w:val="right"/>
            </w:pPr>
            <w:r>
              <w:rPr>
                <w:sz w:val="20"/>
              </w:rPr>
              <w:t xml:space="preserve">5.301.308,33 </w:t>
            </w:r>
          </w:p>
        </w:tc>
        <w:tc>
          <w:tcPr>
            <w:tcW w:w="1467"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1" w:firstLine="0"/>
              <w:jc w:val="right"/>
            </w:pPr>
            <w:r>
              <w:rPr>
                <w:sz w:val="20"/>
              </w:rPr>
              <w:t xml:space="preserve">8.333.333,33 </w:t>
            </w:r>
          </w:p>
        </w:tc>
        <w:tc>
          <w:tcPr>
            <w:tcW w:w="1467"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2" w:firstLine="0"/>
              <w:jc w:val="right"/>
            </w:pPr>
            <w:r>
              <w:rPr>
                <w:sz w:val="20"/>
              </w:rPr>
              <w:t xml:space="preserve">0 </w:t>
            </w:r>
          </w:p>
        </w:tc>
        <w:tc>
          <w:tcPr>
            <w:tcW w:w="1855"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0" w:firstLine="0"/>
              <w:jc w:val="right"/>
            </w:pPr>
            <w:r>
              <w:rPr>
                <w:sz w:val="20"/>
              </w:rPr>
              <w:t xml:space="preserve">13.634.641,66 </w:t>
            </w:r>
          </w:p>
        </w:tc>
      </w:tr>
      <w:tr w:rsidR="00E8309B">
        <w:trPr>
          <w:trHeight w:val="305"/>
        </w:trPr>
        <w:tc>
          <w:tcPr>
            <w:tcW w:w="1120"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3" w:firstLine="0"/>
              <w:jc w:val="center"/>
            </w:pPr>
            <w:r>
              <w:rPr>
                <w:sz w:val="20"/>
              </w:rPr>
              <w:t xml:space="preserve">2022 </w:t>
            </w:r>
          </w:p>
        </w:tc>
        <w:tc>
          <w:tcPr>
            <w:tcW w:w="1489"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4" w:firstLine="0"/>
              <w:jc w:val="right"/>
            </w:pPr>
            <w:r>
              <w:rPr>
                <w:sz w:val="20"/>
              </w:rPr>
              <w:t xml:space="preserve">0 </w:t>
            </w:r>
          </w:p>
        </w:tc>
        <w:tc>
          <w:tcPr>
            <w:tcW w:w="1855"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0" w:firstLine="0"/>
              <w:jc w:val="right"/>
            </w:pPr>
            <w:r>
              <w:rPr>
                <w:sz w:val="20"/>
              </w:rPr>
              <w:t xml:space="preserve">13.581.208,33 </w:t>
            </w:r>
          </w:p>
        </w:tc>
        <w:tc>
          <w:tcPr>
            <w:tcW w:w="1467"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1" w:firstLine="0"/>
              <w:jc w:val="right"/>
            </w:pPr>
            <w:r>
              <w:rPr>
                <w:sz w:val="20"/>
              </w:rPr>
              <w:t xml:space="preserve">8.333.333,33 </w:t>
            </w:r>
          </w:p>
        </w:tc>
        <w:tc>
          <w:tcPr>
            <w:tcW w:w="1467"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2" w:firstLine="0"/>
              <w:jc w:val="right"/>
            </w:pPr>
            <w:r>
              <w:rPr>
                <w:sz w:val="20"/>
              </w:rPr>
              <w:t xml:space="preserve">0 </w:t>
            </w:r>
          </w:p>
        </w:tc>
        <w:tc>
          <w:tcPr>
            <w:tcW w:w="1855"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0" w:firstLine="0"/>
              <w:jc w:val="right"/>
            </w:pPr>
            <w:r>
              <w:rPr>
                <w:sz w:val="20"/>
              </w:rPr>
              <w:t xml:space="preserve">21.914.541,66 </w:t>
            </w:r>
          </w:p>
        </w:tc>
      </w:tr>
      <w:tr w:rsidR="00E8309B">
        <w:trPr>
          <w:trHeight w:val="307"/>
        </w:trPr>
        <w:tc>
          <w:tcPr>
            <w:tcW w:w="1120"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3" w:firstLine="0"/>
              <w:jc w:val="center"/>
            </w:pPr>
            <w:r>
              <w:rPr>
                <w:sz w:val="20"/>
              </w:rPr>
              <w:t xml:space="preserve">2023 </w:t>
            </w:r>
          </w:p>
        </w:tc>
        <w:tc>
          <w:tcPr>
            <w:tcW w:w="1489"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4" w:firstLine="0"/>
              <w:jc w:val="right"/>
            </w:pPr>
            <w:r>
              <w:rPr>
                <w:sz w:val="20"/>
              </w:rPr>
              <w:t xml:space="preserve">0 </w:t>
            </w:r>
          </w:p>
        </w:tc>
        <w:tc>
          <w:tcPr>
            <w:tcW w:w="1855"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0" w:firstLine="0"/>
              <w:jc w:val="right"/>
            </w:pPr>
            <w:r>
              <w:rPr>
                <w:sz w:val="20"/>
              </w:rPr>
              <w:t xml:space="preserve">14.596.250,00 </w:t>
            </w:r>
          </w:p>
        </w:tc>
        <w:tc>
          <w:tcPr>
            <w:tcW w:w="1467"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1" w:firstLine="0"/>
              <w:jc w:val="right"/>
            </w:pPr>
            <w:r>
              <w:rPr>
                <w:sz w:val="20"/>
              </w:rPr>
              <w:t xml:space="preserve">8.333.333,33 </w:t>
            </w:r>
          </w:p>
        </w:tc>
        <w:tc>
          <w:tcPr>
            <w:tcW w:w="1467"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2" w:firstLine="0"/>
              <w:jc w:val="right"/>
            </w:pPr>
            <w:r>
              <w:rPr>
                <w:sz w:val="20"/>
              </w:rPr>
              <w:t xml:space="preserve">0 </w:t>
            </w:r>
          </w:p>
        </w:tc>
        <w:tc>
          <w:tcPr>
            <w:tcW w:w="1855"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0" w:firstLine="0"/>
              <w:jc w:val="right"/>
            </w:pPr>
            <w:r>
              <w:rPr>
                <w:sz w:val="20"/>
              </w:rPr>
              <w:t xml:space="preserve">22.929.583,33 </w:t>
            </w:r>
          </w:p>
        </w:tc>
      </w:tr>
      <w:tr w:rsidR="00E8309B">
        <w:trPr>
          <w:trHeight w:val="300"/>
        </w:trPr>
        <w:tc>
          <w:tcPr>
            <w:tcW w:w="9252" w:type="dxa"/>
            <w:gridSpan w:val="6"/>
            <w:tcBorders>
              <w:top w:val="single" w:sz="8" w:space="0" w:color="000000"/>
              <w:left w:val="single" w:sz="8" w:space="0" w:color="000000"/>
              <w:bottom w:val="single" w:sz="8" w:space="0" w:color="000000"/>
              <w:right w:val="single" w:sz="8" w:space="0" w:color="000000"/>
            </w:tcBorders>
            <w:shd w:val="clear" w:color="auto" w:fill="D0CECE"/>
            <w:vAlign w:val="bottom"/>
          </w:tcPr>
          <w:p w:rsidR="00E8309B" w:rsidRDefault="009D0949">
            <w:pPr>
              <w:spacing w:after="0" w:line="259" w:lineRule="auto"/>
              <w:ind w:left="0" w:right="0" w:firstLine="0"/>
              <w:jc w:val="left"/>
            </w:pPr>
            <w:r>
              <w:rPr>
                <w:b/>
                <w:sz w:val="20"/>
              </w:rPr>
              <w:t xml:space="preserve">15. Унапређење институционалне подршке за развој паметних специјализација и иновација </w:t>
            </w:r>
          </w:p>
        </w:tc>
      </w:tr>
      <w:tr w:rsidR="00E8309B">
        <w:trPr>
          <w:trHeight w:val="461"/>
        </w:trPr>
        <w:tc>
          <w:tcPr>
            <w:tcW w:w="1120" w:type="dxa"/>
            <w:tcBorders>
              <w:top w:val="single" w:sz="8" w:space="0" w:color="000000"/>
              <w:left w:val="single" w:sz="8" w:space="0" w:color="000000"/>
              <w:bottom w:val="single" w:sz="8" w:space="0" w:color="000000"/>
              <w:right w:val="single" w:sz="8" w:space="0" w:color="000000"/>
            </w:tcBorders>
            <w:vAlign w:val="bottom"/>
          </w:tcPr>
          <w:p w:rsidR="00E8309B" w:rsidRDefault="009D0949">
            <w:pPr>
              <w:spacing w:after="0" w:line="259" w:lineRule="auto"/>
              <w:ind w:left="0" w:right="56" w:firstLine="0"/>
              <w:jc w:val="center"/>
            </w:pPr>
            <w:r>
              <w:rPr>
                <w:b/>
                <w:sz w:val="20"/>
              </w:rPr>
              <w:t>Година</w:t>
            </w:r>
            <w:r>
              <w:rPr>
                <w:sz w:val="20"/>
              </w:rPr>
              <w:t xml:space="preserve">  </w:t>
            </w:r>
          </w:p>
        </w:tc>
        <w:tc>
          <w:tcPr>
            <w:tcW w:w="1489" w:type="dxa"/>
            <w:tcBorders>
              <w:top w:val="single" w:sz="8" w:space="0" w:color="000000"/>
              <w:left w:val="single" w:sz="8" w:space="0" w:color="000000"/>
              <w:bottom w:val="single" w:sz="8" w:space="0" w:color="000000"/>
              <w:right w:val="single" w:sz="8" w:space="0" w:color="000000"/>
            </w:tcBorders>
            <w:vAlign w:val="bottom"/>
          </w:tcPr>
          <w:p w:rsidR="00E8309B" w:rsidRDefault="009D0949">
            <w:pPr>
              <w:spacing w:after="0" w:line="259" w:lineRule="auto"/>
              <w:ind w:left="0" w:right="52" w:firstLine="0"/>
              <w:jc w:val="center"/>
            </w:pPr>
            <w:r>
              <w:rPr>
                <w:sz w:val="20"/>
              </w:rPr>
              <w:t xml:space="preserve">Плате </w:t>
            </w:r>
          </w:p>
        </w:tc>
        <w:tc>
          <w:tcPr>
            <w:tcW w:w="1855" w:type="dxa"/>
            <w:tcBorders>
              <w:top w:val="single" w:sz="8" w:space="0" w:color="000000"/>
              <w:left w:val="single" w:sz="8" w:space="0" w:color="000000"/>
              <w:bottom w:val="single" w:sz="8" w:space="0" w:color="000000"/>
              <w:right w:val="single" w:sz="8" w:space="0" w:color="000000"/>
            </w:tcBorders>
            <w:vAlign w:val="bottom"/>
          </w:tcPr>
          <w:p w:rsidR="00E8309B" w:rsidRDefault="009D0949">
            <w:pPr>
              <w:spacing w:after="0" w:line="259" w:lineRule="auto"/>
              <w:ind w:left="0" w:right="53" w:firstLine="0"/>
              <w:jc w:val="center"/>
            </w:pPr>
            <w:r>
              <w:rPr>
                <w:sz w:val="20"/>
              </w:rPr>
              <w:t xml:space="preserve">Добра и услуге </w:t>
            </w:r>
          </w:p>
        </w:tc>
        <w:tc>
          <w:tcPr>
            <w:tcW w:w="1467"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0" w:firstLine="0"/>
              <w:jc w:val="center"/>
            </w:pPr>
            <w:r>
              <w:rPr>
                <w:sz w:val="20"/>
              </w:rPr>
              <w:t xml:space="preserve">Субвенције и трансфери </w:t>
            </w:r>
          </w:p>
        </w:tc>
        <w:tc>
          <w:tcPr>
            <w:tcW w:w="1467"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0" w:firstLine="0"/>
              <w:jc w:val="center"/>
            </w:pPr>
            <w:r>
              <w:rPr>
                <w:sz w:val="20"/>
              </w:rPr>
              <w:t xml:space="preserve">Капитални расходи </w:t>
            </w:r>
          </w:p>
        </w:tc>
        <w:tc>
          <w:tcPr>
            <w:tcW w:w="1855" w:type="dxa"/>
            <w:tcBorders>
              <w:top w:val="single" w:sz="8" w:space="0" w:color="000000"/>
              <w:left w:val="single" w:sz="8" w:space="0" w:color="000000"/>
              <w:bottom w:val="single" w:sz="8" w:space="0" w:color="000000"/>
              <w:right w:val="single" w:sz="8" w:space="0" w:color="000000"/>
            </w:tcBorders>
            <w:vAlign w:val="bottom"/>
          </w:tcPr>
          <w:p w:rsidR="00E8309B" w:rsidRDefault="009D0949">
            <w:pPr>
              <w:spacing w:after="0" w:line="259" w:lineRule="auto"/>
              <w:ind w:left="0" w:right="50" w:firstLine="0"/>
              <w:jc w:val="center"/>
            </w:pPr>
            <w:r>
              <w:rPr>
                <w:sz w:val="20"/>
              </w:rPr>
              <w:t xml:space="preserve">Укупно </w:t>
            </w:r>
          </w:p>
        </w:tc>
      </w:tr>
      <w:tr w:rsidR="00E8309B">
        <w:trPr>
          <w:trHeight w:val="305"/>
        </w:trPr>
        <w:tc>
          <w:tcPr>
            <w:tcW w:w="1120"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3" w:firstLine="0"/>
              <w:jc w:val="center"/>
            </w:pPr>
            <w:r>
              <w:rPr>
                <w:sz w:val="20"/>
              </w:rPr>
              <w:t xml:space="preserve">2021 </w:t>
            </w:r>
          </w:p>
        </w:tc>
        <w:tc>
          <w:tcPr>
            <w:tcW w:w="1489"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4" w:firstLine="0"/>
              <w:jc w:val="right"/>
            </w:pPr>
            <w:r>
              <w:rPr>
                <w:sz w:val="20"/>
              </w:rPr>
              <w:t xml:space="preserve">0 </w:t>
            </w:r>
          </w:p>
        </w:tc>
        <w:tc>
          <w:tcPr>
            <w:tcW w:w="1855"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1" w:firstLine="0"/>
              <w:jc w:val="right"/>
            </w:pPr>
            <w:r>
              <w:rPr>
                <w:sz w:val="20"/>
              </w:rPr>
              <w:t xml:space="preserve">0 </w:t>
            </w:r>
          </w:p>
        </w:tc>
        <w:tc>
          <w:tcPr>
            <w:tcW w:w="1467"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1" w:firstLine="0"/>
              <w:jc w:val="right"/>
            </w:pPr>
            <w:r>
              <w:rPr>
                <w:sz w:val="20"/>
              </w:rPr>
              <w:t xml:space="preserve">3.368.550,00 </w:t>
            </w:r>
          </w:p>
        </w:tc>
        <w:tc>
          <w:tcPr>
            <w:tcW w:w="1467"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2" w:firstLine="0"/>
              <w:jc w:val="right"/>
            </w:pPr>
            <w:r>
              <w:rPr>
                <w:sz w:val="20"/>
              </w:rPr>
              <w:t xml:space="preserve">0 </w:t>
            </w:r>
          </w:p>
        </w:tc>
        <w:tc>
          <w:tcPr>
            <w:tcW w:w="1855"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0" w:firstLine="0"/>
              <w:jc w:val="right"/>
            </w:pPr>
            <w:r>
              <w:rPr>
                <w:sz w:val="20"/>
              </w:rPr>
              <w:t xml:space="preserve">3.368.550,00 </w:t>
            </w:r>
          </w:p>
        </w:tc>
      </w:tr>
      <w:tr w:rsidR="00E8309B">
        <w:trPr>
          <w:trHeight w:val="300"/>
        </w:trPr>
        <w:tc>
          <w:tcPr>
            <w:tcW w:w="1120" w:type="dxa"/>
            <w:tcBorders>
              <w:top w:val="single" w:sz="8" w:space="0" w:color="000000"/>
              <w:left w:val="single" w:sz="8" w:space="0" w:color="000000"/>
              <w:bottom w:val="single" w:sz="4" w:space="0" w:color="000000"/>
              <w:right w:val="single" w:sz="8" w:space="0" w:color="000000"/>
            </w:tcBorders>
          </w:tcPr>
          <w:p w:rsidR="00E8309B" w:rsidRDefault="009D0949">
            <w:pPr>
              <w:spacing w:after="0" w:line="259" w:lineRule="auto"/>
              <w:ind w:left="0" w:right="53" w:firstLine="0"/>
              <w:jc w:val="center"/>
            </w:pPr>
            <w:r>
              <w:rPr>
                <w:sz w:val="20"/>
              </w:rPr>
              <w:t xml:space="preserve">2022 </w:t>
            </w:r>
          </w:p>
        </w:tc>
        <w:tc>
          <w:tcPr>
            <w:tcW w:w="1489" w:type="dxa"/>
            <w:tcBorders>
              <w:top w:val="single" w:sz="8" w:space="0" w:color="000000"/>
              <w:left w:val="single" w:sz="8" w:space="0" w:color="000000"/>
              <w:bottom w:val="single" w:sz="4" w:space="0" w:color="000000"/>
              <w:right w:val="single" w:sz="8" w:space="0" w:color="000000"/>
            </w:tcBorders>
          </w:tcPr>
          <w:p w:rsidR="00E8309B" w:rsidRDefault="009D0949">
            <w:pPr>
              <w:spacing w:after="0" w:line="259" w:lineRule="auto"/>
              <w:ind w:left="0" w:right="54" w:firstLine="0"/>
              <w:jc w:val="right"/>
            </w:pPr>
            <w:r>
              <w:rPr>
                <w:sz w:val="20"/>
              </w:rPr>
              <w:t xml:space="preserve">0 </w:t>
            </w:r>
          </w:p>
        </w:tc>
        <w:tc>
          <w:tcPr>
            <w:tcW w:w="1855" w:type="dxa"/>
            <w:tcBorders>
              <w:top w:val="single" w:sz="8" w:space="0" w:color="000000"/>
              <w:left w:val="single" w:sz="8" w:space="0" w:color="000000"/>
              <w:bottom w:val="single" w:sz="4" w:space="0" w:color="000000"/>
              <w:right w:val="single" w:sz="8" w:space="0" w:color="000000"/>
            </w:tcBorders>
          </w:tcPr>
          <w:p w:rsidR="00E8309B" w:rsidRDefault="009D0949">
            <w:pPr>
              <w:spacing w:after="0" w:line="259" w:lineRule="auto"/>
              <w:ind w:left="0" w:right="51" w:firstLine="0"/>
              <w:jc w:val="right"/>
            </w:pPr>
            <w:r>
              <w:rPr>
                <w:sz w:val="20"/>
              </w:rPr>
              <w:t xml:space="preserve">0 </w:t>
            </w:r>
          </w:p>
        </w:tc>
        <w:tc>
          <w:tcPr>
            <w:tcW w:w="1467" w:type="dxa"/>
            <w:tcBorders>
              <w:top w:val="single" w:sz="8" w:space="0" w:color="000000"/>
              <w:left w:val="single" w:sz="8" w:space="0" w:color="000000"/>
              <w:bottom w:val="single" w:sz="4" w:space="0" w:color="000000"/>
              <w:right w:val="single" w:sz="8" w:space="0" w:color="000000"/>
            </w:tcBorders>
          </w:tcPr>
          <w:p w:rsidR="00E8309B" w:rsidRDefault="009D0949">
            <w:pPr>
              <w:spacing w:after="0" w:line="259" w:lineRule="auto"/>
              <w:ind w:left="0" w:right="51" w:firstLine="0"/>
              <w:jc w:val="right"/>
            </w:pPr>
            <w:r>
              <w:rPr>
                <w:sz w:val="20"/>
              </w:rPr>
              <w:t xml:space="preserve">6.591.050,00 </w:t>
            </w:r>
          </w:p>
        </w:tc>
        <w:tc>
          <w:tcPr>
            <w:tcW w:w="1467" w:type="dxa"/>
            <w:tcBorders>
              <w:top w:val="single" w:sz="8" w:space="0" w:color="000000"/>
              <w:left w:val="single" w:sz="8" w:space="0" w:color="000000"/>
              <w:bottom w:val="single" w:sz="4" w:space="0" w:color="000000"/>
              <w:right w:val="single" w:sz="8" w:space="0" w:color="000000"/>
            </w:tcBorders>
          </w:tcPr>
          <w:p w:rsidR="00E8309B" w:rsidRDefault="009D0949">
            <w:pPr>
              <w:spacing w:after="0" w:line="259" w:lineRule="auto"/>
              <w:ind w:left="0" w:right="52" w:firstLine="0"/>
              <w:jc w:val="right"/>
            </w:pPr>
            <w:r>
              <w:rPr>
                <w:sz w:val="20"/>
              </w:rPr>
              <w:t xml:space="preserve">0 </w:t>
            </w:r>
          </w:p>
        </w:tc>
        <w:tc>
          <w:tcPr>
            <w:tcW w:w="1855" w:type="dxa"/>
            <w:tcBorders>
              <w:top w:val="single" w:sz="8" w:space="0" w:color="000000"/>
              <w:left w:val="single" w:sz="8" w:space="0" w:color="000000"/>
              <w:bottom w:val="single" w:sz="4" w:space="0" w:color="000000"/>
              <w:right w:val="single" w:sz="8" w:space="0" w:color="000000"/>
            </w:tcBorders>
          </w:tcPr>
          <w:p w:rsidR="00E8309B" w:rsidRDefault="009D0949">
            <w:pPr>
              <w:spacing w:after="0" w:line="259" w:lineRule="auto"/>
              <w:ind w:left="0" w:right="50" w:firstLine="0"/>
              <w:jc w:val="right"/>
            </w:pPr>
            <w:r>
              <w:rPr>
                <w:sz w:val="20"/>
              </w:rPr>
              <w:t xml:space="preserve">6.591.050,00 </w:t>
            </w:r>
          </w:p>
        </w:tc>
      </w:tr>
      <w:tr w:rsidR="00E8309B">
        <w:trPr>
          <w:trHeight w:val="302"/>
        </w:trPr>
        <w:tc>
          <w:tcPr>
            <w:tcW w:w="1120" w:type="dxa"/>
            <w:tcBorders>
              <w:top w:val="single" w:sz="4" w:space="0" w:color="000000"/>
              <w:left w:val="single" w:sz="8" w:space="0" w:color="000000"/>
              <w:bottom w:val="single" w:sz="8" w:space="0" w:color="000000"/>
              <w:right w:val="single" w:sz="8" w:space="0" w:color="000000"/>
            </w:tcBorders>
          </w:tcPr>
          <w:p w:rsidR="00E8309B" w:rsidRDefault="009D0949">
            <w:pPr>
              <w:spacing w:after="0" w:line="259" w:lineRule="auto"/>
              <w:ind w:left="0" w:right="53" w:firstLine="0"/>
              <w:jc w:val="center"/>
            </w:pPr>
            <w:r>
              <w:rPr>
                <w:sz w:val="20"/>
              </w:rPr>
              <w:t xml:space="preserve">2023 </w:t>
            </w:r>
          </w:p>
        </w:tc>
        <w:tc>
          <w:tcPr>
            <w:tcW w:w="1489" w:type="dxa"/>
            <w:tcBorders>
              <w:top w:val="single" w:sz="4" w:space="0" w:color="000000"/>
              <w:left w:val="single" w:sz="8" w:space="0" w:color="000000"/>
              <w:bottom w:val="single" w:sz="8" w:space="0" w:color="000000"/>
              <w:right w:val="single" w:sz="8" w:space="0" w:color="000000"/>
            </w:tcBorders>
          </w:tcPr>
          <w:p w:rsidR="00E8309B" w:rsidRDefault="009D0949">
            <w:pPr>
              <w:spacing w:after="0" w:line="259" w:lineRule="auto"/>
              <w:ind w:left="0" w:right="54" w:firstLine="0"/>
              <w:jc w:val="right"/>
            </w:pPr>
            <w:r>
              <w:rPr>
                <w:sz w:val="20"/>
              </w:rPr>
              <w:t xml:space="preserve">0 </w:t>
            </w:r>
          </w:p>
        </w:tc>
        <w:tc>
          <w:tcPr>
            <w:tcW w:w="1855" w:type="dxa"/>
            <w:tcBorders>
              <w:top w:val="single" w:sz="4" w:space="0" w:color="000000"/>
              <w:left w:val="single" w:sz="8" w:space="0" w:color="000000"/>
              <w:bottom w:val="single" w:sz="8" w:space="0" w:color="000000"/>
              <w:right w:val="single" w:sz="8" w:space="0" w:color="000000"/>
            </w:tcBorders>
          </w:tcPr>
          <w:p w:rsidR="00E8309B" w:rsidRDefault="009D0949">
            <w:pPr>
              <w:spacing w:after="0" w:line="259" w:lineRule="auto"/>
              <w:ind w:left="0" w:right="51" w:firstLine="0"/>
              <w:jc w:val="right"/>
            </w:pPr>
            <w:r>
              <w:rPr>
                <w:sz w:val="20"/>
              </w:rPr>
              <w:t xml:space="preserve">0 </w:t>
            </w:r>
          </w:p>
        </w:tc>
        <w:tc>
          <w:tcPr>
            <w:tcW w:w="1467" w:type="dxa"/>
            <w:tcBorders>
              <w:top w:val="single" w:sz="4" w:space="0" w:color="000000"/>
              <w:left w:val="single" w:sz="8" w:space="0" w:color="000000"/>
              <w:bottom w:val="single" w:sz="8" w:space="0" w:color="000000"/>
              <w:right w:val="single" w:sz="8" w:space="0" w:color="000000"/>
            </w:tcBorders>
          </w:tcPr>
          <w:p w:rsidR="00E8309B" w:rsidRDefault="009D0949">
            <w:pPr>
              <w:spacing w:after="0" w:line="259" w:lineRule="auto"/>
              <w:ind w:left="0" w:right="51" w:firstLine="0"/>
              <w:jc w:val="right"/>
            </w:pPr>
            <w:r>
              <w:rPr>
                <w:sz w:val="20"/>
              </w:rPr>
              <w:t xml:space="preserve">5.941.050,00 </w:t>
            </w:r>
          </w:p>
        </w:tc>
        <w:tc>
          <w:tcPr>
            <w:tcW w:w="1467" w:type="dxa"/>
            <w:tcBorders>
              <w:top w:val="single" w:sz="4" w:space="0" w:color="000000"/>
              <w:left w:val="single" w:sz="8" w:space="0" w:color="000000"/>
              <w:bottom w:val="single" w:sz="8" w:space="0" w:color="000000"/>
              <w:right w:val="single" w:sz="8" w:space="0" w:color="000000"/>
            </w:tcBorders>
          </w:tcPr>
          <w:p w:rsidR="00E8309B" w:rsidRDefault="009D0949">
            <w:pPr>
              <w:spacing w:after="0" w:line="259" w:lineRule="auto"/>
              <w:ind w:left="0" w:right="52" w:firstLine="0"/>
              <w:jc w:val="right"/>
            </w:pPr>
            <w:r>
              <w:rPr>
                <w:sz w:val="20"/>
              </w:rPr>
              <w:t xml:space="preserve">0 </w:t>
            </w:r>
          </w:p>
        </w:tc>
        <w:tc>
          <w:tcPr>
            <w:tcW w:w="1855" w:type="dxa"/>
            <w:tcBorders>
              <w:top w:val="single" w:sz="4" w:space="0" w:color="000000"/>
              <w:left w:val="single" w:sz="8" w:space="0" w:color="000000"/>
              <w:bottom w:val="single" w:sz="8" w:space="0" w:color="000000"/>
              <w:right w:val="single" w:sz="8" w:space="0" w:color="000000"/>
            </w:tcBorders>
          </w:tcPr>
          <w:p w:rsidR="00E8309B" w:rsidRDefault="009D0949">
            <w:pPr>
              <w:spacing w:after="0" w:line="259" w:lineRule="auto"/>
              <w:ind w:left="0" w:right="50" w:firstLine="0"/>
              <w:jc w:val="right"/>
            </w:pPr>
            <w:r>
              <w:rPr>
                <w:sz w:val="20"/>
              </w:rPr>
              <w:t xml:space="preserve">5.941.050,00 </w:t>
            </w:r>
          </w:p>
        </w:tc>
      </w:tr>
      <w:tr w:rsidR="00E8309B">
        <w:trPr>
          <w:trHeight w:val="470"/>
        </w:trPr>
        <w:tc>
          <w:tcPr>
            <w:tcW w:w="9252" w:type="dxa"/>
            <w:gridSpan w:val="6"/>
            <w:tcBorders>
              <w:top w:val="single" w:sz="8" w:space="0" w:color="000000"/>
              <w:left w:val="single" w:sz="8" w:space="0" w:color="000000"/>
              <w:bottom w:val="single" w:sz="8" w:space="0" w:color="000000"/>
              <w:right w:val="single" w:sz="8" w:space="0" w:color="000000"/>
            </w:tcBorders>
            <w:shd w:val="clear" w:color="auto" w:fill="D0CECE"/>
            <w:vAlign w:val="bottom"/>
          </w:tcPr>
          <w:p w:rsidR="00E8309B" w:rsidRDefault="009D0949">
            <w:pPr>
              <w:spacing w:after="0" w:line="259" w:lineRule="auto"/>
              <w:ind w:left="0" w:right="0" w:firstLine="0"/>
              <w:jc w:val="left"/>
            </w:pPr>
            <w:r>
              <w:rPr>
                <w:b/>
                <w:sz w:val="20"/>
              </w:rPr>
              <w:t xml:space="preserve">16. Повећање доступности е-Управе унапређењем инфраструктуре и увођењем нових технологија </w:t>
            </w:r>
          </w:p>
        </w:tc>
      </w:tr>
      <w:tr w:rsidR="00E8309B">
        <w:trPr>
          <w:trHeight w:val="458"/>
        </w:trPr>
        <w:tc>
          <w:tcPr>
            <w:tcW w:w="1120" w:type="dxa"/>
            <w:tcBorders>
              <w:top w:val="single" w:sz="8" w:space="0" w:color="000000"/>
              <w:left w:val="single" w:sz="8" w:space="0" w:color="000000"/>
              <w:bottom w:val="single" w:sz="8" w:space="0" w:color="000000"/>
              <w:right w:val="single" w:sz="8" w:space="0" w:color="000000"/>
            </w:tcBorders>
            <w:vAlign w:val="bottom"/>
          </w:tcPr>
          <w:p w:rsidR="00E8309B" w:rsidRDefault="009D0949">
            <w:pPr>
              <w:spacing w:after="0" w:line="259" w:lineRule="auto"/>
              <w:ind w:left="0" w:right="56" w:firstLine="0"/>
              <w:jc w:val="center"/>
            </w:pPr>
            <w:r>
              <w:rPr>
                <w:b/>
                <w:sz w:val="20"/>
              </w:rPr>
              <w:t>Година</w:t>
            </w:r>
            <w:r>
              <w:rPr>
                <w:sz w:val="20"/>
              </w:rPr>
              <w:t xml:space="preserve">  </w:t>
            </w:r>
          </w:p>
        </w:tc>
        <w:tc>
          <w:tcPr>
            <w:tcW w:w="1489" w:type="dxa"/>
            <w:tcBorders>
              <w:top w:val="single" w:sz="8" w:space="0" w:color="000000"/>
              <w:left w:val="single" w:sz="8" w:space="0" w:color="000000"/>
              <w:bottom w:val="single" w:sz="8" w:space="0" w:color="000000"/>
              <w:right w:val="single" w:sz="8" w:space="0" w:color="000000"/>
            </w:tcBorders>
            <w:vAlign w:val="bottom"/>
          </w:tcPr>
          <w:p w:rsidR="00E8309B" w:rsidRDefault="009D0949">
            <w:pPr>
              <w:spacing w:after="0" w:line="259" w:lineRule="auto"/>
              <w:ind w:left="0" w:right="52" w:firstLine="0"/>
              <w:jc w:val="center"/>
            </w:pPr>
            <w:r>
              <w:rPr>
                <w:sz w:val="20"/>
              </w:rPr>
              <w:t xml:space="preserve">Плате </w:t>
            </w:r>
          </w:p>
        </w:tc>
        <w:tc>
          <w:tcPr>
            <w:tcW w:w="1855" w:type="dxa"/>
            <w:tcBorders>
              <w:top w:val="single" w:sz="8" w:space="0" w:color="000000"/>
              <w:left w:val="single" w:sz="8" w:space="0" w:color="000000"/>
              <w:bottom w:val="single" w:sz="8" w:space="0" w:color="000000"/>
              <w:right w:val="single" w:sz="8" w:space="0" w:color="000000"/>
            </w:tcBorders>
            <w:vAlign w:val="bottom"/>
          </w:tcPr>
          <w:p w:rsidR="00E8309B" w:rsidRDefault="009D0949">
            <w:pPr>
              <w:spacing w:after="0" w:line="259" w:lineRule="auto"/>
              <w:ind w:left="0" w:right="53" w:firstLine="0"/>
              <w:jc w:val="center"/>
            </w:pPr>
            <w:r>
              <w:rPr>
                <w:sz w:val="20"/>
              </w:rPr>
              <w:t xml:space="preserve">Добра и услуге </w:t>
            </w:r>
          </w:p>
        </w:tc>
        <w:tc>
          <w:tcPr>
            <w:tcW w:w="1467"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0" w:firstLine="0"/>
              <w:jc w:val="center"/>
            </w:pPr>
            <w:r>
              <w:rPr>
                <w:sz w:val="20"/>
              </w:rPr>
              <w:t xml:space="preserve">Субвенције и трансфери </w:t>
            </w:r>
          </w:p>
        </w:tc>
        <w:tc>
          <w:tcPr>
            <w:tcW w:w="1467"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0" w:firstLine="0"/>
              <w:jc w:val="center"/>
            </w:pPr>
            <w:r>
              <w:rPr>
                <w:sz w:val="20"/>
              </w:rPr>
              <w:t xml:space="preserve">Капитални расходи </w:t>
            </w:r>
          </w:p>
        </w:tc>
        <w:tc>
          <w:tcPr>
            <w:tcW w:w="1855" w:type="dxa"/>
            <w:tcBorders>
              <w:top w:val="single" w:sz="8" w:space="0" w:color="000000"/>
              <w:left w:val="single" w:sz="8" w:space="0" w:color="000000"/>
              <w:bottom w:val="single" w:sz="8" w:space="0" w:color="000000"/>
              <w:right w:val="single" w:sz="8" w:space="0" w:color="000000"/>
            </w:tcBorders>
            <w:vAlign w:val="bottom"/>
          </w:tcPr>
          <w:p w:rsidR="00E8309B" w:rsidRDefault="009D0949">
            <w:pPr>
              <w:spacing w:after="0" w:line="259" w:lineRule="auto"/>
              <w:ind w:left="0" w:right="50" w:firstLine="0"/>
              <w:jc w:val="center"/>
            </w:pPr>
            <w:r>
              <w:rPr>
                <w:sz w:val="20"/>
              </w:rPr>
              <w:t xml:space="preserve">Укупно </w:t>
            </w:r>
          </w:p>
        </w:tc>
      </w:tr>
      <w:tr w:rsidR="00E8309B">
        <w:trPr>
          <w:trHeight w:val="308"/>
        </w:trPr>
        <w:tc>
          <w:tcPr>
            <w:tcW w:w="1120"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3" w:firstLine="0"/>
              <w:jc w:val="center"/>
            </w:pPr>
            <w:r>
              <w:rPr>
                <w:sz w:val="20"/>
              </w:rPr>
              <w:t xml:space="preserve">2021 </w:t>
            </w:r>
          </w:p>
        </w:tc>
        <w:tc>
          <w:tcPr>
            <w:tcW w:w="1489"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4" w:firstLine="0"/>
              <w:jc w:val="right"/>
            </w:pPr>
            <w:r>
              <w:rPr>
                <w:sz w:val="20"/>
              </w:rPr>
              <w:t xml:space="preserve">0 </w:t>
            </w:r>
          </w:p>
        </w:tc>
        <w:tc>
          <w:tcPr>
            <w:tcW w:w="1855"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1" w:firstLine="0"/>
              <w:jc w:val="right"/>
            </w:pPr>
            <w:r>
              <w:rPr>
                <w:sz w:val="20"/>
              </w:rPr>
              <w:t xml:space="preserve">0 </w:t>
            </w:r>
          </w:p>
        </w:tc>
        <w:tc>
          <w:tcPr>
            <w:tcW w:w="1467"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1" w:firstLine="0"/>
              <w:jc w:val="right"/>
            </w:pPr>
            <w:r>
              <w:rPr>
                <w:sz w:val="20"/>
              </w:rPr>
              <w:t xml:space="preserve">0 </w:t>
            </w:r>
          </w:p>
        </w:tc>
        <w:tc>
          <w:tcPr>
            <w:tcW w:w="1467"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49" w:firstLine="0"/>
              <w:jc w:val="right"/>
            </w:pPr>
            <w:r>
              <w:rPr>
                <w:sz w:val="20"/>
              </w:rPr>
              <w:t xml:space="preserve">12.041.675,00 </w:t>
            </w:r>
          </w:p>
        </w:tc>
        <w:tc>
          <w:tcPr>
            <w:tcW w:w="1855"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49" w:firstLine="0"/>
              <w:jc w:val="right"/>
            </w:pPr>
            <w:r>
              <w:rPr>
                <w:sz w:val="20"/>
              </w:rPr>
              <w:t xml:space="preserve">12.041.675,00 </w:t>
            </w:r>
          </w:p>
        </w:tc>
      </w:tr>
      <w:tr w:rsidR="00E8309B">
        <w:trPr>
          <w:trHeight w:val="305"/>
        </w:trPr>
        <w:tc>
          <w:tcPr>
            <w:tcW w:w="1120"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3" w:firstLine="0"/>
              <w:jc w:val="center"/>
            </w:pPr>
            <w:r>
              <w:rPr>
                <w:sz w:val="20"/>
              </w:rPr>
              <w:t xml:space="preserve">2022 </w:t>
            </w:r>
          </w:p>
        </w:tc>
        <w:tc>
          <w:tcPr>
            <w:tcW w:w="1489"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4" w:firstLine="0"/>
              <w:jc w:val="right"/>
            </w:pPr>
            <w:r>
              <w:rPr>
                <w:sz w:val="20"/>
              </w:rPr>
              <w:t xml:space="preserve">0 </w:t>
            </w:r>
          </w:p>
        </w:tc>
        <w:tc>
          <w:tcPr>
            <w:tcW w:w="1855"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1" w:firstLine="0"/>
              <w:jc w:val="right"/>
            </w:pPr>
            <w:r>
              <w:rPr>
                <w:sz w:val="20"/>
              </w:rPr>
              <w:t xml:space="preserve">0 </w:t>
            </w:r>
          </w:p>
        </w:tc>
        <w:tc>
          <w:tcPr>
            <w:tcW w:w="1467"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1" w:firstLine="0"/>
              <w:jc w:val="right"/>
            </w:pPr>
            <w:r>
              <w:rPr>
                <w:sz w:val="20"/>
              </w:rPr>
              <w:t xml:space="preserve">0 </w:t>
            </w:r>
          </w:p>
        </w:tc>
        <w:tc>
          <w:tcPr>
            <w:tcW w:w="1467"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49" w:firstLine="0"/>
              <w:jc w:val="right"/>
            </w:pPr>
            <w:r>
              <w:rPr>
                <w:sz w:val="20"/>
              </w:rPr>
              <w:t xml:space="preserve">24.833.341,00 </w:t>
            </w:r>
          </w:p>
        </w:tc>
        <w:tc>
          <w:tcPr>
            <w:tcW w:w="1855"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49" w:firstLine="0"/>
              <w:jc w:val="right"/>
            </w:pPr>
            <w:r>
              <w:rPr>
                <w:sz w:val="20"/>
              </w:rPr>
              <w:t xml:space="preserve">24.833.341,00 </w:t>
            </w:r>
          </w:p>
        </w:tc>
      </w:tr>
      <w:tr w:rsidR="00E8309B">
        <w:trPr>
          <w:trHeight w:val="305"/>
        </w:trPr>
        <w:tc>
          <w:tcPr>
            <w:tcW w:w="1120"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3" w:firstLine="0"/>
              <w:jc w:val="center"/>
            </w:pPr>
            <w:r>
              <w:rPr>
                <w:sz w:val="20"/>
              </w:rPr>
              <w:t xml:space="preserve">2023 </w:t>
            </w:r>
          </w:p>
        </w:tc>
        <w:tc>
          <w:tcPr>
            <w:tcW w:w="1489"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4" w:firstLine="0"/>
              <w:jc w:val="right"/>
            </w:pPr>
            <w:r>
              <w:rPr>
                <w:sz w:val="20"/>
              </w:rPr>
              <w:t xml:space="preserve">0 </w:t>
            </w:r>
          </w:p>
        </w:tc>
        <w:tc>
          <w:tcPr>
            <w:tcW w:w="1855"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1" w:firstLine="0"/>
              <w:jc w:val="right"/>
            </w:pPr>
            <w:r>
              <w:rPr>
                <w:sz w:val="20"/>
              </w:rPr>
              <w:t xml:space="preserve">0 </w:t>
            </w:r>
          </w:p>
        </w:tc>
        <w:tc>
          <w:tcPr>
            <w:tcW w:w="1467"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1" w:firstLine="0"/>
              <w:jc w:val="right"/>
            </w:pPr>
            <w:r>
              <w:rPr>
                <w:sz w:val="20"/>
              </w:rPr>
              <w:t xml:space="preserve">0 </w:t>
            </w:r>
          </w:p>
        </w:tc>
        <w:tc>
          <w:tcPr>
            <w:tcW w:w="1467"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49" w:firstLine="0"/>
              <w:jc w:val="right"/>
            </w:pPr>
            <w:r>
              <w:rPr>
                <w:sz w:val="20"/>
              </w:rPr>
              <w:t xml:space="preserve">18.750.008,00 </w:t>
            </w:r>
          </w:p>
        </w:tc>
        <w:tc>
          <w:tcPr>
            <w:tcW w:w="1855"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49" w:firstLine="0"/>
              <w:jc w:val="right"/>
            </w:pPr>
            <w:r>
              <w:rPr>
                <w:sz w:val="20"/>
              </w:rPr>
              <w:t xml:space="preserve">18.750.008,00 </w:t>
            </w:r>
          </w:p>
        </w:tc>
      </w:tr>
      <w:tr w:rsidR="00E8309B">
        <w:trPr>
          <w:trHeight w:val="301"/>
        </w:trPr>
        <w:tc>
          <w:tcPr>
            <w:tcW w:w="9252" w:type="dxa"/>
            <w:gridSpan w:val="6"/>
            <w:tcBorders>
              <w:top w:val="single" w:sz="8" w:space="0" w:color="000000"/>
              <w:left w:val="single" w:sz="8" w:space="0" w:color="000000"/>
              <w:bottom w:val="single" w:sz="8" w:space="0" w:color="000000"/>
              <w:right w:val="single" w:sz="8" w:space="0" w:color="000000"/>
            </w:tcBorders>
            <w:shd w:val="clear" w:color="auto" w:fill="D0CECE"/>
            <w:vAlign w:val="bottom"/>
          </w:tcPr>
          <w:p w:rsidR="00E8309B" w:rsidRDefault="009D0949">
            <w:pPr>
              <w:spacing w:after="0" w:line="259" w:lineRule="auto"/>
              <w:ind w:left="0" w:right="0" w:firstLine="0"/>
              <w:jc w:val="left"/>
            </w:pPr>
            <w:r>
              <w:rPr>
                <w:b/>
                <w:sz w:val="20"/>
              </w:rPr>
              <w:t xml:space="preserve">17. Развој и унапређење националне информационо-комуникационе инфраструктуре  </w:t>
            </w:r>
          </w:p>
        </w:tc>
      </w:tr>
      <w:tr w:rsidR="00E8309B">
        <w:trPr>
          <w:trHeight w:val="459"/>
        </w:trPr>
        <w:tc>
          <w:tcPr>
            <w:tcW w:w="1120" w:type="dxa"/>
            <w:tcBorders>
              <w:top w:val="single" w:sz="8" w:space="0" w:color="000000"/>
              <w:left w:val="single" w:sz="8" w:space="0" w:color="000000"/>
              <w:bottom w:val="single" w:sz="8" w:space="0" w:color="000000"/>
              <w:right w:val="single" w:sz="8" w:space="0" w:color="000000"/>
            </w:tcBorders>
            <w:vAlign w:val="bottom"/>
          </w:tcPr>
          <w:p w:rsidR="00E8309B" w:rsidRDefault="009D0949">
            <w:pPr>
              <w:spacing w:after="0" w:line="259" w:lineRule="auto"/>
              <w:ind w:left="0" w:right="56" w:firstLine="0"/>
              <w:jc w:val="center"/>
            </w:pPr>
            <w:r>
              <w:rPr>
                <w:b/>
                <w:sz w:val="20"/>
              </w:rPr>
              <w:t>Година</w:t>
            </w:r>
            <w:r>
              <w:rPr>
                <w:sz w:val="20"/>
              </w:rPr>
              <w:t xml:space="preserve">  </w:t>
            </w:r>
          </w:p>
        </w:tc>
        <w:tc>
          <w:tcPr>
            <w:tcW w:w="1489" w:type="dxa"/>
            <w:tcBorders>
              <w:top w:val="single" w:sz="8" w:space="0" w:color="000000"/>
              <w:left w:val="single" w:sz="8" w:space="0" w:color="000000"/>
              <w:bottom w:val="single" w:sz="8" w:space="0" w:color="000000"/>
              <w:right w:val="single" w:sz="8" w:space="0" w:color="000000"/>
            </w:tcBorders>
            <w:vAlign w:val="bottom"/>
          </w:tcPr>
          <w:p w:rsidR="00E8309B" w:rsidRDefault="009D0949">
            <w:pPr>
              <w:spacing w:after="0" w:line="259" w:lineRule="auto"/>
              <w:ind w:left="0" w:right="49" w:firstLine="0"/>
              <w:jc w:val="center"/>
            </w:pPr>
            <w:r>
              <w:rPr>
                <w:sz w:val="20"/>
              </w:rPr>
              <w:t xml:space="preserve">Плате </w:t>
            </w:r>
          </w:p>
        </w:tc>
        <w:tc>
          <w:tcPr>
            <w:tcW w:w="1855" w:type="dxa"/>
            <w:tcBorders>
              <w:top w:val="single" w:sz="8" w:space="0" w:color="000000"/>
              <w:left w:val="single" w:sz="8" w:space="0" w:color="000000"/>
              <w:bottom w:val="single" w:sz="8" w:space="0" w:color="000000"/>
              <w:right w:val="single" w:sz="8" w:space="0" w:color="000000"/>
            </w:tcBorders>
            <w:vAlign w:val="bottom"/>
          </w:tcPr>
          <w:p w:rsidR="00E8309B" w:rsidRDefault="009D0949">
            <w:pPr>
              <w:spacing w:after="0" w:line="259" w:lineRule="auto"/>
              <w:ind w:left="0" w:right="51" w:firstLine="0"/>
              <w:jc w:val="center"/>
            </w:pPr>
            <w:r>
              <w:rPr>
                <w:sz w:val="20"/>
              </w:rPr>
              <w:t xml:space="preserve">Добра и услуге </w:t>
            </w:r>
          </w:p>
        </w:tc>
        <w:tc>
          <w:tcPr>
            <w:tcW w:w="1467"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0" w:firstLine="0"/>
              <w:jc w:val="center"/>
            </w:pPr>
            <w:r>
              <w:rPr>
                <w:sz w:val="20"/>
              </w:rPr>
              <w:t xml:space="preserve">Субвенције и трансфери </w:t>
            </w:r>
          </w:p>
        </w:tc>
        <w:tc>
          <w:tcPr>
            <w:tcW w:w="1467"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0" w:firstLine="0"/>
              <w:jc w:val="center"/>
            </w:pPr>
            <w:r>
              <w:rPr>
                <w:sz w:val="20"/>
              </w:rPr>
              <w:t xml:space="preserve">Капитални расходи </w:t>
            </w:r>
          </w:p>
        </w:tc>
        <w:tc>
          <w:tcPr>
            <w:tcW w:w="1855" w:type="dxa"/>
            <w:tcBorders>
              <w:top w:val="single" w:sz="8" w:space="0" w:color="000000"/>
              <w:left w:val="single" w:sz="8" w:space="0" w:color="000000"/>
              <w:bottom w:val="single" w:sz="8" w:space="0" w:color="000000"/>
              <w:right w:val="single" w:sz="8" w:space="0" w:color="000000"/>
            </w:tcBorders>
            <w:vAlign w:val="bottom"/>
          </w:tcPr>
          <w:p w:rsidR="00E8309B" w:rsidRDefault="009D0949">
            <w:pPr>
              <w:spacing w:after="0" w:line="259" w:lineRule="auto"/>
              <w:ind w:left="0" w:right="50" w:firstLine="0"/>
              <w:jc w:val="center"/>
            </w:pPr>
            <w:r>
              <w:rPr>
                <w:sz w:val="20"/>
              </w:rPr>
              <w:t xml:space="preserve">Укупно </w:t>
            </w:r>
          </w:p>
        </w:tc>
      </w:tr>
      <w:tr w:rsidR="00E8309B">
        <w:trPr>
          <w:trHeight w:val="305"/>
        </w:trPr>
        <w:tc>
          <w:tcPr>
            <w:tcW w:w="1120"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3" w:firstLine="0"/>
              <w:jc w:val="center"/>
            </w:pPr>
            <w:r>
              <w:rPr>
                <w:sz w:val="20"/>
              </w:rPr>
              <w:t xml:space="preserve">2021 </w:t>
            </w:r>
          </w:p>
        </w:tc>
        <w:tc>
          <w:tcPr>
            <w:tcW w:w="1489"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4" w:firstLine="0"/>
              <w:jc w:val="right"/>
            </w:pPr>
            <w:r>
              <w:rPr>
                <w:sz w:val="20"/>
              </w:rPr>
              <w:t xml:space="preserve">0 </w:t>
            </w:r>
          </w:p>
        </w:tc>
        <w:tc>
          <w:tcPr>
            <w:tcW w:w="1855"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1" w:firstLine="0"/>
              <w:jc w:val="right"/>
            </w:pPr>
            <w:r>
              <w:rPr>
                <w:sz w:val="20"/>
              </w:rPr>
              <w:t xml:space="preserve">1.925.000,00 </w:t>
            </w:r>
          </w:p>
        </w:tc>
        <w:tc>
          <w:tcPr>
            <w:tcW w:w="1467"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1" w:firstLine="0"/>
              <w:jc w:val="right"/>
            </w:pPr>
            <w:r>
              <w:rPr>
                <w:sz w:val="20"/>
              </w:rPr>
              <w:t xml:space="preserve">0 </w:t>
            </w:r>
          </w:p>
        </w:tc>
        <w:tc>
          <w:tcPr>
            <w:tcW w:w="1467"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0" w:firstLine="0"/>
              <w:jc w:val="right"/>
            </w:pPr>
            <w:r>
              <w:rPr>
                <w:sz w:val="20"/>
              </w:rPr>
              <w:t xml:space="preserve">31.300.000,00 </w:t>
            </w:r>
          </w:p>
        </w:tc>
        <w:tc>
          <w:tcPr>
            <w:tcW w:w="1855"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3" w:firstLine="0"/>
              <w:jc w:val="right"/>
            </w:pPr>
            <w:r>
              <w:rPr>
                <w:sz w:val="20"/>
              </w:rPr>
              <w:t xml:space="preserve">33.225.000,00 </w:t>
            </w:r>
          </w:p>
        </w:tc>
      </w:tr>
      <w:tr w:rsidR="00E8309B">
        <w:trPr>
          <w:trHeight w:val="305"/>
        </w:trPr>
        <w:tc>
          <w:tcPr>
            <w:tcW w:w="1120"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3" w:firstLine="0"/>
              <w:jc w:val="center"/>
            </w:pPr>
            <w:r>
              <w:rPr>
                <w:sz w:val="20"/>
              </w:rPr>
              <w:t xml:space="preserve">2022 </w:t>
            </w:r>
          </w:p>
        </w:tc>
        <w:tc>
          <w:tcPr>
            <w:tcW w:w="1489"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4" w:firstLine="0"/>
              <w:jc w:val="right"/>
            </w:pPr>
            <w:r>
              <w:rPr>
                <w:sz w:val="20"/>
              </w:rPr>
              <w:t xml:space="preserve">0 </w:t>
            </w:r>
          </w:p>
        </w:tc>
        <w:tc>
          <w:tcPr>
            <w:tcW w:w="1855"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1" w:firstLine="0"/>
              <w:jc w:val="right"/>
            </w:pPr>
            <w:r>
              <w:rPr>
                <w:sz w:val="20"/>
              </w:rPr>
              <w:t xml:space="preserve">1.925.000,00 </w:t>
            </w:r>
          </w:p>
        </w:tc>
        <w:tc>
          <w:tcPr>
            <w:tcW w:w="1467"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1" w:firstLine="0"/>
              <w:jc w:val="right"/>
            </w:pPr>
            <w:r>
              <w:rPr>
                <w:sz w:val="20"/>
              </w:rPr>
              <w:t xml:space="preserve">0 </w:t>
            </w:r>
          </w:p>
        </w:tc>
        <w:tc>
          <w:tcPr>
            <w:tcW w:w="1467"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0" w:firstLine="0"/>
              <w:jc w:val="right"/>
            </w:pPr>
            <w:r>
              <w:rPr>
                <w:sz w:val="20"/>
              </w:rPr>
              <w:t xml:space="preserve">19.100.000,00 </w:t>
            </w:r>
          </w:p>
        </w:tc>
        <w:tc>
          <w:tcPr>
            <w:tcW w:w="1855"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2" w:firstLine="0"/>
              <w:jc w:val="right"/>
            </w:pPr>
            <w:r>
              <w:rPr>
                <w:sz w:val="20"/>
              </w:rPr>
              <w:t xml:space="preserve">21.025.000,00 </w:t>
            </w:r>
          </w:p>
        </w:tc>
      </w:tr>
      <w:tr w:rsidR="00E8309B">
        <w:trPr>
          <w:trHeight w:val="308"/>
        </w:trPr>
        <w:tc>
          <w:tcPr>
            <w:tcW w:w="1120"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3" w:firstLine="0"/>
              <w:jc w:val="center"/>
            </w:pPr>
            <w:r>
              <w:rPr>
                <w:sz w:val="20"/>
              </w:rPr>
              <w:t xml:space="preserve">2023 </w:t>
            </w:r>
          </w:p>
        </w:tc>
        <w:tc>
          <w:tcPr>
            <w:tcW w:w="1489"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4" w:firstLine="0"/>
              <w:jc w:val="right"/>
            </w:pPr>
            <w:r>
              <w:rPr>
                <w:sz w:val="20"/>
              </w:rPr>
              <w:t xml:space="preserve">0 </w:t>
            </w:r>
          </w:p>
        </w:tc>
        <w:tc>
          <w:tcPr>
            <w:tcW w:w="1855"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1" w:firstLine="0"/>
              <w:jc w:val="right"/>
            </w:pPr>
            <w:r>
              <w:rPr>
                <w:sz w:val="20"/>
              </w:rPr>
              <w:t xml:space="preserve">1.925.000,00 </w:t>
            </w:r>
          </w:p>
        </w:tc>
        <w:tc>
          <w:tcPr>
            <w:tcW w:w="1467"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1" w:firstLine="0"/>
              <w:jc w:val="right"/>
            </w:pPr>
            <w:r>
              <w:rPr>
                <w:sz w:val="20"/>
              </w:rPr>
              <w:t xml:space="preserve">0 </w:t>
            </w:r>
          </w:p>
        </w:tc>
        <w:tc>
          <w:tcPr>
            <w:tcW w:w="1467"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1" w:firstLine="0"/>
              <w:jc w:val="right"/>
            </w:pPr>
            <w:r>
              <w:rPr>
                <w:sz w:val="20"/>
              </w:rPr>
              <w:t xml:space="preserve">54.000.000,00 </w:t>
            </w:r>
          </w:p>
        </w:tc>
        <w:tc>
          <w:tcPr>
            <w:tcW w:w="1855"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2" w:firstLine="0"/>
              <w:jc w:val="right"/>
            </w:pPr>
            <w:r>
              <w:rPr>
                <w:sz w:val="20"/>
              </w:rPr>
              <w:t xml:space="preserve">55.925.000,00 </w:t>
            </w:r>
          </w:p>
        </w:tc>
      </w:tr>
      <w:tr w:rsidR="00E8309B">
        <w:trPr>
          <w:trHeight w:val="299"/>
        </w:trPr>
        <w:tc>
          <w:tcPr>
            <w:tcW w:w="9252" w:type="dxa"/>
            <w:gridSpan w:val="6"/>
            <w:tcBorders>
              <w:top w:val="single" w:sz="8" w:space="0" w:color="000000"/>
              <w:left w:val="single" w:sz="8" w:space="0" w:color="000000"/>
              <w:bottom w:val="single" w:sz="8" w:space="0" w:color="000000"/>
              <w:right w:val="single" w:sz="8" w:space="0" w:color="000000"/>
            </w:tcBorders>
            <w:shd w:val="clear" w:color="auto" w:fill="D0CECE"/>
            <w:vAlign w:val="bottom"/>
          </w:tcPr>
          <w:p w:rsidR="00E8309B" w:rsidRDefault="009D0949">
            <w:pPr>
              <w:tabs>
                <w:tab w:val="center" w:pos="5936"/>
                <w:tab w:val="center" w:pos="7401"/>
              </w:tabs>
              <w:spacing w:after="0" w:line="259" w:lineRule="auto"/>
              <w:ind w:left="0" w:right="0" w:firstLine="0"/>
              <w:jc w:val="left"/>
            </w:pPr>
            <w:r>
              <w:rPr>
                <w:b/>
                <w:sz w:val="20"/>
              </w:rPr>
              <w:t xml:space="preserve">18. Унапређење услова и уклањање препрека трговини </w:t>
            </w:r>
            <w:r>
              <w:rPr>
                <w:b/>
                <w:sz w:val="20"/>
              </w:rPr>
              <w:tab/>
              <w:t xml:space="preserve">  </w:t>
            </w:r>
            <w:r>
              <w:rPr>
                <w:b/>
                <w:sz w:val="20"/>
              </w:rPr>
              <w:tab/>
              <w:t xml:space="preserve">  </w:t>
            </w:r>
          </w:p>
        </w:tc>
      </w:tr>
      <w:tr w:rsidR="00E8309B">
        <w:trPr>
          <w:trHeight w:val="461"/>
        </w:trPr>
        <w:tc>
          <w:tcPr>
            <w:tcW w:w="1120" w:type="dxa"/>
            <w:tcBorders>
              <w:top w:val="single" w:sz="8" w:space="0" w:color="000000"/>
              <w:left w:val="single" w:sz="8" w:space="0" w:color="000000"/>
              <w:bottom w:val="single" w:sz="8" w:space="0" w:color="000000"/>
              <w:right w:val="single" w:sz="8" w:space="0" w:color="000000"/>
            </w:tcBorders>
            <w:vAlign w:val="bottom"/>
          </w:tcPr>
          <w:p w:rsidR="00E8309B" w:rsidRDefault="009D0949">
            <w:pPr>
              <w:spacing w:after="0" w:line="259" w:lineRule="auto"/>
              <w:ind w:left="0" w:right="56" w:firstLine="0"/>
              <w:jc w:val="center"/>
            </w:pPr>
            <w:r>
              <w:rPr>
                <w:b/>
                <w:sz w:val="20"/>
              </w:rPr>
              <w:t>Година</w:t>
            </w:r>
            <w:r>
              <w:rPr>
                <w:sz w:val="20"/>
              </w:rPr>
              <w:t xml:space="preserve">  </w:t>
            </w:r>
          </w:p>
        </w:tc>
        <w:tc>
          <w:tcPr>
            <w:tcW w:w="1489" w:type="dxa"/>
            <w:tcBorders>
              <w:top w:val="single" w:sz="8" w:space="0" w:color="000000"/>
              <w:left w:val="single" w:sz="8" w:space="0" w:color="000000"/>
              <w:bottom w:val="single" w:sz="8" w:space="0" w:color="000000"/>
              <w:right w:val="single" w:sz="8" w:space="0" w:color="000000"/>
            </w:tcBorders>
            <w:vAlign w:val="bottom"/>
          </w:tcPr>
          <w:p w:rsidR="00E8309B" w:rsidRDefault="009D0949">
            <w:pPr>
              <w:spacing w:after="0" w:line="259" w:lineRule="auto"/>
              <w:ind w:left="0" w:right="49" w:firstLine="0"/>
              <w:jc w:val="center"/>
            </w:pPr>
            <w:r>
              <w:rPr>
                <w:sz w:val="20"/>
              </w:rPr>
              <w:t xml:space="preserve">Плате </w:t>
            </w:r>
          </w:p>
        </w:tc>
        <w:tc>
          <w:tcPr>
            <w:tcW w:w="1855" w:type="dxa"/>
            <w:tcBorders>
              <w:top w:val="single" w:sz="8" w:space="0" w:color="000000"/>
              <w:left w:val="single" w:sz="8" w:space="0" w:color="000000"/>
              <w:bottom w:val="single" w:sz="8" w:space="0" w:color="000000"/>
              <w:right w:val="single" w:sz="8" w:space="0" w:color="000000"/>
            </w:tcBorders>
            <w:vAlign w:val="bottom"/>
          </w:tcPr>
          <w:p w:rsidR="00E8309B" w:rsidRDefault="009D0949">
            <w:pPr>
              <w:spacing w:after="0" w:line="259" w:lineRule="auto"/>
              <w:ind w:left="0" w:right="51" w:firstLine="0"/>
              <w:jc w:val="center"/>
            </w:pPr>
            <w:r>
              <w:rPr>
                <w:sz w:val="20"/>
              </w:rPr>
              <w:t xml:space="preserve">Добра и услуге </w:t>
            </w:r>
          </w:p>
        </w:tc>
        <w:tc>
          <w:tcPr>
            <w:tcW w:w="1467"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0" w:firstLine="0"/>
              <w:jc w:val="center"/>
            </w:pPr>
            <w:r>
              <w:rPr>
                <w:sz w:val="20"/>
              </w:rPr>
              <w:t xml:space="preserve">Субвенције и трансфери </w:t>
            </w:r>
          </w:p>
        </w:tc>
        <w:tc>
          <w:tcPr>
            <w:tcW w:w="1467"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0" w:firstLine="0"/>
              <w:jc w:val="center"/>
            </w:pPr>
            <w:r>
              <w:rPr>
                <w:sz w:val="20"/>
              </w:rPr>
              <w:t xml:space="preserve">Капитални расходи </w:t>
            </w:r>
          </w:p>
        </w:tc>
        <w:tc>
          <w:tcPr>
            <w:tcW w:w="1855" w:type="dxa"/>
            <w:tcBorders>
              <w:top w:val="single" w:sz="8" w:space="0" w:color="000000"/>
              <w:left w:val="single" w:sz="8" w:space="0" w:color="000000"/>
              <w:bottom w:val="single" w:sz="8" w:space="0" w:color="000000"/>
              <w:right w:val="single" w:sz="8" w:space="0" w:color="000000"/>
            </w:tcBorders>
            <w:vAlign w:val="bottom"/>
          </w:tcPr>
          <w:p w:rsidR="00E8309B" w:rsidRDefault="009D0949">
            <w:pPr>
              <w:spacing w:after="0" w:line="259" w:lineRule="auto"/>
              <w:ind w:left="0" w:right="50" w:firstLine="0"/>
              <w:jc w:val="center"/>
            </w:pPr>
            <w:r>
              <w:rPr>
                <w:sz w:val="20"/>
              </w:rPr>
              <w:t xml:space="preserve">Укупно </w:t>
            </w:r>
          </w:p>
        </w:tc>
      </w:tr>
      <w:tr w:rsidR="00E8309B">
        <w:trPr>
          <w:trHeight w:val="305"/>
        </w:trPr>
        <w:tc>
          <w:tcPr>
            <w:tcW w:w="1120"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3" w:firstLine="0"/>
              <w:jc w:val="center"/>
            </w:pPr>
            <w:r>
              <w:rPr>
                <w:sz w:val="20"/>
              </w:rPr>
              <w:t xml:space="preserve">2021 </w:t>
            </w:r>
          </w:p>
        </w:tc>
        <w:tc>
          <w:tcPr>
            <w:tcW w:w="1489"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3" w:firstLine="0"/>
              <w:jc w:val="right"/>
            </w:pPr>
            <w:r>
              <w:rPr>
                <w:sz w:val="20"/>
              </w:rPr>
              <w:t xml:space="preserve">17.670,00 </w:t>
            </w:r>
          </w:p>
        </w:tc>
        <w:tc>
          <w:tcPr>
            <w:tcW w:w="1855"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1" w:firstLine="0"/>
              <w:jc w:val="right"/>
            </w:pPr>
            <w:r>
              <w:rPr>
                <w:sz w:val="20"/>
              </w:rPr>
              <w:t xml:space="preserve">2.100,00 </w:t>
            </w:r>
          </w:p>
        </w:tc>
        <w:tc>
          <w:tcPr>
            <w:tcW w:w="1467"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1" w:firstLine="0"/>
              <w:jc w:val="right"/>
            </w:pPr>
            <w:r>
              <w:rPr>
                <w:sz w:val="20"/>
              </w:rPr>
              <w:t xml:space="preserve">0 </w:t>
            </w:r>
          </w:p>
        </w:tc>
        <w:tc>
          <w:tcPr>
            <w:tcW w:w="1467"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2" w:firstLine="0"/>
              <w:jc w:val="right"/>
            </w:pPr>
            <w:r>
              <w:rPr>
                <w:sz w:val="20"/>
              </w:rPr>
              <w:t xml:space="preserve">0 </w:t>
            </w:r>
          </w:p>
        </w:tc>
        <w:tc>
          <w:tcPr>
            <w:tcW w:w="1855"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2" w:firstLine="0"/>
              <w:jc w:val="right"/>
            </w:pPr>
            <w:r>
              <w:rPr>
                <w:sz w:val="20"/>
              </w:rPr>
              <w:t xml:space="preserve">19.770,00 </w:t>
            </w:r>
          </w:p>
        </w:tc>
      </w:tr>
      <w:tr w:rsidR="00E8309B">
        <w:trPr>
          <w:trHeight w:val="305"/>
        </w:trPr>
        <w:tc>
          <w:tcPr>
            <w:tcW w:w="1120"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3" w:firstLine="0"/>
              <w:jc w:val="center"/>
            </w:pPr>
            <w:r>
              <w:rPr>
                <w:sz w:val="20"/>
              </w:rPr>
              <w:t xml:space="preserve">2022 </w:t>
            </w:r>
          </w:p>
        </w:tc>
        <w:tc>
          <w:tcPr>
            <w:tcW w:w="1489"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3" w:firstLine="0"/>
              <w:jc w:val="right"/>
            </w:pPr>
            <w:r>
              <w:rPr>
                <w:sz w:val="20"/>
              </w:rPr>
              <w:t xml:space="preserve">17.670,00 </w:t>
            </w:r>
          </w:p>
        </w:tc>
        <w:tc>
          <w:tcPr>
            <w:tcW w:w="1855"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1" w:firstLine="0"/>
              <w:jc w:val="right"/>
            </w:pPr>
            <w:r>
              <w:rPr>
                <w:sz w:val="20"/>
              </w:rPr>
              <w:t xml:space="preserve">2.100,00 </w:t>
            </w:r>
          </w:p>
        </w:tc>
        <w:tc>
          <w:tcPr>
            <w:tcW w:w="1467"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1" w:firstLine="0"/>
              <w:jc w:val="right"/>
            </w:pPr>
            <w:r>
              <w:rPr>
                <w:sz w:val="20"/>
              </w:rPr>
              <w:t xml:space="preserve">0 </w:t>
            </w:r>
          </w:p>
        </w:tc>
        <w:tc>
          <w:tcPr>
            <w:tcW w:w="1467"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2" w:firstLine="0"/>
              <w:jc w:val="right"/>
            </w:pPr>
            <w:r>
              <w:rPr>
                <w:sz w:val="20"/>
              </w:rPr>
              <w:t xml:space="preserve">0 </w:t>
            </w:r>
          </w:p>
        </w:tc>
        <w:tc>
          <w:tcPr>
            <w:tcW w:w="1855"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2" w:firstLine="0"/>
              <w:jc w:val="right"/>
            </w:pPr>
            <w:r>
              <w:rPr>
                <w:sz w:val="20"/>
              </w:rPr>
              <w:t xml:space="preserve">19.770,00 </w:t>
            </w:r>
          </w:p>
        </w:tc>
      </w:tr>
      <w:tr w:rsidR="00E8309B">
        <w:trPr>
          <w:trHeight w:val="307"/>
        </w:trPr>
        <w:tc>
          <w:tcPr>
            <w:tcW w:w="1120"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3" w:firstLine="0"/>
              <w:jc w:val="center"/>
            </w:pPr>
            <w:r>
              <w:rPr>
                <w:sz w:val="20"/>
              </w:rPr>
              <w:t xml:space="preserve">2023 </w:t>
            </w:r>
          </w:p>
        </w:tc>
        <w:tc>
          <w:tcPr>
            <w:tcW w:w="1489"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3" w:firstLine="0"/>
              <w:jc w:val="right"/>
            </w:pPr>
            <w:r>
              <w:rPr>
                <w:sz w:val="20"/>
              </w:rPr>
              <w:t xml:space="preserve">17.670,00 </w:t>
            </w:r>
          </w:p>
        </w:tc>
        <w:tc>
          <w:tcPr>
            <w:tcW w:w="1855"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1" w:firstLine="0"/>
              <w:jc w:val="right"/>
            </w:pPr>
            <w:r>
              <w:rPr>
                <w:sz w:val="20"/>
              </w:rPr>
              <w:t xml:space="preserve">2.100,00 </w:t>
            </w:r>
          </w:p>
        </w:tc>
        <w:tc>
          <w:tcPr>
            <w:tcW w:w="1467"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1" w:firstLine="0"/>
              <w:jc w:val="right"/>
            </w:pPr>
            <w:r>
              <w:rPr>
                <w:sz w:val="20"/>
              </w:rPr>
              <w:t xml:space="preserve">0 </w:t>
            </w:r>
          </w:p>
        </w:tc>
        <w:tc>
          <w:tcPr>
            <w:tcW w:w="1467"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2" w:firstLine="0"/>
              <w:jc w:val="right"/>
            </w:pPr>
            <w:r>
              <w:rPr>
                <w:sz w:val="20"/>
              </w:rPr>
              <w:t xml:space="preserve">0 </w:t>
            </w:r>
          </w:p>
        </w:tc>
        <w:tc>
          <w:tcPr>
            <w:tcW w:w="1855"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2" w:firstLine="0"/>
              <w:jc w:val="right"/>
            </w:pPr>
            <w:r>
              <w:rPr>
                <w:sz w:val="20"/>
              </w:rPr>
              <w:t xml:space="preserve">19.770,00 </w:t>
            </w:r>
          </w:p>
        </w:tc>
      </w:tr>
      <w:tr w:rsidR="00E8309B">
        <w:trPr>
          <w:trHeight w:val="300"/>
        </w:trPr>
        <w:tc>
          <w:tcPr>
            <w:tcW w:w="9252" w:type="dxa"/>
            <w:gridSpan w:val="6"/>
            <w:tcBorders>
              <w:top w:val="single" w:sz="8" w:space="0" w:color="000000"/>
              <w:left w:val="single" w:sz="8" w:space="0" w:color="000000"/>
              <w:bottom w:val="single" w:sz="8" w:space="0" w:color="000000"/>
              <w:right w:val="single" w:sz="8" w:space="0" w:color="000000"/>
            </w:tcBorders>
            <w:shd w:val="clear" w:color="auto" w:fill="D0CECE"/>
            <w:vAlign w:val="bottom"/>
          </w:tcPr>
          <w:p w:rsidR="00E8309B" w:rsidRDefault="009D0949">
            <w:pPr>
              <w:spacing w:after="0" w:line="259" w:lineRule="auto"/>
              <w:ind w:left="0" w:right="0" w:firstLine="0"/>
              <w:jc w:val="left"/>
            </w:pPr>
            <w:r>
              <w:rPr>
                <w:b/>
                <w:sz w:val="20"/>
              </w:rPr>
              <w:t xml:space="preserve">19. Безбедан и квалитетан производ - фактор развоја индустрије </w:t>
            </w:r>
          </w:p>
        </w:tc>
      </w:tr>
      <w:tr w:rsidR="00E8309B">
        <w:trPr>
          <w:trHeight w:val="459"/>
        </w:trPr>
        <w:tc>
          <w:tcPr>
            <w:tcW w:w="1120" w:type="dxa"/>
            <w:tcBorders>
              <w:top w:val="single" w:sz="8" w:space="0" w:color="000000"/>
              <w:left w:val="single" w:sz="8" w:space="0" w:color="000000"/>
              <w:bottom w:val="single" w:sz="8" w:space="0" w:color="000000"/>
              <w:right w:val="single" w:sz="8" w:space="0" w:color="000000"/>
            </w:tcBorders>
            <w:vAlign w:val="bottom"/>
          </w:tcPr>
          <w:p w:rsidR="00E8309B" w:rsidRDefault="009D0949">
            <w:pPr>
              <w:spacing w:after="0" w:line="259" w:lineRule="auto"/>
              <w:ind w:left="0" w:right="56" w:firstLine="0"/>
              <w:jc w:val="center"/>
            </w:pPr>
            <w:r>
              <w:rPr>
                <w:b/>
                <w:sz w:val="20"/>
              </w:rPr>
              <w:t>Година</w:t>
            </w:r>
            <w:r>
              <w:rPr>
                <w:sz w:val="20"/>
              </w:rPr>
              <w:t xml:space="preserve">  </w:t>
            </w:r>
          </w:p>
        </w:tc>
        <w:tc>
          <w:tcPr>
            <w:tcW w:w="1489" w:type="dxa"/>
            <w:tcBorders>
              <w:top w:val="single" w:sz="8" w:space="0" w:color="000000"/>
              <w:left w:val="single" w:sz="8" w:space="0" w:color="000000"/>
              <w:bottom w:val="single" w:sz="8" w:space="0" w:color="000000"/>
              <w:right w:val="single" w:sz="8" w:space="0" w:color="000000"/>
            </w:tcBorders>
            <w:vAlign w:val="bottom"/>
          </w:tcPr>
          <w:p w:rsidR="00E8309B" w:rsidRDefault="009D0949">
            <w:pPr>
              <w:spacing w:after="0" w:line="259" w:lineRule="auto"/>
              <w:ind w:left="0" w:right="49" w:firstLine="0"/>
              <w:jc w:val="center"/>
            </w:pPr>
            <w:r>
              <w:rPr>
                <w:sz w:val="20"/>
              </w:rPr>
              <w:t xml:space="preserve">Плате </w:t>
            </w:r>
          </w:p>
        </w:tc>
        <w:tc>
          <w:tcPr>
            <w:tcW w:w="1855" w:type="dxa"/>
            <w:tcBorders>
              <w:top w:val="single" w:sz="8" w:space="0" w:color="000000"/>
              <w:left w:val="single" w:sz="8" w:space="0" w:color="000000"/>
              <w:bottom w:val="single" w:sz="8" w:space="0" w:color="000000"/>
              <w:right w:val="single" w:sz="8" w:space="0" w:color="000000"/>
            </w:tcBorders>
            <w:vAlign w:val="bottom"/>
          </w:tcPr>
          <w:p w:rsidR="00E8309B" w:rsidRDefault="009D0949">
            <w:pPr>
              <w:spacing w:after="0" w:line="259" w:lineRule="auto"/>
              <w:ind w:left="0" w:right="51" w:firstLine="0"/>
              <w:jc w:val="center"/>
            </w:pPr>
            <w:r>
              <w:rPr>
                <w:sz w:val="20"/>
              </w:rPr>
              <w:t xml:space="preserve">Добра и услуге </w:t>
            </w:r>
          </w:p>
        </w:tc>
        <w:tc>
          <w:tcPr>
            <w:tcW w:w="1467"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0" w:firstLine="0"/>
              <w:jc w:val="center"/>
            </w:pPr>
            <w:r>
              <w:rPr>
                <w:sz w:val="20"/>
              </w:rPr>
              <w:t xml:space="preserve">Субвенције и трансфери </w:t>
            </w:r>
          </w:p>
        </w:tc>
        <w:tc>
          <w:tcPr>
            <w:tcW w:w="1467"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0" w:firstLine="0"/>
              <w:jc w:val="center"/>
            </w:pPr>
            <w:r>
              <w:rPr>
                <w:sz w:val="20"/>
              </w:rPr>
              <w:t xml:space="preserve">Капитални расходи </w:t>
            </w:r>
          </w:p>
        </w:tc>
        <w:tc>
          <w:tcPr>
            <w:tcW w:w="1855" w:type="dxa"/>
            <w:tcBorders>
              <w:top w:val="single" w:sz="8" w:space="0" w:color="000000"/>
              <w:left w:val="single" w:sz="8" w:space="0" w:color="000000"/>
              <w:bottom w:val="single" w:sz="8" w:space="0" w:color="000000"/>
              <w:right w:val="single" w:sz="8" w:space="0" w:color="000000"/>
            </w:tcBorders>
            <w:vAlign w:val="bottom"/>
          </w:tcPr>
          <w:p w:rsidR="00E8309B" w:rsidRDefault="009D0949">
            <w:pPr>
              <w:spacing w:after="0" w:line="259" w:lineRule="auto"/>
              <w:ind w:left="0" w:right="50" w:firstLine="0"/>
              <w:jc w:val="center"/>
            </w:pPr>
            <w:r>
              <w:rPr>
                <w:sz w:val="20"/>
              </w:rPr>
              <w:t xml:space="preserve">Укупно </w:t>
            </w:r>
          </w:p>
        </w:tc>
      </w:tr>
      <w:tr w:rsidR="00E8309B">
        <w:trPr>
          <w:trHeight w:val="307"/>
        </w:trPr>
        <w:tc>
          <w:tcPr>
            <w:tcW w:w="1120"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3" w:firstLine="0"/>
              <w:jc w:val="center"/>
            </w:pPr>
            <w:r>
              <w:rPr>
                <w:sz w:val="20"/>
              </w:rPr>
              <w:t xml:space="preserve">2021 </w:t>
            </w:r>
          </w:p>
        </w:tc>
        <w:tc>
          <w:tcPr>
            <w:tcW w:w="1489"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4" w:firstLine="0"/>
              <w:jc w:val="right"/>
            </w:pPr>
            <w:r>
              <w:rPr>
                <w:sz w:val="20"/>
              </w:rPr>
              <w:t xml:space="preserve">0 </w:t>
            </w:r>
          </w:p>
        </w:tc>
        <w:tc>
          <w:tcPr>
            <w:tcW w:w="1855"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1" w:firstLine="0"/>
              <w:jc w:val="right"/>
            </w:pPr>
            <w:r>
              <w:rPr>
                <w:sz w:val="20"/>
              </w:rPr>
              <w:t xml:space="preserve">140.000,00 </w:t>
            </w:r>
          </w:p>
        </w:tc>
        <w:tc>
          <w:tcPr>
            <w:tcW w:w="1467"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1" w:firstLine="0"/>
              <w:jc w:val="right"/>
            </w:pPr>
            <w:r>
              <w:rPr>
                <w:sz w:val="20"/>
              </w:rPr>
              <w:t xml:space="preserve">0 </w:t>
            </w:r>
          </w:p>
        </w:tc>
        <w:tc>
          <w:tcPr>
            <w:tcW w:w="1467"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2" w:firstLine="0"/>
              <w:jc w:val="right"/>
            </w:pPr>
            <w:r>
              <w:rPr>
                <w:sz w:val="20"/>
              </w:rPr>
              <w:t xml:space="preserve">0 </w:t>
            </w:r>
          </w:p>
        </w:tc>
        <w:tc>
          <w:tcPr>
            <w:tcW w:w="1855"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2" w:firstLine="0"/>
              <w:jc w:val="right"/>
            </w:pPr>
            <w:r>
              <w:rPr>
                <w:sz w:val="20"/>
              </w:rPr>
              <w:t xml:space="preserve">140.000,00 </w:t>
            </w:r>
          </w:p>
        </w:tc>
      </w:tr>
      <w:tr w:rsidR="00E8309B">
        <w:trPr>
          <w:trHeight w:val="305"/>
        </w:trPr>
        <w:tc>
          <w:tcPr>
            <w:tcW w:w="1120"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3" w:firstLine="0"/>
              <w:jc w:val="center"/>
            </w:pPr>
            <w:r>
              <w:rPr>
                <w:sz w:val="20"/>
              </w:rPr>
              <w:t xml:space="preserve">2022 </w:t>
            </w:r>
          </w:p>
        </w:tc>
        <w:tc>
          <w:tcPr>
            <w:tcW w:w="1489"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4" w:firstLine="0"/>
              <w:jc w:val="right"/>
            </w:pPr>
            <w:r>
              <w:rPr>
                <w:sz w:val="20"/>
              </w:rPr>
              <w:t xml:space="preserve">0 </w:t>
            </w:r>
          </w:p>
        </w:tc>
        <w:tc>
          <w:tcPr>
            <w:tcW w:w="1855"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1" w:firstLine="0"/>
              <w:jc w:val="right"/>
            </w:pPr>
            <w:r>
              <w:rPr>
                <w:sz w:val="20"/>
              </w:rPr>
              <w:t xml:space="preserve">180.000,00 </w:t>
            </w:r>
          </w:p>
        </w:tc>
        <w:tc>
          <w:tcPr>
            <w:tcW w:w="1467"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0" w:firstLine="0"/>
              <w:jc w:val="right"/>
            </w:pPr>
            <w:r>
              <w:rPr>
                <w:sz w:val="20"/>
              </w:rPr>
              <w:t xml:space="preserve">500.000,00 </w:t>
            </w:r>
          </w:p>
        </w:tc>
        <w:tc>
          <w:tcPr>
            <w:tcW w:w="1467"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2" w:firstLine="0"/>
              <w:jc w:val="right"/>
            </w:pPr>
            <w:r>
              <w:rPr>
                <w:sz w:val="20"/>
              </w:rPr>
              <w:t xml:space="preserve">0 </w:t>
            </w:r>
          </w:p>
        </w:tc>
        <w:tc>
          <w:tcPr>
            <w:tcW w:w="1855"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2" w:firstLine="0"/>
              <w:jc w:val="right"/>
            </w:pPr>
            <w:r>
              <w:rPr>
                <w:sz w:val="20"/>
              </w:rPr>
              <w:t xml:space="preserve">680.000,00 </w:t>
            </w:r>
          </w:p>
        </w:tc>
      </w:tr>
      <w:tr w:rsidR="00E8309B">
        <w:trPr>
          <w:trHeight w:val="307"/>
        </w:trPr>
        <w:tc>
          <w:tcPr>
            <w:tcW w:w="1120"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3" w:firstLine="0"/>
              <w:jc w:val="center"/>
            </w:pPr>
            <w:r>
              <w:rPr>
                <w:sz w:val="20"/>
              </w:rPr>
              <w:t xml:space="preserve">2023 </w:t>
            </w:r>
          </w:p>
        </w:tc>
        <w:tc>
          <w:tcPr>
            <w:tcW w:w="1489"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4" w:firstLine="0"/>
              <w:jc w:val="right"/>
            </w:pPr>
            <w:r>
              <w:rPr>
                <w:sz w:val="20"/>
              </w:rPr>
              <w:t xml:space="preserve">0 </w:t>
            </w:r>
          </w:p>
        </w:tc>
        <w:tc>
          <w:tcPr>
            <w:tcW w:w="1855"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1" w:firstLine="0"/>
              <w:jc w:val="right"/>
            </w:pPr>
            <w:r>
              <w:rPr>
                <w:sz w:val="20"/>
              </w:rPr>
              <w:t xml:space="preserve">180.000,00 </w:t>
            </w:r>
          </w:p>
        </w:tc>
        <w:tc>
          <w:tcPr>
            <w:tcW w:w="1467"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0" w:firstLine="0"/>
              <w:jc w:val="right"/>
            </w:pPr>
            <w:r>
              <w:rPr>
                <w:sz w:val="20"/>
              </w:rPr>
              <w:t xml:space="preserve">500.000,00 </w:t>
            </w:r>
          </w:p>
        </w:tc>
        <w:tc>
          <w:tcPr>
            <w:tcW w:w="1467"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2" w:firstLine="0"/>
              <w:jc w:val="right"/>
            </w:pPr>
            <w:r>
              <w:rPr>
                <w:sz w:val="20"/>
              </w:rPr>
              <w:t xml:space="preserve">0 </w:t>
            </w:r>
          </w:p>
        </w:tc>
        <w:tc>
          <w:tcPr>
            <w:tcW w:w="1855"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2" w:firstLine="0"/>
              <w:jc w:val="right"/>
            </w:pPr>
            <w:r>
              <w:rPr>
                <w:sz w:val="20"/>
              </w:rPr>
              <w:t xml:space="preserve">680.000,00 </w:t>
            </w:r>
          </w:p>
        </w:tc>
      </w:tr>
      <w:tr w:rsidR="00E8309B">
        <w:trPr>
          <w:trHeight w:val="300"/>
        </w:trPr>
        <w:tc>
          <w:tcPr>
            <w:tcW w:w="9252" w:type="dxa"/>
            <w:gridSpan w:val="6"/>
            <w:tcBorders>
              <w:top w:val="single" w:sz="8" w:space="0" w:color="000000"/>
              <w:left w:val="single" w:sz="8" w:space="0" w:color="000000"/>
              <w:bottom w:val="single" w:sz="8" w:space="0" w:color="000000"/>
              <w:right w:val="single" w:sz="8" w:space="0" w:color="000000"/>
            </w:tcBorders>
            <w:shd w:val="clear" w:color="auto" w:fill="D0CECE"/>
            <w:vAlign w:val="bottom"/>
          </w:tcPr>
          <w:p w:rsidR="00E8309B" w:rsidRDefault="009D0949">
            <w:pPr>
              <w:spacing w:after="0" w:line="259" w:lineRule="auto"/>
              <w:ind w:left="0" w:right="0" w:firstLine="0"/>
              <w:jc w:val="left"/>
            </w:pPr>
            <w:r>
              <w:rPr>
                <w:b/>
                <w:sz w:val="20"/>
              </w:rPr>
              <w:t xml:space="preserve">20. Квалификације оријентисане према потребама тржишта рада </w:t>
            </w:r>
          </w:p>
        </w:tc>
      </w:tr>
      <w:tr w:rsidR="00E8309B">
        <w:trPr>
          <w:trHeight w:val="458"/>
        </w:trPr>
        <w:tc>
          <w:tcPr>
            <w:tcW w:w="1120" w:type="dxa"/>
            <w:tcBorders>
              <w:top w:val="single" w:sz="8" w:space="0" w:color="000000"/>
              <w:left w:val="single" w:sz="8" w:space="0" w:color="000000"/>
              <w:bottom w:val="single" w:sz="8" w:space="0" w:color="000000"/>
              <w:right w:val="single" w:sz="8" w:space="0" w:color="000000"/>
            </w:tcBorders>
            <w:vAlign w:val="bottom"/>
          </w:tcPr>
          <w:p w:rsidR="00E8309B" w:rsidRDefault="009D0949">
            <w:pPr>
              <w:spacing w:after="0" w:line="259" w:lineRule="auto"/>
              <w:ind w:left="0" w:right="56" w:firstLine="0"/>
              <w:jc w:val="center"/>
            </w:pPr>
            <w:r>
              <w:rPr>
                <w:b/>
                <w:sz w:val="20"/>
              </w:rPr>
              <w:t>Година</w:t>
            </w:r>
            <w:r>
              <w:rPr>
                <w:sz w:val="20"/>
              </w:rPr>
              <w:t xml:space="preserve">  </w:t>
            </w:r>
          </w:p>
        </w:tc>
        <w:tc>
          <w:tcPr>
            <w:tcW w:w="1489" w:type="dxa"/>
            <w:tcBorders>
              <w:top w:val="single" w:sz="8" w:space="0" w:color="000000"/>
              <w:left w:val="single" w:sz="8" w:space="0" w:color="000000"/>
              <w:bottom w:val="single" w:sz="8" w:space="0" w:color="000000"/>
              <w:right w:val="single" w:sz="8" w:space="0" w:color="000000"/>
            </w:tcBorders>
            <w:vAlign w:val="bottom"/>
          </w:tcPr>
          <w:p w:rsidR="00E8309B" w:rsidRDefault="009D0949">
            <w:pPr>
              <w:spacing w:after="0" w:line="259" w:lineRule="auto"/>
              <w:ind w:left="0" w:right="49" w:firstLine="0"/>
              <w:jc w:val="center"/>
            </w:pPr>
            <w:r>
              <w:rPr>
                <w:sz w:val="20"/>
              </w:rPr>
              <w:t xml:space="preserve">Плате </w:t>
            </w:r>
          </w:p>
        </w:tc>
        <w:tc>
          <w:tcPr>
            <w:tcW w:w="1855" w:type="dxa"/>
            <w:tcBorders>
              <w:top w:val="single" w:sz="8" w:space="0" w:color="000000"/>
              <w:left w:val="single" w:sz="8" w:space="0" w:color="000000"/>
              <w:bottom w:val="single" w:sz="8" w:space="0" w:color="000000"/>
              <w:right w:val="single" w:sz="8" w:space="0" w:color="000000"/>
            </w:tcBorders>
            <w:vAlign w:val="bottom"/>
          </w:tcPr>
          <w:p w:rsidR="00E8309B" w:rsidRDefault="009D0949">
            <w:pPr>
              <w:spacing w:after="0" w:line="259" w:lineRule="auto"/>
              <w:ind w:left="0" w:right="51" w:firstLine="0"/>
              <w:jc w:val="center"/>
            </w:pPr>
            <w:r>
              <w:rPr>
                <w:sz w:val="20"/>
              </w:rPr>
              <w:t xml:space="preserve">Добра и услуге </w:t>
            </w:r>
          </w:p>
        </w:tc>
        <w:tc>
          <w:tcPr>
            <w:tcW w:w="1467"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0" w:firstLine="0"/>
              <w:jc w:val="center"/>
            </w:pPr>
            <w:r>
              <w:rPr>
                <w:sz w:val="20"/>
              </w:rPr>
              <w:t xml:space="preserve">Субвенције и трансфери </w:t>
            </w:r>
          </w:p>
        </w:tc>
        <w:tc>
          <w:tcPr>
            <w:tcW w:w="1467"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0" w:firstLine="0"/>
              <w:jc w:val="center"/>
            </w:pPr>
            <w:r>
              <w:rPr>
                <w:sz w:val="20"/>
              </w:rPr>
              <w:t xml:space="preserve">Капитални расходи </w:t>
            </w:r>
          </w:p>
        </w:tc>
        <w:tc>
          <w:tcPr>
            <w:tcW w:w="1855" w:type="dxa"/>
            <w:tcBorders>
              <w:top w:val="single" w:sz="8" w:space="0" w:color="000000"/>
              <w:left w:val="single" w:sz="8" w:space="0" w:color="000000"/>
              <w:bottom w:val="single" w:sz="8" w:space="0" w:color="000000"/>
              <w:right w:val="single" w:sz="8" w:space="0" w:color="000000"/>
            </w:tcBorders>
            <w:vAlign w:val="bottom"/>
          </w:tcPr>
          <w:p w:rsidR="00E8309B" w:rsidRDefault="009D0949">
            <w:pPr>
              <w:spacing w:after="0" w:line="259" w:lineRule="auto"/>
              <w:ind w:left="0" w:right="50" w:firstLine="0"/>
              <w:jc w:val="center"/>
            </w:pPr>
            <w:r>
              <w:rPr>
                <w:sz w:val="20"/>
              </w:rPr>
              <w:t xml:space="preserve">Укупно </w:t>
            </w:r>
          </w:p>
        </w:tc>
      </w:tr>
      <w:tr w:rsidR="00E8309B">
        <w:trPr>
          <w:trHeight w:val="305"/>
        </w:trPr>
        <w:tc>
          <w:tcPr>
            <w:tcW w:w="1120"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3" w:firstLine="0"/>
              <w:jc w:val="center"/>
            </w:pPr>
            <w:r>
              <w:rPr>
                <w:sz w:val="20"/>
              </w:rPr>
              <w:t xml:space="preserve">2021 </w:t>
            </w:r>
          </w:p>
        </w:tc>
        <w:tc>
          <w:tcPr>
            <w:tcW w:w="1489"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4" w:firstLine="0"/>
              <w:jc w:val="right"/>
            </w:pPr>
            <w:r>
              <w:rPr>
                <w:sz w:val="20"/>
              </w:rPr>
              <w:t xml:space="preserve">0 </w:t>
            </w:r>
          </w:p>
        </w:tc>
        <w:tc>
          <w:tcPr>
            <w:tcW w:w="1855"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2" w:firstLine="0"/>
              <w:jc w:val="right"/>
            </w:pPr>
            <w:r>
              <w:rPr>
                <w:sz w:val="20"/>
              </w:rPr>
              <w:t xml:space="preserve">1.814.125,00 </w:t>
            </w:r>
          </w:p>
        </w:tc>
        <w:tc>
          <w:tcPr>
            <w:tcW w:w="1467"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1" w:firstLine="0"/>
              <w:jc w:val="right"/>
            </w:pPr>
            <w:r>
              <w:rPr>
                <w:sz w:val="20"/>
              </w:rPr>
              <w:t xml:space="preserve">0 </w:t>
            </w:r>
          </w:p>
        </w:tc>
        <w:tc>
          <w:tcPr>
            <w:tcW w:w="1467"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1" w:firstLine="0"/>
              <w:jc w:val="right"/>
            </w:pPr>
            <w:r>
              <w:rPr>
                <w:sz w:val="20"/>
              </w:rPr>
              <w:t xml:space="preserve">5.950.761,00 </w:t>
            </w:r>
          </w:p>
        </w:tc>
        <w:tc>
          <w:tcPr>
            <w:tcW w:w="1855"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3" w:firstLine="0"/>
              <w:jc w:val="right"/>
            </w:pPr>
            <w:r>
              <w:rPr>
                <w:sz w:val="20"/>
              </w:rPr>
              <w:t xml:space="preserve">7.764.886.00 </w:t>
            </w:r>
          </w:p>
        </w:tc>
      </w:tr>
      <w:tr w:rsidR="00E8309B">
        <w:trPr>
          <w:trHeight w:val="305"/>
        </w:trPr>
        <w:tc>
          <w:tcPr>
            <w:tcW w:w="1120"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3" w:firstLine="0"/>
              <w:jc w:val="center"/>
            </w:pPr>
            <w:r>
              <w:rPr>
                <w:sz w:val="20"/>
              </w:rPr>
              <w:t xml:space="preserve">2022 </w:t>
            </w:r>
          </w:p>
        </w:tc>
        <w:tc>
          <w:tcPr>
            <w:tcW w:w="1489"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4" w:firstLine="0"/>
              <w:jc w:val="right"/>
            </w:pPr>
            <w:r>
              <w:rPr>
                <w:sz w:val="20"/>
              </w:rPr>
              <w:t xml:space="preserve">0 </w:t>
            </w:r>
          </w:p>
        </w:tc>
        <w:tc>
          <w:tcPr>
            <w:tcW w:w="1855"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2" w:firstLine="0"/>
              <w:jc w:val="right"/>
            </w:pPr>
            <w:r>
              <w:rPr>
                <w:sz w:val="20"/>
              </w:rPr>
              <w:t xml:space="preserve">1.190.525,00 </w:t>
            </w:r>
          </w:p>
        </w:tc>
        <w:tc>
          <w:tcPr>
            <w:tcW w:w="1467"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1" w:firstLine="0"/>
              <w:jc w:val="right"/>
            </w:pPr>
            <w:r>
              <w:rPr>
                <w:sz w:val="20"/>
              </w:rPr>
              <w:t xml:space="preserve">0 </w:t>
            </w:r>
          </w:p>
        </w:tc>
        <w:tc>
          <w:tcPr>
            <w:tcW w:w="1467"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0" w:firstLine="0"/>
              <w:jc w:val="right"/>
            </w:pPr>
            <w:r>
              <w:rPr>
                <w:sz w:val="20"/>
              </w:rPr>
              <w:t xml:space="preserve">14.125.000,00 </w:t>
            </w:r>
          </w:p>
        </w:tc>
        <w:tc>
          <w:tcPr>
            <w:tcW w:w="1855"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3" w:firstLine="0"/>
              <w:jc w:val="right"/>
            </w:pPr>
            <w:r>
              <w:rPr>
                <w:sz w:val="20"/>
              </w:rPr>
              <w:t xml:space="preserve">15.315.525,00 </w:t>
            </w:r>
          </w:p>
        </w:tc>
      </w:tr>
      <w:tr w:rsidR="00E8309B">
        <w:trPr>
          <w:trHeight w:val="308"/>
        </w:trPr>
        <w:tc>
          <w:tcPr>
            <w:tcW w:w="1120"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3" w:firstLine="0"/>
              <w:jc w:val="center"/>
            </w:pPr>
            <w:r>
              <w:rPr>
                <w:sz w:val="20"/>
              </w:rPr>
              <w:t xml:space="preserve">2023 </w:t>
            </w:r>
          </w:p>
        </w:tc>
        <w:tc>
          <w:tcPr>
            <w:tcW w:w="1489"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4" w:firstLine="0"/>
              <w:jc w:val="right"/>
            </w:pPr>
            <w:r>
              <w:rPr>
                <w:sz w:val="20"/>
              </w:rPr>
              <w:t xml:space="preserve">0 </w:t>
            </w:r>
          </w:p>
        </w:tc>
        <w:tc>
          <w:tcPr>
            <w:tcW w:w="1855"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2" w:firstLine="0"/>
              <w:jc w:val="right"/>
            </w:pPr>
            <w:r>
              <w:rPr>
                <w:sz w:val="20"/>
              </w:rPr>
              <w:t xml:space="preserve">1.190.525,00 </w:t>
            </w:r>
          </w:p>
        </w:tc>
        <w:tc>
          <w:tcPr>
            <w:tcW w:w="1467"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1" w:firstLine="0"/>
              <w:jc w:val="right"/>
            </w:pPr>
            <w:r>
              <w:rPr>
                <w:sz w:val="20"/>
              </w:rPr>
              <w:t xml:space="preserve">0 </w:t>
            </w:r>
          </w:p>
        </w:tc>
        <w:tc>
          <w:tcPr>
            <w:tcW w:w="1467"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1" w:firstLine="0"/>
              <w:jc w:val="right"/>
            </w:pPr>
            <w:r>
              <w:rPr>
                <w:sz w:val="20"/>
              </w:rPr>
              <w:t xml:space="preserve">2.860.000,00 </w:t>
            </w:r>
          </w:p>
        </w:tc>
        <w:tc>
          <w:tcPr>
            <w:tcW w:w="1855"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3" w:firstLine="0"/>
              <w:jc w:val="right"/>
            </w:pPr>
            <w:r>
              <w:rPr>
                <w:sz w:val="20"/>
              </w:rPr>
              <w:t xml:space="preserve">4.050.525,00 </w:t>
            </w:r>
          </w:p>
        </w:tc>
      </w:tr>
      <w:tr w:rsidR="00E8309B">
        <w:trPr>
          <w:trHeight w:val="453"/>
        </w:trPr>
        <w:tc>
          <w:tcPr>
            <w:tcW w:w="9252" w:type="dxa"/>
            <w:gridSpan w:val="6"/>
            <w:tcBorders>
              <w:top w:val="single" w:sz="8" w:space="0" w:color="000000"/>
              <w:left w:val="single" w:sz="8" w:space="0" w:color="000000"/>
              <w:bottom w:val="single" w:sz="8" w:space="0" w:color="000000"/>
              <w:right w:val="single" w:sz="8" w:space="0" w:color="000000"/>
            </w:tcBorders>
            <w:shd w:val="clear" w:color="auto" w:fill="D0CECE"/>
          </w:tcPr>
          <w:p w:rsidR="00E8309B" w:rsidRDefault="009D0949">
            <w:pPr>
              <w:spacing w:after="0" w:line="259" w:lineRule="auto"/>
              <w:ind w:left="0" w:right="0" w:firstLine="0"/>
              <w:jc w:val="left"/>
            </w:pPr>
            <w:r>
              <w:rPr>
                <w:b/>
                <w:sz w:val="20"/>
              </w:rPr>
              <w:t xml:space="preserve">21. Дигитализација система образовања и увођење јединственог информационог система образовања  </w:t>
            </w:r>
          </w:p>
        </w:tc>
      </w:tr>
      <w:tr w:rsidR="00E8309B">
        <w:trPr>
          <w:trHeight w:val="458"/>
        </w:trPr>
        <w:tc>
          <w:tcPr>
            <w:tcW w:w="1120" w:type="dxa"/>
            <w:tcBorders>
              <w:top w:val="single" w:sz="8" w:space="0" w:color="000000"/>
              <w:left w:val="single" w:sz="8" w:space="0" w:color="000000"/>
              <w:bottom w:val="single" w:sz="8" w:space="0" w:color="000000"/>
              <w:right w:val="single" w:sz="8" w:space="0" w:color="000000"/>
            </w:tcBorders>
            <w:vAlign w:val="bottom"/>
          </w:tcPr>
          <w:p w:rsidR="00E8309B" w:rsidRDefault="009D0949">
            <w:pPr>
              <w:spacing w:after="0" w:line="259" w:lineRule="auto"/>
              <w:ind w:left="0" w:right="56" w:firstLine="0"/>
              <w:jc w:val="center"/>
            </w:pPr>
            <w:r>
              <w:rPr>
                <w:b/>
                <w:sz w:val="20"/>
              </w:rPr>
              <w:t>Година</w:t>
            </w:r>
            <w:r>
              <w:rPr>
                <w:sz w:val="20"/>
              </w:rPr>
              <w:t xml:space="preserve">  </w:t>
            </w:r>
          </w:p>
        </w:tc>
        <w:tc>
          <w:tcPr>
            <w:tcW w:w="1489" w:type="dxa"/>
            <w:tcBorders>
              <w:top w:val="single" w:sz="8" w:space="0" w:color="000000"/>
              <w:left w:val="single" w:sz="8" w:space="0" w:color="000000"/>
              <w:bottom w:val="single" w:sz="8" w:space="0" w:color="000000"/>
              <w:right w:val="single" w:sz="8" w:space="0" w:color="000000"/>
            </w:tcBorders>
            <w:vAlign w:val="bottom"/>
          </w:tcPr>
          <w:p w:rsidR="00E8309B" w:rsidRDefault="009D0949">
            <w:pPr>
              <w:spacing w:after="0" w:line="259" w:lineRule="auto"/>
              <w:ind w:left="0" w:right="49" w:firstLine="0"/>
              <w:jc w:val="center"/>
            </w:pPr>
            <w:r>
              <w:rPr>
                <w:sz w:val="20"/>
              </w:rPr>
              <w:t xml:space="preserve">Плате </w:t>
            </w:r>
          </w:p>
        </w:tc>
        <w:tc>
          <w:tcPr>
            <w:tcW w:w="1855" w:type="dxa"/>
            <w:tcBorders>
              <w:top w:val="single" w:sz="8" w:space="0" w:color="000000"/>
              <w:left w:val="single" w:sz="8" w:space="0" w:color="000000"/>
              <w:bottom w:val="single" w:sz="8" w:space="0" w:color="000000"/>
              <w:right w:val="single" w:sz="8" w:space="0" w:color="000000"/>
            </w:tcBorders>
            <w:vAlign w:val="bottom"/>
          </w:tcPr>
          <w:p w:rsidR="00E8309B" w:rsidRDefault="009D0949">
            <w:pPr>
              <w:spacing w:after="0" w:line="259" w:lineRule="auto"/>
              <w:ind w:left="0" w:right="51" w:firstLine="0"/>
              <w:jc w:val="center"/>
            </w:pPr>
            <w:r>
              <w:rPr>
                <w:sz w:val="20"/>
              </w:rPr>
              <w:t xml:space="preserve">Добра и услуге </w:t>
            </w:r>
          </w:p>
        </w:tc>
        <w:tc>
          <w:tcPr>
            <w:tcW w:w="1467"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0" w:firstLine="0"/>
              <w:jc w:val="center"/>
            </w:pPr>
            <w:r>
              <w:rPr>
                <w:sz w:val="20"/>
              </w:rPr>
              <w:t xml:space="preserve">Субвенције и трансфери </w:t>
            </w:r>
          </w:p>
        </w:tc>
        <w:tc>
          <w:tcPr>
            <w:tcW w:w="1467"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0" w:firstLine="0"/>
              <w:jc w:val="center"/>
            </w:pPr>
            <w:r>
              <w:rPr>
                <w:sz w:val="20"/>
              </w:rPr>
              <w:t xml:space="preserve">Капитални расходи </w:t>
            </w:r>
          </w:p>
        </w:tc>
        <w:tc>
          <w:tcPr>
            <w:tcW w:w="1855" w:type="dxa"/>
            <w:tcBorders>
              <w:top w:val="single" w:sz="8" w:space="0" w:color="000000"/>
              <w:left w:val="single" w:sz="8" w:space="0" w:color="000000"/>
              <w:bottom w:val="single" w:sz="8" w:space="0" w:color="000000"/>
              <w:right w:val="single" w:sz="8" w:space="0" w:color="000000"/>
            </w:tcBorders>
            <w:vAlign w:val="bottom"/>
          </w:tcPr>
          <w:p w:rsidR="00E8309B" w:rsidRDefault="009D0949">
            <w:pPr>
              <w:spacing w:after="0" w:line="259" w:lineRule="auto"/>
              <w:ind w:left="0" w:right="50" w:firstLine="0"/>
              <w:jc w:val="center"/>
            </w:pPr>
            <w:r>
              <w:rPr>
                <w:sz w:val="20"/>
              </w:rPr>
              <w:t xml:space="preserve">Укупно </w:t>
            </w:r>
          </w:p>
        </w:tc>
      </w:tr>
      <w:tr w:rsidR="00E8309B">
        <w:trPr>
          <w:trHeight w:val="305"/>
        </w:trPr>
        <w:tc>
          <w:tcPr>
            <w:tcW w:w="1120"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3" w:firstLine="0"/>
              <w:jc w:val="center"/>
            </w:pPr>
            <w:r>
              <w:rPr>
                <w:sz w:val="20"/>
              </w:rPr>
              <w:t xml:space="preserve">2021 </w:t>
            </w:r>
          </w:p>
        </w:tc>
        <w:tc>
          <w:tcPr>
            <w:tcW w:w="1489"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2" w:firstLine="0"/>
              <w:jc w:val="right"/>
            </w:pPr>
            <w:r>
              <w:rPr>
                <w:sz w:val="20"/>
              </w:rPr>
              <w:t xml:space="preserve">373.333,00 </w:t>
            </w:r>
          </w:p>
        </w:tc>
        <w:tc>
          <w:tcPr>
            <w:tcW w:w="1855"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2" w:firstLine="0"/>
              <w:jc w:val="right"/>
            </w:pPr>
            <w:r>
              <w:rPr>
                <w:sz w:val="20"/>
              </w:rPr>
              <w:t xml:space="preserve">40.010.000,00 </w:t>
            </w:r>
          </w:p>
        </w:tc>
        <w:tc>
          <w:tcPr>
            <w:tcW w:w="1467"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1" w:firstLine="0"/>
              <w:jc w:val="right"/>
            </w:pPr>
            <w:r>
              <w:rPr>
                <w:sz w:val="20"/>
              </w:rPr>
              <w:t xml:space="preserve">0 </w:t>
            </w:r>
          </w:p>
        </w:tc>
        <w:tc>
          <w:tcPr>
            <w:tcW w:w="1467"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2" w:firstLine="0"/>
              <w:jc w:val="right"/>
            </w:pPr>
            <w:r>
              <w:rPr>
                <w:sz w:val="20"/>
              </w:rPr>
              <w:t xml:space="preserve">0 </w:t>
            </w:r>
          </w:p>
        </w:tc>
        <w:tc>
          <w:tcPr>
            <w:tcW w:w="1855"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3" w:firstLine="0"/>
              <w:jc w:val="right"/>
            </w:pPr>
            <w:r>
              <w:rPr>
                <w:sz w:val="20"/>
              </w:rPr>
              <w:t xml:space="preserve">40.383.333,00 </w:t>
            </w:r>
          </w:p>
        </w:tc>
      </w:tr>
      <w:tr w:rsidR="00E8309B">
        <w:trPr>
          <w:trHeight w:val="305"/>
        </w:trPr>
        <w:tc>
          <w:tcPr>
            <w:tcW w:w="1120"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3" w:firstLine="0"/>
              <w:jc w:val="center"/>
            </w:pPr>
            <w:r>
              <w:rPr>
                <w:sz w:val="20"/>
              </w:rPr>
              <w:t xml:space="preserve">2022 </w:t>
            </w:r>
          </w:p>
        </w:tc>
        <w:tc>
          <w:tcPr>
            <w:tcW w:w="1489"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3" w:firstLine="0"/>
              <w:jc w:val="right"/>
            </w:pPr>
            <w:r>
              <w:rPr>
                <w:sz w:val="20"/>
              </w:rPr>
              <w:t xml:space="preserve">373.333,00 </w:t>
            </w:r>
          </w:p>
        </w:tc>
        <w:tc>
          <w:tcPr>
            <w:tcW w:w="1855"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2" w:firstLine="0"/>
              <w:jc w:val="right"/>
            </w:pPr>
            <w:r>
              <w:rPr>
                <w:sz w:val="20"/>
              </w:rPr>
              <w:t xml:space="preserve">5.000.000,00 </w:t>
            </w:r>
          </w:p>
        </w:tc>
        <w:tc>
          <w:tcPr>
            <w:tcW w:w="1467"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1" w:firstLine="0"/>
              <w:jc w:val="right"/>
            </w:pPr>
            <w:r>
              <w:rPr>
                <w:sz w:val="20"/>
              </w:rPr>
              <w:t xml:space="preserve">0 </w:t>
            </w:r>
          </w:p>
        </w:tc>
        <w:tc>
          <w:tcPr>
            <w:tcW w:w="1467"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2" w:firstLine="0"/>
              <w:jc w:val="right"/>
            </w:pPr>
            <w:r>
              <w:rPr>
                <w:sz w:val="20"/>
              </w:rPr>
              <w:t xml:space="preserve">0 </w:t>
            </w:r>
          </w:p>
        </w:tc>
        <w:tc>
          <w:tcPr>
            <w:tcW w:w="1855"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3" w:firstLine="0"/>
              <w:jc w:val="right"/>
            </w:pPr>
            <w:r>
              <w:rPr>
                <w:sz w:val="20"/>
              </w:rPr>
              <w:t xml:space="preserve">5.373.333,00 </w:t>
            </w:r>
          </w:p>
        </w:tc>
      </w:tr>
      <w:tr w:rsidR="00E8309B">
        <w:trPr>
          <w:trHeight w:val="308"/>
        </w:trPr>
        <w:tc>
          <w:tcPr>
            <w:tcW w:w="1120"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3" w:firstLine="0"/>
              <w:jc w:val="center"/>
            </w:pPr>
            <w:r>
              <w:rPr>
                <w:sz w:val="20"/>
              </w:rPr>
              <w:t xml:space="preserve">2023 </w:t>
            </w:r>
          </w:p>
        </w:tc>
        <w:tc>
          <w:tcPr>
            <w:tcW w:w="1489"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3" w:firstLine="0"/>
              <w:jc w:val="right"/>
            </w:pPr>
            <w:r>
              <w:rPr>
                <w:sz w:val="20"/>
              </w:rPr>
              <w:t xml:space="preserve">373.333,00 </w:t>
            </w:r>
          </w:p>
        </w:tc>
        <w:tc>
          <w:tcPr>
            <w:tcW w:w="1855"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2" w:firstLine="0"/>
              <w:jc w:val="right"/>
            </w:pPr>
            <w:r>
              <w:rPr>
                <w:sz w:val="20"/>
              </w:rPr>
              <w:t xml:space="preserve">5.000.000,00 </w:t>
            </w:r>
          </w:p>
        </w:tc>
        <w:tc>
          <w:tcPr>
            <w:tcW w:w="1467"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1" w:firstLine="0"/>
              <w:jc w:val="right"/>
            </w:pPr>
            <w:r>
              <w:rPr>
                <w:sz w:val="20"/>
              </w:rPr>
              <w:t xml:space="preserve">0 </w:t>
            </w:r>
          </w:p>
        </w:tc>
        <w:tc>
          <w:tcPr>
            <w:tcW w:w="1467"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2" w:firstLine="0"/>
              <w:jc w:val="right"/>
            </w:pPr>
            <w:r>
              <w:rPr>
                <w:sz w:val="20"/>
              </w:rPr>
              <w:t xml:space="preserve">0 </w:t>
            </w:r>
          </w:p>
        </w:tc>
        <w:tc>
          <w:tcPr>
            <w:tcW w:w="1855"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3" w:firstLine="0"/>
              <w:jc w:val="right"/>
            </w:pPr>
            <w:r>
              <w:rPr>
                <w:sz w:val="20"/>
              </w:rPr>
              <w:t xml:space="preserve">5.373.333,00 </w:t>
            </w:r>
          </w:p>
        </w:tc>
      </w:tr>
      <w:tr w:rsidR="00E8309B">
        <w:trPr>
          <w:trHeight w:val="452"/>
        </w:trPr>
        <w:tc>
          <w:tcPr>
            <w:tcW w:w="9252" w:type="dxa"/>
            <w:gridSpan w:val="6"/>
            <w:tcBorders>
              <w:top w:val="single" w:sz="8" w:space="0" w:color="000000"/>
              <w:left w:val="single" w:sz="8" w:space="0" w:color="000000"/>
              <w:bottom w:val="single" w:sz="8" w:space="0" w:color="000000"/>
              <w:right w:val="single" w:sz="8" w:space="0" w:color="000000"/>
            </w:tcBorders>
            <w:shd w:val="clear" w:color="auto" w:fill="D0CECE"/>
          </w:tcPr>
          <w:p w:rsidR="00E8309B" w:rsidRDefault="009D0949">
            <w:pPr>
              <w:spacing w:after="0" w:line="259" w:lineRule="auto"/>
              <w:ind w:left="0" w:right="0" w:firstLine="0"/>
              <w:jc w:val="left"/>
            </w:pPr>
            <w:r>
              <w:rPr>
                <w:b/>
                <w:sz w:val="20"/>
              </w:rPr>
              <w:t xml:space="preserve">22. Унапређење амбијента за подстицање, подршку и праћење циркуларних и економских миграција  </w:t>
            </w:r>
          </w:p>
        </w:tc>
      </w:tr>
      <w:tr w:rsidR="00E8309B">
        <w:trPr>
          <w:trHeight w:val="458"/>
        </w:trPr>
        <w:tc>
          <w:tcPr>
            <w:tcW w:w="1120" w:type="dxa"/>
            <w:tcBorders>
              <w:top w:val="single" w:sz="8" w:space="0" w:color="000000"/>
              <w:left w:val="single" w:sz="8" w:space="0" w:color="000000"/>
              <w:bottom w:val="single" w:sz="8" w:space="0" w:color="000000"/>
              <w:right w:val="single" w:sz="8" w:space="0" w:color="000000"/>
            </w:tcBorders>
            <w:vAlign w:val="bottom"/>
          </w:tcPr>
          <w:p w:rsidR="00E8309B" w:rsidRDefault="009D0949">
            <w:pPr>
              <w:spacing w:after="0" w:line="259" w:lineRule="auto"/>
              <w:ind w:left="0" w:right="56" w:firstLine="0"/>
              <w:jc w:val="center"/>
            </w:pPr>
            <w:r>
              <w:rPr>
                <w:b/>
                <w:sz w:val="20"/>
              </w:rPr>
              <w:t>Година</w:t>
            </w:r>
            <w:r>
              <w:rPr>
                <w:sz w:val="20"/>
              </w:rPr>
              <w:t xml:space="preserve">  </w:t>
            </w:r>
          </w:p>
        </w:tc>
        <w:tc>
          <w:tcPr>
            <w:tcW w:w="1489" w:type="dxa"/>
            <w:tcBorders>
              <w:top w:val="single" w:sz="8" w:space="0" w:color="000000"/>
              <w:left w:val="single" w:sz="8" w:space="0" w:color="000000"/>
              <w:bottom w:val="single" w:sz="8" w:space="0" w:color="000000"/>
              <w:right w:val="single" w:sz="8" w:space="0" w:color="000000"/>
            </w:tcBorders>
            <w:vAlign w:val="bottom"/>
          </w:tcPr>
          <w:p w:rsidR="00E8309B" w:rsidRDefault="009D0949">
            <w:pPr>
              <w:spacing w:after="0" w:line="259" w:lineRule="auto"/>
              <w:ind w:left="0" w:right="49" w:firstLine="0"/>
              <w:jc w:val="center"/>
            </w:pPr>
            <w:r>
              <w:rPr>
                <w:sz w:val="20"/>
              </w:rPr>
              <w:t xml:space="preserve">Плате </w:t>
            </w:r>
          </w:p>
        </w:tc>
        <w:tc>
          <w:tcPr>
            <w:tcW w:w="1855" w:type="dxa"/>
            <w:tcBorders>
              <w:top w:val="single" w:sz="8" w:space="0" w:color="000000"/>
              <w:left w:val="single" w:sz="8" w:space="0" w:color="000000"/>
              <w:bottom w:val="single" w:sz="8" w:space="0" w:color="000000"/>
              <w:right w:val="single" w:sz="8" w:space="0" w:color="000000"/>
            </w:tcBorders>
            <w:vAlign w:val="bottom"/>
          </w:tcPr>
          <w:p w:rsidR="00E8309B" w:rsidRDefault="009D0949">
            <w:pPr>
              <w:spacing w:after="0" w:line="259" w:lineRule="auto"/>
              <w:ind w:left="0" w:right="50" w:firstLine="0"/>
              <w:jc w:val="center"/>
            </w:pPr>
            <w:r>
              <w:rPr>
                <w:sz w:val="20"/>
              </w:rPr>
              <w:t xml:space="preserve">Добра и услуге </w:t>
            </w:r>
          </w:p>
        </w:tc>
        <w:tc>
          <w:tcPr>
            <w:tcW w:w="1467"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0" w:firstLine="0"/>
              <w:jc w:val="center"/>
            </w:pPr>
            <w:r>
              <w:rPr>
                <w:sz w:val="20"/>
              </w:rPr>
              <w:t xml:space="preserve">Субвенције и трансфери </w:t>
            </w:r>
          </w:p>
        </w:tc>
        <w:tc>
          <w:tcPr>
            <w:tcW w:w="1467"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0" w:firstLine="0"/>
              <w:jc w:val="center"/>
            </w:pPr>
            <w:r>
              <w:rPr>
                <w:sz w:val="20"/>
              </w:rPr>
              <w:t xml:space="preserve">Капитални расходи </w:t>
            </w:r>
          </w:p>
        </w:tc>
        <w:tc>
          <w:tcPr>
            <w:tcW w:w="1855" w:type="dxa"/>
            <w:tcBorders>
              <w:top w:val="single" w:sz="8" w:space="0" w:color="000000"/>
              <w:left w:val="single" w:sz="8" w:space="0" w:color="000000"/>
              <w:bottom w:val="single" w:sz="8" w:space="0" w:color="000000"/>
              <w:right w:val="single" w:sz="8" w:space="0" w:color="000000"/>
            </w:tcBorders>
            <w:vAlign w:val="bottom"/>
          </w:tcPr>
          <w:p w:rsidR="00E8309B" w:rsidRDefault="009D0949">
            <w:pPr>
              <w:spacing w:after="0" w:line="259" w:lineRule="auto"/>
              <w:ind w:left="0" w:right="50" w:firstLine="0"/>
              <w:jc w:val="center"/>
            </w:pPr>
            <w:r>
              <w:rPr>
                <w:sz w:val="20"/>
              </w:rPr>
              <w:t xml:space="preserve">Укупно </w:t>
            </w:r>
          </w:p>
        </w:tc>
      </w:tr>
      <w:tr w:rsidR="00E8309B">
        <w:trPr>
          <w:trHeight w:val="305"/>
        </w:trPr>
        <w:tc>
          <w:tcPr>
            <w:tcW w:w="1120"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3" w:firstLine="0"/>
              <w:jc w:val="center"/>
            </w:pPr>
            <w:r>
              <w:rPr>
                <w:sz w:val="20"/>
              </w:rPr>
              <w:t xml:space="preserve">2021 </w:t>
            </w:r>
          </w:p>
        </w:tc>
        <w:tc>
          <w:tcPr>
            <w:tcW w:w="1489"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3" w:firstLine="0"/>
              <w:jc w:val="right"/>
            </w:pPr>
            <w:r>
              <w:rPr>
                <w:sz w:val="20"/>
              </w:rPr>
              <w:t xml:space="preserve">71.480,00 </w:t>
            </w:r>
          </w:p>
        </w:tc>
        <w:tc>
          <w:tcPr>
            <w:tcW w:w="1855"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0" w:firstLine="0"/>
              <w:jc w:val="right"/>
            </w:pPr>
            <w:r>
              <w:rPr>
                <w:sz w:val="20"/>
              </w:rPr>
              <w:t xml:space="preserve">173.500,00 </w:t>
            </w:r>
          </w:p>
        </w:tc>
        <w:tc>
          <w:tcPr>
            <w:tcW w:w="1467"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1" w:firstLine="0"/>
              <w:jc w:val="right"/>
            </w:pPr>
            <w:r>
              <w:rPr>
                <w:sz w:val="20"/>
              </w:rPr>
              <w:t xml:space="preserve">0 </w:t>
            </w:r>
          </w:p>
        </w:tc>
        <w:tc>
          <w:tcPr>
            <w:tcW w:w="1467"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2" w:firstLine="0"/>
              <w:jc w:val="right"/>
            </w:pPr>
            <w:r>
              <w:rPr>
                <w:sz w:val="20"/>
              </w:rPr>
              <w:t xml:space="preserve">0 </w:t>
            </w:r>
          </w:p>
        </w:tc>
        <w:tc>
          <w:tcPr>
            <w:tcW w:w="1855"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1" w:firstLine="0"/>
              <w:jc w:val="right"/>
            </w:pPr>
            <w:r>
              <w:rPr>
                <w:sz w:val="20"/>
              </w:rPr>
              <w:t xml:space="preserve">244.980,00 </w:t>
            </w:r>
          </w:p>
        </w:tc>
      </w:tr>
      <w:tr w:rsidR="00E8309B">
        <w:trPr>
          <w:trHeight w:val="305"/>
        </w:trPr>
        <w:tc>
          <w:tcPr>
            <w:tcW w:w="1120"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3" w:firstLine="0"/>
              <w:jc w:val="center"/>
            </w:pPr>
            <w:r>
              <w:rPr>
                <w:sz w:val="20"/>
              </w:rPr>
              <w:t xml:space="preserve">2022 </w:t>
            </w:r>
          </w:p>
        </w:tc>
        <w:tc>
          <w:tcPr>
            <w:tcW w:w="1489"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3" w:firstLine="0"/>
              <w:jc w:val="right"/>
            </w:pPr>
            <w:r>
              <w:rPr>
                <w:sz w:val="20"/>
              </w:rPr>
              <w:t xml:space="preserve">42.960,00 </w:t>
            </w:r>
          </w:p>
        </w:tc>
        <w:tc>
          <w:tcPr>
            <w:tcW w:w="1855"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1" w:firstLine="0"/>
              <w:jc w:val="right"/>
            </w:pPr>
            <w:r>
              <w:rPr>
                <w:sz w:val="20"/>
              </w:rPr>
              <w:t xml:space="preserve">69.000,00 </w:t>
            </w:r>
          </w:p>
        </w:tc>
        <w:tc>
          <w:tcPr>
            <w:tcW w:w="1467"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1" w:firstLine="0"/>
              <w:jc w:val="right"/>
            </w:pPr>
            <w:r>
              <w:rPr>
                <w:sz w:val="20"/>
              </w:rPr>
              <w:t xml:space="preserve">0 </w:t>
            </w:r>
          </w:p>
        </w:tc>
        <w:tc>
          <w:tcPr>
            <w:tcW w:w="1467"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2" w:firstLine="0"/>
              <w:jc w:val="right"/>
            </w:pPr>
            <w:r>
              <w:rPr>
                <w:sz w:val="20"/>
              </w:rPr>
              <w:t xml:space="preserve">0 </w:t>
            </w:r>
          </w:p>
        </w:tc>
        <w:tc>
          <w:tcPr>
            <w:tcW w:w="1855"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2" w:firstLine="0"/>
              <w:jc w:val="right"/>
            </w:pPr>
            <w:r>
              <w:rPr>
                <w:sz w:val="20"/>
              </w:rPr>
              <w:t xml:space="preserve">111.960,00 </w:t>
            </w:r>
          </w:p>
        </w:tc>
      </w:tr>
      <w:tr w:rsidR="00E8309B">
        <w:trPr>
          <w:trHeight w:val="310"/>
        </w:trPr>
        <w:tc>
          <w:tcPr>
            <w:tcW w:w="1120"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3" w:firstLine="0"/>
              <w:jc w:val="center"/>
            </w:pPr>
            <w:r>
              <w:rPr>
                <w:sz w:val="20"/>
              </w:rPr>
              <w:t xml:space="preserve">2023 </w:t>
            </w:r>
          </w:p>
        </w:tc>
        <w:tc>
          <w:tcPr>
            <w:tcW w:w="1489"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3" w:firstLine="0"/>
              <w:jc w:val="right"/>
            </w:pPr>
            <w:r>
              <w:rPr>
                <w:sz w:val="20"/>
              </w:rPr>
              <w:t xml:space="preserve">42.960,00 </w:t>
            </w:r>
          </w:p>
        </w:tc>
        <w:tc>
          <w:tcPr>
            <w:tcW w:w="1855"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1" w:firstLine="0"/>
              <w:jc w:val="right"/>
            </w:pPr>
            <w:r>
              <w:rPr>
                <w:sz w:val="20"/>
              </w:rPr>
              <w:t xml:space="preserve">56.000,00 </w:t>
            </w:r>
          </w:p>
        </w:tc>
        <w:tc>
          <w:tcPr>
            <w:tcW w:w="1467"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1" w:firstLine="0"/>
              <w:jc w:val="right"/>
            </w:pPr>
            <w:r>
              <w:rPr>
                <w:sz w:val="20"/>
              </w:rPr>
              <w:t xml:space="preserve">0 </w:t>
            </w:r>
          </w:p>
        </w:tc>
        <w:tc>
          <w:tcPr>
            <w:tcW w:w="1467"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2" w:firstLine="0"/>
              <w:jc w:val="right"/>
            </w:pPr>
            <w:r>
              <w:rPr>
                <w:sz w:val="20"/>
              </w:rPr>
              <w:t xml:space="preserve">0 </w:t>
            </w:r>
          </w:p>
        </w:tc>
        <w:tc>
          <w:tcPr>
            <w:tcW w:w="1855"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2" w:firstLine="0"/>
              <w:jc w:val="right"/>
            </w:pPr>
            <w:r>
              <w:rPr>
                <w:sz w:val="20"/>
              </w:rPr>
              <w:t xml:space="preserve">98.960,00 </w:t>
            </w:r>
          </w:p>
        </w:tc>
      </w:tr>
      <w:tr w:rsidR="00E8309B">
        <w:trPr>
          <w:trHeight w:val="300"/>
        </w:trPr>
        <w:tc>
          <w:tcPr>
            <w:tcW w:w="9252" w:type="dxa"/>
            <w:gridSpan w:val="6"/>
            <w:tcBorders>
              <w:top w:val="single" w:sz="8" w:space="0" w:color="000000"/>
              <w:left w:val="single" w:sz="8" w:space="0" w:color="000000"/>
              <w:bottom w:val="single" w:sz="8" w:space="0" w:color="000000"/>
              <w:right w:val="single" w:sz="8" w:space="0" w:color="000000"/>
            </w:tcBorders>
            <w:shd w:val="clear" w:color="auto" w:fill="D0CECE"/>
            <w:vAlign w:val="bottom"/>
          </w:tcPr>
          <w:p w:rsidR="00E8309B" w:rsidRDefault="009D0949">
            <w:pPr>
              <w:spacing w:after="0" w:line="259" w:lineRule="auto"/>
              <w:ind w:left="0" w:right="0" w:firstLine="0"/>
              <w:jc w:val="left"/>
            </w:pPr>
            <w:r>
              <w:rPr>
                <w:b/>
                <w:sz w:val="20"/>
              </w:rPr>
              <w:t xml:space="preserve">23. Унапређење адекватности, квалитета и таргетираности мера социјалне заштите </w:t>
            </w:r>
          </w:p>
        </w:tc>
      </w:tr>
      <w:tr w:rsidR="00E8309B">
        <w:trPr>
          <w:trHeight w:val="458"/>
        </w:trPr>
        <w:tc>
          <w:tcPr>
            <w:tcW w:w="1120" w:type="dxa"/>
            <w:tcBorders>
              <w:top w:val="single" w:sz="8" w:space="0" w:color="000000"/>
              <w:left w:val="single" w:sz="8" w:space="0" w:color="000000"/>
              <w:bottom w:val="single" w:sz="8" w:space="0" w:color="000000"/>
              <w:right w:val="single" w:sz="8" w:space="0" w:color="000000"/>
            </w:tcBorders>
            <w:vAlign w:val="bottom"/>
          </w:tcPr>
          <w:p w:rsidR="00E8309B" w:rsidRDefault="009D0949">
            <w:pPr>
              <w:spacing w:after="0" w:line="259" w:lineRule="auto"/>
              <w:ind w:left="0" w:right="56" w:firstLine="0"/>
              <w:jc w:val="center"/>
            </w:pPr>
            <w:r>
              <w:rPr>
                <w:b/>
                <w:sz w:val="20"/>
              </w:rPr>
              <w:t>Година</w:t>
            </w:r>
            <w:r>
              <w:rPr>
                <w:sz w:val="20"/>
              </w:rPr>
              <w:t xml:space="preserve">  </w:t>
            </w:r>
          </w:p>
        </w:tc>
        <w:tc>
          <w:tcPr>
            <w:tcW w:w="1489" w:type="dxa"/>
            <w:tcBorders>
              <w:top w:val="single" w:sz="8" w:space="0" w:color="000000"/>
              <w:left w:val="single" w:sz="8" w:space="0" w:color="000000"/>
              <w:bottom w:val="single" w:sz="8" w:space="0" w:color="000000"/>
              <w:right w:val="single" w:sz="8" w:space="0" w:color="000000"/>
            </w:tcBorders>
            <w:vAlign w:val="bottom"/>
          </w:tcPr>
          <w:p w:rsidR="00E8309B" w:rsidRDefault="009D0949">
            <w:pPr>
              <w:spacing w:after="0" w:line="259" w:lineRule="auto"/>
              <w:ind w:left="0" w:right="49" w:firstLine="0"/>
              <w:jc w:val="center"/>
            </w:pPr>
            <w:r>
              <w:rPr>
                <w:sz w:val="20"/>
              </w:rPr>
              <w:t xml:space="preserve">Плате </w:t>
            </w:r>
          </w:p>
        </w:tc>
        <w:tc>
          <w:tcPr>
            <w:tcW w:w="1855" w:type="dxa"/>
            <w:tcBorders>
              <w:top w:val="single" w:sz="8" w:space="0" w:color="000000"/>
              <w:left w:val="single" w:sz="8" w:space="0" w:color="000000"/>
              <w:bottom w:val="single" w:sz="8" w:space="0" w:color="000000"/>
              <w:right w:val="single" w:sz="8" w:space="0" w:color="000000"/>
            </w:tcBorders>
            <w:vAlign w:val="bottom"/>
          </w:tcPr>
          <w:p w:rsidR="00E8309B" w:rsidRDefault="009D0949">
            <w:pPr>
              <w:spacing w:after="0" w:line="259" w:lineRule="auto"/>
              <w:ind w:left="0" w:right="51" w:firstLine="0"/>
              <w:jc w:val="center"/>
            </w:pPr>
            <w:r>
              <w:rPr>
                <w:sz w:val="20"/>
              </w:rPr>
              <w:t xml:space="preserve">Добра и услуге </w:t>
            </w:r>
          </w:p>
        </w:tc>
        <w:tc>
          <w:tcPr>
            <w:tcW w:w="1467"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0" w:firstLine="0"/>
              <w:jc w:val="center"/>
            </w:pPr>
            <w:r>
              <w:rPr>
                <w:sz w:val="20"/>
              </w:rPr>
              <w:t xml:space="preserve">Субвенције и трансфери </w:t>
            </w:r>
          </w:p>
        </w:tc>
        <w:tc>
          <w:tcPr>
            <w:tcW w:w="1467"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0" w:firstLine="0"/>
              <w:jc w:val="center"/>
            </w:pPr>
            <w:r>
              <w:rPr>
                <w:sz w:val="20"/>
              </w:rPr>
              <w:t xml:space="preserve">Капитални расходи </w:t>
            </w:r>
          </w:p>
        </w:tc>
        <w:tc>
          <w:tcPr>
            <w:tcW w:w="1855" w:type="dxa"/>
            <w:tcBorders>
              <w:top w:val="single" w:sz="8" w:space="0" w:color="000000"/>
              <w:left w:val="single" w:sz="8" w:space="0" w:color="000000"/>
              <w:bottom w:val="single" w:sz="8" w:space="0" w:color="000000"/>
              <w:right w:val="single" w:sz="8" w:space="0" w:color="000000"/>
            </w:tcBorders>
            <w:vAlign w:val="bottom"/>
          </w:tcPr>
          <w:p w:rsidR="00E8309B" w:rsidRDefault="009D0949">
            <w:pPr>
              <w:spacing w:after="0" w:line="259" w:lineRule="auto"/>
              <w:ind w:left="0" w:right="50" w:firstLine="0"/>
              <w:jc w:val="center"/>
            </w:pPr>
            <w:r>
              <w:rPr>
                <w:sz w:val="20"/>
              </w:rPr>
              <w:t xml:space="preserve">Укупно </w:t>
            </w:r>
          </w:p>
        </w:tc>
      </w:tr>
      <w:tr w:rsidR="00E8309B">
        <w:trPr>
          <w:trHeight w:val="300"/>
        </w:trPr>
        <w:tc>
          <w:tcPr>
            <w:tcW w:w="1120" w:type="dxa"/>
            <w:tcBorders>
              <w:top w:val="single" w:sz="8" w:space="0" w:color="000000"/>
              <w:left w:val="single" w:sz="8" w:space="0" w:color="000000"/>
              <w:bottom w:val="single" w:sz="4" w:space="0" w:color="000000"/>
              <w:right w:val="single" w:sz="8" w:space="0" w:color="000000"/>
            </w:tcBorders>
          </w:tcPr>
          <w:p w:rsidR="00E8309B" w:rsidRDefault="009D0949">
            <w:pPr>
              <w:spacing w:after="0" w:line="259" w:lineRule="auto"/>
              <w:ind w:left="0" w:right="53" w:firstLine="0"/>
              <w:jc w:val="center"/>
            </w:pPr>
            <w:r>
              <w:rPr>
                <w:sz w:val="20"/>
              </w:rPr>
              <w:t xml:space="preserve">2021 </w:t>
            </w:r>
          </w:p>
        </w:tc>
        <w:tc>
          <w:tcPr>
            <w:tcW w:w="1489" w:type="dxa"/>
            <w:tcBorders>
              <w:top w:val="single" w:sz="8" w:space="0" w:color="000000"/>
              <w:left w:val="single" w:sz="8" w:space="0" w:color="000000"/>
              <w:bottom w:val="single" w:sz="4" w:space="0" w:color="000000"/>
              <w:right w:val="single" w:sz="8" w:space="0" w:color="000000"/>
            </w:tcBorders>
          </w:tcPr>
          <w:p w:rsidR="00E8309B" w:rsidRDefault="009D0949">
            <w:pPr>
              <w:spacing w:after="0" w:line="259" w:lineRule="auto"/>
              <w:ind w:left="0" w:right="54" w:firstLine="0"/>
              <w:jc w:val="right"/>
            </w:pPr>
            <w:r>
              <w:rPr>
                <w:sz w:val="20"/>
              </w:rPr>
              <w:t xml:space="preserve">0 </w:t>
            </w:r>
          </w:p>
        </w:tc>
        <w:tc>
          <w:tcPr>
            <w:tcW w:w="1855" w:type="dxa"/>
            <w:tcBorders>
              <w:top w:val="single" w:sz="8" w:space="0" w:color="000000"/>
              <w:left w:val="single" w:sz="8" w:space="0" w:color="000000"/>
              <w:bottom w:val="single" w:sz="4" w:space="0" w:color="000000"/>
              <w:right w:val="single" w:sz="8" w:space="0" w:color="000000"/>
            </w:tcBorders>
          </w:tcPr>
          <w:p w:rsidR="00E8309B" w:rsidRDefault="009D0949">
            <w:pPr>
              <w:spacing w:after="0" w:line="259" w:lineRule="auto"/>
              <w:ind w:left="0" w:right="52" w:firstLine="0"/>
              <w:jc w:val="right"/>
            </w:pPr>
            <w:r>
              <w:rPr>
                <w:sz w:val="20"/>
              </w:rPr>
              <w:t xml:space="preserve">0 </w:t>
            </w:r>
          </w:p>
        </w:tc>
        <w:tc>
          <w:tcPr>
            <w:tcW w:w="1467" w:type="dxa"/>
            <w:tcBorders>
              <w:top w:val="single" w:sz="8" w:space="0" w:color="000000"/>
              <w:left w:val="single" w:sz="8" w:space="0" w:color="000000"/>
              <w:bottom w:val="single" w:sz="4" w:space="0" w:color="000000"/>
              <w:right w:val="single" w:sz="8" w:space="0" w:color="000000"/>
            </w:tcBorders>
          </w:tcPr>
          <w:p w:rsidR="00E8309B" w:rsidRDefault="009D0949">
            <w:pPr>
              <w:spacing w:after="0" w:line="259" w:lineRule="auto"/>
              <w:ind w:left="0" w:right="51" w:firstLine="0"/>
              <w:jc w:val="right"/>
            </w:pPr>
            <w:r>
              <w:rPr>
                <w:sz w:val="20"/>
              </w:rPr>
              <w:t xml:space="preserve">0 </w:t>
            </w:r>
          </w:p>
        </w:tc>
        <w:tc>
          <w:tcPr>
            <w:tcW w:w="1467" w:type="dxa"/>
            <w:tcBorders>
              <w:top w:val="single" w:sz="8" w:space="0" w:color="000000"/>
              <w:left w:val="single" w:sz="8" w:space="0" w:color="000000"/>
              <w:bottom w:val="single" w:sz="4" w:space="0" w:color="000000"/>
              <w:right w:val="single" w:sz="8" w:space="0" w:color="000000"/>
            </w:tcBorders>
          </w:tcPr>
          <w:p w:rsidR="00E8309B" w:rsidRDefault="009D0949">
            <w:pPr>
              <w:spacing w:after="0" w:line="259" w:lineRule="auto"/>
              <w:ind w:left="0" w:right="51" w:firstLine="0"/>
              <w:jc w:val="right"/>
            </w:pPr>
            <w:r>
              <w:rPr>
                <w:sz w:val="20"/>
              </w:rPr>
              <w:t xml:space="preserve">3.328.567,00 </w:t>
            </w:r>
          </w:p>
        </w:tc>
        <w:tc>
          <w:tcPr>
            <w:tcW w:w="1855" w:type="dxa"/>
            <w:tcBorders>
              <w:top w:val="single" w:sz="8" w:space="0" w:color="000000"/>
              <w:left w:val="single" w:sz="8" w:space="0" w:color="000000"/>
              <w:bottom w:val="single" w:sz="4" w:space="0" w:color="000000"/>
              <w:right w:val="single" w:sz="8" w:space="0" w:color="000000"/>
            </w:tcBorders>
          </w:tcPr>
          <w:p w:rsidR="00E8309B" w:rsidRDefault="009D0949">
            <w:pPr>
              <w:spacing w:after="0" w:line="259" w:lineRule="auto"/>
              <w:ind w:left="0" w:right="53" w:firstLine="0"/>
              <w:jc w:val="right"/>
            </w:pPr>
            <w:r>
              <w:rPr>
                <w:sz w:val="20"/>
              </w:rPr>
              <w:t xml:space="preserve">3.328.567,00 </w:t>
            </w:r>
          </w:p>
        </w:tc>
      </w:tr>
      <w:tr w:rsidR="00E8309B">
        <w:trPr>
          <w:trHeight w:val="300"/>
        </w:trPr>
        <w:tc>
          <w:tcPr>
            <w:tcW w:w="1120" w:type="dxa"/>
            <w:tcBorders>
              <w:top w:val="single" w:sz="4" w:space="0" w:color="000000"/>
              <w:left w:val="single" w:sz="8" w:space="0" w:color="000000"/>
              <w:bottom w:val="single" w:sz="8" w:space="0" w:color="000000"/>
              <w:right w:val="single" w:sz="8" w:space="0" w:color="000000"/>
            </w:tcBorders>
          </w:tcPr>
          <w:p w:rsidR="00E8309B" w:rsidRDefault="009D0949">
            <w:pPr>
              <w:spacing w:after="0" w:line="259" w:lineRule="auto"/>
              <w:ind w:left="0" w:right="53" w:firstLine="0"/>
              <w:jc w:val="center"/>
            </w:pPr>
            <w:r>
              <w:rPr>
                <w:sz w:val="20"/>
              </w:rPr>
              <w:t xml:space="preserve">2022 </w:t>
            </w:r>
          </w:p>
        </w:tc>
        <w:tc>
          <w:tcPr>
            <w:tcW w:w="1489" w:type="dxa"/>
            <w:tcBorders>
              <w:top w:val="single" w:sz="4" w:space="0" w:color="000000"/>
              <w:left w:val="single" w:sz="8" w:space="0" w:color="000000"/>
              <w:bottom w:val="single" w:sz="8" w:space="0" w:color="000000"/>
              <w:right w:val="single" w:sz="8" w:space="0" w:color="000000"/>
            </w:tcBorders>
          </w:tcPr>
          <w:p w:rsidR="00E8309B" w:rsidRDefault="009D0949">
            <w:pPr>
              <w:spacing w:after="0" w:line="259" w:lineRule="auto"/>
              <w:ind w:left="0" w:right="54" w:firstLine="0"/>
              <w:jc w:val="right"/>
            </w:pPr>
            <w:r>
              <w:rPr>
                <w:sz w:val="20"/>
              </w:rPr>
              <w:t xml:space="preserve">0 </w:t>
            </w:r>
          </w:p>
        </w:tc>
        <w:tc>
          <w:tcPr>
            <w:tcW w:w="1855" w:type="dxa"/>
            <w:tcBorders>
              <w:top w:val="single" w:sz="4" w:space="0" w:color="000000"/>
              <w:left w:val="single" w:sz="8" w:space="0" w:color="000000"/>
              <w:bottom w:val="single" w:sz="8" w:space="0" w:color="000000"/>
              <w:right w:val="single" w:sz="8" w:space="0" w:color="000000"/>
            </w:tcBorders>
          </w:tcPr>
          <w:p w:rsidR="00E8309B" w:rsidRDefault="009D0949">
            <w:pPr>
              <w:spacing w:after="0" w:line="259" w:lineRule="auto"/>
              <w:ind w:left="0" w:right="52" w:firstLine="0"/>
              <w:jc w:val="right"/>
            </w:pPr>
            <w:r>
              <w:rPr>
                <w:sz w:val="20"/>
              </w:rPr>
              <w:t xml:space="preserve">0 </w:t>
            </w:r>
          </w:p>
        </w:tc>
        <w:tc>
          <w:tcPr>
            <w:tcW w:w="1467" w:type="dxa"/>
            <w:tcBorders>
              <w:top w:val="single" w:sz="4" w:space="0" w:color="000000"/>
              <w:left w:val="single" w:sz="8" w:space="0" w:color="000000"/>
              <w:bottom w:val="single" w:sz="8" w:space="0" w:color="000000"/>
              <w:right w:val="single" w:sz="8" w:space="0" w:color="000000"/>
            </w:tcBorders>
          </w:tcPr>
          <w:p w:rsidR="00E8309B" w:rsidRDefault="009D0949">
            <w:pPr>
              <w:spacing w:after="0" w:line="259" w:lineRule="auto"/>
              <w:ind w:left="0" w:right="51" w:firstLine="0"/>
              <w:jc w:val="right"/>
            </w:pPr>
            <w:r>
              <w:rPr>
                <w:sz w:val="20"/>
              </w:rPr>
              <w:t xml:space="preserve">0 </w:t>
            </w:r>
          </w:p>
        </w:tc>
        <w:tc>
          <w:tcPr>
            <w:tcW w:w="1467" w:type="dxa"/>
            <w:tcBorders>
              <w:top w:val="single" w:sz="4" w:space="0" w:color="000000"/>
              <w:left w:val="single" w:sz="8" w:space="0" w:color="000000"/>
              <w:bottom w:val="single" w:sz="8" w:space="0" w:color="000000"/>
              <w:right w:val="single" w:sz="8" w:space="0" w:color="000000"/>
            </w:tcBorders>
          </w:tcPr>
          <w:p w:rsidR="00E8309B" w:rsidRDefault="009D0949">
            <w:pPr>
              <w:spacing w:after="0" w:line="259" w:lineRule="auto"/>
              <w:ind w:left="0" w:right="52" w:firstLine="0"/>
              <w:jc w:val="right"/>
            </w:pPr>
            <w:r>
              <w:rPr>
                <w:sz w:val="20"/>
              </w:rPr>
              <w:t xml:space="preserve">0 </w:t>
            </w:r>
          </w:p>
        </w:tc>
        <w:tc>
          <w:tcPr>
            <w:tcW w:w="1855" w:type="dxa"/>
            <w:tcBorders>
              <w:top w:val="single" w:sz="4" w:space="0" w:color="000000"/>
              <w:left w:val="single" w:sz="8" w:space="0" w:color="000000"/>
              <w:bottom w:val="single" w:sz="8" w:space="0" w:color="000000"/>
              <w:right w:val="single" w:sz="8" w:space="0" w:color="000000"/>
            </w:tcBorders>
          </w:tcPr>
          <w:p w:rsidR="00E8309B" w:rsidRDefault="009D0949">
            <w:pPr>
              <w:spacing w:after="0" w:line="259" w:lineRule="auto"/>
              <w:ind w:left="0" w:right="53" w:firstLine="0"/>
              <w:jc w:val="right"/>
            </w:pPr>
            <w:r>
              <w:rPr>
                <w:sz w:val="20"/>
              </w:rPr>
              <w:t xml:space="preserve">0 </w:t>
            </w:r>
          </w:p>
        </w:tc>
      </w:tr>
      <w:tr w:rsidR="00E8309B">
        <w:trPr>
          <w:trHeight w:val="307"/>
        </w:trPr>
        <w:tc>
          <w:tcPr>
            <w:tcW w:w="1120"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3" w:firstLine="0"/>
              <w:jc w:val="center"/>
            </w:pPr>
            <w:r>
              <w:rPr>
                <w:sz w:val="20"/>
              </w:rPr>
              <w:t xml:space="preserve">2023 </w:t>
            </w:r>
          </w:p>
        </w:tc>
        <w:tc>
          <w:tcPr>
            <w:tcW w:w="1489"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4" w:firstLine="0"/>
              <w:jc w:val="right"/>
            </w:pPr>
            <w:r>
              <w:rPr>
                <w:sz w:val="20"/>
              </w:rPr>
              <w:t xml:space="preserve">0 </w:t>
            </w:r>
          </w:p>
        </w:tc>
        <w:tc>
          <w:tcPr>
            <w:tcW w:w="1855"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2" w:firstLine="0"/>
              <w:jc w:val="right"/>
            </w:pPr>
            <w:r>
              <w:rPr>
                <w:sz w:val="20"/>
              </w:rPr>
              <w:t xml:space="preserve">0 </w:t>
            </w:r>
          </w:p>
        </w:tc>
        <w:tc>
          <w:tcPr>
            <w:tcW w:w="1467"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1" w:firstLine="0"/>
              <w:jc w:val="right"/>
            </w:pPr>
            <w:r>
              <w:rPr>
                <w:sz w:val="20"/>
              </w:rPr>
              <w:t xml:space="preserve">0 </w:t>
            </w:r>
          </w:p>
        </w:tc>
        <w:tc>
          <w:tcPr>
            <w:tcW w:w="1467"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2" w:firstLine="0"/>
              <w:jc w:val="right"/>
            </w:pPr>
            <w:r>
              <w:rPr>
                <w:sz w:val="20"/>
              </w:rPr>
              <w:t xml:space="preserve">0 </w:t>
            </w:r>
          </w:p>
        </w:tc>
        <w:tc>
          <w:tcPr>
            <w:tcW w:w="1855"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3" w:firstLine="0"/>
              <w:jc w:val="right"/>
            </w:pPr>
            <w:r>
              <w:rPr>
                <w:sz w:val="20"/>
              </w:rPr>
              <w:t xml:space="preserve">0 </w:t>
            </w:r>
          </w:p>
        </w:tc>
      </w:tr>
      <w:tr w:rsidR="00E8309B">
        <w:trPr>
          <w:trHeight w:val="300"/>
        </w:trPr>
        <w:tc>
          <w:tcPr>
            <w:tcW w:w="9252" w:type="dxa"/>
            <w:gridSpan w:val="6"/>
            <w:tcBorders>
              <w:top w:val="single" w:sz="8" w:space="0" w:color="000000"/>
              <w:left w:val="single" w:sz="8" w:space="0" w:color="000000"/>
              <w:bottom w:val="single" w:sz="8" w:space="0" w:color="000000"/>
              <w:right w:val="single" w:sz="8" w:space="0" w:color="000000"/>
            </w:tcBorders>
            <w:shd w:val="clear" w:color="auto" w:fill="D0CECE"/>
            <w:vAlign w:val="bottom"/>
          </w:tcPr>
          <w:p w:rsidR="00E8309B" w:rsidRDefault="009D0949">
            <w:pPr>
              <w:tabs>
                <w:tab w:val="center" w:pos="4469"/>
                <w:tab w:val="center" w:pos="5936"/>
                <w:tab w:val="center" w:pos="7401"/>
              </w:tabs>
              <w:spacing w:after="0" w:line="259" w:lineRule="auto"/>
              <w:ind w:left="0" w:right="0" w:firstLine="0"/>
              <w:jc w:val="left"/>
            </w:pPr>
            <w:r>
              <w:rPr>
                <w:b/>
                <w:sz w:val="20"/>
              </w:rPr>
              <w:t xml:space="preserve">24. Дигитализација здравственог система </w:t>
            </w:r>
            <w:r>
              <w:rPr>
                <w:b/>
                <w:sz w:val="20"/>
              </w:rPr>
              <w:tab/>
              <w:t xml:space="preserve">  </w:t>
            </w:r>
            <w:r>
              <w:rPr>
                <w:b/>
                <w:sz w:val="20"/>
              </w:rPr>
              <w:tab/>
              <w:t xml:space="preserve">  </w:t>
            </w:r>
            <w:r>
              <w:rPr>
                <w:b/>
                <w:sz w:val="20"/>
              </w:rPr>
              <w:tab/>
              <w:t xml:space="preserve">  </w:t>
            </w:r>
          </w:p>
        </w:tc>
      </w:tr>
      <w:tr w:rsidR="00E8309B">
        <w:trPr>
          <w:trHeight w:val="461"/>
        </w:trPr>
        <w:tc>
          <w:tcPr>
            <w:tcW w:w="1120" w:type="dxa"/>
            <w:tcBorders>
              <w:top w:val="single" w:sz="8" w:space="0" w:color="000000"/>
              <w:left w:val="single" w:sz="8" w:space="0" w:color="000000"/>
              <w:bottom w:val="single" w:sz="8" w:space="0" w:color="000000"/>
              <w:right w:val="single" w:sz="8" w:space="0" w:color="000000"/>
            </w:tcBorders>
            <w:vAlign w:val="bottom"/>
          </w:tcPr>
          <w:p w:rsidR="00E8309B" w:rsidRDefault="009D0949">
            <w:pPr>
              <w:spacing w:after="0" w:line="259" w:lineRule="auto"/>
              <w:ind w:left="0" w:right="56" w:firstLine="0"/>
              <w:jc w:val="center"/>
            </w:pPr>
            <w:r>
              <w:rPr>
                <w:b/>
                <w:sz w:val="20"/>
              </w:rPr>
              <w:t>Година</w:t>
            </w:r>
            <w:r>
              <w:rPr>
                <w:sz w:val="20"/>
              </w:rPr>
              <w:t xml:space="preserve">  </w:t>
            </w:r>
          </w:p>
        </w:tc>
        <w:tc>
          <w:tcPr>
            <w:tcW w:w="1489" w:type="dxa"/>
            <w:tcBorders>
              <w:top w:val="single" w:sz="8" w:space="0" w:color="000000"/>
              <w:left w:val="single" w:sz="8" w:space="0" w:color="000000"/>
              <w:bottom w:val="single" w:sz="8" w:space="0" w:color="000000"/>
              <w:right w:val="single" w:sz="8" w:space="0" w:color="000000"/>
            </w:tcBorders>
            <w:vAlign w:val="bottom"/>
          </w:tcPr>
          <w:p w:rsidR="00E8309B" w:rsidRDefault="009D0949">
            <w:pPr>
              <w:spacing w:after="0" w:line="259" w:lineRule="auto"/>
              <w:ind w:left="0" w:right="49" w:firstLine="0"/>
              <w:jc w:val="center"/>
            </w:pPr>
            <w:r>
              <w:rPr>
                <w:sz w:val="20"/>
              </w:rPr>
              <w:t xml:space="preserve">Плате </w:t>
            </w:r>
          </w:p>
        </w:tc>
        <w:tc>
          <w:tcPr>
            <w:tcW w:w="1855" w:type="dxa"/>
            <w:tcBorders>
              <w:top w:val="single" w:sz="8" w:space="0" w:color="000000"/>
              <w:left w:val="single" w:sz="8" w:space="0" w:color="000000"/>
              <w:bottom w:val="single" w:sz="8" w:space="0" w:color="000000"/>
              <w:right w:val="single" w:sz="8" w:space="0" w:color="000000"/>
            </w:tcBorders>
            <w:vAlign w:val="bottom"/>
          </w:tcPr>
          <w:p w:rsidR="00E8309B" w:rsidRDefault="009D0949">
            <w:pPr>
              <w:spacing w:after="0" w:line="259" w:lineRule="auto"/>
              <w:ind w:left="0" w:right="51" w:firstLine="0"/>
              <w:jc w:val="center"/>
            </w:pPr>
            <w:r>
              <w:rPr>
                <w:sz w:val="20"/>
              </w:rPr>
              <w:t xml:space="preserve">Добра и услуге </w:t>
            </w:r>
          </w:p>
        </w:tc>
        <w:tc>
          <w:tcPr>
            <w:tcW w:w="1467"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0" w:firstLine="0"/>
              <w:jc w:val="center"/>
            </w:pPr>
            <w:r>
              <w:rPr>
                <w:sz w:val="20"/>
              </w:rPr>
              <w:t xml:space="preserve">Субвенције и трансфери </w:t>
            </w:r>
          </w:p>
        </w:tc>
        <w:tc>
          <w:tcPr>
            <w:tcW w:w="1467"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0" w:firstLine="0"/>
              <w:jc w:val="center"/>
            </w:pPr>
            <w:r>
              <w:rPr>
                <w:sz w:val="20"/>
              </w:rPr>
              <w:t xml:space="preserve">Капитални расходи </w:t>
            </w:r>
          </w:p>
        </w:tc>
        <w:tc>
          <w:tcPr>
            <w:tcW w:w="1855" w:type="dxa"/>
            <w:tcBorders>
              <w:top w:val="single" w:sz="8" w:space="0" w:color="000000"/>
              <w:left w:val="single" w:sz="8" w:space="0" w:color="000000"/>
              <w:bottom w:val="single" w:sz="8" w:space="0" w:color="000000"/>
              <w:right w:val="single" w:sz="8" w:space="0" w:color="000000"/>
            </w:tcBorders>
            <w:vAlign w:val="bottom"/>
          </w:tcPr>
          <w:p w:rsidR="00E8309B" w:rsidRDefault="009D0949">
            <w:pPr>
              <w:spacing w:after="0" w:line="259" w:lineRule="auto"/>
              <w:ind w:left="0" w:right="50" w:firstLine="0"/>
              <w:jc w:val="center"/>
            </w:pPr>
            <w:r>
              <w:rPr>
                <w:sz w:val="20"/>
              </w:rPr>
              <w:t xml:space="preserve">Укупно </w:t>
            </w:r>
          </w:p>
        </w:tc>
      </w:tr>
      <w:tr w:rsidR="00E8309B">
        <w:trPr>
          <w:trHeight w:val="305"/>
        </w:trPr>
        <w:tc>
          <w:tcPr>
            <w:tcW w:w="1120"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3" w:firstLine="0"/>
              <w:jc w:val="center"/>
            </w:pPr>
            <w:r>
              <w:rPr>
                <w:sz w:val="20"/>
              </w:rPr>
              <w:t xml:space="preserve">2021 </w:t>
            </w:r>
          </w:p>
        </w:tc>
        <w:tc>
          <w:tcPr>
            <w:tcW w:w="1489"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4" w:firstLine="0"/>
              <w:jc w:val="right"/>
            </w:pPr>
            <w:r>
              <w:rPr>
                <w:sz w:val="20"/>
              </w:rPr>
              <w:t xml:space="preserve">0 </w:t>
            </w:r>
          </w:p>
        </w:tc>
        <w:tc>
          <w:tcPr>
            <w:tcW w:w="1855"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2" w:firstLine="0"/>
              <w:jc w:val="right"/>
            </w:pPr>
            <w:r>
              <w:rPr>
                <w:sz w:val="20"/>
              </w:rPr>
              <w:t xml:space="preserve">0 </w:t>
            </w:r>
          </w:p>
        </w:tc>
        <w:tc>
          <w:tcPr>
            <w:tcW w:w="1467"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1" w:firstLine="0"/>
              <w:jc w:val="right"/>
            </w:pPr>
            <w:r>
              <w:rPr>
                <w:sz w:val="20"/>
              </w:rPr>
              <w:t xml:space="preserve">0 </w:t>
            </w:r>
          </w:p>
        </w:tc>
        <w:tc>
          <w:tcPr>
            <w:tcW w:w="1467"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1" w:firstLine="0"/>
              <w:jc w:val="right"/>
            </w:pPr>
            <w:r>
              <w:rPr>
                <w:sz w:val="20"/>
              </w:rPr>
              <w:t xml:space="preserve">4.500.000,00 </w:t>
            </w:r>
          </w:p>
        </w:tc>
        <w:tc>
          <w:tcPr>
            <w:tcW w:w="1855"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3" w:firstLine="0"/>
              <w:jc w:val="right"/>
            </w:pPr>
            <w:r>
              <w:rPr>
                <w:sz w:val="20"/>
              </w:rPr>
              <w:t xml:space="preserve">4.500.000,00 </w:t>
            </w:r>
          </w:p>
        </w:tc>
      </w:tr>
      <w:tr w:rsidR="00E8309B">
        <w:trPr>
          <w:trHeight w:val="305"/>
        </w:trPr>
        <w:tc>
          <w:tcPr>
            <w:tcW w:w="1120"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3" w:firstLine="0"/>
              <w:jc w:val="center"/>
            </w:pPr>
            <w:r>
              <w:rPr>
                <w:sz w:val="20"/>
              </w:rPr>
              <w:t>2022</w:t>
            </w:r>
            <w:r>
              <w:rPr>
                <w:sz w:val="20"/>
              </w:rPr>
              <w:t xml:space="preserve"> </w:t>
            </w:r>
          </w:p>
        </w:tc>
        <w:tc>
          <w:tcPr>
            <w:tcW w:w="1489"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4" w:firstLine="0"/>
              <w:jc w:val="right"/>
            </w:pPr>
            <w:r>
              <w:rPr>
                <w:sz w:val="20"/>
              </w:rPr>
              <w:t xml:space="preserve">0 </w:t>
            </w:r>
          </w:p>
        </w:tc>
        <w:tc>
          <w:tcPr>
            <w:tcW w:w="1855"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2" w:firstLine="0"/>
              <w:jc w:val="right"/>
            </w:pPr>
            <w:r>
              <w:rPr>
                <w:sz w:val="20"/>
              </w:rPr>
              <w:t xml:space="preserve">0 </w:t>
            </w:r>
          </w:p>
        </w:tc>
        <w:tc>
          <w:tcPr>
            <w:tcW w:w="1467"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1" w:firstLine="0"/>
              <w:jc w:val="right"/>
            </w:pPr>
            <w:r>
              <w:rPr>
                <w:sz w:val="20"/>
              </w:rPr>
              <w:t xml:space="preserve">0 </w:t>
            </w:r>
          </w:p>
        </w:tc>
        <w:tc>
          <w:tcPr>
            <w:tcW w:w="1467"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1" w:firstLine="0"/>
              <w:jc w:val="right"/>
            </w:pPr>
            <w:r>
              <w:rPr>
                <w:sz w:val="20"/>
              </w:rPr>
              <w:t xml:space="preserve">4.500.000,00 </w:t>
            </w:r>
          </w:p>
        </w:tc>
        <w:tc>
          <w:tcPr>
            <w:tcW w:w="1855"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3" w:firstLine="0"/>
              <w:jc w:val="right"/>
            </w:pPr>
            <w:r>
              <w:rPr>
                <w:sz w:val="20"/>
              </w:rPr>
              <w:t xml:space="preserve">4.500.000,00 </w:t>
            </w:r>
          </w:p>
        </w:tc>
      </w:tr>
      <w:tr w:rsidR="00E8309B">
        <w:trPr>
          <w:trHeight w:val="308"/>
        </w:trPr>
        <w:tc>
          <w:tcPr>
            <w:tcW w:w="1120"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3" w:firstLine="0"/>
              <w:jc w:val="center"/>
            </w:pPr>
            <w:r>
              <w:rPr>
                <w:sz w:val="20"/>
              </w:rPr>
              <w:t xml:space="preserve">2023 </w:t>
            </w:r>
          </w:p>
        </w:tc>
        <w:tc>
          <w:tcPr>
            <w:tcW w:w="1489"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4" w:firstLine="0"/>
              <w:jc w:val="right"/>
            </w:pPr>
            <w:r>
              <w:rPr>
                <w:sz w:val="20"/>
              </w:rPr>
              <w:t xml:space="preserve">0 </w:t>
            </w:r>
          </w:p>
        </w:tc>
        <w:tc>
          <w:tcPr>
            <w:tcW w:w="1855"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2" w:firstLine="0"/>
              <w:jc w:val="right"/>
            </w:pPr>
            <w:r>
              <w:rPr>
                <w:sz w:val="20"/>
              </w:rPr>
              <w:t xml:space="preserve">0 </w:t>
            </w:r>
          </w:p>
        </w:tc>
        <w:tc>
          <w:tcPr>
            <w:tcW w:w="1467"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1" w:firstLine="0"/>
              <w:jc w:val="right"/>
            </w:pPr>
            <w:r>
              <w:rPr>
                <w:sz w:val="20"/>
              </w:rPr>
              <w:t xml:space="preserve">0 </w:t>
            </w:r>
          </w:p>
        </w:tc>
        <w:tc>
          <w:tcPr>
            <w:tcW w:w="1467"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1" w:firstLine="0"/>
              <w:jc w:val="right"/>
            </w:pPr>
            <w:r>
              <w:rPr>
                <w:sz w:val="20"/>
              </w:rPr>
              <w:t xml:space="preserve">4.500.000,00 </w:t>
            </w:r>
          </w:p>
        </w:tc>
        <w:tc>
          <w:tcPr>
            <w:tcW w:w="1855"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3" w:firstLine="0"/>
              <w:jc w:val="right"/>
            </w:pPr>
            <w:r>
              <w:rPr>
                <w:sz w:val="20"/>
              </w:rPr>
              <w:t xml:space="preserve">4.500.000,00 </w:t>
            </w:r>
          </w:p>
        </w:tc>
      </w:tr>
      <w:tr w:rsidR="00E8309B">
        <w:trPr>
          <w:trHeight w:val="300"/>
        </w:trPr>
        <w:tc>
          <w:tcPr>
            <w:tcW w:w="1120" w:type="dxa"/>
            <w:tcBorders>
              <w:top w:val="single" w:sz="8" w:space="0" w:color="000000"/>
              <w:left w:val="single" w:sz="8" w:space="0" w:color="000000"/>
              <w:bottom w:val="single" w:sz="8" w:space="0" w:color="000000"/>
              <w:right w:val="single" w:sz="8" w:space="0" w:color="000000"/>
            </w:tcBorders>
            <w:shd w:val="clear" w:color="auto" w:fill="D0CECE"/>
            <w:vAlign w:val="bottom"/>
          </w:tcPr>
          <w:p w:rsidR="00E8309B" w:rsidRDefault="009D0949">
            <w:pPr>
              <w:spacing w:after="0" w:line="259" w:lineRule="auto"/>
              <w:ind w:left="0" w:right="0" w:firstLine="0"/>
            </w:pPr>
            <w:r>
              <w:rPr>
                <w:b/>
                <w:sz w:val="20"/>
              </w:rPr>
              <w:t xml:space="preserve">УКУПНО </w:t>
            </w:r>
          </w:p>
        </w:tc>
        <w:tc>
          <w:tcPr>
            <w:tcW w:w="1489" w:type="dxa"/>
            <w:tcBorders>
              <w:top w:val="single" w:sz="8" w:space="0" w:color="000000"/>
              <w:left w:val="single" w:sz="8" w:space="0" w:color="000000"/>
              <w:bottom w:val="single" w:sz="8" w:space="0" w:color="000000"/>
              <w:right w:val="single" w:sz="8" w:space="0" w:color="000000"/>
            </w:tcBorders>
            <w:shd w:val="clear" w:color="auto" w:fill="D0CECE"/>
          </w:tcPr>
          <w:p w:rsidR="00E8309B" w:rsidRDefault="009D0949">
            <w:pPr>
              <w:spacing w:after="0" w:line="259" w:lineRule="auto"/>
              <w:ind w:left="0" w:right="53" w:firstLine="0"/>
              <w:jc w:val="right"/>
            </w:pPr>
            <w:r>
              <w:rPr>
                <w:b/>
                <w:sz w:val="20"/>
              </w:rPr>
              <w:t xml:space="preserve">45.694.793,00 </w:t>
            </w:r>
          </w:p>
        </w:tc>
        <w:tc>
          <w:tcPr>
            <w:tcW w:w="1855" w:type="dxa"/>
            <w:tcBorders>
              <w:top w:val="single" w:sz="8" w:space="0" w:color="000000"/>
              <w:left w:val="single" w:sz="8" w:space="0" w:color="000000"/>
              <w:bottom w:val="single" w:sz="8" w:space="0" w:color="000000"/>
              <w:right w:val="single" w:sz="8" w:space="0" w:color="000000"/>
            </w:tcBorders>
            <w:shd w:val="clear" w:color="auto" w:fill="D0CECE"/>
          </w:tcPr>
          <w:p w:rsidR="00E8309B" w:rsidRDefault="009D0949">
            <w:pPr>
              <w:spacing w:after="0" w:line="259" w:lineRule="auto"/>
              <w:ind w:left="0" w:right="52" w:firstLine="0"/>
              <w:jc w:val="right"/>
            </w:pPr>
            <w:r>
              <w:rPr>
                <w:b/>
                <w:sz w:val="20"/>
              </w:rPr>
              <w:t xml:space="preserve">1.431.100.930,21 </w:t>
            </w:r>
          </w:p>
        </w:tc>
        <w:tc>
          <w:tcPr>
            <w:tcW w:w="1467" w:type="dxa"/>
            <w:tcBorders>
              <w:top w:val="single" w:sz="8" w:space="0" w:color="000000"/>
              <w:left w:val="single" w:sz="8" w:space="0" w:color="000000"/>
              <w:bottom w:val="single" w:sz="8" w:space="0" w:color="000000"/>
              <w:right w:val="single" w:sz="8" w:space="0" w:color="000000"/>
            </w:tcBorders>
            <w:shd w:val="clear" w:color="auto" w:fill="D0CECE"/>
          </w:tcPr>
          <w:p w:rsidR="00E8309B" w:rsidRDefault="009D0949">
            <w:pPr>
              <w:spacing w:after="0" w:line="259" w:lineRule="auto"/>
              <w:ind w:left="7" w:right="0" w:firstLine="0"/>
              <w:jc w:val="left"/>
            </w:pPr>
            <w:r>
              <w:rPr>
                <w:b/>
                <w:sz w:val="20"/>
              </w:rPr>
              <w:t xml:space="preserve">101.594.316,66 </w:t>
            </w:r>
          </w:p>
        </w:tc>
        <w:tc>
          <w:tcPr>
            <w:tcW w:w="1467" w:type="dxa"/>
            <w:tcBorders>
              <w:top w:val="single" w:sz="8" w:space="0" w:color="000000"/>
              <w:left w:val="single" w:sz="8" w:space="0" w:color="000000"/>
              <w:bottom w:val="single" w:sz="8" w:space="0" w:color="000000"/>
              <w:right w:val="single" w:sz="8" w:space="0" w:color="000000"/>
            </w:tcBorders>
            <w:shd w:val="clear" w:color="auto" w:fill="D0CECE"/>
          </w:tcPr>
          <w:p w:rsidR="00E8309B" w:rsidRDefault="009D0949">
            <w:pPr>
              <w:spacing w:after="0" w:line="259" w:lineRule="auto"/>
              <w:ind w:left="8" w:right="0" w:firstLine="0"/>
              <w:jc w:val="left"/>
            </w:pPr>
            <w:r>
              <w:rPr>
                <w:b/>
                <w:sz w:val="20"/>
              </w:rPr>
              <w:t xml:space="preserve">812.129.778.60 </w:t>
            </w:r>
          </w:p>
        </w:tc>
        <w:tc>
          <w:tcPr>
            <w:tcW w:w="1855" w:type="dxa"/>
            <w:tcBorders>
              <w:top w:val="single" w:sz="8" w:space="0" w:color="000000"/>
              <w:left w:val="single" w:sz="8" w:space="0" w:color="000000"/>
              <w:bottom w:val="single" w:sz="8" w:space="0" w:color="000000"/>
              <w:right w:val="single" w:sz="8" w:space="0" w:color="000000"/>
            </w:tcBorders>
            <w:shd w:val="clear" w:color="auto" w:fill="D0CECE"/>
          </w:tcPr>
          <w:p w:rsidR="00E8309B" w:rsidRDefault="009D0949">
            <w:pPr>
              <w:spacing w:after="0" w:line="259" w:lineRule="auto"/>
              <w:ind w:left="0" w:right="53" w:firstLine="0"/>
              <w:jc w:val="right"/>
            </w:pPr>
            <w:r>
              <w:rPr>
                <w:b/>
                <w:sz w:val="20"/>
              </w:rPr>
              <w:t xml:space="preserve">2.390.519.818,47 </w:t>
            </w:r>
          </w:p>
        </w:tc>
      </w:tr>
    </w:tbl>
    <w:p w:rsidR="00E8309B" w:rsidRDefault="009D0949">
      <w:pPr>
        <w:spacing w:after="0" w:line="259" w:lineRule="auto"/>
        <w:ind w:left="0" w:right="0" w:firstLine="0"/>
      </w:pPr>
      <w:r>
        <w:rPr>
          <w:rFonts w:ascii="Calibri" w:eastAsia="Calibri" w:hAnsi="Calibri" w:cs="Calibri"/>
          <w:sz w:val="22"/>
        </w:rPr>
        <w:t xml:space="preserve"> </w:t>
      </w:r>
    </w:p>
    <w:p w:rsidR="00E8309B" w:rsidRDefault="00E8309B">
      <w:pPr>
        <w:sectPr w:rsidR="00E8309B">
          <w:headerReference w:type="even" r:id="rId233"/>
          <w:headerReference w:type="default" r:id="rId234"/>
          <w:footerReference w:type="even" r:id="rId235"/>
          <w:footerReference w:type="default" r:id="rId236"/>
          <w:headerReference w:type="first" r:id="rId237"/>
          <w:footerReference w:type="first" r:id="rId238"/>
          <w:pgSz w:w="11906" w:h="16838"/>
          <w:pgMar w:top="1146" w:right="2335" w:bottom="1152" w:left="1133" w:header="720" w:footer="720" w:gutter="0"/>
          <w:cols w:space="720"/>
          <w:titlePg/>
        </w:sectPr>
      </w:pPr>
    </w:p>
    <w:p w:rsidR="00E8309B" w:rsidRDefault="009D0949">
      <w:pPr>
        <w:spacing w:after="0" w:line="259" w:lineRule="auto"/>
        <w:ind w:left="0" w:right="0" w:firstLine="0"/>
        <w:jc w:val="left"/>
      </w:pPr>
      <w:r>
        <w:rPr>
          <w:b/>
          <w:sz w:val="22"/>
        </w:rPr>
        <w:t>Табела 10б: Финансирање структурних реформских мера у периоду 2021-2023. година у еврима</w:t>
      </w:r>
      <w:r>
        <w:rPr>
          <w:rFonts w:ascii="Calibri" w:eastAsia="Calibri" w:hAnsi="Calibri" w:cs="Calibri"/>
          <w:b/>
          <w:sz w:val="22"/>
        </w:rPr>
        <w:t xml:space="preserve"> </w:t>
      </w:r>
    </w:p>
    <w:tbl>
      <w:tblPr>
        <w:tblStyle w:val="TableGrid"/>
        <w:tblW w:w="14352" w:type="dxa"/>
        <w:tblInd w:w="12" w:type="dxa"/>
        <w:tblCellMar>
          <w:top w:w="54" w:type="dxa"/>
          <w:left w:w="106" w:type="dxa"/>
          <w:bottom w:w="5" w:type="dxa"/>
          <w:right w:w="53" w:type="dxa"/>
        </w:tblCellMar>
        <w:tblLook w:val="04A0" w:firstRow="1" w:lastRow="0" w:firstColumn="1" w:lastColumn="0" w:noHBand="0" w:noVBand="1"/>
      </w:tblPr>
      <w:tblGrid>
        <w:gridCol w:w="1210"/>
        <w:gridCol w:w="1658"/>
        <w:gridCol w:w="1532"/>
        <w:gridCol w:w="1889"/>
        <w:gridCol w:w="1592"/>
        <w:gridCol w:w="1481"/>
        <w:gridCol w:w="1757"/>
        <w:gridCol w:w="1481"/>
        <w:gridCol w:w="1752"/>
      </w:tblGrid>
      <w:tr w:rsidR="00E8309B">
        <w:trPr>
          <w:trHeight w:val="329"/>
        </w:trPr>
        <w:tc>
          <w:tcPr>
            <w:tcW w:w="14352" w:type="dxa"/>
            <w:gridSpan w:val="9"/>
            <w:tcBorders>
              <w:top w:val="single" w:sz="8" w:space="0" w:color="000000"/>
              <w:left w:val="single" w:sz="8" w:space="0" w:color="000000"/>
              <w:bottom w:val="single" w:sz="8" w:space="0" w:color="000000"/>
              <w:right w:val="single" w:sz="8" w:space="0" w:color="000000"/>
            </w:tcBorders>
            <w:shd w:val="clear" w:color="auto" w:fill="D0CECE"/>
            <w:vAlign w:val="bottom"/>
          </w:tcPr>
          <w:p w:rsidR="00E8309B" w:rsidRDefault="009D0949">
            <w:pPr>
              <w:spacing w:after="0" w:line="259" w:lineRule="auto"/>
              <w:ind w:left="0" w:right="0" w:firstLine="0"/>
              <w:jc w:val="left"/>
            </w:pPr>
            <w:r>
              <w:rPr>
                <w:b/>
                <w:sz w:val="20"/>
              </w:rPr>
              <w:t>1. Развој енергетског тржишта уз изградњу енергетске инфраструктуре</w:t>
            </w:r>
            <w:r>
              <w:rPr>
                <w:sz w:val="20"/>
              </w:rPr>
              <w:t xml:space="preserve"> </w:t>
            </w:r>
          </w:p>
        </w:tc>
      </w:tr>
      <w:tr w:rsidR="00E8309B">
        <w:trPr>
          <w:trHeight w:val="713"/>
        </w:trPr>
        <w:tc>
          <w:tcPr>
            <w:tcW w:w="1210" w:type="dxa"/>
            <w:tcBorders>
              <w:top w:val="single" w:sz="8" w:space="0" w:color="000000"/>
              <w:left w:val="single" w:sz="8" w:space="0" w:color="000000"/>
              <w:bottom w:val="single" w:sz="8" w:space="0" w:color="000000"/>
              <w:right w:val="single" w:sz="8" w:space="0" w:color="000000"/>
            </w:tcBorders>
            <w:vAlign w:val="bottom"/>
          </w:tcPr>
          <w:p w:rsidR="00E8309B" w:rsidRDefault="009D0949">
            <w:pPr>
              <w:spacing w:after="0" w:line="259" w:lineRule="auto"/>
              <w:ind w:left="0" w:right="56" w:firstLine="0"/>
              <w:jc w:val="center"/>
            </w:pPr>
            <w:r>
              <w:rPr>
                <w:b/>
                <w:sz w:val="20"/>
              </w:rPr>
              <w:t>Година</w:t>
            </w:r>
            <w:r>
              <w:rPr>
                <w:sz w:val="20"/>
              </w:rPr>
              <w:t xml:space="preserve">  </w:t>
            </w:r>
          </w:p>
        </w:tc>
        <w:tc>
          <w:tcPr>
            <w:tcW w:w="1658"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0" w:firstLine="18"/>
              <w:jc w:val="center"/>
            </w:pPr>
            <w:r>
              <w:rPr>
                <w:sz w:val="20"/>
              </w:rPr>
              <w:t xml:space="preserve">Буџет централног нивоа државе </w:t>
            </w:r>
          </w:p>
        </w:tc>
        <w:tc>
          <w:tcPr>
            <w:tcW w:w="1532" w:type="dxa"/>
            <w:tcBorders>
              <w:top w:val="single" w:sz="8" w:space="0" w:color="000000"/>
              <w:left w:val="single" w:sz="8" w:space="0" w:color="000000"/>
              <w:bottom w:val="single" w:sz="8" w:space="0" w:color="000000"/>
              <w:right w:val="single" w:sz="8" w:space="0" w:color="000000"/>
            </w:tcBorders>
            <w:vAlign w:val="center"/>
          </w:tcPr>
          <w:p w:rsidR="00E8309B" w:rsidRDefault="009D0949">
            <w:pPr>
              <w:spacing w:after="0" w:line="259" w:lineRule="auto"/>
              <w:ind w:left="0" w:right="3" w:firstLine="0"/>
              <w:jc w:val="center"/>
            </w:pPr>
            <w:r>
              <w:rPr>
                <w:sz w:val="20"/>
              </w:rPr>
              <w:t xml:space="preserve">Локални буџети </w:t>
            </w:r>
          </w:p>
        </w:tc>
        <w:tc>
          <w:tcPr>
            <w:tcW w:w="1889"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0" w:firstLine="0"/>
              <w:jc w:val="center"/>
            </w:pPr>
            <w:r>
              <w:rPr>
                <w:sz w:val="20"/>
              </w:rPr>
              <w:t xml:space="preserve">Други домаћи извори јавних финансија </w:t>
            </w:r>
          </w:p>
        </w:tc>
        <w:tc>
          <w:tcPr>
            <w:tcW w:w="1592" w:type="dxa"/>
            <w:tcBorders>
              <w:top w:val="single" w:sz="8" w:space="0" w:color="000000"/>
              <w:left w:val="single" w:sz="8" w:space="0" w:color="000000"/>
              <w:bottom w:val="single" w:sz="8" w:space="0" w:color="000000"/>
              <w:right w:val="single" w:sz="8" w:space="0" w:color="000000"/>
            </w:tcBorders>
            <w:vAlign w:val="center"/>
          </w:tcPr>
          <w:p w:rsidR="00E8309B" w:rsidRDefault="009D0949">
            <w:pPr>
              <w:spacing w:after="0" w:line="259" w:lineRule="auto"/>
              <w:ind w:left="77" w:right="0" w:firstLine="0"/>
              <w:jc w:val="left"/>
            </w:pPr>
            <w:r>
              <w:rPr>
                <w:sz w:val="20"/>
              </w:rPr>
              <w:t xml:space="preserve">ИПА фондови </w:t>
            </w:r>
          </w:p>
        </w:tc>
        <w:tc>
          <w:tcPr>
            <w:tcW w:w="1481"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0" w:firstLine="0"/>
              <w:jc w:val="center"/>
            </w:pPr>
            <w:r>
              <w:rPr>
                <w:sz w:val="20"/>
              </w:rPr>
              <w:t xml:space="preserve">Друга бесповратна средства  </w:t>
            </w:r>
          </w:p>
        </w:tc>
        <w:tc>
          <w:tcPr>
            <w:tcW w:w="1757" w:type="dxa"/>
            <w:tcBorders>
              <w:top w:val="single" w:sz="8" w:space="0" w:color="000000"/>
              <w:left w:val="single" w:sz="8" w:space="0" w:color="000000"/>
              <w:bottom w:val="single" w:sz="8" w:space="0" w:color="000000"/>
              <w:right w:val="single" w:sz="8" w:space="0" w:color="000000"/>
            </w:tcBorders>
            <w:vAlign w:val="center"/>
          </w:tcPr>
          <w:p w:rsidR="00E8309B" w:rsidRDefault="009D0949">
            <w:pPr>
              <w:spacing w:after="0" w:line="259" w:lineRule="auto"/>
              <w:ind w:left="0" w:right="0" w:firstLine="0"/>
              <w:jc w:val="center"/>
            </w:pPr>
            <w:r>
              <w:rPr>
                <w:sz w:val="20"/>
              </w:rPr>
              <w:t xml:space="preserve">Пројектни кредити  </w:t>
            </w:r>
          </w:p>
        </w:tc>
        <w:tc>
          <w:tcPr>
            <w:tcW w:w="1481" w:type="dxa"/>
            <w:tcBorders>
              <w:top w:val="single" w:sz="8" w:space="0" w:color="000000"/>
              <w:left w:val="single" w:sz="8" w:space="0" w:color="000000"/>
              <w:bottom w:val="single" w:sz="8" w:space="0" w:color="000000"/>
              <w:right w:val="single" w:sz="8" w:space="0" w:color="000000"/>
            </w:tcBorders>
            <w:vAlign w:val="center"/>
          </w:tcPr>
          <w:p w:rsidR="00E8309B" w:rsidRDefault="009D0949">
            <w:pPr>
              <w:spacing w:after="0" w:line="259" w:lineRule="auto"/>
              <w:ind w:left="12" w:right="17" w:firstLine="0"/>
              <w:jc w:val="center"/>
            </w:pPr>
            <w:r>
              <w:rPr>
                <w:sz w:val="20"/>
              </w:rPr>
              <w:t xml:space="preserve">Тек треба да се утврди </w:t>
            </w:r>
          </w:p>
        </w:tc>
        <w:tc>
          <w:tcPr>
            <w:tcW w:w="1752" w:type="dxa"/>
            <w:tcBorders>
              <w:top w:val="single" w:sz="8" w:space="0" w:color="000000"/>
              <w:left w:val="single" w:sz="8" w:space="0" w:color="000000"/>
              <w:bottom w:val="single" w:sz="8" w:space="0" w:color="000000"/>
              <w:right w:val="single" w:sz="8" w:space="0" w:color="000000"/>
            </w:tcBorders>
            <w:vAlign w:val="center"/>
          </w:tcPr>
          <w:p w:rsidR="00E8309B" w:rsidRDefault="009D0949">
            <w:pPr>
              <w:spacing w:after="0" w:line="259" w:lineRule="auto"/>
              <w:ind w:left="0" w:right="52" w:firstLine="0"/>
              <w:jc w:val="center"/>
            </w:pPr>
            <w:r>
              <w:rPr>
                <w:sz w:val="20"/>
              </w:rPr>
              <w:t xml:space="preserve">Укупно </w:t>
            </w:r>
          </w:p>
        </w:tc>
      </w:tr>
      <w:tr w:rsidR="00E8309B">
        <w:trPr>
          <w:trHeight w:val="336"/>
        </w:trPr>
        <w:tc>
          <w:tcPr>
            <w:tcW w:w="1210"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4" w:firstLine="0"/>
              <w:jc w:val="center"/>
            </w:pPr>
            <w:r>
              <w:rPr>
                <w:sz w:val="20"/>
              </w:rPr>
              <w:t xml:space="preserve">2021 </w:t>
            </w:r>
          </w:p>
        </w:tc>
        <w:tc>
          <w:tcPr>
            <w:tcW w:w="1658"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6" w:firstLine="0"/>
              <w:jc w:val="right"/>
            </w:pPr>
            <w:r>
              <w:rPr>
                <w:sz w:val="20"/>
              </w:rPr>
              <w:t xml:space="preserve">0 </w:t>
            </w:r>
          </w:p>
        </w:tc>
        <w:tc>
          <w:tcPr>
            <w:tcW w:w="1532"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8" w:firstLine="0"/>
              <w:jc w:val="right"/>
            </w:pPr>
            <w:r>
              <w:rPr>
                <w:sz w:val="20"/>
              </w:rPr>
              <w:t xml:space="preserve">0 </w:t>
            </w:r>
          </w:p>
        </w:tc>
        <w:tc>
          <w:tcPr>
            <w:tcW w:w="1889"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6" w:firstLine="0"/>
              <w:jc w:val="right"/>
            </w:pPr>
            <w:r>
              <w:rPr>
                <w:sz w:val="20"/>
              </w:rPr>
              <w:t xml:space="preserve">0 </w:t>
            </w:r>
          </w:p>
        </w:tc>
        <w:tc>
          <w:tcPr>
            <w:tcW w:w="1592"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6" w:firstLine="0"/>
              <w:jc w:val="right"/>
            </w:pPr>
            <w:r>
              <w:rPr>
                <w:sz w:val="20"/>
              </w:rPr>
              <w:t xml:space="preserve">0 </w:t>
            </w:r>
          </w:p>
        </w:tc>
        <w:tc>
          <w:tcPr>
            <w:tcW w:w="1481"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5" w:firstLine="0"/>
              <w:jc w:val="right"/>
            </w:pPr>
            <w:r>
              <w:rPr>
                <w:sz w:val="20"/>
              </w:rPr>
              <w:t xml:space="preserve">4.854.736,30 </w:t>
            </w:r>
          </w:p>
        </w:tc>
        <w:tc>
          <w:tcPr>
            <w:tcW w:w="1757"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6" w:firstLine="0"/>
              <w:jc w:val="right"/>
            </w:pPr>
            <w:r>
              <w:rPr>
                <w:sz w:val="20"/>
              </w:rPr>
              <w:t xml:space="preserve">12.307.841,35 </w:t>
            </w:r>
          </w:p>
        </w:tc>
        <w:tc>
          <w:tcPr>
            <w:tcW w:w="1481"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6" w:firstLine="0"/>
              <w:jc w:val="right"/>
            </w:pPr>
            <w:r>
              <w:rPr>
                <w:sz w:val="20"/>
              </w:rPr>
              <w:t xml:space="preserve">0 </w:t>
            </w:r>
          </w:p>
        </w:tc>
        <w:tc>
          <w:tcPr>
            <w:tcW w:w="1752"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1" w:firstLine="0"/>
              <w:jc w:val="right"/>
            </w:pPr>
            <w:r>
              <w:rPr>
                <w:sz w:val="20"/>
              </w:rPr>
              <w:t xml:space="preserve">17.341.588,61* </w:t>
            </w:r>
          </w:p>
        </w:tc>
      </w:tr>
      <w:tr w:rsidR="00E8309B">
        <w:trPr>
          <w:trHeight w:val="334"/>
        </w:trPr>
        <w:tc>
          <w:tcPr>
            <w:tcW w:w="1210"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4" w:firstLine="0"/>
              <w:jc w:val="center"/>
            </w:pPr>
            <w:r>
              <w:rPr>
                <w:sz w:val="20"/>
              </w:rPr>
              <w:t xml:space="preserve">2022 </w:t>
            </w:r>
          </w:p>
        </w:tc>
        <w:tc>
          <w:tcPr>
            <w:tcW w:w="1658"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6" w:firstLine="0"/>
              <w:jc w:val="right"/>
            </w:pPr>
            <w:r>
              <w:rPr>
                <w:sz w:val="20"/>
              </w:rPr>
              <w:t xml:space="preserve">0 </w:t>
            </w:r>
          </w:p>
        </w:tc>
        <w:tc>
          <w:tcPr>
            <w:tcW w:w="1532"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8" w:firstLine="0"/>
              <w:jc w:val="right"/>
            </w:pPr>
            <w:r>
              <w:rPr>
                <w:sz w:val="20"/>
              </w:rPr>
              <w:t xml:space="preserve">0 </w:t>
            </w:r>
          </w:p>
        </w:tc>
        <w:tc>
          <w:tcPr>
            <w:tcW w:w="1889"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6" w:firstLine="0"/>
              <w:jc w:val="right"/>
            </w:pPr>
            <w:r>
              <w:rPr>
                <w:sz w:val="20"/>
              </w:rPr>
              <w:t xml:space="preserve">0 </w:t>
            </w:r>
          </w:p>
        </w:tc>
        <w:tc>
          <w:tcPr>
            <w:tcW w:w="1592"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6" w:firstLine="0"/>
              <w:jc w:val="right"/>
            </w:pPr>
            <w:r>
              <w:rPr>
                <w:sz w:val="20"/>
              </w:rPr>
              <w:t xml:space="preserve">0 </w:t>
            </w:r>
          </w:p>
        </w:tc>
        <w:tc>
          <w:tcPr>
            <w:tcW w:w="1481"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5" w:firstLine="0"/>
              <w:jc w:val="right"/>
            </w:pPr>
            <w:r>
              <w:rPr>
                <w:sz w:val="20"/>
              </w:rPr>
              <w:t xml:space="preserve">1.511.324,79 </w:t>
            </w:r>
          </w:p>
        </w:tc>
        <w:tc>
          <w:tcPr>
            <w:tcW w:w="1757"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6" w:firstLine="0"/>
              <w:jc w:val="right"/>
            </w:pPr>
            <w:r>
              <w:rPr>
                <w:sz w:val="20"/>
              </w:rPr>
              <w:t xml:space="preserve">1.581.866,87 </w:t>
            </w:r>
          </w:p>
        </w:tc>
        <w:tc>
          <w:tcPr>
            <w:tcW w:w="1481"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6" w:firstLine="0"/>
              <w:jc w:val="right"/>
            </w:pPr>
            <w:r>
              <w:rPr>
                <w:sz w:val="20"/>
              </w:rPr>
              <w:t xml:space="preserve">0 </w:t>
            </w:r>
          </w:p>
        </w:tc>
        <w:tc>
          <w:tcPr>
            <w:tcW w:w="1752"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49" w:firstLine="0"/>
              <w:jc w:val="right"/>
            </w:pPr>
            <w:r>
              <w:rPr>
                <w:sz w:val="20"/>
              </w:rPr>
              <w:t xml:space="preserve">3.199.033,42* </w:t>
            </w:r>
          </w:p>
        </w:tc>
      </w:tr>
      <w:tr w:rsidR="00E8309B">
        <w:trPr>
          <w:trHeight w:val="337"/>
        </w:trPr>
        <w:tc>
          <w:tcPr>
            <w:tcW w:w="1210"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4" w:firstLine="0"/>
              <w:jc w:val="center"/>
            </w:pPr>
            <w:r>
              <w:rPr>
                <w:sz w:val="20"/>
              </w:rPr>
              <w:t xml:space="preserve">2023 </w:t>
            </w:r>
          </w:p>
        </w:tc>
        <w:tc>
          <w:tcPr>
            <w:tcW w:w="1658"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6" w:firstLine="0"/>
              <w:jc w:val="right"/>
            </w:pPr>
            <w:r>
              <w:rPr>
                <w:sz w:val="20"/>
              </w:rPr>
              <w:t xml:space="preserve">0 </w:t>
            </w:r>
          </w:p>
        </w:tc>
        <w:tc>
          <w:tcPr>
            <w:tcW w:w="1532"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8" w:firstLine="0"/>
              <w:jc w:val="right"/>
            </w:pPr>
            <w:r>
              <w:rPr>
                <w:sz w:val="20"/>
              </w:rPr>
              <w:t xml:space="preserve">0 </w:t>
            </w:r>
          </w:p>
        </w:tc>
        <w:tc>
          <w:tcPr>
            <w:tcW w:w="1889"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6" w:firstLine="0"/>
              <w:jc w:val="right"/>
            </w:pPr>
            <w:r>
              <w:rPr>
                <w:sz w:val="20"/>
              </w:rPr>
              <w:t xml:space="preserve">0 </w:t>
            </w:r>
          </w:p>
        </w:tc>
        <w:tc>
          <w:tcPr>
            <w:tcW w:w="1592"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6" w:firstLine="0"/>
              <w:jc w:val="right"/>
            </w:pPr>
            <w:r>
              <w:rPr>
                <w:sz w:val="20"/>
              </w:rPr>
              <w:t xml:space="preserve">0 </w:t>
            </w:r>
          </w:p>
        </w:tc>
        <w:tc>
          <w:tcPr>
            <w:tcW w:w="1481"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5" w:firstLine="0"/>
              <w:jc w:val="right"/>
            </w:pPr>
            <w:r>
              <w:rPr>
                <w:sz w:val="20"/>
              </w:rPr>
              <w:t xml:space="preserve">7.210.000,00 </w:t>
            </w:r>
          </w:p>
        </w:tc>
        <w:tc>
          <w:tcPr>
            <w:tcW w:w="1757"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6" w:firstLine="0"/>
              <w:jc w:val="right"/>
            </w:pPr>
            <w:r>
              <w:rPr>
                <w:sz w:val="20"/>
              </w:rPr>
              <w:t xml:space="preserve">15.620.000,00 </w:t>
            </w:r>
          </w:p>
        </w:tc>
        <w:tc>
          <w:tcPr>
            <w:tcW w:w="1481"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6" w:firstLine="0"/>
              <w:jc w:val="right"/>
            </w:pPr>
            <w:r>
              <w:rPr>
                <w:sz w:val="20"/>
              </w:rPr>
              <w:t xml:space="preserve">0 </w:t>
            </w:r>
          </w:p>
        </w:tc>
        <w:tc>
          <w:tcPr>
            <w:tcW w:w="1752"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1" w:firstLine="0"/>
              <w:jc w:val="right"/>
            </w:pPr>
            <w:r>
              <w:rPr>
                <w:sz w:val="20"/>
              </w:rPr>
              <w:t xml:space="preserve">22.848.906,72* </w:t>
            </w:r>
          </w:p>
        </w:tc>
      </w:tr>
      <w:tr w:rsidR="00E8309B">
        <w:trPr>
          <w:trHeight w:val="499"/>
        </w:trPr>
        <w:tc>
          <w:tcPr>
            <w:tcW w:w="14352" w:type="dxa"/>
            <w:gridSpan w:val="9"/>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0" w:firstLine="0"/>
              <w:jc w:val="left"/>
            </w:pPr>
            <w:r>
              <w:rPr>
                <w:sz w:val="20"/>
              </w:rPr>
              <w:t>*Укупна средства се разликују од суме датих извора финансирања за вредност сопствених средстава ЕМС АД, која се не могу сврстати ни у једну дату категорију. Сопствена средства ЕМС АД, као што је дато у Табели 10а, износе за године 2021-2023 редом: 179.010,</w:t>
            </w:r>
            <w:r>
              <w:rPr>
                <w:sz w:val="20"/>
              </w:rPr>
              <w:t xml:space="preserve">96 евра, 105.841,76 евра и 18.906,72 евра. </w:t>
            </w:r>
          </w:p>
        </w:tc>
      </w:tr>
      <w:tr w:rsidR="00E8309B">
        <w:trPr>
          <w:trHeight w:val="545"/>
        </w:trPr>
        <w:tc>
          <w:tcPr>
            <w:tcW w:w="14352" w:type="dxa"/>
            <w:gridSpan w:val="9"/>
            <w:tcBorders>
              <w:top w:val="single" w:sz="8" w:space="0" w:color="000000"/>
              <w:left w:val="single" w:sz="8" w:space="0" w:color="000000"/>
              <w:bottom w:val="single" w:sz="8" w:space="0" w:color="000000"/>
              <w:right w:val="single" w:sz="8" w:space="0" w:color="000000"/>
            </w:tcBorders>
            <w:shd w:val="clear" w:color="auto" w:fill="D0CECE"/>
            <w:vAlign w:val="bottom"/>
          </w:tcPr>
          <w:p w:rsidR="00E8309B" w:rsidRDefault="009D0949">
            <w:pPr>
              <w:spacing w:after="0" w:line="259" w:lineRule="auto"/>
              <w:ind w:left="0" w:right="0" w:firstLine="0"/>
              <w:jc w:val="left"/>
            </w:pPr>
            <w:r>
              <w:rPr>
                <w:b/>
                <w:sz w:val="20"/>
              </w:rPr>
              <w:t xml:space="preserve">2. Унапређење услова за повећање енергетске ефикасности кроз хармонизацију законодавног оквира и успостављање одрживог начина финансирања пројеката енергетске ефикасности  </w:t>
            </w:r>
          </w:p>
        </w:tc>
      </w:tr>
      <w:tr w:rsidR="00E8309B">
        <w:trPr>
          <w:trHeight w:val="713"/>
        </w:trPr>
        <w:tc>
          <w:tcPr>
            <w:tcW w:w="1210" w:type="dxa"/>
            <w:tcBorders>
              <w:top w:val="single" w:sz="8" w:space="0" w:color="000000"/>
              <w:left w:val="single" w:sz="8" w:space="0" w:color="000000"/>
              <w:bottom w:val="single" w:sz="8" w:space="0" w:color="000000"/>
              <w:right w:val="single" w:sz="8" w:space="0" w:color="000000"/>
            </w:tcBorders>
            <w:vAlign w:val="bottom"/>
          </w:tcPr>
          <w:p w:rsidR="00E8309B" w:rsidRDefault="009D0949">
            <w:pPr>
              <w:spacing w:after="0" w:line="259" w:lineRule="auto"/>
              <w:ind w:left="0" w:right="56" w:firstLine="0"/>
              <w:jc w:val="center"/>
            </w:pPr>
            <w:r>
              <w:rPr>
                <w:b/>
                <w:sz w:val="20"/>
              </w:rPr>
              <w:t>Година</w:t>
            </w:r>
            <w:r>
              <w:rPr>
                <w:sz w:val="20"/>
              </w:rPr>
              <w:t xml:space="preserve">  </w:t>
            </w:r>
          </w:p>
        </w:tc>
        <w:tc>
          <w:tcPr>
            <w:tcW w:w="1658"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0" w:firstLine="18"/>
              <w:jc w:val="center"/>
            </w:pPr>
            <w:r>
              <w:rPr>
                <w:sz w:val="20"/>
              </w:rPr>
              <w:t xml:space="preserve">Буџет централног нивоа државе </w:t>
            </w:r>
          </w:p>
        </w:tc>
        <w:tc>
          <w:tcPr>
            <w:tcW w:w="1532" w:type="dxa"/>
            <w:tcBorders>
              <w:top w:val="single" w:sz="8" w:space="0" w:color="000000"/>
              <w:left w:val="single" w:sz="8" w:space="0" w:color="000000"/>
              <w:bottom w:val="single" w:sz="8" w:space="0" w:color="000000"/>
              <w:right w:val="single" w:sz="8" w:space="0" w:color="000000"/>
            </w:tcBorders>
            <w:vAlign w:val="center"/>
          </w:tcPr>
          <w:p w:rsidR="00E8309B" w:rsidRDefault="009D0949">
            <w:pPr>
              <w:spacing w:after="0" w:line="259" w:lineRule="auto"/>
              <w:ind w:left="0" w:right="3" w:firstLine="0"/>
              <w:jc w:val="center"/>
            </w:pPr>
            <w:r>
              <w:rPr>
                <w:sz w:val="20"/>
              </w:rPr>
              <w:t xml:space="preserve">Локални буџети </w:t>
            </w:r>
          </w:p>
        </w:tc>
        <w:tc>
          <w:tcPr>
            <w:tcW w:w="1889"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0" w:firstLine="0"/>
              <w:jc w:val="center"/>
            </w:pPr>
            <w:r>
              <w:rPr>
                <w:sz w:val="20"/>
              </w:rPr>
              <w:t xml:space="preserve">Други домаћи извори јавних финансија </w:t>
            </w:r>
          </w:p>
        </w:tc>
        <w:tc>
          <w:tcPr>
            <w:tcW w:w="1592" w:type="dxa"/>
            <w:tcBorders>
              <w:top w:val="single" w:sz="8" w:space="0" w:color="000000"/>
              <w:left w:val="single" w:sz="8" w:space="0" w:color="000000"/>
              <w:bottom w:val="single" w:sz="8" w:space="0" w:color="000000"/>
              <w:right w:val="single" w:sz="8" w:space="0" w:color="000000"/>
            </w:tcBorders>
            <w:vAlign w:val="center"/>
          </w:tcPr>
          <w:p w:rsidR="00E8309B" w:rsidRDefault="009D0949">
            <w:pPr>
              <w:spacing w:after="0" w:line="259" w:lineRule="auto"/>
              <w:ind w:left="77" w:right="0" w:firstLine="0"/>
              <w:jc w:val="left"/>
            </w:pPr>
            <w:r>
              <w:rPr>
                <w:sz w:val="20"/>
              </w:rPr>
              <w:t xml:space="preserve">ИПА фондови </w:t>
            </w:r>
          </w:p>
        </w:tc>
        <w:tc>
          <w:tcPr>
            <w:tcW w:w="1481"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0" w:firstLine="0"/>
              <w:jc w:val="center"/>
            </w:pPr>
            <w:r>
              <w:rPr>
                <w:sz w:val="20"/>
              </w:rPr>
              <w:t xml:space="preserve">Друга бесповратна средства  </w:t>
            </w:r>
          </w:p>
        </w:tc>
        <w:tc>
          <w:tcPr>
            <w:tcW w:w="1757" w:type="dxa"/>
            <w:tcBorders>
              <w:top w:val="single" w:sz="8" w:space="0" w:color="000000"/>
              <w:left w:val="single" w:sz="8" w:space="0" w:color="000000"/>
              <w:bottom w:val="single" w:sz="8" w:space="0" w:color="000000"/>
              <w:right w:val="single" w:sz="8" w:space="0" w:color="000000"/>
            </w:tcBorders>
            <w:vAlign w:val="center"/>
          </w:tcPr>
          <w:p w:rsidR="00E8309B" w:rsidRDefault="009D0949">
            <w:pPr>
              <w:spacing w:after="0" w:line="259" w:lineRule="auto"/>
              <w:ind w:left="0" w:right="0" w:firstLine="0"/>
              <w:jc w:val="center"/>
            </w:pPr>
            <w:r>
              <w:rPr>
                <w:sz w:val="20"/>
              </w:rPr>
              <w:t xml:space="preserve">Пројектни кредити  </w:t>
            </w:r>
          </w:p>
        </w:tc>
        <w:tc>
          <w:tcPr>
            <w:tcW w:w="1481" w:type="dxa"/>
            <w:tcBorders>
              <w:top w:val="single" w:sz="8" w:space="0" w:color="000000"/>
              <w:left w:val="single" w:sz="8" w:space="0" w:color="000000"/>
              <w:bottom w:val="single" w:sz="8" w:space="0" w:color="000000"/>
              <w:right w:val="single" w:sz="8" w:space="0" w:color="000000"/>
            </w:tcBorders>
            <w:vAlign w:val="center"/>
          </w:tcPr>
          <w:p w:rsidR="00E8309B" w:rsidRDefault="009D0949">
            <w:pPr>
              <w:spacing w:after="0" w:line="259" w:lineRule="auto"/>
              <w:ind w:left="12" w:right="17" w:firstLine="0"/>
              <w:jc w:val="center"/>
            </w:pPr>
            <w:r>
              <w:rPr>
                <w:sz w:val="20"/>
              </w:rPr>
              <w:t xml:space="preserve">Тек треба да се утврди </w:t>
            </w:r>
          </w:p>
        </w:tc>
        <w:tc>
          <w:tcPr>
            <w:tcW w:w="1752" w:type="dxa"/>
            <w:tcBorders>
              <w:top w:val="single" w:sz="8" w:space="0" w:color="000000"/>
              <w:left w:val="single" w:sz="8" w:space="0" w:color="000000"/>
              <w:bottom w:val="single" w:sz="8" w:space="0" w:color="000000"/>
              <w:right w:val="single" w:sz="8" w:space="0" w:color="000000"/>
            </w:tcBorders>
            <w:vAlign w:val="center"/>
          </w:tcPr>
          <w:p w:rsidR="00E8309B" w:rsidRDefault="009D0949">
            <w:pPr>
              <w:spacing w:after="0" w:line="259" w:lineRule="auto"/>
              <w:ind w:left="0" w:right="52" w:firstLine="0"/>
              <w:jc w:val="center"/>
            </w:pPr>
            <w:r>
              <w:rPr>
                <w:sz w:val="20"/>
              </w:rPr>
              <w:t xml:space="preserve">Укупно </w:t>
            </w:r>
          </w:p>
        </w:tc>
      </w:tr>
      <w:tr w:rsidR="00E8309B">
        <w:trPr>
          <w:trHeight w:val="350"/>
        </w:trPr>
        <w:tc>
          <w:tcPr>
            <w:tcW w:w="1210" w:type="dxa"/>
            <w:tcBorders>
              <w:top w:val="single" w:sz="8" w:space="0" w:color="000000"/>
              <w:left w:val="single" w:sz="8" w:space="0" w:color="000000"/>
              <w:bottom w:val="single" w:sz="8" w:space="0" w:color="000000"/>
              <w:right w:val="single" w:sz="8" w:space="0" w:color="000000"/>
            </w:tcBorders>
            <w:vAlign w:val="bottom"/>
          </w:tcPr>
          <w:p w:rsidR="00E8309B" w:rsidRDefault="009D0949">
            <w:pPr>
              <w:spacing w:after="0" w:line="259" w:lineRule="auto"/>
              <w:ind w:left="0" w:right="54" w:firstLine="0"/>
              <w:jc w:val="center"/>
            </w:pPr>
            <w:r>
              <w:rPr>
                <w:sz w:val="20"/>
              </w:rPr>
              <w:t xml:space="preserve">2021 </w:t>
            </w:r>
          </w:p>
        </w:tc>
        <w:tc>
          <w:tcPr>
            <w:tcW w:w="1658" w:type="dxa"/>
            <w:tcBorders>
              <w:top w:val="single" w:sz="8" w:space="0" w:color="000000"/>
              <w:left w:val="single" w:sz="8" w:space="0" w:color="000000"/>
              <w:bottom w:val="single" w:sz="8" w:space="0" w:color="000000"/>
              <w:right w:val="single" w:sz="8" w:space="0" w:color="000000"/>
            </w:tcBorders>
            <w:vAlign w:val="bottom"/>
          </w:tcPr>
          <w:p w:rsidR="00E8309B" w:rsidRDefault="009D0949">
            <w:pPr>
              <w:spacing w:after="0" w:line="259" w:lineRule="auto"/>
              <w:ind w:left="0" w:right="55" w:firstLine="0"/>
              <w:jc w:val="right"/>
            </w:pPr>
            <w:r>
              <w:rPr>
                <w:sz w:val="20"/>
              </w:rPr>
              <w:t xml:space="preserve">4.296.463,33 </w:t>
            </w:r>
          </w:p>
        </w:tc>
        <w:tc>
          <w:tcPr>
            <w:tcW w:w="1532" w:type="dxa"/>
            <w:tcBorders>
              <w:top w:val="single" w:sz="8" w:space="0" w:color="000000"/>
              <w:left w:val="single" w:sz="8" w:space="0" w:color="000000"/>
              <w:bottom w:val="single" w:sz="8" w:space="0" w:color="000000"/>
              <w:right w:val="single" w:sz="8" w:space="0" w:color="000000"/>
            </w:tcBorders>
            <w:vAlign w:val="bottom"/>
          </w:tcPr>
          <w:p w:rsidR="00E8309B" w:rsidRDefault="009D0949">
            <w:pPr>
              <w:spacing w:after="0" w:line="259" w:lineRule="auto"/>
              <w:ind w:left="0" w:right="58" w:firstLine="0"/>
              <w:jc w:val="right"/>
            </w:pPr>
            <w:r>
              <w:rPr>
                <w:sz w:val="20"/>
              </w:rPr>
              <w:t xml:space="preserve">1.786.571,43 </w:t>
            </w:r>
          </w:p>
        </w:tc>
        <w:tc>
          <w:tcPr>
            <w:tcW w:w="1889" w:type="dxa"/>
            <w:tcBorders>
              <w:top w:val="single" w:sz="8" w:space="0" w:color="000000"/>
              <w:left w:val="single" w:sz="8" w:space="0" w:color="000000"/>
              <w:bottom w:val="single" w:sz="8" w:space="0" w:color="000000"/>
              <w:right w:val="single" w:sz="8" w:space="0" w:color="000000"/>
            </w:tcBorders>
            <w:vAlign w:val="bottom"/>
          </w:tcPr>
          <w:p w:rsidR="00E8309B" w:rsidRDefault="009D0949">
            <w:pPr>
              <w:spacing w:after="0" w:line="259" w:lineRule="auto"/>
              <w:ind w:left="0" w:right="56" w:firstLine="0"/>
              <w:jc w:val="right"/>
            </w:pPr>
            <w:r>
              <w:rPr>
                <w:sz w:val="20"/>
              </w:rPr>
              <w:t xml:space="preserve">0 </w:t>
            </w:r>
          </w:p>
        </w:tc>
        <w:tc>
          <w:tcPr>
            <w:tcW w:w="1592" w:type="dxa"/>
            <w:tcBorders>
              <w:top w:val="single" w:sz="8" w:space="0" w:color="000000"/>
              <w:left w:val="single" w:sz="8" w:space="0" w:color="000000"/>
              <w:bottom w:val="single" w:sz="8" w:space="0" w:color="000000"/>
              <w:right w:val="single" w:sz="8" w:space="0" w:color="000000"/>
            </w:tcBorders>
            <w:vAlign w:val="bottom"/>
          </w:tcPr>
          <w:p w:rsidR="00E8309B" w:rsidRDefault="009D0949">
            <w:pPr>
              <w:spacing w:after="0" w:line="259" w:lineRule="auto"/>
              <w:ind w:left="0" w:right="56" w:firstLine="0"/>
              <w:jc w:val="right"/>
            </w:pPr>
            <w:r>
              <w:rPr>
                <w:sz w:val="20"/>
              </w:rPr>
              <w:t xml:space="preserve">1.302.069,50 </w:t>
            </w:r>
          </w:p>
        </w:tc>
        <w:tc>
          <w:tcPr>
            <w:tcW w:w="1481" w:type="dxa"/>
            <w:tcBorders>
              <w:top w:val="single" w:sz="8" w:space="0" w:color="000000"/>
              <w:left w:val="single" w:sz="8" w:space="0" w:color="000000"/>
              <w:bottom w:val="single" w:sz="8" w:space="0" w:color="000000"/>
              <w:right w:val="single" w:sz="8" w:space="0" w:color="000000"/>
            </w:tcBorders>
            <w:vAlign w:val="bottom"/>
          </w:tcPr>
          <w:p w:rsidR="00E8309B" w:rsidRDefault="009D0949">
            <w:pPr>
              <w:spacing w:after="0" w:line="259" w:lineRule="auto"/>
              <w:ind w:left="0" w:right="53" w:firstLine="0"/>
              <w:jc w:val="right"/>
            </w:pPr>
            <w:r>
              <w:rPr>
                <w:sz w:val="20"/>
              </w:rPr>
              <w:t xml:space="preserve">6.024.948,67 </w:t>
            </w:r>
          </w:p>
        </w:tc>
        <w:tc>
          <w:tcPr>
            <w:tcW w:w="1757" w:type="dxa"/>
            <w:tcBorders>
              <w:top w:val="single" w:sz="8" w:space="0" w:color="000000"/>
              <w:left w:val="single" w:sz="8" w:space="0" w:color="000000"/>
              <w:bottom w:val="single" w:sz="8" w:space="0" w:color="000000"/>
              <w:right w:val="single" w:sz="8" w:space="0" w:color="000000"/>
            </w:tcBorders>
            <w:vAlign w:val="bottom"/>
          </w:tcPr>
          <w:p w:rsidR="00E8309B" w:rsidRDefault="009D0949">
            <w:pPr>
              <w:spacing w:after="0" w:line="259" w:lineRule="auto"/>
              <w:ind w:left="0" w:right="56" w:firstLine="0"/>
              <w:jc w:val="right"/>
            </w:pPr>
            <w:r>
              <w:rPr>
                <w:sz w:val="20"/>
              </w:rPr>
              <w:t xml:space="preserve">2.500.000,00 </w:t>
            </w:r>
          </w:p>
        </w:tc>
        <w:tc>
          <w:tcPr>
            <w:tcW w:w="1481" w:type="dxa"/>
            <w:tcBorders>
              <w:top w:val="single" w:sz="8" w:space="0" w:color="000000"/>
              <w:left w:val="single" w:sz="8" w:space="0" w:color="000000"/>
              <w:bottom w:val="single" w:sz="8" w:space="0" w:color="000000"/>
              <w:right w:val="single" w:sz="8" w:space="0" w:color="000000"/>
            </w:tcBorders>
            <w:vAlign w:val="bottom"/>
          </w:tcPr>
          <w:p w:rsidR="00E8309B" w:rsidRDefault="009D0949">
            <w:pPr>
              <w:spacing w:after="0" w:line="259" w:lineRule="auto"/>
              <w:ind w:left="0" w:right="55" w:firstLine="0"/>
              <w:jc w:val="right"/>
            </w:pPr>
            <w:r>
              <w:rPr>
                <w:sz w:val="20"/>
              </w:rPr>
              <w:t xml:space="preserve">260.000,00 </w:t>
            </w:r>
          </w:p>
        </w:tc>
        <w:tc>
          <w:tcPr>
            <w:tcW w:w="1752" w:type="dxa"/>
            <w:tcBorders>
              <w:top w:val="single" w:sz="8" w:space="0" w:color="000000"/>
              <w:left w:val="single" w:sz="8" w:space="0" w:color="000000"/>
              <w:bottom w:val="single" w:sz="8" w:space="0" w:color="000000"/>
              <w:right w:val="single" w:sz="8" w:space="0" w:color="000000"/>
            </w:tcBorders>
            <w:vAlign w:val="bottom"/>
          </w:tcPr>
          <w:p w:rsidR="00E8309B" w:rsidRDefault="009D0949">
            <w:pPr>
              <w:spacing w:after="0" w:line="259" w:lineRule="auto"/>
              <w:ind w:left="0" w:right="51" w:firstLine="0"/>
              <w:jc w:val="right"/>
            </w:pPr>
            <w:r>
              <w:rPr>
                <w:sz w:val="20"/>
              </w:rPr>
              <w:t xml:space="preserve">16.170.052,93 </w:t>
            </w:r>
          </w:p>
        </w:tc>
      </w:tr>
      <w:tr w:rsidR="00E8309B">
        <w:trPr>
          <w:trHeight w:val="351"/>
        </w:trPr>
        <w:tc>
          <w:tcPr>
            <w:tcW w:w="1210" w:type="dxa"/>
            <w:tcBorders>
              <w:top w:val="single" w:sz="8" w:space="0" w:color="000000"/>
              <w:left w:val="single" w:sz="8" w:space="0" w:color="000000"/>
              <w:bottom w:val="single" w:sz="8" w:space="0" w:color="000000"/>
              <w:right w:val="single" w:sz="8" w:space="0" w:color="000000"/>
            </w:tcBorders>
            <w:vAlign w:val="bottom"/>
          </w:tcPr>
          <w:p w:rsidR="00E8309B" w:rsidRDefault="009D0949">
            <w:pPr>
              <w:spacing w:after="0" w:line="259" w:lineRule="auto"/>
              <w:ind w:left="0" w:right="54" w:firstLine="0"/>
              <w:jc w:val="center"/>
            </w:pPr>
            <w:r>
              <w:rPr>
                <w:sz w:val="20"/>
              </w:rPr>
              <w:t xml:space="preserve">2022 </w:t>
            </w:r>
          </w:p>
        </w:tc>
        <w:tc>
          <w:tcPr>
            <w:tcW w:w="1658" w:type="dxa"/>
            <w:tcBorders>
              <w:top w:val="single" w:sz="8" w:space="0" w:color="000000"/>
              <w:left w:val="single" w:sz="8" w:space="0" w:color="000000"/>
              <w:bottom w:val="single" w:sz="8" w:space="0" w:color="000000"/>
              <w:right w:val="single" w:sz="8" w:space="0" w:color="000000"/>
            </w:tcBorders>
            <w:vAlign w:val="bottom"/>
          </w:tcPr>
          <w:p w:rsidR="00E8309B" w:rsidRDefault="009D0949">
            <w:pPr>
              <w:spacing w:after="0" w:line="259" w:lineRule="auto"/>
              <w:ind w:left="0" w:right="55" w:firstLine="0"/>
              <w:jc w:val="right"/>
            </w:pPr>
            <w:r>
              <w:rPr>
                <w:sz w:val="20"/>
              </w:rPr>
              <w:t xml:space="preserve">9.293.549,93 </w:t>
            </w:r>
          </w:p>
        </w:tc>
        <w:tc>
          <w:tcPr>
            <w:tcW w:w="1532" w:type="dxa"/>
            <w:tcBorders>
              <w:top w:val="single" w:sz="8" w:space="0" w:color="000000"/>
              <w:left w:val="single" w:sz="8" w:space="0" w:color="000000"/>
              <w:bottom w:val="single" w:sz="8" w:space="0" w:color="000000"/>
              <w:right w:val="single" w:sz="8" w:space="0" w:color="000000"/>
            </w:tcBorders>
            <w:vAlign w:val="bottom"/>
          </w:tcPr>
          <w:p w:rsidR="00E8309B" w:rsidRDefault="009D0949">
            <w:pPr>
              <w:spacing w:after="0" w:line="259" w:lineRule="auto"/>
              <w:ind w:left="0" w:right="56" w:firstLine="0"/>
              <w:jc w:val="right"/>
            </w:pPr>
            <w:r>
              <w:rPr>
                <w:sz w:val="20"/>
              </w:rPr>
              <w:t xml:space="preserve">1.928.571,43 </w:t>
            </w:r>
          </w:p>
        </w:tc>
        <w:tc>
          <w:tcPr>
            <w:tcW w:w="1889" w:type="dxa"/>
            <w:tcBorders>
              <w:top w:val="single" w:sz="8" w:space="0" w:color="000000"/>
              <w:left w:val="single" w:sz="8" w:space="0" w:color="000000"/>
              <w:bottom w:val="single" w:sz="8" w:space="0" w:color="000000"/>
              <w:right w:val="single" w:sz="8" w:space="0" w:color="000000"/>
            </w:tcBorders>
            <w:vAlign w:val="bottom"/>
          </w:tcPr>
          <w:p w:rsidR="00E8309B" w:rsidRDefault="009D0949">
            <w:pPr>
              <w:spacing w:after="0" w:line="259" w:lineRule="auto"/>
              <w:ind w:left="0" w:right="56" w:firstLine="0"/>
              <w:jc w:val="right"/>
            </w:pPr>
            <w:r>
              <w:rPr>
                <w:sz w:val="20"/>
              </w:rPr>
              <w:t xml:space="preserve">0 </w:t>
            </w:r>
          </w:p>
        </w:tc>
        <w:tc>
          <w:tcPr>
            <w:tcW w:w="1592" w:type="dxa"/>
            <w:tcBorders>
              <w:top w:val="single" w:sz="8" w:space="0" w:color="000000"/>
              <w:left w:val="single" w:sz="8" w:space="0" w:color="000000"/>
              <w:bottom w:val="single" w:sz="8" w:space="0" w:color="000000"/>
              <w:right w:val="single" w:sz="8" w:space="0" w:color="000000"/>
            </w:tcBorders>
            <w:vAlign w:val="bottom"/>
          </w:tcPr>
          <w:p w:rsidR="00E8309B" w:rsidRDefault="009D0949">
            <w:pPr>
              <w:spacing w:after="0" w:line="259" w:lineRule="auto"/>
              <w:ind w:left="0" w:right="56" w:firstLine="0"/>
              <w:jc w:val="right"/>
            </w:pPr>
            <w:r>
              <w:rPr>
                <w:sz w:val="20"/>
              </w:rPr>
              <w:t xml:space="preserve">4.778.829,25 </w:t>
            </w:r>
          </w:p>
        </w:tc>
        <w:tc>
          <w:tcPr>
            <w:tcW w:w="1481" w:type="dxa"/>
            <w:tcBorders>
              <w:top w:val="single" w:sz="8" w:space="0" w:color="000000"/>
              <w:left w:val="single" w:sz="8" w:space="0" w:color="000000"/>
              <w:bottom w:val="single" w:sz="8" w:space="0" w:color="000000"/>
              <w:right w:val="single" w:sz="8" w:space="0" w:color="000000"/>
            </w:tcBorders>
            <w:vAlign w:val="bottom"/>
          </w:tcPr>
          <w:p w:rsidR="00E8309B" w:rsidRDefault="009D0949">
            <w:pPr>
              <w:spacing w:after="0" w:line="259" w:lineRule="auto"/>
              <w:ind w:left="0" w:right="53" w:firstLine="0"/>
              <w:jc w:val="right"/>
            </w:pPr>
            <w:r>
              <w:rPr>
                <w:sz w:val="20"/>
              </w:rPr>
              <w:t xml:space="preserve">5.270.000,00 </w:t>
            </w:r>
          </w:p>
        </w:tc>
        <w:tc>
          <w:tcPr>
            <w:tcW w:w="1757" w:type="dxa"/>
            <w:tcBorders>
              <w:top w:val="single" w:sz="8" w:space="0" w:color="000000"/>
              <w:left w:val="single" w:sz="8" w:space="0" w:color="000000"/>
              <w:bottom w:val="single" w:sz="8" w:space="0" w:color="000000"/>
              <w:right w:val="single" w:sz="8" w:space="0" w:color="000000"/>
            </w:tcBorders>
            <w:vAlign w:val="bottom"/>
          </w:tcPr>
          <w:p w:rsidR="00E8309B" w:rsidRDefault="009D0949">
            <w:pPr>
              <w:spacing w:after="0" w:line="259" w:lineRule="auto"/>
              <w:ind w:left="0" w:right="56" w:firstLine="0"/>
              <w:jc w:val="right"/>
            </w:pPr>
            <w:r>
              <w:rPr>
                <w:sz w:val="20"/>
              </w:rPr>
              <w:t xml:space="preserve">24.700.000,00 </w:t>
            </w:r>
          </w:p>
        </w:tc>
        <w:tc>
          <w:tcPr>
            <w:tcW w:w="1481" w:type="dxa"/>
            <w:tcBorders>
              <w:top w:val="single" w:sz="8" w:space="0" w:color="000000"/>
              <w:left w:val="single" w:sz="8" w:space="0" w:color="000000"/>
              <w:bottom w:val="single" w:sz="8" w:space="0" w:color="000000"/>
              <w:right w:val="single" w:sz="8" w:space="0" w:color="000000"/>
            </w:tcBorders>
            <w:vAlign w:val="bottom"/>
          </w:tcPr>
          <w:p w:rsidR="00E8309B" w:rsidRDefault="009D0949">
            <w:pPr>
              <w:spacing w:after="0" w:line="259" w:lineRule="auto"/>
              <w:ind w:left="0" w:right="56" w:firstLine="0"/>
              <w:jc w:val="right"/>
            </w:pPr>
            <w:r>
              <w:rPr>
                <w:sz w:val="20"/>
              </w:rPr>
              <w:t xml:space="preserve">0 </w:t>
            </w:r>
          </w:p>
        </w:tc>
        <w:tc>
          <w:tcPr>
            <w:tcW w:w="1752" w:type="dxa"/>
            <w:tcBorders>
              <w:top w:val="single" w:sz="8" w:space="0" w:color="000000"/>
              <w:left w:val="single" w:sz="8" w:space="0" w:color="000000"/>
              <w:bottom w:val="single" w:sz="8" w:space="0" w:color="000000"/>
              <w:right w:val="single" w:sz="8" w:space="0" w:color="000000"/>
            </w:tcBorders>
            <w:vAlign w:val="bottom"/>
          </w:tcPr>
          <w:p w:rsidR="00E8309B" w:rsidRDefault="009D0949">
            <w:pPr>
              <w:spacing w:after="0" w:line="259" w:lineRule="auto"/>
              <w:ind w:left="0" w:right="49" w:firstLine="0"/>
              <w:jc w:val="right"/>
            </w:pPr>
            <w:r>
              <w:rPr>
                <w:sz w:val="20"/>
              </w:rPr>
              <w:t xml:space="preserve">45.970.950,61 </w:t>
            </w:r>
          </w:p>
        </w:tc>
      </w:tr>
      <w:tr w:rsidR="00E8309B">
        <w:trPr>
          <w:trHeight w:val="337"/>
        </w:trPr>
        <w:tc>
          <w:tcPr>
            <w:tcW w:w="1210"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4" w:firstLine="0"/>
              <w:jc w:val="center"/>
            </w:pPr>
            <w:r>
              <w:rPr>
                <w:sz w:val="20"/>
              </w:rPr>
              <w:t xml:space="preserve">2023 </w:t>
            </w:r>
          </w:p>
        </w:tc>
        <w:tc>
          <w:tcPr>
            <w:tcW w:w="1658"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5" w:firstLine="0"/>
              <w:jc w:val="right"/>
            </w:pPr>
            <w:r>
              <w:rPr>
                <w:sz w:val="20"/>
              </w:rPr>
              <w:t xml:space="preserve">9.224.200,00 </w:t>
            </w:r>
          </w:p>
        </w:tc>
        <w:tc>
          <w:tcPr>
            <w:tcW w:w="1532"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6" w:firstLine="0"/>
              <w:jc w:val="right"/>
            </w:pPr>
            <w:r>
              <w:rPr>
                <w:sz w:val="20"/>
              </w:rPr>
              <w:t xml:space="preserve">1.928.571,43 </w:t>
            </w:r>
          </w:p>
        </w:tc>
        <w:tc>
          <w:tcPr>
            <w:tcW w:w="1889"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6" w:firstLine="0"/>
              <w:jc w:val="right"/>
            </w:pPr>
            <w:r>
              <w:rPr>
                <w:sz w:val="20"/>
              </w:rPr>
              <w:t xml:space="preserve">0 </w:t>
            </w:r>
          </w:p>
        </w:tc>
        <w:tc>
          <w:tcPr>
            <w:tcW w:w="1592"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6" w:firstLine="0"/>
              <w:jc w:val="right"/>
            </w:pPr>
            <w:r>
              <w:rPr>
                <w:sz w:val="20"/>
              </w:rPr>
              <w:t xml:space="preserve">5.750.000,00 </w:t>
            </w:r>
          </w:p>
        </w:tc>
        <w:tc>
          <w:tcPr>
            <w:tcW w:w="1481"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5" w:firstLine="0"/>
              <w:jc w:val="right"/>
            </w:pPr>
            <w:r>
              <w:rPr>
                <w:sz w:val="20"/>
              </w:rPr>
              <w:t xml:space="preserve">1.370.000,00 </w:t>
            </w:r>
          </w:p>
        </w:tc>
        <w:tc>
          <w:tcPr>
            <w:tcW w:w="1757"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6" w:firstLine="0"/>
              <w:jc w:val="right"/>
            </w:pPr>
            <w:r>
              <w:rPr>
                <w:sz w:val="20"/>
              </w:rPr>
              <w:t xml:space="preserve">48.000.000,00 </w:t>
            </w:r>
          </w:p>
        </w:tc>
        <w:tc>
          <w:tcPr>
            <w:tcW w:w="1481"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6" w:firstLine="0"/>
              <w:jc w:val="right"/>
            </w:pPr>
            <w:r>
              <w:rPr>
                <w:sz w:val="20"/>
              </w:rPr>
              <w:t xml:space="preserve">0 </w:t>
            </w:r>
          </w:p>
        </w:tc>
        <w:tc>
          <w:tcPr>
            <w:tcW w:w="1752"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1" w:firstLine="0"/>
              <w:jc w:val="right"/>
            </w:pPr>
            <w:r>
              <w:rPr>
                <w:sz w:val="20"/>
              </w:rPr>
              <w:t xml:space="preserve">66.272.771,43 </w:t>
            </w:r>
          </w:p>
        </w:tc>
      </w:tr>
      <w:tr w:rsidR="00E8309B">
        <w:trPr>
          <w:trHeight w:val="474"/>
        </w:trPr>
        <w:tc>
          <w:tcPr>
            <w:tcW w:w="14352" w:type="dxa"/>
            <w:gridSpan w:val="9"/>
            <w:tcBorders>
              <w:top w:val="single" w:sz="8" w:space="0" w:color="000000"/>
              <w:left w:val="single" w:sz="8" w:space="0" w:color="000000"/>
              <w:bottom w:val="single" w:sz="8" w:space="0" w:color="000000"/>
              <w:right w:val="single" w:sz="8" w:space="0" w:color="000000"/>
            </w:tcBorders>
            <w:shd w:val="clear" w:color="auto" w:fill="D0CECE"/>
          </w:tcPr>
          <w:p w:rsidR="00E8309B" w:rsidRDefault="009D0949">
            <w:pPr>
              <w:spacing w:after="0" w:line="259" w:lineRule="auto"/>
              <w:ind w:left="0" w:right="0" w:firstLine="0"/>
              <w:jc w:val="left"/>
            </w:pPr>
            <w:r>
              <w:rPr>
                <w:b/>
                <w:sz w:val="20"/>
              </w:rPr>
              <w:t xml:space="preserve">3. Реформа железнице кроз усаглашавање регулаторног оквира и унапређење безбедности </w:t>
            </w:r>
          </w:p>
          <w:p w:rsidR="00E8309B" w:rsidRDefault="009D0949">
            <w:pPr>
              <w:spacing w:after="0" w:line="259" w:lineRule="auto"/>
              <w:ind w:left="0" w:right="0" w:firstLine="0"/>
              <w:jc w:val="left"/>
            </w:pPr>
            <w:r>
              <w:rPr>
                <w:b/>
                <w:sz w:val="20"/>
              </w:rPr>
              <w:t xml:space="preserve"> </w:t>
            </w:r>
          </w:p>
        </w:tc>
      </w:tr>
      <w:tr w:rsidR="00E8309B">
        <w:trPr>
          <w:trHeight w:val="713"/>
        </w:trPr>
        <w:tc>
          <w:tcPr>
            <w:tcW w:w="1210" w:type="dxa"/>
            <w:tcBorders>
              <w:top w:val="single" w:sz="8" w:space="0" w:color="000000"/>
              <w:left w:val="single" w:sz="8" w:space="0" w:color="000000"/>
              <w:bottom w:val="single" w:sz="8" w:space="0" w:color="000000"/>
              <w:right w:val="single" w:sz="8" w:space="0" w:color="000000"/>
            </w:tcBorders>
            <w:vAlign w:val="bottom"/>
          </w:tcPr>
          <w:p w:rsidR="00E8309B" w:rsidRDefault="009D0949">
            <w:pPr>
              <w:spacing w:after="0" w:line="259" w:lineRule="auto"/>
              <w:ind w:left="0" w:right="56" w:firstLine="0"/>
              <w:jc w:val="center"/>
            </w:pPr>
            <w:r>
              <w:rPr>
                <w:b/>
                <w:sz w:val="20"/>
              </w:rPr>
              <w:t>Година</w:t>
            </w:r>
            <w:r>
              <w:rPr>
                <w:sz w:val="20"/>
              </w:rPr>
              <w:t xml:space="preserve">  </w:t>
            </w:r>
          </w:p>
        </w:tc>
        <w:tc>
          <w:tcPr>
            <w:tcW w:w="1658"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0" w:firstLine="18"/>
              <w:jc w:val="center"/>
            </w:pPr>
            <w:r>
              <w:rPr>
                <w:sz w:val="20"/>
              </w:rPr>
              <w:t xml:space="preserve">Буџет централног нивоа државе </w:t>
            </w:r>
          </w:p>
        </w:tc>
        <w:tc>
          <w:tcPr>
            <w:tcW w:w="1532" w:type="dxa"/>
            <w:tcBorders>
              <w:top w:val="single" w:sz="8" w:space="0" w:color="000000"/>
              <w:left w:val="single" w:sz="8" w:space="0" w:color="000000"/>
              <w:bottom w:val="single" w:sz="8" w:space="0" w:color="000000"/>
              <w:right w:val="single" w:sz="8" w:space="0" w:color="000000"/>
            </w:tcBorders>
            <w:vAlign w:val="center"/>
          </w:tcPr>
          <w:p w:rsidR="00E8309B" w:rsidRDefault="009D0949">
            <w:pPr>
              <w:spacing w:after="0" w:line="259" w:lineRule="auto"/>
              <w:ind w:left="0" w:right="3" w:firstLine="0"/>
              <w:jc w:val="center"/>
            </w:pPr>
            <w:r>
              <w:rPr>
                <w:sz w:val="20"/>
              </w:rPr>
              <w:t xml:space="preserve">Локални буџети </w:t>
            </w:r>
          </w:p>
        </w:tc>
        <w:tc>
          <w:tcPr>
            <w:tcW w:w="1889"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0" w:firstLine="0"/>
              <w:jc w:val="center"/>
            </w:pPr>
            <w:r>
              <w:rPr>
                <w:sz w:val="20"/>
              </w:rPr>
              <w:t xml:space="preserve">Други домаћи извори јавних финансија </w:t>
            </w:r>
          </w:p>
        </w:tc>
        <w:tc>
          <w:tcPr>
            <w:tcW w:w="1592" w:type="dxa"/>
            <w:tcBorders>
              <w:top w:val="single" w:sz="8" w:space="0" w:color="000000"/>
              <w:left w:val="single" w:sz="8" w:space="0" w:color="000000"/>
              <w:bottom w:val="single" w:sz="8" w:space="0" w:color="000000"/>
              <w:right w:val="single" w:sz="8" w:space="0" w:color="000000"/>
            </w:tcBorders>
            <w:vAlign w:val="center"/>
          </w:tcPr>
          <w:p w:rsidR="00E8309B" w:rsidRDefault="009D0949">
            <w:pPr>
              <w:spacing w:after="0" w:line="259" w:lineRule="auto"/>
              <w:ind w:left="77" w:right="0" w:firstLine="0"/>
              <w:jc w:val="left"/>
            </w:pPr>
            <w:r>
              <w:rPr>
                <w:sz w:val="20"/>
              </w:rPr>
              <w:t xml:space="preserve">ИПА фондови </w:t>
            </w:r>
          </w:p>
        </w:tc>
        <w:tc>
          <w:tcPr>
            <w:tcW w:w="1481"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0" w:firstLine="0"/>
              <w:jc w:val="center"/>
            </w:pPr>
            <w:r>
              <w:rPr>
                <w:sz w:val="20"/>
              </w:rPr>
              <w:t xml:space="preserve">Друга бесповратна средства  </w:t>
            </w:r>
          </w:p>
        </w:tc>
        <w:tc>
          <w:tcPr>
            <w:tcW w:w="1757" w:type="dxa"/>
            <w:tcBorders>
              <w:top w:val="single" w:sz="8" w:space="0" w:color="000000"/>
              <w:left w:val="single" w:sz="8" w:space="0" w:color="000000"/>
              <w:bottom w:val="single" w:sz="8" w:space="0" w:color="000000"/>
              <w:right w:val="single" w:sz="8" w:space="0" w:color="000000"/>
            </w:tcBorders>
            <w:vAlign w:val="center"/>
          </w:tcPr>
          <w:p w:rsidR="00E8309B" w:rsidRDefault="009D0949">
            <w:pPr>
              <w:spacing w:after="0" w:line="259" w:lineRule="auto"/>
              <w:ind w:left="0" w:right="0" w:firstLine="0"/>
              <w:jc w:val="center"/>
            </w:pPr>
            <w:r>
              <w:rPr>
                <w:sz w:val="20"/>
              </w:rPr>
              <w:t xml:space="preserve">Пројектни кредити  </w:t>
            </w:r>
          </w:p>
        </w:tc>
        <w:tc>
          <w:tcPr>
            <w:tcW w:w="1481" w:type="dxa"/>
            <w:tcBorders>
              <w:top w:val="single" w:sz="8" w:space="0" w:color="000000"/>
              <w:left w:val="single" w:sz="8" w:space="0" w:color="000000"/>
              <w:bottom w:val="single" w:sz="8" w:space="0" w:color="000000"/>
              <w:right w:val="single" w:sz="8" w:space="0" w:color="000000"/>
            </w:tcBorders>
            <w:vAlign w:val="center"/>
          </w:tcPr>
          <w:p w:rsidR="00E8309B" w:rsidRDefault="009D0949">
            <w:pPr>
              <w:spacing w:after="0" w:line="259" w:lineRule="auto"/>
              <w:ind w:left="12" w:right="17" w:firstLine="0"/>
              <w:jc w:val="center"/>
            </w:pPr>
            <w:r>
              <w:rPr>
                <w:sz w:val="20"/>
              </w:rPr>
              <w:t xml:space="preserve">Тек треба да се утврди </w:t>
            </w:r>
          </w:p>
        </w:tc>
        <w:tc>
          <w:tcPr>
            <w:tcW w:w="1752" w:type="dxa"/>
            <w:tcBorders>
              <w:top w:val="single" w:sz="8" w:space="0" w:color="000000"/>
              <w:left w:val="single" w:sz="8" w:space="0" w:color="000000"/>
              <w:bottom w:val="single" w:sz="8" w:space="0" w:color="000000"/>
              <w:right w:val="single" w:sz="8" w:space="0" w:color="000000"/>
            </w:tcBorders>
            <w:vAlign w:val="center"/>
          </w:tcPr>
          <w:p w:rsidR="00E8309B" w:rsidRDefault="009D0949">
            <w:pPr>
              <w:spacing w:after="0" w:line="259" w:lineRule="auto"/>
              <w:ind w:left="0" w:right="52" w:firstLine="0"/>
              <w:jc w:val="center"/>
            </w:pPr>
            <w:r>
              <w:rPr>
                <w:sz w:val="20"/>
              </w:rPr>
              <w:t xml:space="preserve">Укупно </w:t>
            </w:r>
          </w:p>
        </w:tc>
      </w:tr>
      <w:tr w:rsidR="00E8309B">
        <w:trPr>
          <w:trHeight w:val="336"/>
        </w:trPr>
        <w:tc>
          <w:tcPr>
            <w:tcW w:w="1210"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4" w:firstLine="0"/>
              <w:jc w:val="center"/>
            </w:pPr>
            <w:r>
              <w:rPr>
                <w:sz w:val="20"/>
              </w:rPr>
              <w:t xml:space="preserve">2021 </w:t>
            </w:r>
          </w:p>
        </w:tc>
        <w:tc>
          <w:tcPr>
            <w:tcW w:w="1658"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5" w:firstLine="0"/>
              <w:jc w:val="right"/>
            </w:pPr>
            <w:r>
              <w:rPr>
                <w:sz w:val="20"/>
              </w:rPr>
              <w:t xml:space="preserve">48.937,00 </w:t>
            </w:r>
          </w:p>
        </w:tc>
        <w:tc>
          <w:tcPr>
            <w:tcW w:w="1532"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8" w:firstLine="0"/>
              <w:jc w:val="right"/>
            </w:pPr>
            <w:r>
              <w:rPr>
                <w:sz w:val="20"/>
              </w:rPr>
              <w:t xml:space="preserve">0 </w:t>
            </w:r>
          </w:p>
        </w:tc>
        <w:tc>
          <w:tcPr>
            <w:tcW w:w="1889"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6" w:firstLine="0"/>
              <w:jc w:val="right"/>
            </w:pPr>
            <w:r>
              <w:rPr>
                <w:sz w:val="20"/>
              </w:rPr>
              <w:t xml:space="preserve">0 </w:t>
            </w:r>
          </w:p>
        </w:tc>
        <w:tc>
          <w:tcPr>
            <w:tcW w:w="1592"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6" w:firstLine="0"/>
              <w:jc w:val="right"/>
            </w:pPr>
            <w:r>
              <w:rPr>
                <w:sz w:val="20"/>
              </w:rPr>
              <w:t xml:space="preserve">0 </w:t>
            </w:r>
          </w:p>
        </w:tc>
        <w:tc>
          <w:tcPr>
            <w:tcW w:w="1481"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6" w:firstLine="0"/>
              <w:jc w:val="right"/>
            </w:pPr>
            <w:r>
              <w:rPr>
                <w:sz w:val="20"/>
              </w:rPr>
              <w:t xml:space="preserve">0 </w:t>
            </w:r>
          </w:p>
        </w:tc>
        <w:tc>
          <w:tcPr>
            <w:tcW w:w="1757"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6" w:firstLine="0"/>
              <w:jc w:val="right"/>
            </w:pPr>
            <w:r>
              <w:rPr>
                <w:sz w:val="20"/>
              </w:rPr>
              <w:t xml:space="preserve">8.173.333,00 </w:t>
            </w:r>
          </w:p>
        </w:tc>
        <w:tc>
          <w:tcPr>
            <w:tcW w:w="1481"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6" w:firstLine="0"/>
              <w:jc w:val="right"/>
            </w:pPr>
            <w:r>
              <w:rPr>
                <w:sz w:val="20"/>
              </w:rPr>
              <w:t xml:space="preserve">0 </w:t>
            </w:r>
          </w:p>
        </w:tc>
        <w:tc>
          <w:tcPr>
            <w:tcW w:w="1752"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1" w:firstLine="0"/>
              <w:jc w:val="right"/>
            </w:pPr>
            <w:r>
              <w:rPr>
                <w:sz w:val="20"/>
              </w:rPr>
              <w:t xml:space="preserve">8.222.270,00 </w:t>
            </w:r>
          </w:p>
        </w:tc>
      </w:tr>
      <w:tr w:rsidR="00E8309B">
        <w:trPr>
          <w:trHeight w:val="334"/>
        </w:trPr>
        <w:tc>
          <w:tcPr>
            <w:tcW w:w="1210"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4" w:firstLine="0"/>
              <w:jc w:val="center"/>
            </w:pPr>
            <w:r>
              <w:rPr>
                <w:sz w:val="20"/>
              </w:rPr>
              <w:t xml:space="preserve">2022 </w:t>
            </w:r>
          </w:p>
        </w:tc>
        <w:tc>
          <w:tcPr>
            <w:tcW w:w="1658"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5" w:firstLine="0"/>
              <w:jc w:val="right"/>
            </w:pPr>
            <w:r>
              <w:rPr>
                <w:sz w:val="20"/>
              </w:rPr>
              <w:t xml:space="preserve">48.340,50 </w:t>
            </w:r>
          </w:p>
        </w:tc>
        <w:tc>
          <w:tcPr>
            <w:tcW w:w="1532"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8" w:firstLine="0"/>
              <w:jc w:val="right"/>
            </w:pPr>
            <w:r>
              <w:rPr>
                <w:sz w:val="20"/>
              </w:rPr>
              <w:t xml:space="preserve">0 </w:t>
            </w:r>
          </w:p>
        </w:tc>
        <w:tc>
          <w:tcPr>
            <w:tcW w:w="1889"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6" w:firstLine="0"/>
              <w:jc w:val="right"/>
            </w:pPr>
            <w:r>
              <w:rPr>
                <w:sz w:val="20"/>
              </w:rPr>
              <w:t xml:space="preserve">0 </w:t>
            </w:r>
          </w:p>
        </w:tc>
        <w:tc>
          <w:tcPr>
            <w:tcW w:w="1592"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6" w:firstLine="0"/>
              <w:jc w:val="right"/>
            </w:pPr>
            <w:r>
              <w:rPr>
                <w:sz w:val="20"/>
              </w:rPr>
              <w:t xml:space="preserve">0 </w:t>
            </w:r>
          </w:p>
        </w:tc>
        <w:tc>
          <w:tcPr>
            <w:tcW w:w="1481"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6" w:firstLine="0"/>
              <w:jc w:val="right"/>
            </w:pPr>
            <w:r>
              <w:rPr>
                <w:sz w:val="20"/>
              </w:rPr>
              <w:t xml:space="preserve">0 </w:t>
            </w:r>
          </w:p>
        </w:tc>
        <w:tc>
          <w:tcPr>
            <w:tcW w:w="1757"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6" w:firstLine="0"/>
              <w:jc w:val="right"/>
            </w:pPr>
            <w:r>
              <w:rPr>
                <w:sz w:val="20"/>
              </w:rPr>
              <w:t xml:space="preserve">6.603.333,00 </w:t>
            </w:r>
          </w:p>
        </w:tc>
        <w:tc>
          <w:tcPr>
            <w:tcW w:w="1481"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5" w:firstLine="0"/>
              <w:jc w:val="right"/>
            </w:pPr>
            <w:r>
              <w:rPr>
                <w:sz w:val="20"/>
              </w:rPr>
              <w:t xml:space="preserve">11.300.000,00 </w:t>
            </w:r>
          </w:p>
        </w:tc>
        <w:tc>
          <w:tcPr>
            <w:tcW w:w="1752"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1" w:firstLine="0"/>
              <w:jc w:val="right"/>
            </w:pPr>
            <w:r>
              <w:rPr>
                <w:sz w:val="20"/>
              </w:rPr>
              <w:t xml:space="preserve">17.951.673,50 </w:t>
            </w:r>
          </w:p>
        </w:tc>
      </w:tr>
      <w:tr w:rsidR="00E8309B">
        <w:trPr>
          <w:trHeight w:val="339"/>
        </w:trPr>
        <w:tc>
          <w:tcPr>
            <w:tcW w:w="1210"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4" w:firstLine="0"/>
              <w:jc w:val="center"/>
            </w:pPr>
            <w:r>
              <w:rPr>
                <w:sz w:val="20"/>
              </w:rPr>
              <w:t xml:space="preserve">2023 </w:t>
            </w:r>
          </w:p>
        </w:tc>
        <w:tc>
          <w:tcPr>
            <w:tcW w:w="1658"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4" w:firstLine="0"/>
              <w:jc w:val="right"/>
            </w:pPr>
            <w:r>
              <w:rPr>
                <w:sz w:val="20"/>
              </w:rPr>
              <w:t xml:space="preserve">48.340,50 </w:t>
            </w:r>
          </w:p>
        </w:tc>
        <w:tc>
          <w:tcPr>
            <w:tcW w:w="1532"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8" w:firstLine="0"/>
              <w:jc w:val="right"/>
            </w:pPr>
            <w:r>
              <w:rPr>
                <w:sz w:val="20"/>
              </w:rPr>
              <w:t xml:space="preserve">0 </w:t>
            </w:r>
          </w:p>
        </w:tc>
        <w:tc>
          <w:tcPr>
            <w:tcW w:w="1889"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6" w:firstLine="0"/>
              <w:jc w:val="right"/>
            </w:pPr>
            <w:r>
              <w:rPr>
                <w:sz w:val="20"/>
              </w:rPr>
              <w:t xml:space="preserve">0 </w:t>
            </w:r>
          </w:p>
        </w:tc>
        <w:tc>
          <w:tcPr>
            <w:tcW w:w="1592"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6" w:firstLine="0"/>
              <w:jc w:val="right"/>
            </w:pPr>
            <w:r>
              <w:rPr>
                <w:sz w:val="20"/>
              </w:rPr>
              <w:t xml:space="preserve">0 </w:t>
            </w:r>
          </w:p>
        </w:tc>
        <w:tc>
          <w:tcPr>
            <w:tcW w:w="1481"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6" w:firstLine="0"/>
              <w:jc w:val="right"/>
            </w:pPr>
            <w:r>
              <w:rPr>
                <w:sz w:val="20"/>
              </w:rPr>
              <w:t xml:space="preserve">0 </w:t>
            </w:r>
          </w:p>
        </w:tc>
        <w:tc>
          <w:tcPr>
            <w:tcW w:w="1757"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6" w:firstLine="0"/>
              <w:jc w:val="right"/>
            </w:pPr>
            <w:r>
              <w:rPr>
                <w:sz w:val="20"/>
              </w:rPr>
              <w:t xml:space="preserve">6.603.333,00 </w:t>
            </w:r>
          </w:p>
        </w:tc>
        <w:tc>
          <w:tcPr>
            <w:tcW w:w="1481"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5" w:firstLine="0"/>
              <w:jc w:val="right"/>
            </w:pPr>
            <w:r>
              <w:rPr>
                <w:sz w:val="20"/>
              </w:rPr>
              <w:t xml:space="preserve">11.300.000,00 </w:t>
            </w:r>
          </w:p>
        </w:tc>
        <w:tc>
          <w:tcPr>
            <w:tcW w:w="1752"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1" w:firstLine="0"/>
              <w:jc w:val="right"/>
            </w:pPr>
            <w:r>
              <w:rPr>
                <w:sz w:val="20"/>
              </w:rPr>
              <w:t xml:space="preserve">17.951.673,50 </w:t>
            </w:r>
          </w:p>
        </w:tc>
      </w:tr>
      <w:tr w:rsidR="00E8309B">
        <w:trPr>
          <w:trHeight w:val="331"/>
        </w:trPr>
        <w:tc>
          <w:tcPr>
            <w:tcW w:w="14352" w:type="dxa"/>
            <w:gridSpan w:val="9"/>
            <w:tcBorders>
              <w:top w:val="single" w:sz="8" w:space="0" w:color="000000"/>
              <w:left w:val="single" w:sz="8" w:space="0" w:color="000000"/>
              <w:bottom w:val="single" w:sz="8" w:space="0" w:color="000000"/>
              <w:right w:val="single" w:sz="8" w:space="0" w:color="000000"/>
            </w:tcBorders>
            <w:shd w:val="clear" w:color="auto" w:fill="D0CECE"/>
            <w:vAlign w:val="bottom"/>
          </w:tcPr>
          <w:p w:rsidR="00E8309B" w:rsidRDefault="009D0949">
            <w:pPr>
              <w:spacing w:after="0" w:line="259" w:lineRule="auto"/>
              <w:ind w:left="0" w:right="0" w:firstLine="0"/>
              <w:jc w:val="left"/>
            </w:pPr>
            <w:r>
              <w:rPr>
                <w:b/>
                <w:sz w:val="20"/>
              </w:rPr>
              <w:t xml:space="preserve">4. Унапређење процеса комасације  </w:t>
            </w:r>
          </w:p>
        </w:tc>
      </w:tr>
      <w:tr w:rsidR="00E8309B">
        <w:trPr>
          <w:trHeight w:val="706"/>
        </w:trPr>
        <w:tc>
          <w:tcPr>
            <w:tcW w:w="1210" w:type="dxa"/>
            <w:tcBorders>
              <w:top w:val="single" w:sz="8" w:space="0" w:color="000000"/>
              <w:left w:val="single" w:sz="8" w:space="0" w:color="000000"/>
              <w:bottom w:val="single" w:sz="4" w:space="0" w:color="000000"/>
              <w:right w:val="single" w:sz="8" w:space="0" w:color="000000"/>
            </w:tcBorders>
            <w:vAlign w:val="bottom"/>
          </w:tcPr>
          <w:p w:rsidR="00E8309B" w:rsidRDefault="009D0949">
            <w:pPr>
              <w:spacing w:after="0" w:line="259" w:lineRule="auto"/>
              <w:ind w:left="0" w:right="56" w:firstLine="0"/>
              <w:jc w:val="center"/>
            </w:pPr>
            <w:r>
              <w:rPr>
                <w:b/>
                <w:sz w:val="20"/>
              </w:rPr>
              <w:t>Година</w:t>
            </w:r>
            <w:r>
              <w:rPr>
                <w:sz w:val="20"/>
              </w:rPr>
              <w:t xml:space="preserve">  </w:t>
            </w:r>
          </w:p>
        </w:tc>
        <w:tc>
          <w:tcPr>
            <w:tcW w:w="1658" w:type="dxa"/>
            <w:tcBorders>
              <w:top w:val="single" w:sz="8" w:space="0" w:color="000000"/>
              <w:left w:val="single" w:sz="8" w:space="0" w:color="000000"/>
              <w:bottom w:val="single" w:sz="4" w:space="0" w:color="000000"/>
              <w:right w:val="single" w:sz="8" w:space="0" w:color="000000"/>
            </w:tcBorders>
          </w:tcPr>
          <w:p w:rsidR="00E8309B" w:rsidRDefault="009D0949">
            <w:pPr>
              <w:spacing w:after="0" w:line="259" w:lineRule="auto"/>
              <w:ind w:left="0" w:right="0" w:firstLine="18"/>
              <w:jc w:val="center"/>
            </w:pPr>
            <w:r>
              <w:rPr>
                <w:sz w:val="20"/>
              </w:rPr>
              <w:t xml:space="preserve">Буџет централног нивоа државе </w:t>
            </w:r>
          </w:p>
        </w:tc>
        <w:tc>
          <w:tcPr>
            <w:tcW w:w="1532" w:type="dxa"/>
            <w:tcBorders>
              <w:top w:val="single" w:sz="8" w:space="0" w:color="000000"/>
              <w:left w:val="single" w:sz="8" w:space="0" w:color="000000"/>
              <w:bottom w:val="single" w:sz="4" w:space="0" w:color="000000"/>
              <w:right w:val="single" w:sz="8" w:space="0" w:color="000000"/>
            </w:tcBorders>
            <w:vAlign w:val="center"/>
          </w:tcPr>
          <w:p w:rsidR="00E8309B" w:rsidRDefault="009D0949">
            <w:pPr>
              <w:spacing w:after="0" w:line="259" w:lineRule="auto"/>
              <w:ind w:left="0" w:right="3" w:firstLine="0"/>
              <w:jc w:val="center"/>
            </w:pPr>
            <w:r>
              <w:rPr>
                <w:sz w:val="20"/>
              </w:rPr>
              <w:t xml:space="preserve">Локални буџети </w:t>
            </w:r>
          </w:p>
        </w:tc>
        <w:tc>
          <w:tcPr>
            <w:tcW w:w="1889" w:type="dxa"/>
            <w:tcBorders>
              <w:top w:val="single" w:sz="8" w:space="0" w:color="000000"/>
              <w:left w:val="single" w:sz="8" w:space="0" w:color="000000"/>
              <w:bottom w:val="single" w:sz="4" w:space="0" w:color="000000"/>
              <w:right w:val="single" w:sz="8" w:space="0" w:color="000000"/>
            </w:tcBorders>
          </w:tcPr>
          <w:p w:rsidR="00E8309B" w:rsidRDefault="009D0949">
            <w:pPr>
              <w:spacing w:after="0" w:line="259" w:lineRule="auto"/>
              <w:ind w:left="0" w:right="0" w:firstLine="0"/>
              <w:jc w:val="center"/>
            </w:pPr>
            <w:r>
              <w:rPr>
                <w:sz w:val="20"/>
              </w:rPr>
              <w:t xml:space="preserve">Други домаћи извори јавних финансија </w:t>
            </w:r>
          </w:p>
        </w:tc>
        <w:tc>
          <w:tcPr>
            <w:tcW w:w="1592" w:type="dxa"/>
            <w:tcBorders>
              <w:top w:val="single" w:sz="8" w:space="0" w:color="000000"/>
              <w:left w:val="single" w:sz="8" w:space="0" w:color="000000"/>
              <w:bottom w:val="single" w:sz="4" w:space="0" w:color="000000"/>
              <w:right w:val="single" w:sz="8" w:space="0" w:color="000000"/>
            </w:tcBorders>
            <w:vAlign w:val="center"/>
          </w:tcPr>
          <w:p w:rsidR="00E8309B" w:rsidRDefault="009D0949">
            <w:pPr>
              <w:spacing w:after="0" w:line="259" w:lineRule="auto"/>
              <w:ind w:left="77" w:right="0" w:firstLine="0"/>
              <w:jc w:val="left"/>
            </w:pPr>
            <w:r>
              <w:rPr>
                <w:sz w:val="20"/>
              </w:rPr>
              <w:t xml:space="preserve">ИПА фондови </w:t>
            </w:r>
          </w:p>
        </w:tc>
        <w:tc>
          <w:tcPr>
            <w:tcW w:w="1481" w:type="dxa"/>
            <w:tcBorders>
              <w:top w:val="single" w:sz="8" w:space="0" w:color="000000"/>
              <w:left w:val="single" w:sz="8" w:space="0" w:color="000000"/>
              <w:bottom w:val="single" w:sz="4" w:space="0" w:color="000000"/>
              <w:right w:val="single" w:sz="8" w:space="0" w:color="000000"/>
            </w:tcBorders>
          </w:tcPr>
          <w:p w:rsidR="00E8309B" w:rsidRDefault="009D0949">
            <w:pPr>
              <w:spacing w:after="0" w:line="259" w:lineRule="auto"/>
              <w:ind w:left="0" w:right="0" w:firstLine="0"/>
              <w:jc w:val="center"/>
            </w:pPr>
            <w:r>
              <w:rPr>
                <w:sz w:val="20"/>
              </w:rPr>
              <w:t xml:space="preserve">Друга бесповратна средства  </w:t>
            </w:r>
          </w:p>
        </w:tc>
        <w:tc>
          <w:tcPr>
            <w:tcW w:w="1757" w:type="dxa"/>
            <w:tcBorders>
              <w:top w:val="single" w:sz="8" w:space="0" w:color="000000"/>
              <w:left w:val="single" w:sz="8" w:space="0" w:color="000000"/>
              <w:bottom w:val="single" w:sz="4" w:space="0" w:color="000000"/>
              <w:right w:val="single" w:sz="8" w:space="0" w:color="000000"/>
            </w:tcBorders>
            <w:vAlign w:val="center"/>
          </w:tcPr>
          <w:p w:rsidR="00E8309B" w:rsidRDefault="009D0949">
            <w:pPr>
              <w:spacing w:after="0" w:line="259" w:lineRule="auto"/>
              <w:ind w:left="0" w:right="0" w:firstLine="0"/>
              <w:jc w:val="center"/>
            </w:pPr>
            <w:r>
              <w:rPr>
                <w:sz w:val="20"/>
              </w:rPr>
              <w:t xml:space="preserve">Пројектни кредити  </w:t>
            </w:r>
          </w:p>
        </w:tc>
        <w:tc>
          <w:tcPr>
            <w:tcW w:w="1481" w:type="dxa"/>
            <w:tcBorders>
              <w:top w:val="single" w:sz="8" w:space="0" w:color="000000"/>
              <w:left w:val="single" w:sz="8" w:space="0" w:color="000000"/>
              <w:bottom w:val="single" w:sz="4" w:space="0" w:color="000000"/>
              <w:right w:val="single" w:sz="8" w:space="0" w:color="000000"/>
            </w:tcBorders>
            <w:vAlign w:val="center"/>
          </w:tcPr>
          <w:p w:rsidR="00E8309B" w:rsidRDefault="009D0949">
            <w:pPr>
              <w:spacing w:after="0" w:line="259" w:lineRule="auto"/>
              <w:ind w:left="12" w:right="17" w:firstLine="0"/>
              <w:jc w:val="center"/>
            </w:pPr>
            <w:r>
              <w:rPr>
                <w:sz w:val="20"/>
              </w:rPr>
              <w:t xml:space="preserve">Тек треба да се утврди </w:t>
            </w:r>
          </w:p>
        </w:tc>
        <w:tc>
          <w:tcPr>
            <w:tcW w:w="1752" w:type="dxa"/>
            <w:tcBorders>
              <w:top w:val="single" w:sz="8" w:space="0" w:color="000000"/>
              <w:left w:val="single" w:sz="8" w:space="0" w:color="000000"/>
              <w:bottom w:val="single" w:sz="4" w:space="0" w:color="000000"/>
              <w:right w:val="single" w:sz="8" w:space="0" w:color="000000"/>
            </w:tcBorders>
            <w:vAlign w:val="center"/>
          </w:tcPr>
          <w:p w:rsidR="00E8309B" w:rsidRDefault="009D0949">
            <w:pPr>
              <w:spacing w:after="0" w:line="259" w:lineRule="auto"/>
              <w:ind w:left="0" w:right="52" w:firstLine="0"/>
              <w:jc w:val="center"/>
            </w:pPr>
            <w:r>
              <w:rPr>
                <w:sz w:val="20"/>
              </w:rPr>
              <w:t xml:space="preserve">Укупно </w:t>
            </w:r>
          </w:p>
        </w:tc>
      </w:tr>
      <w:tr w:rsidR="00E8309B">
        <w:trPr>
          <w:trHeight w:val="331"/>
        </w:trPr>
        <w:tc>
          <w:tcPr>
            <w:tcW w:w="1210" w:type="dxa"/>
            <w:tcBorders>
              <w:top w:val="single" w:sz="4" w:space="0" w:color="000000"/>
              <w:left w:val="single" w:sz="8" w:space="0" w:color="000000"/>
              <w:bottom w:val="single" w:sz="8" w:space="0" w:color="000000"/>
              <w:right w:val="single" w:sz="8" w:space="0" w:color="000000"/>
            </w:tcBorders>
          </w:tcPr>
          <w:p w:rsidR="00E8309B" w:rsidRDefault="009D0949">
            <w:pPr>
              <w:spacing w:after="0" w:line="259" w:lineRule="auto"/>
              <w:ind w:left="0" w:right="54" w:firstLine="0"/>
              <w:jc w:val="center"/>
            </w:pPr>
            <w:r>
              <w:rPr>
                <w:sz w:val="20"/>
              </w:rPr>
              <w:t xml:space="preserve">2021 </w:t>
            </w:r>
          </w:p>
        </w:tc>
        <w:tc>
          <w:tcPr>
            <w:tcW w:w="1658" w:type="dxa"/>
            <w:tcBorders>
              <w:top w:val="single" w:sz="4" w:space="0" w:color="000000"/>
              <w:left w:val="single" w:sz="8" w:space="0" w:color="000000"/>
              <w:bottom w:val="single" w:sz="8" w:space="0" w:color="000000"/>
              <w:right w:val="single" w:sz="8" w:space="0" w:color="000000"/>
            </w:tcBorders>
          </w:tcPr>
          <w:p w:rsidR="00E8309B" w:rsidRDefault="009D0949">
            <w:pPr>
              <w:spacing w:after="0" w:line="259" w:lineRule="auto"/>
              <w:ind w:left="0" w:right="54" w:firstLine="0"/>
              <w:jc w:val="right"/>
            </w:pPr>
            <w:r>
              <w:rPr>
                <w:sz w:val="20"/>
              </w:rPr>
              <w:t xml:space="preserve">410.452,00 </w:t>
            </w:r>
          </w:p>
        </w:tc>
        <w:tc>
          <w:tcPr>
            <w:tcW w:w="1532" w:type="dxa"/>
            <w:tcBorders>
              <w:top w:val="single" w:sz="4" w:space="0" w:color="000000"/>
              <w:left w:val="single" w:sz="8" w:space="0" w:color="000000"/>
              <w:bottom w:val="single" w:sz="8" w:space="0" w:color="000000"/>
              <w:right w:val="single" w:sz="8" w:space="0" w:color="000000"/>
            </w:tcBorders>
          </w:tcPr>
          <w:p w:rsidR="00E8309B" w:rsidRDefault="009D0949">
            <w:pPr>
              <w:spacing w:after="0" w:line="259" w:lineRule="auto"/>
              <w:ind w:left="0" w:right="58" w:firstLine="0"/>
              <w:jc w:val="right"/>
            </w:pPr>
            <w:r>
              <w:rPr>
                <w:sz w:val="20"/>
              </w:rPr>
              <w:t xml:space="preserve">0 </w:t>
            </w:r>
          </w:p>
        </w:tc>
        <w:tc>
          <w:tcPr>
            <w:tcW w:w="1889" w:type="dxa"/>
            <w:tcBorders>
              <w:top w:val="single" w:sz="4" w:space="0" w:color="000000"/>
              <w:left w:val="single" w:sz="8" w:space="0" w:color="000000"/>
              <w:bottom w:val="single" w:sz="8" w:space="0" w:color="000000"/>
              <w:right w:val="single" w:sz="8" w:space="0" w:color="000000"/>
            </w:tcBorders>
          </w:tcPr>
          <w:p w:rsidR="00E8309B" w:rsidRDefault="009D0949">
            <w:pPr>
              <w:spacing w:after="0" w:line="259" w:lineRule="auto"/>
              <w:ind w:left="0" w:right="56" w:firstLine="0"/>
              <w:jc w:val="right"/>
            </w:pPr>
            <w:r>
              <w:rPr>
                <w:sz w:val="20"/>
              </w:rPr>
              <w:t xml:space="preserve">0 </w:t>
            </w:r>
          </w:p>
        </w:tc>
        <w:tc>
          <w:tcPr>
            <w:tcW w:w="1592" w:type="dxa"/>
            <w:tcBorders>
              <w:top w:val="single" w:sz="4" w:space="0" w:color="000000"/>
              <w:left w:val="single" w:sz="8" w:space="0" w:color="000000"/>
              <w:bottom w:val="single" w:sz="8" w:space="0" w:color="000000"/>
              <w:right w:val="single" w:sz="8" w:space="0" w:color="000000"/>
            </w:tcBorders>
          </w:tcPr>
          <w:p w:rsidR="00E8309B" w:rsidRDefault="009D0949">
            <w:pPr>
              <w:spacing w:after="0" w:line="259" w:lineRule="auto"/>
              <w:ind w:left="0" w:right="56" w:firstLine="0"/>
              <w:jc w:val="right"/>
            </w:pPr>
            <w:r>
              <w:rPr>
                <w:sz w:val="20"/>
              </w:rPr>
              <w:t xml:space="preserve">0 </w:t>
            </w:r>
          </w:p>
        </w:tc>
        <w:tc>
          <w:tcPr>
            <w:tcW w:w="1481" w:type="dxa"/>
            <w:tcBorders>
              <w:top w:val="single" w:sz="4" w:space="0" w:color="000000"/>
              <w:left w:val="single" w:sz="8" w:space="0" w:color="000000"/>
              <w:bottom w:val="single" w:sz="8" w:space="0" w:color="000000"/>
              <w:right w:val="single" w:sz="8" w:space="0" w:color="000000"/>
            </w:tcBorders>
          </w:tcPr>
          <w:p w:rsidR="00E8309B" w:rsidRDefault="009D0949">
            <w:pPr>
              <w:spacing w:after="0" w:line="259" w:lineRule="auto"/>
              <w:ind w:left="0" w:right="56" w:firstLine="0"/>
              <w:jc w:val="right"/>
            </w:pPr>
            <w:r>
              <w:rPr>
                <w:sz w:val="20"/>
              </w:rPr>
              <w:t xml:space="preserve">0 </w:t>
            </w:r>
          </w:p>
        </w:tc>
        <w:tc>
          <w:tcPr>
            <w:tcW w:w="1757" w:type="dxa"/>
            <w:tcBorders>
              <w:top w:val="single" w:sz="4" w:space="0" w:color="000000"/>
              <w:left w:val="single" w:sz="8" w:space="0" w:color="000000"/>
              <w:bottom w:val="single" w:sz="8" w:space="0" w:color="000000"/>
              <w:right w:val="single" w:sz="8" w:space="0" w:color="000000"/>
            </w:tcBorders>
          </w:tcPr>
          <w:p w:rsidR="00E8309B" w:rsidRDefault="009D0949">
            <w:pPr>
              <w:spacing w:after="0" w:line="259" w:lineRule="auto"/>
              <w:ind w:left="0" w:right="56" w:firstLine="0"/>
              <w:jc w:val="right"/>
            </w:pPr>
            <w:r>
              <w:rPr>
                <w:sz w:val="20"/>
              </w:rPr>
              <w:t>0</w:t>
            </w:r>
            <w:r>
              <w:rPr>
                <w:sz w:val="20"/>
              </w:rPr>
              <w:t xml:space="preserve"> </w:t>
            </w:r>
          </w:p>
        </w:tc>
        <w:tc>
          <w:tcPr>
            <w:tcW w:w="1481" w:type="dxa"/>
            <w:tcBorders>
              <w:top w:val="single" w:sz="4" w:space="0" w:color="000000"/>
              <w:left w:val="single" w:sz="8" w:space="0" w:color="000000"/>
              <w:bottom w:val="single" w:sz="8" w:space="0" w:color="000000"/>
              <w:right w:val="single" w:sz="8" w:space="0" w:color="000000"/>
            </w:tcBorders>
          </w:tcPr>
          <w:p w:rsidR="00E8309B" w:rsidRDefault="009D0949">
            <w:pPr>
              <w:spacing w:after="0" w:line="259" w:lineRule="auto"/>
              <w:ind w:left="0" w:right="56" w:firstLine="0"/>
              <w:jc w:val="right"/>
            </w:pPr>
            <w:r>
              <w:rPr>
                <w:sz w:val="20"/>
              </w:rPr>
              <w:t xml:space="preserve">0 </w:t>
            </w:r>
          </w:p>
        </w:tc>
        <w:tc>
          <w:tcPr>
            <w:tcW w:w="1752" w:type="dxa"/>
            <w:tcBorders>
              <w:top w:val="single" w:sz="4" w:space="0" w:color="000000"/>
              <w:left w:val="single" w:sz="8" w:space="0" w:color="000000"/>
              <w:bottom w:val="single" w:sz="8" w:space="0" w:color="000000"/>
              <w:right w:val="single" w:sz="8" w:space="0" w:color="000000"/>
            </w:tcBorders>
          </w:tcPr>
          <w:p w:rsidR="00E8309B" w:rsidRDefault="009D0949">
            <w:pPr>
              <w:spacing w:after="0" w:line="259" w:lineRule="auto"/>
              <w:ind w:left="0" w:right="49" w:firstLine="0"/>
              <w:jc w:val="right"/>
            </w:pPr>
            <w:r>
              <w:rPr>
                <w:sz w:val="20"/>
              </w:rPr>
              <w:t xml:space="preserve">410.452,00 </w:t>
            </w:r>
          </w:p>
        </w:tc>
      </w:tr>
      <w:tr w:rsidR="00E8309B">
        <w:trPr>
          <w:trHeight w:val="334"/>
        </w:trPr>
        <w:tc>
          <w:tcPr>
            <w:tcW w:w="1210"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4" w:firstLine="0"/>
              <w:jc w:val="center"/>
            </w:pPr>
            <w:r>
              <w:rPr>
                <w:sz w:val="20"/>
              </w:rPr>
              <w:t xml:space="preserve">2022 </w:t>
            </w:r>
          </w:p>
        </w:tc>
        <w:tc>
          <w:tcPr>
            <w:tcW w:w="1658"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4" w:firstLine="0"/>
              <w:jc w:val="right"/>
            </w:pPr>
            <w:r>
              <w:rPr>
                <w:sz w:val="20"/>
              </w:rPr>
              <w:t xml:space="preserve">510.452,00 </w:t>
            </w:r>
          </w:p>
        </w:tc>
        <w:tc>
          <w:tcPr>
            <w:tcW w:w="1532"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8" w:firstLine="0"/>
              <w:jc w:val="right"/>
            </w:pPr>
            <w:r>
              <w:rPr>
                <w:sz w:val="20"/>
              </w:rPr>
              <w:t xml:space="preserve">0 </w:t>
            </w:r>
          </w:p>
        </w:tc>
        <w:tc>
          <w:tcPr>
            <w:tcW w:w="1889"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6" w:firstLine="0"/>
              <w:jc w:val="right"/>
            </w:pPr>
            <w:r>
              <w:rPr>
                <w:sz w:val="20"/>
              </w:rPr>
              <w:t xml:space="preserve">0 </w:t>
            </w:r>
          </w:p>
        </w:tc>
        <w:tc>
          <w:tcPr>
            <w:tcW w:w="1592"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6" w:firstLine="0"/>
              <w:jc w:val="right"/>
            </w:pPr>
            <w:r>
              <w:rPr>
                <w:sz w:val="20"/>
              </w:rPr>
              <w:t xml:space="preserve">0 </w:t>
            </w:r>
          </w:p>
        </w:tc>
        <w:tc>
          <w:tcPr>
            <w:tcW w:w="1481"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5" w:firstLine="0"/>
              <w:jc w:val="right"/>
            </w:pPr>
            <w:r>
              <w:rPr>
                <w:sz w:val="20"/>
              </w:rPr>
              <w:t xml:space="preserve">200.000,00 </w:t>
            </w:r>
          </w:p>
        </w:tc>
        <w:tc>
          <w:tcPr>
            <w:tcW w:w="1757"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6" w:firstLine="0"/>
              <w:jc w:val="right"/>
            </w:pPr>
            <w:r>
              <w:rPr>
                <w:sz w:val="20"/>
              </w:rPr>
              <w:t xml:space="preserve">0 </w:t>
            </w:r>
          </w:p>
        </w:tc>
        <w:tc>
          <w:tcPr>
            <w:tcW w:w="1481"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4" w:firstLine="0"/>
              <w:jc w:val="right"/>
            </w:pPr>
            <w:r>
              <w:rPr>
                <w:sz w:val="20"/>
              </w:rPr>
              <w:t xml:space="preserve">691.808,00 </w:t>
            </w:r>
          </w:p>
        </w:tc>
        <w:tc>
          <w:tcPr>
            <w:tcW w:w="1752"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49" w:firstLine="0"/>
              <w:jc w:val="right"/>
            </w:pPr>
            <w:r>
              <w:rPr>
                <w:sz w:val="20"/>
              </w:rPr>
              <w:t xml:space="preserve">1.402.260,00 </w:t>
            </w:r>
          </w:p>
        </w:tc>
      </w:tr>
      <w:tr w:rsidR="00E8309B">
        <w:trPr>
          <w:trHeight w:val="336"/>
        </w:trPr>
        <w:tc>
          <w:tcPr>
            <w:tcW w:w="1210"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4" w:firstLine="0"/>
              <w:jc w:val="center"/>
            </w:pPr>
            <w:r>
              <w:rPr>
                <w:sz w:val="20"/>
              </w:rPr>
              <w:t xml:space="preserve">2023 </w:t>
            </w:r>
          </w:p>
        </w:tc>
        <w:tc>
          <w:tcPr>
            <w:tcW w:w="1658"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4" w:firstLine="0"/>
              <w:jc w:val="right"/>
            </w:pPr>
            <w:r>
              <w:rPr>
                <w:sz w:val="20"/>
              </w:rPr>
              <w:t xml:space="preserve">760.452,00 </w:t>
            </w:r>
          </w:p>
        </w:tc>
        <w:tc>
          <w:tcPr>
            <w:tcW w:w="1532"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8" w:firstLine="0"/>
              <w:jc w:val="right"/>
            </w:pPr>
            <w:r>
              <w:rPr>
                <w:sz w:val="20"/>
              </w:rPr>
              <w:t xml:space="preserve">0 </w:t>
            </w:r>
          </w:p>
        </w:tc>
        <w:tc>
          <w:tcPr>
            <w:tcW w:w="1889"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6" w:firstLine="0"/>
              <w:jc w:val="right"/>
            </w:pPr>
            <w:r>
              <w:rPr>
                <w:sz w:val="20"/>
              </w:rPr>
              <w:t xml:space="preserve">0 </w:t>
            </w:r>
          </w:p>
        </w:tc>
        <w:tc>
          <w:tcPr>
            <w:tcW w:w="1592"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6" w:firstLine="0"/>
              <w:jc w:val="right"/>
            </w:pPr>
            <w:r>
              <w:rPr>
                <w:sz w:val="20"/>
              </w:rPr>
              <w:t xml:space="preserve">1.300.000,00 </w:t>
            </w:r>
          </w:p>
        </w:tc>
        <w:tc>
          <w:tcPr>
            <w:tcW w:w="1481"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6" w:firstLine="0"/>
              <w:jc w:val="right"/>
            </w:pPr>
            <w:r>
              <w:rPr>
                <w:sz w:val="20"/>
              </w:rPr>
              <w:t xml:space="preserve">0 </w:t>
            </w:r>
          </w:p>
        </w:tc>
        <w:tc>
          <w:tcPr>
            <w:tcW w:w="1757"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6" w:firstLine="0"/>
              <w:jc w:val="right"/>
            </w:pPr>
            <w:r>
              <w:rPr>
                <w:sz w:val="20"/>
              </w:rPr>
              <w:t xml:space="preserve">0 </w:t>
            </w:r>
          </w:p>
        </w:tc>
        <w:tc>
          <w:tcPr>
            <w:tcW w:w="1481"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5" w:firstLine="0"/>
              <w:jc w:val="right"/>
            </w:pPr>
            <w:r>
              <w:rPr>
                <w:sz w:val="20"/>
              </w:rPr>
              <w:t xml:space="preserve">41.808,00 </w:t>
            </w:r>
          </w:p>
        </w:tc>
        <w:tc>
          <w:tcPr>
            <w:tcW w:w="1752"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49" w:firstLine="0"/>
              <w:jc w:val="right"/>
            </w:pPr>
            <w:r>
              <w:rPr>
                <w:sz w:val="20"/>
              </w:rPr>
              <w:t xml:space="preserve">2.102.260,00 </w:t>
            </w:r>
          </w:p>
        </w:tc>
      </w:tr>
    </w:tbl>
    <w:p w:rsidR="00E8309B" w:rsidRDefault="00E8309B">
      <w:pPr>
        <w:spacing w:after="0" w:line="259" w:lineRule="auto"/>
        <w:ind w:left="-1138" w:right="10666" w:firstLine="0"/>
        <w:jc w:val="left"/>
      </w:pPr>
    </w:p>
    <w:tbl>
      <w:tblPr>
        <w:tblStyle w:val="TableGrid"/>
        <w:tblW w:w="14352" w:type="dxa"/>
        <w:tblInd w:w="12" w:type="dxa"/>
        <w:tblCellMar>
          <w:top w:w="56" w:type="dxa"/>
          <w:left w:w="106" w:type="dxa"/>
          <w:bottom w:w="7" w:type="dxa"/>
          <w:right w:w="53" w:type="dxa"/>
        </w:tblCellMar>
        <w:tblLook w:val="04A0" w:firstRow="1" w:lastRow="0" w:firstColumn="1" w:lastColumn="0" w:noHBand="0" w:noVBand="1"/>
      </w:tblPr>
      <w:tblGrid>
        <w:gridCol w:w="1210"/>
        <w:gridCol w:w="1658"/>
        <w:gridCol w:w="1532"/>
        <w:gridCol w:w="1889"/>
        <w:gridCol w:w="1592"/>
        <w:gridCol w:w="1481"/>
        <w:gridCol w:w="1757"/>
        <w:gridCol w:w="1481"/>
        <w:gridCol w:w="1752"/>
      </w:tblGrid>
      <w:tr w:rsidR="00E8309B">
        <w:trPr>
          <w:trHeight w:val="698"/>
        </w:trPr>
        <w:tc>
          <w:tcPr>
            <w:tcW w:w="11119" w:type="dxa"/>
            <w:gridSpan w:val="7"/>
            <w:tcBorders>
              <w:top w:val="single" w:sz="8" w:space="0" w:color="000000"/>
              <w:left w:val="single" w:sz="8" w:space="0" w:color="000000"/>
              <w:bottom w:val="single" w:sz="8" w:space="0" w:color="000000"/>
              <w:right w:val="nil"/>
            </w:tcBorders>
            <w:shd w:val="clear" w:color="auto" w:fill="D0CECE"/>
            <w:vAlign w:val="bottom"/>
          </w:tcPr>
          <w:p w:rsidR="00E8309B" w:rsidRDefault="009D0949">
            <w:pPr>
              <w:spacing w:after="0" w:line="259" w:lineRule="auto"/>
              <w:ind w:left="0" w:right="0" w:firstLine="0"/>
              <w:jc w:val="left"/>
            </w:pPr>
            <w:r>
              <w:rPr>
                <w:b/>
                <w:sz w:val="20"/>
              </w:rPr>
              <w:t xml:space="preserve">5. Унапређење система финансијске подршке пољопривреди кроз дигитализацију и аутоматизацију процеса </w:t>
            </w:r>
          </w:p>
          <w:p w:rsidR="00E8309B" w:rsidRDefault="009D0949">
            <w:pPr>
              <w:spacing w:after="0" w:line="259" w:lineRule="auto"/>
              <w:ind w:left="0" w:right="0" w:firstLine="0"/>
              <w:jc w:val="left"/>
            </w:pPr>
            <w:r>
              <w:rPr>
                <w:b/>
                <w:sz w:val="20"/>
              </w:rPr>
              <w:t xml:space="preserve"> </w:t>
            </w:r>
          </w:p>
        </w:tc>
        <w:tc>
          <w:tcPr>
            <w:tcW w:w="1481" w:type="dxa"/>
            <w:tcBorders>
              <w:top w:val="single" w:sz="8" w:space="0" w:color="000000"/>
              <w:left w:val="nil"/>
              <w:bottom w:val="single" w:sz="8" w:space="0" w:color="000000"/>
              <w:right w:val="nil"/>
            </w:tcBorders>
            <w:shd w:val="clear" w:color="auto" w:fill="D0CECE"/>
          </w:tcPr>
          <w:p w:rsidR="00E8309B" w:rsidRDefault="00E8309B">
            <w:pPr>
              <w:spacing w:after="160" w:line="259" w:lineRule="auto"/>
              <w:ind w:left="0" w:right="0" w:firstLine="0"/>
              <w:jc w:val="left"/>
            </w:pPr>
          </w:p>
        </w:tc>
        <w:tc>
          <w:tcPr>
            <w:tcW w:w="1752" w:type="dxa"/>
            <w:tcBorders>
              <w:top w:val="single" w:sz="8" w:space="0" w:color="000000"/>
              <w:left w:val="nil"/>
              <w:bottom w:val="single" w:sz="8" w:space="0" w:color="000000"/>
              <w:right w:val="single" w:sz="8" w:space="0" w:color="000000"/>
            </w:tcBorders>
            <w:shd w:val="clear" w:color="auto" w:fill="D0CECE"/>
          </w:tcPr>
          <w:p w:rsidR="00E8309B" w:rsidRDefault="00E8309B">
            <w:pPr>
              <w:spacing w:after="160" w:line="259" w:lineRule="auto"/>
              <w:ind w:left="0" w:right="0" w:firstLine="0"/>
              <w:jc w:val="left"/>
            </w:pPr>
          </w:p>
        </w:tc>
      </w:tr>
      <w:tr w:rsidR="00E8309B">
        <w:trPr>
          <w:trHeight w:val="713"/>
        </w:trPr>
        <w:tc>
          <w:tcPr>
            <w:tcW w:w="1210" w:type="dxa"/>
            <w:tcBorders>
              <w:top w:val="single" w:sz="8" w:space="0" w:color="000000"/>
              <w:left w:val="single" w:sz="8" w:space="0" w:color="000000"/>
              <w:bottom w:val="single" w:sz="8" w:space="0" w:color="000000"/>
              <w:right w:val="single" w:sz="8" w:space="0" w:color="000000"/>
            </w:tcBorders>
            <w:vAlign w:val="bottom"/>
          </w:tcPr>
          <w:p w:rsidR="00E8309B" w:rsidRDefault="009D0949">
            <w:pPr>
              <w:spacing w:after="0" w:line="259" w:lineRule="auto"/>
              <w:ind w:left="0" w:right="56" w:firstLine="0"/>
              <w:jc w:val="center"/>
            </w:pPr>
            <w:r>
              <w:rPr>
                <w:b/>
                <w:sz w:val="20"/>
              </w:rPr>
              <w:t>Година</w:t>
            </w:r>
            <w:r>
              <w:rPr>
                <w:sz w:val="20"/>
              </w:rPr>
              <w:t xml:space="preserve">  </w:t>
            </w:r>
          </w:p>
        </w:tc>
        <w:tc>
          <w:tcPr>
            <w:tcW w:w="1658"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0" w:firstLine="18"/>
              <w:jc w:val="center"/>
            </w:pPr>
            <w:r>
              <w:rPr>
                <w:sz w:val="20"/>
              </w:rPr>
              <w:t xml:space="preserve">Буџет централног нивоа државе </w:t>
            </w:r>
          </w:p>
        </w:tc>
        <w:tc>
          <w:tcPr>
            <w:tcW w:w="1532" w:type="dxa"/>
            <w:tcBorders>
              <w:top w:val="single" w:sz="8" w:space="0" w:color="000000"/>
              <w:left w:val="single" w:sz="8" w:space="0" w:color="000000"/>
              <w:bottom w:val="single" w:sz="8" w:space="0" w:color="000000"/>
              <w:right w:val="single" w:sz="8" w:space="0" w:color="000000"/>
            </w:tcBorders>
            <w:vAlign w:val="center"/>
          </w:tcPr>
          <w:p w:rsidR="00E8309B" w:rsidRDefault="009D0949">
            <w:pPr>
              <w:spacing w:after="0" w:line="259" w:lineRule="auto"/>
              <w:ind w:left="0" w:right="3" w:firstLine="0"/>
              <w:jc w:val="center"/>
            </w:pPr>
            <w:r>
              <w:rPr>
                <w:sz w:val="20"/>
              </w:rPr>
              <w:t xml:space="preserve">Локални буџети </w:t>
            </w:r>
          </w:p>
        </w:tc>
        <w:tc>
          <w:tcPr>
            <w:tcW w:w="1889"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0" w:firstLine="0"/>
              <w:jc w:val="center"/>
            </w:pPr>
            <w:r>
              <w:rPr>
                <w:sz w:val="20"/>
              </w:rPr>
              <w:t xml:space="preserve">Други домаћи извори јавних финансија </w:t>
            </w:r>
          </w:p>
        </w:tc>
        <w:tc>
          <w:tcPr>
            <w:tcW w:w="1592" w:type="dxa"/>
            <w:tcBorders>
              <w:top w:val="single" w:sz="8" w:space="0" w:color="000000"/>
              <w:left w:val="single" w:sz="8" w:space="0" w:color="000000"/>
              <w:bottom w:val="single" w:sz="8" w:space="0" w:color="000000"/>
              <w:right w:val="single" w:sz="8" w:space="0" w:color="000000"/>
            </w:tcBorders>
            <w:vAlign w:val="center"/>
          </w:tcPr>
          <w:p w:rsidR="00E8309B" w:rsidRDefault="009D0949">
            <w:pPr>
              <w:spacing w:after="0" w:line="259" w:lineRule="auto"/>
              <w:ind w:left="77" w:right="0" w:firstLine="0"/>
              <w:jc w:val="left"/>
            </w:pPr>
            <w:r>
              <w:rPr>
                <w:sz w:val="20"/>
              </w:rPr>
              <w:t xml:space="preserve">ИПА фондови </w:t>
            </w:r>
          </w:p>
        </w:tc>
        <w:tc>
          <w:tcPr>
            <w:tcW w:w="1481"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0" w:firstLine="0"/>
              <w:jc w:val="center"/>
            </w:pPr>
            <w:r>
              <w:rPr>
                <w:sz w:val="20"/>
              </w:rPr>
              <w:t xml:space="preserve">Друга бесповратна средства  </w:t>
            </w:r>
          </w:p>
        </w:tc>
        <w:tc>
          <w:tcPr>
            <w:tcW w:w="1757" w:type="dxa"/>
            <w:tcBorders>
              <w:top w:val="single" w:sz="8" w:space="0" w:color="000000"/>
              <w:left w:val="single" w:sz="8" w:space="0" w:color="000000"/>
              <w:bottom w:val="single" w:sz="8" w:space="0" w:color="000000"/>
              <w:right w:val="single" w:sz="8" w:space="0" w:color="000000"/>
            </w:tcBorders>
            <w:vAlign w:val="center"/>
          </w:tcPr>
          <w:p w:rsidR="00E8309B" w:rsidRDefault="009D0949">
            <w:pPr>
              <w:spacing w:after="0" w:line="259" w:lineRule="auto"/>
              <w:ind w:left="0" w:right="0" w:firstLine="0"/>
              <w:jc w:val="center"/>
            </w:pPr>
            <w:r>
              <w:rPr>
                <w:sz w:val="20"/>
              </w:rPr>
              <w:t xml:space="preserve">Пројектни кредити  </w:t>
            </w:r>
          </w:p>
        </w:tc>
        <w:tc>
          <w:tcPr>
            <w:tcW w:w="1481" w:type="dxa"/>
            <w:tcBorders>
              <w:top w:val="single" w:sz="8" w:space="0" w:color="000000"/>
              <w:left w:val="single" w:sz="8" w:space="0" w:color="000000"/>
              <w:bottom w:val="single" w:sz="8" w:space="0" w:color="000000"/>
              <w:right w:val="single" w:sz="8" w:space="0" w:color="000000"/>
            </w:tcBorders>
            <w:vAlign w:val="center"/>
          </w:tcPr>
          <w:p w:rsidR="00E8309B" w:rsidRDefault="009D0949">
            <w:pPr>
              <w:spacing w:after="0" w:line="259" w:lineRule="auto"/>
              <w:ind w:left="12" w:right="17" w:firstLine="0"/>
              <w:jc w:val="center"/>
            </w:pPr>
            <w:r>
              <w:rPr>
                <w:sz w:val="20"/>
              </w:rPr>
              <w:t xml:space="preserve">Тек треба да се утврди </w:t>
            </w:r>
          </w:p>
        </w:tc>
        <w:tc>
          <w:tcPr>
            <w:tcW w:w="1752" w:type="dxa"/>
            <w:tcBorders>
              <w:top w:val="single" w:sz="8" w:space="0" w:color="000000"/>
              <w:left w:val="single" w:sz="8" w:space="0" w:color="000000"/>
              <w:bottom w:val="single" w:sz="8" w:space="0" w:color="000000"/>
              <w:right w:val="single" w:sz="8" w:space="0" w:color="000000"/>
            </w:tcBorders>
            <w:vAlign w:val="center"/>
          </w:tcPr>
          <w:p w:rsidR="00E8309B" w:rsidRDefault="009D0949">
            <w:pPr>
              <w:spacing w:after="0" w:line="259" w:lineRule="auto"/>
              <w:ind w:left="0" w:right="52" w:firstLine="0"/>
              <w:jc w:val="center"/>
            </w:pPr>
            <w:r>
              <w:rPr>
                <w:sz w:val="20"/>
              </w:rPr>
              <w:t xml:space="preserve">Укупно </w:t>
            </w:r>
          </w:p>
        </w:tc>
      </w:tr>
      <w:tr w:rsidR="00E8309B">
        <w:trPr>
          <w:trHeight w:val="334"/>
        </w:trPr>
        <w:tc>
          <w:tcPr>
            <w:tcW w:w="1210"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4" w:firstLine="0"/>
              <w:jc w:val="center"/>
            </w:pPr>
            <w:r>
              <w:rPr>
                <w:sz w:val="20"/>
              </w:rPr>
              <w:t xml:space="preserve">2021 </w:t>
            </w:r>
          </w:p>
        </w:tc>
        <w:tc>
          <w:tcPr>
            <w:tcW w:w="1658"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5" w:firstLine="0"/>
              <w:jc w:val="right"/>
            </w:pPr>
            <w:r>
              <w:rPr>
                <w:sz w:val="20"/>
              </w:rPr>
              <w:t xml:space="preserve">66.000.000,00 </w:t>
            </w:r>
          </w:p>
        </w:tc>
        <w:tc>
          <w:tcPr>
            <w:tcW w:w="1532"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8" w:firstLine="0"/>
              <w:jc w:val="right"/>
            </w:pPr>
            <w:r>
              <w:rPr>
                <w:sz w:val="20"/>
              </w:rPr>
              <w:t xml:space="preserve">0 </w:t>
            </w:r>
          </w:p>
        </w:tc>
        <w:tc>
          <w:tcPr>
            <w:tcW w:w="1889"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6" w:firstLine="0"/>
              <w:jc w:val="right"/>
            </w:pPr>
            <w:r>
              <w:rPr>
                <w:sz w:val="20"/>
              </w:rPr>
              <w:t xml:space="preserve">0 </w:t>
            </w:r>
          </w:p>
        </w:tc>
        <w:tc>
          <w:tcPr>
            <w:tcW w:w="1592"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6" w:firstLine="0"/>
              <w:jc w:val="right"/>
            </w:pPr>
            <w:r>
              <w:rPr>
                <w:sz w:val="20"/>
              </w:rPr>
              <w:t xml:space="preserve">0 </w:t>
            </w:r>
          </w:p>
        </w:tc>
        <w:tc>
          <w:tcPr>
            <w:tcW w:w="1481"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6" w:firstLine="0"/>
              <w:jc w:val="right"/>
            </w:pPr>
            <w:r>
              <w:rPr>
                <w:sz w:val="20"/>
              </w:rPr>
              <w:t xml:space="preserve">0 </w:t>
            </w:r>
          </w:p>
        </w:tc>
        <w:tc>
          <w:tcPr>
            <w:tcW w:w="1757"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6" w:firstLine="0"/>
              <w:jc w:val="right"/>
            </w:pPr>
            <w:r>
              <w:rPr>
                <w:sz w:val="20"/>
              </w:rPr>
              <w:t xml:space="preserve">281.880.000,00 </w:t>
            </w:r>
          </w:p>
        </w:tc>
        <w:tc>
          <w:tcPr>
            <w:tcW w:w="1481"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6" w:firstLine="0"/>
              <w:jc w:val="right"/>
            </w:pPr>
            <w:r>
              <w:rPr>
                <w:sz w:val="20"/>
              </w:rPr>
              <w:t xml:space="preserve">0 </w:t>
            </w:r>
          </w:p>
        </w:tc>
        <w:tc>
          <w:tcPr>
            <w:tcW w:w="1752"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0" w:firstLine="0"/>
              <w:jc w:val="right"/>
            </w:pPr>
            <w:r>
              <w:rPr>
                <w:sz w:val="20"/>
              </w:rPr>
              <w:t xml:space="preserve">347.880.000,00 </w:t>
            </w:r>
          </w:p>
        </w:tc>
      </w:tr>
      <w:tr w:rsidR="00E8309B">
        <w:trPr>
          <w:trHeight w:val="336"/>
        </w:trPr>
        <w:tc>
          <w:tcPr>
            <w:tcW w:w="1210"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4" w:firstLine="0"/>
              <w:jc w:val="center"/>
            </w:pPr>
            <w:r>
              <w:rPr>
                <w:sz w:val="20"/>
              </w:rPr>
              <w:t xml:space="preserve">2022 </w:t>
            </w:r>
          </w:p>
        </w:tc>
        <w:tc>
          <w:tcPr>
            <w:tcW w:w="1658"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6" w:firstLine="0"/>
              <w:jc w:val="right"/>
            </w:pPr>
            <w:r>
              <w:rPr>
                <w:sz w:val="20"/>
              </w:rPr>
              <w:t xml:space="preserve">0 </w:t>
            </w:r>
          </w:p>
        </w:tc>
        <w:tc>
          <w:tcPr>
            <w:tcW w:w="1532"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8" w:firstLine="0"/>
              <w:jc w:val="right"/>
            </w:pPr>
            <w:r>
              <w:rPr>
                <w:sz w:val="20"/>
              </w:rPr>
              <w:t xml:space="preserve">0 </w:t>
            </w:r>
          </w:p>
        </w:tc>
        <w:tc>
          <w:tcPr>
            <w:tcW w:w="1889"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6" w:firstLine="0"/>
              <w:jc w:val="right"/>
            </w:pPr>
            <w:r>
              <w:rPr>
                <w:sz w:val="20"/>
              </w:rPr>
              <w:t xml:space="preserve">0 </w:t>
            </w:r>
          </w:p>
        </w:tc>
        <w:tc>
          <w:tcPr>
            <w:tcW w:w="1592"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6" w:firstLine="0"/>
              <w:jc w:val="right"/>
            </w:pPr>
            <w:r>
              <w:rPr>
                <w:sz w:val="20"/>
              </w:rPr>
              <w:t xml:space="preserve">0 </w:t>
            </w:r>
          </w:p>
        </w:tc>
        <w:tc>
          <w:tcPr>
            <w:tcW w:w="1481"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6" w:firstLine="0"/>
              <w:jc w:val="right"/>
            </w:pPr>
            <w:r>
              <w:rPr>
                <w:sz w:val="20"/>
              </w:rPr>
              <w:t xml:space="preserve">0 </w:t>
            </w:r>
          </w:p>
        </w:tc>
        <w:tc>
          <w:tcPr>
            <w:tcW w:w="1757"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6" w:firstLine="0"/>
              <w:jc w:val="right"/>
            </w:pPr>
            <w:r>
              <w:rPr>
                <w:sz w:val="20"/>
              </w:rPr>
              <w:t xml:space="preserve">442.260.000,00 </w:t>
            </w:r>
          </w:p>
        </w:tc>
        <w:tc>
          <w:tcPr>
            <w:tcW w:w="1481"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6" w:firstLine="0"/>
              <w:jc w:val="right"/>
            </w:pPr>
            <w:r>
              <w:rPr>
                <w:sz w:val="20"/>
              </w:rPr>
              <w:t xml:space="preserve">0 </w:t>
            </w:r>
          </w:p>
        </w:tc>
        <w:tc>
          <w:tcPr>
            <w:tcW w:w="1752"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1" w:firstLine="0"/>
              <w:jc w:val="right"/>
            </w:pPr>
            <w:r>
              <w:rPr>
                <w:sz w:val="20"/>
              </w:rPr>
              <w:t xml:space="preserve">442.260.000,00 </w:t>
            </w:r>
          </w:p>
        </w:tc>
      </w:tr>
      <w:tr w:rsidR="00E8309B">
        <w:trPr>
          <w:trHeight w:val="339"/>
        </w:trPr>
        <w:tc>
          <w:tcPr>
            <w:tcW w:w="1210"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4" w:firstLine="0"/>
              <w:jc w:val="center"/>
            </w:pPr>
            <w:r>
              <w:rPr>
                <w:sz w:val="20"/>
              </w:rPr>
              <w:t xml:space="preserve">2023 </w:t>
            </w:r>
          </w:p>
        </w:tc>
        <w:tc>
          <w:tcPr>
            <w:tcW w:w="1658"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6" w:firstLine="0"/>
              <w:jc w:val="right"/>
            </w:pPr>
            <w:r>
              <w:rPr>
                <w:sz w:val="20"/>
              </w:rPr>
              <w:t xml:space="preserve">0 </w:t>
            </w:r>
          </w:p>
        </w:tc>
        <w:tc>
          <w:tcPr>
            <w:tcW w:w="1532"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8" w:firstLine="0"/>
              <w:jc w:val="right"/>
            </w:pPr>
            <w:r>
              <w:rPr>
                <w:sz w:val="20"/>
              </w:rPr>
              <w:t xml:space="preserve">0 </w:t>
            </w:r>
          </w:p>
        </w:tc>
        <w:tc>
          <w:tcPr>
            <w:tcW w:w="1889"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6" w:firstLine="0"/>
              <w:jc w:val="right"/>
            </w:pPr>
            <w:r>
              <w:rPr>
                <w:sz w:val="20"/>
              </w:rPr>
              <w:t xml:space="preserve">0 </w:t>
            </w:r>
          </w:p>
        </w:tc>
        <w:tc>
          <w:tcPr>
            <w:tcW w:w="1592"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6" w:firstLine="0"/>
              <w:jc w:val="right"/>
            </w:pPr>
            <w:r>
              <w:rPr>
                <w:sz w:val="20"/>
              </w:rPr>
              <w:t xml:space="preserve">454.800.000,00 </w:t>
            </w:r>
          </w:p>
        </w:tc>
        <w:tc>
          <w:tcPr>
            <w:tcW w:w="1481"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6" w:firstLine="0"/>
              <w:jc w:val="right"/>
            </w:pPr>
            <w:r>
              <w:rPr>
                <w:sz w:val="20"/>
              </w:rPr>
              <w:t xml:space="preserve">0 </w:t>
            </w:r>
          </w:p>
        </w:tc>
        <w:tc>
          <w:tcPr>
            <w:tcW w:w="1757"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6" w:firstLine="0"/>
              <w:jc w:val="right"/>
            </w:pPr>
            <w:r>
              <w:rPr>
                <w:sz w:val="20"/>
              </w:rPr>
              <w:t xml:space="preserve">442.260.000,00 </w:t>
            </w:r>
          </w:p>
        </w:tc>
        <w:tc>
          <w:tcPr>
            <w:tcW w:w="1481"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6" w:firstLine="0"/>
              <w:jc w:val="right"/>
            </w:pPr>
            <w:r>
              <w:rPr>
                <w:sz w:val="20"/>
              </w:rPr>
              <w:t xml:space="preserve">0 </w:t>
            </w:r>
          </w:p>
        </w:tc>
        <w:tc>
          <w:tcPr>
            <w:tcW w:w="1752"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1" w:firstLine="0"/>
              <w:jc w:val="right"/>
            </w:pPr>
            <w:r>
              <w:rPr>
                <w:sz w:val="20"/>
              </w:rPr>
              <w:t xml:space="preserve">897.060.000,00 </w:t>
            </w:r>
          </w:p>
        </w:tc>
      </w:tr>
      <w:tr w:rsidR="00E8309B">
        <w:trPr>
          <w:trHeight w:val="545"/>
        </w:trPr>
        <w:tc>
          <w:tcPr>
            <w:tcW w:w="11119" w:type="dxa"/>
            <w:gridSpan w:val="7"/>
            <w:tcBorders>
              <w:top w:val="single" w:sz="8" w:space="0" w:color="000000"/>
              <w:left w:val="single" w:sz="8" w:space="0" w:color="000000"/>
              <w:bottom w:val="single" w:sz="8" w:space="0" w:color="000000"/>
              <w:right w:val="nil"/>
            </w:tcBorders>
            <w:shd w:val="clear" w:color="auto" w:fill="D0CECE"/>
            <w:vAlign w:val="center"/>
          </w:tcPr>
          <w:p w:rsidR="00E8309B" w:rsidRDefault="009D0949">
            <w:pPr>
              <w:spacing w:after="0" w:line="259" w:lineRule="auto"/>
              <w:ind w:left="0" w:right="0" w:firstLine="0"/>
              <w:jc w:val="left"/>
            </w:pPr>
            <w:r>
              <w:rPr>
                <w:b/>
                <w:sz w:val="20"/>
              </w:rPr>
              <w:t xml:space="preserve">6.  Унапређење конкурентности пољопривреде  </w:t>
            </w:r>
          </w:p>
        </w:tc>
        <w:tc>
          <w:tcPr>
            <w:tcW w:w="1481" w:type="dxa"/>
            <w:tcBorders>
              <w:top w:val="single" w:sz="8" w:space="0" w:color="000000"/>
              <w:left w:val="nil"/>
              <w:bottom w:val="single" w:sz="8" w:space="0" w:color="000000"/>
              <w:right w:val="nil"/>
            </w:tcBorders>
            <w:shd w:val="clear" w:color="auto" w:fill="D0CECE"/>
          </w:tcPr>
          <w:p w:rsidR="00E8309B" w:rsidRDefault="00E8309B">
            <w:pPr>
              <w:spacing w:after="160" w:line="259" w:lineRule="auto"/>
              <w:ind w:left="0" w:right="0" w:firstLine="0"/>
              <w:jc w:val="left"/>
            </w:pPr>
          </w:p>
        </w:tc>
        <w:tc>
          <w:tcPr>
            <w:tcW w:w="1752" w:type="dxa"/>
            <w:tcBorders>
              <w:top w:val="single" w:sz="8" w:space="0" w:color="000000"/>
              <w:left w:val="nil"/>
              <w:bottom w:val="single" w:sz="8" w:space="0" w:color="000000"/>
              <w:right w:val="single" w:sz="8" w:space="0" w:color="000000"/>
            </w:tcBorders>
            <w:shd w:val="clear" w:color="auto" w:fill="D0CECE"/>
          </w:tcPr>
          <w:p w:rsidR="00E8309B" w:rsidRDefault="00E8309B">
            <w:pPr>
              <w:spacing w:after="160" w:line="259" w:lineRule="auto"/>
              <w:ind w:left="0" w:right="0" w:firstLine="0"/>
              <w:jc w:val="left"/>
            </w:pPr>
          </w:p>
        </w:tc>
      </w:tr>
      <w:tr w:rsidR="00E8309B">
        <w:trPr>
          <w:trHeight w:val="713"/>
        </w:trPr>
        <w:tc>
          <w:tcPr>
            <w:tcW w:w="1210" w:type="dxa"/>
            <w:tcBorders>
              <w:top w:val="single" w:sz="8" w:space="0" w:color="000000"/>
              <w:left w:val="single" w:sz="8" w:space="0" w:color="000000"/>
              <w:bottom w:val="single" w:sz="8" w:space="0" w:color="000000"/>
              <w:right w:val="single" w:sz="8" w:space="0" w:color="000000"/>
            </w:tcBorders>
            <w:vAlign w:val="bottom"/>
          </w:tcPr>
          <w:p w:rsidR="00E8309B" w:rsidRDefault="009D0949">
            <w:pPr>
              <w:spacing w:after="0" w:line="259" w:lineRule="auto"/>
              <w:ind w:left="0" w:right="56" w:firstLine="0"/>
              <w:jc w:val="center"/>
            </w:pPr>
            <w:r>
              <w:rPr>
                <w:b/>
                <w:sz w:val="20"/>
              </w:rPr>
              <w:t>Година</w:t>
            </w:r>
            <w:r>
              <w:rPr>
                <w:sz w:val="20"/>
              </w:rPr>
              <w:t xml:space="preserve">  </w:t>
            </w:r>
          </w:p>
        </w:tc>
        <w:tc>
          <w:tcPr>
            <w:tcW w:w="1658"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0" w:firstLine="18"/>
              <w:jc w:val="center"/>
            </w:pPr>
            <w:r>
              <w:rPr>
                <w:sz w:val="20"/>
              </w:rPr>
              <w:t xml:space="preserve">Буџет централног нивоа државе </w:t>
            </w:r>
          </w:p>
        </w:tc>
        <w:tc>
          <w:tcPr>
            <w:tcW w:w="1532" w:type="dxa"/>
            <w:tcBorders>
              <w:top w:val="single" w:sz="8" w:space="0" w:color="000000"/>
              <w:left w:val="single" w:sz="8" w:space="0" w:color="000000"/>
              <w:bottom w:val="single" w:sz="8" w:space="0" w:color="000000"/>
              <w:right w:val="single" w:sz="8" w:space="0" w:color="000000"/>
            </w:tcBorders>
            <w:vAlign w:val="center"/>
          </w:tcPr>
          <w:p w:rsidR="00E8309B" w:rsidRDefault="009D0949">
            <w:pPr>
              <w:spacing w:after="0" w:line="259" w:lineRule="auto"/>
              <w:ind w:left="0" w:right="3" w:firstLine="0"/>
              <w:jc w:val="center"/>
            </w:pPr>
            <w:r>
              <w:rPr>
                <w:sz w:val="20"/>
              </w:rPr>
              <w:t xml:space="preserve">Локални буџети </w:t>
            </w:r>
          </w:p>
        </w:tc>
        <w:tc>
          <w:tcPr>
            <w:tcW w:w="1889"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0" w:firstLine="0"/>
              <w:jc w:val="center"/>
            </w:pPr>
            <w:r>
              <w:rPr>
                <w:sz w:val="20"/>
              </w:rPr>
              <w:t xml:space="preserve">Други домаћи извори јавних финансија </w:t>
            </w:r>
          </w:p>
        </w:tc>
        <w:tc>
          <w:tcPr>
            <w:tcW w:w="1592" w:type="dxa"/>
            <w:tcBorders>
              <w:top w:val="single" w:sz="8" w:space="0" w:color="000000"/>
              <w:left w:val="single" w:sz="8" w:space="0" w:color="000000"/>
              <w:bottom w:val="single" w:sz="8" w:space="0" w:color="000000"/>
              <w:right w:val="single" w:sz="8" w:space="0" w:color="000000"/>
            </w:tcBorders>
            <w:vAlign w:val="center"/>
          </w:tcPr>
          <w:p w:rsidR="00E8309B" w:rsidRDefault="009D0949">
            <w:pPr>
              <w:spacing w:after="0" w:line="259" w:lineRule="auto"/>
              <w:ind w:left="77" w:right="0" w:firstLine="0"/>
              <w:jc w:val="left"/>
            </w:pPr>
            <w:r>
              <w:rPr>
                <w:sz w:val="20"/>
              </w:rPr>
              <w:t xml:space="preserve">ИПА фондови </w:t>
            </w:r>
          </w:p>
        </w:tc>
        <w:tc>
          <w:tcPr>
            <w:tcW w:w="1481"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0" w:firstLine="0"/>
              <w:jc w:val="center"/>
            </w:pPr>
            <w:r>
              <w:rPr>
                <w:sz w:val="20"/>
              </w:rPr>
              <w:t xml:space="preserve">Друга бесповратна средства  </w:t>
            </w:r>
          </w:p>
        </w:tc>
        <w:tc>
          <w:tcPr>
            <w:tcW w:w="1757" w:type="dxa"/>
            <w:tcBorders>
              <w:top w:val="single" w:sz="8" w:space="0" w:color="000000"/>
              <w:left w:val="single" w:sz="8" w:space="0" w:color="000000"/>
              <w:bottom w:val="single" w:sz="8" w:space="0" w:color="000000"/>
              <w:right w:val="single" w:sz="8" w:space="0" w:color="000000"/>
            </w:tcBorders>
            <w:vAlign w:val="center"/>
          </w:tcPr>
          <w:p w:rsidR="00E8309B" w:rsidRDefault="009D0949">
            <w:pPr>
              <w:spacing w:after="0" w:line="259" w:lineRule="auto"/>
              <w:ind w:left="0" w:right="0" w:firstLine="0"/>
              <w:jc w:val="center"/>
            </w:pPr>
            <w:r>
              <w:rPr>
                <w:sz w:val="20"/>
              </w:rPr>
              <w:t xml:space="preserve">Пројектни кредити  </w:t>
            </w:r>
          </w:p>
        </w:tc>
        <w:tc>
          <w:tcPr>
            <w:tcW w:w="1481" w:type="dxa"/>
            <w:tcBorders>
              <w:top w:val="single" w:sz="8" w:space="0" w:color="000000"/>
              <w:left w:val="single" w:sz="8" w:space="0" w:color="000000"/>
              <w:bottom w:val="single" w:sz="8" w:space="0" w:color="000000"/>
              <w:right w:val="single" w:sz="8" w:space="0" w:color="000000"/>
            </w:tcBorders>
            <w:vAlign w:val="center"/>
          </w:tcPr>
          <w:p w:rsidR="00E8309B" w:rsidRDefault="009D0949">
            <w:pPr>
              <w:spacing w:after="0" w:line="259" w:lineRule="auto"/>
              <w:ind w:left="12" w:right="17" w:firstLine="0"/>
              <w:jc w:val="center"/>
            </w:pPr>
            <w:r>
              <w:rPr>
                <w:sz w:val="20"/>
              </w:rPr>
              <w:t xml:space="preserve">Тек треба да се утврди </w:t>
            </w:r>
          </w:p>
        </w:tc>
        <w:tc>
          <w:tcPr>
            <w:tcW w:w="1752" w:type="dxa"/>
            <w:tcBorders>
              <w:top w:val="single" w:sz="8" w:space="0" w:color="000000"/>
              <w:left w:val="single" w:sz="8" w:space="0" w:color="000000"/>
              <w:bottom w:val="single" w:sz="8" w:space="0" w:color="000000"/>
              <w:right w:val="single" w:sz="8" w:space="0" w:color="000000"/>
            </w:tcBorders>
            <w:vAlign w:val="center"/>
          </w:tcPr>
          <w:p w:rsidR="00E8309B" w:rsidRDefault="009D0949">
            <w:pPr>
              <w:spacing w:after="0" w:line="259" w:lineRule="auto"/>
              <w:ind w:left="0" w:right="52" w:firstLine="0"/>
              <w:jc w:val="center"/>
            </w:pPr>
            <w:r>
              <w:rPr>
                <w:sz w:val="20"/>
              </w:rPr>
              <w:t xml:space="preserve">Укупно </w:t>
            </w:r>
          </w:p>
        </w:tc>
      </w:tr>
      <w:tr w:rsidR="00E8309B">
        <w:trPr>
          <w:trHeight w:val="336"/>
        </w:trPr>
        <w:tc>
          <w:tcPr>
            <w:tcW w:w="1210"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4" w:firstLine="0"/>
              <w:jc w:val="center"/>
            </w:pPr>
            <w:r>
              <w:rPr>
                <w:sz w:val="20"/>
              </w:rPr>
              <w:t xml:space="preserve">2021 </w:t>
            </w:r>
          </w:p>
        </w:tc>
        <w:tc>
          <w:tcPr>
            <w:tcW w:w="1658"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6" w:firstLine="0"/>
              <w:jc w:val="right"/>
            </w:pPr>
            <w:r>
              <w:rPr>
                <w:sz w:val="20"/>
              </w:rPr>
              <w:t xml:space="preserve">0 </w:t>
            </w:r>
          </w:p>
        </w:tc>
        <w:tc>
          <w:tcPr>
            <w:tcW w:w="1532"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8" w:firstLine="0"/>
              <w:jc w:val="right"/>
            </w:pPr>
            <w:r>
              <w:rPr>
                <w:sz w:val="20"/>
              </w:rPr>
              <w:t xml:space="preserve">0 </w:t>
            </w:r>
          </w:p>
        </w:tc>
        <w:tc>
          <w:tcPr>
            <w:tcW w:w="1889"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6" w:firstLine="0"/>
              <w:jc w:val="right"/>
            </w:pPr>
            <w:r>
              <w:rPr>
                <w:sz w:val="20"/>
              </w:rPr>
              <w:t xml:space="preserve">0 </w:t>
            </w:r>
          </w:p>
        </w:tc>
        <w:tc>
          <w:tcPr>
            <w:tcW w:w="1592"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3" w:firstLine="0"/>
              <w:jc w:val="right"/>
            </w:pPr>
            <w:r>
              <w:rPr>
                <w:sz w:val="20"/>
              </w:rPr>
              <w:t xml:space="preserve">713.997,10 </w:t>
            </w:r>
          </w:p>
        </w:tc>
        <w:tc>
          <w:tcPr>
            <w:tcW w:w="1481"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6" w:firstLine="0"/>
              <w:jc w:val="right"/>
            </w:pPr>
            <w:r>
              <w:rPr>
                <w:sz w:val="20"/>
              </w:rPr>
              <w:t xml:space="preserve">0 </w:t>
            </w:r>
          </w:p>
        </w:tc>
        <w:tc>
          <w:tcPr>
            <w:tcW w:w="1757"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6" w:firstLine="0"/>
              <w:jc w:val="right"/>
            </w:pPr>
            <w:r>
              <w:rPr>
                <w:sz w:val="20"/>
              </w:rPr>
              <w:t xml:space="preserve">0 </w:t>
            </w:r>
          </w:p>
        </w:tc>
        <w:tc>
          <w:tcPr>
            <w:tcW w:w="1481"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6" w:firstLine="0"/>
              <w:jc w:val="right"/>
            </w:pPr>
            <w:r>
              <w:rPr>
                <w:sz w:val="20"/>
              </w:rPr>
              <w:t xml:space="preserve">0 </w:t>
            </w:r>
          </w:p>
        </w:tc>
        <w:tc>
          <w:tcPr>
            <w:tcW w:w="1752"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0" w:firstLine="0"/>
              <w:jc w:val="right"/>
            </w:pPr>
            <w:r>
              <w:rPr>
                <w:sz w:val="20"/>
              </w:rPr>
              <w:t xml:space="preserve">713.997,10 </w:t>
            </w:r>
          </w:p>
        </w:tc>
      </w:tr>
      <w:tr w:rsidR="00E8309B">
        <w:trPr>
          <w:trHeight w:val="334"/>
        </w:trPr>
        <w:tc>
          <w:tcPr>
            <w:tcW w:w="1210"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4" w:firstLine="0"/>
              <w:jc w:val="center"/>
            </w:pPr>
            <w:r>
              <w:rPr>
                <w:sz w:val="20"/>
              </w:rPr>
              <w:t xml:space="preserve">2022 </w:t>
            </w:r>
          </w:p>
        </w:tc>
        <w:tc>
          <w:tcPr>
            <w:tcW w:w="1658"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6" w:firstLine="0"/>
              <w:jc w:val="right"/>
            </w:pPr>
            <w:r>
              <w:rPr>
                <w:sz w:val="20"/>
              </w:rPr>
              <w:t xml:space="preserve">0 </w:t>
            </w:r>
          </w:p>
        </w:tc>
        <w:tc>
          <w:tcPr>
            <w:tcW w:w="1532"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8" w:firstLine="0"/>
              <w:jc w:val="right"/>
            </w:pPr>
            <w:r>
              <w:rPr>
                <w:sz w:val="20"/>
              </w:rPr>
              <w:t xml:space="preserve">0 </w:t>
            </w:r>
          </w:p>
        </w:tc>
        <w:tc>
          <w:tcPr>
            <w:tcW w:w="1889"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6" w:firstLine="0"/>
              <w:jc w:val="right"/>
            </w:pPr>
            <w:r>
              <w:rPr>
                <w:sz w:val="20"/>
              </w:rPr>
              <w:t xml:space="preserve">0 </w:t>
            </w:r>
          </w:p>
        </w:tc>
        <w:tc>
          <w:tcPr>
            <w:tcW w:w="1592"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4" w:firstLine="0"/>
              <w:jc w:val="right"/>
            </w:pPr>
            <w:r>
              <w:rPr>
                <w:sz w:val="20"/>
              </w:rPr>
              <w:t xml:space="preserve">1.000.000,00 </w:t>
            </w:r>
          </w:p>
        </w:tc>
        <w:tc>
          <w:tcPr>
            <w:tcW w:w="1481"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6" w:firstLine="0"/>
              <w:jc w:val="right"/>
            </w:pPr>
            <w:r>
              <w:rPr>
                <w:sz w:val="20"/>
              </w:rPr>
              <w:t xml:space="preserve">0 </w:t>
            </w:r>
          </w:p>
        </w:tc>
        <w:tc>
          <w:tcPr>
            <w:tcW w:w="1757"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6" w:firstLine="0"/>
              <w:jc w:val="right"/>
            </w:pPr>
            <w:r>
              <w:rPr>
                <w:sz w:val="20"/>
              </w:rPr>
              <w:t xml:space="preserve">0 </w:t>
            </w:r>
          </w:p>
        </w:tc>
        <w:tc>
          <w:tcPr>
            <w:tcW w:w="1481"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4" w:firstLine="0"/>
              <w:jc w:val="right"/>
            </w:pPr>
            <w:r>
              <w:rPr>
                <w:sz w:val="20"/>
              </w:rPr>
              <w:t xml:space="preserve">4.521.067,00 </w:t>
            </w:r>
          </w:p>
        </w:tc>
        <w:tc>
          <w:tcPr>
            <w:tcW w:w="1752"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1" w:firstLine="0"/>
              <w:jc w:val="right"/>
            </w:pPr>
            <w:r>
              <w:rPr>
                <w:sz w:val="20"/>
              </w:rPr>
              <w:t xml:space="preserve">5.521.067,00 </w:t>
            </w:r>
          </w:p>
        </w:tc>
      </w:tr>
      <w:tr w:rsidR="00E8309B">
        <w:trPr>
          <w:trHeight w:val="338"/>
        </w:trPr>
        <w:tc>
          <w:tcPr>
            <w:tcW w:w="1210"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4" w:firstLine="0"/>
              <w:jc w:val="center"/>
            </w:pPr>
            <w:r>
              <w:rPr>
                <w:sz w:val="20"/>
              </w:rPr>
              <w:t xml:space="preserve">2023 </w:t>
            </w:r>
          </w:p>
        </w:tc>
        <w:tc>
          <w:tcPr>
            <w:tcW w:w="1658"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6" w:firstLine="0"/>
              <w:jc w:val="right"/>
            </w:pPr>
            <w:r>
              <w:rPr>
                <w:sz w:val="20"/>
              </w:rPr>
              <w:t xml:space="preserve">0 </w:t>
            </w:r>
          </w:p>
        </w:tc>
        <w:tc>
          <w:tcPr>
            <w:tcW w:w="1532"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8" w:firstLine="0"/>
              <w:jc w:val="right"/>
            </w:pPr>
            <w:r>
              <w:rPr>
                <w:sz w:val="20"/>
              </w:rPr>
              <w:t xml:space="preserve">0 </w:t>
            </w:r>
          </w:p>
        </w:tc>
        <w:tc>
          <w:tcPr>
            <w:tcW w:w="1889"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6" w:firstLine="0"/>
              <w:jc w:val="right"/>
            </w:pPr>
            <w:r>
              <w:rPr>
                <w:sz w:val="20"/>
              </w:rPr>
              <w:t xml:space="preserve">0 </w:t>
            </w:r>
          </w:p>
        </w:tc>
        <w:tc>
          <w:tcPr>
            <w:tcW w:w="1592"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4" w:firstLine="0"/>
              <w:jc w:val="right"/>
            </w:pPr>
            <w:r>
              <w:rPr>
                <w:sz w:val="20"/>
              </w:rPr>
              <w:t xml:space="preserve">200.000,00 </w:t>
            </w:r>
          </w:p>
        </w:tc>
        <w:tc>
          <w:tcPr>
            <w:tcW w:w="1481"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6" w:firstLine="0"/>
              <w:jc w:val="right"/>
            </w:pPr>
            <w:r>
              <w:rPr>
                <w:sz w:val="20"/>
              </w:rPr>
              <w:t xml:space="preserve">0 </w:t>
            </w:r>
          </w:p>
        </w:tc>
        <w:tc>
          <w:tcPr>
            <w:tcW w:w="1757"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6" w:firstLine="0"/>
              <w:jc w:val="right"/>
            </w:pPr>
            <w:r>
              <w:rPr>
                <w:sz w:val="20"/>
              </w:rPr>
              <w:t xml:space="preserve">0 </w:t>
            </w:r>
          </w:p>
        </w:tc>
        <w:tc>
          <w:tcPr>
            <w:tcW w:w="1481"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4" w:firstLine="0"/>
              <w:jc w:val="right"/>
            </w:pPr>
            <w:r>
              <w:rPr>
                <w:sz w:val="20"/>
              </w:rPr>
              <w:t xml:space="preserve">4.521.067,00 </w:t>
            </w:r>
          </w:p>
        </w:tc>
        <w:tc>
          <w:tcPr>
            <w:tcW w:w="1752"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1" w:firstLine="0"/>
              <w:jc w:val="right"/>
            </w:pPr>
            <w:r>
              <w:rPr>
                <w:sz w:val="20"/>
              </w:rPr>
              <w:t xml:space="preserve">4.721.067,00 </w:t>
            </w:r>
          </w:p>
        </w:tc>
      </w:tr>
      <w:tr w:rsidR="00E8309B">
        <w:trPr>
          <w:trHeight w:val="605"/>
        </w:trPr>
        <w:tc>
          <w:tcPr>
            <w:tcW w:w="11119" w:type="dxa"/>
            <w:gridSpan w:val="7"/>
            <w:tcBorders>
              <w:top w:val="single" w:sz="8" w:space="0" w:color="000000"/>
              <w:left w:val="single" w:sz="8" w:space="0" w:color="000000"/>
              <w:bottom w:val="single" w:sz="8" w:space="0" w:color="000000"/>
              <w:right w:val="nil"/>
            </w:tcBorders>
            <w:shd w:val="clear" w:color="auto" w:fill="D0CECE"/>
            <w:vAlign w:val="bottom"/>
          </w:tcPr>
          <w:p w:rsidR="00E8309B" w:rsidRDefault="009D0949">
            <w:pPr>
              <w:spacing w:after="0" w:line="259" w:lineRule="auto"/>
              <w:ind w:left="0" w:right="0" w:firstLine="0"/>
              <w:jc w:val="left"/>
            </w:pPr>
            <w:r>
              <w:rPr>
                <w:b/>
                <w:sz w:val="20"/>
              </w:rPr>
              <w:t xml:space="preserve">7. Подизање конкурентности индустрије  </w:t>
            </w:r>
          </w:p>
          <w:p w:rsidR="00E8309B" w:rsidRDefault="009D0949">
            <w:pPr>
              <w:spacing w:after="0" w:line="259" w:lineRule="auto"/>
              <w:ind w:left="4403" w:right="0" w:firstLine="0"/>
              <w:jc w:val="left"/>
            </w:pPr>
            <w:r>
              <w:rPr>
                <w:b/>
                <w:sz w:val="20"/>
              </w:rPr>
              <w:t xml:space="preserve">  </w:t>
            </w:r>
            <w:r>
              <w:rPr>
                <w:b/>
                <w:sz w:val="20"/>
              </w:rPr>
              <w:tab/>
              <w:t xml:space="preserve">  </w:t>
            </w:r>
            <w:r>
              <w:rPr>
                <w:b/>
                <w:sz w:val="20"/>
              </w:rPr>
              <w:tab/>
              <w:t xml:space="preserve">  </w:t>
            </w:r>
            <w:r>
              <w:rPr>
                <w:b/>
                <w:sz w:val="20"/>
              </w:rPr>
              <w:tab/>
              <w:t xml:space="preserve">  </w:t>
            </w:r>
          </w:p>
        </w:tc>
        <w:tc>
          <w:tcPr>
            <w:tcW w:w="1481" w:type="dxa"/>
            <w:tcBorders>
              <w:top w:val="single" w:sz="8" w:space="0" w:color="000000"/>
              <w:left w:val="nil"/>
              <w:bottom w:val="single" w:sz="8" w:space="0" w:color="000000"/>
              <w:right w:val="nil"/>
            </w:tcBorders>
            <w:shd w:val="clear" w:color="auto" w:fill="D0CECE"/>
            <w:vAlign w:val="bottom"/>
          </w:tcPr>
          <w:p w:rsidR="00E8309B" w:rsidRDefault="009D0949">
            <w:pPr>
              <w:spacing w:after="0" w:line="259" w:lineRule="auto"/>
              <w:ind w:left="2" w:right="0" w:firstLine="0"/>
              <w:jc w:val="left"/>
            </w:pPr>
            <w:r>
              <w:rPr>
                <w:b/>
                <w:sz w:val="20"/>
              </w:rPr>
              <w:t xml:space="preserve">  </w:t>
            </w:r>
          </w:p>
        </w:tc>
        <w:tc>
          <w:tcPr>
            <w:tcW w:w="1752" w:type="dxa"/>
            <w:tcBorders>
              <w:top w:val="single" w:sz="8" w:space="0" w:color="000000"/>
              <w:left w:val="nil"/>
              <w:bottom w:val="single" w:sz="8" w:space="0" w:color="000000"/>
              <w:right w:val="single" w:sz="8" w:space="0" w:color="000000"/>
            </w:tcBorders>
            <w:shd w:val="clear" w:color="auto" w:fill="D0CECE"/>
            <w:vAlign w:val="bottom"/>
          </w:tcPr>
          <w:p w:rsidR="00E8309B" w:rsidRDefault="009D0949">
            <w:pPr>
              <w:spacing w:after="0" w:line="259" w:lineRule="auto"/>
              <w:ind w:left="2" w:right="0" w:firstLine="0"/>
              <w:jc w:val="left"/>
            </w:pPr>
            <w:r>
              <w:rPr>
                <w:b/>
                <w:sz w:val="20"/>
              </w:rPr>
              <w:t xml:space="preserve">  </w:t>
            </w:r>
          </w:p>
        </w:tc>
      </w:tr>
      <w:tr w:rsidR="00E8309B">
        <w:trPr>
          <w:trHeight w:val="713"/>
        </w:trPr>
        <w:tc>
          <w:tcPr>
            <w:tcW w:w="1210" w:type="dxa"/>
            <w:tcBorders>
              <w:top w:val="single" w:sz="8" w:space="0" w:color="000000"/>
              <w:left w:val="single" w:sz="8" w:space="0" w:color="000000"/>
              <w:bottom w:val="single" w:sz="8" w:space="0" w:color="000000"/>
              <w:right w:val="single" w:sz="8" w:space="0" w:color="000000"/>
            </w:tcBorders>
            <w:vAlign w:val="bottom"/>
          </w:tcPr>
          <w:p w:rsidR="00E8309B" w:rsidRDefault="009D0949">
            <w:pPr>
              <w:spacing w:after="0" w:line="259" w:lineRule="auto"/>
              <w:ind w:left="0" w:right="56" w:firstLine="0"/>
              <w:jc w:val="center"/>
            </w:pPr>
            <w:r>
              <w:rPr>
                <w:b/>
                <w:sz w:val="20"/>
              </w:rPr>
              <w:t>Година</w:t>
            </w:r>
            <w:r>
              <w:rPr>
                <w:sz w:val="20"/>
              </w:rPr>
              <w:t xml:space="preserve">  </w:t>
            </w:r>
          </w:p>
        </w:tc>
        <w:tc>
          <w:tcPr>
            <w:tcW w:w="1658"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0" w:firstLine="18"/>
              <w:jc w:val="center"/>
            </w:pPr>
            <w:r>
              <w:rPr>
                <w:sz w:val="20"/>
              </w:rPr>
              <w:t xml:space="preserve">Буџет централног нивоа државе </w:t>
            </w:r>
          </w:p>
        </w:tc>
        <w:tc>
          <w:tcPr>
            <w:tcW w:w="1532" w:type="dxa"/>
            <w:tcBorders>
              <w:top w:val="single" w:sz="8" w:space="0" w:color="000000"/>
              <w:left w:val="single" w:sz="8" w:space="0" w:color="000000"/>
              <w:bottom w:val="single" w:sz="8" w:space="0" w:color="000000"/>
              <w:right w:val="single" w:sz="8" w:space="0" w:color="000000"/>
            </w:tcBorders>
            <w:vAlign w:val="center"/>
          </w:tcPr>
          <w:p w:rsidR="00E8309B" w:rsidRDefault="009D0949">
            <w:pPr>
              <w:spacing w:after="0" w:line="259" w:lineRule="auto"/>
              <w:ind w:left="0" w:right="3" w:firstLine="0"/>
              <w:jc w:val="center"/>
            </w:pPr>
            <w:r>
              <w:rPr>
                <w:sz w:val="20"/>
              </w:rPr>
              <w:t xml:space="preserve">Локални буџети </w:t>
            </w:r>
          </w:p>
        </w:tc>
        <w:tc>
          <w:tcPr>
            <w:tcW w:w="1889"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0" w:firstLine="0"/>
              <w:jc w:val="center"/>
            </w:pPr>
            <w:r>
              <w:rPr>
                <w:sz w:val="20"/>
              </w:rPr>
              <w:t xml:space="preserve">Други домаћи извори јавних финансија </w:t>
            </w:r>
          </w:p>
        </w:tc>
        <w:tc>
          <w:tcPr>
            <w:tcW w:w="1592" w:type="dxa"/>
            <w:tcBorders>
              <w:top w:val="single" w:sz="8" w:space="0" w:color="000000"/>
              <w:left w:val="single" w:sz="8" w:space="0" w:color="000000"/>
              <w:bottom w:val="single" w:sz="8" w:space="0" w:color="000000"/>
              <w:right w:val="single" w:sz="8" w:space="0" w:color="000000"/>
            </w:tcBorders>
            <w:vAlign w:val="center"/>
          </w:tcPr>
          <w:p w:rsidR="00E8309B" w:rsidRDefault="009D0949">
            <w:pPr>
              <w:spacing w:after="0" w:line="259" w:lineRule="auto"/>
              <w:ind w:left="77" w:right="0" w:firstLine="0"/>
              <w:jc w:val="left"/>
            </w:pPr>
            <w:r>
              <w:rPr>
                <w:sz w:val="20"/>
              </w:rPr>
              <w:t xml:space="preserve">ИПА фондови </w:t>
            </w:r>
          </w:p>
        </w:tc>
        <w:tc>
          <w:tcPr>
            <w:tcW w:w="1481"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0" w:firstLine="0"/>
              <w:jc w:val="center"/>
            </w:pPr>
            <w:r>
              <w:rPr>
                <w:sz w:val="20"/>
              </w:rPr>
              <w:t xml:space="preserve">Друга бесповратна средства  </w:t>
            </w:r>
          </w:p>
        </w:tc>
        <w:tc>
          <w:tcPr>
            <w:tcW w:w="1757" w:type="dxa"/>
            <w:tcBorders>
              <w:top w:val="single" w:sz="8" w:space="0" w:color="000000"/>
              <w:left w:val="single" w:sz="8" w:space="0" w:color="000000"/>
              <w:bottom w:val="single" w:sz="8" w:space="0" w:color="000000"/>
              <w:right w:val="single" w:sz="8" w:space="0" w:color="000000"/>
            </w:tcBorders>
            <w:vAlign w:val="center"/>
          </w:tcPr>
          <w:p w:rsidR="00E8309B" w:rsidRDefault="009D0949">
            <w:pPr>
              <w:spacing w:after="0" w:line="259" w:lineRule="auto"/>
              <w:ind w:left="0" w:right="0" w:firstLine="0"/>
              <w:jc w:val="center"/>
            </w:pPr>
            <w:r>
              <w:rPr>
                <w:sz w:val="20"/>
              </w:rPr>
              <w:t xml:space="preserve">Пројектни кредити  </w:t>
            </w:r>
          </w:p>
        </w:tc>
        <w:tc>
          <w:tcPr>
            <w:tcW w:w="1481" w:type="dxa"/>
            <w:tcBorders>
              <w:top w:val="single" w:sz="8" w:space="0" w:color="000000"/>
              <w:left w:val="single" w:sz="8" w:space="0" w:color="000000"/>
              <w:bottom w:val="single" w:sz="8" w:space="0" w:color="000000"/>
              <w:right w:val="single" w:sz="8" w:space="0" w:color="000000"/>
            </w:tcBorders>
            <w:vAlign w:val="center"/>
          </w:tcPr>
          <w:p w:rsidR="00E8309B" w:rsidRDefault="009D0949">
            <w:pPr>
              <w:spacing w:after="0" w:line="259" w:lineRule="auto"/>
              <w:ind w:left="12" w:right="17" w:firstLine="0"/>
              <w:jc w:val="center"/>
            </w:pPr>
            <w:r>
              <w:rPr>
                <w:sz w:val="20"/>
              </w:rPr>
              <w:t xml:space="preserve">Тек треба да се утврди </w:t>
            </w:r>
          </w:p>
        </w:tc>
        <w:tc>
          <w:tcPr>
            <w:tcW w:w="1752" w:type="dxa"/>
            <w:tcBorders>
              <w:top w:val="single" w:sz="8" w:space="0" w:color="000000"/>
              <w:left w:val="single" w:sz="8" w:space="0" w:color="000000"/>
              <w:bottom w:val="single" w:sz="8" w:space="0" w:color="000000"/>
              <w:right w:val="single" w:sz="8" w:space="0" w:color="000000"/>
            </w:tcBorders>
            <w:vAlign w:val="center"/>
          </w:tcPr>
          <w:p w:rsidR="00E8309B" w:rsidRDefault="009D0949">
            <w:pPr>
              <w:spacing w:after="0" w:line="259" w:lineRule="auto"/>
              <w:ind w:left="0" w:right="52" w:firstLine="0"/>
              <w:jc w:val="center"/>
            </w:pPr>
            <w:r>
              <w:rPr>
                <w:sz w:val="20"/>
              </w:rPr>
              <w:t xml:space="preserve">Укупно </w:t>
            </w:r>
          </w:p>
        </w:tc>
      </w:tr>
      <w:tr w:rsidR="00E8309B">
        <w:trPr>
          <w:trHeight w:val="336"/>
        </w:trPr>
        <w:tc>
          <w:tcPr>
            <w:tcW w:w="1210"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4" w:firstLine="0"/>
              <w:jc w:val="center"/>
            </w:pPr>
            <w:r>
              <w:rPr>
                <w:sz w:val="20"/>
              </w:rPr>
              <w:t xml:space="preserve">2021 </w:t>
            </w:r>
          </w:p>
        </w:tc>
        <w:tc>
          <w:tcPr>
            <w:tcW w:w="1658"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5" w:firstLine="0"/>
              <w:jc w:val="right"/>
            </w:pPr>
            <w:r>
              <w:rPr>
                <w:sz w:val="20"/>
              </w:rPr>
              <w:t xml:space="preserve">13.675.000,00 </w:t>
            </w:r>
          </w:p>
        </w:tc>
        <w:tc>
          <w:tcPr>
            <w:tcW w:w="1532"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8" w:firstLine="0"/>
              <w:jc w:val="right"/>
            </w:pPr>
            <w:r>
              <w:rPr>
                <w:sz w:val="20"/>
              </w:rPr>
              <w:t xml:space="preserve">0 </w:t>
            </w:r>
          </w:p>
        </w:tc>
        <w:tc>
          <w:tcPr>
            <w:tcW w:w="1889"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6" w:firstLine="0"/>
              <w:jc w:val="right"/>
            </w:pPr>
            <w:r>
              <w:rPr>
                <w:sz w:val="20"/>
              </w:rPr>
              <w:t xml:space="preserve">0 </w:t>
            </w:r>
          </w:p>
        </w:tc>
        <w:tc>
          <w:tcPr>
            <w:tcW w:w="1592"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6" w:firstLine="0"/>
              <w:jc w:val="right"/>
            </w:pPr>
            <w:r>
              <w:rPr>
                <w:sz w:val="20"/>
              </w:rPr>
              <w:t xml:space="preserve">0 </w:t>
            </w:r>
          </w:p>
        </w:tc>
        <w:tc>
          <w:tcPr>
            <w:tcW w:w="1481"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6" w:firstLine="0"/>
              <w:jc w:val="right"/>
            </w:pPr>
            <w:r>
              <w:rPr>
                <w:sz w:val="20"/>
              </w:rPr>
              <w:t xml:space="preserve">0 </w:t>
            </w:r>
          </w:p>
        </w:tc>
        <w:tc>
          <w:tcPr>
            <w:tcW w:w="1757"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6" w:firstLine="0"/>
              <w:jc w:val="right"/>
            </w:pPr>
            <w:r>
              <w:rPr>
                <w:sz w:val="20"/>
              </w:rPr>
              <w:t xml:space="preserve">0 </w:t>
            </w:r>
          </w:p>
        </w:tc>
        <w:tc>
          <w:tcPr>
            <w:tcW w:w="1481"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6" w:firstLine="0"/>
              <w:jc w:val="right"/>
            </w:pPr>
            <w:r>
              <w:rPr>
                <w:sz w:val="20"/>
              </w:rPr>
              <w:t xml:space="preserve">0 </w:t>
            </w:r>
          </w:p>
        </w:tc>
        <w:tc>
          <w:tcPr>
            <w:tcW w:w="1752"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1" w:firstLine="0"/>
              <w:jc w:val="right"/>
            </w:pPr>
            <w:r>
              <w:rPr>
                <w:sz w:val="20"/>
              </w:rPr>
              <w:t xml:space="preserve">13.675.000,00 </w:t>
            </w:r>
          </w:p>
        </w:tc>
      </w:tr>
      <w:tr w:rsidR="00E8309B">
        <w:trPr>
          <w:trHeight w:val="350"/>
        </w:trPr>
        <w:tc>
          <w:tcPr>
            <w:tcW w:w="1210" w:type="dxa"/>
            <w:tcBorders>
              <w:top w:val="single" w:sz="8" w:space="0" w:color="000000"/>
              <w:left w:val="single" w:sz="8" w:space="0" w:color="000000"/>
              <w:bottom w:val="single" w:sz="8" w:space="0" w:color="000000"/>
              <w:right w:val="single" w:sz="8" w:space="0" w:color="000000"/>
            </w:tcBorders>
            <w:vAlign w:val="bottom"/>
          </w:tcPr>
          <w:p w:rsidR="00E8309B" w:rsidRDefault="009D0949">
            <w:pPr>
              <w:spacing w:after="0" w:line="259" w:lineRule="auto"/>
              <w:ind w:left="0" w:right="54" w:firstLine="0"/>
              <w:jc w:val="center"/>
            </w:pPr>
            <w:r>
              <w:rPr>
                <w:sz w:val="20"/>
              </w:rPr>
              <w:t xml:space="preserve">2022 </w:t>
            </w:r>
          </w:p>
        </w:tc>
        <w:tc>
          <w:tcPr>
            <w:tcW w:w="1658" w:type="dxa"/>
            <w:tcBorders>
              <w:top w:val="single" w:sz="8" w:space="0" w:color="000000"/>
              <w:left w:val="single" w:sz="8" w:space="0" w:color="000000"/>
              <w:bottom w:val="single" w:sz="8" w:space="0" w:color="000000"/>
              <w:right w:val="single" w:sz="8" w:space="0" w:color="000000"/>
            </w:tcBorders>
            <w:vAlign w:val="bottom"/>
          </w:tcPr>
          <w:p w:rsidR="00E8309B" w:rsidRDefault="009D0949">
            <w:pPr>
              <w:spacing w:after="0" w:line="259" w:lineRule="auto"/>
              <w:ind w:left="0" w:right="55" w:firstLine="0"/>
              <w:jc w:val="right"/>
            </w:pPr>
            <w:r>
              <w:rPr>
                <w:sz w:val="20"/>
              </w:rPr>
              <w:t xml:space="preserve">13.845.834,00 </w:t>
            </w:r>
          </w:p>
        </w:tc>
        <w:tc>
          <w:tcPr>
            <w:tcW w:w="1532" w:type="dxa"/>
            <w:tcBorders>
              <w:top w:val="single" w:sz="8" w:space="0" w:color="000000"/>
              <w:left w:val="single" w:sz="8" w:space="0" w:color="000000"/>
              <w:bottom w:val="single" w:sz="8" w:space="0" w:color="000000"/>
              <w:right w:val="single" w:sz="8" w:space="0" w:color="000000"/>
            </w:tcBorders>
            <w:vAlign w:val="bottom"/>
          </w:tcPr>
          <w:p w:rsidR="00E8309B" w:rsidRDefault="009D0949">
            <w:pPr>
              <w:spacing w:after="0" w:line="259" w:lineRule="auto"/>
              <w:ind w:left="0" w:right="58" w:firstLine="0"/>
              <w:jc w:val="right"/>
            </w:pPr>
            <w:r>
              <w:rPr>
                <w:sz w:val="20"/>
              </w:rPr>
              <w:t xml:space="preserve">0 </w:t>
            </w:r>
          </w:p>
        </w:tc>
        <w:tc>
          <w:tcPr>
            <w:tcW w:w="1889" w:type="dxa"/>
            <w:tcBorders>
              <w:top w:val="single" w:sz="8" w:space="0" w:color="000000"/>
              <w:left w:val="single" w:sz="8" w:space="0" w:color="000000"/>
              <w:bottom w:val="single" w:sz="8" w:space="0" w:color="000000"/>
              <w:right w:val="single" w:sz="8" w:space="0" w:color="000000"/>
            </w:tcBorders>
            <w:vAlign w:val="bottom"/>
          </w:tcPr>
          <w:p w:rsidR="00E8309B" w:rsidRDefault="009D0949">
            <w:pPr>
              <w:spacing w:after="0" w:line="259" w:lineRule="auto"/>
              <w:ind w:left="0" w:right="56" w:firstLine="0"/>
              <w:jc w:val="right"/>
            </w:pPr>
            <w:r>
              <w:rPr>
                <w:sz w:val="20"/>
              </w:rPr>
              <w:t xml:space="preserve">0 </w:t>
            </w:r>
          </w:p>
        </w:tc>
        <w:tc>
          <w:tcPr>
            <w:tcW w:w="1592" w:type="dxa"/>
            <w:tcBorders>
              <w:top w:val="single" w:sz="8" w:space="0" w:color="000000"/>
              <w:left w:val="single" w:sz="8" w:space="0" w:color="000000"/>
              <w:bottom w:val="single" w:sz="8" w:space="0" w:color="000000"/>
              <w:right w:val="single" w:sz="8" w:space="0" w:color="000000"/>
            </w:tcBorders>
            <w:vAlign w:val="bottom"/>
          </w:tcPr>
          <w:p w:rsidR="00E8309B" w:rsidRDefault="009D0949">
            <w:pPr>
              <w:spacing w:after="0" w:line="259" w:lineRule="auto"/>
              <w:ind w:left="0" w:right="56" w:firstLine="0"/>
              <w:jc w:val="right"/>
            </w:pPr>
            <w:r>
              <w:rPr>
                <w:sz w:val="20"/>
              </w:rPr>
              <w:t xml:space="preserve">0 </w:t>
            </w:r>
          </w:p>
        </w:tc>
        <w:tc>
          <w:tcPr>
            <w:tcW w:w="1481" w:type="dxa"/>
            <w:tcBorders>
              <w:top w:val="single" w:sz="8" w:space="0" w:color="000000"/>
              <w:left w:val="single" w:sz="8" w:space="0" w:color="000000"/>
              <w:bottom w:val="single" w:sz="8" w:space="0" w:color="000000"/>
              <w:right w:val="single" w:sz="8" w:space="0" w:color="000000"/>
            </w:tcBorders>
            <w:vAlign w:val="bottom"/>
          </w:tcPr>
          <w:p w:rsidR="00E8309B" w:rsidRDefault="009D0949">
            <w:pPr>
              <w:spacing w:after="0" w:line="259" w:lineRule="auto"/>
              <w:ind w:left="0" w:right="56" w:firstLine="0"/>
              <w:jc w:val="right"/>
            </w:pPr>
            <w:r>
              <w:rPr>
                <w:sz w:val="20"/>
              </w:rPr>
              <w:t xml:space="preserve">0 </w:t>
            </w:r>
          </w:p>
        </w:tc>
        <w:tc>
          <w:tcPr>
            <w:tcW w:w="1757" w:type="dxa"/>
            <w:tcBorders>
              <w:top w:val="single" w:sz="8" w:space="0" w:color="000000"/>
              <w:left w:val="single" w:sz="8" w:space="0" w:color="000000"/>
              <w:bottom w:val="single" w:sz="8" w:space="0" w:color="000000"/>
              <w:right w:val="single" w:sz="8" w:space="0" w:color="000000"/>
            </w:tcBorders>
            <w:vAlign w:val="bottom"/>
          </w:tcPr>
          <w:p w:rsidR="00E8309B" w:rsidRDefault="009D0949">
            <w:pPr>
              <w:spacing w:after="0" w:line="259" w:lineRule="auto"/>
              <w:ind w:left="0" w:right="56" w:firstLine="0"/>
              <w:jc w:val="right"/>
            </w:pPr>
            <w:r>
              <w:rPr>
                <w:sz w:val="20"/>
              </w:rPr>
              <w:t xml:space="preserve">0 </w:t>
            </w:r>
          </w:p>
        </w:tc>
        <w:tc>
          <w:tcPr>
            <w:tcW w:w="1481" w:type="dxa"/>
            <w:tcBorders>
              <w:top w:val="single" w:sz="8" w:space="0" w:color="000000"/>
              <w:left w:val="single" w:sz="8" w:space="0" w:color="000000"/>
              <w:bottom w:val="single" w:sz="8" w:space="0" w:color="000000"/>
              <w:right w:val="single" w:sz="8" w:space="0" w:color="000000"/>
            </w:tcBorders>
            <w:vAlign w:val="bottom"/>
          </w:tcPr>
          <w:p w:rsidR="00E8309B" w:rsidRDefault="009D0949">
            <w:pPr>
              <w:spacing w:after="0" w:line="259" w:lineRule="auto"/>
              <w:ind w:left="0" w:right="56" w:firstLine="0"/>
              <w:jc w:val="right"/>
            </w:pPr>
            <w:r>
              <w:rPr>
                <w:sz w:val="20"/>
              </w:rPr>
              <w:t xml:space="preserve">0 </w:t>
            </w:r>
          </w:p>
        </w:tc>
        <w:tc>
          <w:tcPr>
            <w:tcW w:w="1752" w:type="dxa"/>
            <w:tcBorders>
              <w:top w:val="single" w:sz="8" w:space="0" w:color="000000"/>
              <w:left w:val="single" w:sz="8" w:space="0" w:color="000000"/>
              <w:bottom w:val="single" w:sz="8" w:space="0" w:color="000000"/>
              <w:right w:val="single" w:sz="8" w:space="0" w:color="000000"/>
            </w:tcBorders>
            <w:vAlign w:val="bottom"/>
          </w:tcPr>
          <w:p w:rsidR="00E8309B" w:rsidRDefault="009D0949">
            <w:pPr>
              <w:spacing w:after="0" w:line="259" w:lineRule="auto"/>
              <w:ind w:left="0" w:right="49" w:firstLine="0"/>
              <w:jc w:val="right"/>
            </w:pPr>
            <w:r>
              <w:rPr>
                <w:sz w:val="20"/>
              </w:rPr>
              <w:t xml:space="preserve">13.845.834,00 </w:t>
            </w:r>
          </w:p>
        </w:tc>
      </w:tr>
      <w:tr w:rsidR="00E8309B">
        <w:trPr>
          <w:trHeight w:val="337"/>
        </w:trPr>
        <w:tc>
          <w:tcPr>
            <w:tcW w:w="1210"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4" w:firstLine="0"/>
              <w:jc w:val="center"/>
            </w:pPr>
            <w:r>
              <w:rPr>
                <w:sz w:val="20"/>
              </w:rPr>
              <w:t xml:space="preserve">2023 </w:t>
            </w:r>
          </w:p>
        </w:tc>
        <w:tc>
          <w:tcPr>
            <w:tcW w:w="1658"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5" w:firstLine="0"/>
              <w:jc w:val="right"/>
            </w:pPr>
            <w:r>
              <w:rPr>
                <w:sz w:val="20"/>
              </w:rPr>
              <w:t xml:space="preserve">13.929.167,00 </w:t>
            </w:r>
          </w:p>
        </w:tc>
        <w:tc>
          <w:tcPr>
            <w:tcW w:w="1532"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8" w:firstLine="0"/>
              <w:jc w:val="right"/>
            </w:pPr>
            <w:r>
              <w:rPr>
                <w:sz w:val="20"/>
              </w:rPr>
              <w:t xml:space="preserve">0 </w:t>
            </w:r>
          </w:p>
        </w:tc>
        <w:tc>
          <w:tcPr>
            <w:tcW w:w="1889"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6" w:firstLine="0"/>
              <w:jc w:val="right"/>
            </w:pPr>
            <w:r>
              <w:rPr>
                <w:sz w:val="20"/>
              </w:rPr>
              <w:t xml:space="preserve">0 </w:t>
            </w:r>
          </w:p>
        </w:tc>
        <w:tc>
          <w:tcPr>
            <w:tcW w:w="1592"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6" w:firstLine="0"/>
              <w:jc w:val="right"/>
            </w:pPr>
            <w:r>
              <w:rPr>
                <w:sz w:val="20"/>
              </w:rPr>
              <w:t xml:space="preserve">0 </w:t>
            </w:r>
          </w:p>
        </w:tc>
        <w:tc>
          <w:tcPr>
            <w:tcW w:w="1481"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6" w:firstLine="0"/>
              <w:jc w:val="right"/>
            </w:pPr>
            <w:r>
              <w:rPr>
                <w:sz w:val="20"/>
              </w:rPr>
              <w:t xml:space="preserve">0 </w:t>
            </w:r>
          </w:p>
        </w:tc>
        <w:tc>
          <w:tcPr>
            <w:tcW w:w="1757"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6" w:firstLine="0"/>
              <w:jc w:val="right"/>
            </w:pPr>
            <w:r>
              <w:rPr>
                <w:sz w:val="20"/>
              </w:rPr>
              <w:t xml:space="preserve">0 </w:t>
            </w:r>
          </w:p>
        </w:tc>
        <w:tc>
          <w:tcPr>
            <w:tcW w:w="1481"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6" w:firstLine="0"/>
              <w:jc w:val="right"/>
            </w:pPr>
            <w:r>
              <w:rPr>
                <w:sz w:val="20"/>
              </w:rPr>
              <w:t xml:space="preserve">0 </w:t>
            </w:r>
          </w:p>
        </w:tc>
        <w:tc>
          <w:tcPr>
            <w:tcW w:w="1752"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1" w:firstLine="0"/>
              <w:jc w:val="right"/>
            </w:pPr>
            <w:r>
              <w:rPr>
                <w:sz w:val="20"/>
              </w:rPr>
              <w:t xml:space="preserve">13.929.167,00 </w:t>
            </w:r>
          </w:p>
        </w:tc>
      </w:tr>
      <w:tr w:rsidR="00E8309B">
        <w:trPr>
          <w:trHeight w:val="537"/>
        </w:trPr>
        <w:tc>
          <w:tcPr>
            <w:tcW w:w="11119" w:type="dxa"/>
            <w:gridSpan w:val="7"/>
            <w:tcBorders>
              <w:top w:val="single" w:sz="8" w:space="0" w:color="000000"/>
              <w:left w:val="single" w:sz="8" w:space="0" w:color="000000"/>
              <w:bottom w:val="single" w:sz="8" w:space="0" w:color="000000"/>
              <w:right w:val="nil"/>
            </w:tcBorders>
            <w:shd w:val="clear" w:color="auto" w:fill="D0CECE"/>
            <w:vAlign w:val="bottom"/>
          </w:tcPr>
          <w:p w:rsidR="00E8309B" w:rsidRDefault="009D0949">
            <w:pPr>
              <w:spacing w:after="0" w:line="259" w:lineRule="auto"/>
              <w:ind w:left="0" w:right="0" w:firstLine="0"/>
              <w:jc w:val="left"/>
            </w:pPr>
            <w:r>
              <w:rPr>
                <w:b/>
                <w:sz w:val="20"/>
              </w:rPr>
              <w:t>8. Увођење концепта циркуларне економије</w:t>
            </w:r>
            <w:r>
              <w:rPr>
                <w:sz w:val="20"/>
              </w:rPr>
              <w:t xml:space="preserve">  </w:t>
            </w:r>
          </w:p>
          <w:p w:rsidR="00E8309B" w:rsidRDefault="009D0949">
            <w:pPr>
              <w:spacing w:after="0" w:line="259" w:lineRule="auto"/>
              <w:ind w:left="4403" w:right="0" w:firstLine="0"/>
              <w:jc w:val="left"/>
            </w:pPr>
            <w:r>
              <w:rPr>
                <w:sz w:val="20"/>
              </w:rPr>
              <w:t xml:space="preserve">  </w:t>
            </w:r>
            <w:r>
              <w:rPr>
                <w:sz w:val="20"/>
              </w:rPr>
              <w:tab/>
              <w:t xml:space="preserve">  </w:t>
            </w:r>
            <w:r>
              <w:rPr>
                <w:sz w:val="20"/>
              </w:rPr>
              <w:tab/>
              <w:t xml:space="preserve">  </w:t>
            </w:r>
            <w:r>
              <w:rPr>
                <w:sz w:val="20"/>
              </w:rPr>
              <w:tab/>
            </w:r>
            <w:r>
              <w:rPr>
                <w:rFonts w:ascii="Calibri" w:eastAsia="Calibri" w:hAnsi="Calibri" w:cs="Calibri"/>
                <w:sz w:val="20"/>
              </w:rPr>
              <w:t xml:space="preserve">  </w:t>
            </w:r>
          </w:p>
        </w:tc>
        <w:tc>
          <w:tcPr>
            <w:tcW w:w="1481" w:type="dxa"/>
            <w:tcBorders>
              <w:top w:val="single" w:sz="8" w:space="0" w:color="000000"/>
              <w:left w:val="nil"/>
              <w:bottom w:val="single" w:sz="8" w:space="0" w:color="000000"/>
              <w:right w:val="nil"/>
            </w:tcBorders>
            <w:shd w:val="clear" w:color="auto" w:fill="D0CECE"/>
            <w:vAlign w:val="bottom"/>
          </w:tcPr>
          <w:p w:rsidR="00E8309B" w:rsidRDefault="009D0949">
            <w:pPr>
              <w:spacing w:after="0" w:line="259" w:lineRule="auto"/>
              <w:ind w:left="2" w:right="0" w:firstLine="0"/>
              <w:jc w:val="left"/>
            </w:pPr>
            <w:r>
              <w:rPr>
                <w:rFonts w:ascii="Calibri" w:eastAsia="Calibri" w:hAnsi="Calibri" w:cs="Calibri"/>
                <w:sz w:val="20"/>
              </w:rPr>
              <w:t xml:space="preserve">  </w:t>
            </w:r>
          </w:p>
        </w:tc>
        <w:tc>
          <w:tcPr>
            <w:tcW w:w="1752" w:type="dxa"/>
            <w:tcBorders>
              <w:top w:val="single" w:sz="8" w:space="0" w:color="000000"/>
              <w:left w:val="nil"/>
              <w:bottom w:val="single" w:sz="8" w:space="0" w:color="000000"/>
              <w:right w:val="single" w:sz="8" w:space="0" w:color="000000"/>
            </w:tcBorders>
            <w:shd w:val="clear" w:color="auto" w:fill="D0CECE"/>
            <w:vAlign w:val="bottom"/>
          </w:tcPr>
          <w:p w:rsidR="00E8309B" w:rsidRDefault="009D0949">
            <w:pPr>
              <w:spacing w:after="0" w:line="259" w:lineRule="auto"/>
              <w:ind w:left="2" w:right="0" w:firstLine="0"/>
              <w:jc w:val="left"/>
            </w:pPr>
            <w:r>
              <w:rPr>
                <w:sz w:val="20"/>
              </w:rPr>
              <w:t xml:space="preserve">  </w:t>
            </w:r>
          </w:p>
        </w:tc>
      </w:tr>
      <w:tr w:rsidR="00E8309B">
        <w:trPr>
          <w:trHeight w:val="710"/>
        </w:trPr>
        <w:tc>
          <w:tcPr>
            <w:tcW w:w="1210" w:type="dxa"/>
            <w:tcBorders>
              <w:top w:val="single" w:sz="8" w:space="0" w:color="000000"/>
              <w:left w:val="single" w:sz="8" w:space="0" w:color="000000"/>
              <w:bottom w:val="single" w:sz="8" w:space="0" w:color="000000"/>
              <w:right w:val="single" w:sz="8" w:space="0" w:color="000000"/>
            </w:tcBorders>
            <w:vAlign w:val="bottom"/>
          </w:tcPr>
          <w:p w:rsidR="00E8309B" w:rsidRDefault="009D0949">
            <w:pPr>
              <w:spacing w:after="0" w:line="259" w:lineRule="auto"/>
              <w:ind w:left="0" w:right="56" w:firstLine="0"/>
              <w:jc w:val="center"/>
            </w:pPr>
            <w:r>
              <w:rPr>
                <w:b/>
                <w:sz w:val="20"/>
              </w:rPr>
              <w:t>Година</w:t>
            </w:r>
            <w:r>
              <w:rPr>
                <w:sz w:val="20"/>
              </w:rPr>
              <w:t xml:space="preserve">  </w:t>
            </w:r>
          </w:p>
        </w:tc>
        <w:tc>
          <w:tcPr>
            <w:tcW w:w="1658"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0" w:firstLine="18"/>
              <w:jc w:val="center"/>
            </w:pPr>
            <w:r>
              <w:rPr>
                <w:sz w:val="20"/>
              </w:rPr>
              <w:t xml:space="preserve">Буџет централног нивоа државе </w:t>
            </w:r>
          </w:p>
        </w:tc>
        <w:tc>
          <w:tcPr>
            <w:tcW w:w="1532" w:type="dxa"/>
            <w:tcBorders>
              <w:top w:val="single" w:sz="8" w:space="0" w:color="000000"/>
              <w:left w:val="single" w:sz="8" w:space="0" w:color="000000"/>
              <w:bottom w:val="single" w:sz="8" w:space="0" w:color="000000"/>
              <w:right w:val="single" w:sz="8" w:space="0" w:color="000000"/>
            </w:tcBorders>
            <w:vAlign w:val="center"/>
          </w:tcPr>
          <w:p w:rsidR="00E8309B" w:rsidRDefault="009D0949">
            <w:pPr>
              <w:spacing w:after="0" w:line="259" w:lineRule="auto"/>
              <w:ind w:left="0" w:right="3" w:firstLine="0"/>
              <w:jc w:val="center"/>
            </w:pPr>
            <w:r>
              <w:rPr>
                <w:sz w:val="20"/>
              </w:rPr>
              <w:t xml:space="preserve">Локални буџети </w:t>
            </w:r>
          </w:p>
        </w:tc>
        <w:tc>
          <w:tcPr>
            <w:tcW w:w="1889"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0" w:firstLine="0"/>
              <w:jc w:val="center"/>
            </w:pPr>
            <w:r>
              <w:rPr>
                <w:sz w:val="20"/>
              </w:rPr>
              <w:t xml:space="preserve">Други домаћи извори јавних финансија </w:t>
            </w:r>
          </w:p>
        </w:tc>
        <w:tc>
          <w:tcPr>
            <w:tcW w:w="1592" w:type="dxa"/>
            <w:tcBorders>
              <w:top w:val="single" w:sz="8" w:space="0" w:color="000000"/>
              <w:left w:val="single" w:sz="8" w:space="0" w:color="000000"/>
              <w:bottom w:val="single" w:sz="8" w:space="0" w:color="000000"/>
              <w:right w:val="single" w:sz="8" w:space="0" w:color="000000"/>
            </w:tcBorders>
            <w:vAlign w:val="center"/>
          </w:tcPr>
          <w:p w:rsidR="00E8309B" w:rsidRDefault="009D0949">
            <w:pPr>
              <w:spacing w:after="0" w:line="259" w:lineRule="auto"/>
              <w:ind w:left="77" w:right="0" w:firstLine="0"/>
              <w:jc w:val="left"/>
            </w:pPr>
            <w:r>
              <w:rPr>
                <w:sz w:val="20"/>
              </w:rPr>
              <w:t>ИПА фондови</w:t>
            </w:r>
            <w:r>
              <w:rPr>
                <w:sz w:val="20"/>
              </w:rPr>
              <w:t xml:space="preserve"> </w:t>
            </w:r>
          </w:p>
        </w:tc>
        <w:tc>
          <w:tcPr>
            <w:tcW w:w="1481"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0" w:firstLine="0"/>
              <w:jc w:val="center"/>
            </w:pPr>
            <w:r>
              <w:rPr>
                <w:sz w:val="20"/>
              </w:rPr>
              <w:t xml:space="preserve">Друга бесповратна средства  </w:t>
            </w:r>
          </w:p>
        </w:tc>
        <w:tc>
          <w:tcPr>
            <w:tcW w:w="1757" w:type="dxa"/>
            <w:tcBorders>
              <w:top w:val="single" w:sz="8" w:space="0" w:color="000000"/>
              <w:left w:val="single" w:sz="8" w:space="0" w:color="000000"/>
              <w:bottom w:val="single" w:sz="8" w:space="0" w:color="000000"/>
              <w:right w:val="single" w:sz="8" w:space="0" w:color="000000"/>
            </w:tcBorders>
            <w:vAlign w:val="center"/>
          </w:tcPr>
          <w:p w:rsidR="00E8309B" w:rsidRDefault="009D0949">
            <w:pPr>
              <w:spacing w:after="0" w:line="259" w:lineRule="auto"/>
              <w:ind w:left="0" w:right="0" w:firstLine="0"/>
              <w:jc w:val="center"/>
            </w:pPr>
            <w:r>
              <w:rPr>
                <w:sz w:val="20"/>
              </w:rPr>
              <w:t xml:space="preserve">Пројектни кредити  </w:t>
            </w:r>
          </w:p>
        </w:tc>
        <w:tc>
          <w:tcPr>
            <w:tcW w:w="1481" w:type="dxa"/>
            <w:tcBorders>
              <w:top w:val="single" w:sz="8" w:space="0" w:color="000000"/>
              <w:left w:val="single" w:sz="8" w:space="0" w:color="000000"/>
              <w:bottom w:val="single" w:sz="8" w:space="0" w:color="000000"/>
              <w:right w:val="single" w:sz="8" w:space="0" w:color="000000"/>
            </w:tcBorders>
            <w:vAlign w:val="center"/>
          </w:tcPr>
          <w:p w:rsidR="00E8309B" w:rsidRDefault="009D0949">
            <w:pPr>
              <w:spacing w:after="0" w:line="259" w:lineRule="auto"/>
              <w:ind w:left="12" w:right="17" w:firstLine="0"/>
              <w:jc w:val="center"/>
            </w:pPr>
            <w:r>
              <w:rPr>
                <w:sz w:val="20"/>
              </w:rPr>
              <w:t xml:space="preserve">Тек треба да се утврди </w:t>
            </w:r>
          </w:p>
        </w:tc>
        <w:tc>
          <w:tcPr>
            <w:tcW w:w="1752" w:type="dxa"/>
            <w:tcBorders>
              <w:top w:val="single" w:sz="8" w:space="0" w:color="000000"/>
              <w:left w:val="single" w:sz="8" w:space="0" w:color="000000"/>
              <w:bottom w:val="single" w:sz="8" w:space="0" w:color="000000"/>
              <w:right w:val="single" w:sz="8" w:space="0" w:color="000000"/>
            </w:tcBorders>
            <w:vAlign w:val="center"/>
          </w:tcPr>
          <w:p w:rsidR="00E8309B" w:rsidRDefault="009D0949">
            <w:pPr>
              <w:spacing w:after="0" w:line="259" w:lineRule="auto"/>
              <w:ind w:left="0" w:right="52" w:firstLine="0"/>
              <w:jc w:val="center"/>
            </w:pPr>
            <w:r>
              <w:rPr>
                <w:sz w:val="20"/>
              </w:rPr>
              <w:t xml:space="preserve">Укупно </w:t>
            </w:r>
          </w:p>
        </w:tc>
      </w:tr>
      <w:tr w:rsidR="00E8309B">
        <w:trPr>
          <w:trHeight w:val="331"/>
        </w:trPr>
        <w:tc>
          <w:tcPr>
            <w:tcW w:w="1210" w:type="dxa"/>
            <w:tcBorders>
              <w:top w:val="single" w:sz="8" w:space="0" w:color="000000"/>
              <w:left w:val="single" w:sz="8" w:space="0" w:color="000000"/>
              <w:bottom w:val="single" w:sz="4" w:space="0" w:color="000000"/>
              <w:right w:val="single" w:sz="8" w:space="0" w:color="000000"/>
            </w:tcBorders>
          </w:tcPr>
          <w:p w:rsidR="00E8309B" w:rsidRDefault="009D0949">
            <w:pPr>
              <w:spacing w:after="0" w:line="259" w:lineRule="auto"/>
              <w:ind w:left="0" w:right="54" w:firstLine="0"/>
              <w:jc w:val="center"/>
            </w:pPr>
            <w:r>
              <w:rPr>
                <w:sz w:val="20"/>
              </w:rPr>
              <w:t xml:space="preserve">2021 </w:t>
            </w:r>
          </w:p>
        </w:tc>
        <w:tc>
          <w:tcPr>
            <w:tcW w:w="1658" w:type="dxa"/>
            <w:tcBorders>
              <w:top w:val="single" w:sz="8" w:space="0" w:color="000000"/>
              <w:left w:val="single" w:sz="8" w:space="0" w:color="000000"/>
              <w:bottom w:val="single" w:sz="4" w:space="0" w:color="000000"/>
              <w:right w:val="single" w:sz="8" w:space="0" w:color="000000"/>
            </w:tcBorders>
          </w:tcPr>
          <w:p w:rsidR="00E8309B" w:rsidRDefault="009D0949">
            <w:pPr>
              <w:spacing w:after="0" w:line="259" w:lineRule="auto"/>
              <w:ind w:left="0" w:right="55" w:firstLine="0"/>
              <w:jc w:val="right"/>
            </w:pPr>
            <w:r>
              <w:rPr>
                <w:sz w:val="20"/>
              </w:rPr>
              <w:t xml:space="preserve">14.000.000,00 </w:t>
            </w:r>
          </w:p>
        </w:tc>
        <w:tc>
          <w:tcPr>
            <w:tcW w:w="1532" w:type="dxa"/>
            <w:tcBorders>
              <w:top w:val="single" w:sz="8" w:space="0" w:color="000000"/>
              <w:left w:val="single" w:sz="8" w:space="0" w:color="000000"/>
              <w:bottom w:val="single" w:sz="4" w:space="0" w:color="000000"/>
              <w:right w:val="single" w:sz="8" w:space="0" w:color="000000"/>
            </w:tcBorders>
          </w:tcPr>
          <w:p w:rsidR="00E8309B" w:rsidRDefault="009D0949">
            <w:pPr>
              <w:spacing w:after="0" w:line="259" w:lineRule="auto"/>
              <w:ind w:left="0" w:right="58" w:firstLine="0"/>
              <w:jc w:val="right"/>
            </w:pPr>
            <w:r>
              <w:rPr>
                <w:sz w:val="20"/>
              </w:rPr>
              <w:t xml:space="preserve">0 </w:t>
            </w:r>
          </w:p>
        </w:tc>
        <w:tc>
          <w:tcPr>
            <w:tcW w:w="1889" w:type="dxa"/>
            <w:tcBorders>
              <w:top w:val="single" w:sz="8" w:space="0" w:color="000000"/>
              <w:left w:val="single" w:sz="8" w:space="0" w:color="000000"/>
              <w:bottom w:val="single" w:sz="4" w:space="0" w:color="000000"/>
              <w:right w:val="single" w:sz="8" w:space="0" w:color="000000"/>
            </w:tcBorders>
          </w:tcPr>
          <w:p w:rsidR="00E8309B" w:rsidRDefault="009D0949">
            <w:pPr>
              <w:spacing w:after="0" w:line="259" w:lineRule="auto"/>
              <w:ind w:left="0" w:right="56" w:firstLine="0"/>
              <w:jc w:val="right"/>
            </w:pPr>
            <w:r>
              <w:rPr>
                <w:sz w:val="20"/>
              </w:rPr>
              <w:t xml:space="preserve">0 </w:t>
            </w:r>
          </w:p>
        </w:tc>
        <w:tc>
          <w:tcPr>
            <w:tcW w:w="1592" w:type="dxa"/>
            <w:tcBorders>
              <w:top w:val="single" w:sz="8" w:space="0" w:color="000000"/>
              <w:left w:val="single" w:sz="8" w:space="0" w:color="000000"/>
              <w:bottom w:val="single" w:sz="4" w:space="0" w:color="000000"/>
              <w:right w:val="single" w:sz="8" w:space="0" w:color="000000"/>
            </w:tcBorders>
          </w:tcPr>
          <w:p w:rsidR="00E8309B" w:rsidRDefault="009D0949">
            <w:pPr>
              <w:spacing w:after="0" w:line="259" w:lineRule="auto"/>
              <w:ind w:left="0" w:right="56" w:firstLine="0"/>
              <w:jc w:val="right"/>
            </w:pPr>
            <w:r>
              <w:rPr>
                <w:sz w:val="20"/>
              </w:rPr>
              <w:t xml:space="preserve">0 </w:t>
            </w:r>
          </w:p>
        </w:tc>
        <w:tc>
          <w:tcPr>
            <w:tcW w:w="1481" w:type="dxa"/>
            <w:tcBorders>
              <w:top w:val="single" w:sz="8" w:space="0" w:color="000000"/>
              <w:left w:val="single" w:sz="8" w:space="0" w:color="000000"/>
              <w:bottom w:val="single" w:sz="4" w:space="0" w:color="000000"/>
              <w:right w:val="single" w:sz="8" w:space="0" w:color="000000"/>
            </w:tcBorders>
          </w:tcPr>
          <w:p w:rsidR="00E8309B" w:rsidRDefault="009D0949">
            <w:pPr>
              <w:spacing w:after="0" w:line="259" w:lineRule="auto"/>
              <w:ind w:left="0" w:right="56" w:firstLine="0"/>
              <w:jc w:val="right"/>
            </w:pPr>
            <w:r>
              <w:rPr>
                <w:sz w:val="20"/>
              </w:rPr>
              <w:t xml:space="preserve">0 </w:t>
            </w:r>
          </w:p>
        </w:tc>
        <w:tc>
          <w:tcPr>
            <w:tcW w:w="1757" w:type="dxa"/>
            <w:tcBorders>
              <w:top w:val="single" w:sz="8" w:space="0" w:color="000000"/>
              <w:left w:val="single" w:sz="8" w:space="0" w:color="000000"/>
              <w:bottom w:val="single" w:sz="4" w:space="0" w:color="000000"/>
              <w:right w:val="single" w:sz="8" w:space="0" w:color="000000"/>
            </w:tcBorders>
          </w:tcPr>
          <w:p w:rsidR="00E8309B" w:rsidRDefault="009D0949">
            <w:pPr>
              <w:spacing w:after="0" w:line="259" w:lineRule="auto"/>
              <w:ind w:left="0" w:right="56" w:firstLine="0"/>
              <w:jc w:val="right"/>
            </w:pPr>
            <w:r>
              <w:rPr>
                <w:sz w:val="20"/>
              </w:rPr>
              <w:t xml:space="preserve">0 </w:t>
            </w:r>
          </w:p>
        </w:tc>
        <w:tc>
          <w:tcPr>
            <w:tcW w:w="1481" w:type="dxa"/>
            <w:tcBorders>
              <w:top w:val="single" w:sz="8" w:space="0" w:color="000000"/>
              <w:left w:val="single" w:sz="8" w:space="0" w:color="000000"/>
              <w:bottom w:val="single" w:sz="4" w:space="0" w:color="000000"/>
              <w:right w:val="single" w:sz="8" w:space="0" w:color="000000"/>
            </w:tcBorders>
          </w:tcPr>
          <w:p w:rsidR="00E8309B" w:rsidRDefault="009D0949">
            <w:pPr>
              <w:spacing w:after="0" w:line="259" w:lineRule="auto"/>
              <w:ind w:left="0" w:right="56" w:firstLine="0"/>
              <w:jc w:val="right"/>
            </w:pPr>
            <w:r>
              <w:rPr>
                <w:sz w:val="20"/>
              </w:rPr>
              <w:t xml:space="preserve">0 </w:t>
            </w:r>
          </w:p>
        </w:tc>
        <w:tc>
          <w:tcPr>
            <w:tcW w:w="1752" w:type="dxa"/>
            <w:tcBorders>
              <w:top w:val="single" w:sz="8" w:space="0" w:color="000000"/>
              <w:left w:val="single" w:sz="8" w:space="0" w:color="000000"/>
              <w:bottom w:val="single" w:sz="4" w:space="0" w:color="000000"/>
              <w:right w:val="single" w:sz="8" w:space="0" w:color="000000"/>
            </w:tcBorders>
          </w:tcPr>
          <w:p w:rsidR="00E8309B" w:rsidRDefault="009D0949">
            <w:pPr>
              <w:spacing w:after="0" w:line="259" w:lineRule="auto"/>
              <w:ind w:left="0" w:right="51" w:firstLine="0"/>
              <w:jc w:val="right"/>
            </w:pPr>
            <w:r>
              <w:rPr>
                <w:sz w:val="20"/>
              </w:rPr>
              <w:t xml:space="preserve">14.000.000,00 </w:t>
            </w:r>
          </w:p>
        </w:tc>
      </w:tr>
      <w:tr w:rsidR="00E8309B">
        <w:trPr>
          <w:trHeight w:val="329"/>
        </w:trPr>
        <w:tc>
          <w:tcPr>
            <w:tcW w:w="1210" w:type="dxa"/>
            <w:tcBorders>
              <w:top w:val="single" w:sz="4" w:space="0" w:color="000000"/>
              <w:left w:val="single" w:sz="8" w:space="0" w:color="000000"/>
              <w:bottom w:val="single" w:sz="8" w:space="0" w:color="000000"/>
              <w:right w:val="single" w:sz="8" w:space="0" w:color="000000"/>
            </w:tcBorders>
          </w:tcPr>
          <w:p w:rsidR="00E8309B" w:rsidRDefault="009D0949">
            <w:pPr>
              <w:spacing w:after="0" w:line="259" w:lineRule="auto"/>
              <w:ind w:left="0" w:right="54" w:firstLine="0"/>
              <w:jc w:val="center"/>
            </w:pPr>
            <w:r>
              <w:rPr>
                <w:sz w:val="20"/>
              </w:rPr>
              <w:t xml:space="preserve">2022 </w:t>
            </w:r>
          </w:p>
        </w:tc>
        <w:tc>
          <w:tcPr>
            <w:tcW w:w="1658" w:type="dxa"/>
            <w:tcBorders>
              <w:top w:val="single" w:sz="4" w:space="0" w:color="000000"/>
              <w:left w:val="single" w:sz="8" w:space="0" w:color="000000"/>
              <w:bottom w:val="single" w:sz="8" w:space="0" w:color="000000"/>
              <w:right w:val="single" w:sz="8" w:space="0" w:color="000000"/>
            </w:tcBorders>
          </w:tcPr>
          <w:p w:rsidR="00E8309B" w:rsidRDefault="009D0949">
            <w:pPr>
              <w:spacing w:after="0" w:line="259" w:lineRule="auto"/>
              <w:ind w:left="0" w:right="56" w:firstLine="0"/>
              <w:jc w:val="right"/>
            </w:pPr>
            <w:r>
              <w:rPr>
                <w:sz w:val="20"/>
              </w:rPr>
              <w:t xml:space="preserve">0 </w:t>
            </w:r>
          </w:p>
        </w:tc>
        <w:tc>
          <w:tcPr>
            <w:tcW w:w="1532" w:type="dxa"/>
            <w:tcBorders>
              <w:top w:val="single" w:sz="4" w:space="0" w:color="000000"/>
              <w:left w:val="single" w:sz="8" w:space="0" w:color="000000"/>
              <w:bottom w:val="single" w:sz="8" w:space="0" w:color="000000"/>
              <w:right w:val="single" w:sz="8" w:space="0" w:color="000000"/>
            </w:tcBorders>
          </w:tcPr>
          <w:p w:rsidR="00E8309B" w:rsidRDefault="009D0949">
            <w:pPr>
              <w:spacing w:after="0" w:line="259" w:lineRule="auto"/>
              <w:ind w:left="0" w:right="58" w:firstLine="0"/>
              <w:jc w:val="right"/>
            </w:pPr>
            <w:r>
              <w:rPr>
                <w:sz w:val="20"/>
              </w:rPr>
              <w:t xml:space="preserve">0 </w:t>
            </w:r>
          </w:p>
        </w:tc>
        <w:tc>
          <w:tcPr>
            <w:tcW w:w="1889" w:type="dxa"/>
            <w:tcBorders>
              <w:top w:val="single" w:sz="4" w:space="0" w:color="000000"/>
              <w:left w:val="single" w:sz="8" w:space="0" w:color="000000"/>
              <w:bottom w:val="single" w:sz="8" w:space="0" w:color="000000"/>
              <w:right w:val="single" w:sz="8" w:space="0" w:color="000000"/>
            </w:tcBorders>
          </w:tcPr>
          <w:p w:rsidR="00E8309B" w:rsidRDefault="009D0949">
            <w:pPr>
              <w:spacing w:after="0" w:line="259" w:lineRule="auto"/>
              <w:ind w:left="0" w:right="56" w:firstLine="0"/>
              <w:jc w:val="right"/>
            </w:pPr>
            <w:r>
              <w:rPr>
                <w:sz w:val="20"/>
              </w:rPr>
              <w:t xml:space="preserve">0 </w:t>
            </w:r>
          </w:p>
        </w:tc>
        <w:tc>
          <w:tcPr>
            <w:tcW w:w="1592" w:type="dxa"/>
            <w:tcBorders>
              <w:top w:val="single" w:sz="4" w:space="0" w:color="000000"/>
              <w:left w:val="single" w:sz="8" w:space="0" w:color="000000"/>
              <w:bottom w:val="single" w:sz="8" w:space="0" w:color="000000"/>
              <w:right w:val="single" w:sz="8" w:space="0" w:color="000000"/>
            </w:tcBorders>
          </w:tcPr>
          <w:p w:rsidR="00E8309B" w:rsidRDefault="009D0949">
            <w:pPr>
              <w:spacing w:after="0" w:line="259" w:lineRule="auto"/>
              <w:ind w:left="0" w:right="56" w:firstLine="0"/>
              <w:jc w:val="right"/>
            </w:pPr>
            <w:r>
              <w:rPr>
                <w:sz w:val="20"/>
              </w:rPr>
              <w:t xml:space="preserve">0 </w:t>
            </w:r>
          </w:p>
        </w:tc>
        <w:tc>
          <w:tcPr>
            <w:tcW w:w="1481" w:type="dxa"/>
            <w:tcBorders>
              <w:top w:val="single" w:sz="4" w:space="0" w:color="000000"/>
              <w:left w:val="single" w:sz="8" w:space="0" w:color="000000"/>
              <w:bottom w:val="single" w:sz="8" w:space="0" w:color="000000"/>
              <w:right w:val="single" w:sz="8" w:space="0" w:color="000000"/>
            </w:tcBorders>
          </w:tcPr>
          <w:p w:rsidR="00E8309B" w:rsidRDefault="009D0949">
            <w:pPr>
              <w:spacing w:after="0" w:line="259" w:lineRule="auto"/>
              <w:ind w:left="0" w:right="56" w:firstLine="0"/>
              <w:jc w:val="right"/>
            </w:pPr>
            <w:r>
              <w:rPr>
                <w:sz w:val="20"/>
              </w:rPr>
              <w:t xml:space="preserve">0 </w:t>
            </w:r>
          </w:p>
        </w:tc>
        <w:tc>
          <w:tcPr>
            <w:tcW w:w="1757" w:type="dxa"/>
            <w:tcBorders>
              <w:top w:val="single" w:sz="4" w:space="0" w:color="000000"/>
              <w:left w:val="single" w:sz="8" w:space="0" w:color="000000"/>
              <w:bottom w:val="single" w:sz="8" w:space="0" w:color="000000"/>
              <w:right w:val="single" w:sz="8" w:space="0" w:color="000000"/>
            </w:tcBorders>
          </w:tcPr>
          <w:p w:rsidR="00E8309B" w:rsidRDefault="009D0949">
            <w:pPr>
              <w:spacing w:after="0" w:line="259" w:lineRule="auto"/>
              <w:ind w:left="0" w:right="56" w:firstLine="0"/>
              <w:jc w:val="right"/>
            </w:pPr>
            <w:r>
              <w:rPr>
                <w:sz w:val="20"/>
              </w:rPr>
              <w:t xml:space="preserve">0 </w:t>
            </w:r>
          </w:p>
        </w:tc>
        <w:tc>
          <w:tcPr>
            <w:tcW w:w="1481" w:type="dxa"/>
            <w:tcBorders>
              <w:top w:val="single" w:sz="4" w:space="0" w:color="000000"/>
              <w:left w:val="single" w:sz="8" w:space="0" w:color="000000"/>
              <w:bottom w:val="single" w:sz="8" w:space="0" w:color="000000"/>
              <w:right w:val="single" w:sz="8" w:space="0" w:color="000000"/>
            </w:tcBorders>
          </w:tcPr>
          <w:p w:rsidR="00E8309B" w:rsidRDefault="009D0949">
            <w:pPr>
              <w:spacing w:after="0" w:line="259" w:lineRule="auto"/>
              <w:ind w:left="0" w:right="56" w:firstLine="0"/>
              <w:jc w:val="right"/>
            </w:pPr>
            <w:r>
              <w:rPr>
                <w:sz w:val="20"/>
              </w:rPr>
              <w:t xml:space="preserve">0 </w:t>
            </w:r>
          </w:p>
        </w:tc>
        <w:tc>
          <w:tcPr>
            <w:tcW w:w="1752" w:type="dxa"/>
            <w:tcBorders>
              <w:top w:val="single" w:sz="4" w:space="0" w:color="000000"/>
              <w:left w:val="single" w:sz="8" w:space="0" w:color="000000"/>
              <w:bottom w:val="single" w:sz="8" w:space="0" w:color="000000"/>
              <w:right w:val="single" w:sz="8" w:space="0" w:color="000000"/>
            </w:tcBorders>
          </w:tcPr>
          <w:p w:rsidR="00E8309B" w:rsidRDefault="009D0949">
            <w:pPr>
              <w:spacing w:after="0" w:line="259" w:lineRule="auto"/>
              <w:ind w:left="0" w:right="51" w:firstLine="0"/>
              <w:jc w:val="right"/>
            </w:pPr>
            <w:r>
              <w:rPr>
                <w:sz w:val="20"/>
              </w:rPr>
              <w:t xml:space="preserve">0 </w:t>
            </w:r>
          </w:p>
        </w:tc>
      </w:tr>
      <w:tr w:rsidR="00E8309B">
        <w:trPr>
          <w:trHeight w:val="336"/>
        </w:trPr>
        <w:tc>
          <w:tcPr>
            <w:tcW w:w="1210"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4" w:firstLine="0"/>
              <w:jc w:val="center"/>
            </w:pPr>
            <w:r>
              <w:rPr>
                <w:sz w:val="20"/>
              </w:rPr>
              <w:t xml:space="preserve">2023 </w:t>
            </w:r>
          </w:p>
        </w:tc>
        <w:tc>
          <w:tcPr>
            <w:tcW w:w="1658"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6" w:firstLine="0"/>
              <w:jc w:val="right"/>
            </w:pPr>
            <w:r>
              <w:rPr>
                <w:sz w:val="20"/>
              </w:rPr>
              <w:t xml:space="preserve">0 </w:t>
            </w:r>
          </w:p>
        </w:tc>
        <w:tc>
          <w:tcPr>
            <w:tcW w:w="1532"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8" w:firstLine="0"/>
              <w:jc w:val="right"/>
            </w:pPr>
            <w:r>
              <w:rPr>
                <w:sz w:val="20"/>
              </w:rPr>
              <w:t xml:space="preserve">0 </w:t>
            </w:r>
          </w:p>
        </w:tc>
        <w:tc>
          <w:tcPr>
            <w:tcW w:w="1889"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6" w:firstLine="0"/>
              <w:jc w:val="right"/>
            </w:pPr>
            <w:r>
              <w:rPr>
                <w:sz w:val="20"/>
              </w:rPr>
              <w:t xml:space="preserve">0 </w:t>
            </w:r>
          </w:p>
        </w:tc>
        <w:tc>
          <w:tcPr>
            <w:tcW w:w="1592"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6" w:firstLine="0"/>
              <w:jc w:val="right"/>
            </w:pPr>
            <w:r>
              <w:rPr>
                <w:sz w:val="20"/>
              </w:rPr>
              <w:t xml:space="preserve">0 </w:t>
            </w:r>
          </w:p>
        </w:tc>
        <w:tc>
          <w:tcPr>
            <w:tcW w:w="1481"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6" w:firstLine="0"/>
              <w:jc w:val="right"/>
            </w:pPr>
            <w:r>
              <w:rPr>
                <w:sz w:val="20"/>
              </w:rPr>
              <w:t xml:space="preserve">0 </w:t>
            </w:r>
          </w:p>
        </w:tc>
        <w:tc>
          <w:tcPr>
            <w:tcW w:w="1757"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6" w:firstLine="0"/>
              <w:jc w:val="right"/>
            </w:pPr>
            <w:r>
              <w:rPr>
                <w:sz w:val="20"/>
              </w:rPr>
              <w:t xml:space="preserve">0 </w:t>
            </w:r>
          </w:p>
        </w:tc>
        <w:tc>
          <w:tcPr>
            <w:tcW w:w="1481"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6" w:firstLine="0"/>
              <w:jc w:val="right"/>
            </w:pPr>
            <w:r>
              <w:rPr>
                <w:sz w:val="20"/>
              </w:rPr>
              <w:t xml:space="preserve">0 </w:t>
            </w:r>
          </w:p>
        </w:tc>
        <w:tc>
          <w:tcPr>
            <w:tcW w:w="1752"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1" w:firstLine="0"/>
              <w:jc w:val="right"/>
            </w:pPr>
            <w:r>
              <w:rPr>
                <w:sz w:val="20"/>
              </w:rPr>
              <w:t xml:space="preserve">0 </w:t>
            </w:r>
          </w:p>
        </w:tc>
      </w:tr>
    </w:tbl>
    <w:p w:rsidR="00E8309B" w:rsidRDefault="00E8309B">
      <w:pPr>
        <w:spacing w:after="0" w:line="259" w:lineRule="auto"/>
        <w:ind w:left="-1138" w:right="10666" w:firstLine="0"/>
        <w:jc w:val="left"/>
      </w:pPr>
    </w:p>
    <w:tbl>
      <w:tblPr>
        <w:tblStyle w:val="TableGrid"/>
        <w:tblW w:w="14352" w:type="dxa"/>
        <w:tblInd w:w="12" w:type="dxa"/>
        <w:tblCellMar>
          <w:top w:w="56" w:type="dxa"/>
          <w:left w:w="106" w:type="dxa"/>
          <w:bottom w:w="7" w:type="dxa"/>
          <w:right w:w="53" w:type="dxa"/>
        </w:tblCellMar>
        <w:tblLook w:val="04A0" w:firstRow="1" w:lastRow="0" w:firstColumn="1" w:lastColumn="0" w:noHBand="0" w:noVBand="1"/>
      </w:tblPr>
      <w:tblGrid>
        <w:gridCol w:w="1210"/>
        <w:gridCol w:w="1658"/>
        <w:gridCol w:w="1532"/>
        <w:gridCol w:w="1889"/>
        <w:gridCol w:w="1592"/>
        <w:gridCol w:w="1481"/>
        <w:gridCol w:w="1757"/>
        <w:gridCol w:w="1481"/>
        <w:gridCol w:w="1752"/>
      </w:tblGrid>
      <w:tr w:rsidR="00E8309B">
        <w:trPr>
          <w:trHeight w:val="698"/>
        </w:trPr>
        <w:tc>
          <w:tcPr>
            <w:tcW w:w="11119" w:type="dxa"/>
            <w:gridSpan w:val="7"/>
            <w:tcBorders>
              <w:top w:val="single" w:sz="8" w:space="0" w:color="000000"/>
              <w:left w:val="single" w:sz="8" w:space="0" w:color="000000"/>
              <w:bottom w:val="single" w:sz="8" w:space="0" w:color="000000"/>
              <w:right w:val="nil"/>
            </w:tcBorders>
            <w:shd w:val="clear" w:color="auto" w:fill="D0CECE"/>
            <w:vAlign w:val="center"/>
          </w:tcPr>
          <w:p w:rsidR="00E8309B" w:rsidRDefault="009D0949">
            <w:pPr>
              <w:spacing w:after="0" w:line="259" w:lineRule="auto"/>
              <w:ind w:left="0" w:right="0" w:firstLine="0"/>
            </w:pPr>
            <w:r>
              <w:rPr>
                <w:b/>
                <w:sz w:val="20"/>
              </w:rPr>
              <w:t xml:space="preserve">9. Унапређење квалитета пружања јавних услуга кроз оптимизацију и дигитализацију административних поступака - е-Папир </w:t>
            </w:r>
          </w:p>
        </w:tc>
        <w:tc>
          <w:tcPr>
            <w:tcW w:w="1481" w:type="dxa"/>
            <w:tcBorders>
              <w:top w:val="single" w:sz="8" w:space="0" w:color="D0CECE"/>
              <w:left w:val="nil"/>
              <w:bottom w:val="single" w:sz="8" w:space="0" w:color="000000"/>
              <w:right w:val="nil"/>
            </w:tcBorders>
            <w:shd w:val="clear" w:color="auto" w:fill="D0CECE"/>
            <w:vAlign w:val="bottom"/>
          </w:tcPr>
          <w:p w:rsidR="00E8309B" w:rsidRDefault="009D0949">
            <w:pPr>
              <w:spacing w:after="0" w:line="259" w:lineRule="auto"/>
              <w:ind w:left="2" w:right="0" w:firstLine="0"/>
              <w:jc w:val="left"/>
            </w:pPr>
            <w:r>
              <w:rPr>
                <w:b/>
                <w:sz w:val="20"/>
              </w:rPr>
              <w:t xml:space="preserve">  </w:t>
            </w:r>
          </w:p>
        </w:tc>
        <w:tc>
          <w:tcPr>
            <w:tcW w:w="1752" w:type="dxa"/>
            <w:tcBorders>
              <w:top w:val="single" w:sz="8" w:space="0" w:color="D0CECE"/>
              <w:left w:val="nil"/>
              <w:bottom w:val="single" w:sz="8" w:space="0" w:color="000000"/>
              <w:right w:val="single" w:sz="8" w:space="0" w:color="000000"/>
            </w:tcBorders>
            <w:shd w:val="clear" w:color="auto" w:fill="D0CECE"/>
            <w:vAlign w:val="bottom"/>
          </w:tcPr>
          <w:p w:rsidR="00E8309B" w:rsidRDefault="009D0949">
            <w:pPr>
              <w:spacing w:after="0" w:line="259" w:lineRule="auto"/>
              <w:ind w:left="2" w:right="0" w:firstLine="0"/>
              <w:jc w:val="left"/>
            </w:pPr>
            <w:r>
              <w:rPr>
                <w:b/>
                <w:sz w:val="20"/>
              </w:rPr>
              <w:t xml:space="preserve">  </w:t>
            </w:r>
          </w:p>
        </w:tc>
      </w:tr>
      <w:tr w:rsidR="00E8309B">
        <w:trPr>
          <w:trHeight w:val="713"/>
        </w:trPr>
        <w:tc>
          <w:tcPr>
            <w:tcW w:w="1210" w:type="dxa"/>
            <w:tcBorders>
              <w:top w:val="single" w:sz="8" w:space="0" w:color="000000"/>
              <w:left w:val="single" w:sz="8" w:space="0" w:color="000000"/>
              <w:bottom w:val="single" w:sz="8" w:space="0" w:color="000000"/>
              <w:right w:val="single" w:sz="8" w:space="0" w:color="000000"/>
            </w:tcBorders>
            <w:vAlign w:val="bottom"/>
          </w:tcPr>
          <w:p w:rsidR="00E8309B" w:rsidRDefault="009D0949">
            <w:pPr>
              <w:spacing w:after="0" w:line="259" w:lineRule="auto"/>
              <w:ind w:left="0" w:right="56" w:firstLine="0"/>
              <w:jc w:val="center"/>
            </w:pPr>
            <w:r>
              <w:rPr>
                <w:b/>
                <w:sz w:val="20"/>
              </w:rPr>
              <w:t>Година</w:t>
            </w:r>
            <w:r>
              <w:rPr>
                <w:sz w:val="20"/>
              </w:rPr>
              <w:t xml:space="preserve">  </w:t>
            </w:r>
          </w:p>
        </w:tc>
        <w:tc>
          <w:tcPr>
            <w:tcW w:w="1658"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0" w:firstLine="18"/>
              <w:jc w:val="center"/>
            </w:pPr>
            <w:r>
              <w:rPr>
                <w:sz w:val="20"/>
              </w:rPr>
              <w:t xml:space="preserve">Буџет централног нивоа државе </w:t>
            </w:r>
          </w:p>
        </w:tc>
        <w:tc>
          <w:tcPr>
            <w:tcW w:w="1532" w:type="dxa"/>
            <w:tcBorders>
              <w:top w:val="single" w:sz="8" w:space="0" w:color="000000"/>
              <w:left w:val="single" w:sz="8" w:space="0" w:color="000000"/>
              <w:bottom w:val="single" w:sz="8" w:space="0" w:color="000000"/>
              <w:right w:val="single" w:sz="8" w:space="0" w:color="000000"/>
            </w:tcBorders>
            <w:vAlign w:val="center"/>
          </w:tcPr>
          <w:p w:rsidR="00E8309B" w:rsidRDefault="009D0949">
            <w:pPr>
              <w:spacing w:after="0" w:line="259" w:lineRule="auto"/>
              <w:ind w:left="0" w:right="3" w:firstLine="0"/>
              <w:jc w:val="center"/>
            </w:pPr>
            <w:r>
              <w:rPr>
                <w:sz w:val="20"/>
              </w:rPr>
              <w:t xml:space="preserve">Локални буџети </w:t>
            </w:r>
          </w:p>
        </w:tc>
        <w:tc>
          <w:tcPr>
            <w:tcW w:w="1889"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0" w:firstLine="0"/>
              <w:jc w:val="center"/>
            </w:pPr>
            <w:r>
              <w:rPr>
                <w:sz w:val="20"/>
              </w:rPr>
              <w:t xml:space="preserve">Други домаћи извори јавних финансија </w:t>
            </w:r>
          </w:p>
        </w:tc>
        <w:tc>
          <w:tcPr>
            <w:tcW w:w="1592" w:type="dxa"/>
            <w:tcBorders>
              <w:top w:val="single" w:sz="8" w:space="0" w:color="000000"/>
              <w:left w:val="single" w:sz="8" w:space="0" w:color="000000"/>
              <w:bottom w:val="single" w:sz="8" w:space="0" w:color="000000"/>
              <w:right w:val="single" w:sz="8" w:space="0" w:color="000000"/>
            </w:tcBorders>
            <w:vAlign w:val="center"/>
          </w:tcPr>
          <w:p w:rsidR="00E8309B" w:rsidRDefault="009D0949">
            <w:pPr>
              <w:spacing w:after="0" w:line="259" w:lineRule="auto"/>
              <w:ind w:left="77" w:right="0" w:firstLine="0"/>
              <w:jc w:val="left"/>
            </w:pPr>
            <w:r>
              <w:rPr>
                <w:sz w:val="20"/>
              </w:rPr>
              <w:t xml:space="preserve">ИПА фондови </w:t>
            </w:r>
          </w:p>
        </w:tc>
        <w:tc>
          <w:tcPr>
            <w:tcW w:w="1481"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0" w:firstLine="0"/>
              <w:jc w:val="center"/>
            </w:pPr>
            <w:r>
              <w:rPr>
                <w:sz w:val="20"/>
              </w:rPr>
              <w:t xml:space="preserve">Друга бесповратна средства  </w:t>
            </w:r>
          </w:p>
        </w:tc>
        <w:tc>
          <w:tcPr>
            <w:tcW w:w="1757" w:type="dxa"/>
            <w:tcBorders>
              <w:top w:val="single" w:sz="8" w:space="0" w:color="000000"/>
              <w:left w:val="single" w:sz="8" w:space="0" w:color="000000"/>
              <w:bottom w:val="single" w:sz="8" w:space="0" w:color="000000"/>
              <w:right w:val="single" w:sz="8" w:space="0" w:color="000000"/>
            </w:tcBorders>
            <w:vAlign w:val="center"/>
          </w:tcPr>
          <w:p w:rsidR="00E8309B" w:rsidRDefault="009D0949">
            <w:pPr>
              <w:spacing w:after="0" w:line="259" w:lineRule="auto"/>
              <w:ind w:left="0" w:right="0" w:firstLine="0"/>
              <w:jc w:val="center"/>
            </w:pPr>
            <w:r>
              <w:rPr>
                <w:sz w:val="20"/>
              </w:rPr>
              <w:t xml:space="preserve">Пројектни кредити  </w:t>
            </w:r>
          </w:p>
        </w:tc>
        <w:tc>
          <w:tcPr>
            <w:tcW w:w="1481" w:type="dxa"/>
            <w:tcBorders>
              <w:top w:val="single" w:sz="8" w:space="0" w:color="000000"/>
              <w:left w:val="single" w:sz="8" w:space="0" w:color="000000"/>
              <w:bottom w:val="single" w:sz="8" w:space="0" w:color="000000"/>
              <w:right w:val="single" w:sz="8" w:space="0" w:color="000000"/>
            </w:tcBorders>
            <w:vAlign w:val="center"/>
          </w:tcPr>
          <w:p w:rsidR="00E8309B" w:rsidRDefault="009D0949">
            <w:pPr>
              <w:spacing w:after="0" w:line="259" w:lineRule="auto"/>
              <w:ind w:left="12" w:right="17" w:firstLine="0"/>
              <w:jc w:val="center"/>
            </w:pPr>
            <w:r>
              <w:rPr>
                <w:sz w:val="20"/>
              </w:rPr>
              <w:t xml:space="preserve">Тек треба да се утврди </w:t>
            </w:r>
          </w:p>
        </w:tc>
        <w:tc>
          <w:tcPr>
            <w:tcW w:w="1752" w:type="dxa"/>
            <w:tcBorders>
              <w:top w:val="single" w:sz="8" w:space="0" w:color="000000"/>
              <w:left w:val="single" w:sz="8" w:space="0" w:color="000000"/>
              <w:bottom w:val="single" w:sz="8" w:space="0" w:color="000000"/>
              <w:right w:val="single" w:sz="8" w:space="0" w:color="000000"/>
            </w:tcBorders>
            <w:vAlign w:val="center"/>
          </w:tcPr>
          <w:p w:rsidR="00E8309B" w:rsidRDefault="009D0949">
            <w:pPr>
              <w:spacing w:after="0" w:line="259" w:lineRule="auto"/>
              <w:ind w:left="0" w:right="52" w:firstLine="0"/>
              <w:jc w:val="center"/>
            </w:pPr>
            <w:r>
              <w:rPr>
                <w:sz w:val="20"/>
              </w:rPr>
              <w:t xml:space="preserve">Укупно </w:t>
            </w:r>
          </w:p>
        </w:tc>
      </w:tr>
      <w:tr w:rsidR="00E8309B">
        <w:trPr>
          <w:trHeight w:val="334"/>
        </w:trPr>
        <w:tc>
          <w:tcPr>
            <w:tcW w:w="1210"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4" w:firstLine="0"/>
              <w:jc w:val="center"/>
            </w:pPr>
            <w:r>
              <w:rPr>
                <w:sz w:val="20"/>
              </w:rPr>
              <w:t xml:space="preserve">2021 </w:t>
            </w:r>
          </w:p>
        </w:tc>
        <w:tc>
          <w:tcPr>
            <w:tcW w:w="1658"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6" w:firstLine="0"/>
              <w:jc w:val="right"/>
            </w:pPr>
            <w:r>
              <w:rPr>
                <w:sz w:val="20"/>
              </w:rPr>
              <w:t xml:space="preserve">0 </w:t>
            </w:r>
          </w:p>
        </w:tc>
        <w:tc>
          <w:tcPr>
            <w:tcW w:w="1532"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8" w:firstLine="0"/>
              <w:jc w:val="right"/>
            </w:pPr>
            <w:r>
              <w:rPr>
                <w:sz w:val="20"/>
              </w:rPr>
              <w:t xml:space="preserve">0 </w:t>
            </w:r>
          </w:p>
        </w:tc>
        <w:tc>
          <w:tcPr>
            <w:tcW w:w="1889"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6" w:firstLine="0"/>
              <w:jc w:val="right"/>
            </w:pPr>
            <w:r>
              <w:rPr>
                <w:sz w:val="20"/>
              </w:rPr>
              <w:t xml:space="preserve">0 </w:t>
            </w:r>
          </w:p>
        </w:tc>
        <w:tc>
          <w:tcPr>
            <w:tcW w:w="1592"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5" w:firstLine="0"/>
              <w:jc w:val="right"/>
            </w:pPr>
            <w:r>
              <w:rPr>
                <w:sz w:val="20"/>
              </w:rPr>
              <w:t xml:space="preserve">710.000,00 </w:t>
            </w:r>
          </w:p>
        </w:tc>
        <w:tc>
          <w:tcPr>
            <w:tcW w:w="1481"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6" w:firstLine="0"/>
              <w:jc w:val="right"/>
            </w:pPr>
            <w:r>
              <w:rPr>
                <w:sz w:val="20"/>
              </w:rPr>
              <w:t xml:space="preserve">0 </w:t>
            </w:r>
          </w:p>
        </w:tc>
        <w:tc>
          <w:tcPr>
            <w:tcW w:w="1757"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6" w:firstLine="0"/>
              <w:jc w:val="right"/>
            </w:pPr>
            <w:r>
              <w:rPr>
                <w:sz w:val="20"/>
              </w:rPr>
              <w:t xml:space="preserve">0 </w:t>
            </w:r>
          </w:p>
        </w:tc>
        <w:tc>
          <w:tcPr>
            <w:tcW w:w="1481"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6" w:firstLine="0"/>
              <w:jc w:val="right"/>
            </w:pPr>
            <w:r>
              <w:rPr>
                <w:sz w:val="20"/>
              </w:rPr>
              <w:t xml:space="preserve">0 </w:t>
            </w:r>
          </w:p>
        </w:tc>
        <w:tc>
          <w:tcPr>
            <w:tcW w:w="1752"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0" w:firstLine="0"/>
              <w:jc w:val="right"/>
            </w:pPr>
            <w:r>
              <w:rPr>
                <w:sz w:val="20"/>
              </w:rPr>
              <w:t xml:space="preserve">710.000,00 </w:t>
            </w:r>
          </w:p>
        </w:tc>
      </w:tr>
      <w:tr w:rsidR="00E8309B">
        <w:trPr>
          <w:trHeight w:val="336"/>
        </w:trPr>
        <w:tc>
          <w:tcPr>
            <w:tcW w:w="1210"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4" w:firstLine="0"/>
              <w:jc w:val="center"/>
            </w:pPr>
            <w:r>
              <w:rPr>
                <w:sz w:val="20"/>
              </w:rPr>
              <w:t xml:space="preserve">2022 </w:t>
            </w:r>
          </w:p>
        </w:tc>
        <w:tc>
          <w:tcPr>
            <w:tcW w:w="1658"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6" w:firstLine="0"/>
              <w:jc w:val="right"/>
            </w:pPr>
            <w:r>
              <w:rPr>
                <w:sz w:val="20"/>
              </w:rPr>
              <w:t xml:space="preserve">0 </w:t>
            </w:r>
          </w:p>
        </w:tc>
        <w:tc>
          <w:tcPr>
            <w:tcW w:w="1532"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8" w:firstLine="0"/>
              <w:jc w:val="right"/>
            </w:pPr>
            <w:r>
              <w:rPr>
                <w:sz w:val="20"/>
              </w:rPr>
              <w:t xml:space="preserve">0 </w:t>
            </w:r>
          </w:p>
        </w:tc>
        <w:tc>
          <w:tcPr>
            <w:tcW w:w="1889"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6" w:firstLine="0"/>
              <w:jc w:val="right"/>
            </w:pPr>
            <w:r>
              <w:rPr>
                <w:sz w:val="20"/>
              </w:rPr>
              <w:t xml:space="preserve">0 </w:t>
            </w:r>
          </w:p>
        </w:tc>
        <w:tc>
          <w:tcPr>
            <w:tcW w:w="1592"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6" w:firstLine="0"/>
              <w:jc w:val="right"/>
            </w:pPr>
            <w:r>
              <w:rPr>
                <w:sz w:val="20"/>
              </w:rPr>
              <w:t xml:space="preserve">1.435.000,00 </w:t>
            </w:r>
          </w:p>
        </w:tc>
        <w:tc>
          <w:tcPr>
            <w:tcW w:w="1481"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6" w:firstLine="0"/>
              <w:jc w:val="right"/>
            </w:pPr>
            <w:r>
              <w:rPr>
                <w:sz w:val="20"/>
              </w:rPr>
              <w:t xml:space="preserve">0 </w:t>
            </w:r>
          </w:p>
        </w:tc>
        <w:tc>
          <w:tcPr>
            <w:tcW w:w="1757"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6" w:firstLine="0"/>
              <w:jc w:val="right"/>
            </w:pPr>
            <w:r>
              <w:rPr>
                <w:sz w:val="20"/>
              </w:rPr>
              <w:t xml:space="preserve">0 </w:t>
            </w:r>
          </w:p>
        </w:tc>
        <w:tc>
          <w:tcPr>
            <w:tcW w:w="1481"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6" w:firstLine="0"/>
              <w:jc w:val="right"/>
            </w:pPr>
            <w:r>
              <w:rPr>
                <w:sz w:val="20"/>
              </w:rPr>
              <w:t xml:space="preserve">0 </w:t>
            </w:r>
          </w:p>
        </w:tc>
        <w:tc>
          <w:tcPr>
            <w:tcW w:w="1752"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1" w:firstLine="0"/>
              <w:jc w:val="right"/>
            </w:pPr>
            <w:r>
              <w:rPr>
                <w:sz w:val="20"/>
              </w:rPr>
              <w:t xml:space="preserve">1.435.000,00 </w:t>
            </w:r>
          </w:p>
        </w:tc>
      </w:tr>
      <w:tr w:rsidR="00E8309B">
        <w:trPr>
          <w:trHeight w:val="339"/>
        </w:trPr>
        <w:tc>
          <w:tcPr>
            <w:tcW w:w="1210"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4" w:firstLine="0"/>
              <w:jc w:val="center"/>
            </w:pPr>
            <w:r>
              <w:rPr>
                <w:sz w:val="20"/>
              </w:rPr>
              <w:t xml:space="preserve">2023 </w:t>
            </w:r>
          </w:p>
        </w:tc>
        <w:tc>
          <w:tcPr>
            <w:tcW w:w="1658"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6" w:firstLine="0"/>
              <w:jc w:val="right"/>
            </w:pPr>
            <w:r>
              <w:rPr>
                <w:sz w:val="20"/>
              </w:rPr>
              <w:t xml:space="preserve">0 </w:t>
            </w:r>
          </w:p>
        </w:tc>
        <w:tc>
          <w:tcPr>
            <w:tcW w:w="1532"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8" w:firstLine="0"/>
              <w:jc w:val="right"/>
            </w:pPr>
            <w:r>
              <w:rPr>
                <w:sz w:val="20"/>
              </w:rPr>
              <w:t xml:space="preserve">0 </w:t>
            </w:r>
          </w:p>
        </w:tc>
        <w:tc>
          <w:tcPr>
            <w:tcW w:w="1889"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6" w:firstLine="0"/>
              <w:jc w:val="right"/>
            </w:pPr>
            <w:r>
              <w:rPr>
                <w:sz w:val="20"/>
              </w:rPr>
              <w:t xml:space="preserve">0 </w:t>
            </w:r>
          </w:p>
        </w:tc>
        <w:tc>
          <w:tcPr>
            <w:tcW w:w="1592"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5" w:firstLine="0"/>
              <w:jc w:val="right"/>
            </w:pPr>
            <w:r>
              <w:rPr>
                <w:sz w:val="20"/>
              </w:rPr>
              <w:t xml:space="preserve">585.000,00 </w:t>
            </w:r>
          </w:p>
        </w:tc>
        <w:tc>
          <w:tcPr>
            <w:tcW w:w="1481"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6" w:firstLine="0"/>
              <w:jc w:val="right"/>
            </w:pPr>
            <w:r>
              <w:rPr>
                <w:sz w:val="20"/>
              </w:rPr>
              <w:t xml:space="preserve">0 </w:t>
            </w:r>
          </w:p>
        </w:tc>
        <w:tc>
          <w:tcPr>
            <w:tcW w:w="1757"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6" w:firstLine="0"/>
              <w:jc w:val="right"/>
            </w:pPr>
            <w:r>
              <w:rPr>
                <w:sz w:val="20"/>
              </w:rPr>
              <w:t xml:space="preserve">0 </w:t>
            </w:r>
          </w:p>
        </w:tc>
        <w:tc>
          <w:tcPr>
            <w:tcW w:w="1481"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6" w:firstLine="0"/>
              <w:jc w:val="right"/>
            </w:pPr>
            <w:r>
              <w:rPr>
                <w:sz w:val="20"/>
              </w:rPr>
              <w:t xml:space="preserve">0 </w:t>
            </w:r>
          </w:p>
        </w:tc>
        <w:tc>
          <w:tcPr>
            <w:tcW w:w="1752"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0" w:firstLine="0"/>
              <w:jc w:val="right"/>
            </w:pPr>
            <w:r>
              <w:rPr>
                <w:sz w:val="20"/>
              </w:rPr>
              <w:t xml:space="preserve">585.000,00 </w:t>
            </w:r>
          </w:p>
        </w:tc>
      </w:tr>
      <w:tr w:rsidR="00E8309B">
        <w:trPr>
          <w:trHeight w:val="547"/>
        </w:trPr>
        <w:tc>
          <w:tcPr>
            <w:tcW w:w="11119" w:type="dxa"/>
            <w:gridSpan w:val="7"/>
            <w:tcBorders>
              <w:top w:val="single" w:sz="8" w:space="0" w:color="000000"/>
              <w:left w:val="single" w:sz="8" w:space="0" w:color="000000"/>
              <w:bottom w:val="single" w:sz="8" w:space="0" w:color="000000"/>
              <w:right w:val="nil"/>
            </w:tcBorders>
            <w:shd w:val="clear" w:color="auto" w:fill="D0CECE"/>
            <w:vAlign w:val="center"/>
          </w:tcPr>
          <w:p w:rsidR="00E8309B" w:rsidRDefault="009D0949">
            <w:pPr>
              <w:spacing w:after="0" w:line="259" w:lineRule="auto"/>
              <w:ind w:left="0" w:right="0" w:firstLine="0"/>
              <w:jc w:val="left"/>
            </w:pPr>
            <w:r>
              <w:rPr>
                <w:b/>
                <w:sz w:val="20"/>
              </w:rPr>
              <w:t xml:space="preserve">10. Трансформација Пореске управе  </w:t>
            </w:r>
          </w:p>
        </w:tc>
        <w:tc>
          <w:tcPr>
            <w:tcW w:w="1481" w:type="dxa"/>
            <w:tcBorders>
              <w:top w:val="single" w:sz="8" w:space="0" w:color="000000"/>
              <w:left w:val="nil"/>
              <w:bottom w:val="single" w:sz="8" w:space="0" w:color="000000"/>
              <w:right w:val="nil"/>
            </w:tcBorders>
            <w:shd w:val="clear" w:color="auto" w:fill="D0CECE"/>
          </w:tcPr>
          <w:p w:rsidR="00E8309B" w:rsidRDefault="00E8309B">
            <w:pPr>
              <w:spacing w:after="160" w:line="259" w:lineRule="auto"/>
              <w:ind w:left="0" w:right="0" w:firstLine="0"/>
              <w:jc w:val="left"/>
            </w:pPr>
          </w:p>
        </w:tc>
        <w:tc>
          <w:tcPr>
            <w:tcW w:w="1752" w:type="dxa"/>
            <w:tcBorders>
              <w:top w:val="single" w:sz="8" w:space="0" w:color="000000"/>
              <w:left w:val="nil"/>
              <w:bottom w:val="single" w:sz="8" w:space="0" w:color="000000"/>
              <w:right w:val="single" w:sz="8" w:space="0" w:color="000000"/>
            </w:tcBorders>
            <w:shd w:val="clear" w:color="auto" w:fill="D0CECE"/>
          </w:tcPr>
          <w:p w:rsidR="00E8309B" w:rsidRDefault="00E8309B">
            <w:pPr>
              <w:spacing w:after="160" w:line="259" w:lineRule="auto"/>
              <w:ind w:left="0" w:right="0" w:firstLine="0"/>
              <w:jc w:val="left"/>
            </w:pPr>
          </w:p>
        </w:tc>
      </w:tr>
      <w:tr w:rsidR="00E8309B">
        <w:trPr>
          <w:trHeight w:val="713"/>
        </w:trPr>
        <w:tc>
          <w:tcPr>
            <w:tcW w:w="1210" w:type="dxa"/>
            <w:tcBorders>
              <w:top w:val="single" w:sz="8" w:space="0" w:color="000000"/>
              <w:left w:val="single" w:sz="8" w:space="0" w:color="000000"/>
              <w:bottom w:val="single" w:sz="8" w:space="0" w:color="000000"/>
              <w:right w:val="single" w:sz="8" w:space="0" w:color="000000"/>
            </w:tcBorders>
            <w:vAlign w:val="bottom"/>
          </w:tcPr>
          <w:p w:rsidR="00E8309B" w:rsidRDefault="009D0949">
            <w:pPr>
              <w:spacing w:after="0" w:line="259" w:lineRule="auto"/>
              <w:ind w:left="0" w:right="56" w:firstLine="0"/>
              <w:jc w:val="center"/>
            </w:pPr>
            <w:r>
              <w:rPr>
                <w:b/>
                <w:sz w:val="20"/>
              </w:rPr>
              <w:t>Година</w:t>
            </w:r>
            <w:r>
              <w:rPr>
                <w:sz w:val="20"/>
              </w:rPr>
              <w:t xml:space="preserve">  </w:t>
            </w:r>
          </w:p>
        </w:tc>
        <w:tc>
          <w:tcPr>
            <w:tcW w:w="1658"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0" w:firstLine="18"/>
              <w:jc w:val="center"/>
            </w:pPr>
            <w:r>
              <w:rPr>
                <w:sz w:val="20"/>
              </w:rPr>
              <w:t xml:space="preserve">Буџет централног нивоа државе </w:t>
            </w:r>
          </w:p>
        </w:tc>
        <w:tc>
          <w:tcPr>
            <w:tcW w:w="1532" w:type="dxa"/>
            <w:tcBorders>
              <w:top w:val="single" w:sz="8" w:space="0" w:color="000000"/>
              <w:left w:val="single" w:sz="8" w:space="0" w:color="000000"/>
              <w:bottom w:val="single" w:sz="8" w:space="0" w:color="000000"/>
              <w:right w:val="single" w:sz="8" w:space="0" w:color="000000"/>
            </w:tcBorders>
            <w:vAlign w:val="center"/>
          </w:tcPr>
          <w:p w:rsidR="00E8309B" w:rsidRDefault="009D0949">
            <w:pPr>
              <w:spacing w:after="0" w:line="259" w:lineRule="auto"/>
              <w:ind w:left="0" w:right="3" w:firstLine="0"/>
              <w:jc w:val="center"/>
            </w:pPr>
            <w:r>
              <w:rPr>
                <w:sz w:val="20"/>
              </w:rPr>
              <w:t xml:space="preserve">Локални буџети </w:t>
            </w:r>
          </w:p>
        </w:tc>
        <w:tc>
          <w:tcPr>
            <w:tcW w:w="1889"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0" w:firstLine="0"/>
              <w:jc w:val="center"/>
            </w:pPr>
            <w:r>
              <w:rPr>
                <w:sz w:val="20"/>
              </w:rPr>
              <w:t xml:space="preserve">Други домаћи извори јавних финансија </w:t>
            </w:r>
          </w:p>
        </w:tc>
        <w:tc>
          <w:tcPr>
            <w:tcW w:w="1592" w:type="dxa"/>
            <w:tcBorders>
              <w:top w:val="single" w:sz="8" w:space="0" w:color="000000"/>
              <w:left w:val="single" w:sz="8" w:space="0" w:color="000000"/>
              <w:bottom w:val="single" w:sz="8" w:space="0" w:color="000000"/>
              <w:right w:val="single" w:sz="8" w:space="0" w:color="000000"/>
            </w:tcBorders>
            <w:vAlign w:val="center"/>
          </w:tcPr>
          <w:p w:rsidR="00E8309B" w:rsidRDefault="009D0949">
            <w:pPr>
              <w:spacing w:after="0" w:line="259" w:lineRule="auto"/>
              <w:ind w:left="77" w:right="0" w:firstLine="0"/>
              <w:jc w:val="left"/>
            </w:pPr>
            <w:r>
              <w:rPr>
                <w:sz w:val="20"/>
              </w:rPr>
              <w:t xml:space="preserve">ИПА фондови </w:t>
            </w:r>
          </w:p>
        </w:tc>
        <w:tc>
          <w:tcPr>
            <w:tcW w:w="1481"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0" w:firstLine="0"/>
              <w:jc w:val="center"/>
            </w:pPr>
            <w:r>
              <w:rPr>
                <w:sz w:val="20"/>
              </w:rPr>
              <w:t xml:space="preserve">Друга бесповратна средства  </w:t>
            </w:r>
          </w:p>
        </w:tc>
        <w:tc>
          <w:tcPr>
            <w:tcW w:w="1757" w:type="dxa"/>
            <w:tcBorders>
              <w:top w:val="single" w:sz="8" w:space="0" w:color="000000"/>
              <w:left w:val="single" w:sz="8" w:space="0" w:color="000000"/>
              <w:bottom w:val="single" w:sz="8" w:space="0" w:color="000000"/>
              <w:right w:val="single" w:sz="8" w:space="0" w:color="000000"/>
            </w:tcBorders>
            <w:vAlign w:val="center"/>
          </w:tcPr>
          <w:p w:rsidR="00E8309B" w:rsidRDefault="009D0949">
            <w:pPr>
              <w:spacing w:after="0" w:line="259" w:lineRule="auto"/>
              <w:ind w:left="0" w:right="0" w:firstLine="0"/>
              <w:jc w:val="center"/>
            </w:pPr>
            <w:r>
              <w:rPr>
                <w:sz w:val="20"/>
              </w:rPr>
              <w:t xml:space="preserve">Пројектни кредити  </w:t>
            </w:r>
          </w:p>
        </w:tc>
        <w:tc>
          <w:tcPr>
            <w:tcW w:w="1481" w:type="dxa"/>
            <w:tcBorders>
              <w:top w:val="single" w:sz="8" w:space="0" w:color="000000"/>
              <w:left w:val="single" w:sz="8" w:space="0" w:color="000000"/>
              <w:bottom w:val="single" w:sz="8" w:space="0" w:color="000000"/>
              <w:right w:val="single" w:sz="8" w:space="0" w:color="000000"/>
            </w:tcBorders>
            <w:vAlign w:val="center"/>
          </w:tcPr>
          <w:p w:rsidR="00E8309B" w:rsidRDefault="009D0949">
            <w:pPr>
              <w:spacing w:after="0" w:line="259" w:lineRule="auto"/>
              <w:ind w:left="12" w:right="17" w:firstLine="0"/>
              <w:jc w:val="center"/>
            </w:pPr>
            <w:r>
              <w:rPr>
                <w:sz w:val="20"/>
              </w:rPr>
              <w:t xml:space="preserve">Тек треба да се утврди </w:t>
            </w:r>
          </w:p>
        </w:tc>
        <w:tc>
          <w:tcPr>
            <w:tcW w:w="1752" w:type="dxa"/>
            <w:tcBorders>
              <w:top w:val="single" w:sz="8" w:space="0" w:color="000000"/>
              <w:left w:val="single" w:sz="8" w:space="0" w:color="000000"/>
              <w:bottom w:val="single" w:sz="8" w:space="0" w:color="000000"/>
              <w:right w:val="single" w:sz="8" w:space="0" w:color="000000"/>
            </w:tcBorders>
            <w:vAlign w:val="center"/>
          </w:tcPr>
          <w:p w:rsidR="00E8309B" w:rsidRDefault="009D0949">
            <w:pPr>
              <w:spacing w:after="0" w:line="259" w:lineRule="auto"/>
              <w:ind w:left="0" w:right="52" w:firstLine="0"/>
              <w:jc w:val="center"/>
            </w:pPr>
            <w:r>
              <w:rPr>
                <w:sz w:val="20"/>
              </w:rPr>
              <w:t xml:space="preserve">Укупно </w:t>
            </w:r>
          </w:p>
        </w:tc>
      </w:tr>
      <w:tr w:rsidR="00E8309B">
        <w:trPr>
          <w:trHeight w:val="334"/>
        </w:trPr>
        <w:tc>
          <w:tcPr>
            <w:tcW w:w="1210"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4" w:firstLine="0"/>
              <w:jc w:val="center"/>
            </w:pPr>
            <w:r>
              <w:rPr>
                <w:sz w:val="20"/>
              </w:rPr>
              <w:t xml:space="preserve">2021 </w:t>
            </w:r>
          </w:p>
        </w:tc>
        <w:tc>
          <w:tcPr>
            <w:tcW w:w="1658"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5" w:firstLine="0"/>
              <w:jc w:val="right"/>
            </w:pPr>
            <w:r>
              <w:rPr>
                <w:sz w:val="20"/>
              </w:rPr>
              <w:t xml:space="preserve">3.893.400,00 </w:t>
            </w:r>
          </w:p>
        </w:tc>
        <w:tc>
          <w:tcPr>
            <w:tcW w:w="1532"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8" w:firstLine="0"/>
              <w:jc w:val="right"/>
            </w:pPr>
            <w:r>
              <w:rPr>
                <w:sz w:val="20"/>
              </w:rPr>
              <w:t xml:space="preserve">0 </w:t>
            </w:r>
          </w:p>
        </w:tc>
        <w:tc>
          <w:tcPr>
            <w:tcW w:w="1889"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6" w:firstLine="0"/>
              <w:jc w:val="right"/>
            </w:pPr>
            <w:r>
              <w:rPr>
                <w:sz w:val="20"/>
              </w:rPr>
              <w:t xml:space="preserve">0 </w:t>
            </w:r>
          </w:p>
        </w:tc>
        <w:tc>
          <w:tcPr>
            <w:tcW w:w="1592"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6" w:firstLine="0"/>
              <w:jc w:val="right"/>
            </w:pPr>
            <w:r>
              <w:rPr>
                <w:sz w:val="20"/>
              </w:rPr>
              <w:t xml:space="preserve">0 </w:t>
            </w:r>
          </w:p>
        </w:tc>
        <w:tc>
          <w:tcPr>
            <w:tcW w:w="1481"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6" w:firstLine="0"/>
              <w:jc w:val="right"/>
            </w:pPr>
            <w:r>
              <w:rPr>
                <w:sz w:val="20"/>
              </w:rPr>
              <w:t xml:space="preserve">0 </w:t>
            </w:r>
          </w:p>
        </w:tc>
        <w:tc>
          <w:tcPr>
            <w:tcW w:w="1757"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6" w:firstLine="0"/>
              <w:jc w:val="right"/>
            </w:pPr>
            <w:r>
              <w:rPr>
                <w:sz w:val="20"/>
              </w:rPr>
              <w:t xml:space="preserve">5.333.342,00 </w:t>
            </w:r>
          </w:p>
        </w:tc>
        <w:tc>
          <w:tcPr>
            <w:tcW w:w="1481"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6" w:firstLine="0"/>
              <w:jc w:val="right"/>
            </w:pPr>
            <w:r>
              <w:rPr>
                <w:sz w:val="20"/>
              </w:rPr>
              <w:t xml:space="preserve">0 </w:t>
            </w:r>
          </w:p>
        </w:tc>
        <w:tc>
          <w:tcPr>
            <w:tcW w:w="1752"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1" w:firstLine="0"/>
              <w:jc w:val="right"/>
            </w:pPr>
            <w:r>
              <w:rPr>
                <w:sz w:val="20"/>
              </w:rPr>
              <w:t xml:space="preserve">9.226.742,00 </w:t>
            </w:r>
          </w:p>
        </w:tc>
      </w:tr>
      <w:tr w:rsidR="00E8309B">
        <w:trPr>
          <w:trHeight w:val="336"/>
        </w:trPr>
        <w:tc>
          <w:tcPr>
            <w:tcW w:w="1210"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4" w:firstLine="0"/>
              <w:jc w:val="center"/>
            </w:pPr>
            <w:r>
              <w:rPr>
                <w:sz w:val="20"/>
              </w:rPr>
              <w:t xml:space="preserve">2022 </w:t>
            </w:r>
          </w:p>
        </w:tc>
        <w:tc>
          <w:tcPr>
            <w:tcW w:w="1658"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6" w:firstLine="0"/>
              <w:jc w:val="right"/>
            </w:pPr>
            <w:r>
              <w:rPr>
                <w:sz w:val="20"/>
              </w:rPr>
              <w:t xml:space="preserve">0 </w:t>
            </w:r>
          </w:p>
        </w:tc>
        <w:tc>
          <w:tcPr>
            <w:tcW w:w="1532"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8" w:firstLine="0"/>
              <w:jc w:val="right"/>
            </w:pPr>
            <w:r>
              <w:rPr>
                <w:sz w:val="20"/>
              </w:rPr>
              <w:t xml:space="preserve">0 </w:t>
            </w:r>
          </w:p>
        </w:tc>
        <w:tc>
          <w:tcPr>
            <w:tcW w:w="1889"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6" w:firstLine="0"/>
              <w:jc w:val="right"/>
            </w:pPr>
            <w:r>
              <w:rPr>
                <w:sz w:val="20"/>
              </w:rPr>
              <w:t xml:space="preserve">0 </w:t>
            </w:r>
          </w:p>
        </w:tc>
        <w:tc>
          <w:tcPr>
            <w:tcW w:w="1592"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6" w:firstLine="0"/>
              <w:jc w:val="right"/>
            </w:pPr>
            <w:r>
              <w:rPr>
                <w:sz w:val="20"/>
              </w:rPr>
              <w:t xml:space="preserve">0 </w:t>
            </w:r>
          </w:p>
        </w:tc>
        <w:tc>
          <w:tcPr>
            <w:tcW w:w="1481"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6" w:firstLine="0"/>
              <w:jc w:val="right"/>
            </w:pPr>
            <w:r>
              <w:rPr>
                <w:sz w:val="20"/>
              </w:rPr>
              <w:t xml:space="preserve">0 </w:t>
            </w:r>
          </w:p>
        </w:tc>
        <w:tc>
          <w:tcPr>
            <w:tcW w:w="1757"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6" w:firstLine="0"/>
              <w:jc w:val="right"/>
            </w:pPr>
            <w:r>
              <w:rPr>
                <w:sz w:val="20"/>
              </w:rPr>
              <w:t xml:space="preserve">14.643.456,00 </w:t>
            </w:r>
          </w:p>
        </w:tc>
        <w:tc>
          <w:tcPr>
            <w:tcW w:w="1481"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6" w:firstLine="0"/>
              <w:jc w:val="right"/>
            </w:pPr>
            <w:r>
              <w:rPr>
                <w:sz w:val="20"/>
              </w:rPr>
              <w:t xml:space="preserve">0 </w:t>
            </w:r>
          </w:p>
        </w:tc>
        <w:tc>
          <w:tcPr>
            <w:tcW w:w="1752"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1" w:firstLine="0"/>
              <w:jc w:val="right"/>
            </w:pPr>
            <w:r>
              <w:rPr>
                <w:sz w:val="20"/>
              </w:rPr>
              <w:t xml:space="preserve">14.643.456,00 </w:t>
            </w:r>
          </w:p>
        </w:tc>
      </w:tr>
      <w:tr w:rsidR="00E8309B">
        <w:trPr>
          <w:trHeight w:val="338"/>
        </w:trPr>
        <w:tc>
          <w:tcPr>
            <w:tcW w:w="1210"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4" w:firstLine="0"/>
              <w:jc w:val="center"/>
            </w:pPr>
            <w:r>
              <w:rPr>
                <w:sz w:val="20"/>
              </w:rPr>
              <w:t xml:space="preserve">2023 </w:t>
            </w:r>
          </w:p>
        </w:tc>
        <w:tc>
          <w:tcPr>
            <w:tcW w:w="1658"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6" w:firstLine="0"/>
              <w:jc w:val="right"/>
            </w:pPr>
            <w:r>
              <w:rPr>
                <w:sz w:val="20"/>
              </w:rPr>
              <w:t xml:space="preserve">0 </w:t>
            </w:r>
          </w:p>
        </w:tc>
        <w:tc>
          <w:tcPr>
            <w:tcW w:w="1532"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8" w:firstLine="0"/>
              <w:jc w:val="right"/>
            </w:pPr>
            <w:r>
              <w:rPr>
                <w:sz w:val="20"/>
              </w:rPr>
              <w:t xml:space="preserve">0 </w:t>
            </w:r>
          </w:p>
        </w:tc>
        <w:tc>
          <w:tcPr>
            <w:tcW w:w="1889"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6" w:firstLine="0"/>
              <w:jc w:val="right"/>
            </w:pPr>
            <w:r>
              <w:rPr>
                <w:sz w:val="20"/>
              </w:rPr>
              <w:t xml:space="preserve">0 </w:t>
            </w:r>
          </w:p>
        </w:tc>
        <w:tc>
          <w:tcPr>
            <w:tcW w:w="1592"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6" w:firstLine="0"/>
              <w:jc w:val="right"/>
            </w:pPr>
            <w:r>
              <w:rPr>
                <w:sz w:val="20"/>
              </w:rPr>
              <w:t xml:space="preserve">0 </w:t>
            </w:r>
          </w:p>
        </w:tc>
        <w:tc>
          <w:tcPr>
            <w:tcW w:w="1481"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6" w:firstLine="0"/>
              <w:jc w:val="right"/>
            </w:pPr>
            <w:r>
              <w:rPr>
                <w:sz w:val="20"/>
              </w:rPr>
              <w:t xml:space="preserve">0 </w:t>
            </w:r>
          </w:p>
        </w:tc>
        <w:tc>
          <w:tcPr>
            <w:tcW w:w="1757"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6" w:firstLine="0"/>
              <w:jc w:val="right"/>
            </w:pPr>
            <w:r>
              <w:rPr>
                <w:sz w:val="20"/>
              </w:rPr>
              <w:t xml:space="preserve">11.411.883,00 </w:t>
            </w:r>
          </w:p>
        </w:tc>
        <w:tc>
          <w:tcPr>
            <w:tcW w:w="1481"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6" w:firstLine="0"/>
              <w:jc w:val="right"/>
            </w:pPr>
            <w:r>
              <w:rPr>
                <w:sz w:val="20"/>
              </w:rPr>
              <w:t xml:space="preserve">0 </w:t>
            </w:r>
          </w:p>
        </w:tc>
        <w:tc>
          <w:tcPr>
            <w:tcW w:w="1752"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1" w:firstLine="0"/>
              <w:jc w:val="right"/>
            </w:pPr>
            <w:r>
              <w:rPr>
                <w:sz w:val="20"/>
              </w:rPr>
              <w:t xml:space="preserve">11.411.883,00 </w:t>
            </w:r>
          </w:p>
        </w:tc>
      </w:tr>
      <w:tr w:rsidR="00E8309B">
        <w:trPr>
          <w:trHeight w:val="620"/>
        </w:trPr>
        <w:tc>
          <w:tcPr>
            <w:tcW w:w="11119" w:type="dxa"/>
            <w:gridSpan w:val="7"/>
            <w:tcBorders>
              <w:top w:val="single" w:sz="8" w:space="0" w:color="000000"/>
              <w:left w:val="single" w:sz="8" w:space="0" w:color="000000"/>
              <w:bottom w:val="single" w:sz="8" w:space="0" w:color="000000"/>
              <w:right w:val="nil"/>
            </w:tcBorders>
            <w:shd w:val="clear" w:color="auto" w:fill="D0CECE"/>
            <w:vAlign w:val="bottom"/>
          </w:tcPr>
          <w:p w:rsidR="00E8309B" w:rsidRDefault="009D0949">
            <w:pPr>
              <w:spacing w:after="0" w:line="259" w:lineRule="auto"/>
              <w:ind w:left="0" w:right="0" w:firstLine="0"/>
              <w:jc w:val="left"/>
            </w:pPr>
            <w:r>
              <w:rPr>
                <w:b/>
                <w:sz w:val="20"/>
              </w:rPr>
              <w:t xml:space="preserve">11. Увођење новог модела фискализације и прелазак на електронско фактурисање </w:t>
            </w:r>
          </w:p>
          <w:p w:rsidR="00E8309B" w:rsidRDefault="009D0949">
            <w:pPr>
              <w:spacing w:after="0" w:line="259" w:lineRule="auto"/>
              <w:ind w:left="0" w:right="1496" w:firstLine="0"/>
              <w:jc w:val="right"/>
            </w:pPr>
            <w:r>
              <w:rPr>
                <w:b/>
                <w:sz w:val="20"/>
              </w:rPr>
              <w:t xml:space="preserve">  </w:t>
            </w:r>
            <w:r>
              <w:rPr>
                <w:b/>
                <w:sz w:val="20"/>
              </w:rPr>
              <w:tab/>
              <w:t xml:space="preserve">  </w:t>
            </w:r>
          </w:p>
        </w:tc>
        <w:tc>
          <w:tcPr>
            <w:tcW w:w="1481" w:type="dxa"/>
            <w:tcBorders>
              <w:top w:val="single" w:sz="8" w:space="0" w:color="000000"/>
              <w:left w:val="nil"/>
              <w:bottom w:val="single" w:sz="8" w:space="0" w:color="000000"/>
              <w:right w:val="nil"/>
            </w:tcBorders>
            <w:shd w:val="clear" w:color="auto" w:fill="D0CECE"/>
            <w:vAlign w:val="bottom"/>
          </w:tcPr>
          <w:p w:rsidR="00E8309B" w:rsidRDefault="009D0949">
            <w:pPr>
              <w:spacing w:after="0" w:line="259" w:lineRule="auto"/>
              <w:ind w:left="2" w:right="0" w:firstLine="0"/>
              <w:jc w:val="left"/>
            </w:pPr>
            <w:r>
              <w:rPr>
                <w:b/>
                <w:sz w:val="20"/>
              </w:rPr>
              <w:t xml:space="preserve">  </w:t>
            </w:r>
          </w:p>
        </w:tc>
        <w:tc>
          <w:tcPr>
            <w:tcW w:w="1752" w:type="dxa"/>
            <w:tcBorders>
              <w:top w:val="single" w:sz="8" w:space="0" w:color="000000"/>
              <w:left w:val="nil"/>
              <w:bottom w:val="single" w:sz="8" w:space="0" w:color="000000"/>
              <w:right w:val="single" w:sz="8" w:space="0" w:color="000000"/>
            </w:tcBorders>
            <w:shd w:val="clear" w:color="auto" w:fill="D0CECE"/>
            <w:vAlign w:val="bottom"/>
          </w:tcPr>
          <w:p w:rsidR="00E8309B" w:rsidRDefault="009D0949">
            <w:pPr>
              <w:spacing w:after="0" w:line="259" w:lineRule="auto"/>
              <w:ind w:left="2" w:right="0" w:firstLine="0"/>
              <w:jc w:val="left"/>
            </w:pPr>
            <w:r>
              <w:rPr>
                <w:b/>
                <w:sz w:val="20"/>
              </w:rPr>
              <w:t xml:space="preserve">  </w:t>
            </w:r>
          </w:p>
        </w:tc>
      </w:tr>
      <w:tr w:rsidR="00E8309B">
        <w:trPr>
          <w:trHeight w:val="713"/>
        </w:trPr>
        <w:tc>
          <w:tcPr>
            <w:tcW w:w="1210" w:type="dxa"/>
            <w:tcBorders>
              <w:top w:val="single" w:sz="8" w:space="0" w:color="000000"/>
              <w:left w:val="single" w:sz="8" w:space="0" w:color="000000"/>
              <w:bottom w:val="single" w:sz="8" w:space="0" w:color="000000"/>
              <w:right w:val="single" w:sz="8" w:space="0" w:color="000000"/>
            </w:tcBorders>
            <w:vAlign w:val="bottom"/>
          </w:tcPr>
          <w:p w:rsidR="00E8309B" w:rsidRDefault="009D0949">
            <w:pPr>
              <w:spacing w:after="0" w:line="259" w:lineRule="auto"/>
              <w:ind w:left="0" w:right="56" w:firstLine="0"/>
              <w:jc w:val="center"/>
            </w:pPr>
            <w:r>
              <w:rPr>
                <w:b/>
                <w:sz w:val="20"/>
              </w:rPr>
              <w:t>Година</w:t>
            </w:r>
            <w:r>
              <w:rPr>
                <w:sz w:val="20"/>
              </w:rPr>
              <w:t xml:space="preserve">  </w:t>
            </w:r>
          </w:p>
        </w:tc>
        <w:tc>
          <w:tcPr>
            <w:tcW w:w="1658"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0" w:firstLine="18"/>
              <w:jc w:val="center"/>
            </w:pPr>
            <w:r>
              <w:rPr>
                <w:sz w:val="20"/>
              </w:rPr>
              <w:t xml:space="preserve">Буџет централног нивоа државе </w:t>
            </w:r>
          </w:p>
        </w:tc>
        <w:tc>
          <w:tcPr>
            <w:tcW w:w="1532" w:type="dxa"/>
            <w:tcBorders>
              <w:top w:val="single" w:sz="8" w:space="0" w:color="000000"/>
              <w:left w:val="single" w:sz="8" w:space="0" w:color="000000"/>
              <w:bottom w:val="single" w:sz="8" w:space="0" w:color="000000"/>
              <w:right w:val="single" w:sz="8" w:space="0" w:color="000000"/>
            </w:tcBorders>
            <w:vAlign w:val="center"/>
          </w:tcPr>
          <w:p w:rsidR="00E8309B" w:rsidRDefault="009D0949">
            <w:pPr>
              <w:spacing w:after="0" w:line="259" w:lineRule="auto"/>
              <w:ind w:left="0" w:right="3" w:firstLine="0"/>
              <w:jc w:val="center"/>
            </w:pPr>
            <w:r>
              <w:rPr>
                <w:sz w:val="20"/>
              </w:rPr>
              <w:t xml:space="preserve">Локални буџети </w:t>
            </w:r>
          </w:p>
        </w:tc>
        <w:tc>
          <w:tcPr>
            <w:tcW w:w="1889"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0" w:firstLine="0"/>
              <w:jc w:val="center"/>
            </w:pPr>
            <w:r>
              <w:rPr>
                <w:sz w:val="20"/>
              </w:rPr>
              <w:t xml:space="preserve">Други домаћи извори јавних финансија </w:t>
            </w:r>
          </w:p>
        </w:tc>
        <w:tc>
          <w:tcPr>
            <w:tcW w:w="1592" w:type="dxa"/>
            <w:tcBorders>
              <w:top w:val="single" w:sz="8" w:space="0" w:color="000000"/>
              <w:left w:val="single" w:sz="8" w:space="0" w:color="000000"/>
              <w:bottom w:val="single" w:sz="8" w:space="0" w:color="000000"/>
              <w:right w:val="single" w:sz="8" w:space="0" w:color="000000"/>
            </w:tcBorders>
            <w:vAlign w:val="center"/>
          </w:tcPr>
          <w:p w:rsidR="00E8309B" w:rsidRDefault="009D0949">
            <w:pPr>
              <w:spacing w:after="0" w:line="259" w:lineRule="auto"/>
              <w:ind w:left="77" w:right="0" w:firstLine="0"/>
              <w:jc w:val="left"/>
            </w:pPr>
            <w:r>
              <w:rPr>
                <w:sz w:val="20"/>
              </w:rPr>
              <w:t xml:space="preserve">ИПА фондови </w:t>
            </w:r>
          </w:p>
        </w:tc>
        <w:tc>
          <w:tcPr>
            <w:tcW w:w="1481"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0" w:firstLine="0"/>
              <w:jc w:val="center"/>
            </w:pPr>
            <w:r>
              <w:rPr>
                <w:sz w:val="20"/>
              </w:rPr>
              <w:t xml:space="preserve">Друга бесповратна средства  </w:t>
            </w:r>
          </w:p>
        </w:tc>
        <w:tc>
          <w:tcPr>
            <w:tcW w:w="1757" w:type="dxa"/>
            <w:tcBorders>
              <w:top w:val="single" w:sz="8" w:space="0" w:color="000000"/>
              <w:left w:val="single" w:sz="8" w:space="0" w:color="000000"/>
              <w:bottom w:val="single" w:sz="8" w:space="0" w:color="000000"/>
              <w:right w:val="single" w:sz="8" w:space="0" w:color="000000"/>
            </w:tcBorders>
            <w:vAlign w:val="center"/>
          </w:tcPr>
          <w:p w:rsidR="00E8309B" w:rsidRDefault="009D0949">
            <w:pPr>
              <w:spacing w:after="0" w:line="259" w:lineRule="auto"/>
              <w:ind w:left="0" w:right="0" w:firstLine="0"/>
              <w:jc w:val="center"/>
            </w:pPr>
            <w:r>
              <w:rPr>
                <w:sz w:val="20"/>
              </w:rPr>
              <w:t xml:space="preserve">Пројектни кредити  </w:t>
            </w:r>
          </w:p>
        </w:tc>
        <w:tc>
          <w:tcPr>
            <w:tcW w:w="1481" w:type="dxa"/>
            <w:tcBorders>
              <w:top w:val="single" w:sz="8" w:space="0" w:color="000000"/>
              <w:left w:val="single" w:sz="8" w:space="0" w:color="000000"/>
              <w:bottom w:val="single" w:sz="8" w:space="0" w:color="000000"/>
              <w:right w:val="single" w:sz="8" w:space="0" w:color="000000"/>
            </w:tcBorders>
            <w:vAlign w:val="center"/>
          </w:tcPr>
          <w:p w:rsidR="00E8309B" w:rsidRDefault="009D0949">
            <w:pPr>
              <w:spacing w:after="0" w:line="259" w:lineRule="auto"/>
              <w:ind w:left="12" w:right="17" w:firstLine="0"/>
              <w:jc w:val="center"/>
            </w:pPr>
            <w:r>
              <w:rPr>
                <w:sz w:val="20"/>
              </w:rPr>
              <w:t xml:space="preserve">Тек треба да се утврди </w:t>
            </w:r>
          </w:p>
        </w:tc>
        <w:tc>
          <w:tcPr>
            <w:tcW w:w="1752" w:type="dxa"/>
            <w:tcBorders>
              <w:top w:val="single" w:sz="8" w:space="0" w:color="000000"/>
              <w:left w:val="single" w:sz="8" w:space="0" w:color="000000"/>
              <w:bottom w:val="single" w:sz="8" w:space="0" w:color="000000"/>
              <w:right w:val="single" w:sz="8" w:space="0" w:color="000000"/>
            </w:tcBorders>
            <w:vAlign w:val="center"/>
          </w:tcPr>
          <w:p w:rsidR="00E8309B" w:rsidRDefault="009D0949">
            <w:pPr>
              <w:spacing w:after="0" w:line="259" w:lineRule="auto"/>
              <w:ind w:left="0" w:right="52" w:firstLine="0"/>
              <w:jc w:val="center"/>
            </w:pPr>
            <w:r>
              <w:rPr>
                <w:sz w:val="20"/>
              </w:rPr>
              <w:t xml:space="preserve">Укупно </w:t>
            </w:r>
          </w:p>
        </w:tc>
      </w:tr>
      <w:tr w:rsidR="00E8309B">
        <w:trPr>
          <w:trHeight w:val="334"/>
        </w:trPr>
        <w:tc>
          <w:tcPr>
            <w:tcW w:w="1210"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4" w:firstLine="0"/>
              <w:jc w:val="center"/>
            </w:pPr>
            <w:r>
              <w:rPr>
                <w:sz w:val="20"/>
              </w:rPr>
              <w:t xml:space="preserve">2021 </w:t>
            </w:r>
          </w:p>
        </w:tc>
        <w:tc>
          <w:tcPr>
            <w:tcW w:w="1658"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5" w:firstLine="0"/>
              <w:jc w:val="right"/>
            </w:pPr>
            <w:r>
              <w:rPr>
                <w:sz w:val="20"/>
              </w:rPr>
              <w:t xml:space="preserve">25.000.000,00 </w:t>
            </w:r>
          </w:p>
        </w:tc>
        <w:tc>
          <w:tcPr>
            <w:tcW w:w="1532"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8" w:firstLine="0"/>
              <w:jc w:val="right"/>
            </w:pPr>
            <w:r>
              <w:rPr>
                <w:sz w:val="20"/>
              </w:rPr>
              <w:t xml:space="preserve">0 </w:t>
            </w:r>
          </w:p>
        </w:tc>
        <w:tc>
          <w:tcPr>
            <w:tcW w:w="1889"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6" w:firstLine="0"/>
              <w:jc w:val="right"/>
            </w:pPr>
            <w:r>
              <w:rPr>
                <w:sz w:val="20"/>
              </w:rPr>
              <w:t xml:space="preserve">0 </w:t>
            </w:r>
          </w:p>
        </w:tc>
        <w:tc>
          <w:tcPr>
            <w:tcW w:w="1592"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6" w:firstLine="0"/>
              <w:jc w:val="right"/>
            </w:pPr>
            <w:r>
              <w:rPr>
                <w:sz w:val="20"/>
              </w:rPr>
              <w:t xml:space="preserve">0 </w:t>
            </w:r>
          </w:p>
        </w:tc>
        <w:tc>
          <w:tcPr>
            <w:tcW w:w="1481"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6" w:firstLine="0"/>
              <w:jc w:val="right"/>
            </w:pPr>
            <w:r>
              <w:rPr>
                <w:sz w:val="20"/>
              </w:rPr>
              <w:t xml:space="preserve">0 </w:t>
            </w:r>
          </w:p>
        </w:tc>
        <w:tc>
          <w:tcPr>
            <w:tcW w:w="1757"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6" w:firstLine="0"/>
              <w:jc w:val="right"/>
            </w:pPr>
            <w:r>
              <w:rPr>
                <w:sz w:val="20"/>
              </w:rPr>
              <w:t xml:space="preserve">8.600.000,00 </w:t>
            </w:r>
          </w:p>
        </w:tc>
        <w:tc>
          <w:tcPr>
            <w:tcW w:w="1481"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6" w:firstLine="0"/>
              <w:jc w:val="right"/>
            </w:pPr>
            <w:r>
              <w:rPr>
                <w:sz w:val="20"/>
              </w:rPr>
              <w:t xml:space="preserve">0 </w:t>
            </w:r>
          </w:p>
        </w:tc>
        <w:tc>
          <w:tcPr>
            <w:tcW w:w="1752"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1" w:firstLine="0"/>
              <w:jc w:val="right"/>
            </w:pPr>
            <w:r>
              <w:rPr>
                <w:sz w:val="20"/>
              </w:rPr>
              <w:t xml:space="preserve">33.600.000,00 </w:t>
            </w:r>
          </w:p>
        </w:tc>
      </w:tr>
      <w:tr w:rsidR="00E8309B">
        <w:trPr>
          <w:trHeight w:val="336"/>
        </w:trPr>
        <w:tc>
          <w:tcPr>
            <w:tcW w:w="1210"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4" w:firstLine="0"/>
              <w:jc w:val="center"/>
            </w:pPr>
            <w:r>
              <w:rPr>
                <w:sz w:val="20"/>
              </w:rPr>
              <w:t xml:space="preserve">2022 </w:t>
            </w:r>
          </w:p>
        </w:tc>
        <w:tc>
          <w:tcPr>
            <w:tcW w:w="1658"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6" w:firstLine="0"/>
              <w:jc w:val="right"/>
            </w:pPr>
            <w:r>
              <w:rPr>
                <w:sz w:val="20"/>
              </w:rPr>
              <w:t xml:space="preserve">0 </w:t>
            </w:r>
          </w:p>
        </w:tc>
        <w:tc>
          <w:tcPr>
            <w:tcW w:w="1532"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8" w:firstLine="0"/>
              <w:jc w:val="right"/>
            </w:pPr>
            <w:r>
              <w:rPr>
                <w:sz w:val="20"/>
              </w:rPr>
              <w:t>0</w:t>
            </w:r>
            <w:r>
              <w:rPr>
                <w:sz w:val="20"/>
              </w:rPr>
              <w:t xml:space="preserve"> </w:t>
            </w:r>
          </w:p>
        </w:tc>
        <w:tc>
          <w:tcPr>
            <w:tcW w:w="1889"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6" w:firstLine="0"/>
              <w:jc w:val="right"/>
            </w:pPr>
            <w:r>
              <w:rPr>
                <w:sz w:val="20"/>
              </w:rPr>
              <w:t xml:space="preserve">0 </w:t>
            </w:r>
          </w:p>
        </w:tc>
        <w:tc>
          <w:tcPr>
            <w:tcW w:w="1592"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6" w:firstLine="0"/>
              <w:jc w:val="right"/>
            </w:pPr>
            <w:r>
              <w:rPr>
                <w:sz w:val="20"/>
              </w:rPr>
              <w:t xml:space="preserve">0 </w:t>
            </w:r>
          </w:p>
        </w:tc>
        <w:tc>
          <w:tcPr>
            <w:tcW w:w="1481"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6" w:firstLine="0"/>
              <w:jc w:val="right"/>
            </w:pPr>
            <w:r>
              <w:rPr>
                <w:sz w:val="20"/>
              </w:rPr>
              <w:t xml:space="preserve">0 </w:t>
            </w:r>
          </w:p>
        </w:tc>
        <w:tc>
          <w:tcPr>
            <w:tcW w:w="1757"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6" w:firstLine="0"/>
              <w:jc w:val="right"/>
            </w:pPr>
            <w:r>
              <w:rPr>
                <w:sz w:val="20"/>
              </w:rPr>
              <w:t xml:space="preserve">0 </w:t>
            </w:r>
          </w:p>
        </w:tc>
        <w:tc>
          <w:tcPr>
            <w:tcW w:w="1481"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6" w:firstLine="0"/>
              <w:jc w:val="right"/>
            </w:pPr>
            <w:r>
              <w:rPr>
                <w:sz w:val="20"/>
              </w:rPr>
              <w:t xml:space="preserve">0 </w:t>
            </w:r>
          </w:p>
        </w:tc>
        <w:tc>
          <w:tcPr>
            <w:tcW w:w="1752"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1" w:firstLine="0"/>
              <w:jc w:val="right"/>
            </w:pPr>
            <w:r>
              <w:rPr>
                <w:sz w:val="20"/>
              </w:rPr>
              <w:t xml:space="preserve">0 </w:t>
            </w:r>
          </w:p>
        </w:tc>
      </w:tr>
      <w:tr w:rsidR="00E8309B">
        <w:trPr>
          <w:trHeight w:val="338"/>
        </w:trPr>
        <w:tc>
          <w:tcPr>
            <w:tcW w:w="1210"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4" w:firstLine="0"/>
              <w:jc w:val="center"/>
            </w:pPr>
            <w:r>
              <w:rPr>
                <w:sz w:val="20"/>
              </w:rPr>
              <w:t xml:space="preserve">2023 </w:t>
            </w:r>
          </w:p>
        </w:tc>
        <w:tc>
          <w:tcPr>
            <w:tcW w:w="1658"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6" w:firstLine="0"/>
              <w:jc w:val="right"/>
            </w:pPr>
            <w:r>
              <w:rPr>
                <w:sz w:val="20"/>
              </w:rPr>
              <w:t xml:space="preserve">0 </w:t>
            </w:r>
          </w:p>
        </w:tc>
        <w:tc>
          <w:tcPr>
            <w:tcW w:w="1532"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8" w:firstLine="0"/>
              <w:jc w:val="right"/>
            </w:pPr>
            <w:r>
              <w:rPr>
                <w:sz w:val="20"/>
              </w:rPr>
              <w:t xml:space="preserve">0 </w:t>
            </w:r>
          </w:p>
        </w:tc>
        <w:tc>
          <w:tcPr>
            <w:tcW w:w="1889"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6" w:firstLine="0"/>
              <w:jc w:val="right"/>
            </w:pPr>
            <w:r>
              <w:rPr>
                <w:sz w:val="20"/>
              </w:rPr>
              <w:t xml:space="preserve">0 </w:t>
            </w:r>
          </w:p>
        </w:tc>
        <w:tc>
          <w:tcPr>
            <w:tcW w:w="1592"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6" w:firstLine="0"/>
              <w:jc w:val="right"/>
            </w:pPr>
            <w:r>
              <w:rPr>
                <w:sz w:val="20"/>
              </w:rPr>
              <w:t xml:space="preserve">0 </w:t>
            </w:r>
          </w:p>
        </w:tc>
        <w:tc>
          <w:tcPr>
            <w:tcW w:w="1481"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6" w:firstLine="0"/>
              <w:jc w:val="right"/>
            </w:pPr>
            <w:r>
              <w:rPr>
                <w:sz w:val="20"/>
              </w:rPr>
              <w:t xml:space="preserve">0 </w:t>
            </w:r>
          </w:p>
        </w:tc>
        <w:tc>
          <w:tcPr>
            <w:tcW w:w="1757" w:type="dxa"/>
            <w:tcBorders>
              <w:top w:val="single" w:sz="8" w:space="0" w:color="000000"/>
              <w:left w:val="single" w:sz="8" w:space="0" w:color="000000"/>
              <w:bottom w:val="single" w:sz="8" w:space="0" w:color="000000"/>
              <w:right w:val="single" w:sz="8" w:space="0" w:color="000000"/>
            </w:tcBorders>
            <w:vAlign w:val="bottom"/>
          </w:tcPr>
          <w:p w:rsidR="00E8309B" w:rsidRDefault="009D0949">
            <w:pPr>
              <w:spacing w:after="0" w:line="259" w:lineRule="auto"/>
              <w:ind w:left="0" w:right="54" w:firstLine="0"/>
              <w:jc w:val="right"/>
            </w:pPr>
            <w:r>
              <w:rPr>
                <w:rFonts w:ascii="Calibri" w:eastAsia="Calibri" w:hAnsi="Calibri" w:cs="Calibri"/>
                <w:sz w:val="20"/>
              </w:rPr>
              <w:t xml:space="preserve">0 </w:t>
            </w:r>
          </w:p>
        </w:tc>
        <w:tc>
          <w:tcPr>
            <w:tcW w:w="1481"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6" w:firstLine="0"/>
              <w:jc w:val="right"/>
            </w:pPr>
            <w:r>
              <w:rPr>
                <w:sz w:val="20"/>
              </w:rPr>
              <w:t xml:space="preserve">0 </w:t>
            </w:r>
          </w:p>
        </w:tc>
        <w:tc>
          <w:tcPr>
            <w:tcW w:w="1752"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1" w:firstLine="0"/>
              <w:jc w:val="right"/>
            </w:pPr>
            <w:r>
              <w:rPr>
                <w:sz w:val="20"/>
              </w:rPr>
              <w:t xml:space="preserve">0 </w:t>
            </w:r>
          </w:p>
        </w:tc>
      </w:tr>
      <w:tr w:rsidR="00E8309B">
        <w:trPr>
          <w:trHeight w:val="608"/>
        </w:trPr>
        <w:tc>
          <w:tcPr>
            <w:tcW w:w="11119" w:type="dxa"/>
            <w:gridSpan w:val="7"/>
            <w:tcBorders>
              <w:top w:val="single" w:sz="8" w:space="0" w:color="000000"/>
              <w:left w:val="single" w:sz="8" w:space="0" w:color="000000"/>
              <w:bottom w:val="single" w:sz="8" w:space="0" w:color="000000"/>
              <w:right w:val="nil"/>
            </w:tcBorders>
            <w:shd w:val="clear" w:color="auto" w:fill="D0CECE"/>
          </w:tcPr>
          <w:p w:rsidR="00E8309B" w:rsidRDefault="009D0949">
            <w:pPr>
              <w:spacing w:after="0" w:line="259" w:lineRule="auto"/>
              <w:ind w:left="0" w:right="0" w:firstLine="0"/>
              <w:jc w:val="left"/>
            </w:pPr>
            <w:r>
              <w:rPr>
                <w:b/>
                <w:sz w:val="20"/>
              </w:rPr>
              <w:t xml:space="preserve">12. Унапређење геопросторног сектора креирањем стратешке дигиталне платформе као подршка инвестиционом одлучивању </w:t>
            </w:r>
          </w:p>
        </w:tc>
        <w:tc>
          <w:tcPr>
            <w:tcW w:w="1481" w:type="dxa"/>
            <w:tcBorders>
              <w:top w:val="single" w:sz="8" w:space="0" w:color="000000"/>
              <w:left w:val="nil"/>
              <w:bottom w:val="single" w:sz="8" w:space="0" w:color="000000"/>
              <w:right w:val="nil"/>
            </w:tcBorders>
            <w:shd w:val="clear" w:color="auto" w:fill="D0CECE"/>
            <w:vAlign w:val="bottom"/>
          </w:tcPr>
          <w:p w:rsidR="00E8309B" w:rsidRDefault="009D0949">
            <w:pPr>
              <w:spacing w:after="0" w:line="259" w:lineRule="auto"/>
              <w:ind w:left="2" w:right="0" w:firstLine="0"/>
              <w:jc w:val="left"/>
            </w:pPr>
            <w:r>
              <w:rPr>
                <w:b/>
                <w:sz w:val="20"/>
              </w:rPr>
              <w:t xml:space="preserve">  </w:t>
            </w:r>
          </w:p>
        </w:tc>
        <w:tc>
          <w:tcPr>
            <w:tcW w:w="1752" w:type="dxa"/>
            <w:tcBorders>
              <w:top w:val="single" w:sz="8" w:space="0" w:color="000000"/>
              <w:left w:val="nil"/>
              <w:bottom w:val="single" w:sz="8" w:space="0" w:color="000000"/>
              <w:right w:val="single" w:sz="8" w:space="0" w:color="000000"/>
            </w:tcBorders>
            <w:shd w:val="clear" w:color="auto" w:fill="D0CECE"/>
            <w:vAlign w:val="bottom"/>
          </w:tcPr>
          <w:p w:rsidR="00E8309B" w:rsidRDefault="009D0949">
            <w:pPr>
              <w:spacing w:after="0" w:line="259" w:lineRule="auto"/>
              <w:ind w:left="2" w:right="0" w:firstLine="0"/>
              <w:jc w:val="left"/>
            </w:pPr>
            <w:r>
              <w:rPr>
                <w:b/>
                <w:sz w:val="20"/>
              </w:rPr>
              <w:t xml:space="preserve">  </w:t>
            </w:r>
          </w:p>
        </w:tc>
      </w:tr>
      <w:tr w:rsidR="00E8309B">
        <w:trPr>
          <w:trHeight w:val="713"/>
        </w:trPr>
        <w:tc>
          <w:tcPr>
            <w:tcW w:w="1210" w:type="dxa"/>
            <w:tcBorders>
              <w:top w:val="single" w:sz="8" w:space="0" w:color="000000"/>
              <w:left w:val="single" w:sz="8" w:space="0" w:color="000000"/>
              <w:bottom w:val="single" w:sz="8" w:space="0" w:color="000000"/>
              <w:right w:val="single" w:sz="8" w:space="0" w:color="000000"/>
            </w:tcBorders>
            <w:vAlign w:val="bottom"/>
          </w:tcPr>
          <w:p w:rsidR="00E8309B" w:rsidRDefault="009D0949">
            <w:pPr>
              <w:spacing w:after="0" w:line="259" w:lineRule="auto"/>
              <w:ind w:left="0" w:right="56" w:firstLine="0"/>
              <w:jc w:val="center"/>
            </w:pPr>
            <w:r>
              <w:rPr>
                <w:b/>
                <w:sz w:val="20"/>
              </w:rPr>
              <w:t>Година</w:t>
            </w:r>
            <w:r>
              <w:rPr>
                <w:sz w:val="20"/>
              </w:rPr>
              <w:t xml:space="preserve">  </w:t>
            </w:r>
          </w:p>
        </w:tc>
        <w:tc>
          <w:tcPr>
            <w:tcW w:w="1658"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0" w:firstLine="18"/>
              <w:jc w:val="center"/>
            </w:pPr>
            <w:r>
              <w:rPr>
                <w:sz w:val="20"/>
              </w:rPr>
              <w:t xml:space="preserve">Буџет централног нивоа државе </w:t>
            </w:r>
          </w:p>
        </w:tc>
        <w:tc>
          <w:tcPr>
            <w:tcW w:w="1532" w:type="dxa"/>
            <w:tcBorders>
              <w:top w:val="single" w:sz="8" w:space="0" w:color="000000"/>
              <w:left w:val="single" w:sz="8" w:space="0" w:color="000000"/>
              <w:bottom w:val="single" w:sz="8" w:space="0" w:color="000000"/>
              <w:right w:val="single" w:sz="8" w:space="0" w:color="000000"/>
            </w:tcBorders>
            <w:vAlign w:val="center"/>
          </w:tcPr>
          <w:p w:rsidR="00E8309B" w:rsidRDefault="009D0949">
            <w:pPr>
              <w:spacing w:after="0" w:line="259" w:lineRule="auto"/>
              <w:ind w:left="0" w:right="3" w:firstLine="0"/>
              <w:jc w:val="center"/>
            </w:pPr>
            <w:r>
              <w:rPr>
                <w:sz w:val="20"/>
              </w:rPr>
              <w:t xml:space="preserve">Локални буџети </w:t>
            </w:r>
          </w:p>
        </w:tc>
        <w:tc>
          <w:tcPr>
            <w:tcW w:w="1889"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0" w:firstLine="0"/>
              <w:jc w:val="center"/>
            </w:pPr>
            <w:r>
              <w:rPr>
                <w:sz w:val="20"/>
              </w:rPr>
              <w:t xml:space="preserve">Други домаћи извори јавних финансија </w:t>
            </w:r>
          </w:p>
        </w:tc>
        <w:tc>
          <w:tcPr>
            <w:tcW w:w="1592" w:type="dxa"/>
            <w:tcBorders>
              <w:top w:val="single" w:sz="8" w:space="0" w:color="000000"/>
              <w:left w:val="single" w:sz="8" w:space="0" w:color="000000"/>
              <w:bottom w:val="single" w:sz="8" w:space="0" w:color="000000"/>
              <w:right w:val="single" w:sz="8" w:space="0" w:color="000000"/>
            </w:tcBorders>
            <w:vAlign w:val="center"/>
          </w:tcPr>
          <w:p w:rsidR="00E8309B" w:rsidRDefault="009D0949">
            <w:pPr>
              <w:spacing w:after="0" w:line="259" w:lineRule="auto"/>
              <w:ind w:left="77" w:right="0" w:firstLine="0"/>
              <w:jc w:val="left"/>
            </w:pPr>
            <w:r>
              <w:rPr>
                <w:sz w:val="20"/>
              </w:rPr>
              <w:t xml:space="preserve">ИПА фондови </w:t>
            </w:r>
          </w:p>
        </w:tc>
        <w:tc>
          <w:tcPr>
            <w:tcW w:w="1481"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0" w:firstLine="0"/>
              <w:jc w:val="center"/>
            </w:pPr>
            <w:r>
              <w:rPr>
                <w:sz w:val="20"/>
              </w:rPr>
              <w:t xml:space="preserve">Друга бесповратна средства  </w:t>
            </w:r>
          </w:p>
        </w:tc>
        <w:tc>
          <w:tcPr>
            <w:tcW w:w="1757" w:type="dxa"/>
            <w:tcBorders>
              <w:top w:val="single" w:sz="8" w:space="0" w:color="000000"/>
              <w:left w:val="single" w:sz="8" w:space="0" w:color="000000"/>
              <w:bottom w:val="single" w:sz="8" w:space="0" w:color="000000"/>
              <w:right w:val="single" w:sz="8" w:space="0" w:color="000000"/>
            </w:tcBorders>
            <w:vAlign w:val="center"/>
          </w:tcPr>
          <w:p w:rsidR="00E8309B" w:rsidRDefault="009D0949">
            <w:pPr>
              <w:spacing w:after="0" w:line="259" w:lineRule="auto"/>
              <w:ind w:left="0" w:right="0" w:firstLine="0"/>
              <w:jc w:val="center"/>
            </w:pPr>
            <w:r>
              <w:rPr>
                <w:sz w:val="20"/>
              </w:rPr>
              <w:t xml:space="preserve">Пројкетни кредити  </w:t>
            </w:r>
          </w:p>
        </w:tc>
        <w:tc>
          <w:tcPr>
            <w:tcW w:w="1481" w:type="dxa"/>
            <w:tcBorders>
              <w:top w:val="single" w:sz="8" w:space="0" w:color="000000"/>
              <w:left w:val="single" w:sz="8" w:space="0" w:color="000000"/>
              <w:bottom w:val="single" w:sz="8" w:space="0" w:color="000000"/>
              <w:right w:val="single" w:sz="8" w:space="0" w:color="000000"/>
            </w:tcBorders>
            <w:vAlign w:val="center"/>
          </w:tcPr>
          <w:p w:rsidR="00E8309B" w:rsidRDefault="009D0949">
            <w:pPr>
              <w:spacing w:after="0" w:line="259" w:lineRule="auto"/>
              <w:ind w:left="12" w:right="17" w:firstLine="0"/>
              <w:jc w:val="center"/>
            </w:pPr>
            <w:r>
              <w:rPr>
                <w:sz w:val="20"/>
              </w:rPr>
              <w:t xml:space="preserve">Тек треба да се утврди </w:t>
            </w:r>
          </w:p>
        </w:tc>
        <w:tc>
          <w:tcPr>
            <w:tcW w:w="1752" w:type="dxa"/>
            <w:tcBorders>
              <w:top w:val="single" w:sz="8" w:space="0" w:color="000000"/>
              <w:left w:val="single" w:sz="8" w:space="0" w:color="000000"/>
              <w:bottom w:val="single" w:sz="8" w:space="0" w:color="000000"/>
              <w:right w:val="single" w:sz="8" w:space="0" w:color="000000"/>
            </w:tcBorders>
            <w:vAlign w:val="center"/>
          </w:tcPr>
          <w:p w:rsidR="00E8309B" w:rsidRDefault="009D0949">
            <w:pPr>
              <w:spacing w:after="0" w:line="259" w:lineRule="auto"/>
              <w:ind w:left="0" w:right="52" w:firstLine="0"/>
              <w:jc w:val="center"/>
            </w:pPr>
            <w:r>
              <w:rPr>
                <w:sz w:val="20"/>
              </w:rPr>
              <w:t xml:space="preserve">Укупно </w:t>
            </w:r>
          </w:p>
        </w:tc>
      </w:tr>
      <w:tr w:rsidR="00E8309B">
        <w:trPr>
          <w:trHeight w:val="334"/>
        </w:trPr>
        <w:tc>
          <w:tcPr>
            <w:tcW w:w="1210"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4" w:firstLine="0"/>
              <w:jc w:val="center"/>
            </w:pPr>
            <w:r>
              <w:rPr>
                <w:sz w:val="20"/>
              </w:rPr>
              <w:t xml:space="preserve">2021 </w:t>
            </w:r>
          </w:p>
        </w:tc>
        <w:tc>
          <w:tcPr>
            <w:tcW w:w="1658"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5" w:firstLine="0"/>
              <w:jc w:val="right"/>
            </w:pPr>
            <w:r>
              <w:rPr>
                <w:sz w:val="20"/>
              </w:rPr>
              <w:t xml:space="preserve">313.560,00 </w:t>
            </w:r>
          </w:p>
        </w:tc>
        <w:tc>
          <w:tcPr>
            <w:tcW w:w="1532"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8" w:firstLine="0"/>
              <w:jc w:val="right"/>
            </w:pPr>
            <w:r>
              <w:rPr>
                <w:sz w:val="20"/>
              </w:rPr>
              <w:t xml:space="preserve">0 </w:t>
            </w:r>
          </w:p>
        </w:tc>
        <w:tc>
          <w:tcPr>
            <w:tcW w:w="1889"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6" w:firstLine="0"/>
              <w:jc w:val="right"/>
            </w:pPr>
            <w:r>
              <w:rPr>
                <w:sz w:val="20"/>
              </w:rPr>
              <w:t xml:space="preserve">0 </w:t>
            </w:r>
          </w:p>
        </w:tc>
        <w:tc>
          <w:tcPr>
            <w:tcW w:w="1592"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5" w:firstLine="0"/>
              <w:jc w:val="right"/>
            </w:pPr>
            <w:r>
              <w:rPr>
                <w:sz w:val="20"/>
              </w:rPr>
              <w:t xml:space="preserve">30.000,00 </w:t>
            </w:r>
          </w:p>
        </w:tc>
        <w:tc>
          <w:tcPr>
            <w:tcW w:w="1481"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6" w:firstLine="0"/>
              <w:jc w:val="right"/>
            </w:pPr>
            <w:r>
              <w:rPr>
                <w:sz w:val="20"/>
              </w:rPr>
              <w:t xml:space="preserve">0 </w:t>
            </w:r>
          </w:p>
        </w:tc>
        <w:tc>
          <w:tcPr>
            <w:tcW w:w="1757"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6" w:firstLine="0"/>
              <w:jc w:val="right"/>
            </w:pPr>
            <w:r>
              <w:rPr>
                <w:sz w:val="20"/>
              </w:rPr>
              <w:t xml:space="preserve">2.480.000,00 </w:t>
            </w:r>
          </w:p>
        </w:tc>
        <w:tc>
          <w:tcPr>
            <w:tcW w:w="1481"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6" w:firstLine="0"/>
              <w:jc w:val="right"/>
            </w:pPr>
            <w:r>
              <w:rPr>
                <w:sz w:val="20"/>
              </w:rPr>
              <w:t xml:space="preserve">0 </w:t>
            </w:r>
          </w:p>
        </w:tc>
        <w:tc>
          <w:tcPr>
            <w:tcW w:w="1752"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1" w:firstLine="0"/>
              <w:jc w:val="right"/>
            </w:pPr>
            <w:r>
              <w:rPr>
                <w:sz w:val="20"/>
              </w:rPr>
              <w:t xml:space="preserve">2.823.560,00 </w:t>
            </w:r>
          </w:p>
        </w:tc>
      </w:tr>
      <w:tr w:rsidR="00E8309B">
        <w:trPr>
          <w:trHeight w:val="331"/>
        </w:trPr>
        <w:tc>
          <w:tcPr>
            <w:tcW w:w="1210" w:type="dxa"/>
            <w:tcBorders>
              <w:top w:val="single" w:sz="8" w:space="0" w:color="000000"/>
              <w:left w:val="single" w:sz="8" w:space="0" w:color="000000"/>
              <w:bottom w:val="single" w:sz="4" w:space="0" w:color="000000"/>
              <w:right w:val="single" w:sz="8" w:space="0" w:color="000000"/>
            </w:tcBorders>
          </w:tcPr>
          <w:p w:rsidR="00E8309B" w:rsidRDefault="009D0949">
            <w:pPr>
              <w:spacing w:after="0" w:line="259" w:lineRule="auto"/>
              <w:ind w:left="0" w:right="54" w:firstLine="0"/>
              <w:jc w:val="center"/>
            </w:pPr>
            <w:r>
              <w:rPr>
                <w:sz w:val="20"/>
              </w:rPr>
              <w:t xml:space="preserve">2022 </w:t>
            </w:r>
          </w:p>
        </w:tc>
        <w:tc>
          <w:tcPr>
            <w:tcW w:w="1658" w:type="dxa"/>
            <w:tcBorders>
              <w:top w:val="single" w:sz="8" w:space="0" w:color="000000"/>
              <w:left w:val="single" w:sz="8" w:space="0" w:color="000000"/>
              <w:bottom w:val="single" w:sz="4" w:space="0" w:color="000000"/>
              <w:right w:val="single" w:sz="8" w:space="0" w:color="000000"/>
            </w:tcBorders>
          </w:tcPr>
          <w:p w:rsidR="00E8309B" w:rsidRDefault="009D0949">
            <w:pPr>
              <w:spacing w:after="0" w:line="259" w:lineRule="auto"/>
              <w:ind w:left="0" w:right="56" w:firstLine="0"/>
              <w:jc w:val="right"/>
            </w:pPr>
            <w:r>
              <w:rPr>
                <w:sz w:val="20"/>
              </w:rPr>
              <w:t xml:space="preserve">0 </w:t>
            </w:r>
          </w:p>
        </w:tc>
        <w:tc>
          <w:tcPr>
            <w:tcW w:w="1532" w:type="dxa"/>
            <w:tcBorders>
              <w:top w:val="single" w:sz="8" w:space="0" w:color="000000"/>
              <w:left w:val="single" w:sz="8" w:space="0" w:color="000000"/>
              <w:bottom w:val="single" w:sz="4" w:space="0" w:color="000000"/>
              <w:right w:val="single" w:sz="8" w:space="0" w:color="000000"/>
            </w:tcBorders>
          </w:tcPr>
          <w:p w:rsidR="00E8309B" w:rsidRDefault="009D0949">
            <w:pPr>
              <w:spacing w:after="0" w:line="259" w:lineRule="auto"/>
              <w:ind w:left="0" w:right="58" w:firstLine="0"/>
              <w:jc w:val="right"/>
            </w:pPr>
            <w:r>
              <w:rPr>
                <w:sz w:val="20"/>
              </w:rPr>
              <w:t xml:space="preserve">0 </w:t>
            </w:r>
          </w:p>
        </w:tc>
        <w:tc>
          <w:tcPr>
            <w:tcW w:w="1889" w:type="dxa"/>
            <w:tcBorders>
              <w:top w:val="single" w:sz="8" w:space="0" w:color="000000"/>
              <w:left w:val="single" w:sz="8" w:space="0" w:color="000000"/>
              <w:bottom w:val="single" w:sz="4" w:space="0" w:color="000000"/>
              <w:right w:val="single" w:sz="8" w:space="0" w:color="000000"/>
            </w:tcBorders>
          </w:tcPr>
          <w:p w:rsidR="00E8309B" w:rsidRDefault="009D0949">
            <w:pPr>
              <w:spacing w:after="0" w:line="259" w:lineRule="auto"/>
              <w:ind w:left="0" w:right="56" w:firstLine="0"/>
              <w:jc w:val="right"/>
            </w:pPr>
            <w:r>
              <w:rPr>
                <w:sz w:val="20"/>
              </w:rPr>
              <w:t xml:space="preserve">0 </w:t>
            </w:r>
          </w:p>
        </w:tc>
        <w:tc>
          <w:tcPr>
            <w:tcW w:w="1592" w:type="dxa"/>
            <w:tcBorders>
              <w:top w:val="single" w:sz="8" w:space="0" w:color="000000"/>
              <w:left w:val="single" w:sz="8" w:space="0" w:color="000000"/>
              <w:bottom w:val="single" w:sz="4" w:space="0" w:color="000000"/>
              <w:right w:val="single" w:sz="8" w:space="0" w:color="000000"/>
            </w:tcBorders>
          </w:tcPr>
          <w:p w:rsidR="00E8309B" w:rsidRDefault="009D0949">
            <w:pPr>
              <w:spacing w:after="0" w:line="259" w:lineRule="auto"/>
              <w:ind w:left="0" w:right="56" w:firstLine="0"/>
              <w:jc w:val="right"/>
            </w:pPr>
            <w:r>
              <w:rPr>
                <w:sz w:val="20"/>
              </w:rPr>
              <w:t xml:space="preserve">0 </w:t>
            </w:r>
          </w:p>
        </w:tc>
        <w:tc>
          <w:tcPr>
            <w:tcW w:w="1481" w:type="dxa"/>
            <w:tcBorders>
              <w:top w:val="single" w:sz="8" w:space="0" w:color="000000"/>
              <w:left w:val="single" w:sz="8" w:space="0" w:color="000000"/>
              <w:bottom w:val="single" w:sz="4" w:space="0" w:color="000000"/>
              <w:right w:val="single" w:sz="8" w:space="0" w:color="000000"/>
            </w:tcBorders>
          </w:tcPr>
          <w:p w:rsidR="00E8309B" w:rsidRDefault="009D0949">
            <w:pPr>
              <w:spacing w:after="0" w:line="259" w:lineRule="auto"/>
              <w:ind w:left="0" w:right="56" w:firstLine="0"/>
              <w:jc w:val="right"/>
            </w:pPr>
            <w:r>
              <w:rPr>
                <w:sz w:val="20"/>
              </w:rPr>
              <w:t xml:space="preserve">0 </w:t>
            </w:r>
          </w:p>
        </w:tc>
        <w:tc>
          <w:tcPr>
            <w:tcW w:w="1757" w:type="dxa"/>
            <w:tcBorders>
              <w:top w:val="single" w:sz="8" w:space="0" w:color="000000"/>
              <w:left w:val="single" w:sz="8" w:space="0" w:color="000000"/>
              <w:bottom w:val="single" w:sz="4" w:space="0" w:color="000000"/>
              <w:right w:val="single" w:sz="8" w:space="0" w:color="000000"/>
            </w:tcBorders>
          </w:tcPr>
          <w:p w:rsidR="00E8309B" w:rsidRDefault="009D0949">
            <w:pPr>
              <w:spacing w:after="0" w:line="259" w:lineRule="auto"/>
              <w:ind w:left="0" w:right="56" w:firstLine="0"/>
              <w:jc w:val="right"/>
            </w:pPr>
            <w:r>
              <w:rPr>
                <w:sz w:val="20"/>
              </w:rPr>
              <w:t xml:space="preserve">2.400.000,00 </w:t>
            </w:r>
          </w:p>
        </w:tc>
        <w:tc>
          <w:tcPr>
            <w:tcW w:w="1481" w:type="dxa"/>
            <w:tcBorders>
              <w:top w:val="single" w:sz="8" w:space="0" w:color="000000"/>
              <w:left w:val="single" w:sz="8" w:space="0" w:color="000000"/>
              <w:bottom w:val="single" w:sz="4" w:space="0" w:color="000000"/>
              <w:right w:val="single" w:sz="8" w:space="0" w:color="000000"/>
            </w:tcBorders>
          </w:tcPr>
          <w:p w:rsidR="00E8309B" w:rsidRDefault="009D0949">
            <w:pPr>
              <w:spacing w:after="0" w:line="259" w:lineRule="auto"/>
              <w:ind w:left="0" w:right="56" w:firstLine="0"/>
              <w:jc w:val="right"/>
            </w:pPr>
            <w:r>
              <w:rPr>
                <w:sz w:val="20"/>
              </w:rPr>
              <w:t xml:space="preserve">0 </w:t>
            </w:r>
          </w:p>
        </w:tc>
        <w:tc>
          <w:tcPr>
            <w:tcW w:w="1752" w:type="dxa"/>
            <w:tcBorders>
              <w:top w:val="single" w:sz="8" w:space="0" w:color="000000"/>
              <w:left w:val="single" w:sz="8" w:space="0" w:color="000000"/>
              <w:bottom w:val="single" w:sz="4" w:space="0" w:color="000000"/>
              <w:right w:val="single" w:sz="8" w:space="0" w:color="000000"/>
            </w:tcBorders>
          </w:tcPr>
          <w:p w:rsidR="00E8309B" w:rsidRDefault="009D0949">
            <w:pPr>
              <w:spacing w:after="0" w:line="259" w:lineRule="auto"/>
              <w:ind w:left="0" w:right="51" w:firstLine="0"/>
              <w:jc w:val="right"/>
            </w:pPr>
            <w:r>
              <w:rPr>
                <w:sz w:val="20"/>
              </w:rPr>
              <w:t xml:space="preserve">2.400.000,00 </w:t>
            </w:r>
          </w:p>
        </w:tc>
      </w:tr>
      <w:tr w:rsidR="00E8309B">
        <w:trPr>
          <w:trHeight w:val="331"/>
        </w:trPr>
        <w:tc>
          <w:tcPr>
            <w:tcW w:w="1210" w:type="dxa"/>
            <w:tcBorders>
              <w:top w:val="single" w:sz="4" w:space="0" w:color="000000"/>
              <w:left w:val="single" w:sz="8" w:space="0" w:color="000000"/>
              <w:bottom w:val="single" w:sz="8" w:space="0" w:color="000000"/>
              <w:right w:val="single" w:sz="8" w:space="0" w:color="000000"/>
            </w:tcBorders>
          </w:tcPr>
          <w:p w:rsidR="00E8309B" w:rsidRDefault="009D0949">
            <w:pPr>
              <w:spacing w:after="0" w:line="259" w:lineRule="auto"/>
              <w:ind w:left="0" w:right="54" w:firstLine="0"/>
              <w:jc w:val="center"/>
            </w:pPr>
            <w:r>
              <w:rPr>
                <w:sz w:val="20"/>
              </w:rPr>
              <w:t xml:space="preserve">2023 </w:t>
            </w:r>
          </w:p>
        </w:tc>
        <w:tc>
          <w:tcPr>
            <w:tcW w:w="1658" w:type="dxa"/>
            <w:tcBorders>
              <w:top w:val="single" w:sz="4" w:space="0" w:color="000000"/>
              <w:left w:val="single" w:sz="8" w:space="0" w:color="000000"/>
              <w:bottom w:val="single" w:sz="8" w:space="0" w:color="000000"/>
              <w:right w:val="single" w:sz="8" w:space="0" w:color="000000"/>
            </w:tcBorders>
          </w:tcPr>
          <w:p w:rsidR="00E8309B" w:rsidRDefault="009D0949">
            <w:pPr>
              <w:spacing w:after="0" w:line="259" w:lineRule="auto"/>
              <w:ind w:left="0" w:right="56" w:firstLine="0"/>
              <w:jc w:val="right"/>
            </w:pPr>
            <w:r>
              <w:rPr>
                <w:sz w:val="20"/>
              </w:rPr>
              <w:t xml:space="preserve">0 </w:t>
            </w:r>
          </w:p>
        </w:tc>
        <w:tc>
          <w:tcPr>
            <w:tcW w:w="1532" w:type="dxa"/>
            <w:tcBorders>
              <w:top w:val="single" w:sz="4" w:space="0" w:color="000000"/>
              <w:left w:val="single" w:sz="8" w:space="0" w:color="000000"/>
              <w:bottom w:val="single" w:sz="8" w:space="0" w:color="000000"/>
              <w:right w:val="single" w:sz="8" w:space="0" w:color="000000"/>
            </w:tcBorders>
          </w:tcPr>
          <w:p w:rsidR="00E8309B" w:rsidRDefault="009D0949">
            <w:pPr>
              <w:spacing w:after="0" w:line="259" w:lineRule="auto"/>
              <w:ind w:left="0" w:right="58" w:firstLine="0"/>
              <w:jc w:val="right"/>
            </w:pPr>
            <w:r>
              <w:rPr>
                <w:sz w:val="20"/>
              </w:rPr>
              <w:t xml:space="preserve">0 </w:t>
            </w:r>
          </w:p>
        </w:tc>
        <w:tc>
          <w:tcPr>
            <w:tcW w:w="1889" w:type="dxa"/>
            <w:tcBorders>
              <w:top w:val="single" w:sz="4" w:space="0" w:color="000000"/>
              <w:left w:val="single" w:sz="8" w:space="0" w:color="000000"/>
              <w:bottom w:val="single" w:sz="8" w:space="0" w:color="000000"/>
              <w:right w:val="single" w:sz="8" w:space="0" w:color="000000"/>
            </w:tcBorders>
          </w:tcPr>
          <w:p w:rsidR="00E8309B" w:rsidRDefault="009D0949">
            <w:pPr>
              <w:spacing w:after="0" w:line="259" w:lineRule="auto"/>
              <w:ind w:left="0" w:right="56" w:firstLine="0"/>
              <w:jc w:val="right"/>
            </w:pPr>
            <w:r>
              <w:rPr>
                <w:sz w:val="20"/>
              </w:rPr>
              <w:t xml:space="preserve">0 </w:t>
            </w:r>
          </w:p>
        </w:tc>
        <w:tc>
          <w:tcPr>
            <w:tcW w:w="1592" w:type="dxa"/>
            <w:tcBorders>
              <w:top w:val="single" w:sz="4" w:space="0" w:color="000000"/>
              <w:left w:val="single" w:sz="8" w:space="0" w:color="000000"/>
              <w:bottom w:val="single" w:sz="8" w:space="0" w:color="000000"/>
              <w:right w:val="single" w:sz="8" w:space="0" w:color="000000"/>
            </w:tcBorders>
          </w:tcPr>
          <w:p w:rsidR="00E8309B" w:rsidRDefault="009D0949">
            <w:pPr>
              <w:spacing w:after="0" w:line="259" w:lineRule="auto"/>
              <w:ind w:left="0" w:right="56" w:firstLine="0"/>
              <w:jc w:val="right"/>
            </w:pPr>
            <w:r>
              <w:rPr>
                <w:sz w:val="20"/>
              </w:rPr>
              <w:t xml:space="preserve">0 </w:t>
            </w:r>
          </w:p>
        </w:tc>
        <w:tc>
          <w:tcPr>
            <w:tcW w:w="1481" w:type="dxa"/>
            <w:tcBorders>
              <w:top w:val="single" w:sz="4" w:space="0" w:color="000000"/>
              <w:left w:val="single" w:sz="8" w:space="0" w:color="000000"/>
              <w:bottom w:val="single" w:sz="8" w:space="0" w:color="000000"/>
              <w:right w:val="single" w:sz="8" w:space="0" w:color="000000"/>
            </w:tcBorders>
          </w:tcPr>
          <w:p w:rsidR="00E8309B" w:rsidRDefault="009D0949">
            <w:pPr>
              <w:spacing w:after="0" w:line="259" w:lineRule="auto"/>
              <w:ind w:left="0" w:right="56" w:firstLine="0"/>
              <w:jc w:val="right"/>
            </w:pPr>
            <w:r>
              <w:rPr>
                <w:sz w:val="20"/>
              </w:rPr>
              <w:t xml:space="preserve">0 </w:t>
            </w:r>
          </w:p>
        </w:tc>
        <w:tc>
          <w:tcPr>
            <w:tcW w:w="1757" w:type="dxa"/>
            <w:tcBorders>
              <w:top w:val="single" w:sz="4" w:space="0" w:color="000000"/>
              <w:left w:val="single" w:sz="8" w:space="0" w:color="000000"/>
              <w:bottom w:val="single" w:sz="8" w:space="0" w:color="000000"/>
              <w:right w:val="single" w:sz="8" w:space="0" w:color="000000"/>
            </w:tcBorders>
          </w:tcPr>
          <w:p w:rsidR="00E8309B" w:rsidRDefault="009D0949">
            <w:pPr>
              <w:spacing w:after="0" w:line="259" w:lineRule="auto"/>
              <w:ind w:left="0" w:right="56" w:firstLine="0"/>
              <w:jc w:val="right"/>
            </w:pPr>
            <w:r>
              <w:rPr>
                <w:sz w:val="20"/>
              </w:rPr>
              <w:t xml:space="preserve">0 </w:t>
            </w:r>
          </w:p>
        </w:tc>
        <w:tc>
          <w:tcPr>
            <w:tcW w:w="1481" w:type="dxa"/>
            <w:tcBorders>
              <w:top w:val="single" w:sz="4" w:space="0" w:color="000000"/>
              <w:left w:val="single" w:sz="8" w:space="0" w:color="000000"/>
              <w:bottom w:val="single" w:sz="8" w:space="0" w:color="000000"/>
              <w:right w:val="single" w:sz="8" w:space="0" w:color="000000"/>
            </w:tcBorders>
          </w:tcPr>
          <w:p w:rsidR="00E8309B" w:rsidRDefault="009D0949">
            <w:pPr>
              <w:spacing w:after="0" w:line="259" w:lineRule="auto"/>
              <w:ind w:left="0" w:right="56" w:firstLine="0"/>
              <w:jc w:val="right"/>
            </w:pPr>
            <w:r>
              <w:rPr>
                <w:sz w:val="20"/>
              </w:rPr>
              <w:t xml:space="preserve">0 </w:t>
            </w:r>
          </w:p>
        </w:tc>
        <w:tc>
          <w:tcPr>
            <w:tcW w:w="1752" w:type="dxa"/>
            <w:tcBorders>
              <w:top w:val="single" w:sz="4" w:space="0" w:color="000000"/>
              <w:left w:val="single" w:sz="8" w:space="0" w:color="000000"/>
              <w:bottom w:val="single" w:sz="8" w:space="0" w:color="000000"/>
              <w:right w:val="single" w:sz="8" w:space="0" w:color="000000"/>
            </w:tcBorders>
          </w:tcPr>
          <w:p w:rsidR="00E8309B" w:rsidRDefault="009D0949">
            <w:pPr>
              <w:spacing w:after="0" w:line="259" w:lineRule="auto"/>
              <w:ind w:left="0" w:right="51" w:firstLine="0"/>
              <w:jc w:val="right"/>
            </w:pPr>
            <w:r>
              <w:rPr>
                <w:sz w:val="20"/>
              </w:rPr>
              <w:t xml:space="preserve">0 </w:t>
            </w:r>
          </w:p>
        </w:tc>
      </w:tr>
    </w:tbl>
    <w:p w:rsidR="00E8309B" w:rsidRDefault="00E8309B">
      <w:pPr>
        <w:spacing w:after="0" w:line="259" w:lineRule="auto"/>
        <w:ind w:left="-1138" w:right="10666" w:firstLine="0"/>
        <w:jc w:val="left"/>
      </w:pPr>
    </w:p>
    <w:tbl>
      <w:tblPr>
        <w:tblStyle w:val="TableGrid"/>
        <w:tblW w:w="14352" w:type="dxa"/>
        <w:tblInd w:w="12" w:type="dxa"/>
        <w:tblCellMar>
          <w:top w:w="56" w:type="dxa"/>
          <w:left w:w="0" w:type="dxa"/>
          <w:bottom w:w="7" w:type="dxa"/>
          <w:right w:w="53" w:type="dxa"/>
        </w:tblCellMar>
        <w:tblLook w:val="04A0" w:firstRow="1" w:lastRow="0" w:firstColumn="1" w:lastColumn="0" w:noHBand="0" w:noVBand="1"/>
      </w:tblPr>
      <w:tblGrid>
        <w:gridCol w:w="1210"/>
        <w:gridCol w:w="1658"/>
        <w:gridCol w:w="1532"/>
        <w:gridCol w:w="1889"/>
        <w:gridCol w:w="1592"/>
        <w:gridCol w:w="1481"/>
        <w:gridCol w:w="1549"/>
        <w:gridCol w:w="209"/>
        <w:gridCol w:w="1481"/>
        <w:gridCol w:w="1752"/>
      </w:tblGrid>
      <w:tr w:rsidR="00E8309B">
        <w:trPr>
          <w:trHeight w:val="557"/>
        </w:trPr>
        <w:tc>
          <w:tcPr>
            <w:tcW w:w="10910" w:type="dxa"/>
            <w:gridSpan w:val="7"/>
            <w:tcBorders>
              <w:top w:val="single" w:sz="8" w:space="0" w:color="000000"/>
              <w:left w:val="single" w:sz="8" w:space="0" w:color="000000"/>
              <w:bottom w:val="single" w:sz="8" w:space="0" w:color="000000"/>
              <w:right w:val="nil"/>
            </w:tcBorders>
            <w:shd w:val="clear" w:color="auto" w:fill="D0CECE"/>
          </w:tcPr>
          <w:p w:rsidR="00E8309B" w:rsidRDefault="009D0949">
            <w:pPr>
              <w:spacing w:after="21" w:line="259" w:lineRule="auto"/>
              <w:ind w:left="106" w:right="0" w:firstLine="0"/>
              <w:jc w:val="left"/>
            </w:pPr>
            <w:r>
              <w:rPr>
                <w:b/>
                <w:sz w:val="20"/>
              </w:rPr>
              <w:t>13. Унапређење управљања просторним развојем у Републици Србији кроз успостављање дигиталне платформе е-</w:t>
            </w:r>
          </w:p>
          <w:p w:rsidR="00E8309B" w:rsidRDefault="009D0949">
            <w:pPr>
              <w:spacing w:after="0" w:line="259" w:lineRule="auto"/>
              <w:ind w:left="106" w:right="0" w:firstLine="0"/>
              <w:jc w:val="left"/>
            </w:pPr>
            <w:r>
              <w:rPr>
                <w:b/>
                <w:sz w:val="20"/>
              </w:rPr>
              <w:t xml:space="preserve">Простор </w:t>
            </w:r>
          </w:p>
        </w:tc>
        <w:tc>
          <w:tcPr>
            <w:tcW w:w="209" w:type="dxa"/>
            <w:tcBorders>
              <w:top w:val="single" w:sz="8" w:space="0" w:color="000000"/>
              <w:left w:val="nil"/>
              <w:bottom w:val="single" w:sz="8" w:space="0" w:color="000000"/>
              <w:right w:val="nil"/>
            </w:tcBorders>
            <w:shd w:val="clear" w:color="auto" w:fill="D0CECE"/>
          </w:tcPr>
          <w:p w:rsidR="00E8309B" w:rsidRDefault="00E8309B">
            <w:pPr>
              <w:spacing w:after="160" w:line="259" w:lineRule="auto"/>
              <w:ind w:left="0" w:right="0" w:firstLine="0"/>
              <w:jc w:val="left"/>
            </w:pPr>
          </w:p>
        </w:tc>
        <w:tc>
          <w:tcPr>
            <w:tcW w:w="1481" w:type="dxa"/>
            <w:tcBorders>
              <w:top w:val="single" w:sz="8" w:space="0" w:color="D0CECE"/>
              <w:left w:val="nil"/>
              <w:bottom w:val="single" w:sz="8" w:space="0" w:color="000000"/>
              <w:right w:val="nil"/>
            </w:tcBorders>
            <w:shd w:val="clear" w:color="auto" w:fill="D0CECE"/>
            <w:vAlign w:val="bottom"/>
          </w:tcPr>
          <w:p w:rsidR="00E8309B" w:rsidRDefault="009D0949">
            <w:pPr>
              <w:spacing w:after="0" w:line="259" w:lineRule="auto"/>
              <w:ind w:left="108" w:right="0" w:firstLine="0"/>
              <w:jc w:val="left"/>
            </w:pPr>
            <w:r>
              <w:rPr>
                <w:b/>
                <w:sz w:val="20"/>
              </w:rPr>
              <w:t xml:space="preserve">  </w:t>
            </w:r>
          </w:p>
        </w:tc>
        <w:tc>
          <w:tcPr>
            <w:tcW w:w="1752" w:type="dxa"/>
            <w:tcBorders>
              <w:top w:val="single" w:sz="8" w:space="0" w:color="D0CECE"/>
              <w:left w:val="nil"/>
              <w:bottom w:val="single" w:sz="8" w:space="0" w:color="000000"/>
              <w:right w:val="single" w:sz="8" w:space="0" w:color="000000"/>
            </w:tcBorders>
            <w:shd w:val="clear" w:color="auto" w:fill="D0CECE"/>
            <w:vAlign w:val="bottom"/>
          </w:tcPr>
          <w:p w:rsidR="00E8309B" w:rsidRDefault="009D0949">
            <w:pPr>
              <w:spacing w:after="0" w:line="259" w:lineRule="auto"/>
              <w:ind w:left="108" w:right="0" w:firstLine="0"/>
              <w:jc w:val="left"/>
            </w:pPr>
            <w:r>
              <w:rPr>
                <w:b/>
                <w:sz w:val="20"/>
              </w:rPr>
              <w:t xml:space="preserve">  </w:t>
            </w:r>
          </w:p>
        </w:tc>
      </w:tr>
      <w:tr w:rsidR="00E8309B">
        <w:trPr>
          <w:trHeight w:val="713"/>
        </w:trPr>
        <w:tc>
          <w:tcPr>
            <w:tcW w:w="1210" w:type="dxa"/>
            <w:tcBorders>
              <w:top w:val="single" w:sz="8" w:space="0" w:color="000000"/>
              <w:left w:val="single" w:sz="8" w:space="0" w:color="000000"/>
              <w:bottom w:val="single" w:sz="8" w:space="0" w:color="000000"/>
              <w:right w:val="single" w:sz="8" w:space="0" w:color="000000"/>
            </w:tcBorders>
            <w:vAlign w:val="bottom"/>
          </w:tcPr>
          <w:p w:rsidR="00E8309B" w:rsidRDefault="009D0949">
            <w:pPr>
              <w:spacing w:after="0" w:line="259" w:lineRule="auto"/>
              <w:ind w:left="49" w:right="0" w:firstLine="0"/>
              <w:jc w:val="center"/>
            </w:pPr>
            <w:r>
              <w:rPr>
                <w:b/>
                <w:sz w:val="20"/>
              </w:rPr>
              <w:t>Година</w:t>
            </w:r>
            <w:r>
              <w:rPr>
                <w:sz w:val="20"/>
              </w:rPr>
              <w:t xml:space="preserve">  </w:t>
            </w:r>
          </w:p>
        </w:tc>
        <w:tc>
          <w:tcPr>
            <w:tcW w:w="1658"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98" w:right="0" w:firstLine="18"/>
              <w:jc w:val="center"/>
            </w:pPr>
            <w:r>
              <w:rPr>
                <w:sz w:val="20"/>
              </w:rPr>
              <w:t xml:space="preserve">Буџет централног нивоа државе </w:t>
            </w:r>
          </w:p>
        </w:tc>
        <w:tc>
          <w:tcPr>
            <w:tcW w:w="1532" w:type="dxa"/>
            <w:tcBorders>
              <w:top w:val="single" w:sz="8" w:space="0" w:color="000000"/>
              <w:left w:val="single" w:sz="8" w:space="0" w:color="000000"/>
              <w:bottom w:val="single" w:sz="8" w:space="0" w:color="000000"/>
              <w:right w:val="single" w:sz="8" w:space="0" w:color="000000"/>
            </w:tcBorders>
            <w:vAlign w:val="center"/>
          </w:tcPr>
          <w:p w:rsidR="00E8309B" w:rsidRDefault="009D0949">
            <w:pPr>
              <w:spacing w:after="0" w:line="259" w:lineRule="auto"/>
              <w:ind w:left="103" w:right="3" w:firstLine="0"/>
              <w:jc w:val="center"/>
            </w:pPr>
            <w:r>
              <w:rPr>
                <w:sz w:val="20"/>
              </w:rPr>
              <w:t xml:space="preserve">Локални буџети </w:t>
            </w:r>
          </w:p>
        </w:tc>
        <w:tc>
          <w:tcPr>
            <w:tcW w:w="1889"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53" w:right="0" w:firstLine="0"/>
              <w:jc w:val="center"/>
            </w:pPr>
            <w:r>
              <w:rPr>
                <w:sz w:val="20"/>
              </w:rPr>
              <w:t xml:space="preserve">Други домаћи извори јавних финансија </w:t>
            </w:r>
          </w:p>
        </w:tc>
        <w:tc>
          <w:tcPr>
            <w:tcW w:w="1592" w:type="dxa"/>
            <w:tcBorders>
              <w:top w:val="single" w:sz="8" w:space="0" w:color="000000"/>
              <w:left w:val="single" w:sz="8" w:space="0" w:color="000000"/>
              <w:bottom w:val="single" w:sz="8" w:space="0" w:color="000000"/>
              <w:right w:val="single" w:sz="8" w:space="0" w:color="000000"/>
            </w:tcBorders>
            <w:vAlign w:val="center"/>
          </w:tcPr>
          <w:p w:rsidR="00E8309B" w:rsidRDefault="009D0949">
            <w:pPr>
              <w:spacing w:after="0" w:line="259" w:lineRule="auto"/>
              <w:ind w:left="182" w:right="0" w:firstLine="0"/>
              <w:jc w:val="left"/>
            </w:pPr>
            <w:r>
              <w:rPr>
                <w:sz w:val="20"/>
              </w:rPr>
              <w:t xml:space="preserve">ИПА фондови </w:t>
            </w:r>
          </w:p>
        </w:tc>
        <w:tc>
          <w:tcPr>
            <w:tcW w:w="1481"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0" w:firstLine="0"/>
              <w:jc w:val="center"/>
            </w:pPr>
            <w:r>
              <w:rPr>
                <w:sz w:val="20"/>
              </w:rPr>
              <w:t xml:space="preserve">Друга бесповратна средства  </w:t>
            </w:r>
          </w:p>
        </w:tc>
        <w:tc>
          <w:tcPr>
            <w:tcW w:w="1549" w:type="dxa"/>
            <w:tcBorders>
              <w:top w:val="single" w:sz="8" w:space="0" w:color="000000"/>
              <w:left w:val="single" w:sz="8" w:space="0" w:color="000000"/>
              <w:bottom w:val="single" w:sz="8" w:space="0" w:color="000000"/>
              <w:right w:val="nil"/>
            </w:tcBorders>
            <w:vAlign w:val="center"/>
          </w:tcPr>
          <w:p w:rsidR="00E8309B" w:rsidRDefault="009D0949">
            <w:pPr>
              <w:spacing w:after="0" w:line="259" w:lineRule="auto"/>
              <w:ind w:left="91" w:right="0" w:firstLine="0"/>
              <w:jc w:val="center"/>
            </w:pPr>
            <w:r>
              <w:rPr>
                <w:sz w:val="20"/>
              </w:rPr>
              <w:t xml:space="preserve">Пројектни кредити  </w:t>
            </w:r>
          </w:p>
        </w:tc>
        <w:tc>
          <w:tcPr>
            <w:tcW w:w="209" w:type="dxa"/>
            <w:tcBorders>
              <w:top w:val="single" w:sz="8" w:space="0" w:color="000000"/>
              <w:left w:val="nil"/>
              <w:bottom w:val="single" w:sz="8" w:space="0" w:color="000000"/>
              <w:right w:val="single" w:sz="8" w:space="0" w:color="000000"/>
            </w:tcBorders>
          </w:tcPr>
          <w:p w:rsidR="00E8309B" w:rsidRDefault="00E8309B">
            <w:pPr>
              <w:spacing w:after="160" w:line="259" w:lineRule="auto"/>
              <w:ind w:left="0" w:right="0" w:firstLine="0"/>
              <w:jc w:val="left"/>
            </w:pPr>
          </w:p>
        </w:tc>
        <w:tc>
          <w:tcPr>
            <w:tcW w:w="1481" w:type="dxa"/>
            <w:tcBorders>
              <w:top w:val="single" w:sz="8" w:space="0" w:color="000000"/>
              <w:left w:val="single" w:sz="8" w:space="0" w:color="000000"/>
              <w:bottom w:val="single" w:sz="8" w:space="0" w:color="000000"/>
              <w:right w:val="single" w:sz="8" w:space="0" w:color="000000"/>
            </w:tcBorders>
            <w:vAlign w:val="center"/>
          </w:tcPr>
          <w:p w:rsidR="00E8309B" w:rsidRDefault="009D0949">
            <w:pPr>
              <w:spacing w:after="0" w:line="259" w:lineRule="auto"/>
              <w:ind w:left="118" w:right="17" w:firstLine="0"/>
              <w:jc w:val="center"/>
            </w:pPr>
            <w:r>
              <w:rPr>
                <w:sz w:val="20"/>
              </w:rPr>
              <w:t xml:space="preserve">Тек треба да се утврди </w:t>
            </w:r>
          </w:p>
        </w:tc>
        <w:tc>
          <w:tcPr>
            <w:tcW w:w="1752" w:type="dxa"/>
            <w:tcBorders>
              <w:top w:val="single" w:sz="8" w:space="0" w:color="000000"/>
              <w:left w:val="single" w:sz="8" w:space="0" w:color="000000"/>
              <w:bottom w:val="single" w:sz="8" w:space="0" w:color="000000"/>
              <w:right w:val="single" w:sz="8" w:space="0" w:color="000000"/>
            </w:tcBorders>
            <w:vAlign w:val="center"/>
          </w:tcPr>
          <w:p w:rsidR="00E8309B" w:rsidRDefault="009D0949">
            <w:pPr>
              <w:spacing w:after="0" w:line="259" w:lineRule="auto"/>
              <w:ind w:left="54" w:right="0" w:firstLine="0"/>
              <w:jc w:val="center"/>
            </w:pPr>
            <w:r>
              <w:rPr>
                <w:sz w:val="20"/>
              </w:rPr>
              <w:t xml:space="preserve">Укупно </w:t>
            </w:r>
          </w:p>
        </w:tc>
      </w:tr>
      <w:tr w:rsidR="00E8309B">
        <w:trPr>
          <w:trHeight w:val="334"/>
        </w:trPr>
        <w:tc>
          <w:tcPr>
            <w:tcW w:w="1210"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52" w:right="0" w:firstLine="0"/>
              <w:jc w:val="center"/>
            </w:pPr>
            <w:r>
              <w:rPr>
                <w:sz w:val="20"/>
              </w:rPr>
              <w:t xml:space="preserve">2021 </w:t>
            </w:r>
          </w:p>
        </w:tc>
        <w:tc>
          <w:tcPr>
            <w:tcW w:w="1658"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6" w:firstLine="0"/>
              <w:jc w:val="right"/>
            </w:pPr>
            <w:r>
              <w:rPr>
                <w:sz w:val="20"/>
              </w:rPr>
              <w:t xml:space="preserve">0 </w:t>
            </w:r>
          </w:p>
        </w:tc>
        <w:tc>
          <w:tcPr>
            <w:tcW w:w="1532"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8" w:firstLine="0"/>
              <w:jc w:val="right"/>
            </w:pPr>
            <w:r>
              <w:rPr>
                <w:sz w:val="20"/>
              </w:rPr>
              <w:t xml:space="preserve">0 </w:t>
            </w:r>
          </w:p>
        </w:tc>
        <w:tc>
          <w:tcPr>
            <w:tcW w:w="1889"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6" w:firstLine="0"/>
              <w:jc w:val="right"/>
            </w:pPr>
            <w:r>
              <w:rPr>
                <w:sz w:val="20"/>
              </w:rPr>
              <w:t xml:space="preserve">0 </w:t>
            </w:r>
          </w:p>
        </w:tc>
        <w:tc>
          <w:tcPr>
            <w:tcW w:w="1592"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6" w:firstLine="0"/>
              <w:jc w:val="right"/>
            </w:pPr>
            <w:r>
              <w:rPr>
                <w:sz w:val="20"/>
              </w:rPr>
              <w:t xml:space="preserve">0 </w:t>
            </w:r>
          </w:p>
        </w:tc>
        <w:tc>
          <w:tcPr>
            <w:tcW w:w="1481"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5" w:firstLine="0"/>
              <w:jc w:val="right"/>
            </w:pPr>
            <w:r>
              <w:rPr>
                <w:sz w:val="20"/>
              </w:rPr>
              <w:t xml:space="preserve">80.000,00 </w:t>
            </w:r>
          </w:p>
        </w:tc>
        <w:tc>
          <w:tcPr>
            <w:tcW w:w="1549" w:type="dxa"/>
            <w:tcBorders>
              <w:top w:val="single" w:sz="8" w:space="0" w:color="000000"/>
              <w:left w:val="single" w:sz="8" w:space="0" w:color="000000"/>
              <w:bottom w:val="single" w:sz="8" w:space="0" w:color="000000"/>
              <w:right w:val="nil"/>
            </w:tcBorders>
          </w:tcPr>
          <w:p w:rsidR="00E8309B" w:rsidRDefault="00E8309B">
            <w:pPr>
              <w:spacing w:after="160" w:line="259" w:lineRule="auto"/>
              <w:ind w:left="0" w:right="0" w:firstLine="0"/>
              <w:jc w:val="left"/>
            </w:pPr>
          </w:p>
        </w:tc>
        <w:tc>
          <w:tcPr>
            <w:tcW w:w="209" w:type="dxa"/>
            <w:tcBorders>
              <w:top w:val="single" w:sz="8" w:space="0" w:color="000000"/>
              <w:left w:val="nil"/>
              <w:bottom w:val="single" w:sz="8" w:space="0" w:color="000000"/>
              <w:right w:val="single" w:sz="8" w:space="0" w:color="000000"/>
            </w:tcBorders>
          </w:tcPr>
          <w:p w:rsidR="00E8309B" w:rsidRDefault="009D0949">
            <w:pPr>
              <w:spacing w:after="0" w:line="259" w:lineRule="auto"/>
              <w:ind w:left="0" w:right="0" w:firstLine="0"/>
            </w:pPr>
            <w:r>
              <w:rPr>
                <w:sz w:val="20"/>
              </w:rPr>
              <w:t xml:space="preserve">0 </w:t>
            </w:r>
          </w:p>
        </w:tc>
        <w:tc>
          <w:tcPr>
            <w:tcW w:w="1481"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6" w:firstLine="0"/>
              <w:jc w:val="right"/>
            </w:pPr>
            <w:r>
              <w:rPr>
                <w:sz w:val="20"/>
              </w:rPr>
              <w:t xml:space="preserve">0 </w:t>
            </w:r>
          </w:p>
        </w:tc>
        <w:tc>
          <w:tcPr>
            <w:tcW w:w="1752"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0" w:firstLine="0"/>
              <w:jc w:val="right"/>
            </w:pPr>
            <w:r>
              <w:rPr>
                <w:sz w:val="20"/>
              </w:rPr>
              <w:t xml:space="preserve">80.000,00 </w:t>
            </w:r>
          </w:p>
        </w:tc>
      </w:tr>
      <w:tr w:rsidR="00E8309B">
        <w:trPr>
          <w:trHeight w:val="336"/>
        </w:trPr>
        <w:tc>
          <w:tcPr>
            <w:tcW w:w="1210"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52" w:right="0" w:firstLine="0"/>
              <w:jc w:val="center"/>
            </w:pPr>
            <w:r>
              <w:rPr>
                <w:sz w:val="20"/>
              </w:rPr>
              <w:t xml:space="preserve">2022 </w:t>
            </w:r>
          </w:p>
        </w:tc>
        <w:tc>
          <w:tcPr>
            <w:tcW w:w="1658"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6" w:firstLine="0"/>
              <w:jc w:val="right"/>
            </w:pPr>
            <w:r>
              <w:rPr>
                <w:sz w:val="20"/>
              </w:rPr>
              <w:t xml:space="preserve">0 </w:t>
            </w:r>
          </w:p>
        </w:tc>
        <w:tc>
          <w:tcPr>
            <w:tcW w:w="1532"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8" w:firstLine="0"/>
              <w:jc w:val="right"/>
            </w:pPr>
            <w:r>
              <w:rPr>
                <w:sz w:val="20"/>
              </w:rPr>
              <w:t xml:space="preserve">0 </w:t>
            </w:r>
          </w:p>
        </w:tc>
        <w:tc>
          <w:tcPr>
            <w:tcW w:w="1889"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6" w:firstLine="0"/>
              <w:jc w:val="right"/>
            </w:pPr>
            <w:r>
              <w:rPr>
                <w:sz w:val="20"/>
              </w:rPr>
              <w:t xml:space="preserve">0 </w:t>
            </w:r>
          </w:p>
        </w:tc>
        <w:tc>
          <w:tcPr>
            <w:tcW w:w="1592"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6" w:firstLine="0"/>
              <w:jc w:val="right"/>
            </w:pPr>
            <w:r>
              <w:rPr>
                <w:sz w:val="20"/>
              </w:rPr>
              <w:t xml:space="preserve">0 </w:t>
            </w:r>
          </w:p>
        </w:tc>
        <w:tc>
          <w:tcPr>
            <w:tcW w:w="1481"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6" w:firstLine="0"/>
              <w:jc w:val="right"/>
            </w:pPr>
            <w:r>
              <w:rPr>
                <w:sz w:val="20"/>
              </w:rPr>
              <w:t xml:space="preserve">0 </w:t>
            </w:r>
          </w:p>
        </w:tc>
        <w:tc>
          <w:tcPr>
            <w:tcW w:w="1549" w:type="dxa"/>
            <w:tcBorders>
              <w:top w:val="single" w:sz="8" w:space="0" w:color="000000"/>
              <w:left w:val="single" w:sz="8" w:space="0" w:color="000000"/>
              <w:bottom w:val="single" w:sz="8" w:space="0" w:color="000000"/>
              <w:right w:val="nil"/>
            </w:tcBorders>
          </w:tcPr>
          <w:p w:rsidR="00E8309B" w:rsidRDefault="00E8309B">
            <w:pPr>
              <w:spacing w:after="160" w:line="259" w:lineRule="auto"/>
              <w:ind w:left="0" w:right="0" w:firstLine="0"/>
              <w:jc w:val="left"/>
            </w:pPr>
          </w:p>
        </w:tc>
        <w:tc>
          <w:tcPr>
            <w:tcW w:w="209" w:type="dxa"/>
            <w:tcBorders>
              <w:top w:val="single" w:sz="8" w:space="0" w:color="000000"/>
              <w:left w:val="nil"/>
              <w:bottom w:val="single" w:sz="8" w:space="0" w:color="000000"/>
              <w:right w:val="single" w:sz="8" w:space="0" w:color="000000"/>
            </w:tcBorders>
          </w:tcPr>
          <w:p w:rsidR="00E8309B" w:rsidRDefault="009D0949">
            <w:pPr>
              <w:spacing w:after="0" w:line="259" w:lineRule="auto"/>
              <w:ind w:left="0" w:right="0" w:firstLine="0"/>
            </w:pPr>
            <w:r>
              <w:rPr>
                <w:sz w:val="20"/>
              </w:rPr>
              <w:t xml:space="preserve">0 </w:t>
            </w:r>
          </w:p>
        </w:tc>
        <w:tc>
          <w:tcPr>
            <w:tcW w:w="1481"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5" w:firstLine="0"/>
              <w:jc w:val="right"/>
            </w:pPr>
            <w:r>
              <w:rPr>
                <w:sz w:val="20"/>
              </w:rPr>
              <w:t xml:space="preserve">1.500.000,00 </w:t>
            </w:r>
          </w:p>
        </w:tc>
        <w:tc>
          <w:tcPr>
            <w:tcW w:w="1752"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1" w:firstLine="0"/>
              <w:jc w:val="right"/>
            </w:pPr>
            <w:r>
              <w:rPr>
                <w:sz w:val="20"/>
              </w:rPr>
              <w:t xml:space="preserve">1.500.000,00 </w:t>
            </w:r>
          </w:p>
        </w:tc>
      </w:tr>
      <w:tr w:rsidR="00E8309B">
        <w:trPr>
          <w:trHeight w:val="337"/>
        </w:trPr>
        <w:tc>
          <w:tcPr>
            <w:tcW w:w="1210"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52" w:right="0" w:firstLine="0"/>
              <w:jc w:val="center"/>
            </w:pPr>
            <w:r>
              <w:rPr>
                <w:sz w:val="20"/>
              </w:rPr>
              <w:t xml:space="preserve">2023 </w:t>
            </w:r>
          </w:p>
        </w:tc>
        <w:tc>
          <w:tcPr>
            <w:tcW w:w="1658"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6" w:firstLine="0"/>
              <w:jc w:val="right"/>
            </w:pPr>
            <w:r>
              <w:rPr>
                <w:sz w:val="20"/>
              </w:rPr>
              <w:t xml:space="preserve">0 </w:t>
            </w:r>
          </w:p>
        </w:tc>
        <w:tc>
          <w:tcPr>
            <w:tcW w:w="1532"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8" w:firstLine="0"/>
              <w:jc w:val="right"/>
            </w:pPr>
            <w:r>
              <w:rPr>
                <w:sz w:val="20"/>
              </w:rPr>
              <w:t xml:space="preserve">0 </w:t>
            </w:r>
          </w:p>
        </w:tc>
        <w:tc>
          <w:tcPr>
            <w:tcW w:w="1889"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6" w:firstLine="0"/>
              <w:jc w:val="right"/>
            </w:pPr>
            <w:r>
              <w:rPr>
                <w:sz w:val="20"/>
              </w:rPr>
              <w:t xml:space="preserve">0 </w:t>
            </w:r>
          </w:p>
        </w:tc>
        <w:tc>
          <w:tcPr>
            <w:tcW w:w="1592"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6" w:firstLine="0"/>
              <w:jc w:val="right"/>
            </w:pPr>
            <w:r>
              <w:rPr>
                <w:sz w:val="20"/>
              </w:rPr>
              <w:t xml:space="preserve">0 </w:t>
            </w:r>
          </w:p>
        </w:tc>
        <w:tc>
          <w:tcPr>
            <w:tcW w:w="1481"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6" w:firstLine="0"/>
              <w:jc w:val="right"/>
            </w:pPr>
            <w:r>
              <w:rPr>
                <w:sz w:val="20"/>
              </w:rPr>
              <w:t xml:space="preserve">0 </w:t>
            </w:r>
          </w:p>
        </w:tc>
        <w:tc>
          <w:tcPr>
            <w:tcW w:w="1549" w:type="dxa"/>
            <w:tcBorders>
              <w:top w:val="single" w:sz="8" w:space="0" w:color="000000"/>
              <w:left w:val="single" w:sz="8" w:space="0" w:color="000000"/>
              <w:bottom w:val="single" w:sz="8" w:space="0" w:color="000000"/>
              <w:right w:val="nil"/>
            </w:tcBorders>
          </w:tcPr>
          <w:p w:rsidR="00E8309B" w:rsidRDefault="00E8309B">
            <w:pPr>
              <w:spacing w:after="160" w:line="259" w:lineRule="auto"/>
              <w:ind w:left="0" w:right="0" w:firstLine="0"/>
              <w:jc w:val="left"/>
            </w:pPr>
          </w:p>
        </w:tc>
        <w:tc>
          <w:tcPr>
            <w:tcW w:w="209" w:type="dxa"/>
            <w:tcBorders>
              <w:top w:val="single" w:sz="8" w:space="0" w:color="000000"/>
              <w:left w:val="nil"/>
              <w:bottom w:val="single" w:sz="8" w:space="0" w:color="000000"/>
              <w:right w:val="single" w:sz="8" w:space="0" w:color="000000"/>
            </w:tcBorders>
          </w:tcPr>
          <w:p w:rsidR="00E8309B" w:rsidRDefault="009D0949">
            <w:pPr>
              <w:spacing w:after="0" w:line="259" w:lineRule="auto"/>
              <w:ind w:left="0" w:right="0" w:firstLine="0"/>
            </w:pPr>
            <w:r>
              <w:rPr>
                <w:sz w:val="20"/>
              </w:rPr>
              <w:t xml:space="preserve">0 </w:t>
            </w:r>
          </w:p>
        </w:tc>
        <w:tc>
          <w:tcPr>
            <w:tcW w:w="1481"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5" w:firstLine="0"/>
              <w:jc w:val="right"/>
            </w:pPr>
            <w:r>
              <w:rPr>
                <w:sz w:val="20"/>
              </w:rPr>
              <w:t xml:space="preserve">1.370.000,00 </w:t>
            </w:r>
          </w:p>
        </w:tc>
        <w:tc>
          <w:tcPr>
            <w:tcW w:w="1752"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1" w:firstLine="0"/>
              <w:jc w:val="right"/>
            </w:pPr>
            <w:r>
              <w:rPr>
                <w:sz w:val="20"/>
              </w:rPr>
              <w:t xml:space="preserve">1.370.000,00 </w:t>
            </w:r>
          </w:p>
        </w:tc>
      </w:tr>
      <w:tr w:rsidR="00E8309B">
        <w:trPr>
          <w:trHeight w:val="645"/>
        </w:trPr>
        <w:tc>
          <w:tcPr>
            <w:tcW w:w="10910" w:type="dxa"/>
            <w:gridSpan w:val="7"/>
            <w:tcBorders>
              <w:top w:val="single" w:sz="8" w:space="0" w:color="000000"/>
              <w:left w:val="single" w:sz="8" w:space="0" w:color="000000"/>
              <w:bottom w:val="single" w:sz="8" w:space="0" w:color="000000"/>
              <w:right w:val="nil"/>
            </w:tcBorders>
            <w:shd w:val="clear" w:color="auto" w:fill="D0CECE"/>
          </w:tcPr>
          <w:p w:rsidR="00E8309B" w:rsidRDefault="009D0949">
            <w:pPr>
              <w:spacing w:after="81" w:line="259" w:lineRule="auto"/>
              <w:ind w:left="106" w:right="0" w:firstLine="0"/>
              <w:jc w:val="left"/>
            </w:pPr>
            <w:r>
              <w:rPr>
                <w:b/>
                <w:sz w:val="20"/>
              </w:rPr>
              <w:t xml:space="preserve">14. Подршка научноистраживачкој делатности кроз јачање научноистраживачких </w:t>
            </w:r>
          </w:p>
          <w:p w:rsidR="00E8309B" w:rsidRDefault="009D0949">
            <w:pPr>
              <w:tabs>
                <w:tab w:val="center" w:pos="629"/>
                <w:tab w:val="center" w:pos="7989"/>
                <w:tab w:val="center" w:pos="9469"/>
              </w:tabs>
              <w:spacing w:after="0" w:line="259" w:lineRule="auto"/>
              <w:ind w:left="0" w:right="0" w:firstLine="0"/>
              <w:jc w:val="left"/>
            </w:pPr>
            <w:r>
              <w:rPr>
                <w:rFonts w:ascii="Calibri" w:eastAsia="Calibri" w:hAnsi="Calibri" w:cs="Calibri"/>
                <w:sz w:val="22"/>
              </w:rPr>
              <w:tab/>
            </w:r>
            <w:r>
              <w:rPr>
                <w:b/>
                <w:sz w:val="20"/>
              </w:rPr>
              <w:t xml:space="preserve">капацитета  </w:t>
            </w:r>
            <w:r>
              <w:rPr>
                <w:b/>
                <w:sz w:val="20"/>
              </w:rPr>
              <w:tab/>
              <w:t xml:space="preserve">  </w:t>
            </w:r>
            <w:r>
              <w:rPr>
                <w:b/>
                <w:sz w:val="20"/>
              </w:rPr>
              <w:tab/>
              <w:t xml:space="preserve">  </w:t>
            </w:r>
          </w:p>
        </w:tc>
        <w:tc>
          <w:tcPr>
            <w:tcW w:w="209" w:type="dxa"/>
            <w:tcBorders>
              <w:top w:val="single" w:sz="8" w:space="0" w:color="000000"/>
              <w:left w:val="nil"/>
              <w:bottom w:val="single" w:sz="8" w:space="0" w:color="000000"/>
              <w:right w:val="nil"/>
            </w:tcBorders>
            <w:shd w:val="clear" w:color="auto" w:fill="D0CECE"/>
          </w:tcPr>
          <w:p w:rsidR="00E8309B" w:rsidRDefault="00E8309B">
            <w:pPr>
              <w:spacing w:after="160" w:line="259" w:lineRule="auto"/>
              <w:ind w:left="0" w:right="0" w:firstLine="0"/>
              <w:jc w:val="left"/>
            </w:pPr>
          </w:p>
        </w:tc>
        <w:tc>
          <w:tcPr>
            <w:tcW w:w="1481" w:type="dxa"/>
            <w:tcBorders>
              <w:top w:val="single" w:sz="8" w:space="0" w:color="000000"/>
              <w:left w:val="nil"/>
              <w:bottom w:val="single" w:sz="8" w:space="0" w:color="000000"/>
              <w:right w:val="nil"/>
            </w:tcBorders>
            <w:shd w:val="clear" w:color="auto" w:fill="D0CECE"/>
            <w:vAlign w:val="bottom"/>
          </w:tcPr>
          <w:p w:rsidR="00E8309B" w:rsidRDefault="009D0949">
            <w:pPr>
              <w:spacing w:after="0" w:line="259" w:lineRule="auto"/>
              <w:ind w:left="108" w:right="0" w:firstLine="0"/>
              <w:jc w:val="left"/>
            </w:pPr>
            <w:r>
              <w:rPr>
                <w:b/>
                <w:sz w:val="20"/>
              </w:rPr>
              <w:t xml:space="preserve">  </w:t>
            </w:r>
          </w:p>
        </w:tc>
        <w:tc>
          <w:tcPr>
            <w:tcW w:w="1752" w:type="dxa"/>
            <w:tcBorders>
              <w:top w:val="single" w:sz="8" w:space="0" w:color="000000"/>
              <w:left w:val="nil"/>
              <w:bottom w:val="single" w:sz="8" w:space="0" w:color="000000"/>
              <w:right w:val="single" w:sz="8" w:space="0" w:color="000000"/>
            </w:tcBorders>
            <w:shd w:val="clear" w:color="auto" w:fill="D0CECE"/>
            <w:vAlign w:val="bottom"/>
          </w:tcPr>
          <w:p w:rsidR="00E8309B" w:rsidRDefault="009D0949">
            <w:pPr>
              <w:spacing w:after="0" w:line="259" w:lineRule="auto"/>
              <w:ind w:left="108" w:right="0" w:firstLine="0"/>
              <w:jc w:val="left"/>
            </w:pPr>
            <w:r>
              <w:rPr>
                <w:b/>
                <w:sz w:val="20"/>
              </w:rPr>
              <w:t xml:space="preserve">  </w:t>
            </w:r>
          </w:p>
        </w:tc>
      </w:tr>
      <w:tr w:rsidR="00E8309B">
        <w:trPr>
          <w:trHeight w:val="713"/>
        </w:trPr>
        <w:tc>
          <w:tcPr>
            <w:tcW w:w="1210" w:type="dxa"/>
            <w:tcBorders>
              <w:top w:val="single" w:sz="8" w:space="0" w:color="000000"/>
              <w:left w:val="single" w:sz="8" w:space="0" w:color="000000"/>
              <w:bottom w:val="single" w:sz="8" w:space="0" w:color="000000"/>
              <w:right w:val="single" w:sz="8" w:space="0" w:color="000000"/>
            </w:tcBorders>
            <w:vAlign w:val="bottom"/>
          </w:tcPr>
          <w:p w:rsidR="00E8309B" w:rsidRDefault="009D0949">
            <w:pPr>
              <w:spacing w:after="0" w:line="259" w:lineRule="auto"/>
              <w:ind w:left="49" w:right="0" w:firstLine="0"/>
              <w:jc w:val="center"/>
            </w:pPr>
            <w:r>
              <w:rPr>
                <w:b/>
                <w:sz w:val="20"/>
              </w:rPr>
              <w:t>Година</w:t>
            </w:r>
            <w:r>
              <w:rPr>
                <w:sz w:val="20"/>
              </w:rPr>
              <w:t xml:space="preserve">  </w:t>
            </w:r>
          </w:p>
        </w:tc>
        <w:tc>
          <w:tcPr>
            <w:tcW w:w="1658"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98" w:right="0" w:firstLine="18"/>
              <w:jc w:val="center"/>
            </w:pPr>
            <w:r>
              <w:rPr>
                <w:sz w:val="20"/>
              </w:rPr>
              <w:t xml:space="preserve">Буџет централног нивоа државе </w:t>
            </w:r>
          </w:p>
        </w:tc>
        <w:tc>
          <w:tcPr>
            <w:tcW w:w="1532" w:type="dxa"/>
            <w:tcBorders>
              <w:top w:val="single" w:sz="8" w:space="0" w:color="000000"/>
              <w:left w:val="single" w:sz="8" w:space="0" w:color="000000"/>
              <w:bottom w:val="single" w:sz="8" w:space="0" w:color="000000"/>
              <w:right w:val="single" w:sz="8" w:space="0" w:color="000000"/>
            </w:tcBorders>
            <w:vAlign w:val="center"/>
          </w:tcPr>
          <w:p w:rsidR="00E8309B" w:rsidRDefault="009D0949">
            <w:pPr>
              <w:spacing w:after="0" w:line="259" w:lineRule="auto"/>
              <w:ind w:left="103" w:right="3" w:firstLine="0"/>
              <w:jc w:val="center"/>
            </w:pPr>
            <w:r>
              <w:rPr>
                <w:sz w:val="20"/>
              </w:rPr>
              <w:t xml:space="preserve">Локални буџети </w:t>
            </w:r>
          </w:p>
        </w:tc>
        <w:tc>
          <w:tcPr>
            <w:tcW w:w="1889"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53" w:right="0" w:firstLine="0"/>
              <w:jc w:val="center"/>
            </w:pPr>
            <w:r>
              <w:rPr>
                <w:sz w:val="20"/>
              </w:rPr>
              <w:t xml:space="preserve">Други домаћи извори јавних финансија </w:t>
            </w:r>
          </w:p>
        </w:tc>
        <w:tc>
          <w:tcPr>
            <w:tcW w:w="1592" w:type="dxa"/>
            <w:tcBorders>
              <w:top w:val="single" w:sz="8" w:space="0" w:color="000000"/>
              <w:left w:val="single" w:sz="8" w:space="0" w:color="000000"/>
              <w:bottom w:val="single" w:sz="8" w:space="0" w:color="000000"/>
              <w:right w:val="single" w:sz="8" w:space="0" w:color="000000"/>
            </w:tcBorders>
            <w:vAlign w:val="center"/>
          </w:tcPr>
          <w:p w:rsidR="00E8309B" w:rsidRDefault="009D0949">
            <w:pPr>
              <w:spacing w:after="0" w:line="259" w:lineRule="auto"/>
              <w:ind w:left="182" w:right="0" w:firstLine="0"/>
              <w:jc w:val="left"/>
            </w:pPr>
            <w:r>
              <w:rPr>
                <w:sz w:val="20"/>
              </w:rPr>
              <w:t xml:space="preserve">ИПА фондови </w:t>
            </w:r>
          </w:p>
        </w:tc>
        <w:tc>
          <w:tcPr>
            <w:tcW w:w="1481"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0" w:firstLine="0"/>
              <w:jc w:val="center"/>
            </w:pPr>
            <w:r>
              <w:rPr>
                <w:sz w:val="20"/>
              </w:rPr>
              <w:t xml:space="preserve">Друга бесповратна средства  </w:t>
            </w:r>
          </w:p>
        </w:tc>
        <w:tc>
          <w:tcPr>
            <w:tcW w:w="1549" w:type="dxa"/>
            <w:tcBorders>
              <w:top w:val="single" w:sz="8" w:space="0" w:color="000000"/>
              <w:left w:val="single" w:sz="8" w:space="0" w:color="000000"/>
              <w:bottom w:val="single" w:sz="8" w:space="0" w:color="000000"/>
              <w:right w:val="nil"/>
            </w:tcBorders>
            <w:vAlign w:val="center"/>
          </w:tcPr>
          <w:p w:rsidR="00E8309B" w:rsidRDefault="009D0949">
            <w:pPr>
              <w:spacing w:after="0" w:line="259" w:lineRule="auto"/>
              <w:ind w:left="91" w:right="0" w:firstLine="0"/>
              <w:jc w:val="center"/>
            </w:pPr>
            <w:r>
              <w:rPr>
                <w:sz w:val="20"/>
              </w:rPr>
              <w:t xml:space="preserve">Пројектни кредити  </w:t>
            </w:r>
          </w:p>
        </w:tc>
        <w:tc>
          <w:tcPr>
            <w:tcW w:w="209" w:type="dxa"/>
            <w:tcBorders>
              <w:top w:val="single" w:sz="8" w:space="0" w:color="000000"/>
              <w:left w:val="nil"/>
              <w:bottom w:val="single" w:sz="8" w:space="0" w:color="000000"/>
              <w:right w:val="single" w:sz="8" w:space="0" w:color="000000"/>
            </w:tcBorders>
          </w:tcPr>
          <w:p w:rsidR="00E8309B" w:rsidRDefault="00E8309B">
            <w:pPr>
              <w:spacing w:after="160" w:line="259" w:lineRule="auto"/>
              <w:ind w:left="0" w:right="0" w:firstLine="0"/>
              <w:jc w:val="left"/>
            </w:pPr>
          </w:p>
        </w:tc>
        <w:tc>
          <w:tcPr>
            <w:tcW w:w="1481" w:type="dxa"/>
            <w:tcBorders>
              <w:top w:val="single" w:sz="8" w:space="0" w:color="000000"/>
              <w:left w:val="single" w:sz="8" w:space="0" w:color="000000"/>
              <w:bottom w:val="single" w:sz="8" w:space="0" w:color="000000"/>
              <w:right w:val="single" w:sz="8" w:space="0" w:color="000000"/>
            </w:tcBorders>
            <w:vAlign w:val="center"/>
          </w:tcPr>
          <w:p w:rsidR="00E8309B" w:rsidRDefault="009D0949">
            <w:pPr>
              <w:spacing w:after="0" w:line="259" w:lineRule="auto"/>
              <w:ind w:left="118" w:right="17" w:firstLine="0"/>
              <w:jc w:val="center"/>
            </w:pPr>
            <w:r>
              <w:rPr>
                <w:sz w:val="20"/>
              </w:rPr>
              <w:t xml:space="preserve">Тек треба да се утврди </w:t>
            </w:r>
          </w:p>
        </w:tc>
        <w:tc>
          <w:tcPr>
            <w:tcW w:w="1752" w:type="dxa"/>
            <w:tcBorders>
              <w:top w:val="single" w:sz="8" w:space="0" w:color="000000"/>
              <w:left w:val="single" w:sz="8" w:space="0" w:color="000000"/>
              <w:bottom w:val="single" w:sz="8" w:space="0" w:color="000000"/>
              <w:right w:val="single" w:sz="8" w:space="0" w:color="000000"/>
            </w:tcBorders>
            <w:vAlign w:val="center"/>
          </w:tcPr>
          <w:p w:rsidR="00E8309B" w:rsidRDefault="009D0949">
            <w:pPr>
              <w:spacing w:after="0" w:line="259" w:lineRule="auto"/>
              <w:ind w:left="54" w:right="0" w:firstLine="0"/>
              <w:jc w:val="center"/>
            </w:pPr>
            <w:r>
              <w:rPr>
                <w:sz w:val="20"/>
              </w:rPr>
              <w:t xml:space="preserve">Укупно </w:t>
            </w:r>
          </w:p>
        </w:tc>
      </w:tr>
      <w:tr w:rsidR="00E8309B">
        <w:trPr>
          <w:trHeight w:val="334"/>
        </w:trPr>
        <w:tc>
          <w:tcPr>
            <w:tcW w:w="1210"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52" w:right="0" w:firstLine="0"/>
              <w:jc w:val="center"/>
            </w:pPr>
            <w:r>
              <w:rPr>
                <w:sz w:val="20"/>
              </w:rPr>
              <w:t xml:space="preserve">2021 </w:t>
            </w:r>
          </w:p>
        </w:tc>
        <w:tc>
          <w:tcPr>
            <w:tcW w:w="1658"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5" w:firstLine="0"/>
              <w:jc w:val="right"/>
            </w:pPr>
            <w:r>
              <w:rPr>
                <w:sz w:val="20"/>
              </w:rPr>
              <w:t xml:space="preserve">13.634.641,66 </w:t>
            </w:r>
          </w:p>
        </w:tc>
        <w:tc>
          <w:tcPr>
            <w:tcW w:w="1532"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8" w:firstLine="0"/>
              <w:jc w:val="right"/>
            </w:pPr>
            <w:r>
              <w:rPr>
                <w:sz w:val="20"/>
              </w:rPr>
              <w:t xml:space="preserve">0 </w:t>
            </w:r>
          </w:p>
        </w:tc>
        <w:tc>
          <w:tcPr>
            <w:tcW w:w="1889"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6" w:firstLine="0"/>
              <w:jc w:val="right"/>
            </w:pPr>
            <w:r>
              <w:rPr>
                <w:sz w:val="20"/>
              </w:rPr>
              <w:t xml:space="preserve">0 </w:t>
            </w:r>
          </w:p>
        </w:tc>
        <w:tc>
          <w:tcPr>
            <w:tcW w:w="1592"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6" w:firstLine="0"/>
              <w:jc w:val="right"/>
            </w:pPr>
            <w:r>
              <w:rPr>
                <w:sz w:val="20"/>
              </w:rPr>
              <w:t xml:space="preserve">0 </w:t>
            </w:r>
          </w:p>
        </w:tc>
        <w:tc>
          <w:tcPr>
            <w:tcW w:w="1481"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6" w:firstLine="0"/>
              <w:jc w:val="right"/>
            </w:pPr>
            <w:r>
              <w:rPr>
                <w:sz w:val="20"/>
              </w:rPr>
              <w:t xml:space="preserve">0 </w:t>
            </w:r>
          </w:p>
        </w:tc>
        <w:tc>
          <w:tcPr>
            <w:tcW w:w="1549" w:type="dxa"/>
            <w:tcBorders>
              <w:top w:val="single" w:sz="8" w:space="0" w:color="000000"/>
              <w:left w:val="single" w:sz="8" w:space="0" w:color="000000"/>
              <w:bottom w:val="single" w:sz="8" w:space="0" w:color="000000"/>
              <w:right w:val="nil"/>
            </w:tcBorders>
          </w:tcPr>
          <w:p w:rsidR="00E8309B" w:rsidRDefault="00E8309B">
            <w:pPr>
              <w:spacing w:after="160" w:line="259" w:lineRule="auto"/>
              <w:ind w:left="0" w:right="0" w:firstLine="0"/>
              <w:jc w:val="left"/>
            </w:pPr>
          </w:p>
        </w:tc>
        <w:tc>
          <w:tcPr>
            <w:tcW w:w="209" w:type="dxa"/>
            <w:tcBorders>
              <w:top w:val="single" w:sz="8" w:space="0" w:color="000000"/>
              <w:left w:val="nil"/>
              <w:bottom w:val="single" w:sz="8" w:space="0" w:color="000000"/>
              <w:right w:val="single" w:sz="8" w:space="0" w:color="000000"/>
            </w:tcBorders>
          </w:tcPr>
          <w:p w:rsidR="00E8309B" w:rsidRDefault="009D0949">
            <w:pPr>
              <w:spacing w:after="0" w:line="259" w:lineRule="auto"/>
              <w:ind w:left="0" w:right="0" w:firstLine="0"/>
            </w:pPr>
            <w:r>
              <w:rPr>
                <w:sz w:val="20"/>
              </w:rPr>
              <w:t xml:space="preserve">0 </w:t>
            </w:r>
          </w:p>
        </w:tc>
        <w:tc>
          <w:tcPr>
            <w:tcW w:w="1481"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6" w:firstLine="0"/>
              <w:jc w:val="right"/>
            </w:pPr>
            <w:r>
              <w:rPr>
                <w:sz w:val="20"/>
              </w:rPr>
              <w:t xml:space="preserve">0 </w:t>
            </w:r>
          </w:p>
        </w:tc>
        <w:tc>
          <w:tcPr>
            <w:tcW w:w="1752"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1" w:firstLine="0"/>
              <w:jc w:val="right"/>
            </w:pPr>
            <w:r>
              <w:rPr>
                <w:sz w:val="20"/>
              </w:rPr>
              <w:t xml:space="preserve">13.634.641,66 </w:t>
            </w:r>
          </w:p>
        </w:tc>
      </w:tr>
      <w:tr w:rsidR="00E8309B">
        <w:trPr>
          <w:trHeight w:val="336"/>
        </w:trPr>
        <w:tc>
          <w:tcPr>
            <w:tcW w:w="1210"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52" w:right="0" w:firstLine="0"/>
              <w:jc w:val="center"/>
            </w:pPr>
            <w:r>
              <w:rPr>
                <w:sz w:val="20"/>
              </w:rPr>
              <w:t xml:space="preserve">2022 </w:t>
            </w:r>
          </w:p>
        </w:tc>
        <w:tc>
          <w:tcPr>
            <w:tcW w:w="1658"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5" w:firstLine="0"/>
              <w:jc w:val="right"/>
            </w:pPr>
            <w:r>
              <w:rPr>
                <w:sz w:val="20"/>
              </w:rPr>
              <w:t xml:space="preserve">21.914.541,66 </w:t>
            </w:r>
          </w:p>
        </w:tc>
        <w:tc>
          <w:tcPr>
            <w:tcW w:w="1532"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8" w:firstLine="0"/>
              <w:jc w:val="right"/>
            </w:pPr>
            <w:r>
              <w:rPr>
                <w:sz w:val="20"/>
              </w:rPr>
              <w:t xml:space="preserve">0 </w:t>
            </w:r>
          </w:p>
        </w:tc>
        <w:tc>
          <w:tcPr>
            <w:tcW w:w="1889"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6" w:firstLine="0"/>
              <w:jc w:val="right"/>
            </w:pPr>
            <w:r>
              <w:rPr>
                <w:sz w:val="20"/>
              </w:rPr>
              <w:t xml:space="preserve">0 </w:t>
            </w:r>
          </w:p>
        </w:tc>
        <w:tc>
          <w:tcPr>
            <w:tcW w:w="1592"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6" w:firstLine="0"/>
              <w:jc w:val="right"/>
            </w:pPr>
            <w:r>
              <w:rPr>
                <w:sz w:val="20"/>
              </w:rPr>
              <w:t xml:space="preserve">0 </w:t>
            </w:r>
          </w:p>
        </w:tc>
        <w:tc>
          <w:tcPr>
            <w:tcW w:w="1481"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6" w:firstLine="0"/>
              <w:jc w:val="right"/>
            </w:pPr>
            <w:r>
              <w:rPr>
                <w:sz w:val="20"/>
              </w:rPr>
              <w:t xml:space="preserve">0 </w:t>
            </w:r>
          </w:p>
        </w:tc>
        <w:tc>
          <w:tcPr>
            <w:tcW w:w="1549" w:type="dxa"/>
            <w:tcBorders>
              <w:top w:val="single" w:sz="8" w:space="0" w:color="000000"/>
              <w:left w:val="single" w:sz="8" w:space="0" w:color="000000"/>
              <w:bottom w:val="single" w:sz="8" w:space="0" w:color="000000"/>
              <w:right w:val="nil"/>
            </w:tcBorders>
          </w:tcPr>
          <w:p w:rsidR="00E8309B" w:rsidRDefault="00E8309B">
            <w:pPr>
              <w:spacing w:after="160" w:line="259" w:lineRule="auto"/>
              <w:ind w:left="0" w:right="0" w:firstLine="0"/>
              <w:jc w:val="left"/>
            </w:pPr>
          </w:p>
        </w:tc>
        <w:tc>
          <w:tcPr>
            <w:tcW w:w="209" w:type="dxa"/>
            <w:tcBorders>
              <w:top w:val="single" w:sz="8" w:space="0" w:color="000000"/>
              <w:left w:val="nil"/>
              <w:bottom w:val="single" w:sz="8" w:space="0" w:color="000000"/>
              <w:right w:val="single" w:sz="8" w:space="0" w:color="000000"/>
            </w:tcBorders>
          </w:tcPr>
          <w:p w:rsidR="00E8309B" w:rsidRDefault="009D0949">
            <w:pPr>
              <w:spacing w:after="0" w:line="259" w:lineRule="auto"/>
              <w:ind w:left="0" w:right="0" w:firstLine="0"/>
            </w:pPr>
            <w:r>
              <w:rPr>
                <w:sz w:val="20"/>
              </w:rPr>
              <w:t xml:space="preserve">0 </w:t>
            </w:r>
          </w:p>
        </w:tc>
        <w:tc>
          <w:tcPr>
            <w:tcW w:w="1481"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6" w:firstLine="0"/>
              <w:jc w:val="right"/>
            </w:pPr>
            <w:r>
              <w:rPr>
                <w:sz w:val="20"/>
              </w:rPr>
              <w:t xml:space="preserve">0 </w:t>
            </w:r>
          </w:p>
        </w:tc>
        <w:tc>
          <w:tcPr>
            <w:tcW w:w="1752"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1" w:firstLine="0"/>
              <w:jc w:val="right"/>
            </w:pPr>
            <w:r>
              <w:rPr>
                <w:sz w:val="20"/>
              </w:rPr>
              <w:t xml:space="preserve">21.914.541,66 </w:t>
            </w:r>
          </w:p>
        </w:tc>
      </w:tr>
      <w:tr w:rsidR="00E8309B">
        <w:trPr>
          <w:trHeight w:val="337"/>
        </w:trPr>
        <w:tc>
          <w:tcPr>
            <w:tcW w:w="1210"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52" w:right="0" w:firstLine="0"/>
              <w:jc w:val="center"/>
            </w:pPr>
            <w:r>
              <w:rPr>
                <w:sz w:val="20"/>
              </w:rPr>
              <w:t xml:space="preserve">2023 </w:t>
            </w:r>
          </w:p>
        </w:tc>
        <w:tc>
          <w:tcPr>
            <w:tcW w:w="1658"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5" w:firstLine="0"/>
              <w:jc w:val="right"/>
            </w:pPr>
            <w:r>
              <w:rPr>
                <w:sz w:val="20"/>
              </w:rPr>
              <w:t xml:space="preserve">22.929.583,33 </w:t>
            </w:r>
          </w:p>
        </w:tc>
        <w:tc>
          <w:tcPr>
            <w:tcW w:w="1532"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8" w:firstLine="0"/>
              <w:jc w:val="right"/>
            </w:pPr>
            <w:r>
              <w:rPr>
                <w:sz w:val="20"/>
              </w:rPr>
              <w:t xml:space="preserve">0 </w:t>
            </w:r>
          </w:p>
        </w:tc>
        <w:tc>
          <w:tcPr>
            <w:tcW w:w="1889"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6" w:firstLine="0"/>
              <w:jc w:val="right"/>
            </w:pPr>
            <w:r>
              <w:rPr>
                <w:sz w:val="20"/>
              </w:rPr>
              <w:t xml:space="preserve">0 </w:t>
            </w:r>
          </w:p>
        </w:tc>
        <w:tc>
          <w:tcPr>
            <w:tcW w:w="1592"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6" w:firstLine="0"/>
              <w:jc w:val="right"/>
            </w:pPr>
            <w:r>
              <w:rPr>
                <w:sz w:val="20"/>
              </w:rPr>
              <w:t xml:space="preserve">0 </w:t>
            </w:r>
          </w:p>
        </w:tc>
        <w:tc>
          <w:tcPr>
            <w:tcW w:w="1481"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6" w:firstLine="0"/>
              <w:jc w:val="right"/>
            </w:pPr>
            <w:r>
              <w:rPr>
                <w:sz w:val="20"/>
              </w:rPr>
              <w:t xml:space="preserve">0 </w:t>
            </w:r>
          </w:p>
        </w:tc>
        <w:tc>
          <w:tcPr>
            <w:tcW w:w="1549" w:type="dxa"/>
            <w:tcBorders>
              <w:top w:val="single" w:sz="8" w:space="0" w:color="000000"/>
              <w:left w:val="single" w:sz="8" w:space="0" w:color="000000"/>
              <w:bottom w:val="single" w:sz="8" w:space="0" w:color="000000"/>
              <w:right w:val="nil"/>
            </w:tcBorders>
          </w:tcPr>
          <w:p w:rsidR="00E8309B" w:rsidRDefault="00E8309B">
            <w:pPr>
              <w:spacing w:after="160" w:line="259" w:lineRule="auto"/>
              <w:ind w:left="0" w:right="0" w:firstLine="0"/>
              <w:jc w:val="left"/>
            </w:pPr>
          </w:p>
        </w:tc>
        <w:tc>
          <w:tcPr>
            <w:tcW w:w="209" w:type="dxa"/>
            <w:tcBorders>
              <w:top w:val="single" w:sz="8" w:space="0" w:color="000000"/>
              <w:left w:val="nil"/>
              <w:bottom w:val="single" w:sz="8" w:space="0" w:color="000000"/>
              <w:right w:val="single" w:sz="8" w:space="0" w:color="000000"/>
            </w:tcBorders>
          </w:tcPr>
          <w:p w:rsidR="00E8309B" w:rsidRDefault="009D0949">
            <w:pPr>
              <w:spacing w:after="0" w:line="259" w:lineRule="auto"/>
              <w:ind w:left="0" w:right="0" w:firstLine="0"/>
            </w:pPr>
            <w:r>
              <w:rPr>
                <w:sz w:val="20"/>
              </w:rPr>
              <w:t xml:space="preserve">0 </w:t>
            </w:r>
          </w:p>
        </w:tc>
        <w:tc>
          <w:tcPr>
            <w:tcW w:w="1481"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6" w:firstLine="0"/>
              <w:jc w:val="right"/>
            </w:pPr>
            <w:r>
              <w:rPr>
                <w:sz w:val="20"/>
              </w:rPr>
              <w:t xml:space="preserve">0 </w:t>
            </w:r>
          </w:p>
        </w:tc>
        <w:tc>
          <w:tcPr>
            <w:tcW w:w="1752"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1" w:firstLine="0"/>
              <w:jc w:val="right"/>
            </w:pPr>
            <w:r>
              <w:rPr>
                <w:sz w:val="20"/>
              </w:rPr>
              <w:t xml:space="preserve">22.929.583,33 </w:t>
            </w:r>
          </w:p>
        </w:tc>
      </w:tr>
      <w:tr w:rsidR="00E8309B">
        <w:trPr>
          <w:trHeight w:val="563"/>
        </w:trPr>
        <w:tc>
          <w:tcPr>
            <w:tcW w:w="10910" w:type="dxa"/>
            <w:gridSpan w:val="7"/>
            <w:tcBorders>
              <w:top w:val="single" w:sz="8" w:space="0" w:color="000000"/>
              <w:left w:val="single" w:sz="8" w:space="0" w:color="000000"/>
              <w:bottom w:val="single" w:sz="8" w:space="0" w:color="000000"/>
              <w:right w:val="nil"/>
            </w:tcBorders>
            <w:shd w:val="clear" w:color="auto" w:fill="D0CECE"/>
          </w:tcPr>
          <w:p w:rsidR="00E8309B" w:rsidRDefault="009D0949">
            <w:pPr>
              <w:spacing w:after="49" w:line="259" w:lineRule="auto"/>
              <w:ind w:left="106" w:right="0" w:firstLine="0"/>
              <w:jc w:val="left"/>
            </w:pPr>
            <w:r>
              <w:rPr>
                <w:b/>
                <w:sz w:val="20"/>
              </w:rPr>
              <w:t xml:space="preserve">15. Унапређење институционалне подршке за развој паметних специјализација и </w:t>
            </w:r>
          </w:p>
          <w:p w:rsidR="00E8309B" w:rsidRDefault="009D0949">
            <w:pPr>
              <w:tabs>
                <w:tab w:val="center" w:pos="574"/>
                <w:tab w:val="center" w:pos="7989"/>
                <w:tab w:val="center" w:pos="9469"/>
              </w:tabs>
              <w:spacing w:after="0" w:line="259" w:lineRule="auto"/>
              <w:ind w:left="0" w:right="0" w:firstLine="0"/>
              <w:jc w:val="left"/>
            </w:pPr>
            <w:r>
              <w:rPr>
                <w:rFonts w:ascii="Calibri" w:eastAsia="Calibri" w:hAnsi="Calibri" w:cs="Calibri"/>
                <w:sz w:val="22"/>
              </w:rPr>
              <w:tab/>
            </w:r>
            <w:r>
              <w:rPr>
                <w:b/>
                <w:sz w:val="20"/>
              </w:rPr>
              <w:t xml:space="preserve">иновација </w:t>
            </w:r>
            <w:r>
              <w:rPr>
                <w:b/>
                <w:sz w:val="20"/>
              </w:rPr>
              <w:tab/>
              <w:t xml:space="preserve">  </w:t>
            </w:r>
            <w:r>
              <w:rPr>
                <w:b/>
                <w:sz w:val="20"/>
              </w:rPr>
              <w:tab/>
              <w:t xml:space="preserve">  </w:t>
            </w:r>
          </w:p>
        </w:tc>
        <w:tc>
          <w:tcPr>
            <w:tcW w:w="209" w:type="dxa"/>
            <w:tcBorders>
              <w:top w:val="single" w:sz="8" w:space="0" w:color="000000"/>
              <w:left w:val="nil"/>
              <w:bottom w:val="single" w:sz="8" w:space="0" w:color="000000"/>
              <w:right w:val="nil"/>
            </w:tcBorders>
            <w:shd w:val="clear" w:color="auto" w:fill="D0CECE"/>
          </w:tcPr>
          <w:p w:rsidR="00E8309B" w:rsidRDefault="00E8309B">
            <w:pPr>
              <w:spacing w:after="160" w:line="259" w:lineRule="auto"/>
              <w:ind w:left="0" w:right="0" w:firstLine="0"/>
              <w:jc w:val="left"/>
            </w:pPr>
          </w:p>
        </w:tc>
        <w:tc>
          <w:tcPr>
            <w:tcW w:w="1481" w:type="dxa"/>
            <w:tcBorders>
              <w:top w:val="single" w:sz="8" w:space="0" w:color="000000"/>
              <w:left w:val="nil"/>
              <w:bottom w:val="single" w:sz="8" w:space="0" w:color="000000"/>
              <w:right w:val="nil"/>
            </w:tcBorders>
            <w:shd w:val="clear" w:color="auto" w:fill="D0CECE"/>
            <w:vAlign w:val="bottom"/>
          </w:tcPr>
          <w:p w:rsidR="00E8309B" w:rsidRDefault="009D0949">
            <w:pPr>
              <w:spacing w:after="0" w:line="259" w:lineRule="auto"/>
              <w:ind w:left="108" w:right="0" w:firstLine="0"/>
              <w:jc w:val="left"/>
            </w:pPr>
            <w:r>
              <w:rPr>
                <w:b/>
                <w:sz w:val="20"/>
              </w:rPr>
              <w:t xml:space="preserve">  </w:t>
            </w:r>
          </w:p>
        </w:tc>
        <w:tc>
          <w:tcPr>
            <w:tcW w:w="1752" w:type="dxa"/>
            <w:tcBorders>
              <w:top w:val="single" w:sz="8" w:space="0" w:color="000000"/>
              <w:left w:val="nil"/>
              <w:bottom w:val="single" w:sz="8" w:space="0" w:color="000000"/>
              <w:right w:val="single" w:sz="8" w:space="0" w:color="000000"/>
            </w:tcBorders>
            <w:shd w:val="clear" w:color="auto" w:fill="D0CECE"/>
            <w:vAlign w:val="bottom"/>
          </w:tcPr>
          <w:p w:rsidR="00E8309B" w:rsidRDefault="009D0949">
            <w:pPr>
              <w:spacing w:after="0" w:line="259" w:lineRule="auto"/>
              <w:ind w:left="108" w:right="0" w:firstLine="0"/>
              <w:jc w:val="left"/>
            </w:pPr>
            <w:r>
              <w:rPr>
                <w:b/>
                <w:sz w:val="20"/>
              </w:rPr>
              <w:t xml:space="preserve">  </w:t>
            </w:r>
          </w:p>
        </w:tc>
      </w:tr>
      <w:tr w:rsidR="00E8309B">
        <w:trPr>
          <w:trHeight w:val="713"/>
        </w:trPr>
        <w:tc>
          <w:tcPr>
            <w:tcW w:w="1210" w:type="dxa"/>
            <w:tcBorders>
              <w:top w:val="single" w:sz="8" w:space="0" w:color="000000"/>
              <w:left w:val="single" w:sz="8" w:space="0" w:color="000000"/>
              <w:bottom w:val="single" w:sz="8" w:space="0" w:color="000000"/>
              <w:right w:val="single" w:sz="8" w:space="0" w:color="000000"/>
            </w:tcBorders>
            <w:vAlign w:val="bottom"/>
          </w:tcPr>
          <w:p w:rsidR="00E8309B" w:rsidRDefault="009D0949">
            <w:pPr>
              <w:spacing w:after="0" w:line="259" w:lineRule="auto"/>
              <w:ind w:left="49" w:right="0" w:firstLine="0"/>
              <w:jc w:val="center"/>
            </w:pPr>
            <w:r>
              <w:rPr>
                <w:b/>
                <w:sz w:val="20"/>
              </w:rPr>
              <w:t>Година</w:t>
            </w:r>
            <w:r>
              <w:rPr>
                <w:sz w:val="20"/>
              </w:rPr>
              <w:t xml:space="preserve">  </w:t>
            </w:r>
          </w:p>
        </w:tc>
        <w:tc>
          <w:tcPr>
            <w:tcW w:w="1658"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98" w:right="0" w:firstLine="18"/>
              <w:jc w:val="center"/>
            </w:pPr>
            <w:r>
              <w:rPr>
                <w:sz w:val="20"/>
              </w:rPr>
              <w:t xml:space="preserve">Буџет централног нивоа државе </w:t>
            </w:r>
          </w:p>
        </w:tc>
        <w:tc>
          <w:tcPr>
            <w:tcW w:w="1532" w:type="dxa"/>
            <w:tcBorders>
              <w:top w:val="single" w:sz="8" w:space="0" w:color="000000"/>
              <w:left w:val="single" w:sz="8" w:space="0" w:color="000000"/>
              <w:bottom w:val="single" w:sz="8" w:space="0" w:color="000000"/>
              <w:right w:val="single" w:sz="8" w:space="0" w:color="000000"/>
            </w:tcBorders>
            <w:vAlign w:val="center"/>
          </w:tcPr>
          <w:p w:rsidR="00E8309B" w:rsidRDefault="009D0949">
            <w:pPr>
              <w:spacing w:after="0" w:line="259" w:lineRule="auto"/>
              <w:ind w:left="103" w:right="3" w:firstLine="0"/>
              <w:jc w:val="center"/>
            </w:pPr>
            <w:r>
              <w:rPr>
                <w:sz w:val="20"/>
              </w:rPr>
              <w:t xml:space="preserve">Локални буџети </w:t>
            </w:r>
          </w:p>
        </w:tc>
        <w:tc>
          <w:tcPr>
            <w:tcW w:w="1889"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53" w:right="0" w:firstLine="0"/>
              <w:jc w:val="center"/>
            </w:pPr>
            <w:r>
              <w:rPr>
                <w:sz w:val="20"/>
              </w:rPr>
              <w:t xml:space="preserve">Други домаћи извори јавних финансија </w:t>
            </w:r>
          </w:p>
        </w:tc>
        <w:tc>
          <w:tcPr>
            <w:tcW w:w="1592" w:type="dxa"/>
            <w:tcBorders>
              <w:top w:val="single" w:sz="8" w:space="0" w:color="000000"/>
              <w:left w:val="single" w:sz="8" w:space="0" w:color="000000"/>
              <w:bottom w:val="single" w:sz="8" w:space="0" w:color="000000"/>
              <w:right w:val="single" w:sz="8" w:space="0" w:color="000000"/>
            </w:tcBorders>
            <w:vAlign w:val="center"/>
          </w:tcPr>
          <w:p w:rsidR="00E8309B" w:rsidRDefault="009D0949">
            <w:pPr>
              <w:spacing w:after="0" w:line="259" w:lineRule="auto"/>
              <w:ind w:left="182" w:right="0" w:firstLine="0"/>
              <w:jc w:val="left"/>
            </w:pPr>
            <w:r>
              <w:rPr>
                <w:sz w:val="20"/>
              </w:rPr>
              <w:t xml:space="preserve">ИПА фондови </w:t>
            </w:r>
          </w:p>
        </w:tc>
        <w:tc>
          <w:tcPr>
            <w:tcW w:w="1481"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0" w:firstLine="0"/>
              <w:jc w:val="center"/>
            </w:pPr>
            <w:r>
              <w:rPr>
                <w:sz w:val="20"/>
              </w:rPr>
              <w:t xml:space="preserve">Друга бесповратна средства  </w:t>
            </w:r>
          </w:p>
        </w:tc>
        <w:tc>
          <w:tcPr>
            <w:tcW w:w="1549" w:type="dxa"/>
            <w:tcBorders>
              <w:top w:val="single" w:sz="8" w:space="0" w:color="000000"/>
              <w:left w:val="single" w:sz="8" w:space="0" w:color="000000"/>
              <w:bottom w:val="single" w:sz="8" w:space="0" w:color="000000"/>
              <w:right w:val="nil"/>
            </w:tcBorders>
            <w:vAlign w:val="center"/>
          </w:tcPr>
          <w:p w:rsidR="00E8309B" w:rsidRDefault="009D0949">
            <w:pPr>
              <w:spacing w:after="0" w:line="259" w:lineRule="auto"/>
              <w:ind w:left="91" w:right="0" w:firstLine="0"/>
              <w:jc w:val="center"/>
            </w:pPr>
            <w:r>
              <w:rPr>
                <w:sz w:val="20"/>
              </w:rPr>
              <w:t xml:space="preserve">Пројектни </w:t>
            </w:r>
            <w:r>
              <w:rPr>
                <w:sz w:val="20"/>
              </w:rPr>
              <w:t xml:space="preserve">кредити  </w:t>
            </w:r>
          </w:p>
        </w:tc>
        <w:tc>
          <w:tcPr>
            <w:tcW w:w="209" w:type="dxa"/>
            <w:tcBorders>
              <w:top w:val="single" w:sz="8" w:space="0" w:color="000000"/>
              <w:left w:val="nil"/>
              <w:bottom w:val="single" w:sz="8" w:space="0" w:color="000000"/>
              <w:right w:val="single" w:sz="8" w:space="0" w:color="000000"/>
            </w:tcBorders>
          </w:tcPr>
          <w:p w:rsidR="00E8309B" w:rsidRDefault="00E8309B">
            <w:pPr>
              <w:spacing w:after="160" w:line="259" w:lineRule="auto"/>
              <w:ind w:left="0" w:right="0" w:firstLine="0"/>
              <w:jc w:val="left"/>
            </w:pPr>
          </w:p>
        </w:tc>
        <w:tc>
          <w:tcPr>
            <w:tcW w:w="1481" w:type="dxa"/>
            <w:tcBorders>
              <w:top w:val="single" w:sz="8" w:space="0" w:color="000000"/>
              <w:left w:val="single" w:sz="8" w:space="0" w:color="000000"/>
              <w:bottom w:val="single" w:sz="8" w:space="0" w:color="000000"/>
              <w:right w:val="single" w:sz="8" w:space="0" w:color="000000"/>
            </w:tcBorders>
            <w:vAlign w:val="center"/>
          </w:tcPr>
          <w:p w:rsidR="00E8309B" w:rsidRDefault="009D0949">
            <w:pPr>
              <w:spacing w:after="0" w:line="259" w:lineRule="auto"/>
              <w:ind w:left="118" w:right="17" w:firstLine="0"/>
              <w:jc w:val="center"/>
            </w:pPr>
            <w:r>
              <w:rPr>
                <w:sz w:val="20"/>
              </w:rPr>
              <w:t xml:space="preserve">Тек треба да се утврди </w:t>
            </w:r>
          </w:p>
        </w:tc>
        <w:tc>
          <w:tcPr>
            <w:tcW w:w="1752" w:type="dxa"/>
            <w:tcBorders>
              <w:top w:val="single" w:sz="8" w:space="0" w:color="000000"/>
              <w:left w:val="single" w:sz="8" w:space="0" w:color="000000"/>
              <w:bottom w:val="single" w:sz="8" w:space="0" w:color="000000"/>
              <w:right w:val="single" w:sz="8" w:space="0" w:color="000000"/>
            </w:tcBorders>
            <w:vAlign w:val="center"/>
          </w:tcPr>
          <w:p w:rsidR="00E8309B" w:rsidRDefault="009D0949">
            <w:pPr>
              <w:spacing w:after="0" w:line="259" w:lineRule="auto"/>
              <w:ind w:left="54" w:right="0" w:firstLine="0"/>
              <w:jc w:val="center"/>
            </w:pPr>
            <w:r>
              <w:rPr>
                <w:sz w:val="20"/>
              </w:rPr>
              <w:t xml:space="preserve">Укупно </w:t>
            </w:r>
          </w:p>
        </w:tc>
      </w:tr>
      <w:tr w:rsidR="00E8309B">
        <w:trPr>
          <w:trHeight w:val="334"/>
        </w:trPr>
        <w:tc>
          <w:tcPr>
            <w:tcW w:w="1210"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52" w:right="0" w:firstLine="0"/>
              <w:jc w:val="center"/>
            </w:pPr>
            <w:r>
              <w:rPr>
                <w:sz w:val="20"/>
              </w:rPr>
              <w:t xml:space="preserve">2021 </w:t>
            </w:r>
          </w:p>
        </w:tc>
        <w:tc>
          <w:tcPr>
            <w:tcW w:w="1658"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5" w:firstLine="0"/>
              <w:jc w:val="right"/>
            </w:pPr>
            <w:r>
              <w:rPr>
                <w:sz w:val="20"/>
              </w:rPr>
              <w:t xml:space="preserve">2.466.133,33 </w:t>
            </w:r>
          </w:p>
        </w:tc>
        <w:tc>
          <w:tcPr>
            <w:tcW w:w="1532"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8" w:firstLine="0"/>
              <w:jc w:val="right"/>
            </w:pPr>
            <w:r>
              <w:rPr>
                <w:sz w:val="20"/>
              </w:rPr>
              <w:t xml:space="preserve">0 </w:t>
            </w:r>
          </w:p>
        </w:tc>
        <w:tc>
          <w:tcPr>
            <w:tcW w:w="1889"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6" w:firstLine="0"/>
              <w:jc w:val="right"/>
            </w:pPr>
            <w:r>
              <w:rPr>
                <w:sz w:val="20"/>
              </w:rPr>
              <w:t xml:space="preserve">0 </w:t>
            </w:r>
          </w:p>
        </w:tc>
        <w:tc>
          <w:tcPr>
            <w:tcW w:w="1592"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5" w:firstLine="0"/>
              <w:jc w:val="right"/>
            </w:pPr>
            <w:r>
              <w:rPr>
                <w:sz w:val="20"/>
              </w:rPr>
              <w:t xml:space="preserve">902.416,67 </w:t>
            </w:r>
          </w:p>
        </w:tc>
        <w:tc>
          <w:tcPr>
            <w:tcW w:w="1481"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6" w:firstLine="0"/>
              <w:jc w:val="right"/>
            </w:pPr>
            <w:r>
              <w:rPr>
                <w:sz w:val="20"/>
              </w:rPr>
              <w:t xml:space="preserve">0 </w:t>
            </w:r>
          </w:p>
        </w:tc>
        <w:tc>
          <w:tcPr>
            <w:tcW w:w="1549" w:type="dxa"/>
            <w:tcBorders>
              <w:top w:val="single" w:sz="8" w:space="0" w:color="000000"/>
              <w:left w:val="single" w:sz="8" w:space="0" w:color="000000"/>
              <w:bottom w:val="single" w:sz="8" w:space="0" w:color="000000"/>
              <w:right w:val="nil"/>
            </w:tcBorders>
          </w:tcPr>
          <w:p w:rsidR="00E8309B" w:rsidRDefault="00E8309B">
            <w:pPr>
              <w:spacing w:after="160" w:line="259" w:lineRule="auto"/>
              <w:ind w:left="0" w:right="0" w:firstLine="0"/>
              <w:jc w:val="left"/>
            </w:pPr>
          </w:p>
        </w:tc>
        <w:tc>
          <w:tcPr>
            <w:tcW w:w="209" w:type="dxa"/>
            <w:tcBorders>
              <w:top w:val="single" w:sz="8" w:space="0" w:color="000000"/>
              <w:left w:val="nil"/>
              <w:bottom w:val="single" w:sz="8" w:space="0" w:color="000000"/>
              <w:right w:val="single" w:sz="8" w:space="0" w:color="000000"/>
            </w:tcBorders>
          </w:tcPr>
          <w:p w:rsidR="00E8309B" w:rsidRDefault="009D0949">
            <w:pPr>
              <w:spacing w:after="0" w:line="259" w:lineRule="auto"/>
              <w:ind w:left="0" w:right="0" w:firstLine="0"/>
            </w:pPr>
            <w:r>
              <w:rPr>
                <w:sz w:val="20"/>
              </w:rPr>
              <w:t xml:space="preserve">0 </w:t>
            </w:r>
          </w:p>
        </w:tc>
        <w:tc>
          <w:tcPr>
            <w:tcW w:w="1481"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6" w:firstLine="0"/>
              <w:jc w:val="right"/>
            </w:pPr>
            <w:r>
              <w:rPr>
                <w:sz w:val="20"/>
              </w:rPr>
              <w:t xml:space="preserve">0 </w:t>
            </w:r>
          </w:p>
        </w:tc>
        <w:tc>
          <w:tcPr>
            <w:tcW w:w="1752"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1" w:firstLine="0"/>
              <w:jc w:val="right"/>
            </w:pPr>
            <w:r>
              <w:rPr>
                <w:sz w:val="20"/>
              </w:rPr>
              <w:t xml:space="preserve">3.368.550,00 </w:t>
            </w:r>
          </w:p>
        </w:tc>
      </w:tr>
      <w:tr w:rsidR="00E8309B">
        <w:trPr>
          <w:trHeight w:val="336"/>
        </w:trPr>
        <w:tc>
          <w:tcPr>
            <w:tcW w:w="1210"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52" w:right="0" w:firstLine="0"/>
              <w:jc w:val="center"/>
            </w:pPr>
            <w:r>
              <w:rPr>
                <w:sz w:val="20"/>
              </w:rPr>
              <w:t xml:space="preserve">2022 </w:t>
            </w:r>
          </w:p>
        </w:tc>
        <w:tc>
          <w:tcPr>
            <w:tcW w:w="1658"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5" w:firstLine="0"/>
              <w:jc w:val="right"/>
            </w:pPr>
            <w:r>
              <w:rPr>
                <w:sz w:val="20"/>
              </w:rPr>
              <w:t xml:space="preserve">2.466.133,33 </w:t>
            </w:r>
          </w:p>
        </w:tc>
        <w:tc>
          <w:tcPr>
            <w:tcW w:w="1532"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8" w:firstLine="0"/>
              <w:jc w:val="right"/>
            </w:pPr>
            <w:r>
              <w:rPr>
                <w:sz w:val="20"/>
              </w:rPr>
              <w:t xml:space="preserve">0 </w:t>
            </w:r>
          </w:p>
        </w:tc>
        <w:tc>
          <w:tcPr>
            <w:tcW w:w="1889"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6" w:firstLine="0"/>
              <w:jc w:val="right"/>
            </w:pPr>
            <w:r>
              <w:rPr>
                <w:sz w:val="20"/>
              </w:rPr>
              <w:t xml:space="preserve">0 </w:t>
            </w:r>
          </w:p>
        </w:tc>
        <w:tc>
          <w:tcPr>
            <w:tcW w:w="1592"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6" w:firstLine="0"/>
              <w:jc w:val="right"/>
            </w:pPr>
            <w:r>
              <w:rPr>
                <w:sz w:val="20"/>
              </w:rPr>
              <w:t xml:space="preserve">4.124.916,67 </w:t>
            </w:r>
          </w:p>
        </w:tc>
        <w:tc>
          <w:tcPr>
            <w:tcW w:w="1481"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6" w:firstLine="0"/>
              <w:jc w:val="right"/>
            </w:pPr>
            <w:r>
              <w:rPr>
                <w:sz w:val="20"/>
              </w:rPr>
              <w:t xml:space="preserve">0 </w:t>
            </w:r>
          </w:p>
        </w:tc>
        <w:tc>
          <w:tcPr>
            <w:tcW w:w="1549" w:type="dxa"/>
            <w:tcBorders>
              <w:top w:val="single" w:sz="8" w:space="0" w:color="000000"/>
              <w:left w:val="single" w:sz="8" w:space="0" w:color="000000"/>
              <w:bottom w:val="single" w:sz="8" w:space="0" w:color="000000"/>
              <w:right w:val="nil"/>
            </w:tcBorders>
          </w:tcPr>
          <w:p w:rsidR="00E8309B" w:rsidRDefault="00E8309B">
            <w:pPr>
              <w:spacing w:after="160" w:line="259" w:lineRule="auto"/>
              <w:ind w:left="0" w:right="0" w:firstLine="0"/>
              <w:jc w:val="left"/>
            </w:pPr>
          </w:p>
        </w:tc>
        <w:tc>
          <w:tcPr>
            <w:tcW w:w="209" w:type="dxa"/>
            <w:tcBorders>
              <w:top w:val="single" w:sz="8" w:space="0" w:color="000000"/>
              <w:left w:val="nil"/>
              <w:bottom w:val="single" w:sz="8" w:space="0" w:color="000000"/>
              <w:right w:val="single" w:sz="8" w:space="0" w:color="000000"/>
            </w:tcBorders>
          </w:tcPr>
          <w:p w:rsidR="00E8309B" w:rsidRDefault="009D0949">
            <w:pPr>
              <w:spacing w:after="0" w:line="259" w:lineRule="auto"/>
              <w:ind w:left="0" w:right="0" w:firstLine="0"/>
            </w:pPr>
            <w:r>
              <w:rPr>
                <w:sz w:val="20"/>
              </w:rPr>
              <w:t xml:space="preserve">0 </w:t>
            </w:r>
          </w:p>
        </w:tc>
        <w:tc>
          <w:tcPr>
            <w:tcW w:w="1481"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6" w:firstLine="0"/>
              <w:jc w:val="right"/>
            </w:pPr>
            <w:r>
              <w:rPr>
                <w:sz w:val="20"/>
              </w:rPr>
              <w:t xml:space="preserve">0 </w:t>
            </w:r>
          </w:p>
        </w:tc>
        <w:tc>
          <w:tcPr>
            <w:tcW w:w="1752"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1" w:firstLine="0"/>
              <w:jc w:val="right"/>
            </w:pPr>
            <w:r>
              <w:rPr>
                <w:sz w:val="20"/>
              </w:rPr>
              <w:t xml:space="preserve">6.591.050,00 </w:t>
            </w:r>
          </w:p>
        </w:tc>
      </w:tr>
      <w:tr w:rsidR="00E8309B">
        <w:trPr>
          <w:trHeight w:val="337"/>
        </w:trPr>
        <w:tc>
          <w:tcPr>
            <w:tcW w:w="1210"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52" w:right="0" w:firstLine="0"/>
              <w:jc w:val="center"/>
            </w:pPr>
            <w:r>
              <w:rPr>
                <w:sz w:val="20"/>
              </w:rPr>
              <w:t xml:space="preserve">2023 </w:t>
            </w:r>
          </w:p>
        </w:tc>
        <w:tc>
          <w:tcPr>
            <w:tcW w:w="1658"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5" w:firstLine="0"/>
              <w:jc w:val="right"/>
            </w:pPr>
            <w:r>
              <w:rPr>
                <w:sz w:val="20"/>
              </w:rPr>
              <w:t xml:space="preserve">2.466.133,33 </w:t>
            </w:r>
          </w:p>
        </w:tc>
        <w:tc>
          <w:tcPr>
            <w:tcW w:w="1532"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8" w:firstLine="0"/>
              <w:jc w:val="right"/>
            </w:pPr>
            <w:r>
              <w:rPr>
                <w:sz w:val="20"/>
              </w:rPr>
              <w:t xml:space="preserve">0 </w:t>
            </w:r>
          </w:p>
        </w:tc>
        <w:tc>
          <w:tcPr>
            <w:tcW w:w="1889"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6" w:firstLine="0"/>
              <w:jc w:val="right"/>
            </w:pPr>
            <w:r>
              <w:rPr>
                <w:sz w:val="20"/>
              </w:rPr>
              <w:t xml:space="preserve">0 </w:t>
            </w:r>
          </w:p>
        </w:tc>
        <w:tc>
          <w:tcPr>
            <w:tcW w:w="1592"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6" w:firstLine="0"/>
              <w:jc w:val="right"/>
            </w:pPr>
            <w:r>
              <w:rPr>
                <w:sz w:val="20"/>
              </w:rPr>
              <w:t xml:space="preserve">3.474.916,67 </w:t>
            </w:r>
          </w:p>
        </w:tc>
        <w:tc>
          <w:tcPr>
            <w:tcW w:w="1481"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6" w:firstLine="0"/>
              <w:jc w:val="right"/>
            </w:pPr>
            <w:r>
              <w:rPr>
                <w:sz w:val="20"/>
              </w:rPr>
              <w:t xml:space="preserve">0 </w:t>
            </w:r>
          </w:p>
        </w:tc>
        <w:tc>
          <w:tcPr>
            <w:tcW w:w="1549" w:type="dxa"/>
            <w:tcBorders>
              <w:top w:val="single" w:sz="8" w:space="0" w:color="000000"/>
              <w:left w:val="single" w:sz="8" w:space="0" w:color="000000"/>
              <w:bottom w:val="single" w:sz="8" w:space="0" w:color="000000"/>
              <w:right w:val="nil"/>
            </w:tcBorders>
          </w:tcPr>
          <w:p w:rsidR="00E8309B" w:rsidRDefault="00E8309B">
            <w:pPr>
              <w:spacing w:after="160" w:line="259" w:lineRule="auto"/>
              <w:ind w:left="0" w:right="0" w:firstLine="0"/>
              <w:jc w:val="left"/>
            </w:pPr>
          </w:p>
        </w:tc>
        <w:tc>
          <w:tcPr>
            <w:tcW w:w="209" w:type="dxa"/>
            <w:tcBorders>
              <w:top w:val="single" w:sz="8" w:space="0" w:color="000000"/>
              <w:left w:val="nil"/>
              <w:bottom w:val="single" w:sz="8" w:space="0" w:color="000000"/>
              <w:right w:val="single" w:sz="8" w:space="0" w:color="000000"/>
            </w:tcBorders>
          </w:tcPr>
          <w:p w:rsidR="00E8309B" w:rsidRDefault="009D0949">
            <w:pPr>
              <w:spacing w:after="0" w:line="259" w:lineRule="auto"/>
              <w:ind w:left="0" w:right="0" w:firstLine="0"/>
            </w:pPr>
            <w:r>
              <w:rPr>
                <w:sz w:val="20"/>
              </w:rPr>
              <w:t xml:space="preserve">0 </w:t>
            </w:r>
          </w:p>
        </w:tc>
        <w:tc>
          <w:tcPr>
            <w:tcW w:w="1481"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6" w:firstLine="0"/>
              <w:jc w:val="right"/>
            </w:pPr>
            <w:r>
              <w:rPr>
                <w:sz w:val="20"/>
              </w:rPr>
              <w:t xml:space="preserve">0 </w:t>
            </w:r>
          </w:p>
        </w:tc>
        <w:tc>
          <w:tcPr>
            <w:tcW w:w="1752"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1" w:firstLine="0"/>
              <w:jc w:val="right"/>
            </w:pPr>
            <w:r>
              <w:rPr>
                <w:sz w:val="20"/>
              </w:rPr>
              <w:t xml:space="preserve">5.941.050,00 </w:t>
            </w:r>
          </w:p>
        </w:tc>
      </w:tr>
      <w:tr w:rsidR="00E8309B">
        <w:trPr>
          <w:trHeight w:val="635"/>
        </w:trPr>
        <w:tc>
          <w:tcPr>
            <w:tcW w:w="10910" w:type="dxa"/>
            <w:gridSpan w:val="7"/>
            <w:tcBorders>
              <w:top w:val="single" w:sz="8" w:space="0" w:color="000000"/>
              <w:left w:val="single" w:sz="8" w:space="0" w:color="000000"/>
              <w:bottom w:val="single" w:sz="8" w:space="0" w:color="000000"/>
              <w:right w:val="nil"/>
            </w:tcBorders>
            <w:shd w:val="clear" w:color="auto" w:fill="D0CECE"/>
          </w:tcPr>
          <w:p w:rsidR="00E8309B" w:rsidRDefault="009D0949">
            <w:pPr>
              <w:spacing w:after="71" w:line="259" w:lineRule="auto"/>
              <w:ind w:left="106" w:right="0" w:firstLine="0"/>
              <w:jc w:val="left"/>
            </w:pPr>
            <w:r>
              <w:rPr>
                <w:b/>
                <w:sz w:val="20"/>
              </w:rPr>
              <w:t xml:space="preserve">16. Повећање доступности е-Управе унапређењем инфраструктуре и увођењем </w:t>
            </w:r>
          </w:p>
          <w:p w:rsidR="00E8309B" w:rsidRDefault="009D0949">
            <w:pPr>
              <w:tabs>
                <w:tab w:val="center" w:pos="943"/>
                <w:tab w:val="center" w:pos="7989"/>
                <w:tab w:val="center" w:pos="9469"/>
              </w:tabs>
              <w:spacing w:after="0" w:line="259" w:lineRule="auto"/>
              <w:ind w:left="0" w:right="0" w:firstLine="0"/>
              <w:jc w:val="left"/>
            </w:pPr>
            <w:r>
              <w:rPr>
                <w:rFonts w:ascii="Calibri" w:eastAsia="Calibri" w:hAnsi="Calibri" w:cs="Calibri"/>
                <w:sz w:val="22"/>
              </w:rPr>
              <w:tab/>
            </w:r>
            <w:r>
              <w:rPr>
                <w:b/>
                <w:sz w:val="20"/>
              </w:rPr>
              <w:t xml:space="preserve">нових технологија  </w:t>
            </w:r>
            <w:r>
              <w:rPr>
                <w:b/>
                <w:sz w:val="20"/>
              </w:rPr>
              <w:tab/>
              <w:t xml:space="preserve">  </w:t>
            </w:r>
            <w:r>
              <w:rPr>
                <w:b/>
                <w:sz w:val="20"/>
              </w:rPr>
              <w:tab/>
              <w:t xml:space="preserve">  </w:t>
            </w:r>
          </w:p>
        </w:tc>
        <w:tc>
          <w:tcPr>
            <w:tcW w:w="209" w:type="dxa"/>
            <w:tcBorders>
              <w:top w:val="single" w:sz="8" w:space="0" w:color="000000"/>
              <w:left w:val="nil"/>
              <w:bottom w:val="single" w:sz="8" w:space="0" w:color="000000"/>
              <w:right w:val="nil"/>
            </w:tcBorders>
            <w:shd w:val="clear" w:color="auto" w:fill="D0CECE"/>
          </w:tcPr>
          <w:p w:rsidR="00E8309B" w:rsidRDefault="00E8309B">
            <w:pPr>
              <w:spacing w:after="160" w:line="259" w:lineRule="auto"/>
              <w:ind w:left="0" w:right="0" w:firstLine="0"/>
              <w:jc w:val="left"/>
            </w:pPr>
          </w:p>
        </w:tc>
        <w:tc>
          <w:tcPr>
            <w:tcW w:w="1481" w:type="dxa"/>
            <w:tcBorders>
              <w:top w:val="single" w:sz="8" w:space="0" w:color="000000"/>
              <w:left w:val="nil"/>
              <w:bottom w:val="single" w:sz="8" w:space="0" w:color="000000"/>
              <w:right w:val="nil"/>
            </w:tcBorders>
            <w:shd w:val="clear" w:color="auto" w:fill="D0CECE"/>
            <w:vAlign w:val="bottom"/>
          </w:tcPr>
          <w:p w:rsidR="00E8309B" w:rsidRDefault="009D0949">
            <w:pPr>
              <w:spacing w:after="0" w:line="259" w:lineRule="auto"/>
              <w:ind w:left="108" w:right="0" w:firstLine="0"/>
              <w:jc w:val="left"/>
            </w:pPr>
            <w:r>
              <w:rPr>
                <w:b/>
                <w:sz w:val="20"/>
              </w:rPr>
              <w:t xml:space="preserve">  </w:t>
            </w:r>
          </w:p>
        </w:tc>
        <w:tc>
          <w:tcPr>
            <w:tcW w:w="1752" w:type="dxa"/>
            <w:tcBorders>
              <w:top w:val="single" w:sz="8" w:space="0" w:color="000000"/>
              <w:left w:val="nil"/>
              <w:bottom w:val="single" w:sz="8" w:space="0" w:color="000000"/>
              <w:right w:val="single" w:sz="8" w:space="0" w:color="000000"/>
            </w:tcBorders>
            <w:shd w:val="clear" w:color="auto" w:fill="D0CECE"/>
            <w:vAlign w:val="bottom"/>
          </w:tcPr>
          <w:p w:rsidR="00E8309B" w:rsidRDefault="009D0949">
            <w:pPr>
              <w:spacing w:after="0" w:line="259" w:lineRule="auto"/>
              <w:ind w:left="108" w:right="0" w:firstLine="0"/>
              <w:jc w:val="left"/>
            </w:pPr>
            <w:r>
              <w:rPr>
                <w:b/>
                <w:sz w:val="20"/>
              </w:rPr>
              <w:t xml:space="preserve">  </w:t>
            </w:r>
          </w:p>
        </w:tc>
      </w:tr>
      <w:tr w:rsidR="00E8309B">
        <w:trPr>
          <w:trHeight w:val="713"/>
        </w:trPr>
        <w:tc>
          <w:tcPr>
            <w:tcW w:w="1210" w:type="dxa"/>
            <w:tcBorders>
              <w:top w:val="single" w:sz="8" w:space="0" w:color="000000"/>
              <w:left w:val="single" w:sz="8" w:space="0" w:color="000000"/>
              <w:bottom w:val="single" w:sz="8" w:space="0" w:color="000000"/>
              <w:right w:val="single" w:sz="8" w:space="0" w:color="000000"/>
            </w:tcBorders>
            <w:vAlign w:val="bottom"/>
          </w:tcPr>
          <w:p w:rsidR="00E8309B" w:rsidRDefault="009D0949">
            <w:pPr>
              <w:spacing w:after="0" w:line="259" w:lineRule="auto"/>
              <w:ind w:left="49" w:right="0" w:firstLine="0"/>
              <w:jc w:val="center"/>
            </w:pPr>
            <w:r>
              <w:rPr>
                <w:b/>
                <w:sz w:val="20"/>
              </w:rPr>
              <w:t>Година</w:t>
            </w:r>
            <w:r>
              <w:rPr>
                <w:sz w:val="20"/>
              </w:rPr>
              <w:t xml:space="preserve">  </w:t>
            </w:r>
          </w:p>
        </w:tc>
        <w:tc>
          <w:tcPr>
            <w:tcW w:w="1658"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98" w:right="0" w:firstLine="18"/>
              <w:jc w:val="center"/>
            </w:pPr>
            <w:r>
              <w:rPr>
                <w:sz w:val="20"/>
              </w:rPr>
              <w:t xml:space="preserve">Буџет централног нивоа државе </w:t>
            </w:r>
          </w:p>
        </w:tc>
        <w:tc>
          <w:tcPr>
            <w:tcW w:w="1532" w:type="dxa"/>
            <w:tcBorders>
              <w:top w:val="single" w:sz="8" w:space="0" w:color="000000"/>
              <w:left w:val="single" w:sz="8" w:space="0" w:color="000000"/>
              <w:bottom w:val="single" w:sz="8" w:space="0" w:color="000000"/>
              <w:right w:val="single" w:sz="8" w:space="0" w:color="000000"/>
            </w:tcBorders>
            <w:vAlign w:val="center"/>
          </w:tcPr>
          <w:p w:rsidR="00E8309B" w:rsidRDefault="009D0949">
            <w:pPr>
              <w:spacing w:after="0" w:line="259" w:lineRule="auto"/>
              <w:ind w:left="103" w:right="3" w:firstLine="0"/>
              <w:jc w:val="center"/>
            </w:pPr>
            <w:r>
              <w:rPr>
                <w:sz w:val="20"/>
              </w:rPr>
              <w:t xml:space="preserve">Локални буџети </w:t>
            </w:r>
          </w:p>
        </w:tc>
        <w:tc>
          <w:tcPr>
            <w:tcW w:w="1889"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53" w:right="0" w:firstLine="0"/>
              <w:jc w:val="center"/>
            </w:pPr>
            <w:r>
              <w:rPr>
                <w:sz w:val="20"/>
              </w:rPr>
              <w:t xml:space="preserve">Други домаћи извори јавних финансија </w:t>
            </w:r>
          </w:p>
        </w:tc>
        <w:tc>
          <w:tcPr>
            <w:tcW w:w="1592" w:type="dxa"/>
            <w:tcBorders>
              <w:top w:val="single" w:sz="8" w:space="0" w:color="000000"/>
              <w:left w:val="single" w:sz="8" w:space="0" w:color="000000"/>
              <w:bottom w:val="single" w:sz="8" w:space="0" w:color="000000"/>
              <w:right w:val="single" w:sz="8" w:space="0" w:color="000000"/>
            </w:tcBorders>
            <w:vAlign w:val="center"/>
          </w:tcPr>
          <w:p w:rsidR="00E8309B" w:rsidRDefault="009D0949">
            <w:pPr>
              <w:spacing w:after="0" w:line="259" w:lineRule="auto"/>
              <w:ind w:left="182" w:right="0" w:firstLine="0"/>
              <w:jc w:val="left"/>
            </w:pPr>
            <w:r>
              <w:rPr>
                <w:sz w:val="20"/>
              </w:rPr>
              <w:t xml:space="preserve">ИПА фондови </w:t>
            </w:r>
          </w:p>
        </w:tc>
        <w:tc>
          <w:tcPr>
            <w:tcW w:w="1481"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0" w:firstLine="0"/>
              <w:jc w:val="center"/>
            </w:pPr>
            <w:r>
              <w:rPr>
                <w:sz w:val="20"/>
              </w:rPr>
              <w:t xml:space="preserve">Друга бесповратна средства  </w:t>
            </w:r>
          </w:p>
        </w:tc>
        <w:tc>
          <w:tcPr>
            <w:tcW w:w="1549" w:type="dxa"/>
            <w:tcBorders>
              <w:top w:val="single" w:sz="8" w:space="0" w:color="000000"/>
              <w:left w:val="single" w:sz="8" w:space="0" w:color="000000"/>
              <w:bottom w:val="single" w:sz="8" w:space="0" w:color="000000"/>
              <w:right w:val="nil"/>
            </w:tcBorders>
            <w:vAlign w:val="center"/>
          </w:tcPr>
          <w:p w:rsidR="00E8309B" w:rsidRDefault="009D0949">
            <w:pPr>
              <w:spacing w:after="0" w:line="259" w:lineRule="auto"/>
              <w:ind w:left="91" w:right="0" w:firstLine="0"/>
              <w:jc w:val="center"/>
            </w:pPr>
            <w:r>
              <w:rPr>
                <w:sz w:val="20"/>
              </w:rPr>
              <w:t xml:space="preserve">Пројектни кредити  </w:t>
            </w:r>
          </w:p>
        </w:tc>
        <w:tc>
          <w:tcPr>
            <w:tcW w:w="209" w:type="dxa"/>
            <w:tcBorders>
              <w:top w:val="single" w:sz="8" w:space="0" w:color="000000"/>
              <w:left w:val="nil"/>
              <w:bottom w:val="single" w:sz="8" w:space="0" w:color="000000"/>
              <w:right w:val="single" w:sz="8" w:space="0" w:color="000000"/>
            </w:tcBorders>
          </w:tcPr>
          <w:p w:rsidR="00E8309B" w:rsidRDefault="00E8309B">
            <w:pPr>
              <w:spacing w:after="160" w:line="259" w:lineRule="auto"/>
              <w:ind w:left="0" w:right="0" w:firstLine="0"/>
              <w:jc w:val="left"/>
            </w:pPr>
          </w:p>
        </w:tc>
        <w:tc>
          <w:tcPr>
            <w:tcW w:w="1481" w:type="dxa"/>
            <w:tcBorders>
              <w:top w:val="single" w:sz="8" w:space="0" w:color="000000"/>
              <w:left w:val="single" w:sz="8" w:space="0" w:color="000000"/>
              <w:bottom w:val="single" w:sz="8" w:space="0" w:color="000000"/>
              <w:right w:val="single" w:sz="8" w:space="0" w:color="000000"/>
            </w:tcBorders>
            <w:vAlign w:val="center"/>
          </w:tcPr>
          <w:p w:rsidR="00E8309B" w:rsidRDefault="009D0949">
            <w:pPr>
              <w:spacing w:after="0" w:line="259" w:lineRule="auto"/>
              <w:ind w:left="118" w:right="17" w:firstLine="0"/>
              <w:jc w:val="center"/>
            </w:pPr>
            <w:r>
              <w:rPr>
                <w:sz w:val="20"/>
              </w:rPr>
              <w:t xml:space="preserve">Тек треба да се утврди </w:t>
            </w:r>
          </w:p>
        </w:tc>
        <w:tc>
          <w:tcPr>
            <w:tcW w:w="1752" w:type="dxa"/>
            <w:tcBorders>
              <w:top w:val="single" w:sz="8" w:space="0" w:color="000000"/>
              <w:left w:val="single" w:sz="8" w:space="0" w:color="000000"/>
              <w:bottom w:val="single" w:sz="8" w:space="0" w:color="000000"/>
              <w:right w:val="single" w:sz="8" w:space="0" w:color="000000"/>
            </w:tcBorders>
            <w:vAlign w:val="center"/>
          </w:tcPr>
          <w:p w:rsidR="00E8309B" w:rsidRDefault="009D0949">
            <w:pPr>
              <w:spacing w:after="0" w:line="259" w:lineRule="auto"/>
              <w:ind w:left="54" w:right="0" w:firstLine="0"/>
              <w:jc w:val="center"/>
            </w:pPr>
            <w:r>
              <w:rPr>
                <w:sz w:val="20"/>
              </w:rPr>
              <w:t xml:space="preserve">Укупно </w:t>
            </w:r>
          </w:p>
        </w:tc>
      </w:tr>
      <w:tr w:rsidR="00E8309B">
        <w:trPr>
          <w:trHeight w:val="336"/>
        </w:trPr>
        <w:tc>
          <w:tcPr>
            <w:tcW w:w="1210"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52" w:right="0" w:firstLine="0"/>
              <w:jc w:val="center"/>
            </w:pPr>
            <w:r>
              <w:rPr>
                <w:sz w:val="20"/>
              </w:rPr>
              <w:t xml:space="preserve">2021 </w:t>
            </w:r>
          </w:p>
        </w:tc>
        <w:tc>
          <w:tcPr>
            <w:tcW w:w="1658"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4" w:firstLine="0"/>
              <w:jc w:val="right"/>
            </w:pPr>
            <w:r>
              <w:rPr>
                <w:sz w:val="20"/>
              </w:rPr>
              <w:t xml:space="preserve">12.041.675,00 </w:t>
            </w:r>
          </w:p>
        </w:tc>
        <w:tc>
          <w:tcPr>
            <w:tcW w:w="1532"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8" w:firstLine="0"/>
              <w:jc w:val="right"/>
            </w:pPr>
            <w:r>
              <w:rPr>
                <w:sz w:val="20"/>
              </w:rPr>
              <w:t xml:space="preserve">0 </w:t>
            </w:r>
          </w:p>
        </w:tc>
        <w:tc>
          <w:tcPr>
            <w:tcW w:w="1889"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6" w:firstLine="0"/>
              <w:jc w:val="right"/>
            </w:pPr>
            <w:r>
              <w:rPr>
                <w:sz w:val="20"/>
              </w:rPr>
              <w:t xml:space="preserve">0 </w:t>
            </w:r>
          </w:p>
        </w:tc>
        <w:tc>
          <w:tcPr>
            <w:tcW w:w="1592"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6" w:firstLine="0"/>
              <w:jc w:val="right"/>
            </w:pPr>
            <w:r>
              <w:rPr>
                <w:sz w:val="20"/>
              </w:rPr>
              <w:t xml:space="preserve">0 </w:t>
            </w:r>
          </w:p>
        </w:tc>
        <w:tc>
          <w:tcPr>
            <w:tcW w:w="1481"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6" w:firstLine="0"/>
              <w:jc w:val="right"/>
            </w:pPr>
            <w:r>
              <w:rPr>
                <w:sz w:val="20"/>
              </w:rPr>
              <w:t xml:space="preserve">0 </w:t>
            </w:r>
          </w:p>
        </w:tc>
        <w:tc>
          <w:tcPr>
            <w:tcW w:w="1549" w:type="dxa"/>
            <w:tcBorders>
              <w:top w:val="single" w:sz="8" w:space="0" w:color="000000"/>
              <w:left w:val="single" w:sz="8" w:space="0" w:color="000000"/>
              <w:bottom w:val="single" w:sz="8" w:space="0" w:color="000000"/>
              <w:right w:val="nil"/>
            </w:tcBorders>
          </w:tcPr>
          <w:p w:rsidR="00E8309B" w:rsidRDefault="00E8309B">
            <w:pPr>
              <w:spacing w:after="160" w:line="259" w:lineRule="auto"/>
              <w:ind w:left="0" w:right="0" w:firstLine="0"/>
              <w:jc w:val="left"/>
            </w:pPr>
          </w:p>
        </w:tc>
        <w:tc>
          <w:tcPr>
            <w:tcW w:w="209" w:type="dxa"/>
            <w:tcBorders>
              <w:top w:val="single" w:sz="8" w:space="0" w:color="000000"/>
              <w:left w:val="nil"/>
              <w:bottom w:val="single" w:sz="8" w:space="0" w:color="000000"/>
              <w:right w:val="single" w:sz="8" w:space="0" w:color="000000"/>
            </w:tcBorders>
          </w:tcPr>
          <w:p w:rsidR="00E8309B" w:rsidRDefault="009D0949">
            <w:pPr>
              <w:spacing w:after="0" w:line="259" w:lineRule="auto"/>
              <w:ind w:left="0" w:right="0" w:firstLine="0"/>
            </w:pPr>
            <w:r>
              <w:rPr>
                <w:sz w:val="20"/>
              </w:rPr>
              <w:t xml:space="preserve">0 </w:t>
            </w:r>
          </w:p>
        </w:tc>
        <w:tc>
          <w:tcPr>
            <w:tcW w:w="1481"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6" w:firstLine="0"/>
              <w:jc w:val="right"/>
            </w:pPr>
            <w:r>
              <w:rPr>
                <w:sz w:val="20"/>
              </w:rPr>
              <w:t xml:space="preserve">0 </w:t>
            </w:r>
          </w:p>
        </w:tc>
        <w:tc>
          <w:tcPr>
            <w:tcW w:w="1752"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49" w:firstLine="0"/>
              <w:jc w:val="right"/>
            </w:pPr>
            <w:r>
              <w:rPr>
                <w:sz w:val="20"/>
              </w:rPr>
              <w:t xml:space="preserve">12.041.675,00 </w:t>
            </w:r>
          </w:p>
        </w:tc>
      </w:tr>
      <w:tr w:rsidR="00E8309B">
        <w:trPr>
          <w:trHeight w:val="334"/>
        </w:trPr>
        <w:tc>
          <w:tcPr>
            <w:tcW w:w="1210"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52" w:right="0" w:firstLine="0"/>
              <w:jc w:val="center"/>
            </w:pPr>
            <w:r>
              <w:rPr>
                <w:sz w:val="20"/>
              </w:rPr>
              <w:t xml:space="preserve">2022 </w:t>
            </w:r>
          </w:p>
        </w:tc>
        <w:tc>
          <w:tcPr>
            <w:tcW w:w="1658"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4" w:firstLine="0"/>
              <w:jc w:val="right"/>
            </w:pPr>
            <w:r>
              <w:rPr>
                <w:sz w:val="20"/>
              </w:rPr>
              <w:t xml:space="preserve">24.833.341,00 </w:t>
            </w:r>
          </w:p>
        </w:tc>
        <w:tc>
          <w:tcPr>
            <w:tcW w:w="1532"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8" w:firstLine="0"/>
              <w:jc w:val="right"/>
            </w:pPr>
            <w:r>
              <w:rPr>
                <w:sz w:val="20"/>
              </w:rPr>
              <w:t xml:space="preserve">0 </w:t>
            </w:r>
          </w:p>
        </w:tc>
        <w:tc>
          <w:tcPr>
            <w:tcW w:w="1889"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6" w:firstLine="0"/>
              <w:jc w:val="right"/>
            </w:pPr>
            <w:r>
              <w:rPr>
                <w:sz w:val="20"/>
              </w:rPr>
              <w:t xml:space="preserve">0 </w:t>
            </w:r>
          </w:p>
        </w:tc>
        <w:tc>
          <w:tcPr>
            <w:tcW w:w="1592"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6" w:firstLine="0"/>
              <w:jc w:val="right"/>
            </w:pPr>
            <w:r>
              <w:rPr>
                <w:sz w:val="20"/>
              </w:rPr>
              <w:t xml:space="preserve">0 </w:t>
            </w:r>
          </w:p>
        </w:tc>
        <w:tc>
          <w:tcPr>
            <w:tcW w:w="1481"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6" w:firstLine="0"/>
              <w:jc w:val="right"/>
            </w:pPr>
            <w:r>
              <w:rPr>
                <w:sz w:val="20"/>
              </w:rPr>
              <w:t xml:space="preserve">0 </w:t>
            </w:r>
          </w:p>
        </w:tc>
        <w:tc>
          <w:tcPr>
            <w:tcW w:w="1549" w:type="dxa"/>
            <w:tcBorders>
              <w:top w:val="single" w:sz="8" w:space="0" w:color="000000"/>
              <w:left w:val="single" w:sz="8" w:space="0" w:color="000000"/>
              <w:bottom w:val="single" w:sz="8" w:space="0" w:color="000000"/>
              <w:right w:val="nil"/>
            </w:tcBorders>
          </w:tcPr>
          <w:p w:rsidR="00E8309B" w:rsidRDefault="00E8309B">
            <w:pPr>
              <w:spacing w:after="160" w:line="259" w:lineRule="auto"/>
              <w:ind w:left="0" w:right="0" w:firstLine="0"/>
              <w:jc w:val="left"/>
            </w:pPr>
          </w:p>
        </w:tc>
        <w:tc>
          <w:tcPr>
            <w:tcW w:w="209" w:type="dxa"/>
            <w:tcBorders>
              <w:top w:val="single" w:sz="8" w:space="0" w:color="000000"/>
              <w:left w:val="nil"/>
              <w:bottom w:val="single" w:sz="8" w:space="0" w:color="000000"/>
              <w:right w:val="single" w:sz="8" w:space="0" w:color="000000"/>
            </w:tcBorders>
          </w:tcPr>
          <w:p w:rsidR="00E8309B" w:rsidRDefault="009D0949">
            <w:pPr>
              <w:spacing w:after="0" w:line="259" w:lineRule="auto"/>
              <w:ind w:left="0" w:right="0" w:firstLine="0"/>
            </w:pPr>
            <w:r>
              <w:rPr>
                <w:sz w:val="20"/>
              </w:rPr>
              <w:t xml:space="preserve">0 </w:t>
            </w:r>
          </w:p>
        </w:tc>
        <w:tc>
          <w:tcPr>
            <w:tcW w:w="1481"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6" w:firstLine="0"/>
              <w:jc w:val="right"/>
            </w:pPr>
            <w:r>
              <w:rPr>
                <w:sz w:val="20"/>
              </w:rPr>
              <w:t xml:space="preserve">0 </w:t>
            </w:r>
          </w:p>
        </w:tc>
        <w:tc>
          <w:tcPr>
            <w:tcW w:w="1752"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49" w:firstLine="0"/>
              <w:jc w:val="right"/>
            </w:pPr>
            <w:r>
              <w:rPr>
                <w:sz w:val="20"/>
              </w:rPr>
              <w:t xml:space="preserve">24.833.341,00 </w:t>
            </w:r>
          </w:p>
        </w:tc>
      </w:tr>
      <w:tr w:rsidR="00E8309B">
        <w:trPr>
          <w:trHeight w:val="336"/>
        </w:trPr>
        <w:tc>
          <w:tcPr>
            <w:tcW w:w="1210"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52" w:right="0" w:firstLine="0"/>
              <w:jc w:val="center"/>
            </w:pPr>
            <w:r>
              <w:rPr>
                <w:sz w:val="20"/>
              </w:rPr>
              <w:t xml:space="preserve">2023 </w:t>
            </w:r>
          </w:p>
        </w:tc>
        <w:tc>
          <w:tcPr>
            <w:tcW w:w="1658"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4" w:firstLine="0"/>
              <w:jc w:val="right"/>
            </w:pPr>
            <w:r>
              <w:rPr>
                <w:sz w:val="20"/>
              </w:rPr>
              <w:t xml:space="preserve">18.750.008,00 </w:t>
            </w:r>
          </w:p>
        </w:tc>
        <w:tc>
          <w:tcPr>
            <w:tcW w:w="1532"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8" w:firstLine="0"/>
              <w:jc w:val="right"/>
            </w:pPr>
            <w:r>
              <w:rPr>
                <w:sz w:val="20"/>
              </w:rPr>
              <w:t xml:space="preserve">0 </w:t>
            </w:r>
          </w:p>
        </w:tc>
        <w:tc>
          <w:tcPr>
            <w:tcW w:w="1889"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6" w:firstLine="0"/>
              <w:jc w:val="right"/>
            </w:pPr>
            <w:r>
              <w:rPr>
                <w:sz w:val="20"/>
              </w:rPr>
              <w:t xml:space="preserve">0 </w:t>
            </w:r>
          </w:p>
        </w:tc>
        <w:tc>
          <w:tcPr>
            <w:tcW w:w="1592"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6" w:firstLine="0"/>
              <w:jc w:val="right"/>
            </w:pPr>
            <w:r>
              <w:rPr>
                <w:sz w:val="20"/>
              </w:rPr>
              <w:t xml:space="preserve">0 </w:t>
            </w:r>
          </w:p>
        </w:tc>
        <w:tc>
          <w:tcPr>
            <w:tcW w:w="1481"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6" w:firstLine="0"/>
              <w:jc w:val="right"/>
            </w:pPr>
            <w:r>
              <w:rPr>
                <w:sz w:val="20"/>
              </w:rPr>
              <w:t xml:space="preserve">0 </w:t>
            </w:r>
          </w:p>
        </w:tc>
        <w:tc>
          <w:tcPr>
            <w:tcW w:w="1549" w:type="dxa"/>
            <w:tcBorders>
              <w:top w:val="single" w:sz="8" w:space="0" w:color="000000"/>
              <w:left w:val="single" w:sz="8" w:space="0" w:color="000000"/>
              <w:bottom w:val="single" w:sz="8" w:space="0" w:color="000000"/>
              <w:right w:val="nil"/>
            </w:tcBorders>
          </w:tcPr>
          <w:p w:rsidR="00E8309B" w:rsidRDefault="00E8309B">
            <w:pPr>
              <w:spacing w:after="160" w:line="259" w:lineRule="auto"/>
              <w:ind w:left="0" w:right="0" w:firstLine="0"/>
              <w:jc w:val="left"/>
            </w:pPr>
          </w:p>
        </w:tc>
        <w:tc>
          <w:tcPr>
            <w:tcW w:w="209" w:type="dxa"/>
            <w:tcBorders>
              <w:top w:val="single" w:sz="8" w:space="0" w:color="000000"/>
              <w:left w:val="nil"/>
              <w:bottom w:val="single" w:sz="8" w:space="0" w:color="000000"/>
              <w:right w:val="single" w:sz="8" w:space="0" w:color="000000"/>
            </w:tcBorders>
          </w:tcPr>
          <w:p w:rsidR="00E8309B" w:rsidRDefault="009D0949">
            <w:pPr>
              <w:spacing w:after="0" w:line="259" w:lineRule="auto"/>
              <w:ind w:left="0" w:right="0" w:firstLine="0"/>
            </w:pPr>
            <w:r>
              <w:rPr>
                <w:sz w:val="20"/>
              </w:rPr>
              <w:t xml:space="preserve">0 </w:t>
            </w:r>
          </w:p>
        </w:tc>
        <w:tc>
          <w:tcPr>
            <w:tcW w:w="1481"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6" w:firstLine="0"/>
              <w:jc w:val="right"/>
            </w:pPr>
            <w:r>
              <w:rPr>
                <w:sz w:val="20"/>
              </w:rPr>
              <w:t xml:space="preserve">0 </w:t>
            </w:r>
          </w:p>
        </w:tc>
        <w:tc>
          <w:tcPr>
            <w:tcW w:w="1752"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49" w:firstLine="0"/>
              <w:jc w:val="right"/>
            </w:pPr>
            <w:r>
              <w:rPr>
                <w:sz w:val="20"/>
              </w:rPr>
              <w:t xml:space="preserve">18.750.008,00 </w:t>
            </w:r>
          </w:p>
        </w:tc>
      </w:tr>
    </w:tbl>
    <w:p w:rsidR="00E8309B" w:rsidRDefault="00E8309B">
      <w:pPr>
        <w:spacing w:after="0" w:line="259" w:lineRule="auto"/>
        <w:ind w:left="-1138" w:right="10666" w:firstLine="0"/>
        <w:jc w:val="left"/>
      </w:pPr>
    </w:p>
    <w:tbl>
      <w:tblPr>
        <w:tblStyle w:val="TableGrid"/>
        <w:tblW w:w="14352" w:type="dxa"/>
        <w:tblInd w:w="12" w:type="dxa"/>
        <w:tblCellMar>
          <w:top w:w="54" w:type="dxa"/>
          <w:left w:w="106" w:type="dxa"/>
          <w:bottom w:w="7" w:type="dxa"/>
          <w:right w:w="53" w:type="dxa"/>
        </w:tblCellMar>
        <w:tblLook w:val="04A0" w:firstRow="1" w:lastRow="0" w:firstColumn="1" w:lastColumn="0" w:noHBand="0" w:noVBand="1"/>
      </w:tblPr>
      <w:tblGrid>
        <w:gridCol w:w="1210"/>
        <w:gridCol w:w="1658"/>
        <w:gridCol w:w="1532"/>
        <w:gridCol w:w="1889"/>
        <w:gridCol w:w="1592"/>
        <w:gridCol w:w="1481"/>
        <w:gridCol w:w="1757"/>
        <w:gridCol w:w="1481"/>
        <w:gridCol w:w="1752"/>
      </w:tblGrid>
      <w:tr w:rsidR="00E8309B">
        <w:trPr>
          <w:trHeight w:val="475"/>
        </w:trPr>
        <w:tc>
          <w:tcPr>
            <w:tcW w:w="14352" w:type="dxa"/>
            <w:gridSpan w:val="9"/>
            <w:tcBorders>
              <w:top w:val="single" w:sz="8" w:space="0" w:color="D0CECE"/>
              <w:left w:val="single" w:sz="8" w:space="0" w:color="000000"/>
              <w:bottom w:val="single" w:sz="8" w:space="0" w:color="000000"/>
              <w:right w:val="single" w:sz="8" w:space="0" w:color="000000"/>
            </w:tcBorders>
            <w:shd w:val="clear" w:color="auto" w:fill="D0CECE"/>
          </w:tcPr>
          <w:p w:rsidR="00E8309B" w:rsidRDefault="009D0949">
            <w:pPr>
              <w:spacing w:after="14" w:line="259" w:lineRule="auto"/>
              <w:ind w:left="0" w:right="0" w:firstLine="0"/>
              <w:jc w:val="left"/>
            </w:pPr>
            <w:r>
              <w:rPr>
                <w:b/>
                <w:sz w:val="20"/>
              </w:rPr>
              <w:t xml:space="preserve">17. Развој и унапређење националне информационо-комуникационе </w:t>
            </w:r>
          </w:p>
          <w:p w:rsidR="00E8309B" w:rsidRDefault="009D0949">
            <w:pPr>
              <w:tabs>
                <w:tab w:val="center" w:pos="747"/>
                <w:tab w:val="center" w:pos="7883"/>
                <w:tab w:val="center" w:pos="9364"/>
                <w:tab w:val="center" w:pos="11121"/>
                <w:tab w:val="center" w:pos="12602"/>
              </w:tabs>
              <w:spacing w:after="0" w:line="259" w:lineRule="auto"/>
              <w:ind w:left="0" w:right="0" w:firstLine="0"/>
              <w:jc w:val="left"/>
            </w:pPr>
            <w:r>
              <w:rPr>
                <w:rFonts w:ascii="Calibri" w:eastAsia="Calibri" w:hAnsi="Calibri" w:cs="Calibri"/>
                <w:sz w:val="22"/>
              </w:rPr>
              <w:tab/>
            </w:r>
            <w:r>
              <w:rPr>
                <w:b/>
                <w:sz w:val="20"/>
              </w:rPr>
              <w:t xml:space="preserve">инфраструктуре  </w:t>
            </w:r>
            <w:r>
              <w:rPr>
                <w:b/>
                <w:sz w:val="20"/>
              </w:rPr>
              <w:tab/>
              <w:t xml:space="preserve">  </w:t>
            </w:r>
            <w:r>
              <w:rPr>
                <w:b/>
                <w:sz w:val="20"/>
              </w:rPr>
              <w:tab/>
              <w:t xml:space="preserve">  </w:t>
            </w:r>
            <w:r>
              <w:rPr>
                <w:b/>
                <w:sz w:val="20"/>
              </w:rPr>
              <w:tab/>
              <w:t xml:space="preserve">  </w:t>
            </w:r>
            <w:r>
              <w:rPr>
                <w:b/>
                <w:sz w:val="20"/>
              </w:rPr>
              <w:tab/>
              <w:t xml:space="preserve">  </w:t>
            </w:r>
          </w:p>
        </w:tc>
      </w:tr>
      <w:tr w:rsidR="00E8309B">
        <w:trPr>
          <w:trHeight w:val="713"/>
        </w:trPr>
        <w:tc>
          <w:tcPr>
            <w:tcW w:w="1210" w:type="dxa"/>
            <w:tcBorders>
              <w:top w:val="single" w:sz="8" w:space="0" w:color="000000"/>
              <w:left w:val="single" w:sz="8" w:space="0" w:color="000000"/>
              <w:bottom w:val="single" w:sz="8" w:space="0" w:color="000000"/>
              <w:right w:val="single" w:sz="8" w:space="0" w:color="000000"/>
            </w:tcBorders>
            <w:vAlign w:val="bottom"/>
          </w:tcPr>
          <w:p w:rsidR="00E8309B" w:rsidRDefault="009D0949">
            <w:pPr>
              <w:spacing w:after="0" w:line="259" w:lineRule="auto"/>
              <w:ind w:left="0" w:right="56" w:firstLine="0"/>
              <w:jc w:val="center"/>
            </w:pPr>
            <w:r>
              <w:rPr>
                <w:b/>
                <w:sz w:val="20"/>
              </w:rPr>
              <w:t>Година</w:t>
            </w:r>
            <w:r>
              <w:rPr>
                <w:sz w:val="20"/>
              </w:rPr>
              <w:t xml:space="preserve">  </w:t>
            </w:r>
          </w:p>
        </w:tc>
        <w:tc>
          <w:tcPr>
            <w:tcW w:w="1658"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0" w:firstLine="18"/>
              <w:jc w:val="center"/>
            </w:pPr>
            <w:r>
              <w:rPr>
                <w:sz w:val="20"/>
              </w:rPr>
              <w:t xml:space="preserve">Буџет централног нивоа државе </w:t>
            </w:r>
          </w:p>
        </w:tc>
        <w:tc>
          <w:tcPr>
            <w:tcW w:w="1532" w:type="dxa"/>
            <w:tcBorders>
              <w:top w:val="single" w:sz="8" w:space="0" w:color="000000"/>
              <w:left w:val="single" w:sz="8" w:space="0" w:color="000000"/>
              <w:bottom w:val="single" w:sz="8" w:space="0" w:color="000000"/>
              <w:right w:val="single" w:sz="8" w:space="0" w:color="000000"/>
            </w:tcBorders>
            <w:vAlign w:val="center"/>
          </w:tcPr>
          <w:p w:rsidR="00E8309B" w:rsidRDefault="009D0949">
            <w:pPr>
              <w:spacing w:after="0" w:line="259" w:lineRule="auto"/>
              <w:ind w:left="0" w:right="3" w:firstLine="0"/>
              <w:jc w:val="center"/>
            </w:pPr>
            <w:r>
              <w:rPr>
                <w:sz w:val="20"/>
              </w:rPr>
              <w:t xml:space="preserve">Локални буџети </w:t>
            </w:r>
          </w:p>
        </w:tc>
        <w:tc>
          <w:tcPr>
            <w:tcW w:w="1889"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0" w:firstLine="0"/>
              <w:jc w:val="center"/>
            </w:pPr>
            <w:r>
              <w:rPr>
                <w:sz w:val="20"/>
              </w:rPr>
              <w:t xml:space="preserve">Други домаћи извори јавних финансија </w:t>
            </w:r>
          </w:p>
        </w:tc>
        <w:tc>
          <w:tcPr>
            <w:tcW w:w="1592" w:type="dxa"/>
            <w:tcBorders>
              <w:top w:val="single" w:sz="8" w:space="0" w:color="000000"/>
              <w:left w:val="single" w:sz="8" w:space="0" w:color="000000"/>
              <w:bottom w:val="single" w:sz="8" w:space="0" w:color="000000"/>
              <w:right w:val="single" w:sz="8" w:space="0" w:color="000000"/>
            </w:tcBorders>
            <w:vAlign w:val="center"/>
          </w:tcPr>
          <w:p w:rsidR="00E8309B" w:rsidRDefault="009D0949">
            <w:pPr>
              <w:spacing w:after="0" w:line="259" w:lineRule="auto"/>
              <w:ind w:left="77" w:right="0" w:firstLine="0"/>
              <w:jc w:val="left"/>
            </w:pPr>
            <w:r>
              <w:rPr>
                <w:sz w:val="20"/>
              </w:rPr>
              <w:t xml:space="preserve">ИПА фондови </w:t>
            </w:r>
          </w:p>
        </w:tc>
        <w:tc>
          <w:tcPr>
            <w:tcW w:w="1481"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0" w:firstLine="0"/>
              <w:jc w:val="center"/>
            </w:pPr>
            <w:r>
              <w:rPr>
                <w:sz w:val="20"/>
              </w:rPr>
              <w:t xml:space="preserve">Друга бесповратна средства  </w:t>
            </w:r>
          </w:p>
        </w:tc>
        <w:tc>
          <w:tcPr>
            <w:tcW w:w="1757" w:type="dxa"/>
            <w:tcBorders>
              <w:top w:val="single" w:sz="8" w:space="0" w:color="000000"/>
              <w:left w:val="single" w:sz="8" w:space="0" w:color="000000"/>
              <w:bottom w:val="single" w:sz="8" w:space="0" w:color="000000"/>
              <w:right w:val="single" w:sz="8" w:space="0" w:color="000000"/>
            </w:tcBorders>
            <w:vAlign w:val="center"/>
          </w:tcPr>
          <w:p w:rsidR="00E8309B" w:rsidRDefault="009D0949">
            <w:pPr>
              <w:spacing w:after="0" w:line="259" w:lineRule="auto"/>
              <w:ind w:left="0" w:right="0" w:firstLine="0"/>
              <w:jc w:val="center"/>
            </w:pPr>
            <w:r>
              <w:rPr>
                <w:sz w:val="20"/>
              </w:rPr>
              <w:t xml:space="preserve">Пројкетни кредити  </w:t>
            </w:r>
          </w:p>
        </w:tc>
        <w:tc>
          <w:tcPr>
            <w:tcW w:w="1481" w:type="dxa"/>
            <w:tcBorders>
              <w:top w:val="single" w:sz="8" w:space="0" w:color="000000"/>
              <w:left w:val="single" w:sz="8" w:space="0" w:color="000000"/>
              <w:bottom w:val="single" w:sz="8" w:space="0" w:color="000000"/>
              <w:right w:val="single" w:sz="8" w:space="0" w:color="000000"/>
            </w:tcBorders>
            <w:vAlign w:val="center"/>
          </w:tcPr>
          <w:p w:rsidR="00E8309B" w:rsidRDefault="009D0949">
            <w:pPr>
              <w:spacing w:after="0" w:line="259" w:lineRule="auto"/>
              <w:ind w:left="12" w:right="17" w:firstLine="0"/>
              <w:jc w:val="center"/>
            </w:pPr>
            <w:r>
              <w:rPr>
                <w:sz w:val="20"/>
              </w:rPr>
              <w:t xml:space="preserve">Тек треба да се утврди </w:t>
            </w:r>
          </w:p>
        </w:tc>
        <w:tc>
          <w:tcPr>
            <w:tcW w:w="1752" w:type="dxa"/>
            <w:tcBorders>
              <w:top w:val="single" w:sz="8" w:space="0" w:color="000000"/>
              <w:left w:val="single" w:sz="8" w:space="0" w:color="000000"/>
              <w:bottom w:val="single" w:sz="8" w:space="0" w:color="000000"/>
              <w:right w:val="single" w:sz="8" w:space="0" w:color="000000"/>
            </w:tcBorders>
            <w:vAlign w:val="center"/>
          </w:tcPr>
          <w:p w:rsidR="00E8309B" w:rsidRDefault="009D0949">
            <w:pPr>
              <w:spacing w:after="0" w:line="259" w:lineRule="auto"/>
              <w:ind w:left="0" w:right="52" w:firstLine="0"/>
              <w:jc w:val="center"/>
            </w:pPr>
            <w:r>
              <w:rPr>
                <w:sz w:val="20"/>
              </w:rPr>
              <w:t xml:space="preserve">Укупно </w:t>
            </w:r>
          </w:p>
        </w:tc>
      </w:tr>
      <w:tr w:rsidR="00E8309B">
        <w:trPr>
          <w:trHeight w:val="336"/>
        </w:trPr>
        <w:tc>
          <w:tcPr>
            <w:tcW w:w="1210"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4" w:firstLine="0"/>
              <w:jc w:val="center"/>
            </w:pPr>
            <w:r>
              <w:rPr>
                <w:sz w:val="20"/>
              </w:rPr>
              <w:t xml:space="preserve">2021 </w:t>
            </w:r>
          </w:p>
        </w:tc>
        <w:tc>
          <w:tcPr>
            <w:tcW w:w="1658"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5" w:firstLine="0"/>
              <w:jc w:val="right"/>
            </w:pPr>
            <w:r>
              <w:rPr>
                <w:sz w:val="20"/>
              </w:rPr>
              <w:t xml:space="preserve">1.925.000,00 </w:t>
            </w:r>
          </w:p>
        </w:tc>
        <w:tc>
          <w:tcPr>
            <w:tcW w:w="1532"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8" w:firstLine="0"/>
              <w:jc w:val="right"/>
            </w:pPr>
            <w:r>
              <w:rPr>
                <w:sz w:val="20"/>
              </w:rPr>
              <w:t xml:space="preserve">0 </w:t>
            </w:r>
          </w:p>
        </w:tc>
        <w:tc>
          <w:tcPr>
            <w:tcW w:w="1889"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6" w:firstLine="0"/>
              <w:jc w:val="right"/>
            </w:pPr>
            <w:r>
              <w:rPr>
                <w:sz w:val="20"/>
              </w:rPr>
              <w:t xml:space="preserve">0 </w:t>
            </w:r>
          </w:p>
        </w:tc>
        <w:tc>
          <w:tcPr>
            <w:tcW w:w="1592"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6" w:firstLine="0"/>
              <w:jc w:val="right"/>
            </w:pPr>
            <w:r>
              <w:rPr>
                <w:sz w:val="20"/>
              </w:rPr>
              <w:t xml:space="preserve">0 </w:t>
            </w:r>
          </w:p>
        </w:tc>
        <w:tc>
          <w:tcPr>
            <w:tcW w:w="1481"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5" w:firstLine="0"/>
              <w:jc w:val="right"/>
            </w:pPr>
            <w:r>
              <w:rPr>
                <w:sz w:val="20"/>
              </w:rPr>
              <w:t xml:space="preserve">1.700.000,00 </w:t>
            </w:r>
          </w:p>
        </w:tc>
        <w:tc>
          <w:tcPr>
            <w:tcW w:w="1757"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6" w:firstLine="0"/>
              <w:jc w:val="right"/>
            </w:pPr>
            <w:r>
              <w:rPr>
                <w:sz w:val="20"/>
              </w:rPr>
              <w:t xml:space="preserve">29.600.000,00 </w:t>
            </w:r>
          </w:p>
        </w:tc>
        <w:tc>
          <w:tcPr>
            <w:tcW w:w="1481"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6" w:firstLine="0"/>
              <w:jc w:val="right"/>
            </w:pPr>
            <w:r>
              <w:rPr>
                <w:sz w:val="20"/>
              </w:rPr>
              <w:t xml:space="preserve">0 </w:t>
            </w:r>
          </w:p>
        </w:tc>
        <w:tc>
          <w:tcPr>
            <w:tcW w:w="1752"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1" w:firstLine="0"/>
              <w:jc w:val="right"/>
            </w:pPr>
            <w:r>
              <w:rPr>
                <w:sz w:val="20"/>
              </w:rPr>
              <w:t xml:space="preserve">33.225.000,00 </w:t>
            </w:r>
          </w:p>
        </w:tc>
      </w:tr>
      <w:tr w:rsidR="00E8309B">
        <w:trPr>
          <w:trHeight w:val="334"/>
        </w:trPr>
        <w:tc>
          <w:tcPr>
            <w:tcW w:w="1210"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4" w:firstLine="0"/>
              <w:jc w:val="center"/>
            </w:pPr>
            <w:r>
              <w:rPr>
                <w:sz w:val="20"/>
              </w:rPr>
              <w:t xml:space="preserve">2022 </w:t>
            </w:r>
          </w:p>
        </w:tc>
        <w:tc>
          <w:tcPr>
            <w:tcW w:w="1658"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4" w:firstLine="0"/>
              <w:jc w:val="right"/>
            </w:pPr>
            <w:r>
              <w:rPr>
                <w:sz w:val="20"/>
              </w:rPr>
              <w:t xml:space="preserve">1.925.000,00 </w:t>
            </w:r>
          </w:p>
        </w:tc>
        <w:tc>
          <w:tcPr>
            <w:tcW w:w="1532"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8" w:firstLine="0"/>
              <w:jc w:val="right"/>
            </w:pPr>
            <w:r>
              <w:rPr>
                <w:sz w:val="20"/>
              </w:rPr>
              <w:t xml:space="preserve">0 </w:t>
            </w:r>
          </w:p>
        </w:tc>
        <w:tc>
          <w:tcPr>
            <w:tcW w:w="1889"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6" w:firstLine="0"/>
              <w:jc w:val="right"/>
            </w:pPr>
            <w:r>
              <w:rPr>
                <w:sz w:val="20"/>
              </w:rPr>
              <w:t xml:space="preserve">0 </w:t>
            </w:r>
          </w:p>
        </w:tc>
        <w:tc>
          <w:tcPr>
            <w:tcW w:w="1592"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6" w:firstLine="0"/>
              <w:jc w:val="right"/>
            </w:pPr>
            <w:r>
              <w:rPr>
                <w:sz w:val="20"/>
              </w:rPr>
              <w:t xml:space="preserve">0 </w:t>
            </w:r>
          </w:p>
        </w:tc>
        <w:tc>
          <w:tcPr>
            <w:tcW w:w="1481"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6" w:firstLine="0"/>
              <w:jc w:val="right"/>
            </w:pPr>
            <w:r>
              <w:rPr>
                <w:sz w:val="20"/>
              </w:rPr>
              <w:t xml:space="preserve">0 </w:t>
            </w:r>
          </w:p>
        </w:tc>
        <w:tc>
          <w:tcPr>
            <w:tcW w:w="1757"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6" w:firstLine="0"/>
              <w:jc w:val="right"/>
            </w:pPr>
            <w:r>
              <w:rPr>
                <w:sz w:val="20"/>
              </w:rPr>
              <w:t xml:space="preserve">16.400.000,00 </w:t>
            </w:r>
          </w:p>
        </w:tc>
        <w:tc>
          <w:tcPr>
            <w:tcW w:w="1481"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5" w:firstLine="0"/>
              <w:jc w:val="right"/>
            </w:pPr>
            <w:r>
              <w:rPr>
                <w:sz w:val="20"/>
              </w:rPr>
              <w:t xml:space="preserve">2.700.000,00 </w:t>
            </w:r>
          </w:p>
        </w:tc>
        <w:tc>
          <w:tcPr>
            <w:tcW w:w="1752"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0" w:firstLine="0"/>
              <w:jc w:val="right"/>
            </w:pPr>
            <w:r>
              <w:rPr>
                <w:sz w:val="20"/>
              </w:rPr>
              <w:t xml:space="preserve">21.025.000,00 </w:t>
            </w:r>
          </w:p>
        </w:tc>
      </w:tr>
      <w:tr w:rsidR="00E8309B">
        <w:trPr>
          <w:trHeight w:val="338"/>
        </w:trPr>
        <w:tc>
          <w:tcPr>
            <w:tcW w:w="1210"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4" w:firstLine="0"/>
              <w:jc w:val="center"/>
            </w:pPr>
            <w:r>
              <w:rPr>
                <w:sz w:val="20"/>
              </w:rPr>
              <w:t xml:space="preserve">2023 </w:t>
            </w:r>
          </w:p>
        </w:tc>
        <w:tc>
          <w:tcPr>
            <w:tcW w:w="1658"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4" w:firstLine="0"/>
              <w:jc w:val="right"/>
            </w:pPr>
            <w:r>
              <w:rPr>
                <w:sz w:val="20"/>
              </w:rPr>
              <w:t xml:space="preserve">1.925.000,00 </w:t>
            </w:r>
          </w:p>
        </w:tc>
        <w:tc>
          <w:tcPr>
            <w:tcW w:w="1532"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8" w:firstLine="0"/>
              <w:jc w:val="right"/>
            </w:pPr>
            <w:r>
              <w:rPr>
                <w:sz w:val="20"/>
              </w:rPr>
              <w:t xml:space="preserve">0 </w:t>
            </w:r>
          </w:p>
        </w:tc>
        <w:tc>
          <w:tcPr>
            <w:tcW w:w="1889"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6" w:firstLine="0"/>
              <w:jc w:val="right"/>
            </w:pPr>
            <w:r>
              <w:rPr>
                <w:sz w:val="20"/>
              </w:rPr>
              <w:t xml:space="preserve">0 </w:t>
            </w:r>
          </w:p>
        </w:tc>
        <w:tc>
          <w:tcPr>
            <w:tcW w:w="1592"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6" w:firstLine="0"/>
              <w:jc w:val="right"/>
            </w:pPr>
            <w:r>
              <w:rPr>
                <w:sz w:val="20"/>
              </w:rPr>
              <w:t xml:space="preserve">0 </w:t>
            </w:r>
          </w:p>
        </w:tc>
        <w:tc>
          <w:tcPr>
            <w:tcW w:w="1481"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6" w:firstLine="0"/>
              <w:jc w:val="right"/>
            </w:pPr>
            <w:r>
              <w:rPr>
                <w:sz w:val="20"/>
              </w:rPr>
              <w:t xml:space="preserve">0 </w:t>
            </w:r>
          </w:p>
        </w:tc>
        <w:tc>
          <w:tcPr>
            <w:tcW w:w="1757"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6" w:firstLine="0"/>
              <w:jc w:val="right"/>
            </w:pPr>
            <w:r>
              <w:rPr>
                <w:sz w:val="20"/>
              </w:rPr>
              <w:t xml:space="preserve">0 </w:t>
            </w:r>
          </w:p>
        </w:tc>
        <w:tc>
          <w:tcPr>
            <w:tcW w:w="1481"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5" w:firstLine="0"/>
              <w:jc w:val="right"/>
            </w:pPr>
            <w:r>
              <w:rPr>
                <w:sz w:val="20"/>
              </w:rPr>
              <w:t xml:space="preserve">54.000.000,00 </w:t>
            </w:r>
          </w:p>
        </w:tc>
        <w:tc>
          <w:tcPr>
            <w:tcW w:w="1752"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0" w:firstLine="0"/>
              <w:jc w:val="right"/>
            </w:pPr>
            <w:r>
              <w:rPr>
                <w:sz w:val="20"/>
              </w:rPr>
              <w:t xml:space="preserve">55.925.000,00 </w:t>
            </w:r>
          </w:p>
        </w:tc>
      </w:tr>
      <w:tr w:rsidR="00E8309B">
        <w:trPr>
          <w:trHeight w:val="476"/>
        </w:trPr>
        <w:tc>
          <w:tcPr>
            <w:tcW w:w="14352" w:type="dxa"/>
            <w:gridSpan w:val="9"/>
            <w:tcBorders>
              <w:top w:val="single" w:sz="8" w:space="0" w:color="000000"/>
              <w:left w:val="single" w:sz="8" w:space="0" w:color="000000"/>
              <w:bottom w:val="single" w:sz="8" w:space="0" w:color="000000"/>
              <w:right w:val="single" w:sz="8" w:space="0" w:color="000000"/>
            </w:tcBorders>
            <w:shd w:val="clear" w:color="auto" w:fill="D0CECE"/>
          </w:tcPr>
          <w:p w:rsidR="00E8309B" w:rsidRDefault="009D0949">
            <w:pPr>
              <w:spacing w:after="5" w:line="259" w:lineRule="auto"/>
              <w:ind w:left="0" w:right="0" w:firstLine="0"/>
              <w:jc w:val="left"/>
            </w:pPr>
            <w:r>
              <w:rPr>
                <w:b/>
                <w:sz w:val="20"/>
              </w:rPr>
              <w:t xml:space="preserve">18. Унапређење услова и уклањање препрека </w:t>
            </w:r>
          </w:p>
          <w:p w:rsidR="00E8309B" w:rsidRDefault="009D0949">
            <w:pPr>
              <w:tabs>
                <w:tab w:val="center" w:pos="428"/>
                <w:tab w:val="center" w:pos="4403"/>
                <w:tab w:val="center" w:pos="6291"/>
                <w:tab w:val="center" w:pos="7883"/>
                <w:tab w:val="center" w:pos="9364"/>
                <w:tab w:val="center" w:pos="11121"/>
                <w:tab w:val="center" w:pos="12602"/>
              </w:tabs>
              <w:spacing w:after="0" w:line="259" w:lineRule="auto"/>
              <w:ind w:left="0" w:right="0" w:firstLine="0"/>
              <w:jc w:val="left"/>
            </w:pPr>
            <w:r>
              <w:rPr>
                <w:rFonts w:ascii="Calibri" w:eastAsia="Calibri" w:hAnsi="Calibri" w:cs="Calibri"/>
                <w:sz w:val="22"/>
              </w:rPr>
              <w:tab/>
            </w:r>
            <w:r>
              <w:rPr>
                <w:b/>
                <w:sz w:val="20"/>
              </w:rPr>
              <w:t xml:space="preserve">трговини </w:t>
            </w:r>
            <w:r>
              <w:rPr>
                <w:b/>
                <w:sz w:val="20"/>
              </w:rPr>
              <w:tab/>
              <w:t xml:space="preserve">  </w:t>
            </w:r>
            <w:r>
              <w:rPr>
                <w:b/>
                <w:sz w:val="20"/>
              </w:rPr>
              <w:tab/>
              <w:t xml:space="preserve">  </w:t>
            </w:r>
            <w:r>
              <w:rPr>
                <w:b/>
                <w:sz w:val="20"/>
              </w:rPr>
              <w:tab/>
              <w:t xml:space="preserve">  </w:t>
            </w:r>
            <w:r>
              <w:rPr>
                <w:b/>
                <w:sz w:val="20"/>
              </w:rPr>
              <w:tab/>
              <w:t xml:space="preserve">  </w:t>
            </w:r>
            <w:r>
              <w:rPr>
                <w:b/>
                <w:sz w:val="20"/>
              </w:rPr>
              <w:tab/>
              <w:t xml:space="preserve">  </w:t>
            </w:r>
            <w:r>
              <w:rPr>
                <w:b/>
                <w:sz w:val="20"/>
              </w:rPr>
              <w:tab/>
              <w:t xml:space="preserve">  </w:t>
            </w:r>
          </w:p>
        </w:tc>
      </w:tr>
      <w:tr w:rsidR="00E8309B">
        <w:trPr>
          <w:trHeight w:val="713"/>
        </w:trPr>
        <w:tc>
          <w:tcPr>
            <w:tcW w:w="1210" w:type="dxa"/>
            <w:tcBorders>
              <w:top w:val="single" w:sz="8" w:space="0" w:color="000000"/>
              <w:left w:val="single" w:sz="8" w:space="0" w:color="000000"/>
              <w:bottom w:val="single" w:sz="8" w:space="0" w:color="000000"/>
              <w:right w:val="single" w:sz="8" w:space="0" w:color="000000"/>
            </w:tcBorders>
            <w:vAlign w:val="bottom"/>
          </w:tcPr>
          <w:p w:rsidR="00E8309B" w:rsidRDefault="009D0949">
            <w:pPr>
              <w:spacing w:after="0" w:line="259" w:lineRule="auto"/>
              <w:ind w:left="0" w:right="56" w:firstLine="0"/>
              <w:jc w:val="center"/>
            </w:pPr>
            <w:r>
              <w:rPr>
                <w:b/>
                <w:sz w:val="20"/>
              </w:rPr>
              <w:t>Година</w:t>
            </w:r>
            <w:r>
              <w:rPr>
                <w:sz w:val="20"/>
              </w:rPr>
              <w:t xml:space="preserve">  </w:t>
            </w:r>
          </w:p>
        </w:tc>
        <w:tc>
          <w:tcPr>
            <w:tcW w:w="1658"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0" w:firstLine="18"/>
              <w:jc w:val="center"/>
            </w:pPr>
            <w:r>
              <w:rPr>
                <w:sz w:val="20"/>
              </w:rPr>
              <w:t xml:space="preserve">Буџет централног нивоа државе </w:t>
            </w:r>
          </w:p>
        </w:tc>
        <w:tc>
          <w:tcPr>
            <w:tcW w:w="1532" w:type="dxa"/>
            <w:tcBorders>
              <w:top w:val="single" w:sz="8" w:space="0" w:color="000000"/>
              <w:left w:val="single" w:sz="8" w:space="0" w:color="000000"/>
              <w:bottom w:val="single" w:sz="8" w:space="0" w:color="000000"/>
              <w:right w:val="single" w:sz="8" w:space="0" w:color="000000"/>
            </w:tcBorders>
            <w:vAlign w:val="center"/>
          </w:tcPr>
          <w:p w:rsidR="00E8309B" w:rsidRDefault="009D0949">
            <w:pPr>
              <w:spacing w:after="0" w:line="259" w:lineRule="auto"/>
              <w:ind w:left="0" w:right="3" w:firstLine="0"/>
              <w:jc w:val="center"/>
            </w:pPr>
            <w:r>
              <w:rPr>
                <w:sz w:val="20"/>
              </w:rPr>
              <w:t xml:space="preserve">Локални буџети </w:t>
            </w:r>
          </w:p>
        </w:tc>
        <w:tc>
          <w:tcPr>
            <w:tcW w:w="1889"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0" w:firstLine="0"/>
              <w:jc w:val="center"/>
            </w:pPr>
            <w:r>
              <w:rPr>
                <w:sz w:val="20"/>
              </w:rPr>
              <w:t xml:space="preserve">Други домаћи извори јавних финансија </w:t>
            </w:r>
          </w:p>
        </w:tc>
        <w:tc>
          <w:tcPr>
            <w:tcW w:w="1592" w:type="dxa"/>
            <w:tcBorders>
              <w:top w:val="single" w:sz="8" w:space="0" w:color="000000"/>
              <w:left w:val="single" w:sz="8" w:space="0" w:color="000000"/>
              <w:bottom w:val="single" w:sz="8" w:space="0" w:color="000000"/>
              <w:right w:val="single" w:sz="8" w:space="0" w:color="000000"/>
            </w:tcBorders>
            <w:vAlign w:val="center"/>
          </w:tcPr>
          <w:p w:rsidR="00E8309B" w:rsidRDefault="009D0949">
            <w:pPr>
              <w:spacing w:after="0" w:line="259" w:lineRule="auto"/>
              <w:ind w:left="77" w:right="0" w:firstLine="0"/>
              <w:jc w:val="left"/>
            </w:pPr>
            <w:r>
              <w:rPr>
                <w:sz w:val="20"/>
              </w:rPr>
              <w:t xml:space="preserve">ИПА фондови </w:t>
            </w:r>
          </w:p>
        </w:tc>
        <w:tc>
          <w:tcPr>
            <w:tcW w:w="1481"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0" w:firstLine="0"/>
              <w:jc w:val="center"/>
            </w:pPr>
            <w:r>
              <w:rPr>
                <w:sz w:val="20"/>
              </w:rPr>
              <w:t xml:space="preserve">Друга бесповратна средства  </w:t>
            </w:r>
          </w:p>
        </w:tc>
        <w:tc>
          <w:tcPr>
            <w:tcW w:w="1757" w:type="dxa"/>
            <w:tcBorders>
              <w:top w:val="single" w:sz="8" w:space="0" w:color="000000"/>
              <w:left w:val="single" w:sz="8" w:space="0" w:color="000000"/>
              <w:bottom w:val="single" w:sz="8" w:space="0" w:color="000000"/>
              <w:right w:val="single" w:sz="8" w:space="0" w:color="000000"/>
            </w:tcBorders>
            <w:vAlign w:val="center"/>
          </w:tcPr>
          <w:p w:rsidR="00E8309B" w:rsidRDefault="009D0949">
            <w:pPr>
              <w:spacing w:after="0" w:line="259" w:lineRule="auto"/>
              <w:ind w:left="0" w:right="0" w:firstLine="0"/>
              <w:jc w:val="center"/>
            </w:pPr>
            <w:r>
              <w:rPr>
                <w:sz w:val="20"/>
              </w:rPr>
              <w:t xml:space="preserve">Пројкетни кредити  </w:t>
            </w:r>
          </w:p>
        </w:tc>
        <w:tc>
          <w:tcPr>
            <w:tcW w:w="1481" w:type="dxa"/>
            <w:tcBorders>
              <w:top w:val="single" w:sz="8" w:space="0" w:color="000000"/>
              <w:left w:val="single" w:sz="8" w:space="0" w:color="000000"/>
              <w:bottom w:val="single" w:sz="8" w:space="0" w:color="000000"/>
              <w:right w:val="single" w:sz="8" w:space="0" w:color="000000"/>
            </w:tcBorders>
            <w:vAlign w:val="center"/>
          </w:tcPr>
          <w:p w:rsidR="00E8309B" w:rsidRDefault="009D0949">
            <w:pPr>
              <w:spacing w:after="0" w:line="259" w:lineRule="auto"/>
              <w:ind w:left="12" w:right="17" w:firstLine="0"/>
              <w:jc w:val="center"/>
            </w:pPr>
            <w:r>
              <w:rPr>
                <w:sz w:val="20"/>
              </w:rPr>
              <w:t xml:space="preserve">Тек треба да се утврди </w:t>
            </w:r>
          </w:p>
        </w:tc>
        <w:tc>
          <w:tcPr>
            <w:tcW w:w="1752" w:type="dxa"/>
            <w:tcBorders>
              <w:top w:val="single" w:sz="8" w:space="0" w:color="000000"/>
              <w:left w:val="single" w:sz="8" w:space="0" w:color="000000"/>
              <w:bottom w:val="single" w:sz="8" w:space="0" w:color="000000"/>
              <w:right w:val="single" w:sz="8" w:space="0" w:color="000000"/>
            </w:tcBorders>
            <w:vAlign w:val="center"/>
          </w:tcPr>
          <w:p w:rsidR="00E8309B" w:rsidRDefault="009D0949">
            <w:pPr>
              <w:spacing w:after="0" w:line="259" w:lineRule="auto"/>
              <w:ind w:left="0" w:right="52" w:firstLine="0"/>
              <w:jc w:val="center"/>
            </w:pPr>
            <w:r>
              <w:rPr>
                <w:sz w:val="20"/>
              </w:rPr>
              <w:t xml:space="preserve">Укупно </w:t>
            </w:r>
          </w:p>
        </w:tc>
      </w:tr>
      <w:tr w:rsidR="00E8309B">
        <w:trPr>
          <w:trHeight w:val="334"/>
        </w:trPr>
        <w:tc>
          <w:tcPr>
            <w:tcW w:w="1210"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4" w:firstLine="0"/>
              <w:jc w:val="center"/>
            </w:pPr>
            <w:r>
              <w:rPr>
                <w:sz w:val="20"/>
              </w:rPr>
              <w:t xml:space="preserve">2021 </w:t>
            </w:r>
          </w:p>
        </w:tc>
        <w:tc>
          <w:tcPr>
            <w:tcW w:w="1658"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5" w:firstLine="0"/>
              <w:jc w:val="right"/>
            </w:pPr>
            <w:r>
              <w:rPr>
                <w:sz w:val="20"/>
              </w:rPr>
              <w:t xml:space="preserve">19.770,00 </w:t>
            </w:r>
          </w:p>
        </w:tc>
        <w:tc>
          <w:tcPr>
            <w:tcW w:w="1532"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8" w:firstLine="0"/>
              <w:jc w:val="right"/>
            </w:pPr>
            <w:r>
              <w:rPr>
                <w:sz w:val="20"/>
              </w:rPr>
              <w:t xml:space="preserve">0 </w:t>
            </w:r>
          </w:p>
        </w:tc>
        <w:tc>
          <w:tcPr>
            <w:tcW w:w="1889"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6" w:firstLine="0"/>
              <w:jc w:val="right"/>
            </w:pPr>
            <w:r>
              <w:rPr>
                <w:sz w:val="20"/>
              </w:rPr>
              <w:t xml:space="preserve">0 </w:t>
            </w:r>
          </w:p>
        </w:tc>
        <w:tc>
          <w:tcPr>
            <w:tcW w:w="1592"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6" w:firstLine="0"/>
              <w:jc w:val="right"/>
            </w:pPr>
            <w:r>
              <w:rPr>
                <w:sz w:val="20"/>
              </w:rPr>
              <w:t xml:space="preserve">0 </w:t>
            </w:r>
          </w:p>
        </w:tc>
        <w:tc>
          <w:tcPr>
            <w:tcW w:w="1481"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6" w:firstLine="0"/>
              <w:jc w:val="right"/>
            </w:pPr>
            <w:r>
              <w:rPr>
                <w:sz w:val="20"/>
              </w:rPr>
              <w:t xml:space="preserve">0 </w:t>
            </w:r>
          </w:p>
        </w:tc>
        <w:tc>
          <w:tcPr>
            <w:tcW w:w="1757"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6" w:firstLine="0"/>
              <w:jc w:val="right"/>
            </w:pPr>
            <w:r>
              <w:rPr>
                <w:sz w:val="20"/>
              </w:rPr>
              <w:t xml:space="preserve">0 </w:t>
            </w:r>
          </w:p>
        </w:tc>
        <w:tc>
          <w:tcPr>
            <w:tcW w:w="1481"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6" w:firstLine="0"/>
              <w:jc w:val="right"/>
            </w:pPr>
            <w:r>
              <w:rPr>
                <w:sz w:val="20"/>
              </w:rPr>
              <w:t xml:space="preserve">0 </w:t>
            </w:r>
          </w:p>
        </w:tc>
        <w:tc>
          <w:tcPr>
            <w:tcW w:w="1752"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0" w:firstLine="0"/>
              <w:jc w:val="right"/>
            </w:pPr>
            <w:r>
              <w:rPr>
                <w:sz w:val="20"/>
              </w:rPr>
              <w:t xml:space="preserve">19.770,00 </w:t>
            </w:r>
          </w:p>
        </w:tc>
      </w:tr>
      <w:tr w:rsidR="00E8309B">
        <w:trPr>
          <w:trHeight w:val="336"/>
        </w:trPr>
        <w:tc>
          <w:tcPr>
            <w:tcW w:w="1210"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4" w:firstLine="0"/>
              <w:jc w:val="center"/>
            </w:pPr>
            <w:r>
              <w:rPr>
                <w:sz w:val="20"/>
              </w:rPr>
              <w:t xml:space="preserve">2022 </w:t>
            </w:r>
          </w:p>
        </w:tc>
        <w:tc>
          <w:tcPr>
            <w:tcW w:w="1658"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5" w:firstLine="0"/>
              <w:jc w:val="right"/>
            </w:pPr>
            <w:r>
              <w:rPr>
                <w:sz w:val="20"/>
              </w:rPr>
              <w:t xml:space="preserve">19.770,00 </w:t>
            </w:r>
          </w:p>
        </w:tc>
        <w:tc>
          <w:tcPr>
            <w:tcW w:w="1532"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8" w:firstLine="0"/>
              <w:jc w:val="right"/>
            </w:pPr>
            <w:r>
              <w:rPr>
                <w:sz w:val="20"/>
              </w:rPr>
              <w:t xml:space="preserve">0 </w:t>
            </w:r>
          </w:p>
        </w:tc>
        <w:tc>
          <w:tcPr>
            <w:tcW w:w="1889"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6" w:firstLine="0"/>
              <w:jc w:val="right"/>
            </w:pPr>
            <w:r>
              <w:rPr>
                <w:sz w:val="20"/>
              </w:rPr>
              <w:t xml:space="preserve">0 </w:t>
            </w:r>
          </w:p>
        </w:tc>
        <w:tc>
          <w:tcPr>
            <w:tcW w:w="1592"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6" w:firstLine="0"/>
              <w:jc w:val="right"/>
            </w:pPr>
            <w:r>
              <w:rPr>
                <w:sz w:val="20"/>
              </w:rPr>
              <w:t xml:space="preserve">0 </w:t>
            </w:r>
          </w:p>
        </w:tc>
        <w:tc>
          <w:tcPr>
            <w:tcW w:w="1481"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6" w:firstLine="0"/>
              <w:jc w:val="right"/>
            </w:pPr>
            <w:r>
              <w:rPr>
                <w:sz w:val="20"/>
              </w:rPr>
              <w:t xml:space="preserve">0 </w:t>
            </w:r>
          </w:p>
        </w:tc>
        <w:tc>
          <w:tcPr>
            <w:tcW w:w="1757"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6" w:firstLine="0"/>
              <w:jc w:val="right"/>
            </w:pPr>
            <w:r>
              <w:rPr>
                <w:sz w:val="20"/>
              </w:rPr>
              <w:t xml:space="preserve">0 </w:t>
            </w:r>
          </w:p>
        </w:tc>
        <w:tc>
          <w:tcPr>
            <w:tcW w:w="1481"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6" w:firstLine="0"/>
              <w:jc w:val="right"/>
            </w:pPr>
            <w:r>
              <w:rPr>
                <w:sz w:val="20"/>
              </w:rPr>
              <w:t xml:space="preserve">0 </w:t>
            </w:r>
          </w:p>
        </w:tc>
        <w:tc>
          <w:tcPr>
            <w:tcW w:w="1752"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0" w:firstLine="0"/>
              <w:jc w:val="right"/>
            </w:pPr>
            <w:r>
              <w:rPr>
                <w:sz w:val="20"/>
              </w:rPr>
              <w:t xml:space="preserve">19.770,00 </w:t>
            </w:r>
          </w:p>
        </w:tc>
      </w:tr>
      <w:tr w:rsidR="00E8309B">
        <w:trPr>
          <w:trHeight w:val="337"/>
        </w:trPr>
        <w:tc>
          <w:tcPr>
            <w:tcW w:w="1210"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4" w:firstLine="0"/>
              <w:jc w:val="center"/>
            </w:pPr>
            <w:r>
              <w:rPr>
                <w:sz w:val="20"/>
              </w:rPr>
              <w:t xml:space="preserve">2023 </w:t>
            </w:r>
          </w:p>
        </w:tc>
        <w:tc>
          <w:tcPr>
            <w:tcW w:w="1658"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5" w:firstLine="0"/>
              <w:jc w:val="right"/>
            </w:pPr>
            <w:r>
              <w:rPr>
                <w:sz w:val="20"/>
              </w:rPr>
              <w:t xml:space="preserve">19.770,00 </w:t>
            </w:r>
          </w:p>
        </w:tc>
        <w:tc>
          <w:tcPr>
            <w:tcW w:w="1532"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8" w:firstLine="0"/>
              <w:jc w:val="right"/>
            </w:pPr>
            <w:r>
              <w:rPr>
                <w:sz w:val="20"/>
              </w:rPr>
              <w:t xml:space="preserve">0 </w:t>
            </w:r>
          </w:p>
        </w:tc>
        <w:tc>
          <w:tcPr>
            <w:tcW w:w="1889"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6" w:firstLine="0"/>
              <w:jc w:val="right"/>
            </w:pPr>
            <w:r>
              <w:rPr>
                <w:sz w:val="20"/>
              </w:rPr>
              <w:t xml:space="preserve">0 </w:t>
            </w:r>
          </w:p>
        </w:tc>
        <w:tc>
          <w:tcPr>
            <w:tcW w:w="1592"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6" w:firstLine="0"/>
              <w:jc w:val="right"/>
            </w:pPr>
            <w:r>
              <w:rPr>
                <w:sz w:val="20"/>
              </w:rPr>
              <w:t xml:space="preserve">0 </w:t>
            </w:r>
          </w:p>
        </w:tc>
        <w:tc>
          <w:tcPr>
            <w:tcW w:w="1481"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6" w:firstLine="0"/>
              <w:jc w:val="right"/>
            </w:pPr>
            <w:r>
              <w:rPr>
                <w:sz w:val="20"/>
              </w:rPr>
              <w:t xml:space="preserve">0 </w:t>
            </w:r>
          </w:p>
        </w:tc>
        <w:tc>
          <w:tcPr>
            <w:tcW w:w="1757"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6" w:firstLine="0"/>
              <w:jc w:val="right"/>
            </w:pPr>
            <w:r>
              <w:rPr>
                <w:sz w:val="20"/>
              </w:rPr>
              <w:t xml:space="preserve">0 </w:t>
            </w:r>
          </w:p>
        </w:tc>
        <w:tc>
          <w:tcPr>
            <w:tcW w:w="1481"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6" w:firstLine="0"/>
              <w:jc w:val="right"/>
            </w:pPr>
            <w:r>
              <w:rPr>
                <w:sz w:val="20"/>
              </w:rPr>
              <w:t xml:space="preserve">0 </w:t>
            </w:r>
          </w:p>
        </w:tc>
        <w:tc>
          <w:tcPr>
            <w:tcW w:w="1752"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0" w:firstLine="0"/>
              <w:jc w:val="right"/>
            </w:pPr>
            <w:r>
              <w:rPr>
                <w:sz w:val="20"/>
              </w:rPr>
              <w:t xml:space="preserve">19.770,00 </w:t>
            </w:r>
          </w:p>
        </w:tc>
      </w:tr>
      <w:tr w:rsidR="00E8309B">
        <w:trPr>
          <w:trHeight w:val="330"/>
        </w:trPr>
        <w:tc>
          <w:tcPr>
            <w:tcW w:w="14352" w:type="dxa"/>
            <w:gridSpan w:val="9"/>
            <w:tcBorders>
              <w:top w:val="single" w:sz="8" w:space="0" w:color="000000"/>
              <w:left w:val="single" w:sz="8" w:space="0" w:color="000000"/>
              <w:bottom w:val="single" w:sz="8" w:space="0" w:color="000000"/>
              <w:right w:val="single" w:sz="8" w:space="0" w:color="000000"/>
            </w:tcBorders>
            <w:shd w:val="clear" w:color="auto" w:fill="D0CECE"/>
            <w:vAlign w:val="bottom"/>
          </w:tcPr>
          <w:p w:rsidR="00E8309B" w:rsidRDefault="009D0949">
            <w:pPr>
              <w:tabs>
                <w:tab w:val="center" w:pos="2926"/>
                <w:tab w:val="center" w:pos="6291"/>
                <w:tab w:val="center" w:pos="7883"/>
                <w:tab w:val="center" w:pos="9364"/>
                <w:tab w:val="center" w:pos="11121"/>
                <w:tab w:val="center" w:pos="12602"/>
              </w:tabs>
              <w:spacing w:after="0" w:line="259" w:lineRule="auto"/>
              <w:ind w:left="0" w:right="0" w:firstLine="0"/>
              <w:jc w:val="left"/>
            </w:pPr>
            <w:r>
              <w:rPr>
                <w:rFonts w:ascii="Calibri" w:eastAsia="Calibri" w:hAnsi="Calibri" w:cs="Calibri"/>
                <w:sz w:val="22"/>
              </w:rPr>
              <w:tab/>
            </w:r>
            <w:r>
              <w:rPr>
                <w:b/>
                <w:sz w:val="20"/>
              </w:rPr>
              <w:t xml:space="preserve">19. Безбедан и квалитетан производ - фактор развоја индустрије  </w:t>
            </w:r>
            <w:r>
              <w:rPr>
                <w:b/>
                <w:sz w:val="20"/>
              </w:rPr>
              <w:tab/>
              <w:t xml:space="preserve">  </w:t>
            </w:r>
            <w:r>
              <w:rPr>
                <w:b/>
                <w:sz w:val="20"/>
              </w:rPr>
              <w:tab/>
              <w:t xml:space="preserve">  </w:t>
            </w:r>
            <w:r>
              <w:rPr>
                <w:b/>
                <w:sz w:val="20"/>
              </w:rPr>
              <w:tab/>
              <w:t xml:space="preserve">  </w:t>
            </w:r>
            <w:r>
              <w:rPr>
                <w:b/>
                <w:sz w:val="20"/>
              </w:rPr>
              <w:tab/>
              <w:t xml:space="preserve">  </w:t>
            </w:r>
            <w:r>
              <w:rPr>
                <w:b/>
                <w:sz w:val="20"/>
              </w:rPr>
              <w:tab/>
              <w:t xml:space="preserve">  </w:t>
            </w:r>
          </w:p>
        </w:tc>
      </w:tr>
      <w:tr w:rsidR="00E8309B">
        <w:trPr>
          <w:trHeight w:val="713"/>
        </w:trPr>
        <w:tc>
          <w:tcPr>
            <w:tcW w:w="1210" w:type="dxa"/>
            <w:tcBorders>
              <w:top w:val="single" w:sz="8" w:space="0" w:color="000000"/>
              <w:left w:val="single" w:sz="8" w:space="0" w:color="000000"/>
              <w:bottom w:val="single" w:sz="8" w:space="0" w:color="000000"/>
              <w:right w:val="single" w:sz="8" w:space="0" w:color="000000"/>
            </w:tcBorders>
            <w:vAlign w:val="bottom"/>
          </w:tcPr>
          <w:p w:rsidR="00E8309B" w:rsidRDefault="009D0949">
            <w:pPr>
              <w:spacing w:after="0" w:line="259" w:lineRule="auto"/>
              <w:ind w:left="0" w:right="56" w:firstLine="0"/>
              <w:jc w:val="center"/>
            </w:pPr>
            <w:r>
              <w:rPr>
                <w:b/>
                <w:sz w:val="20"/>
              </w:rPr>
              <w:t>Година</w:t>
            </w:r>
            <w:r>
              <w:rPr>
                <w:sz w:val="20"/>
              </w:rPr>
              <w:t xml:space="preserve">  </w:t>
            </w:r>
          </w:p>
        </w:tc>
        <w:tc>
          <w:tcPr>
            <w:tcW w:w="1658"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0" w:firstLine="18"/>
              <w:jc w:val="center"/>
            </w:pPr>
            <w:r>
              <w:rPr>
                <w:sz w:val="20"/>
              </w:rPr>
              <w:t xml:space="preserve">Буџет централног нивоа државе </w:t>
            </w:r>
          </w:p>
        </w:tc>
        <w:tc>
          <w:tcPr>
            <w:tcW w:w="1532" w:type="dxa"/>
            <w:tcBorders>
              <w:top w:val="single" w:sz="8" w:space="0" w:color="000000"/>
              <w:left w:val="single" w:sz="8" w:space="0" w:color="000000"/>
              <w:bottom w:val="single" w:sz="8" w:space="0" w:color="000000"/>
              <w:right w:val="single" w:sz="8" w:space="0" w:color="000000"/>
            </w:tcBorders>
            <w:vAlign w:val="center"/>
          </w:tcPr>
          <w:p w:rsidR="00E8309B" w:rsidRDefault="009D0949">
            <w:pPr>
              <w:spacing w:after="0" w:line="259" w:lineRule="auto"/>
              <w:ind w:left="0" w:right="3" w:firstLine="0"/>
              <w:jc w:val="center"/>
            </w:pPr>
            <w:r>
              <w:rPr>
                <w:sz w:val="20"/>
              </w:rPr>
              <w:t xml:space="preserve">Локални буџети </w:t>
            </w:r>
          </w:p>
        </w:tc>
        <w:tc>
          <w:tcPr>
            <w:tcW w:w="1889"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0" w:firstLine="0"/>
              <w:jc w:val="center"/>
            </w:pPr>
            <w:r>
              <w:rPr>
                <w:sz w:val="20"/>
              </w:rPr>
              <w:t xml:space="preserve">Други домаћи извори јавних финансија </w:t>
            </w:r>
          </w:p>
        </w:tc>
        <w:tc>
          <w:tcPr>
            <w:tcW w:w="1592" w:type="dxa"/>
            <w:tcBorders>
              <w:top w:val="single" w:sz="8" w:space="0" w:color="000000"/>
              <w:left w:val="single" w:sz="8" w:space="0" w:color="000000"/>
              <w:bottom w:val="single" w:sz="8" w:space="0" w:color="000000"/>
              <w:right w:val="single" w:sz="8" w:space="0" w:color="000000"/>
            </w:tcBorders>
            <w:vAlign w:val="center"/>
          </w:tcPr>
          <w:p w:rsidR="00E8309B" w:rsidRDefault="009D0949">
            <w:pPr>
              <w:spacing w:after="0" w:line="259" w:lineRule="auto"/>
              <w:ind w:left="77" w:right="0" w:firstLine="0"/>
              <w:jc w:val="left"/>
            </w:pPr>
            <w:r>
              <w:rPr>
                <w:sz w:val="20"/>
              </w:rPr>
              <w:t xml:space="preserve">ИПА фондови </w:t>
            </w:r>
          </w:p>
        </w:tc>
        <w:tc>
          <w:tcPr>
            <w:tcW w:w="1481"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0" w:firstLine="0"/>
              <w:jc w:val="center"/>
            </w:pPr>
            <w:r>
              <w:rPr>
                <w:sz w:val="20"/>
              </w:rPr>
              <w:t xml:space="preserve">Друга бесповратна средства  </w:t>
            </w:r>
          </w:p>
        </w:tc>
        <w:tc>
          <w:tcPr>
            <w:tcW w:w="1757" w:type="dxa"/>
            <w:tcBorders>
              <w:top w:val="single" w:sz="8" w:space="0" w:color="000000"/>
              <w:left w:val="single" w:sz="8" w:space="0" w:color="000000"/>
              <w:bottom w:val="single" w:sz="8" w:space="0" w:color="000000"/>
              <w:right w:val="single" w:sz="8" w:space="0" w:color="000000"/>
            </w:tcBorders>
            <w:vAlign w:val="center"/>
          </w:tcPr>
          <w:p w:rsidR="00E8309B" w:rsidRDefault="009D0949">
            <w:pPr>
              <w:spacing w:after="0" w:line="259" w:lineRule="auto"/>
              <w:ind w:left="0" w:right="0" w:firstLine="0"/>
              <w:jc w:val="center"/>
            </w:pPr>
            <w:r>
              <w:rPr>
                <w:sz w:val="20"/>
              </w:rPr>
              <w:t xml:space="preserve">Пројектни кредити  </w:t>
            </w:r>
          </w:p>
        </w:tc>
        <w:tc>
          <w:tcPr>
            <w:tcW w:w="1481" w:type="dxa"/>
            <w:tcBorders>
              <w:top w:val="single" w:sz="8" w:space="0" w:color="000000"/>
              <w:left w:val="single" w:sz="8" w:space="0" w:color="000000"/>
              <w:bottom w:val="single" w:sz="8" w:space="0" w:color="000000"/>
              <w:right w:val="single" w:sz="8" w:space="0" w:color="000000"/>
            </w:tcBorders>
            <w:vAlign w:val="center"/>
          </w:tcPr>
          <w:p w:rsidR="00E8309B" w:rsidRDefault="009D0949">
            <w:pPr>
              <w:spacing w:after="0" w:line="259" w:lineRule="auto"/>
              <w:ind w:left="12" w:right="17" w:firstLine="0"/>
              <w:jc w:val="center"/>
            </w:pPr>
            <w:r>
              <w:rPr>
                <w:sz w:val="20"/>
              </w:rPr>
              <w:t xml:space="preserve">Тек треба да се утврди </w:t>
            </w:r>
          </w:p>
        </w:tc>
        <w:tc>
          <w:tcPr>
            <w:tcW w:w="1752" w:type="dxa"/>
            <w:tcBorders>
              <w:top w:val="single" w:sz="8" w:space="0" w:color="000000"/>
              <w:left w:val="single" w:sz="8" w:space="0" w:color="000000"/>
              <w:bottom w:val="single" w:sz="8" w:space="0" w:color="000000"/>
              <w:right w:val="single" w:sz="8" w:space="0" w:color="000000"/>
            </w:tcBorders>
            <w:vAlign w:val="center"/>
          </w:tcPr>
          <w:p w:rsidR="00E8309B" w:rsidRDefault="009D0949">
            <w:pPr>
              <w:spacing w:after="0" w:line="259" w:lineRule="auto"/>
              <w:ind w:left="0" w:right="52" w:firstLine="0"/>
              <w:jc w:val="center"/>
            </w:pPr>
            <w:r>
              <w:rPr>
                <w:sz w:val="20"/>
              </w:rPr>
              <w:t xml:space="preserve">Укупно </w:t>
            </w:r>
          </w:p>
        </w:tc>
      </w:tr>
      <w:tr w:rsidR="00E8309B">
        <w:trPr>
          <w:trHeight w:val="334"/>
        </w:trPr>
        <w:tc>
          <w:tcPr>
            <w:tcW w:w="1210"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4" w:firstLine="0"/>
              <w:jc w:val="center"/>
            </w:pPr>
            <w:r>
              <w:rPr>
                <w:sz w:val="20"/>
              </w:rPr>
              <w:t xml:space="preserve">2021 </w:t>
            </w:r>
          </w:p>
        </w:tc>
        <w:tc>
          <w:tcPr>
            <w:tcW w:w="1658"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5" w:firstLine="0"/>
              <w:jc w:val="right"/>
            </w:pPr>
            <w:r>
              <w:rPr>
                <w:sz w:val="20"/>
              </w:rPr>
              <w:t xml:space="preserve">80.000,00 </w:t>
            </w:r>
          </w:p>
        </w:tc>
        <w:tc>
          <w:tcPr>
            <w:tcW w:w="1532"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8" w:firstLine="0"/>
              <w:jc w:val="right"/>
            </w:pPr>
            <w:r>
              <w:rPr>
                <w:sz w:val="20"/>
              </w:rPr>
              <w:t xml:space="preserve">0 </w:t>
            </w:r>
          </w:p>
        </w:tc>
        <w:tc>
          <w:tcPr>
            <w:tcW w:w="1889"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6" w:firstLine="0"/>
              <w:jc w:val="right"/>
            </w:pPr>
            <w:r>
              <w:rPr>
                <w:sz w:val="20"/>
              </w:rPr>
              <w:t xml:space="preserve">0 </w:t>
            </w:r>
          </w:p>
        </w:tc>
        <w:tc>
          <w:tcPr>
            <w:tcW w:w="1592"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6" w:firstLine="0"/>
              <w:jc w:val="right"/>
            </w:pPr>
            <w:r>
              <w:rPr>
                <w:sz w:val="20"/>
              </w:rPr>
              <w:t xml:space="preserve">0 </w:t>
            </w:r>
          </w:p>
        </w:tc>
        <w:tc>
          <w:tcPr>
            <w:tcW w:w="1481"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5" w:firstLine="0"/>
              <w:jc w:val="right"/>
            </w:pPr>
            <w:r>
              <w:rPr>
                <w:sz w:val="20"/>
              </w:rPr>
              <w:t xml:space="preserve">60.000,00 </w:t>
            </w:r>
          </w:p>
        </w:tc>
        <w:tc>
          <w:tcPr>
            <w:tcW w:w="1757"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6" w:firstLine="0"/>
              <w:jc w:val="right"/>
            </w:pPr>
            <w:r>
              <w:rPr>
                <w:sz w:val="20"/>
              </w:rPr>
              <w:t xml:space="preserve">0 </w:t>
            </w:r>
          </w:p>
        </w:tc>
        <w:tc>
          <w:tcPr>
            <w:tcW w:w="1481"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6" w:firstLine="0"/>
              <w:jc w:val="right"/>
            </w:pPr>
            <w:r>
              <w:rPr>
                <w:sz w:val="20"/>
              </w:rPr>
              <w:t xml:space="preserve">0 </w:t>
            </w:r>
          </w:p>
        </w:tc>
        <w:tc>
          <w:tcPr>
            <w:tcW w:w="1752"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0" w:firstLine="0"/>
              <w:jc w:val="right"/>
            </w:pPr>
            <w:r>
              <w:rPr>
                <w:sz w:val="20"/>
              </w:rPr>
              <w:t xml:space="preserve">140.000,00 </w:t>
            </w:r>
          </w:p>
        </w:tc>
      </w:tr>
      <w:tr w:rsidR="00E8309B">
        <w:trPr>
          <w:trHeight w:val="336"/>
        </w:trPr>
        <w:tc>
          <w:tcPr>
            <w:tcW w:w="1210"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4" w:firstLine="0"/>
              <w:jc w:val="center"/>
            </w:pPr>
            <w:r>
              <w:rPr>
                <w:sz w:val="20"/>
              </w:rPr>
              <w:t xml:space="preserve">2022 </w:t>
            </w:r>
          </w:p>
        </w:tc>
        <w:tc>
          <w:tcPr>
            <w:tcW w:w="1658"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5" w:firstLine="0"/>
              <w:jc w:val="right"/>
            </w:pPr>
            <w:r>
              <w:rPr>
                <w:sz w:val="20"/>
              </w:rPr>
              <w:t xml:space="preserve">560.000,00 </w:t>
            </w:r>
          </w:p>
        </w:tc>
        <w:tc>
          <w:tcPr>
            <w:tcW w:w="1532"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8" w:firstLine="0"/>
              <w:jc w:val="right"/>
            </w:pPr>
            <w:r>
              <w:rPr>
                <w:sz w:val="20"/>
              </w:rPr>
              <w:t xml:space="preserve">0 </w:t>
            </w:r>
          </w:p>
        </w:tc>
        <w:tc>
          <w:tcPr>
            <w:tcW w:w="1889"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5" w:firstLine="0"/>
              <w:jc w:val="right"/>
            </w:pPr>
            <w:r>
              <w:rPr>
                <w:sz w:val="20"/>
              </w:rPr>
              <w:t xml:space="preserve">60.000,00 </w:t>
            </w:r>
          </w:p>
        </w:tc>
        <w:tc>
          <w:tcPr>
            <w:tcW w:w="1592"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5" w:firstLine="0"/>
              <w:jc w:val="right"/>
            </w:pPr>
            <w:r>
              <w:rPr>
                <w:sz w:val="20"/>
              </w:rPr>
              <w:t xml:space="preserve">30.000,00 </w:t>
            </w:r>
          </w:p>
        </w:tc>
        <w:tc>
          <w:tcPr>
            <w:tcW w:w="1481"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5" w:firstLine="0"/>
              <w:jc w:val="right"/>
            </w:pPr>
            <w:r>
              <w:rPr>
                <w:sz w:val="20"/>
              </w:rPr>
              <w:t xml:space="preserve">30.000,00 </w:t>
            </w:r>
          </w:p>
        </w:tc>
        <w:tc>
          <w:tcPr>
            <w:tcW w:w="1757"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6" w:firstLine="0"/>
              <w:jc w:val="right"/>
            </w:pPr>
            <w:r>
              <w:rPr>
                <w:sz w:val="20"/>
              </w:rPr>
              <w:t xml:space="preserve">0 </w:t>
            </w:r>
          </w:p>
        </w:tc>
        <w:tc>
          <w:tcPr>
            <w:tcW w:w="1481"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6" w:firstLine="0"/>
              <w:jc w:val="right"/>
            </w:pPr>
            <w:r>
              <w:rPr>
                <w:sz w:val="20"/>
              </w:rPr>
              <w:t xml:space="preserve">0 </w:t>
            </w:r>
          </w:p>
        </w:tc>
        <w:tc>
          <w:tcPr>
            <w:tcW w:w="1752"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0" w:firstLine="0"/>
              <w:jc w:val="right"/>
            </w:pPr>
            <w:r>
              <w:rPr>
                <w:sz w:val="20"/>
              </w:rPr>
              <w:t xml:space="preserve">680.000,00 </w:t>
            </w:r>
          </w:p>
        </w:tc>
      </w:tr>
      <w:tr w:rsidR="00E8309B">
        <w:trPr>
          <w:trHeight w:val="337"/>
        </w:trPr>
        <w:tc>
          <w:tcPr>
            <w:tcW w:w="1210"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4" w:firstLine="0"/>
              <w:jc w:val="center"/>
            </w:pPr>
            <w:r>
              <w:rPr>
                <w:sz w:val="20"/>
              </w:rPr>
              <w:t xml:space="preserve">2023 </w:t>
            </w:r>
          </w:p>
        </w:tc>
        <w:tc>
          <w:tcPr>
            <w:tcW w:w="1658"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5" w:firstLine="0"/>
              <w:jc w:val="right"/>
            </w:pPr>
            <w:r>
              <w:rPr>
                <w:sz w:val="20"/>
              </w:rPr>
              <w:t xml:space="preserve">560.000,00 </w:t>
            </w:r>
          </w:p>
        </w:tc>
        <w:tc>
          <w:tcPr>
            <w:tcW w:w="1532"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8" w:firstLine="0"/>
              <w:jc w:val="right"/>
            </w:pPr>
            <w:r>
              <w:rPr>
                <w:sz w:val="20"/>
              </w:rPr>
              <w:t xml:space="preserve">0 </w:t>
            </w:r>
          </w:p>
        </w:tc>
        <w:tc>
          <w:tcPr>
            <w:tcW w:w="1889"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5" w:firstLine="0"/>
              <w:jc w:val="right"/>
            </w:pPr>
            <w:r>
              <w:rPr>
                <w:sz w:val="20"/>
              </w:rPr>
              <w:t xml:space="preserve">60.000,00 </w:t>
            </w:r>
          </w:p>
        </w:tc>
        <w:tc>
          <w:tcPr>
            <w:tcW w:w="1592"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5" w:firstLine="0"/>
              <w:jc w:val="right"/>
            </w:pPr>
            <w:r>
              <w:rPr>
                <w:sz w:val="20"/>
              </w:rPr>
              <w:t xml:space="preserve">30.000,00 </w:t>
            </w:r>
          </w:p>
        </w:tc>
        <w:tc>
          <w:tcPr>
            <w:tcW w:w="1481"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5" w:firstLine="0"/>
              <w:jc w:val="right"/>
            </w:pPr>
            <w:r>
              <w:rPr>
                <w:sz w:val="20"/>
              </w:rPr>
              <w:t xml:space="preserve">30.000,00 </w:t>
            </w:r>
          </w:p>
        </w:tc>
        <w:tc>
          <w:tcPr>
            <w:tcW w:w="1757"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6" w:firstLine="0"/>
              <w:jc w:val="right"/>
            </w:pPr>
            <w:r>
              <w:rPr>
                <w:sz w:val="20"/>
              </w:rPr>
              <w:t xml:space="preserve">0 </w:t>
            </w:r>
          </w:p>
        </w:tc>
        <w:tc>
          <w:tcPr>
            <w:tcW w:w="1481"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6" w:firstLine="0"/>
              <w:jc w:val="right"/>
            </w:pPr>
            <w:r>
              <w:rPr>
                <w:sz w:val="20"/>
              </w:rPr>
              <w:t xml:space="preserve">0 </w:t>
            </w:r>
          </w:p>
        </w:tc>
        <w:tc>
          <w:tcPr>
            <w:tcW w:w="1752"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0" w:firstLine="0"/>
              <w:jc w:val="right"/>
            </w:pPr>
            <w:r>
              <w:rPr>
                <w:sz w:val="20"/>
              </w:rPr>
              <w:t xml:space="preserve">680.000,00 </w:t>
            </w:r>
          </w:p>
        </w:tc>
      </w:tr>
      <w:tr w:rsidR="00E8309B">
        <w:trPr>
          <w:trHeight w:val="330"/>
        </w:trPr>
        <w:tc>
          <w:tcPr>
            <w:tcW w:w="14352" w:type="dxa"/>
            <w:gridSpan w:val="9"/>
            <w:tcBorders>
              <w:top w:val="single" w:sz="8" w:space="0" w:color="000000"/>
              <w:left w:val="single" w:sz="8" w:space="0" w:color="000000"/>
              <w:bottom w:val="single" w:sz="8" w:space="0" w:color="000000"/>
              <w:right w:val="single" w:sz="8" w:space="0" w:color="000000"/>
            </w:tcBorders>
            <w:shd w:val="clear" w:color="auto" w:fill="D0CECE"/>
            <w:vAlign w:val="bottom"/>
          </w:tcPr>
          <w:p w:rsidR="00E8309B" w:rsidRDefault="009D0949">
            <w:pPr>
              <w:tabs>
                <w:tab w:val="center" w:pos="2968"/>
                <w:tab w:val="center" w:pos="6291"/>
                <w:tab w:val="center" w:pos="7883"/>
                <w:tab w:val="center" w:pos="9364"/>
                <w:tab w:val="center" w:pos="11121"/>
                <w:tab w:val="center" w:pos="12602"/>
              </w:tabs>
              <w:spacing w:after="0" w:line="259" w:lineRule="auto"/>
              <w:ind w:left="0" w:right="0" w:firstLine="0"/>
              <w:jc w:val="left"/>
            </w:pPr>
            <w:r>
              <w:rPr>
                <w:rFonts w:ascii="Calibri" w:eastAsia="Calibri" w:hAnsi="Calibri" w:cs="Calibri"/>
                <w:sz w:val="22"/>
              </w:rPr>
              <w:tab/>
            </w:r>
            <w:r>
              <w:rPr>
                <w:b/>
                <w:sz w:val="20"/>
              </w:rPr>
              <w:t xml:space="preserve">20. Квалификације оријентисане према потребама тржишта рада  </w:t>
            </w:r>
            <w:r>
              <w:rPr>
                <w:b/>
                <w:sz w:val="20"/>
              </w:rPr>
              <w:tab/>
              <w:t xml:space="preserve">  </w:t>
            </w:r>
            <w:r>
              <w:rPr>
                <w:b/>
                <w:sz w:val="20"/>
              </w:rPr>
              <w:tab/>
              <w:t xml:space="preserve">  </w:t>
            </w:r>
            <w:r>
              <w:rPr>
                <w:b/>
                <w:sz w:val="20"/>
              </w:rPr>
              <w:tab/>
              <w:t xml:space="preserve">  </w:t>
            </w:r>
            <w:r>
              <w:rPr>
                <w:b/>
                <w:sz w:val="20"/>
              </w:rPr>
              <w:tab/>
              <w:t xml:space="preserve">  </w:t>
            </w:r>
            <w:r>
              <w:rPr>
                <w:b/>
                <w:sz w:val="20"/>
              </w:rPr>
              <w:tab/>
              <w:t xml:space="preserve">  </w:t>
            </w:r>
          </w:p>
        </w:tc>
      </w:tr>
      <w:tr w:rsidR="00E8309B">
        <w:trPr>
          <w:trHeight w:val="713"/>
        </w:trPr>
        <w:tc>
          <w:tcPr>
            <w:tcW w:w="1210" w:type="dxa"/>
            <w:tcBorders>
              <w:top w:val="single" w:sz="8" w:space="0" w:color="000000"/>
              <w:left w:val="single" w:sz="8" w:space="0" w:color="000000"/>
              <w:bottom w:val="single" w:sz="8" w:space="0" w:color="000000"/>
              <w:right w:val="single" w:sz="8" w:space="0" w:color="000000"/>
            </w:tcBorders>
            <w:vAlign w:val="bottom"/>
          </w:tcPr>
          <w:p w:rsidR="00E8309B" w:rsidRDefault="009D0949">
            <w:pPr>
              <w:spacing w:after="0" w:line="259" w:lineRule="auto"/>
              <w:ind w:left="0" w:right="56" w:firstLine="0"/>
              <w:jc w:val="center"/>
            </w:pPr>
            <w:r>
              <w:rPr>
                <w:b/>
                <w:sz w:val="20"/>
              </w:rPr>
              <w:t>Година</w:t>
            </w:r>
            <w:r>
              <w:rPr>
                <w:sz w:val="20"/>
              </w:rPr>
              <w:t xml:space="preserve">  </w:t>
            </w:r>
          </w:p>
        </w:tc>
        <w:tc>
          <w:tcPr>
            <w:tcW w:w="1658"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0" w:firstLine="18"/>
              <w:jc w:val="center"/>
            </w:pPr>
            <w:r>
              <w:rPr>
                <w:sz w:val="20"/>
              </w:rPr>
              <w:t xml:space="preserve">Буџет централног нивоа државе </w:t>
            </w:r>
          </w:p>
        </w:tc>
        <w:tc>
          <w:tcPr>
            <w:tcW w:w="1532" w:type="dxa"/>
            <w:tcBorders>
              <w:top w:val="single" w:sz="8" w:space="0" w:color="000000"/>
              <w:left w:val="single" w:sz="8" w:space="0" w:color="000000"/>
              <w:bottom w:val="single" w:sz="8" w:space="0" w:color="000000"/>
              <w:right w:val="single" w:sz="8" w:space="0" w:color="000000"/>
            </w:tcBorders>
            <w:vAlign w:val="center"/>
          </w:tcPr>
          <w:p w:rsidR="00E8309B" w:rsidRDefault="009D0949">
            <w:pPr>
              <w:spacing w:after="0" w:line="259" w:lineRule="auto"/>
              <w:ind w:left="0" w:right="3" w:firstLine="0"/>
              <w:jc w:val="center"/>
            </w:pPr>
            <w:r>
              <w:rPr>
                <w:sz w:val="20"/>
              </w:rPr>
              <w:t xml:space="preserve">Локални буџети </w:t>
            </w:r>
          </w:p>
        </w:tc>
        <w:tc>
          <w:tcPr>
            <w:tcW w:w="1889"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0" w:firstLine="0"/>
              <w:jc w:val="center"/>
            </w:pPr>
            <w:r>
              <w:rPr>
                <w:sz w:val="20"/>
              </w:rPr>
              <w:t xml:space="preserve">Други домаћи извори јавних финансија </w:t>
            </w:r>
          </w:p>
        </w:tc>
        <w:tc>
          <w:tcPr>
            <w:tcW w:w="1592" w:type="dxa"/>
            <w:tcBorders>
              <w:top w:val="single" w:sz="8" w:space="0" w:color="000000"/>
              <w:left w:val="single" w:sz="8" w:space="0" w:color="000000"/>
              <w:bottom w:val="single" w:sz="8" w:space="0" w:color="000000"/>
              <w:right w:val="single" w:sz="8" w:space="0" w:color="000000"/>
            </w:tcBorders>
            <w:vAlign w:val="center"/>
          </w:tcPr>
          <w:p w:rsidR="00E8309B" w:rsidRDefault="009D0949">
            <w:pPr>
              <w:spacing w:after="0" w:line="259" w:lineRule="auto"/>
              <w:ind w:left="77" w:right="0" w:firstLine="0"/>
              <w:jc w:val="left"/>
            </w:pPr>
            <w:r>
              <w:rPr>
                <w:sz w:val="20"/>
              </w:rPr>
              <w:t xml:space="preserve">ИПА фондови </w:t>
            </w:r>
          </w:p>
        </w:tc>
        <w:tc>
          <w:tcPr>
            <w:tcW w:w="1481"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0" w:firstLine="0"/>
              <w:jc w:val="center"/>
            </w:pPr>
            <w:r>
              <w:rPr>
                <w:sz w:val="20"/>
              </w:rPr>
              <w:t xml:space="preserve">Друга бесповратна средства  </w:t>
            </w:r>
          </w:p>
        </w:tc>
        <w:tc>
          <w:tcPr>
            <w:tcW w:w="1757" w:type="dxa"/>
            <w:tcBorders>
              <w:top w:val="single" w:sz="8" w:space="0" w:color="000000"/>
              <w:left w:val="single" w:sz="8" w:space="0" w:color="000000"/>
              <w:bottom w:val="single" w:sz="8" w:space="0" w:color="000000"/>
              <w:right w:val="single" w:sz="8" w:space="0" w:color="000000"/>
            </w:tcBorders>
            <w:vAlign w:val="center"/>
          </w:tcPr>
          <w:p w:rsidR="00E8309B" w:rsidRDefault="009D0949">
            <w:pPr>
              <w:spacing w:after="0" w:line="259" w:lineRule="auto"/>
              <w:ind w:left="0" w:right="0" w:firstLine="0"/>
              <w:jc w:val="center"/>
            </w:pPr>
            <w:r>
              <w:rPr>
                <w:sz w:val="20"/>
              </w:rPr>
              <w:t xml:space="preserve">Пројектни кредити  </w:t>
            </w:r>
          </w:p>
        </w:tc>
        <w:tc>
          <w:tcPr>
            <w:tcW w:w="1481" w:type="dxa"/>
            <w:tcBorders>
              <w:top w:val="single" w:sz="8" w:space="0" w:color="000000"/>
              <w:left w:val="single" w:sz="8" w:space="0" w:color="000000"/>
              <w:bottom w:val="single" w:sz="8" w:space="0" w:color="000000"/>
              <w:right w:val="single" w:sz="8" w:space="0" w:color="000000"/>
            </w:tcBorders>
            <w:vAlign w:val="center"/>
          </w:tcPr>
          <w:p w:rsidR="00E8309B" w:rsidRDefault="009D0949">
            <w:pPr>
              <w:spacing w:after="0" w:line="259" w:lineRule="auto"/>
              <w:ind w:left="12" w:right="17" w:firstLine="0"/>
              <w:jc w:val="center"/>
            </w:pPr>
            <w:r>
              <w:rPr>
                <w:sz w:val="20"/>
              </w:rPr>
              <w:t xml:space="preserve">Тек треба да се утврди </w:t>
            </w:r>
          </w:p>
        </w:tc>
        <w:tc>
          <w:tcPr>
            <w:tcW w:w="1752" w:type="dxa"/>
            <w:tcBorders>
              <w:top w:val="single" w:sz="8" w:space="0" w:color="000000"/>
              <w:left w:val="single" w:sz="8" w:space="0" w:color="000000"/>
              <w:bottom w:val="single" w:sz="8" w:space="0" w:color="000000"/>
              <w:right w:val="single" w:sz="8" w:space="0" w:color="000000"/>
            </w:tcBorders>
            <w:vAlign w:val="center"/>
          </w:tcPr>
          <w:p w:rsidR="00E8309B" w:rsidRDefault="009D0949">
            <w:pPr>
              <w:spacing w:after="0" w:line="259" w:lineRule="auto"/>
              <w:ind w:left="0" w:right="52" w:firstLine="0"/>
              <w:jc w:val="center"/>
            </w:pPr>
            <w:r>
              <w:rPr>
                <w:sz w:val="20"/>
              </w:rPr>
              <w:t xml:space="preserve">Укупно </w:t>
            </w:r>
          </w:p>
        </w:tc>
      </w:tr>
      <w:tr w:rsidR="00E8309B">
        <w:trPr>
          <w:trHeight w:val="334"/>
        </w:trPr>
        <w:tc>
          <w:tcPr>
            <w:tcW w:w="1210"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4" w:firstLine="0"/>
              <w:jc w:val="center"/>
            </w:pPr>
            <w:r>
              <w:rPr>
                <w:sz w:val="20"/>
              </w:rPr>
              <w:t xml:space="preserve">2021 </w:t>
            </w:r>
          </w:p>
        </w:tc>
        <w:tc>
          <w:tcPr>
            <w:tcW w:w="1658"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5" w:firstLine="0"/>
              <w:jc w:val="right"/>
            </w:pPr>
            <w:r>
              <w:rPr>
                <w:sz w:val="20"/>
              </w:rPr>
              <w:t xml:space="preserve">2.489.125,00 </w:t>
            </w:r>
          </w:p>
        </w:tc>
        <w:tc>
          <w:tcPr>
            <w:tcW w:w="1532"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8" w:firstLine="0"/>
              <w:jc w:val="right"/>
            </w:pPr>
            <w:r>
              <w:rPr>
                <w:sz w:val="20"/>
              </w:rPr>
              <w:t xml:space="preserve">0 </w:t>
            </w:r>
          </w:p>
        </w:tc>
        <w:tc>
          <w:tcPr>
            <w:tcW w:w="1889"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6" w:firstLine="0"/>
              <w:jc w:val="right"/>
            </w:pPr>
            <w:r>
              <w:rPr>
                <w:sz w:val="20"/>
              </w:rPr>
              <w:t xml:space="preserve">0 </w:t>
            </w:r>
          </w:p>
        </w:tc>
        <w:tc>
          <w:tcPr>
            <w:tcW w:w="1592"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5" w:firstLine="0"/>
              <w:jc w:val="right"/>
            </w:pPr>
            <w:r>
              <w:rPr>
                <w:sz w:val="20"/>
              </w:rPr>
              <w:t xml:space="preserve">500.000,00 </w:t>
            </w:r>
          </w:p>
        </w:tc>
        <w:tc>
          <w:tcPr>
            <w:tcW w:w="1481"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6" w:firstLine="0"/>
              <w:jc w:val="right"/>
            </w:pPr>
            <w:r>
              <w:rPr>
                <w:sz w:val="20"/>
              </w:rPr>
              <w:t xml:space="preserve">0 </w:t>
            </w:r>
          </w:p>
        </w:tc>
        <w:tc>
          <w:tcPr>
            <w:tcW w:w="1757"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6" w:firstLine="0"/>
              <w:jc w:val="right"/>
            </w:pPr>
            <w:r>
              <w:rPr>
                <w:sz w:val="20"/>
              </w:rPr>
              <w:t xml:space="preserve">2.200.000,00 </w:t>
            </w:r>
          </w:p>
        </w:tc>
        <w:tc>
          <w:tcPr>
            <w:tcW w:w="1481"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5" w:firstLine="0"/>
              <w:jc w:val="right"/>
            </w:pPr>
            <w:r>
              <w:rPr>
                <w:sz w:val="20"/>
              </w:rPr>
              <w:t xml:space="preserve">2.575.761,00 </w:t>
            </w:r>
          </w:p>
        </w:tc>
        <w:tc>
          <w:tcPr>
            <w:tcW w:w="1752"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1" w:firstLine="0"/>
              <w:jc w:val="right"/>
            </w:pPr>
            <w:r>
              <w:rPr>
                <w:sz w:val="20"/>
              </w:rPr>
              <w:t xml:space="preserve">7.764.886,00 </w:t>
            </w:r>
          </w:p>
        </w:tc>
      </w:tr>
      <w:tr w:rsidR="00E8309B">
        <w:trPr>
          <w:trHeight w:val="336"/>
        </w:trPr>
        <w:tc>
          <w:tcPr>
            <w:tcW w:w="1210"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4" w:firstLine="0"/>
              <w:jc w:val="center"/>
            </w:pPr>
            <w:r>
              <w:rPr>
                <w:sz w:val="20"/>
              </w:rPr>
              <w:t xml:space="preserve">2022 </w:t>
            </w:r>
          </w:p>
        </w:tc>
        <w:tc>
          <w:tcPr>
            <w:tcW w:w="1658"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5" w:firstLine="0"/>
              <w:jc w:val="right"/>
            </w:pPr>
            <w:r>
              <w:rPr>
                <w:sz w:val="20"/>
              </w:rPr>
              <w:t xml:space="preserve">1.190.525,00 </w:t>
            </w:r>
          </w:p>
        </w:tc>
        <w:tc>
          <w:tcPr>
            <w:tcW w:w="1532"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8" w:firstLine="0"/>
              <w:jc w:val="right"/>
            </w:pPr>
            <w:r>
              <w:rPr>
                <w:sz w:val="20"/>
              </w:rPr>
              <w:t xml:space="preserve">0 </w:t>
            </w:r>
          </w:p>
        </w:tc>
        <w:tc>
          <w:tcPr>
            <w:tcW w:w="1889"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6" w:firstLine="0"/>
              <w:jc w:val="right"/>
            </w:pPr>
            <w:r>
              <w:rPr>
                <w:sz w:val="20"/>
              </w:rPr>
              <w:t xml:space="preserve">0 </w:t>
            </w:r>
          </w:p>
        </w:tc>
        <w:tc>
          <w:tcPr>
            <w:tcW w:w="1592"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6" w:firstLine="0"/>
              <w:jc w:val="right"/>
            </w:pPr>
            <w:r>
              <w:rPr>
                <w:sz w:val="20"/>
              </w:rPr>
              <w:t xml:space="preserve">0 </w:t>
            </w:r>
          </w:p>
        </w:tc>
        <w:tc>
          <w:tcPr>
            <w:tcW w:w="1481"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6" w:firstLine="0"/>
              <w:jc w:val="right"/>
            </w:pPr>
            <w:r>
              <w:rPr>
                <w:sz w:val="20"/>
              </w:rPr>
              <w:t xml:space="preserve">0 </w:t>
            </w:r>
          </w:p>
        </w:tc>
        <w:tc>
          <w:tcPr>
            <w:tcW w:w="1757"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6" w:firstLine="0"/>
              <w:jc w:val="right"/>
            </w:pPr>
            <w:r>
              <w:rPr>
                <w:sz w:val="20"/>
              </w:rPr>
              <w:t xml:space="preserve">14.125.000,00 </w:t>
            </w:r>
          </w:p>
        </w:tc>
        <w:tc>
          <w:tcPr>
            <w:tcW w:w="1481"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6" w:firstLine="0"/>
              <w:jc w:val="right"/>
            </w:pPr>
            <w:r>
              <w:rPr>
                <w:sz w:val="20"/>
              </w:rPr>
              <w:t xml:space="preserve">0 </w:t>
            </w:r>
          </w:p>
        </w:tc>
        <w:tc>
          <w:tcPr>
            <w:tcW w:w="1752"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1" w:firstLine="0"/>
              <w:jc w:val="right"/>
            </w:pPr>
            <w:r>
              <w:rPr>
                <w:sz w:val="20"/>
              </w:rPr>
              <w:t xml:space="preserve">15.315.525,00 </w:t>
            </w:r>
          </w:p>
        </w:tc>
      </w:tr>
      <w:tr w:rsidR="00E8309B">
        <w:trPr>
          <w:trHeight w:val="336"/>
        </w:trPr>
        <w:tc>
          <w:tcPr>
            <w:tcW w:w="1210"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4" w:firstLine="0"/>
              <w:jc w:val="center"/>
            </w:pPr>
            <w:r>
              <w:rPr>
                <w:sz w:val="20"/>
              </w:rPr>
              <w:t xml:space="preserve">2023 </w:t>
            </w:r>
          </w:p>
        </w:tc>
        <w:tc>
          <w:tcPr>
            <w:tcW w:w="1658"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5" w:firstLine="0"/>
              <w:jc w:val="right"/>
            </w:pPr>
            <w:r>
              <w:rPr>
                <w:sz w:val="20"/>
              </w:rPr>
              <w:t xml:space="preserve">1.190.525,00 </w:t>
            </w:r>
          </w:p>
        </w:tc>
        <w:tc>
          <w:tcPr>
            <w:tcW w:w="1532"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8" w:firstLine="0"/>
              <w:jc w:val="right"/>
            </w:pPr>
            <w:r>
              <w:rPr>
                <w:sz w:val="20"/>
              </w:rPr>
              <w:t xml:space="preserve">0 </w:t>
            </w:r>
          </w:p>
        </w:tc>
        <w:tc>
          <w:tcPr>
            <w:tcW w:w="1889"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6" w:firstLine="0"/>
              <w:jc w:val="right"/>
            </w:pPr>
            <w:r>
              <w:rPr>
                <w:sz w:val="20"/>
              </w:rPr>
              <w:t xml:space="preserve">0 </w:t>
            </w:r>
          </w:p>
        </w:tc>
        <w:tc>
          <w:tcPr>
            <w:tcW w:w="1592"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6" w:firstLine="0"/>
              <w:jc w:val="right"/>
            </w:pPr>
            <w:r>
              <w:rPr>
                <w:sz w:val="20"/>
              </w:rPr>
              <w:t xml:space="preserve">0 </w:t>
            </w:r>
          </w:p>
        </w:tc>
        <w:tc>
          <w:tcPr>
            <w:tcW w:w="1481"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6" w:firstLine="0"/>
              <w:jc w:val="right"/>
            </w:pPr>
            <w:r>
              <w:rPr>
                <w:sz w:val="20"/>
              </w:rPr>
              <w:t xml:space="preserve">0 </w:t>
            </w:r>
          </w:p>
        </w:tc>
        <w:tc>
          <w:tcPr>
            <w:tcW w:w="1757"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6" w:firstLine="0"/>
              <w:jc w:val="right"/>
            </w:pPr>
            <w:r>
              <w:rPr>
                <w:sz w:val="20"/>
              </w:rPr>
              <w:t xml:space="preserve">2.860.000,00 </w:t>
            </w:r>
          </w:p>
        </w:tc>
        <w:tc>
          <w:tcPr>
            <w:tcW w:w="1481"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6" w:firstLine="0"/>
              <w:jc w:val="right"/>
            </w:pPr>
            <w:r>
              <w:rPr>
                <w:sz w:val="20"/>
              </w:rPr>
              <w:t xml:space="preserve">0 </w:t>
            </w:r>
          </w:p>
        </w:tc>
        <w:tc>
          <w:tcPr>
            <w:tcW w:w="1752"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49" w:firstLine="0"/>
              <w:jc w:val="right"/>
            </w:pPr>
            <w:r>
              <w:rPr>
                <w:sz w:val="20"/>
              </w:rPr>
              <w:t xml:space="preserve">4.050.525,00 </w:t>
            </w:r>
          </w:p>
        </w:tc>
      </w:tr>
      <w:tr w:rsidR="00E8309B">
        <w:trPr>
          <w:trHeight w:val="710"/>
        </w:trPr>
        <w:tc>
          <w:tcPr>
            <w:tcW w:w="14352" w:type="dxa"/>
            <w:gridSpan w:val="9"/>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0" w:firstLine="0"/>
              <w:jc w:val="left"/>
            </w:pPr>
            <w:r>
              <w:rPr>
                <w:sz w:val="20"/>
              </w:rPr>
              <w:t xml:space="preserve">*Део опреме за тренинг центре биће обезбеђен из донација; У колони тек треба да се утврди унета су средства потребна за опремање тренинг центра Ваздухопловна академија и биће обезбеђен из додатних средстава буџета РС.  </w:t>
            </w:r>
          </w:p>
        </w:tc>
      </w:tr>
      <w:tr w:rsidR="00E8309B">
        <w:trPr>
          <w:trHeight w:val="475"/>
        </w:trPr>
        <w:tc>
          <w:tcPr>
            <w:tcW w:w="9361" w:type="dxa"/>
            <w:gridSpan w:val="6"/>
            <w:tcBorders>
              <w:top w:val="single" w:sz="8" w:space="0" w:color="000000"/>
              <w:left w:val="single" w:sz="8" w:space="0" w:color="000000"/>
              <w:bottom w:val="single" w:sz="8" w:space="0" w:color="000000"/>
              <w:right w:val="nil"/>
            </w:tcBorders>
            <w:shd w:val="clear" w:color="auto" w:fill="D0CECE"/>
          </w:tcPr>
          <w:p w:rsidR="00E8309B" w:rsidRDefault="009D0949">
            <w:pPr>
              <w:spacing w:after="0" w:line="259" w:lineRule="auto"/>
              <w:ind w:left="0" w:right="0" w:firstLine="0"/>
              <w:jc w:val="left"/>
            </w:pPr>
            <w:r>
              <w:rPr>
                <w:b/>
                <w:sz w:val="20"/>
              </w:rPr>
              <w:t>21. Дигитализација система образова</w:t>
            </w:r>
            <w:r>
              <w:rPr>
                <w:b/>
                <w:sz w:val="20"/>
              </w:rPr>
              <w:t xml:space="preserve">ња и увођење јединственог информационог система образовања </w:t>
            </w:r>
          </w:p>
        </w:tc>
        <w:tc>
          <w:tcPr>
            <w:tcW w:w="1757" w:type="dxa"/>
            <w:tcBorders>
              <w:top w:val="single" w:sz="8" w:space="0" w:color="D0CECE"/>
              <w:left w:val="nil"/>
              <w:bottom w:val="single" w:sz="8" w:space="0" w:color="000000"/>
              <w:right w:val="nil"/>
            </w:tcBorders>
            <w:shd w:val="clear" w:color="auto" w:fill="D0CECE"/>
            <w:vAlign w:val="bottom"/>
          </w:tcPr>
          <w:p w:rsidR="00E8309B" w:rsidRDefault="009D0949">
            <w:pPr>
              <w:spacing w:after="0" w:line="259" w:lineRule="auto"/>
              <w:ind w:left="5" w:right="0" w:firstLine="0"/>
              <w:jc w:val="left"/>
            </w:pPr>
            <w:r>
              <w:rPr>
                <w:b/>
                <w:sz w:val="20"/>
              </w:rPr>
              <w:t xml:space="preserve">  </w:t>
            </w:r>
          </w:p>
        </w:tc>
        <w:tc>
          <w:tcPr>
            <w:tcW w:w="1481" w:type="dxa"/>
            <w:tcBorders>
              <w:top w:val="single" w:sz="8" w:space="0" w:color="D0CECE"/>
              <w:left w:val="nil"/>
              <w:bottom w:val="single" w:sz="8" w:space="0" w:color="000000"/>
              <w:right w:val="nil"/>
            </w:tcBorders>
            <w:shd w:val="clear" w:color="auto" w:fill="D0CECE"/>
            <w:vAlign w:val="bottom"/>
          </w:tcPr>
          <w:p w:rsidR="00E8309B" w:rsidRDefault="009D0949">
            <w:pPr>
              <w:spacing w:after="0" w:line="259" w:lineRule="auto"/>
              <w:ind w:left="5" w:right="0" w:firstLine="0"/>
              <w:jc w:val="left"/>
            </w:pPr>
            <w:r>
              <w:rPr>
                <w:b/>
                <w:sz w:val="20"/>
              </w:rPr>
              <w:t xml:space="preserve">  </w:t>
            </w:r>
          </w:p>
        </w:tc>
        <w:tc>
          <w:tcPr>
            <w:tcW w:w="1752" w:type="dxa"/>
            <w:tcBorders>
              <w:top w:val="single" w:sz="8" w:space="0" w:color="D0CECE"/>
              <w:left w:val="nil"/>
              <w:bottom w:val="single" w:sz="8" w:space="0" w:color="000000"/>
              <w:right w:val="single" w:sz="8" w:space="0" w:color="000000"/>
            </w:tcBorders>
            <w:shd w:val="clear" w:color="auto" w:fill="D0CECE"/>
            <w:vAlign w:val="bottom"/>
          </w:tcPr>
          <w:p w:rsidR="00E8309B" w:rsidRDefault="009D0949">
            <w:pPr>
              <w:spacing w:after="0" w:line="259" w:lineRule="auto"/>
              <w:ind w:left="5" w:right="0" w:firstLine="0"/>
              <w:jc w:val="left"/>
            </w:pPr>
            <w:r>
              <w:rPr>
                <w:b/>
                <w:sz w:val="20"/>
              </w:rPr>
              <w:t xml:space="preserve">  </w:t>
            </w:r>
          </w:p>
        </w:tc>
      </w:tr>
      <w:tr w:rsidR="00E8309B">
        <w:trPr>
          <w:trHeight w:val="713"/>
        </w:trPr>
        <w:tc>
          <w:tcPr>
            <w:tcW w:w="1210" w:type="dxa"/>
            <w:tcBorders>
              <w:top w:val="single" w:sz="8" w:space="0" w:color="000000"/>
              <w:left w:val="single" w:sz="8" w:space="0" w:color="000000"/>
              <w:bottom w:val="single" w:sz="8" w:space="0" w:color="000000"/>
              <w:right w:val="single" w:sz="8" w:space="0" w:color="000000"/>
            </w:tcBorders>
            <w:vAlign w:val="bottom"/>
          </w:tcPr>
          <w:p w:rsidR="00E8309B" w:rsidRDefault="009D0949">
            <w:pPr>
              <w:spacing w:after="0" w:line="259" w:lineRule="auto"/>
              <w:ind w:left="0" w:right="54" w:firstLine="0"/>
              <w:jc w:val="center"/>
            </w:pPr>
            <w:r>
              <w:rPr>
                <w:b/>
                <w:sz w:val="20"/>
              </w:rPr>
              <w:t>Година</w:t>
            </w:r>
            <w:r>
              <w:rPr>
                <w:sz w:val="20"/>
              </w:rPr>
              <w:t xml:space="preserve">  </w:t>
            </w:r>
          </w:p>
        </w:tc>
        <w:tc>
          <w:tcPr>
            <w:tcW w:w="1658"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0" w:firstLine="18"/>
              <w:jc w:val="center"/>
            </w:pPr>
            <w:r>
              <w:rPr>
                <w:sz w:val="20"/>
              </w:rPr>
              <w:t xml:space="preserve">Буџет централног нивоа државе </w:t>
            </w:r>
          </w:p>
        </w:tc>
        <w:tc>
          <w:tcPr>
            <w:tcW w:w="1532" w:type="dxa"/>
            <w:tcBorders>
              <w:top w:val="single" w:sz="8" w:space="0" w:color="000000"/>
              <w:left w:val="single" w:sz="8" w:space="0" w:color="000000"/>
              <w:bottom w:val="single" w:sz="8" w:space="0" w:color="000000"/>
              <w:right w:val="single" w:sz="8" w:space="0" w:color="000000"/>
            </w:tcBorders>
            <w:vAlign w:val="center"/>
          </w:tcPr>
          <w:p w:rsidR="00E8309B" w:rsidRDefault="009D0949">
            <w:pPr>
              <w:spacing w:after="0" w:line="259" w:lineRule="auto"/>
              <w:ind w:left="0" w:right="0" w:firstLine="0"/>
              <w:jc w:val="center"/>
            </w:pPr>
            <w:r>
              <w:rPr>
                <w:sz w:val="20"/>
              </w:rPr>
              <w:t xml:space="preserve">Локални буџети </w:t>
            </w:r>
          </w:p>
        </w:tc>
        <w:tc>
          <w:tcPr>
            <w:tcW w:w="1889"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0" w:firstLine="0"/>
              <w:jc w:val="center"/>
            </w:pPr>
            <w:r>
              <w:rPr>
                <w:sz w:val="20"/>
              </w:rPr>
              <w:t xml:space="preserve">Други домаћи извори јавних финансија </w:t>
            </w:r>
          </w:p>
        </w:tc>
        <w:tc>
          <w:tcPr>
            <w:tcW w:w="1592" w:type="dxa"/>
            <w:tcBorders>
              <w:top w:val="single" w:sz="8" w:space="0" w:color="000000"/>
              <w:left w:val="single" w:sz="8" w:space="0" w:color="000000"/>
              <w:bottom w:val="single" w:sz="8" w:space="0" w:color="000000"/>
              <w:right w:val="single" w:sz="8" w:space="0" w:color="000000"/>
            </w:tcBorders>
            <w:vAlign w:val="center"/>
          </w:tcPr>
          <w:p w:rsidR="00E8309B" w:rsidRDefault="009D0949">
            <w:pPr>
              <w:spacing w:after="0" w:line="259" w:lineRule="auto"/>
              <w:ind w:left="79" w:right="0" w:firstLine="0"/>
              <w:jc w:val="left"/>
            </w:pPr>
            <w:r>
              <w:rPr>
                <w:sz w:val="20"/>
              </w:rPr>
              <w:t xml:space="preserve">ИПА фондови </w:t>
            </w:r>
          </w:p>
        </w:tc>
        <w:tc>
          <w:tcPr>
            <w:tcW w:w="1481"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0" w:firstLine="0"/>
              <w:jc w:val="center"/>
            </w:pPr>
            <w:r>
              <w:rPr>
                <w:sz w:val="20"/>
              </w:rPr>
              <w:t xml:space="preserve">Друга бесповратна средства  </w:t>
            </w:r>
          </w:p>
        </w:tc>
        <w:tc>
          <w:tcPr>
            <w:tcW w:w="1757" w:type="dxa"/>
            <w:tcBorders>
              <w:top w:val="single" w:sz="8" w:space="0" w:color="000000"/>
              <w:left w:val="single" w:sz="8" w:space="0" w:color="000000"/>
              <w:bottom w:val="single" w:sz="8" w:space="0" w:color="000000"/>
              <w:right w:val="single" w:sz="8" w:space="0" w:color="000000"/>
            </w:tcBorders>
            <w:vAlign w:val="center"/>
          </w:tcPr>
          <w:p w:rsidR="00E8309B" w:rsidRDefault="009D0949">
            <w:pPr>
              <w:spacing w:after="0" w:line="259" w:lineRule="auto"/>
              <w:ind w:left="0" w:right="0" w:firstLine="0"/>
              <w:jc w:val="center"/>
            </w:pPr>
            <w:r>
              <w:rPr>
                <w:sz w:val="20"/>
              </w:rPr>
              <w:t xml:space="preserve">Пројектни кредити  </w:t>
            </w:r>
          </w:p>
        </w:tc>
        <w:tc>
          <w:tcPr>
            <w:tcW w:w="1481" w:type="dxa"/>
            <w:tcBorders>
              <w:top w:val="single" w:sz="8" w:space="0" w:color="000000"/>
              <w:left w:val="single" w:sz="8" w:space="0" w:color="000000"/>
              <w:bottom w:val="single" w:sz="8" w:space="0" w:color="000000"/>
              <w:right w:val="single" w:sz="8" w:space="0" w:color="000000"/>
            </w:tcBorders>
            <w:vAlign w:val="center"/>
          </w:tcPr>
          <w:p w:rsidR="00E8309B" w:rsidRDefault="009D0949">
            <w:pPr>
              <w:spacing w:after="0" w:line="259" w:lineRule="auto"/>
              <w:ind w:left="15" w:right="15" w:firstLine="0"/>
              <w:jc w:val="center"/>
            </w:pPr>
            <w:r>
              <w:rPr>
                <w:sz w:val="20"/>
              </w:rPr>
              <w:t xml:space="preserve">Тек треба да се утврди </w:t>
            </w:r>
          </w:p>
        </w:tc>
        <w:tc>
          <w:tcPr>
            <w:tcW w:w="1752" w:type="dxa"/>
            <w:tcBorders>
              <w:top w:val="single" w:sz="8" w:space="0" w:color="000000"/>
              <w:left w:val="single" w:sz="8" w:space="0" w:color="000000"/>
              <w:bottom w:val="single" w:sz="8" w:space="0" w:color="000000"/>
              <w:right w:val="single" w:sz="8" w:space="0" w:color="000000"/>
            </w:tcBorders>
            <w:vAlign w:val="center"/>
          </w:tcPr>
          <w:p w:rsidR="00E8309B" w:rsidRDefault="009D0949">
            <w:pPr>
              <w:spacing w:after="0" w:line="259" w:lineRule="auto"/>
              <w:ind w:left="0" w:right="49" w:firstLine="0"/>
              <w:jc w:val="center"/>
            </w:pPr>
            <w:r>
              <w:rPr>
                <w:sz w:val="20"/>
              </w:rPr>
              <w:t>Укупно</w:t>
            </w:r>
            <w:r>
              <w:rPr>
                <w:sz w:val="20"/>
              </w:rPr>
              <w:t xml:space="preserve"> </w:t>
            </w:r>
          </w:p>
        </w:tc>
      </w:tr>
      <w:tr w:rsidR="00E8309B">
        <w:trPr>
          <w:trHeight w:val="336"/>
        </w:trPr>
        <w:tc>
          <w:tcPr>
            <w:tcW w:w="1210"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1" w:firstLine="0"/>
              <w:jc w:val="center"/>
            </w:pPr>
            <w:r>
              <w:rPr>
                <w:sz w:val="20"/>
              </w:rPr>
              <w:t xml:space="preserve">2021 </w:t>
            </w:r>
          </w:p>
        </w:tc>
        <w:tc>
          <w:tcPr>
            <w:tcW w:w="1658"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3" w:firstLine="0"/>
              <w:jc w:val="right"/>
            </w:pPr>
            <w:r>
              <w:rPr>
                <w:sz w:val="20"/>
              </w:rPr>
              <w:t xml:space="preserve">5.383.333,00 </w:t>
            </w:r>
          </w:p>
        </w:tc>
        <w:tc>
          <w:tcPr>
            <w:tcW w:w="1532"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5" w:firstLine="0"/>
              <w:jc w:val="right"/>
            </w:pPr>
            <w:r>
              <w:rPr>
                <w:sz w:val="20"/>
              </w:rPr>
              <w:t xml:space="preserve">0 </w:t>
            </w:r>
          </w:p>
        </w:tc>
        <w:tc>
          <w:tcPr>
            <w:tcW w:w="1889"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3" w:firstLine="0"/>
              <w:jc w:val="right"/>
            </w:pPr>
            <w:r>
              <w:rPr>
                <w:sz w:val="20"/>
              </w:rPr>
              <w:t xml:space="preserve">0 </w:t>
            </w:r>
          </w:p>
        </w:tc>
        <w:tc>
          <w:tcPr>
            <w:tcW w:w="1592"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3" w:firstLine="0"/>
              <w:jc w:val="right"/>
            </w:pPr>
            <w:r>
              <w:rPr>
                <w:sz w:val="20"/>
              </w:rPr>
              <w:t xml:space="preserve">0 </w:t>
            </w:r>
          </w:p>
        </w:tc>
        <w:tc>
          <w:tcPr>
            <w:tcW w:w="1481"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3" w:firstLine="0"/>
              <w:jc w:val="right"/>
            </w:pPr>
            <w:r>
              <w:rPr>
                <w:sz w:val="20"/>
              </w:rPr>
              <w:t xml:space="preserve">0 </w:t>
            </w:r>
          </w:p>
        </w:tc>
        <w:tc>
          <w:tcPr>
            <w:tcW w:w="1757"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3" w:firstLine="0"/>
              <w:jc w:val="right"/>
            </w:pPr>
            <w:r>
              <w:rPr>
                <w:sz w:val="20"/>
              </w:rPr>
              <w:t xml:space="preserve">35.000.000,00 </w:t>
            </w:r>
          </w:p>
        </w:tc>
        <w:tc>
          <w:tcPr>
            <w:tcW w:w="1481"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3" w:firstLine="0"/>
              <w:jc w:val="right"/>
            </w:pPr>
            <w:r>
              <w:rPr>
                <w:sz w:val="20"/>
              </w:rPr>
              <w:t xml:space="preserve">0 </w:t>
            </w:r>
          </w:p>
        </w:tc>
        <w:tc>
          <w:tcPr>
            <w:tcW w:w="1752"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67" w:right="0" w:firstLine="0"/>
              <w:jc w:val="left"/>
            </w:pPr>
            <w:r>
              <w:rPr>
                <w:sz w:val="20"/>
              </w:rPr>
              <w:t xml:space="preserve">  40.383.333,00 </w:t>
            </w:r>
          </w:p>
        </w:tc>
      </w:tr>
      <w:tr w:rsidR="00E8309B">
        <w:trPr>
          <w:trHeight w:val="334"/>
        </w:trPr>
        <w:tc>
          <w:tcPr>
            <w:tcW w:w="1210"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1" w:firstLine="0"/>
              <w:jc w:val="center"/>
            </w:pPr>
            <w:r>
              <w:rPr>
                <w:sz w:val="20"/>
              </w:rPr>
              <w:t xml:space="preserve">2022 </w:t>
            </w:r>
          </w:p>
        </w:tc>
        <w:tc>
          <w:tcPr>
            <w:tcW w:w="1658"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3" w:firstLine="0"/>
              <w:jc w:val="right"/>
            </w:pPr>
            <w:r>
              <w:rPr>
                <w:sz w:val="20"/>
              </w:rPr>
              <w:t xml:space="preserve">5.373.333,00 </w:t>
            </w:r>
          </w:p>
        </w:tc>
        <w:tc>
          <w:tcPr>
            <w:tcW w:w="1532"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5" w:firstLine="0"/>
              <w:jc w:val="right"/>
            </w:pPr>
            <w:r>
              <w:rPr>
                <w:sz w:val="20"/>
              </w:rPr>
              <w:t xml:space="preserve">0 </w:t>
            </w:r>
          </w:p>
        </w:tc>
        <w:tc>
          <w:tcPr>
            <w:tcW w:w="1889"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3" w:firstLine="0"/>
              <w:jc w:val="right"/>
            </w:pPr>
            <w:r>
              <w:rPr>
                <w:sz w:val="20"/>
              </w:rPr>
              <w:t xml:space="preserve">0 </w:t>
            </w:r>
          </w:p>
        </w:tc>
        <w:tc>
          <w:tcPr>
            <w:tcW w:w="1592"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3" w:firstLine="0"/>
              <w:jc w:val="right"/>
            </w:pPr>
            <w:r>
              <w:rPr>
                <w:sz w:val="20"/>
              </w:rPr>
              <w:t xml:space="preserve">0 </w:t>
            </w:r>
          </w:p>
        </w:tc>
        <w:tc>
          <w:tcPr>
            <w:tcW w:w="1481"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3" w:firstLine="0"/>
              <w:jc w:val="right"/>
            </w:pPr>
            <w:r>
              <w:rPr>
                <w:sz w:val="20"/>
              </w:rPr>
              <w:t xml:space="preserve">0 </w:t>
            </w:r>
          </w:p>
        </w:tc>
        <w:tc>
          <w:tcPr>
            <w:tcW w:w="1757"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3" w:firstLine="0"/>
              <w:jc w:val="right"/>
            </w:pPr>
            <w:r>
              <w:rPr>
                <w:sz w:val="20"/>
              </w:rPr>
              <w:t xml:space="preserve">0 </w:t>
            </w:r>
          </w:p>
        </w:tc>
        <w:tc>
          <w:tcPr>
            <w:tcW w:w="1481"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3" w:firstLine="0"/>
              <w:jc w:val="right"/>
            </w:pPr>
            <w:r>
              <w:rPr>
                <w:sz w:val="20"/>
              </w:rPr>
              <w:t xml:space="preserve">0 </w:t>
            </w:r>
          </w:p>
        </w:tc>
        <w:tc>
          <w:tcPr>
            <w:tcW w:w="1752"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1" w:firstLine="0"/>
              <w:jc w:val="right"/>
            </w:pPr>
            <w:r>
              <w:rPr>
                <w:sz w:val="20"/>
              </w:rPr>
              <w:t xml:space="preserve">5.373.333,00 </w:t>
            </w:r>
          </w:p>
        </w:tc>
      </w:tr>
      <w:tr w:rsidR="00E8309B">
        <w:trPr>
          <w:trHeight w:val="338"/>
        </w:trPr>
        <w:tc>
          <w:tcPr>
            <w:tcW w:w="1210"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1" w:firstLine="0"/>
              <w:jc w:val="center"/>
            </w:pPr>
            <w:r>
              <w:rPr>
                <w:sz w:val="20"/>
              </w:rPr>
              <w:t xml:space="preserve">2023 </w:t>
            </w:r>
          </w:p>
        </w:tc>
        <w:tc>
          <w:tcPr>
            <w:tcW w:w="1658"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3" w:firstLine="0"/>
              <w:jc w:val="right"/>
            </w:pPr>
            <w:r>
              <w:rPr>
                <w:sz w:val="20"/>
              </w:rPr>
              <w:t xml:space="preserve">5.373.333,00 </w:t>
            </w:r>
          </w:p>
        </w:tc>
        <w:tc>
          <w:tcPr>
            <w:tcW w:w="1532"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5" w:firstLine="0"/>
              <w:jc w:val="right"/>
            </w:pPr>
            <w:r>
              <w:rPr>
                <w:sz w:val="20"/>
              </w:rPr>
              <w:t xml:space="preserve">0 </w:t>
            </w:r>
          </w:p>
        </w:tc>
        <w:tc>
          <w:tcPr>
            <w:tcW w:w="1889"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3" w:firstLine="0"/>
              <w:jc w:val="right"/>
            </w:pPr>
            <w:r>
              <w:rPr>
                <w:sz w:val="20"/>
              </w:rPr>
              <w:t xml:space="preserve">0 </w:t>
            </w:r>
          </w:p>
        </w:tc>
        <w:tc>
          <w:tcPr>
            <w:tcW w:w="1592"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3" w:firstLine="0"/>
              <w:jc w:val="right"/>
            </w:pPr>
            <w:r>
              <w:rPr>
                <w:sz w:val="20"/>
              </w:rPr>
              <w:t xml:space="preserve">0 </w:t>
            </w:r>
          </w:p>
        </w:tc>
        <w:tc>
          <w:tcPr>
            <w:tcW w:w="1481"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3" w:firstLine="0"/>
              <w:jc w:val="right"/>
            </w:pPr>
            <w:r>
              <w:rPr>
                <w:sz w:val="20"/>
              </w:rPr>
              <w:t xml:space="preserve">0 </w:t>
            </w:r>
          </w:p>
        </w:tc>
        <w:tc>
          <w:tcPr>
            <w:tcW w:w="1757"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3" w:firstLine="0"/>
              <w:jc w:val="right"/>
            </w:pPr>
            <w:r>
              <w:rPr>
                <w:sz w:val="20"/>
              </w:rPr>
              <w:t xml:space="preserve">0 </w:t>
            </w:r>
          </w:p>
        </w:tc>
        <w:tc>
          <w:tcPr>
            <w:tcW w:w="1481"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3" w:firstLine="0"/>
              <w:jc w:val="right"/>
            </w:pPr>
            <w:r>
              <w:rPr>
                <w:sz w:val="20"/>
              </w:rPr>
              <w:t xml:space="preserve">0 </w:t>
            </w:r>
          </w:p>
        </w:tc>
        <w:tc>
          <w:tcPr>
            <w:tcW w:w="1752"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1" w:firstLine="0"/>
              <w:jc w:val="right"/>
            </w:pPr>
            <w:r>
              <w:rPr>
                <w:sz w:val="20"/>
              </w:rPr>
              <w:t xml:space="preserve">5.373.333,00 </w:t>
            </w:r>
          </w:p>
        </w:tc>
      </w:tr>
      <w:tr w:rsidR="00E8309B">
        <w:trPr>
          <w:trHeight w:val="476"/>
        </w:trPr>
        <w:tc>
          <w:tcPr>
            <w:tcW w:w="9361" w:type="dxa"/>
            <w:gridSpan w:val="6"/>
            <w:tcBorders>
              <w:top w:val="single" w:sz="8" w:space="0" w:color="000000"/>
              <w:left w:val="single" w:sz="8" w:space="0" w:color="000000"/>
              <w:bottom w:val="single" w:sz="8" w:space="0" w:color="000000"/>
              <w:right w:val="nil"/>
            </w:tcBorders>
            <w:shd w:val="clear" w:color="auto" w:fill="D0CECE"/>
          </w:tcPr>
          <w:p w:rsidR="00E8309B" w:rsidRDefault="009D0949">
            <w:pPr>
              <w:spacing w:after="0" w:line="259" w:lineRule="auto"/>
              <w:ind w:left="0" w:right="0" w:firstLine="0"/>
              <w:jc w:val="left"/>
            </w:pPr>
            <w:r>
              <w:rPr>
                <w:b/>
                <w:sz w:val="20"/>
              </w:rPr>
              <w:t xml:space="preserve">22. Унапређење амбијента за подстицање, подршку и праћење циркуларних и економских миграција  </w:t>
            </w:r>
          </w:p>
        </w:tc>
        <w:tc>
          <w:tcPr>
            <w:tcW w:w="1757" w:type="dxa"/>
            <w:tcBorders>
              <w:top w:val="single" w:sz="8" w:space="0" w:color="000000"/>
              <w:left w:val="nil"/>
              <w:bottom w:val="single" w:sz="8" w:space="0" w:color="000000"/>
              <w:right w:val="nil"/>
            </w:tcBorders>
            <w:shd w:val="clear" w:color="auto" w:fill="D0CECE"/>
            <w:vAlign w:val="bottom"/>
          </w:tcPr>
          <w:p w:rsidR="00E8309B" w:rsidRDefault="009D0949">
            <w:pPr>
              <w:spacing w:after="0" w:line="259" w:lineRule="auto"/>
              <w:ind w:left="5" w:right="0" w:firstLine="0"/>
              <w:jc w:val="left"/>
            </w:pPr>
            <w:r>
              <w:rPr>
                <w:b/>
                <w:sz w:val="20"/>
              </w:rPr>
              <w:t xml:space="preserve">  </w:t>
            </w:r>
          </w:p>
        </w:tc>
        <w:tc>
          <w:tcPr>
            <w:tcW w:w="1481" w:type="dxa"/>
            <w:tcBorders>
              <w:top w:val="single" w:sz="8" w:space="0" w:color="000000"/>
              <w:left w:val="nil"/>
              <w:bottom w:val="single" w:sz="8" w:space="0" w:color="000000"/>
              <w:right w:val="nil"/>
            </w:tcBorders>
            <w:shd w:val="clear" w:color="auto" w:fill="D0CECE"/>
            <w:vAlign w:val="bottom"/>
          </w:tcPr>
          <w:p w:rsidR="00E8309B" w:rsidRDefault="009D0949">
            <w:pPr>
              <w:spacing w:after="0" w:line="259" w:lineRule="auto"/>
              <w:ind w:left="5" w:right="0" w:firstLine="0"/>
              <w:jc w:val="left"/>
            </w:pPr>
            <w:r>
              <w:rPr>
                <w:b/>
                <w:sz w:val="20"/>
              </w:rPr>
              <w:t xml:space="preserve">  </w:t>
            </w:r>
          </w:p>
        </w:tc>
        <w:tc>
          <w:tcPr>
            <w:tcW w:w="1752" w:type="dxa"/>
            <w:tcBorders>
              <w:top w:val="single" w:sz="8" w:space="0" w:color="000000"/>
              <w:left w:val="nil"/>
              <w:bottom w:val="single" w:sz="8" w:space="0" w:color="000000"/>
              <w:right w:val="single" w:sz="8" w:space="0" w:color="000000"/>
            </w:tcBorders>
            <w:shd w:val="clear" w:color="auto" w:fill="D0CECE"/>
            <w:vAlign w:val="bottom"/>
          </w:tcPr>
          <w:p w:rsidR="00E8309B" w:rsidRDefault="009D0949">
            <w:pPr>
              <w:spacing w:after="0" w:line="259" w:lineRule="auto"/>
              <w:ind w:left="5" w:right="0" w:firstLine="0"/>
              <w:jc w:val="left"/>
            </w:pPr>
            <w:r>
              <w:rPr>
                <w:b/>
                <w:sz w:val="20"/>
              </w:rPr>
              <w:t xml:space="preserve">  </w:t>
            </w:r>
          </w:p>
        </w:tc>
      </w:tr>
      <w:tr w:rsidR="00E8309B">
        <w:trPr>
          <w:trHeight w:val="713"/>
        </w:trPr>
        <w:tc>
          <w:tcPr>
            <w:tcW w:w="1210" w:type="dxa"/>
            <w:tcBorders>
              <w:top w:val="single" w:sz="8" w:space="0" w:color="000000"/>
              <w:left w:val="single" w:sz="8" w:space="0" w:color="000000"/>
              <w:bottom w:val="single" w:sz="8" w:space="0" w:color="000000"/>
              <w:right w:val="single" w:sz="8" w:space="0" w:color="000000"/>
            </w:tcBorders>
            <w:vAlign w:val="bottom"/>
          </w:tcPr>
          <w:p w:rsidR="00E8309B" w:rsidRDefault="009D0949">
            <w:pPr>
              <w:spacing w:after="0" w:line="259" w:lineRule="auto"/>
              <w:ind w:left="0" w:right="54" w:firstLine="0"/>
              <w:jc w:val="center"/>
            </w:pPr>
            <w:r>
              <w:rPr>
                <w:b/>
                <w:sz w:val="20"/>
              </w:rPr>
              <w:t>Година</w:t>
            </w:r>
            <w:r>
              <w:rPr>
                <w:sz w:val="20"/>
              </w:rPr>
              <w:t xml:space="preserve">  </w:t>
            </w:r>
          </w:p>
        </w:tc>
        <w:tc>
          <w:tcPr>
            <w:tcW w:w="1658"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0" w:firstLine="18"/>
              <w:jc w:val="center"/>
            </w:pPr>
            <w:r>
              <w:rPr>
                <w:sz w:val="20"/>
              </w:rPr>
              <w:t xml:space="preserve">Буџет централног нивоа државе </w:t>
            </w:r>
          </w:p>
        </w:tc>
        <w:tc>
          <w:tcPr>
            <w:tcW w:w="1532" w:type="dxa"/>
            <w:tcBorders>
              <w:top w:val="single" w:sz="8" w:space="0" w:color="000000"/>
              <w:left w:val="single" w:sz="8" w:space="0" w:color="000000"/>
              <w:bottom w:val="single" w:sz="8" w:space="0" w:color="000000"/>
              <w:right w:val="single" w:sz="8" w:space="0" w:color="000000"/>
            </w:tcBorders>
            <w:vAlign w:val="center"/>
          </w:tcPr>
          <w:p w:rsidR="00E8309B" w:rsidRDefault="009D0949">
            <w:pPr>
              <w:spacing w:after="0" w:line="259" w:lineRule="auto"/>
              <w:ind w:left="0" w:right="0" w:firstLine="0"/>
              <w:jc w:val="center"/>
            </w:pPr>
            <w:r>
              <w:rPr>
                <w:sz w:val="20"/>
              </w:rPr>
              <w:t xml:space="preserve">Локални буџети </w:t>
            </w:r>
          </w:p>
        </w:tc>
        <w:tc>
          <w:tcPr>
            <w:tcW w:w="1889"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0" w:firstLine="0"/>
              <w:jc w:val="center"/>
            </w:pPr>
            <w:r>
              <w:rPr>
                <w:sz w:val="20"/>
              </w:rPr>
              <w:t xml:space="preserve">Други домаћи извори јавних финансија </w:t>
            </w:r>
          </w:p>
        </w:tc>
        <w:tc>
          <w:tcPr>
            <w:tcW w:w="1592" w:type="dxa"/>
            <w:tcBorders>
              <w:top w:val="single" w:sz="8" w:space="0" w:color="000000"/>
              <w:left w:val="single" w:sz="8" w:space="0" w:color="000000"/>
              <w:bottom w:val="single" w:sz="8" w:space="0" w:color="000000"/>
              <w:right w:val="single" w:sz="8" w:space="0" w:color="000000"/>
            </w:tcBorders>
            <w:vAlign w:val="center"/>
          </w:tcPr>
          <w:p w:rsidR="00E8309B" w:rsidRDefault="009D0949">
            <w:pPr>
              <w:spacing w:after="0" w:line="259" w:lineRule="auto"/>
              <w:ind w:left="79" w:right="0" w:firstLine="0"/>
              <w:jc w:val="left"/>
            </w:pPr>
            <w:r>
              <w:rPr>
                <w:sz w:val="20"/>
              </w:rPr>
              <w:t xml:space="preserve">ИПА фондови </w:t>
            </w:r>
          </w:p>
        </w:tc>
        <w:tc>
          <w:tcPr>
            <w:tcW w:w="1481"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0" w:firstLine="0"/>
              <w:jc w:val="center"/>
            </w:pPr>
            <w:r>
              <w:rPr>
                <w:sz w:val="20"/>
              </w:rPr>
              <w:t xml:space="preserve">Друга бесповратна средства  </w:t>
            </w:r>
          </w:p>
        </w:tc>
        <w:tc>
          <w:tcPr>
            <w:tcW w:w="1757" w:type="dxa"/>
            <w:tcBorders>
              <w:top w:val="single" w:sz="8" w:space="0" w:color="000000"/>
              <w:left w:val="single" w:sz="8" w:space="0" w:color="000000"/>
              <w:bottom w:val="single" w:sz="8" w:space="0" w:color="000000"/>
              <w:right w:val="single" w:sz="8" w:space="0" w:color="000000"/>
            </w:tcBorders>
            <w:vAlign w:val="center"/>
          </w:tcPr>
          <w:p w:rsidR="00E8309B" w:rsidRDefault="009D0949">
            <w:pPr>
              <w:spacing w:after="0" w:line="259" w:lineRule="auto"/>
              <w:ind w:left="0" w:right="0" w:firstLine="0"/>
              <w:jc w:val="center"/>
            </w:pPr>
            <w:r>
              <w:rPr>
                <w:sz w:val="20"/>
              </w:rPr>
              <w:t xml:space="preserve">Пројектни кредити  </w:t>
            </w:r>
          </w:p>
        </w:tc>
        <w:tc>
          <w:tcPr>
            <w:tcW w:w="1481" w:type="dxa"/>
            <w:tcBorders>
              <w:top w:val="single" w:sz="8" w:space="0" w:color="000000"/>
              <w:left w:val="single" w:sz="8" w:space="0" w:color="000000"/>
              <w:bottom w:val="single" w:sz="8" w:space="0" w:color="000000"/>
              <w:right w:val="single" w:sz="8" w:space="0" w:color="000000"/>
            </w:tcBorders>
            <w:vAlign w:val="center"/>
          </w:tcPr>
          <w:p w:rsidR="00E8309B" w:rsidRDefault="009D0949">
            <w:pPr>
              <w:spacing w:after="0" w:line="259" w:lineRule="auto"/>
              <w:ind w:left="15" w:right="15" w:firstLine="0"/>
              <w:jc w:val="center"/>
            </w:pPr>
            <w:r>
              <w:rPr>
                <w:sz w:val="20"/>
              </w:rPr>
              <w:t xml:space="preserve">Тек треба да се утврди </w:t>
            </w:r>
          </w:p>
        </w:tc>
        <w:tc>
          <w:tcPr>
            <w:tcW w:w="1752" w:type="dxa"/>
            <w:tcBorders>
              <w:top w:val="single" w:sz="8" w:space="0" w:color="000000"/>
              <w:left w:val="single" w:sz="8" w:space="0" w:color="000000"/>
              <w:bottom w:val="single" w:sz="8" w:space="0" w:color="000000"/>
              <w:right w:val="single" w:sz="8" w:space="0" w:color="000000"/>
            </w:tcBorders>
            <w:vAlign w:val="center"/>
          </w:tcPr>
          <w:p w:rsidR="00E8309B" w:rsidRDefault="009D0949">
            <w:pPr>
              <w:spacing w:after="0" w:line="259" w:lineRule="auto"/>
              <w:ind w:left="0" w:right="49" w:firstLine="0"/>
              <w:jc w:val="center"/>
            </w:pPr>
            <w:r>
              <w:rPr>
                <w:sz w:val="20"/>
              </w:rPr>
              <w:t xml:space="preserve">Укупно </w:t>
            </w:r>
          </w:p>
        </w:tc>
      </w:tr>
      <w:tr w:rsidR="00E8309B">
        <w:trPr>
          <w:trHeight w:val="334"/>
        </w:trPr>
        <w:tc>
          <w:tcPr>
            <w:tcW w:w="1210"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1" w:firstLine="0"/>
              <w:jc w:val="center"/>
            </w:pPr>
            <w:r>
              <w:rPr>
                <w:sz w:val="20"/>
              </w:rPr>
              <w:t xml:space="preserve">2021 </w:t>
            </w:r>
          </w:p>
        </w:tc>
        <w:tc>
          <w:tcPr>
            <w:tcW w:w="1658"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2" w:firstLine="0"/>
              <w:jc w:val="right"/>
            </w:pPr>
            <w:r>
              <w:rPr>
                <w:sz w:val="20"/>
              </w:rPr>
              <w:t xml:space="preserve">162.500,00 </w:t>
            </w:r>
          </w:p>
        </w:tc>
        <w:tc>
          <w:tcPr>
            <w:tcW w:w="1532"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5" w:firstLine="0"/>
              <w:jc w:val="right"/>
            </w:pPr>
            <w:r>
              <w:rPr>
                <w:sz w:val="20"/>
              </w:rPr>
              <w:t xml:space="preserve">0 </w:t>
            </w:r>
          </w:p>
        </w:tc>
        <w:tc>
          <w:tcPr>
            <w:tcW w:w="1889"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3" w:firstLine="0"/>
              <w:jc w:val="right"/>
            </w:pPr>
            <w:r>
              <w:rPr>
                <w:sz w:val="20"/>
              </w:rPr>
              <w:t xml:space="preserve">0 </w:t>
            </w:r>
          </w:p>
        </w:tc>
        <w:tc>
          <w:tcPr>
            <w:tcW w:w="1592"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3" w:firstLine="0"/>
              <w:jc w:val="right"/>
            </w:pPr>
            <w:r>
              <w:rPr>
                <w:sz w:val="20"/>
              </w:rPr>
              <w:t xml:space="preserve">0 </w:t>
            </w:r>
          </w:p>
        </w:tc>
        <w:tc>
          <w:tcPr>
            <w:tcW w:w="1481"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2" w:firstLine="0"/>
              <w:jc w:val="right"/>
            </w:pPr>
            <w:r>
              <w:rPr>
                <w:sz w:val="20"/>
              </w:rPr>
              <w:t xml:space="preserve">82.480,00 </w:t>
            </w:r>
          </w:p>
        </w:tc>
        <w:tc>
          <w:tcPr>
            <w:tcW w:w="1757"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3" w:firstLine="0"/>
              <w:jc w:val="right"/>
            </w:pPr>
            <w:r>
              <w:rPr>
                <w:sz w:val="20"/>
              </w:rPr>
              <w:t xml:space="preserve">0 </w:t>
            </w:r>
          </w:p>
        </w:tc>
        <w:tc>
          <w:tcPr>
            <w:tcW w:w="1481"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3" w:firstLine="0"/>
              <w:jc w:val="right"/>
            </w:pPr>
            <w:r>
              <w:rPr>
                <w:sz w:val="20"/>
              </w:rPr>
              <w:t xml:space="preserve">0 </w:t>
            </w:r>
          </w:p>
        </w:tc>
        <w:tc>
          <w:tcPr>
            <w:tcW w:w="1752"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49" w:firstLine="0"/>
              <w:jc w:val="right"/>
            </w:pPr>
            <w:r>
              <w:rPr>
                <w:sz w:val="20"/>
              </w:rPr>
              <w:t xml:space="preserve">244.980,00 </w:t>
            </w:r>
          </w:p>
        </w:tc>
      </w:tr>
      <w:tr w:rsidR="00E8309B">
        <w:trPr>
          <w:trHeight w:val="336"/>
        </w:trPr>
        <w:tc>
          <w:tcPr>
            <w:tcW w:w="1210"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1" w:firstLine="0"/>
              <w:jc w:val="center"/>
            </w:pPr>
            <w:r>
              <w:rPr>
                <w:sz w:val="20"/>
              </w:rPr>
              <w:t xml:space="preserve">2022 </w:t>
            </w:r>
          </w:p>
        </w:tc>
        <w:tc>
          <w:tcPr>
            <w:tcW w:w="1658"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3" w:firstLine="0"/>
              <w:jc w:val="right"/>
            </w:pPr>
            <w:r>
              <w:rPr>
                <w:sz w:val="20"/>
              </w:rPr>
              <w:t xml:space="preserve">0 </w:t>
            </w:r>
          </w:p>
        </w:tc>
        <w:tc>
          <w:tcPr>
            <w:tcW w:w="1532"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5" w:firstLine="0"/>
              <w:jc w:val="right"/>
            </w:pPr>
            <w:r>
              <w:rPr>
                <w:sz w:val="20"/>
              </w:rPr>
              <w:t xml:space="preserve">0 </w:t>
            </w:r>
          </w:p>
        </w:tc>
        <w:tc>
          <w:tcPr>
            <w:tcW w:w="1889"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3" w:firstLine="0"/>
              <w:jc w:val="right"/>
            </w:pPr>
            <w:r>
              <w:rPr>
                <w:sz w:val="20"/>
              </w:rPr>
              <w:t xml:space="preserve">0 </w:t>
            </w:r>
          </w:p>
        </w:tc>
        <w:tc>
          <w:tcPr>
            <w:tcW w:w="1592"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3" w:firstLine="0"/>
              <w:jc w:val="right"/>
            </w:pPr>
            <w:r>
              <w:rPr>
                <w:sz w:val="20"/>
              </w:rPr>
              <w:t xml:space="preserve">0 </w:t>
            </w:r>
          </w:p>
        </w:tc>
        <w:tc>
          <w:tcPr>
            <w:tcW w:w="1481"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2" w:firstLine="0"/>
              <w:jc w:val="right"/>
            </w:pPr>
            <w:r>
              <w:rPr>
                <w:sz w:val="20"/>
              </w:rPr>
              <w:t xml:space="preserve">111.960,00 </w:t>
            </w:r>
          </w:p>
        </w:tc>
        <w:tc>
          <w:tcPr>
            <w:tcW w:w="1757"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3" w:firstLine="0"/>
              <w:jc w:val="right"/>
            </w:pPr>
            <w:r>
              <w:rPr>
                <w:sz w:val="20"/>
              </w:rPr>
              <w:t xml:space="preserve">0 </w:t>
            </w:r>
          </w:p>
        </w:tc>
        <w:tc>
          <w:tcPr>
            <w:tcW w:w="1481"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3" w:firstLine="0"/>
              <w:jc w:val="right"/>
            </w:pPr>
            <w:r>
              <w:rPr>
                <w:sz w:val="20"/>
              </w:rPr>
              <w:t xml:space="preserve">0 </w:t>
            </w:r>
          </w:p>
        </w:tc>
        <w:tc>
          <w:tcPr>
            <w:tcW w:w="1752"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0" w:firstLine="0"/>
              <w:jc w:val="right"/>
            </w:pPr>
            <w:r>
              <w:rPr>
                <w:sz w:val="20"/>
              </w:rPr>
              <w:t xml:space="preserve">111.960,00 </w:t>
            </w:r>
          </w:p>
        </w:tc>
      </w:tr>
      <w:tr w:rsidR="00E8309B">
        <w:trPr>
          <w:trHeight w:val="337"/>
        </w:trPr>
        <w:tc>
          <w:tcPr>
            <w:tcW w:w="1210"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1" w:firstLine="0"/>
              <w:jc w:val="center"/>
            </w:pPr>
            <w:r>
              <w:rPr>
                <w:sz w:val="20"/>
              </w:rPr>
              <w:t xml:space="preserve">2023 </w:t>
            </w:r>
          </w:p>
        </w:tc>
        <w:tc>
          <w:tcPr>
            <w:tcW w:w="1658"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3" w:firstLine="0"/>
              <w:jc w:val="right"/>
            </w:pPr>
            <w:r>
              <w:rPr>
                <w:sz w:val="20"/>
              </w:rPr>
              <w:t xml:space="preserve">0 </w:t>
            </w:r>
          </w:p>
        </w:tc>
        <w:tc>
          <w:tcPr>
            <w:tcW w:w="1532"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5" w:firstLine="0"/>
              <w:jc w:val="right"/>
            </w:pPr>
            <w:r>
              <w:rPr>
                <w:sz w:val="20"/>
              </w:rPr>
              <w:t xml:space="preserve">0 </w:t>
            </w:r>
          </w:p>
        </w:tc>
        <w:tc>
          <w:tcPr>
            <w:tcW w:w="1889"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3" w:firstLine="0"/>
              <w:jc w:val="right"/>
            </w:pPr>
            <w:r>
              <w:rPr>
                <w:sz w:val="20"/>
              </w:rPr>
              <w:t xml:space="preserve">0 </w:t>
            </w:r>
          </w:p>
        </w:tc>
        <w:tc>
          <w:tcPr>
            <w:tcW w:w="1592"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3" w:firstLine="0"/>
              <w:jc w:val="right"/>
            </w:pPr>
            <w:r>
              <w:rPr>
                <w:sz w:val="20"/>
              </w:rPr>
              <w:t xml:space="preserve">0 </w:t>
            </w:r>
          </w:p>
        </w:tc>
        <w:tc>
          <w:tcPr>
            <w:tcW w:w="1481"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2" w:firstLine="0"/>
              <w:jc w:val="right"/>
            </w:pPr>
            <w:r>
              <w:rPr>
                <w:sz w:val="20"/>
              </w:rPr>
              <w:t xml:space="preserve">98.960,00 </w:t>
            </w:r>
          </w:p>
        </w:tc>
        <w:tc>
          <w:tcPr>
            <w:tcW w:w="1757"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3" w:firstLine="0"/>
              <w:jc w:val="right"/>
            </w:pPr>
            <w:r>
              <w:rPr>
                <w:sz w:val="20"/>
              </w:rPr>
              <w:t xml:space="preserve">0 </w:t>
            </w:r>
          </w:p>
        </w:tc>
        <w:tc>
          <w:tcPr>
            <w:tcW w:w="1481"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3" w:firstLine="0"/>
              <w:jc w:val="right"/>
            </w:pPr>
            <w:r>
              <w:rPr>
                <w:sz w:val="20"/>
              </w:rPr>
              <w:t xml:space="preserve">0 </w:t>
            </w:r>
          </w:p>
        </w:tc>
        <w:tc>
          <w:tcPr>
            <w:tcW w:w="1752"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0" w:firstLine="0"/>
              <w:jc w:val="right"/>
            </w:pPr>
            <w:r>
              <w:rPr>
                <w:sz w:val="20"/>
              </w:rPr>
              <w:t xml:space="preserve">98.960,00 </w:t>
            </w:r>
          </w:p>
        </w:tc>
      </w:tr>
      <w:tr w:rsidR="00E8309B">
        <w:trPr>
          <w:trHeight w:val="330"/>
        </w:trPr>
        <w:tc>
          <w:tcPr>
            <w:tcW w:w="9361" w:type="dxa"/>
            <w:gridSpan w:val="6"/>
            <w:tcBorders>
              <w:top w:val="single" w:sz="8" w:space="0" w:color="000000"/>
              <w:left w:val="single" w:sz="8" w:space="0" w:color="000000"/>
              <w:bottom w:val="single" w:sz="8" w:space="0" w:color="000000"/>
              <w:right w:val="nil"/>
            </w:tcBorders>
            <w:shd w:val="clear" w:color="auto" w:fill="D0CECE"/>
            <w:vAlign w:val="bottom"/>
          </w:tcPr>
          <w:p w:rsidR="00E8309B" w:rsidRDefault="009D0949">
            <w:pPr>
              <w:tabs>
                <w:tab w:val="center" w:pos="7883"/>
              </w:tabs>
              <w:spacing w:after="0" w:line="259" w:lineRule="auto"/>
              <w:ind w:left="0" w:right="0" w:firstLine="0"/>
              <w:jc w:val="left"/>
            </w:pPr>
            <w:r>
              <w:rPr>
                <w:b/>
                <w:sz w:val="20"/>
              </w:rPr>
              <w:t xml:space="preserve">23. Унапређење адекватности, квалитета и таргетираности мера социјалне заштите  </w:t>
            </w:r>
            <w:r>
              <w:rPr>
                <w:b/>
                <w:sz w:val="20"/>
              </w:rPr>
              <w:tab/>
              <w:t xml:space="preserve">  </w:t>
            </w:r>
          </w:p>
        </w:tc>
        <w:tc>
          <w:tcPr>
            <w:tcW w:w="1757" w:type="dxa"/>
            <w:tcBorders>
              <w:top w:val="single" w:sz="8" w:space="0" w:color="000000"/>
              <w:left w:val="nil"/>
              <w:bottom w:val="single" w:sz="8" w:space="0" w:color="000000"/>
              <w:right w:val="nil"/>
            </w:tcBorders>
            <w:shd w:val="clear" w:color="auto" w:fill="D0CECE"/>
          </w:tcPr>
          <w:p w:rsidR="00E8309B" w:rsidRDefault="009D0949">
            <w:pPr>
              <w:spacing w:after="0" w:line="259" w:lineRule="auto"/>
              <w:ind w:left="5" w:right="0" w:firstLine="0"/>
              <w:jc w:val="left"/>
            </w:pPr>
            <w:r>
              <w:rPr>
                <w:b/>
                <w:sz w:val="20"/>
              </w:rPr>
              <w:t xml:space="preserve">  </w:t>
            </w:r>
          </w:p>
        </w:tc>
        <w:tc>
          <w:tcPr>
            <w:tcW w:w="1481" w:type="dxa"/>
            <w:tcBorders>
              <w:top w:val="single" w:sz="8" w:space="0" w:color="000000"/>
              <w:left w:val="nil"/>
              <w:bottom w:val="single" w:sz="8" w:space="0" w:color="000000"/>
              <w:right w:val="nil"/>
            </w:tcBorders>
            <w:shd w:val="clear" w:color="auto" w:fill="D0CECE"/>
          </w:tcPr>
          <w:p w:rsidR="00E8309B" w:rsidRDefault="009D0949">
            <w:pPr>
              <w:spacing w:after="0" w:line="259" w:lineRule="auto"/>
              <w:ind w:left="5" w:right="0" w:firstLine="0"/>
              <w:jc w:val="left"/>
            </w:pPr>
            <w:r>
              <w:rPr>
                <w:b/>
                <w:sz w:val="20"/>
              </w:rPr>
              <w:t xml:space="preserve">  </w:t>
            </w:r>
          </w:p>
        </w:tc>
        <w:tc>
          <w:tcPr>
            <w:tcW w:w="1752" w:type="dxa"/>
            <w:tcBorders>
              <w:top w:val="single" w:sz="8" w:space="0" w:color="000000"/>
              <w:left w:val="nil"/>
              <w:bottom w:val="single" w:sz="8" w:space="0" w:color="000000"/>
              <w:right w:val="single" w:sz="8" w:space="0" w:color="000000"/>
            </w:tcBorders>
            <w:shd w:val="clear" w:color="auto" w:fill="D0CECE"/>
          </w:tcPr>
          <w:p w:rsidR="00E8309B" w:rsidRDefault="009D0949">
            <w:pPr>
              <w:spacing w:after="0" w:line="259" w:lineRule="auto"/>
              <w:ind w:left="5" w:right="0" w:firstLine="0"/>
              <w:jc w:val="left"/>
            </w:pPr>
            <w:r>
              <w:rPr>
                <w:b/>
                <w:sz w:val="20"/>
              </w:rPr>
              <w:t xml:space="preserve">  </w:t>
            </w:r>
          </w:p>
        </w:tc>
      </w:tr>
      <w:tr w:rsidR="00E8309B">
        <w:trPr>
          <w:trHeight w:val="713"/>
        </w:trPr>
        <w:tc>
          <w:tcPr>
            <w:tcW w:w="1210" w:type="dxa"/>
            <w:tcBorders>
              <w:top w:val="single" w:sz="8" w:space="0" w:color="000000"/>
              <w:left w:val="single" w:sz="8" w:space="0" w:color="000000"/>
              <w:bottom w:val="single" w:sz="8" w:space="0" w:color="000000"/>
              <w:right w:val="single" w:sz="8" w:space="0" w:color="000000"/>
            </w:tcBorders>
            <w:vAlign w:val="bottom"/>
          </w:tcPr>
          <w:p w:rsidR="00E8309B" w:rsidRDefault="009D0949">
            <w:pPr>
              <w:spacing w:after="0" w:line="259" w:lineRule="auto"/>
              <w:ind w:left="0" w:right="54" w:firstLine="0"/>
              <w:jc w:val="center"/>
            </w:pPr>
            <w:r>
              <w:rPr>
                <w:b/>
                <w:sz w:val="20"/>
              </w:rPr>
              <w:t>Година</w:t>
            </w:r>
            <w:r>
              <w:rPr>
                <w:sz w:val="20"/>
              </w:rPr>
              <w:t xml:space="preserve">  </w:t>
            </w:r>
          </w:p>
        </w:tc>
        <w:tc>
          <w:tcPr>
            <w:tcW w:w="1658"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0" w:firstLine="18"/>
              <w:jc w:val="center"/>
            </w:pPr>
            <w:r>
              <w:rPr>
                <w:sz w:val="20"/>
              </w:rPr>
              <w:t xml:space="preserve">Буџет централног нивоа државе </w:t>
            </w:r>
          </w:p>
        </w:tc>
        <w:tc>
          <w:tcPr>
            <w:tcW w:w="1532" w:type="dxa"/>
            <w:tcBorders>
              <w:top w:val="single" w:sz="8" w:space="0" w:color="000000"/>
              <w:left w:val="single" w:sz="8" w:space="0" w:color="000000"/>
              <w:bottom w:val="single" w:sz="8" w:space="0" w:color="000000"/>
              <w:right w:val="single" w:sz="8" w:space="0" w:color="000000"/>
            </w:tcBorders>
            <w:vAlign w:val="center"/>
          </w:tcPr>
          <w:p w:rsidR="00E8309B" w:rsidRDefault="009D0949">
            <w:pPr>
              <w:spacing w:after="0" w:line="259" w:lineRule="auto"/>
              <w:ind w:left="0" w:right="0" w:firstLine="0"/>
              <w:jc w:val="center"/>
            </w:pPr>
            <w:r>
              <w:rPr>
                <w:sz w:val="20"/>
              </w:rPr>
              <w:t xml:space="preserve">Локални буџети </w:t>
            </w:r>
          </w:p>
        </w:tc>
        <w:tc>
          <w:tcPr>
            <w:tcW w:w="1889"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0" w:firstLine="0"/>
              <w:jc w:val="center"/>
            </w:pPr>
            <w:r>
              <w:rPr>
                <w:sz w:val="20"/>
              </w:rPr>
              <w:t xml:space="preserve">Други домаћи извори јавних финансија </w:t>
            </w:r>
          </w:p>
        </w:tc>
        <w:tc>
          <w:tcPr>
            <w:tcW w:w="1592" w:type="dxa"/>
            <w:tcBorders>
              <w:top w:val="single" w:sz="8" w:space="0" w:color="000000"/>
              <w:left w:val="single" w:sz="8" w:space="0" w:color="000000"/>
              <w:bottom w:val="single" w:sz="8" w:space="0" w:color="000000"/>
              <w:right w:val="single" w:sz="8" w:space="0" w:color="000000"/>
            </w:tcBorders>
            <w:vAlign w:val="center"/>
          </w:tcPr>
          <w:p w:rsidR="00E8309B" w:rsidRDefault="009D0949">
            <w:pPr>
              <w:spacing w:after="0" w:line="259" w:lineRule="auto"/>
              <w:ind w:left="79" w:right="0" w:firstLine="0"/>
              <w:jc w:val="left"/>
            </w:pPr>
            <w:r>
              <w:rPr>
                <w:sz w:val="20"/>
              </w:rPr>
              <w:t xml:space="preserve">ИПА фондови </w:t>
            </w:r>
          </w:p>
        </w:tc>
        <w:tc>
          <w:tcPr>
            <w:tcW w:w="1481"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0" w:firstLine="0"/>
              <w:jc w:val="center"/>
            </w:pPr>
            <w:r>
              <w:rPr>
                <w:sz w:val="20"/>
              </w:rPr>
              <w:t xml:space="preserve">Друга бесповратна средства  </w:t>
            </w:r>
          </w:p>
        </w:tc>
        <w:tc>
          <w:tcPr>
            <w:tcW w:w="1757" w:type="dxa"/>
            <w:tcBorders>
              <w:top w:val="single" w:sz="8" w:space="0" w:color="000000"/>
              <w:left w:val="single" w:sz="8" w:space="0" w:color="000000"/>
              <w:bottom w:val="single" w:sz="8" w:space="0" w:color="000000"/>
              <w:right w:val="single" w:sz="8" w:space="0" w:color="000000"/>
            </w:tcBorders>
            <w:vAlign w:val="center"/>
          </w:tcPr>
          <w:p w:rsidR="00E8309B" w:rsidRDefault="009D0949">
            <w:pPr>
              <w:spacing w:after="0" w:line="259" w:lineRule="auto"/>
              <w:ind w:left="0" w:right="0" w:firstLine="0"/>
              <w:jc w:val="center"/>
            </w:pPr>
            <w:r>
              <w:rPr>
                <w:sz w:val="20"/>
              </w:rPr>
              <w:t xml:space="preserve">Пројектни кредити  </w:t>
            </w:r>
          </w:p>
        </w:tc>
        <w:tc>
          <w:tcPr>
            <w:tcW w:w="1481" w:type="dxa"/>
            <w:tcBorders>
              <w:top w:val="single" w:sz="8" w:space="0" w:color="000000"/>
              <w:left w:val="single" w:sz="8" w:space="0" w:color="000000"/>
              <w:bottom w:val="single" w:sz="8" w:space="0" w:color="000000"/>
              <w:right w:val="single" w:sz="8" w:space="0" w:color="000000"/>
            </w:tcBorders>
            <w:vAlign w:val="center"/>
          </w:tcPr>
          <w:p w:rsidR="00E8309B" w:rsidRDefault="009D0949">
            <w:pPr>
              <w:spacing w:after="0" w:line="259" w:lineRule="auto"/>
              <w:ind w:left="15" w:right="15" w:firstLine="0"/>
              <w:jc w:val="center"/>
            </w:pPr>
            <w:r>
              <w:rPr>
                <w:sz w:val="20"/>
              </w:rPr>
              <w:t xml:space="preserve">Тек треба да се утврди </w:t>
            </w:r>
          </w:p>
        </w:tc>
        <w:tc>
          <w:tcPr>
            <w:tcW w:w="1752" w:type="dxa"/>
            <w:tcBorders>
              <w:top w:val="single" w:sz="8" w:space="0" w:color="000000"/>
              <w:left w:val="single" w:sz="8" w:space="0" w:color="000000"/>
              <w:bottom w:val="single" w:sz="8" w:space="0" w:color="000000"/>
              <w:right w:val="single" w:sz="8" w:space="0" w:color="000000"/>
            </w:tcBorders>
            <w:vAlign w:val="center"/>
          </w:tcPr>
          <w:p w:rsidR="00E8309B" w:rsidRDefault="009D0949">
            <w:pPr>
              <w:spacing w:after="0" w:line="259" w:lineRule="auto"/>
              <w:ind w:left="0" w:right="49" w:firstLine="0"/>
              <w:jc w:val="center"/>
            </w:pPr>
            <w:r>
              <w:rPr>
                <w:sz w:val="20"/>
              </w:rPr>
              <w:t xml:space="preserve">Укупно </w:t>
            </w:r>
          </w:p>
        </w:tc>
      </w:tr>
      <w:tr w:rsidR="00E8309B">
        <w:trPr>
          <w:trHeight w:val="334"/>
        </w:trPr>
        <w:tc>
          <w:tcPr>
            <w:tcW w:w="1210"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1" w:firstLine="0"/>
              <w:jc w:val="center"/>
            </w:pPr>
            <w:r>
              <w:rPr>
                <w:sz w:val="20"/>
              </w:rPr>
              <w:t xml:space="preserve">2021 </w:t>
            </w:r>
          </w:p>
        </w:tc>
        <w:tc>
          <w:tcPr>
            <w:tcW w:w="1658"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3" w:firstLine="0"/>
              <w:jc w:val="right"/>
            </w:pPr>
            <w:r>
              <w:rPr>
                <w:sz w:val="20"/>
              </w:rPr>
              <w:t xml:space="preserve">3.328.567,00 </w:t>
            </w:r>
          </w:p>
        </w:tc>
        <w:tc>
          <w:tcPr>
            <w:tcW w:w="1532"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5" w:firstLine="0"/>
              <w:jc w:val="right"/>
            </w:pPr>
            <w:r>
              <w:rPr>
                <w:sz w:val="20"/>
              </w:rPr>
              <w:t xml:space="preserve">0 </w:t>
            </w:r>
          </w:p>
        </w:tc>
        <w:tc>
          <w:tcPr>
            <w:tcW w:w="1889"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3" w:firstLine="0"/>
              <w:jc w:val="right"/>
            </w:pPr>
            <w:r>
              <w:rPr>
                <w:sz w:val="20"/>
              </w:rPr>
              <w:t xml:space="preserve">0 </w:t>
            </w:r>
          </w:p>
        </w:tc>
        <w:tc>
          <w:tcPr>
            <w:tcW w:w="1592"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3" w:firstLine="0"/>
              <w:jc w:val="right"/>
            </w:pPr>
            <w:r>
              <w:rPr>
                <w:sz w:val="20"/>
              </w:rPr>
              <w:t xml:space="preserve">0 </w:t>
            </w:r>
          </w:p>
        </w:tc>
        <w:tc>
          <w:tcPr>
            <w:tcW w:w="1481"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3" w:firstLine="0"/>
              <w:jc w:val="right"/>
            </w:pPr>
            <w:r>
              <w:rPr>
                <w:sz w:val="20"/>
              </w:rPr>
              <w:t xml:space="preserve">0 </w:t>
            </w:r>
          </w:p>
        </w:tc>
        <w:tc>
          <w:tcPr>
            <w:tcW w:w="1757"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3" w:firstLine="0"/>
              <w:jc w:val="right"/>
            </w:pPr>
            <w:r>
              <w:rPr>
                <w:sz w:val="20"/>
              </w:rPr>
              <w:t xml:space="preserve">0 </w:t>
            </w:r>
          </w:p>
        </w:tc>
        <w:tc>
          <w:tcPr>
            <w:tcW w:w="1481"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3" w:firstLine="0"/>
              <w:jc w:val="right"/>
            </w:pPr>
            <w:r>
              <w:rPr>
                <w:sz w:val="20"/>
              </w:rPr>
              <w:t xml:space="preserve">0 </w:t>
            </w:r>
          </w:p>
        </w:tc>
        <w:tc>
          <w:tcPr>
            <w:tcW w:w="1752"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1" w:firstLine="0"/>
              <w:jc w:val="right"/>
            </w:pPr>
            <w:r>
              <w:rPr>
                <w:sz w:val="20"/>
              </w:rPr>
              <w:t xml:space="preserve">3.328.567,00 </w:t>
            </w:r>
          </w:p>
        </w:tc>
      </w:tr>
      <w:tr w:rsidR="00E8309B">
        <w:trPr>
          <w:trHeight w:val="336"/>
        </w:trPr>
        <w:tc>
          <w:tcPr>
            <w:tcW w:w="1210"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1" w:firstLine="0"/>
              <w:jc w:val="center"/>
            </w:pPr>
            <w:r>
              <w:rPr>
                <w:sz w:val="20"/>
              </w:rPr>
              <w:t xml:space="preserve">2022 </w:t>
            </w:r>
          </w:p>
        </w:tc>
        <w:tc>
          <w:tcPr>
            <w:tcW w:w="1658"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3" w:firstLine="0"/>
              <w:jc w:val="right"/>
            </w:pPr>
            <w:r>
              <w:rPr>
                <w:sz w:val="20"/>
              </w:rPr>
              <w:t xml:space="preserve">0 </w:t>
            </w:r>
          </w:p>
        </w:tc>
        <w:tc>
          <w:tcPr>
            <w:tcW w:w="1532"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5" w:firstLine="0"/>
              <w:jc w:val="right"/>
            </w:pPr>
            <w:r>
              <w:rPr>
                <w:sz w:val="20"/>
              </w:rPr>
              <w:t xml:space="preserve">0 </w:t>
            </w:r>
          </w:p>
        </w:tc>
        <w:tc>
          <w:tcPr>
            <w:tcW w:w="1889"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3" w:firstLine="0"/>
              <w:jc w:val="right"/>
            </w:pPr>
            <w:r>
              <w:rPr>
                <w:sz w:val="20"/>
              </w:rPr>
              <w:t xml:space="preserve">0 </w:t>
            </w:r>
          </w:p>
        </w:tc>
        <w:tc>
          <w:tcPr>
            <w:tcW w:w="1592"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3" w:firstLine="0"/>
              <w:jc w:val="right"/>
            </w:pPr>
            <w:r>
              <w:rPr>
                <w:sz w:val="20"/>
              </w:rPr>
              <w:t xml:space="preserve">0 </w:t>
            </w:r>
          </w:p>
        </w:tc>
        <w:tc>
          <w:tcPr>
            <w:tcW w:w="1481"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3" w:firstLine="0"/>
              <w:jc w:val="right"/>
            </w:pPr>
            <w:r>
              <w:rPr>
                <w:sz w:val="20"/>
              </w:rPr>
              <w:t xml:space="preserve">0 </w:t>
            </w:r>
          </w:p>
        </w:tc>
        <w:tc>
          <w:tcPr>
            <w:tcW w:w="1757"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3" w:firstLine="0"/>
              <w:jc w:val="right"/>
            </w:pPr>
            <w:r>
              <w:rPr>
                <w:sz w:val="20"/>
              </w:rPr>
              <w:t xml:space="preserve">0 </w:t>
            </w:r>
          </w:p>
        </w:tc>
        <w:tc>
          <w:tcPr>
            <w:tcW w:w="1481"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3" w:firstLine="0"/>
              <w:jc w:val="right"/>
            </w:pPr>
            <w:r>
              <w:rPr>
                <w:sz w:val="20"/>
              </w:rPr>
              <w:t xml:space="preserve">0 </w:t>
            </w:r>
          </w:p>
        </w:tc>
        <w:tc>
          <w:tcPr>
            <w:tcW w:w="1752"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1" w:firstLine="0"/>
              <w:jc w:val="right"/>
            </w:pPr>
            <w:r>
              <w:rPr>
                <w:sz w:val="20"/>
              </w:rPr>
              <w:t xml:space="preserve">0 </w:t>
            </w:r>
          </w:p>
        </w:tc>
      </w:tr>
      <w:tr w:rsidR="00E8309B">
        <w:trPr>
          <w:trHeight w:val="337"/>
        </w:trPr>
        <w:tc>
          <w:tcPr>
            <w:tcW w:w="1210"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1" w:firstLine="0"/>
              <w:jc w:val="center"/>
            </w:pPr>
            <w:r>
              <w:rPr>
                <w:sz w:val="20"/>
              </w:rPr>
              <w:t xml:space="preserve">2023 </w:t>
            </w:r>
          </w:p>
        </w:tc>
        <w:tc>
          <w:tcPr>
            <w:tcW w:w="1658"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3" w:firstLine="0"/>
              <w:jc w:val="right"/>
            </w:pPr>
            <w:r>
              <w:rPr>
                <w:sz w:val="20"/>
              </w:rPr>
              <w:t xml:space="preserve">0 </w:t>
            </w:r>
          </w:p>
        </w:tc>
        <w:tc>
          <w:tcPr>
            <w:tcW w:w="1532"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5" w:firstLine="0"/>
              <w:jc w:val="right"/>
            </w:pPr>
            <w:r>
              <w:rPr>
                <w:sz w:val="20"/>
              </w:rPr>
              <w:t xml:space="preserve">0 </w:t>
            </w:r>
          </w:p>
        </w:tc>
        <w:tc>
          <w:tcPr>
            <w:tcW w:w="1889"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3" w:firstLine="0"/>
              <w:jc w:val="right"/>
            </w:pPr>
            <w:r>
              <w:rPr>
                <w:sz w:val="20"/>
              </w:rPr>
              <w:t xml:space="preserve">0 </w:t>
            </w:r>
          </w:p>
        </w:tc>
        <w:tc>
          <w:tcPr>
            <w:tcW w:w="1592"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3" w:firstLine="0"/>
              <w:jc w:val="right"/>
            </w:pPr>
            <w:r>
              <w:rPr>
                <w:sz w:val="20"/>
              </w:rPr>
              <w:t xml:space="preserve">0 </w:t>
            </w:r>
          </w:p>
        </w:tc>
        <w:tc>
          <w:tcPr>
            <w:tcW w:w="1481"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3" w:firstLine="0"/>
              <w:jc w:val="right"/>
            </w:pPr>
            <w:r>
              <w:rPr>
                <w:sz w:val="20"/>
              </w:rPr>
              <w:t xml:space="preserve">0 </w:t>
            </w:r>
          </w:p>
        </w:tc>
        <w:tc>
          <w:tcPr>
            <w:tcW w:w="1757"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3" w:firstLine="0"/>
              <w:jc w:val="right"/>
            </w:pPr>
            <w:r>
              <w:rPr>
                <w:sz w:val="20"/>
              </w:rPr>
              <w:t xml:space="preserve">0 </w:t>
            </w:r>
          </w:p>
        </w:tc>
        <w:tc>
          <w:tcPr>
            <w:tcW w:w="1481"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3" w:firstLine="0"/>
              <w:jc w:val="right"/>
            </w:pPr>
            <w:r>
              <w:rPr>
                <w:sz w:val="20"/>
              </w:rPr>
              <w:t xml:space="preserve">0 </w:t>
            </w:r>
          </w:p>
        </w:tc>
        <w:tc>
          <w:tcPr>
            <w:tcW w:w="1752"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1" w:firstLine="0"/>
              <w:jc w:val="right"/>
            </w:pPr>
            <w:r>
              <w:rPr>
                <w:sz w:val="20"/>
              </w:rPr>
              <w:t xml:space="preserve">0 </w:t>
            </w:r>
          </w:p>
        </w:tc>
      </w:tr>
      <w:tr w:rsidR="00E8309B">
        <w:trPr>
          <w:trHeight w:val="330"/>
        </w:trPr>
        <w:tc>
          <w:tcPr>
            <w:tcW w:w="9361" w:type="dxa"/>
            <w:gridSpan w:val="6"/>
            <w:tcBorders>
              <w:top w:val="single" w:sz="8" w:space="0" w:color="000000"/>
              <w:left w:val="single" w:sz="8" w:space="0" w:color="000000"/>
              <w:bottom w:val="single" w:sz="8" w:space="0" w:color="000000"/>
              <w:right w:val="nil"/>
            </w:tcBorders>
            <w:shd w:val="clear" w:color="auto" w:fill="D0CECE"/>
            <w:vAlign w:val="bottom"/>
          </w:tcPr>
          <w:p w:rsidR="00E8309B" w:rsidRDefault="009D0949">
            <w:pPr>
              <w:tabs>
                <w:tab w:val="center" w:pos="4403"/>
                <w:tab w:val="center" w:pos="6291"/>
                <w:tab w:val="center" w:pos="7883"/>
              </w:tabs>
              <w:spacing w:after="0" w:line="259" w:lineRule="auto"/>
              <w:ind w:left="0" w:right="0" w:firstLine="0"/>
              <w:jc w:val="left"/>
            </w:pPr>
            <w:r>
              <w:rPr>
                <w:b/>
                <w:sz w:val="20"/>
              </w:rPr>
              <w:t xml:space="preserve">24. Дигитализација здравственог система </w:t>
            </w:r>
            <w:r>
              <w:rPr>
                <w:b/>
                <w:sz w:val="20"/>
              </w:rPr>
              <w:tab/>
              <w:t xml:space="preserve">  </w:t>
            </w:r>
            <w:r>
              <w:rPr>
                <w:b/>
                <w:sz w:val="20"/>
              </w:rPr>
              <w:tab/>
              <w:t xml:space="preserve">  </w:t>
            </w:r>
            <w:r>
              <w:rPr>
                <w:b/>
                <w:sz w:val="20"/>
              </w:rPr>
              <w:tab/>
              <w:t xml:space="preserve">  </w:t>
            </w:r>
          </w:p>
        </w:tc>
        <w:tc>
          <w:tcPr>
            <w:tcW w:w="1757" w:type="dxa"/>
            <w:tcBorders>
              <w:top w:val="single" w:sz="8" w:space="0" w:color="000000"/>
              <w:left w:val="nil"/>
              <w:bottom w:val="single" w:sz="8" w:space="0" w:color="000000"/>
              <w:right w:val="nil"/>
            </w:tcBorders>
            <w:shd w:val="clear" w:color="auto" w:fill="D0CECE"/>
          </w:tcPr>
          <w:p w:rsidR="00E8309B" w:rsidRDefault="009D0949">
            <w:pPr>
              <w:spacing w:after="0" w:line="259" w:lineRule="auto"/>
              <w:ind w:left="5" w:right="0" w:firstLine="0"/>
              <w:jc w:val="left"/>
            </w:pPr>
            <w:r>
              <w:rPr>
                <w:b/>
                <w:sz w:val="20"/>
              </w:rPr>
              <w:t xml:space="preserve">  </w:t>
            </w:r>
          </w:p>
        </w:tc>
        <w:tc>
          <w:tcPr>
            <w:tcW w:w="1481" w:type="dxa"/>
            <w:tcBorders>
              <w:top w:val="single" w:sz="8" w:space="0" w:color="000000"/>
              <w:left w:val="nil"/>
              <w:bottom w:val="single" w:sz="8" w:space="0" w:color="000000"/>
              <w:right w:val="nil"/>
            </w:tcBorders>
            <w:shd w:val="clear" w:color="auto" w:fill="D0CECE"/>
          </w:tcPr>
          <w:p w:rsidR="00E8309B" w:rsidRDefault="009D0949">
            <w:pPr>
              <w:spacing w:after="0" w:line="259" w:lineRule="auto"/>
              <w:ind w:left="5" w:right="0" w:firstLine="0"/>
              <w:jc w:val="left"/>
            </w:pPr>
            <w:r>
              <w:rPr>
                <w:b/>
                <w:sz w:val="20"/>
              </w:rPr>
              <w:t xml:space="preserve">  </w:t>
            </w:r>
          </w:p>
        </w:tc>
        <w:tc>
          <w:tcPr>
            <w:tcW w:w="1752" w:type="dxa"/>
            <w:tcBorders>
              <w:top w:val="single" w:sz="8" w:space="0" w:color="000000"/>
              <w:left w:val="nil"/>
              <w:bottom w:val="single" w:sz="8" w:space="0" w:color="000000"/>
              <w:right w:val="single" w:sz="8" w:space="0" w:color="000000"/>
            </w:tcBorders>
            <w:shd w:val="clear" w:color="auto" w:fill="D0CECE"/>
          </w:tcPr>
          <w:p w:rsidR="00E8309B" w:rsidRDefault="009D0949">
            <w:pPr>
              <w:spacing w:after="0" w:line="259" w:lineRule="auto"/>
              <w:ind w:left="5" w:right="0" w:firstLine="0"/>
              <w:jc w:val="left"/>
            </w:pPr>
            <w:r>
              <w:rPr>
                <w:b/>
                <w:sz w:val="20"/>
              </w:rPr>
              <w:t xml:space="preserve">  </w:t>
            </w:r>
          </w:p>
        </w:tc>
      </w:tr>
      <w:tr w:rsidR="00E8309B">
        <w:trPr>
          <w:trHeight w:val="713"/>
        </w:trPr>
        <w:tc>
          <w:tcPr>
            <w:tcW w:w="1210" w:type="dxa"/>
            <w:tcBorders>
              <w:top w:val="single" w:sz="8" w:space="0" w:color="000000"/>
              <w:left w:val="single" w:sz="8" w:space="0" w:color="000000"/>
              <w:bottom w:val="single" w:sz="8" w:space="0" w:color="000000"/>
              <w:right w:val="single" w:sz="8" w:space="0" w:color="000000"/>
            </w:tcBorders>
            <w:vAlign w:val="bottom"/>
          </w:tcPr>
          <w:p w:rsidR="00E8309B" w:rsidRDefault="009D0949">
            <w:pPr>
              <w:spacing w:after="0" w:line="259" w:lineRule="auto"/>
              <w:ind w:left="0" w:right="54" w:firstLine="0"/>
              <w:jc w:val="center"/>
            </w:pPr>
            <w:r>
              <w:rPr>
                <w:b/>
                <w:sz w:val="20"/>
              </w:rPr>
              <w:t>Година</w:t>
            </w:r>
            <w:r>
              <w:rPr>
                <w:sz w:val="20"/>
              </w:rPr>
              <w:t xml:space="preserve">  </w:t>
            </w:r>
          </w:p>
        </w:tc>
        <w:tc>
          <w:tcPr>
            <w:tcW w:w="1658"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0" w:firstLine="18"/>
              <w:jc w:val="center"/>
            </w:pPr>
            <w:r>
              <w:rPr>
                <w:sz w:val="20"/>
              </w:rPr>
              <w:t xml:space="preserve">Буџет централног нивоа државе </w:t>
            </w:r>
          </w:p>
        </w:tc>
        <w:tc>
          <w:tcPr>
            <w:tcW w:w="1532" w:type="dxa"/>
            <w:tcBorders>
              <w:top w:val="single" w:sz="8" w:space="0" w:color="000000"/>
              <w:left w:val="single" w:sz="8" w:space="0" w:color="000000"/>
              <w:bottom w:val="single" w:sz="8" w:space="0" w:color="000000"/>
              <w:right w:val="single" w:sz="8" w:space="0" w:color="000000"/>
            </w:tcBorders>
            <w:vAlign w:val="center"/>
          </w:tcPr>
          <w:p w:rsidR="00E8309B" w:rsidRDefault="009D0949">
            <w:pPr>
              <w:spacing w:after="0" w:line="259" w:lineRule="auto"/>
              <w:ind w:left="0" w:right="0" w:firstLine="0"/>
              <w:jc w:val="center"/>
            </w:pPr>
            <w:r>
              <w:rPr>
                <w:sz w:val="20"/>
              </w:rPr>
              <w:t xml:space="preserve">Локални буџети </w:t>
            </w:r>
          </w:p>
        </w:tc>
        <w:tc>
          <w:tcPr>
            <w:tcW w:w="1889"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0" w:firstLine="0"/>
              <w:jc w:val="center"/>
            </w:pPr>
            <w:r>
              <w:rPr>
                <w:sz w:val="20"/>
              </w:rPr>
              <w:t xml:space="preserve">Други домаћи извори јавних финансија </w:t>
            </w:r>
          </w:p>
        </w:tc>
        <w:tc>
          <w:tcPr>
            <w:tcW w:w="1592" w:type="dxa"/>
            <w:tcBorders>
              <w:top w:val="single" w:sz="8" w:space="0" w:color="000000"/>
              <w:left w:val="single" w:sz="8" w:space="0" w:color="000000"/>
              <w:bottom w:val="single" w:sz="8" w:space="0" w:color="000000"/>
              <w:right w:val="single" w:sz="8" w:space="0" w:color="000000"/>
            </w:tcBorders>
            <w:vAlign w:val="center"/>
          </w:tcPr>
          <w:p w:rsidR="00E8309B" w:rsidRDefault="009D0949">
            <w:pPr>
              <w:spacing w:after="0" w:line="259" w:lineRule="auto"/>
              <w:ind w:left="79" w:right="0" w:firstLine="0"/>
              <w:jc w:val="left"/>
            </w:pPr>
            <w:r>
              <w:rPr>
                <w:sz w:val="20"/>
              </w:rPr>
              <w:t xml:space="preserve">ИПА фондови </w:t>
            </w:r>
          </w:p>
        </w:tc>
        <w:tc>
          <w:tcPr>
            <w:tcW w:w="1481"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0" w:firstLine="0"/>
              <w:jc w:val="center"/>
            </w:pPr>
            <w:r>
              <w:rPr>
                <w:sz w:val="20"/>
              </w:rPr>
              <w:t xml:space="preserve">Друга бесповратна средства  </w:t>
            </w:r>
          </w:p>
        </w:tc>
        <w:tc>
          <w:tcPr>
            <w:tcW w:w="1757" w:type="dxa"/>
            <w:tcBorders>
              <w:top w:val="single" w:sz="8" w:space="0" w:color="000000"/>
              <w:left w:val="single" w:sz="8" w:space="0" w:color="000000"/>
              <w:bottom w:val="single" w:sz="8" w:space="0" w:color="000000"/>
              <w:right w:val="single" w:sz="8" w:space="0" w:color="000000"/>
            </w:tcBorders>
            <w:vAlign w:val="center"/>
          </w:tcPr>
          <w:p w:rsidR="00E8309B" w:rsidRDefault="009D0949">
            <w:pPr>
              <w:spacing w:after="0" w:line="259" w:lineRule="auto"/>
              <w:ind w:left="0" w:right="0" w:firstLine="0"/>
              <w:jc w:val="center"/>
            </w:pPr>
            <w:r>
              <w:rPr>
                <w:sz w:val="20"/>
              </w:rPr>
              <w:t xml:space="preserve">Пројектни кредити  </w:t>
            </w:r>
          </w:p>
        </w:tc>
        <w:tc>
          <w:tcPr>
            <w:tcW w:w="1481" w:type="dxa"/>
            <w:tcBorders>
              <w:top w:val="single" w:sz="8" w:space="0" w:color="000000"/>
              <w:left w:val="single" w:sz="8" w:space="0" w:color="000000"/>
              <w:bottom w:val="single" w:sz="8" w:space="0" w:color="000000"/>
              <w:right w:val="single" w:sz="8" w:space="0" w:color="000000"/>
            </w:tcBorders>
            <w:vAlign w:val="center"/>
          </w:tcPr>
          <w:p w:rsidR="00E8309B" w:rsidRDefault="009D0949">
            <w:pPr>
              <w:spacing w:after="0" w:line="259" w:lineRule="auto"/>
              <w:ind w:left="15" w:right="15" w:firstLine="0"/>
              <w:jc w:val="center"/>
            </w:pPr>
            <w:r>
              <w:rPr>
                <w:sz w:val="20"/>
              </w:rPr>
              <w:t xml:space="preserve">Тек треба да се утврди </w:t>
            </w:r>
          </w:p>
        </w:tc>
        <w:tc>
          <w:tcPr>
            <w:tcW w:w="1752" w:type="dxa"/>
            <w:tcBorders>
              <w:top w:val="single" w:sz="8" w:space="0" w:color="000000"/>
              <w:left w:val="single" w:sz="8" w:space="0" w:color="000000"/>
              <w:bottom w:val="single" w:sz="8" w:space="0" w:color="000000"/>
              <w:right w:val="single" w:sz="8" w:space="0" w:color="000000"/>
            </w:tcBorders>
            <w:vAlign w:val="center"/>
          </w:tcPr>
          <w:p w:rsidR="00E8309B" w:rsidRDefault="009D0949">
            <w:pPr>
              <w:spacing w:after="0" w:line="259" w:lineRule="auto"/>
              <w:ind w:left="0" w:right="49" w:firstLine="0"/>
              <w:jc w:val="center"/>
            </w:pPr>
            <w:r>
              <w:rPr>
                <w:sz w:val="20"/>
              </w:rPr>
              <w:t xml:space="preserve">Укупно </w:t>
            </w:r>
          </w:p>
        </w:tc>
      </w:tr>
      <w:tr w:rsidR="00E8309B">
        <w:trPr>
          <w:trHeight w:val="334"/>
        </w:trPr>
        <w:tc>
          <w:tcPr>
            <w:tcW w:w="1210"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1" w:firstLine="0"/>
              <w:jc w:val="center"/>
            </w:pPr>
            <w:r>
              <w:rPr>
                <w:sz w:val="20"/>
              </w:rPr>
              <w:t xml:space="preserve">2021 </w:t>
            </w:r>
          </w:p>
        </w:tc>
        <w:tc>
          <w:tcPr>
            <w:tcW w:w="1658"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3" w:firstLine="0"/>
              <w:jc w:val="right"/>
            </w:pPr>
            <w:r>
              <w:rPr>
                <w:sz w:val="20"/>
              </w:rPr>
              <w:t xml:space="preserve">4.500.000,00 </w:t>
            </w:r>
          </w:p>
        </w:tc>
        <w:tc>
          <w:tcPr>
            <w:tcW w:w="1532"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5" w:firstLine="0"/>
              <w:jc w:val="right"/>
            </w:pPr>
            <w:r>
              <w:rPr>
                <w:sz w:val="20"/>
              </w:rPr>
              <w:t xml:space="preserve">0 </w:t>
            </w:r>
          </w:p>
        </w:tc>
        <w:tc>
          <w:tcPr>
            <w:tcW w:w="1889"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3" w:firstLine="0"/>
              <w:jc w:val="right"/>
            </w:pPr>
            <w:r>
              <w:rPr>
                <w:sz w:val="20"/>
              </w:rPr>
              <w:t xml:space="preserve">0 </w:t>
            </w:r>
          </w:p>
        </w:tc>
        <w:tc>
          <w:tcPr>
            <w:tcW w:w="1592"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3" w:firstLine="0"/>
              <w:jc w:val="right"/>
            </w:pPr>
            <w:r>
              <w:rPr>
                <w:sz w:val="20"/>
              </w:rPr>
              <w:t xml:space="preserve">0 </w:t>
            </w:r>
          </w:p>
        </w:tc>
        <w:tc>
          <w:tcPr>
            <w:tcW w:w="1481"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3" w:firstLine="0"/>
              <w:jc w:val="right"/>
            </w:pPr>
            <w:r>
              <w:rPr>
                <w:sz w:val="20"/>
              </w:rPr>
              <w:t xml:space="preserve">0 </w:t>
            </w:r>
          </w:p>
        </w:tc>
        <w:tc>
          <w:tcPr>
            <w:tcW w:w="1757"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3" w:firstLine="0"/>
              <w:jc w:val="right"/>
            </w:pPr>
            <w:r>
              <w:rPr>
                <w:sz w:val="20"/>
              </w:rPr>
              <w:t xml:space="preserve">0 </w:t>
            </w:r>
          </w:p>
        </w:tc>
        <w:tc>
          <w:tcPr>
            <w:tcW w:w="1481"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3" w:firstLine="0"/>
              <w:jc w:val="right"/>
            </w:pPr>
            <w:r>
              <w:rPr>
                <w:sz w:val="20"/>
              </w:rPr>
              <w:t xml:space="preserve">0 </w:t>
            </w:r>
          </w:p>
        </w:tc>
        <w:tc>
          <w:tcPr>
            <w:tcW w:w="1752"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1" w:firstLine="0"/>
              <w:jc w:val="right"/>
            </w:pPr>
            <w:r>
              <w:rPr>
                <w:sz w:val="20"/>
              </w:rPr>
              <w:t xml:space="preserve">4.500.000,00 </w:t>
            </w:r>
          </w:p>
        </w:tc>
      </w:tr>
      <w:tr w:rsidR="00E8309B">
        <w:trPr>
          <w:trHeight w:val="336"/>
        </w:trPr>
        <w:tc>
          <w:tcPr>
            <w:tcW w:w="1210"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1" w:firstLine="0"/>
              <w:jc w:val="center"/>
            </w:pPr>
            <w:r>
              <w:rPr>
                <w:sz w:val="20"/>
              </w:rPr>
              <w:t xml:space="preserve">2022 </w:t>
            </w:r>
          </w:p>
        </w:tc>
        <w:tc>
          <w:tcPr>
            <w:tcW w:w="1658"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3" w:firstLine="0"/>
              <w:jc w:val="right"/>
            </w:pPr>
            <w:r>
              <w:rPr>
                <w:sz w:val="20"/>
              </w:rPr>
              <w:t xml:space="preserve">4.500.000,00 </w:t>
            </w:r>
          </w:p>
        </w:tc>
        <w:tc>
          <w:tcPr>
            <w:tcW w:w="1532"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5" w:firstLine="0"/>
              <w:jc w:val="right"/>
            </w:pPr>
            <w:r>
              <w:rPr>
                <w:sz w:val="20"/>
              </w:rPr>
              <w:t xml:space="preserve">0 </w:t>
            </w:r>
          </w:p>
        </w:tc>
        <w:tc>
          <w:tcPr>
            <w:tcW w:w="1889"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3" w:firstLine="0"/>
              <w:jc w:val="right"/>
            </w:pPr>
            <w:r>
              <w:rPr>
                <w:sz w:val="20"/>
              </w:rPr>
              <w:t xml:space="preserve">0 </w:t>
            </w:r>
          </w:p>
        </w:tc>
        <w:tc>
          <w:tcPr>
            <w:tcW w:w="1592"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3" w:firstLine="0"/>
              <w:jc w:val="right"/>
            </w:pPr>
            <w:r>
              <w:rPr>
                <w:sz w:val="20"/>
              </w:rPr>
              <w:t xml:space="preserve">0 </w:t>
            </w:r>
          </w:p>
        </w:tc>
        <w:tc>
          <w:tcPr>
            <w:tcW w:w="1481"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3" w:firstLine="0"/>
              <w:jc w:val="right"/>
            </w:pPr>
            <w:r>
              <w:rPr>
                <w:sz w:val="20"/>
              </w:rPr>
              <w:t xml:space="preserve">0 </w:t>
            </w:r>
          </w:p>
        </w:tc>
        <w:tc>
          <w:tcPr>
            <w:tcW w:w="1757"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3" w:firstLine="0"/>
              <w:jc w:val="right"/>
            </w:pPr>
            <w:r>
              <w:rPr>
                <w:sz w:val="20"/>
              </w:rPr>
              <w:t xml:space="preserve">0 </w:t>
            </w:r>
          </w:p>
        </w:tc>
        <w:tc>
          <w:tcPr>
            <w:tcW w:w="1481"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3" w:firstLine="0"/>
              <w:jc w:val="right"/>
            </w:pPr>
            <w:r>
              <w:rPr>
                <w:sz w:val="20"/>
              </w:rPr>
              <w:t xml:space="preserve">0 </w:t>
            </w:r>
          </w:p>
        </w:tc>
        <w:tc>
          <w:tcPr>
            <w:tcW w:w="1752"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1" w:firstLine="0"/>
              <w:jc w:val="right"/>
            </w:pPr>
            <w:r>
              <w:rPr>
                <w:sz w:val="20"/>
              </w:rPr>
              <w:t xml:space="preserve">4.500.000,00 </w:t>
            </w:r>
          </w:p>
        </w:tc>
      </w:tr>
      <w:tr w:rsidR="00E8309B">
        <w:trPr>
          <w:trHeight w:val="338"/>
        </w:trPr>
        <w:tc>
          <w:tcPr>
            <w:tcW w:w="1210"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1" w:firstLine="0"/>
              <w:jc w:val="center"/>
            </w:pPr>
            <w:r>
              <w:rPr>
                <w:sz w:val="20"/>
              </w:rPr>
              <w:t xml:space="preserve">2023 </w:t>
            </w:r>
          </w:p>
        </w:tc>
        <w:tc>
          <w:tcPr>
            <w:tcW w:w="1658"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3" w:firstLine="0"/>
              <w:jc w:val="right"/>
            </w:pPr>
            <w:r>
              <w:rPr>
                <w:sz w:val="20"/>
              </w:rPr>
              <w:t xml:space="preserve">4.500.000,00 </w:t>
            </w:r>
          </w:p>
        </w:tc>
        <w:tc>
          <w:tcPr>
            <w:tcW w:w="1532"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5" w:firstLine="0"/>
              <w:jc w:val="right"/>
            </w:pPr>
            <w:r>
              <w:rPr>
                <w:sz w:val="20"/>
              </w:rPr>
              <w:t xml:space="preserve">0 </w:t>
            </w:r>
          </w:p>
        </w:tc>
        <w:tc>
          <w:tcPr>
            <w:tcW w:w="1889"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3" w:firstLine="0"/>
              <w:jc w:val="right"/>
            </w:pPr>
            <w:r>
              <w:rPr>
                <w:sz w:val="20"/>
              </w:rPr>
              <w:t xml:space="preserve">0 </w:t>
            </w:r>
          </w:p>
        </w:tc>
        <w:tc>
          <w:tcPr>
            <w:tcW w:w="1592"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3" w:firstLine="0"/>
              <w:jc w:val="right"/>
            </w:pPr>
            <w:r>
              <w:rPr>
                <w:sz w:val="20"/>
              </w:rPr>
              <w:t xml:space="preserve">0 </w:t>
            </w:r>
          </w:p>
        </w:tc>
        <w:tc>
          <w:tcPr>
            <w:tcW w:w="1481"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3" w:firstLine="0"/>
              <w:jc w:val="right"/>
            </w:pPr>
            <w:r>
              <w:rPr>
                <w:sz w:val="20"/>
              </w:rPr>
              <w:t xml:space="preserve">0 </w:t>
            </w:r>
          </w:p>
        </w:tc>
        <w:tc>
          <w:tcPr>
            <w:tcW w:w="1757"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3" w:firstLine="0"/>
              <w:jc w:val="right"/>
            </w:pPr>
            <w:r>
              <w:rPr>
                <w:sz w:val="20"/>
              </w:rPr>
              <w:t xml:space="preserve">0 </w:t>
            </w:r>
          </w:p>
        </w:tc>
        <w:tc>
          <w:tcPr>
            <w:tcW w:w="1481"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3" w:firstLine="0"/>
              <w:jc w:val="right"/>
            </w:pPr>
            <w:r>
              <w:rPr>
                <w:sz w:val="20"/>
              </w:rPr>
              <w:t xml:space="preserve">0 </w:t>
            </w:r>
          </w:p>
        </w:tc>
        <w:tc>
          <w:tcPr>
            <w:tcW w:w="1752" w:type="dxa"/>
            <w:tcBorders>
              <w:top w:val="single" w:sz="8" w:space="0" w:color="000000"/>
              <w:left w:val="single" w:sz="8" w:space="0" w:color="000000"/>
              <w:bottom w:val="single" w:sz="8" w:space="0" w:color="000000"/>
              <w:right w:val="single" w:sz="8" w:space="0" w:color="000000"/>
            </w:tcBorders>
          </w:tcPr>
          <w:p w:rsidR="00E8309B" w:rsidRDefault="009D0949">
            <w:pPr>
              <w:spacing w:after="0" w:line="259" w:lineRule="auto"/>
              <w:ind w:left="0" w:right="51" w:firstLine="0"/>
              <w:jc w:val="right"/>
            </w:pPr>
            <w:r>
              <w:rPr>
                <w:sz w:val="20"/>
              </w:rPr>
              <w:t xml:space="preserve">4.500.000,00 </w:t>
            </w:r>
          </w:p>
        </w:tc>
      </w:tr>
      <w:tr w:rsidR="00E8309B">
        <w:trPr>
          <w:trHeight w:val="436"/>
        </w:trPr>
        <w:tc>
          <w:tcPr>
            <w:tcW w:w="1210" w:type="dxa"/>
            <w:tcBorders>
              <w:top w:val="single" w:sz="8" w:space="0" w:color="000000"/>
              <w:left w:val="single" w:sz="8" w:space="0" w:color="000000"/>
              <w:bottom w:val="single" w:sz="8" w:space="0" w:color="000000"/>
              <w:right w:val="single" w:sz="8" w:space="0" w:color="000000"/>
            </w:tcBorders>
            <w:shd w:val="clear" w:color="auto" w:fill="D0CECE"/>
            <w:vAlign w:val="bottom"/>
          </w:tcPr>
          <w:p w:rsidR="00E8309B" w:rsidRDefault="009D0949">
            <w:pPr>
              <w:spacing w:after="0" w:line="259" w:lineRule="auto"/>
              <w:ind w:left="46" w:right="0" w:firstLine="0"/>
              <w:jc w:val="left"/>
            </w:pPr>
            <w:r>
              <w:rPr>
                <w:b/>
                <w:sz w:val="20"/>
              </w:rPr>
              <w:t xml:space="preserve">УКУПНО </w:t>
            </w:r>
          </w:p>
        </w:tc>
        <w:tc>
          <w:tcPr>
            <w:tcW w:w="1658" w:type="dxa"/>
            <w:tcBorders>
              <w:top w:val="single" w:sz="8" w:space="0" w:color="000000"/>
              <w:left w:val="single" w:sz="8" w:space="0" w:color="000000"/>
              <w:bottom w:val="single" w:sz="8" w:space="0" w:color="000000"/>
              <w:right w:val="single" w:sz="8" w:space="0" w:color="000000"/>
            </w:tcBorders>
            <w:shd w:val="clear" w:color="auto" w:fill="D0CECE"/>
            <w:vAlign w:val="bottom"/>
          </w:tcPr>
          <w:p w:rsidR="00E8309B" w:rsidRDefault="009D0949">
            <w:pPr>
              <w:spacing w:after="0" w:line="259" w:lineRule="auto"/>
              <w:ind w:left="0" w:right="52" w:firstLine="0"/>
              <w:jc w:val="right"/>
            </w:pPr>
            <w:r>
              <w:rPr>
                <w:b/>
                <w:sz w:val="20"/>
              </w:rPr>
              <w:t xml:space="preserve">341.825.889,9 </w:t>
            </w:r>
          </w:p>
        </w:tc>
        <w:tc>
          <w:tcPr>
            <w:tcW w:w="1532" w:type="dxa"/>
            <w:tcBorders>
              <w:top w:val="single" w:sz="8" w:space="0" w:color="000000"/>
              <w:left w:val="single" w:sz="8" w:space="0" w:color="000000"/>
              <w:bottom w:val="single" w:sz="8" w:space="0" w:color="000000"/>
              <w:right w:val="single" w:sz="8" w:space="0" w:color="000000"/>
            </w:tcBorders>
            <w:shd w:val="clear" w:color="auto" w:fill="D0CECE"/>
            <w:vAlign w:val="bottom"/>
          </w:tcPr>
          <w:p w:rsidR="00E8309B" w:rsidRDefault="009D0949">
            <w:pPr>
              <w:spacing w:after="0" w:line="259" w:lineRule="auto"/>
              <w:ind w:left="0" w:right="52" w:firstLine="0"/>
              <w:jc w:val="right"/>
            </w:pPr>
            <w:r>
              <w:rPr>
                <w:b/>
                <w:sz w:val="20"/>
              </w:rPr>
              <w:t xml:space="preserve">5.643.714,29 </w:t>
            </w:r>
          </w:p>
        </w:tc>
        <w:tc>
          <w:tcPr>
            <w:tcW w:w="1889" w:type="dxa"/>
            <w:tcBorders>
              <w:top w:val="single" w:sz="8" w:space="0" w:color="000000"/>
              <w:left w:val="single" w:sz="8" w:space="0" w:color="000000"/>
              <w:bottom w:val="single" w:sz="8" w:space="0" w:color="000000"/>
              <w:right w:val="single" w:sz="8" w:space="0" w:color="000000"/>
            </w:tcBorders>
            <w:shd w:val="clear" w:color="auto" w:fill="D0CECE"/>
            <w:vAlign w:val="bottom"/>
          </w:tcPr>
          <w:p w:rsidR="00E8309B" w:rsidRDefault="009D0949">
            <w:pPr>
              <w:spacing w:after="0" w:line="259" w:lineRule="auto"/>
              <w:ind w:left="0" w:right="52" w:firstLine="0"/>
              <w:jc w:val="right"/>
            </w:pPr>
            <w:r>
              <w:rPr>
                <w:b/>
                <w:sz w:val="20"/>
              </w:rPr>
              <w:t xml:space="preserve">120.000,00 </w:t>
            </w:r>
          </w:p>
        </w:tc>
        <w:tc>
          <w:tcPr>
            <w:tcW w:w="1592" w:type="dxa"/>
            <w:tcBorders>
              <w:top w:val="single" w:sz="8" w:space="0" w:color="000000"/>
              <w:left w:val="single" w:sz="8" w:space="0" w:color="000000"/>
              <w:bottom w:val="single" w:sz="8" w:space="0" w:color="000000"/>
              <w:right w:val="single" w:sz="8" w:space="0" w:color="000000"/>
            </w:tcBorders>
            <w:shd w:val="clear" w:color="auto" w:fill="D0CECE"/>
            <w:vAlign w:val="bottom"/>
          </w:tcPr>
          <w:p w:rsidR="00E8309B" w:rsidRDefault="009D0949">
            <w:pPr>
              <w:spacing w:after="0" w:line="259" w:lineRule="auto"/>
              <w:ind w:left="0" w:right="51" w:firstLine="0"/>
              <w:jc w:val="right"/>
            </w:pPr>
            <w:r>
              <w:rPr>
                <w:b/>
                <w:sz w:val="20"/>
              </w:rPr>
              <w:t xml:space="preserve">481.667.145,86 </w:t>
            </w:r>
          </w:p>
        </w:tc>
        <w:tc>
          <w:tcPr>
            <w:tcW w:w="1481" w:type="dxa"/>
            <w:tcBorders>
              <w:top w:val="single" w:sz="8" w:space="0" w:color="000000"/>
              <w:left w:val="single" w:sz="8" w:space="0" w:color="000000"/>
              <w:bottom w:val="single" w:sz="8" w:space="0" w:color="000000"/>
              <w:right w:val="single" w:sz="8" w:space="0" w:color="000000"/>
            </w:tcBorders>
            <w:shd w:val="clear" w:color="auto" w:fill="D0CECE"/>
            <w:vAlign w:val="bottom"/>
          </w:tcPr>
          <w:p w:rsidR="00E8309B" w:rsidRDefault="009D0949">
            <w:pPr>
              <w:spacing w:after="0" w:line="259" w:lineRule="auto"/>
              <w:ind w:left="0" w:right="51" w:firstLine="0"/>
              <w:jc w:val="right"/>
            </w:pPr>
            <w:r>
              <w:rPr>
                <w:b/>
                <w:sz w:val="20"/>
              </w:rPr>
              <w:t xml:space="preserve">28.634.409,76 </w:t>
            </w:r>
          </w:p>
        </w:tc>
        <w:tc>
          <w:tcPr>
            <w:tcW w:w="1757" w:type="dxa"/>
            <w:tcBorders>
              <w:top w:val="single" w:sz="8" w:space="0" w:color="000000"/>
              <w:left w:val="single" w:sz="8" w:space="0" w:color="000000"/>
              <w:bottom w:val="single" w:sz="8" w:space="0" w:color="000000"/>
              <w:right w:val="single" w:sz="8" w:space="0" w:color="000000"/>
            </w:tcBorders>
            <w:shd w:val="clear" w:color="auto" w:fill="D0CECE"/>
            <w:vAlign w:val="bottom"/>
          </w:tcPr>
          <w:p w:rsidR="00E8309B" w:rsidRDefault="009D0949">
            <w:pPr>
              <w:spacing w:after="0" w:line="259" w:lineRule="auto"/>
              <w:ind w:left="0" w:right="51" w:firstLine="0"/>
              <w:jc w:val="right"/>
            </w:pPr>
            <w:r>
              <w:rPr>
                <w:b/>
                <w:sz w:val="20"/>
              </w:rPr>
              <w:t xml:space="preserve">1.437.543.388,23 </w:t>
            </w:r>
          </w:p>
        </w:tc>
        <w:tc>
          <w:tcPr>
            <w:tcW w:w="1481" w:type="dxa"/>
            <w:tcBorders>
              <w:top w:val="single" w:sz="8" w:space="0" w:color="000000"/>
              <w:left w:val="single" w:sz="8" w:space="0" w:color="000000"/>
              <w:bottom w:val="single" w:sz="8" w:space="0" w:color="000000"/>
              <w:right w:val="single" w:sz="8" w:space="0" w:color="000000"/>
            </w:tcBorders>
            <w:shd w:val="clear" w:color="auto" w:fill="D0CECE"/>
            <w:vAlign w:val="bottom"/>
          </w:tcPr>
          <w:p w:rsidR="00E8309B" w:rsidRDefault="009D0949">
            <w:pPr>
              <w:spacing w:after="0" w:line="259" w:lineRule="auto"/>
              <w:ind w:left="0" w:right="51" w:firstLine="0"/>
              <w:jc w:val="right"/>
            </w:pPr>
            <w:r>
              <w:rPr>
                <w:b/>
                <w:sz w:val="20"/>
              </w:rPr>
              <w:t xml:space="preserve">94.781.511,00 </w:t>
            </w:r>
          </w:p>
        </w:tc>
        <w:tc>
          <w:tcPr>
            <w:tcW w:w="1752" w:type="dxa"/>
            <w:tcBorders>
              <w:top w:val="single" w:sz="8" w:space="0" w:color="000000"/>
              <w:left w:val="single" w:sz="8" w:space="0" w:color="000000"/>
              <w:bottom w:val="single" w:sz="8" w:space="0" w:color="000000"/>
              <w:right w:val="single" w:sz="8" w:space="0" w:color="000000"/>
            </w:tcBorders>
            <w:shd w:val="clear" w:color="auto" w:fill="D0CECE"/>
            <w:vAlign w:val="bottom"/>
          </w:tcPr>
          <w:p w:rsidR="00E8309B" w:rsidRDefault="009D0949">
            <w:pPr>
              <w:spacing w:after="0" w:line="259" w:lineRule="auto"/>
              <w:ind w:left="0" w:right="51" w:firstLine="0"/>
              <w:jc w:val="right"/>
            </w:pPr>
            <w:r>
              <w:rPr>
                <w:b/>
                <w:sz w:val="20"/>
              </w:rPr>
              <w:t xml:space="preserve">2.390.519.818,47 </w:t>
            </w:r>
          </w:p>
        </w:tc>
      </w:tr>
    </w:tbl>
    <w:p w:rsidR="00E8309B" w:rsidRDefault="009D0949">
      <w:pPr>
        <w:spacing w:after="0" w:line="259" w:lineRule="auto"/>
        <w:ind w:left="0" w:right="0" w:firstLine="0"/>
      </w:pPr>
      <w:r>
        <w:rPr>
          <w:rFonts w:ascii="Calibri" w:eastAsia="Calibri" w:hAnsi="Calibri" w:cs="Calibri"/>
          <w:sz w:val="22"/>
        </w:rPr>
        <w:t xml:space="preserve"> </w:t>
      </w:r>
    </w:p>
    <w:p w:rsidR="00E8309B" w:rsidRDefault="009D0949">
      <w:pPr>
        <w:pStyle w:val="Heading1"/>
        <w:numPr>
          <w:ilvl w:val="0"/>
          <w:numId w:val="0"/>
        </w:numPr>
        <w:spacing w:after="0" w:line="259" w:lineRule="auto"/>
      </w:pPr>
      <w:r>
        <w:rPr>
          <w:sz w:val="20"/>
        </w:rPr>
        <w:t>Табела 11: Извештај о спровођењу структурних реформи из ЕРП за 2020.-</w:t>
      </w:r>
      <w:r>
        <w:rPr>
          <w:sz w:val="20"/>
        </w:rPr>
        <w:t xml:space="preserve">2022. годину </w:t>
      </w:r>
    </w:p>
    <w:tbl>
      <w:tblPr>
        <w:tblStyle w:val="TableGrid"/>
        <w:tblW w:w="14220" w:type="dxa"/>
        <w:tblInd w:w="6" w:type="dxa"/>
        <w:tblCellMar>
          <w:top w:w="10" w:type="dxa"/>
          <w:left w:w="107" w:type="dxa"/>
          <w:bottom w:w="0" w:type="dxa"/>
          <w:right w:w="35" w:type="dxa"/>
        </w:tblCellMar>
        <w:tblLook w:val="04A0" w:firstRow="1" w:lastRow="0" w:firstColumn="1" w:lastColumn="0" w:noHBand="0" w:noVBand="1"/>
      </w:tblPr>
      <w:tblGrid>
        <w:gridCol w:w="465"/>
        <w:gridCol w:w="3310"/>
        <w:gridCol w:w="1800"/>
        <w:gridCol w:w="4628"/>
        <w:gridCol w:w="1609"/>
        <w:gridCol w:w="2409"/>
      </w:tblGrid>
      <w:tr w:rsidR="00E8309B">
        <w:trPr>
          <w:trHeight w:val="1183"/>
        </w:trPr>
        <w:tc>
          <w:tcPr>
            <w:tcW w:w="465"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0" w:firstLine="0"/>
              <w:jc w:val="left"/>
            </w:pPr>
            <w:r>
              <w:rPr>
                <w:sz w:val="20"/>
              </w:rPr>
              <w:t xml:space="preserve">  </w:t>
            </w:r>
          </w:p>
        </w:tc>
        <w:tc>
          <w:tcPr>
            <w:tcW w:w="3310" w:type="dxa"/>
            <w:tcBorders>
              <w:top w:val="single" w:sz="4" w:space="0" w:color="000000"/>
              <w:left w:val="single" w:sz="4" w:space="0" w:color="000000"/>
              <w:bottom w:val="single" w:sz="4" w:space="0" w:color="000000"/>
              <w:right w:val="single" w:sz="4" w:space="0" w:color="000000"/>
            </w:tcBorders>
          </w:tcPr>
          <w:p w:rsidR="00E8309B" w:rsidRDefault="009D0949">
            <w:pPr>
              <w:spacing w:after="19" w:line="259" w:lineRule="auto"/>
              <w:ind w:left="1" w:right="0" w:firstLine="0"/>
              <w:jc w:val="left"/>
            </w:pPr>
            <w:r>
              <w:rPr>
                <w:b/>
                <w:sz w:val="18"/>
              </w:rPr>
              <w:t xml:space="preserve">КРАТАК ОПИС АКТИВНОСТИ </w:t>
            </w:r>
          </w:p>
          <w:p w:rsidR="00E8309B" w:rsidRDefault="009D0949">
            <w:pPr>
              <w:spacing w:after="11" w:line="259" w:lineRule="auto"/>
              <w:ind w:left="1" w:right="0" w:firstLine="0"/>
              <w:jc w:val="left"/>
            </w:pPr>
            <w:r>
              <w:rPr>
                <w:b/>
                <w:sz w:val="18"/>
              </w:rPr>
              <w:t xml:space="preserve">ПЛАНИРАНИХ ЗА 2020. ГОДИНУ </w:t>
            </w:r>
          </w:p>
          <w:p w:rsidR="00E8309B" w:rsidRDefault="009D0949">
            <w:pPr>
              <w:spacing w:after="0" w:line="259" w:lineRule="auto"/>
              <w:ind w:left="1" w:right="0" w:firstLine="0"/>
              <w:jc w:val="left"/>
            </w:pPr>
            <w:r>
              <w:rPr>
                <w:i/>
                <w:sz w:val="18"/>
              </w:rPr>
              <w:t>(активности из гантограма)</w:t>
            </w:r>
            <w:r>
              <w:rPr>
                <w:b/>
                <w:sz w:val="18"/>
              </w:rPr>
              <w:t xml:space="preserve"> </w:t>
            </w:r>
          </w:p>
        </w:tc>
        <w:tc>
          <w:tcPr>
            <w:tcW w:w="1800"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1" w:right="0" w:firstLine="0"/>
              <w:jc w:val="left"/>
            </w:pPr>
            <w:r>
              <w:rPr>
                <w:b/>
                <w:sz w:val="18"/>
              </w:rPr>
              <w:t xml:space="preserve">ДА ЛИ СУ </w:t>
            </w:r>
          </w:p>
          <w:p w:rsidR="00E8309B" w:rsidRDefault="009D0949">
            <w:pPr>
              <w:spacing w:after="0" w:line="259" w:lineRule="auto"/>
              <w:ind w:left="1" w:right="0" w:firstLine="0"/>
              <w:jc w:val="left"/>
            </w:pPr>
            <w:r>
              <w:rPr>
                <w:b/>
                <w:sz w:val="18"/>
              </w:rPr>
              <w:t xml:space="preserve">АКТИВНОСТИ </w:t>
            </w:r>
          </w:p>
          <w:p w:rsidR="00E8309B" w:rsidRDefault="009D0949">
            <w:pPr>
              <w:spacing w:after="0" w:line="259" w:lineRule="auto"/>
              <w:ind w:left="1" w:right="0" w:firstLine="0"/>
              <w:jc w:val="left"/>
            </w:pPr>
            <w:r>
              <w:rPr>
                <w:b/>
                <w:sz w:val="18"/>
              </w:rPr>
              <w:t xml:space="preserve">ПЛАНИРАНЕ ЗА </w:t>
            </w:r>
          </w:p>
          <w:p w:rsidR="00E8309B" w:rsidRDefault="009D0949">
            <w:pPr>
              <w:spacing w:after="21" w:line="259" w:lineRule="auto"/>
              <w:ind w:left="1" w:right="0" w:firstLine="0"/>
              <w:jc w:val="left"/>
            </w:pPr>
            <w:r>
              <w:rPr>
                <w:b/>
                <w:sz w:val="18"/>
              </w:rPr>
              <w:t xml:space="preserve">2020. ГОДИНУ </w:t>
            </w:r>
          </w:p>
          <w:p w:rsidR="00E8309B" w:rsidRDefault="009D0949">
            <w:pPr>
              <w:spacing w:after="0" w:line="259" w:lineRule="auto"/>
              <w:ind w:left="1" w:right="0" w:firstLine="0"/>
              <w:jc w:val="left"/>
            </w:pPr>
            <w:r>
              <w:rPr>
                <w:b/>
                <w:sz w:val="18"/>
              </w:rPr>
              <w:t xml:space="preserve">СПРОВЕДЕНЕ? </w:t>
            </w:r>
          </w:p>
        </w:tc>
        <w:tc>
          <w:tcPr>
            <w:tcW w:w="4628" w:type="dxa"/>
            <w:tcBorders>
              <w:top w:val="single" w:sz="4" w:space="0" w:color="000000"/>
              <w:left w:val="single" w:sz="4" w:space="0" w:color="000000"/>
              <w:bottom w:val="single" w:sz="4" w:space="0" w:color="000000"/>
              <w:right w:val="single" w:sz="4" w:space="0" w:color="000000"/>
            </w:tcBorders>
          </w:tcPr>
          <w:p w:rsidR="00E8309B" w:rsidRDefault="009D0949">
            <w:pPr>
              <w:spacing w:after="19" w:line="259" w:lineRule="auto"/>
              <w:ind w:left="1" w:right="0" w:firstLine="0"/>
              <w:jc w:val="left"/>
            </w:pPr>
            <w:r>
              <w:rPr>
                <w:b/>
                <w:sz w:val="18"/>
              </w:rPr>
              <w:t xml:space="preserve">АКО АКТИВНОСТ НИЈЕ У ПОТПУНОСТИ </w:t>
            </w:r>
          </w:p>
          <w:p w:rsidR="00E8309B" w:rsidRDefault="009D0949">
            <w:pPr>
              <w:spacing w:after="11" w:line="259" w:lineRule="auto"/>
              <w:ind w:left="1" w:right="0" w:firstLine="0"/>
              <w:jc w:val="left"/>
            </w:pPr>
            <w:r>
              <w:rPr>
                <w:b/>
                <w:sz w:val="18"/>
              </w:rPr>
              <w:t xml:space="preserve">СПРОВЕДЕНА, ДАТИ КРАТАК ПРЕГЛЕД </w:t>
            </w:r>
          </w:p>
          <w:p w:rsidR="00E8309B" w:rsidRDefault="009D0949">
            <w:pPr>
              <w:spacing w:after="0" w:line="259" w:lineRule="auto"/>
              <w:ind w:left="1" w:right="0" w:firstLine="0"/>
              <w:jc w:val="left"/>
            </w:pPr>
            <w:r>
              <w:rPr>
                <w:b/>
                <w:sz w:val="18"/>
              </w:rPr>
              <w:t>(</w:t>
            </w:r>
            <w:r>
              <w:rPr>
                <w:sz w:val="18"/>
              </w:rPr>
              <w:t>предузети кораци, динамика спроведених активности, тешкоће и одлагања у спровођењу)</w:t>
            </w:r>
            <w:r>
              <w:rPr>
                <w:b/>
                <w:sz w:val="18"/>
              </w:rPr>
              <w:t xml:space="preserve"> </w:t>
            </w:r>
          </w:p>
        </w:tc>
        <w:tc>
          <w:tcPr>
            <w:tcW w:w="1609" w:type="dxa"/>
            <w:tcBorders>
              <w:top w:val="single" w:sz="4" w:space="0" w:color="000000"/>
              <w:left w:val="single" w:sz="4" w:space="0" w:color="000000"/>
              <w:bottom w:val="single" w:sz="4" w:space="0" w:color="000000"/>
              <w:right w:val="single" w:sz="4" w:space="0" w:color="000000"/>
            </w:tcBorders>
          </w:tcPr>
          <w:p w:rsidR="00E8309B" w:rsidRDefault="009D0949">
            <w:pPr>
              <w:spacing w:after="37" w:line="238" w:lineRule="auto"/>
              <w:ind w:left="1" w:right="0" w:firstLine="0"/>
              <w:jc w:val="left"/>
            </w:pPr>
            <w:r>
              <w:rPr>
                <w:b/>
                <w:sz w:val="18"/>
              </w:rPr>
              <w:t xml:space="preserve">АКО СЕ АКТИВНОСТ </w:t>
            </w:r>
          </w:p>
          <w:p w:rsidR="00E8309B" w:rsidRDefault="009D0949">
            <w:pPr>
              <w:spacing w:after="0" w:line="259" w:lineRule="auto"/>
              <w:ind w:left="1" w:right="0" w:firstLine="0"/>
            </w:pPr>
            <w:r>
              <w:rPr>
                <w:b/>
                <w:sz w:val="18"/>
              </w:rPr>
              <w:t xml:space="preserve">НЕ СПРОВОДИ, </w:t>
            </w:r>
          </w:p>
          <w:p w:rsidR="00E8309B" w:rsidRDefault="009D0949">
            <w:pPr>
              <w:spacing w:after="20" w:line="259" w:lineRule="auto"/>
              <w:ind w:left="1" w:right="0" w:firstLine="0"/>
              <w:jc w:val="left"/>
            </w:pPr>
            <w:r>
              <w:rPr>
                <w:b/>
                <w:sz w:val="18"/>
              </w:rPr>
              <w:t xml:space="preserve">ОБЈАСНИТИ </w:t>
            </w:r>
          </w:p>
          <w:p w:rsidR="00E8309B" w:rsidRDefault="009D0949">
            <w:pPr>
              <w:spacing w:after="0" w:line="259" w:lineRule="auto"/>
              <w:ind w:left="1" w:right="0" w:firstLine="0"/>
              <w:jc w:val="left"/>
            </w:pPr>
            <w:r>
              <w:rPr>
                <w:b/>
                <w:sz w:val="18"/>
              </w:rPr>
              <w:t xml:space="preserve">ЗАШТО </w:t>
            </w:r>
          </w:p>
        </w:tc>
        <w:tc>
          <w:tcPr>
            <w:tcW w:w="2409"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1" w:right="0" w:firstLine="0"/>
            </w:pPr>
            <w:r>
              <w:rPr>
                <w:b/>
                <w:sz w:val="18"/>
              </w:rPr>
              <w:t xml:space="preserve">ОСТАЛЕ АКТИВНОСТИ   </w:t>
            </w:r>
          </w:p>
          <w:p w:rsidR="00E8309B" w:rsidRDefault="009D0949">
            <w:pPr>
              <w:spacing w:after="0" w:line="259" w:lineRule="auto"/>
              <w:ind w:left="1" w:right="0" w:firstLine="0"/>
              <w:jc w:val="left"/>
            </w:pPr>
            <w:r>
              <w:rPr>
                <w:i/>
                <w:sz w:val="18"/>
              </w:rPr>
              <w:t>(непланиране, а реализоване активности које су предузете у циљу спровођења СР)</w:t>
            </w:r>
            <w:r>
              <w:rPr>
                <w:b/>
                <w:sz w:val="18"/>
              </w:rPr>
              <w:t xml:space="preserve"> </w:t>
            </w:r>
          </w:p>
        </w:tc>
      </w:tr>
      <w:tr w:rsidR="00E8309B">
        <w:trPr>
          <w:trHeight w:val="404"/>
        </w:trPr>
        <w:tc>
          <w:tcPr>
            <w:tcW w:w="14220" w:type="dxa"/>
            <w:gridSpan w:val="6"/>
            <w:tcBorders>
              <w:top w:val="single" w:sz="4" w:space="0" w:color="000000"/>
              <w:left w:val="single" w:sz="4" w:space="0" w:color="000000"/>
              <w:bottom w:val="single" w:sz="4" w:space="0" w:color="000000"/>
              <w:right w:val="single" w:sz="4" w:space="0" w:color="000000"/>
            </w:tcBorders>
            <w:shd w:val="clear" w:color="auto" w:fill="D0CECE"/>
          </w:tcPr>
          <w:p w:rsidR="00E8309B" w:rsidRDefault="009D0949">
            <w:pPr>
              <w:spacing w:after="0" w:line="259" w:lineRule="auto"/>
              <w:ind w:left="0" w:right="0" w:firstLine="0"/>
              <w:jc w:val="left"/>
            </w:pPr>
            <w:r>
              <w:rPr>
                <w:b/>
              </w:rPr>
              <w:t>СР 1. Развој енергетског тржишта уз изградњу енергетске инфраструктуре</w:t>
            </w:r>
            <w:r>
              <w:rPr>
                <w:sz w:val="20"/>
              </w:rPr>
              <w:t xml:space="preserve"> </w:t>
            </w:r>
          </w:p>
        </w:tc>
      </w:tr>
      <w:tr w:rsidR="00E8309B">
        <w:trPr>
          <w:trHeight w:val="590"/>
        </w:trPr>
        <w:tc>
          <w:tcPr>
            <w:tcW w:w="465"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0" w:firstLine="0"/>
              <w:jc w:val="left"/>
            </w:pPr>
            <w:r>
              <w:rPr>
                <w:sz w:val="20"/>
              </w:rPr>
              <w:t xml:space="preserve">  </w:t>
            </w:r>
          </w:p>
        </w:tc>
        <w:tc>
          <w:tcPr>
            <w:tcW w:w="3310" w:type="dxa"/>
            <w:tcBorders>
              <w:top w:val="single" w:sz="4" w:space="0" w:color="000000"/>
              <w:left w:val="single" w:sz="4" w:space="0" w:color="000000"/>
              <w:bottom w:val="single" w:sz="4" w:space="0" w:color="000000"/>
              <w:right w:val="single" w:sz="4" w:space="0" w:color="000000"/>
            </w:tcBorders>
          </w:tcPr>
          <w:p w:rsidR="00E8309B" w:rsidRDefault="009D0949">
            <w:pPr>
              <w:spacing w:after="22" w:line="259" w:lineRule="auto"/>
              <w:ind w:left="1" w:right="0" w:firstLine="0"/>
              <w:jc w:val="left"/>
            </w:pPr>
            <w:r>
              <w:rPr>
                <w:b/>
                <w:sz w:val="20"/>
              </w:rPr>
              <w:t xml:space="preserve">Изградња магистралног гасовода </w:t>
            </w:r>
          </w:p>
          <w:p w:rsidR="00E8309B" w:rsidRDefault="009D0949">
            <w:pPr>
              <w:spacing w:after="0" w:line="259" w:lineRule="auto"/>
              <w:ind w:left="1" w:right="0" w:firstLine="0"/>
              <w:jc w:val="left"/>
            </w:pPr>
            <w:r>
              <w:rPr>
                <w:b/>
                <w:sz w:val="20"/>
              </w:rPr>
              <w:t xml:space="preserve">Ниш – Димитровград </w:t>
            </w:r>
          </w:p>
        </w:tc>
        <w:tc>
          <w:tcPr>
            <w:tcW w:w="1800"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1" w:right="0" w:firstLine="0"/>
              <w:jc w:val="left"/>
            </w:pPr>
            <w:r>
              <w:rPr>
                <w:sz w:val="20"/>
              </w:rPr>
              <w:t xml:space="preserve">  </w:t>
            </w:r>
          </w:p>
        </w:tc>
        <w:tc>
          <w:tcPr>
            <w:tcW w:w="4628"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1" w:right="0" w:firstLine="0"/>
              <w:jc w:val="left"/>
            </w:pPr>
            <w:r>
              <w:rPr>
                <w:sz w:val="20"/>
              </w:rPr>
              <w:t xml:space="preserve">  </w:t>
            </w:r>
          </w:p>
        </w:tc>
        <w:tc>
          <w:tcPr>
            <w:tcW w:w="1609"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1" w:right="0" w:firstLine="0"/>
              <w:jc w:val="left"/>
            </w:pPr>
            <w:r>
              <w:rPr>
                <w:sz w:val="20"/>
              </w:rPr>
              <w:t xml:space="preserve">  </w:t>
            </w:r>
          </w:p>
        </w:tc>
        <w:tc>
          <w:tcPr>
            <w:tcW w:w="2409"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1" w:right="0" w:firstLine="0"/>
              <w:jc w:val="left"/>
            </w:pPr>
            <w:r>
              <w:rPr>
                <w:sz w:val="20"/>
              </w:rPr>
              <w:t xml:space="preserve">  </w:t>
            </w:r>
          </w:p>
        </w:tc>
      </w:tr>
      <w:tr w:rsidR="00E8309B">
        <w:trPr>
          <w:trHeight w:val="1051"/>
        </w:trPr>
        <w:tc>
          <w:tcPr>
            <w:tcW w:w="465"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0" w:firstLine="0"/>
              <w:jc w:val="left"/>
            </w:pPr>
            <w:r>
              <w:rPr>
                <w:sz w:val="20"/>
              </w:rPr>
              <w:t xml:space="preserve">1. </w:t>
            </w:r>
          </w:p>
        </w:tc>
        <w:tc>
          <w:tcPr>
            <w:tcW w:w="3310"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1" w:right="0" w:firstLine="0"/>
              <w:jc w:val="left"/>
            </w:pPr>
            <w:r>
              <w:rPr>
                <w:sz w:val="20"/>
              </w:rPr>
              <w:t xml:space="preserve">Спровођење тендерске процедуре </w:t>
            </w:r>
          </w:p>
        </w:tc>
        <w:tc>
          <w:tcPr>
            <w:tcW w:w="1800"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1" w:right="0" w:firstLine="0"/>
              <w:jc w:val="left"/>
            </w:pPr>
            <w:r>
              <w:rPr>
                <w:sz w:val="20"/>
              </w:rPr>
              <w:t xml:space="preserve">у припреми </w:t>
            </w:r>
          </w:p>
        </w:tc>
        <w:tc>
          <w:tcPr>
            <w:tcW w:w="4628"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1" w:right="51" w:firstLine="0"/>
              <w:jc w:val="left"/>
            </w:pPr>
            <w:r>
              <w:rPr>
                <w:sz w:val="20"/>
              </w:rPr>
              <w:t xml:space="preserve">Управни одбор ЕИБ је одобрио средстава која су планирана за  суфинансирање овог пројекта. У току је припрема за преговоре са ЕИБ. Припрема  тендерске документације је у финалној фази </w:t>
            </w:r>
          </w:p>
        </w:tc>
        <w:tc>
          <w:tcPr>
            <w:tcW w:w="1609"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1" w:right="0" w:firstLine="0"/>
              <w:jc w:val="left"/>
            </w:pPr>
            <w:r>
              <w:rPr>
                <w:sz w:val="20"/>
              </w:rPr>
              <w:t xml:space="preserve">  </w:t>
            </w:r>
          </w:p>
        </w:tc>
        <w:tc>
          <w:tcPr>
            <w:tcW w:w="2409"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1" w:right="0" w:firstLine="0"/>
              <w:jc w:val="left"/>
            </w:pPr>
            <w:r>
              <w:rPr>
                <w:sz w:val="20"/>
              </w:rPr>
              <w:t xml:space="preserve">  </w:t>
            </w:r>
          </w:p>
        </w:tc>
      </w:tr>
      <w:tr w:rsidR="00E8309B">
        <w:trPr>
          <w:trHeight w:val="360"/>
        </w:trPr>
        <w:tc>
          <w:tcPr>
            <w:tcW w:w="465"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0" w:firstLine="0"/>
              <w:jc w:val="left"/>
            </w:pPr>
            <w:r>
              <w:rPr>
                <w:sz w:val="20"/>
              </w:rPr>
              <w:t xml:space="preserve">2. </w:t>
            </w:r>
          </w:p>
        </w:tc>
        <w:tc>
          <w:tcPr>
            <w:tcW w:w="3310"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1" w:right="0" w:firstLine="0"/>
              <w:jc w:val="left"/>
            </w:pPr>
            <w:r>
              <w:rPr>
                <w:sz w:val="20"/>
              </w:rPr>
              <w:t xml:space="preserve">Изградња </w:t>
            </w:r>
          </w:p>
        </w:tc>
        <w:tc>
          <w:tcPr>
            <w:tcW w:w="1800"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1" w:right="0" w:firstLine="0"/>
              <w:jc w:val="left"/>
            </w:pPr>
            <w:r>
              <w:rPr>
                <w:sz w:val="20"/>
              </w:rPr>
              <w:t xml:space="preserve">не спроводи се </w:t>
            </w:r>
          </w:p>
        </w:tc>
        <w:tc>
          <w:tcPr>
            <w:tcW w:w="4628"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1" w:right="0" w:firstLine="0"/>
              <w:jc w:val="left"/>
            </w:pPr>
            <w:r>
              <w:rPr>
                <w:sz w:val="20"/>
              </w:rPr>
              <w:t xml:space="preserve">  </w:t>
            </w:r>
          </w:p>
        </w:tc>
        <w:tc>
          <w:tcPr>
            <w:tcW w:w="1609"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1" w:right="0" w:firstLine="0"/>
              <w:jc w:val="left"/>
            </w:pPr>
            <w:r>
              <w:rPr>
                <w:sz w:val="20"/>
              </w:rPr>
              <w:t xml:space="preserve">  </w:t>
            </w:r>
          </w:p>
        </w:tc>
        <w:tc>
          <w:tcPr>
            <w:tcW w:w="2409"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1" w:right="0" w:firstLine="0"/>
              <w:jc w:val="left"/>
            </w:pPr>
            <w:r>
              <w:rPr>
                <w:sz w:val="20"/>
              </w:rPr>
              <w:t xml:space="preserve">  </w:t>
            </w:r>
          </w:p>
        </w:tc>
      </w:tr>
      <w:tr w:rsidR="00E8309B">
        <w:trPr>
          <w:trHeight w:val="360"/>
        </w:trPr>
        <w:tc>
          <w:tcPr>
            <w:tcW w:w="465"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0" w:firstLine="0"/>
              <w:jc w:val="left"/>
            </w:pPr>
            <w:r>
              <w:rPr>
                <w:sz w:val="20"/>
              </w:rPr>
              <w:t xml:space="preserve">  </w:t>
            </w:r>
          </w:p>
        </w:tc>
        <w:tc>
          <w:tcPr>
            <w:tcW w:w="3310"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1" w:right="0" w:firstLine="0"/>
              <w:jc w:val="left"/>
            </w:pPr>
            <w:r>
              <w:rPr>
                <w:b/>
                <w:sz w:val="20"/>
              </w:rPr>
              <w:t>Трансбалкански коридор</w:t>
            </w:r>
            <w:r>
              <w:rPr>
                <w:b/>
                <w:sz w:val="20"/>
              </w:rPr>
              <w:t xml:space="preserve"> </w:t>
            </w:r>
          </w:p>
        </w:tc>
        <w:tc>
          <w:tcPr>
            <w:tcW w:w="1800"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1" w:right="0" w:firstLine="0"/>
              <w:jc w:val="left"/>
            </w:pPr>
            <w:r>
              <w:rPr>
                <w:sz w:val="20"/>
              </w:rPr>
              <w:t xml:space="preserve">  </w:t>
            </w:r>
          </w:p>
        </w:tc>
        <w:tc>
          <w:tcPr>
            <w:tcW w:w="4628"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1" w:right="0" w:firstLine="0"/>
              <w:jc w:val="left"/>
            </w:pPr>
            <w:r>
              <w:rPr>
                <w:sz w:val="20"/>
              </w:rPr>
              <w:t xml:space="preserve">  </w:t>
            </w:r>
          </w:p>
        </w:tc>
        <w:tc>
          <w:tcPr>
            <w:tcW w:w="1609"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1" w:right="0" w:firstLine="0"/>
              <w:jc w:val="left"/>
            </w:pPr>
            <w:r>
              <w:rPr>
                <w:sz w:val="20"/>
              </w:rPr>
              <w:t xml:space="preserve">  </w:t>
            </w:r>
          </w:p>
        </w:tc>
        <w:tc>
          <w:tcPr>
            <w:tcW w:w="2409"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1" w:right="0" w:firstLine="0"/>
              <w:jc w:val="left"/>
            </w:pPr>
            <w:r>
              <w:rPr>
                <w:sz w:val="20"/>
              </w:rPr>
              <w:t xml:space="preserve">  </w:t>
            </w:r>
          </w:p>
        </w:tc>
      </w:tr>
      <w:tr w:rsidR="00E8309B">
        <w:trPr>
          <w:trHeight w:val="1750"/>
        </w:trPr>
        <w:tc>
          <w:tcPr>
            <w:tcW w:w="465"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0" w:firstLine="0"/>
              <w:jc w:val="left"/>
            </w:pPr>
            <w:r>
              <w:rPr>
                <w:sz w:val="20"/>
              </w:rPr>
              <w:t xml:space="preserve">3. </w:t>
            </w:r>
          </w:p>
        </w:tc>
        <w:tc>
          <w:tcPr>
            <w:tcW w:w="3310"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1" w:right="0" w:firstLine="0"/>
              <w:jc w:val="left"/>
            </w:pPr>
            <w:r>
              <w:rPr>
                <w:sz w:val="20"/>
              </w:rPr>
              <w:t xml:space="preserve">Реконструкција и доградња ТС </w:t>
            </w:r>
          </w:p>
          <w:p w:rsidR="00E8309B" w:rsidRDefault="009D0949">
            <w:pPr>
              <w:spacing w:after="0" w:line="259" w:lineRule="auto"/>
              <w:ind w:left="1" w:right="0" w:firstLine="0"/>
              <w:jc w:val="left"/>
            </w:pPr>
            <w:r>
              <w:rPr>
                <w:sz w:val="20"/>
              </w:rPr>
              <w:t xml:space="preserve">Краљево 3 и реконструкција ТС Крагујевац 2, неопходна за увођење новог далековода Крагујевац - Краљево </w:t>
            </w:r>
          </w:p>
        </w:tc>
        <w:tc>
          <w:tcPr>
            <w:tcW w:w="1800"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1" w:right="0" w:firstLine="0"/>
              <w:jc w:val="left"/>
            </w:pPr>
            <w:r>
              <w:rPr>
                <w:sz w:val="20"/>
              </w:rPr>
              <w:t xml:space="preserve">напредак у спровођењу </w:t>
            </w:r>
          </w:p>
        </w:tc>
        <w:tc>
          <w:tcPr>
            <w:tcW w:w="4628"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1" w:right="65" w:firstLine="0"/>
              <w:jc w:val="left"/>
            </w:pPr>
            <w:r>
              <w:rPr>
                <w:sz w:val="20"/>
              </w:rPr>
              <w:t>Завршена је комплетна фаза припреме и обезбеђене потребне дозволе. Завршен је поступак избора извођача радова у складу са процедуром KfW банке.  Уговор за реконструкцију и доградњу ТС Крагујевац 2 и ТС Краљево 3 је усаглашен са извођачем и одобрен од стран</w:t>
            </w:r>
            <w:r>
              <w:rPr>
                <w:sz w:val="20"/>
              </w:rPr>
              <w:t xml:space="preserve">е KfW банке. Уговор је потписан у септембру 2020. </w:t>
            </w:r>
          </w:p>
        </w:tc>
        <w:tc>
          <w:tcPr>
            <w:tcW w:w="1609"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1" w:right="0" w:firstLine="0"/>
              <w:jc w:val="left"/>
            </w:pPr>
            <w:r>
              <w:rPr>
                <w:sz w:val="20"/>
              </w:rPr>
              <w:t xml:space="preserve">  </w:t>
            </w:r>
          </w:p>
        </w:tc>
        <w:tc>
          <w:tcPr>
            <w:tcW w:w="2409"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1" w:right="0" w:firstLine="0"/>
              <w:jc w:val="left"/>
            </w:pPr>
            <w:r>
              <w:rPr>
                <w:sz w:val="20"/>
              </w:rPr>
              <w:t xml:space="preserve">  </w:t>
            </w:r>
          </w:p>
        </w:tc>
      </w:tr>
      <w:tr w:rsidR="00E8309B">
        <w:trPr>
          <w:trHeight w:val="1971"/>
        </w:trPr>
        <w:tc>
          <w:tcPr>
            <w:tcW w:w="465"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0" w:firstLine="0"/>
              <w:jc w:val="left"/>
            </w:pPr>
            <w:r>
              <w:rPr>
                <w:sz w:val="20"/>
              </w:rPr>
              <w:t xml:space="preserve">4. </w:t>
            </w:r>
          </w:p>
        </w:tc>
        <w:tc>
          <w:tcPr>
            <w:tcW w:w="3310"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1" w:right="0" w:firstLine="0"/>
              <w:jc w:val="left"/>
            </w:pPr>
            <w:r>
              <w:rPr>
                <w:sz w:val="20"/>
              </w:rPr>
              <w:t xml:space="preserve">Изградња далековода Крагујевац - Краљево,  </w:t>
            </w:r>
          </w:p>
        </w:tc>
        <w:tc>
          <w:tcPr>
            <w:tcW w:w="1800"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1" w:right="0" w:firstLine="0"/>
              <w:jc w:val="left"/>
            </w:pPr>
            <w:r>
              <w:rPr>
                <w:sz w:val="20"/>
              </w:rPr>
              <w:t xml:space="preserve">напредак у спровођењу </w:t>
            </w:r>
          </w:p>
        </w:tc>
        <w:tc>
          <w:tcPr>
            <w:tcW w:w="4628"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1" w:right="65" w:firstLine="0"/>
              <w:jc w:val="left"/>
            </w:pPr>
            <w:r>
              <w:rPr>
                <w:sz w:val="20"/>
              </w:rPr>
              <w:t>Завршена је комплетна фаза припреме и обезбеђене потребне дозволе. Завршен је поступак избора извођача радова у складу са процедуром KfW банке. Уговор за изградњу ДВ је потписан и започети су радови на изградњи далековода. Завршетак радова се очекује краје</w:t>
            </w:r>
            <w:r>
              <w:rPr>
                <w:sz w:val="20"/>
              </w:rPr>
              <w:t xml:space="preserve">м 2021. године, а до краја 2022. се очекује и прибављање употребне дозволе. </w:t>
            </w:r>
          </w:p>
        </w:tc>
        <w:tc>
          <w:tcPr>
            <w:tcW w:w="1609"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1" w:right="0" w:firstLine="0"/>
              <w:jc w:val="left"/>
            </w:pPr>
            <w:r>
              <w:rPr>
                <w:sz w:val="20"/>
              </w:rPr>
              <w:t xml:space="preserve">  </w:t>
            </w:r>
          </w:p>
        </w:tc>
        <w:tc>
          <w:tcPr>
            <w:tcW w:w="2409"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1" w:right="0" w:firstLine="0"/>
              <w:jc w:val="left"/>
            </w:pPr>
            <w:r>
              <w:rPr>
                <w:sz w:val="20"/>
              </w:rPr>
              <w:t xml:space="preserve">  </w:t>
            </w:r>
          </w:p>
        </w:tc>
      </w:tr>
    </w:tbl>
    <w:p w:rsidR="00E8309B" w:rsidRDefault="00E8309B">
      <w:pPr>
        <w:spacing w:after="0" w:line="259" w:lineRule="auto"/>
        <w:ind w:left="-1138" w:right="10666" w:firstLine="0"/>
        <w:jc w:val="left"/>
      </w:pPr>
    </w:p>
    <w:tbl>
      <w:tblPr>
        <w:tblStyle w:val="TableGrid"/>
        <w:tblW w:w="14220" w:type="dxa"/>
        <w:tblInd w:w="6" w:type="dxa"/>
        <w:tblCellMar>
          <w:top w:w="10" w:type="dxa"/>
          <w:left w:w="107" w:type="dxa"/>
          <w:bottom w:w="0" w:type="dxa"/>
          <w:right w:w="70" w:type="dxa"/>
        </w:tblCellMar>
        <w:tblLook w:val="04A0" w:firstRow="1" w:lastRow="0" w:firstColumn="1" w:lastColumn="0" w:noHBand="0" w:noVBand="1"/>
      </w:tblPr>
      <w:tblGrid>
        <w:gridCol w:w="465"/>
        <w:gridCol w:w="3311"/>
        <w:gridCol w:w="1798"/>
        <w:gridCol w:w="4629"/>
        <w:gridCol w:w="1609"/>
        <w:gridCol w:w="2409"/>
      </w:tblGrid>
      <w:tr w:rsidR="00E8309B">
        <w:trPr>
          <w:trHeight w:val="3351"/>
        </w:trPr>
        <w:tc>
          <w:tcPr>
            <w:tcW w:w="465"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0" w:firstLine="0"/>
              <w:jc w:val="left"/>
            </w:pPr>
            <w:r>
              <w:rPr>
                <w:sz w:val="20"/>
              </w:rPr>
              <w:t xml:space="preserve">5. </w:t>
            </w:r>
          </w:p>
        </w:tc>
        <w:tc>
          <w:tcPr>
            <w:tcW w:w="3311"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1" w:right="0" w:firstLine="0"/>
              <w:jc w:val="left"/>
            </w:pPr>
            <w:r>
              <w:rPr>
                <w:sz w:val="20"/>
              </w:rPr>
              <w:t xml:space="preserve">Припрема техничке документације за ДВ Обреновац – Б. Башта </w:t>
            </w:r>
          </w:p>
        </w:tc>
        <w:tc>
          <w:tcPr>
            <w:tcW w:w="1798"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0" w:firstLine="0"/>
              <w:jc w:val="left"/>
            </w:pPr>
            <w:r>
              <w:rPr>
                <w:sz w:val="20"/>
              </w:rPr>
              <w:t xml:space="preserve">напредак у спровођењу </w:t>
            </w:r>
          </w:p>
        </w:tc>
        <w:tc>
          <w:tcPr>
            <w:tcW w:w="4629"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2" w:right="0" w:firstLine="0"/>
              <w:jc w:val="left"/>
            </w:pPr>
            <w:r>
              <w:rPr>
                <w:sz w:val="20"/>
              </w:rPr>
              <w:t>Кроз одобрена средства донације  (програм WBIF14) израђује се комплетна техничка документација (Пројекти за грађевинске дозволе и Пројекти за извођење) за изградњу објекта. Завршен и одобрен је Програмски Задатак за израду техничке документације. Израда не</w:t>
            </w:r>
            <w:r>
              <w:rPr>
                <w:sz w:val="20"/>
              </w:rPr>
              <w:t xml:space="preserve">достајуће техничке документације је отпочела у мају 2019. године и предвиђено је да се заврши до маја 2021. године. Извесно кашњење је узроковано избијањем пандемије вируса Ковид-19 која је спречила излазак на терен. У току су и преговори између KfW банке </w:t>
            </w:r>
            <w:r>
              <w:rPr>
                <w:sz w:val="20"/>
              </w:rPr>
              <w:t xml:space="preserve">и Републике Србије о зајму за изградњу овог далековода. До сада је урађено око 64% укупних предвиђених активности. </w:t>
            </w:r>
          </w:p>
        </w:tc>
        <w:tc>
          <w:tcPr>
            <w:tcW w:w="1609"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1" w:right="0" w:firstLine="0"/>
              <w:jc w:val="left"/>
            </w:pPr>
            <w:r>
              <w:rPr>
                <w:sz w:val="20"/>
              </w:rPr>
              <w:t xml:space="preserve">  </w:t>
            </w:r>
          </w:p>
        </w:tc>
        <w:tc>
          <w:tcPr>
            <w:tcW w:w="2409"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1" w:right="0" w:firstLine="0"/>
              <w:jc w:val="left"/>
            </w:pPr>
            <w:r>
              <w:rPr>
                <w:sz w:val="20"/>
              </w:rPr>
              <w:t xml:space="preserve">  </w:t>
            </w:r>
          </w:p>
        </w:tc>
      </w:tr>
      <w:tr w:rsidR="00E8309B">
        <w:trPr>
          <w:trHeight w:val="3122"/>
        </w:trPr>
        <w:tc>
          <w:tcPr>
            <w:tcW w:w="465" w:type="dxa"/>
            <w:tcBorders>
              <w:top w:val="single" w:sz="4" w:space="0" w:color="000000"/>
              <w:left w:val="single" w:sz="4" w:space="0" w:color="000000"/>
              <w:bottom w:val="single" w:sz="4" w:space="0" w:color="000000"/>
              <w:right w:val="single" w:sz="4" w:space="0" w:color="000000"/>
            </w:tcBorders>
          </w:tcPr>
          <w:p w:rsidR="00E8309B" w:rsidRDefault="009D0949">
            <w:pPr>
              <w:spacing w:after="2689" w:line="259" w:lineRule="auto"/>
              <w:ind w:left="0" w:right="0" w:firstLine="0"/>
              <w:jc w:val="left"/>
            </w:pPr>
            <w:r>
              <w:rPr>
                <w:sz w:val="20"/>
              </w:rPr>
              <w:t xml:space="preserve">6. </w:t>
            </w:r>
          </w:p>
          <w:p w:rsidR="00E8309B" w:rsidRDefault="009D0949">
            <w:pPr>
              <w:spacing w:after="0" w:line="259" w:lineRule="auto"/>
              <w:ind w:left="0" w:right="0" w:firstLine="0"/>
              <w:jc w:val="left"/>
            </w:pPr>
            <w:r>
              <w:rPr>
                <w:sz w:val="20"/>
              </w:rPr>
              <w:t xml:space="preserve"> </w:t>
            </w:r>
          </w:p>
        </w:tc>
        <w:tc>
          <w:tcPr>
            <w:tcW w:w="3311"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1" w:right="0" w:firstLine="0"/>
              <w:jc w:val="left"/>
            </w:pPr>
            <w:r>
              <w:rPr>
                <w:sz w:val="20"/>
              </w:rPr>
              <w:t xml:space="preserve">Припрема техничке документације за ДВ Б. Башта - Вишеград - Пљевља </w:t>
            </w:r>
          </w:p>
        </w:tc>
        <w:tc>
          <w:tcPr>
            <w:tcW w:w="1798"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0" w:firstLine="0"/>
              <w:jc w:val="left"/>
            </w:pPr>
            <w:r>
              <w:rPr>
                <w:sz w:val="20"/>
              </w:rPr>
              <w:t xml:space="preserve">напредак у спровођењу </w:t>
            </w:r>
          </w:p>
        </w:tc>
        <w:tc>
          <w:tcPr>
            <w:tcW w:w="4629"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46" w:lineRule="auto"/>
              <w:ind w:left="2" w:firstLine="0"/>
              <w:jc w:val="left"/>
            </w:pPr>
            <w:r>
              <w:rPr>
                <w:sz w:val="20"/>
              </w:rPr>
              <w:t>Кроз одобрена средства донације (програм WBIF13) израђује се комплетна техничка документација (Пројекти за грађевинске дозволе и Пројекти за извођење) за изградњу објекта. Завршен је и одобрен  Програмски Задатак за израду техничке документације.  Рад на п</w:t>
            </w:r>
            <w:r>
              <w:rPr>
                <w:sz w:val="20"/>
              </w:rPr>
              <w:t>ројекту је почео у септембру 2019. године и предвиђено је да се заврши до септембра 2021. године. Дошло је до мањег успорења на пројекту због немогућности путовања консултантског тима у Црну Гору услед избијања пандемије вируса Ковид-19. До сада је урађено</w:t>
            </w:r>
            <w:r>
              <w:rPr>
                <w:sz w:val="20"/>
              </w:rPr>
              <w:t xml:space="preserve"> око 55% укупних предвиђених активности. </w:t>
            </w:r>
          </w:p>
          <w:p w:rsidR="00E8309B" w:rsidRDefault="009D0949">
            <w:pPr>
              <w:spacing w:after="0" w:line="259" w:lineRule="auto"/>
              <w:ind w:left="2" w:right="0" w:firstLine="0"/>
              <w:jc w:val="left"/>
            </w:pPr>
            <w:r>
              <w:rPr>
                <w:sz w:val="20"/>
              </w:rPr>
              <w:t xml:space="preserve"> </w:t>
            </w:r>
          </w:p>
        </w:tc>
        <w:tc>
          <w:tcPr>
            <w:tcW w:w="1609"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1" w:right="0" w:firstLine="0"/>
              <w:jc w:val="left"/>
            </w:pPr>
            <w:r>
              <w:rPr>
                <w:sz w:val="20"/>
              </w:rPr>
              <w:t xml:space="preserve">  </w:t>
            </w:r>
          </w:p>
        </w:tc>
        <w:tc>
          <w:tcPr>
            <w:tcW w:w="2409"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1" w:right="0" w:firstLine="0"/>
              <w:jc w:val="left"/>
            </w:pPr>
            <w:r>
              <w:rPr>
                <w:sz w:val="20"/>
              </w:rPr>
              <w:t xml:space="preserve">  </w:t>
            </w:r>
          </w:p>
        </w:tc>
      </w:tr>
      <w:tr w:rsidR="00E8309B">
        <w:trPr>
          <w:trHeight w:val="383"/>
        </w:trPr>
        <w:tc>
          <w:tcPr>
            <w:tcW w:w="3776" w:type="dxa"/>
            <w:gridSpan w:val="2"/>
            <w:tcBorders>
              <w:top w:val="single" w:sz="4" w:space="0" w:color="000000"/>
              <w:left w:val="nil"/>
              <w:bottom w:val="single" w:sz="4" w:space="0" w:color="000000"/>
              <w:right w:val="single" w:sz="4" w:space="0" w:color="000000"/>
            </w:tcBorders>
            <w:vAlign w:val="bottom"/>
          </w:tcPr>
          <w:p w:rsidR="00E8309B" w:rsidRDefault="00E8309B">
            <w:pPr>
              <w:spacing w:after="160" w:line="259" w:lineRule="auto"/>
              <w:ind w:left="0" w:right="0" w:firstLine="0"/>
              <w:jc w:val="left"/>
            </w:pPr>
          </w:p>
        </w:tc>
        <w:tc>
          <w:tcPr>
            <w:tcW w:w="1798" w:type="dxa"/>
            <w:tcBorders>
              <w:top w:val="single" w:sz="4" w:space="0" w:color="000000"/>
              <w:left w:val="single" w:sz="4" w:space="0" w:color="000000"/>
              <w:bottom w:val="single" w:sz="4" w:space="0" w:color="000000"/>
              <w:right w:val="single" w:sz="4" w:space="0" w:color="000000"/>
            </w:tcBorders>
            <w:shd w:val="clear" w:color="auto" w:fill="BDD6EE"/>
          </w:tcPr>
          <w:p w:rsidR="00E8309B" w:rsidRDefault="009D0949">
            <w:pPr>
              <w:spacing w:after="0" w:line="259" w:lineRule="auto"/>
              <w:ind w:left="0" w:right="39" w:firstLine="0"/>
              <w:jc w:val="center"/>
            </w:pPr>
            <w:r>
              <w:rPr>
                <w:b/>
                <w:sz w:val="20"/>
              </w:rPr>
              <w:t xml:space="preserve">57% </w:t>
            </w:r>
          </w:p>
        </w:tc>
        <w:tc>
          <w:tcPr>
            <w:tcW w:w="8646" w:type="dxa"/>
            <w:gridSpan w:val="3"/>
            <w:tcBorders>
              <w:top w:val="single" w:sz="4" w:space="0" w:color="000000"/>
              <w:left w:val="single" w:sz="4" w:space="0" w:color="000000"/>
              <w:bottom w:val="single" w:sz="4" w:space="0" w:color="000000"/>
              <w:right w:val="nil"/>
            </w:tcBorders>
            <w:vAlign w:val="bottom"/>
          </w:tcPr>
          <w:p w:rsidR="00E8309B" w:rsidRDefault="00E8309B">
            <w:pPr>
              <w:spacing w:after="160" w:line="259" w:lineRule="auto"/>
              <w:ind w:left="0" w:right="0" w:firstLine="0"/>
              <w:jc w:val="left"/>
            </w:pPr>
          </w:p>
        </w:tc>
      </w:tr>
      <w:tr w:rsidR="00E8309B">
        <w:trPr>
          <w:trHeight w:val="681"/>
        </w:trPr>
        <w:tc>
          <w:tcPr>
            <w:tcW w:w="14220" w:type="dxa"/>
            <w:gridSpan w:val="6"/>
            <w:tcBorders>
              <w:top w:val="single" w:sz="4" w:space="0" w:color="000000"/>
              <w:left w:val="single" w:sz="4" w:space="0" w:color="000000"/>
              <w:bottom w:val="single" w:sz="4" w:space="0" w:color="000000"/>
              <w:right w:val="single" w:sz="4" w:space="0" w:color="000000"/>
            </w:tcBorders>
            <w:shd w:val="clear" w:color="auto" w:fill="D0CECE"/>
          </w:tcPr>
          <w:p w:rsidR="00E8309B" w:rsidRDefault="009D0949">
            <w:pPr>
              <w:spacing w:after="0" w:line="259" w:lineRule="auto"/>
              <w:ind w:left="0" w:right="0" w:firstLine="0"/>
              <w:jc w:val="left"/>
            </w:pPr>
            <w:r>
              <w:rPr>
                <w:b/>
              </w:rPr>
              <w:t xml:space="preserve">СР 2. Унапређење услова за повећање енергетске ефикасности кроз хармонизацију законодавног оквира и успостављање одрживог начина финансирања пројеката енергетске ефикасности </w:t>
            </w:r>
            <w:r>
              <w:rPr>
                <w:sz w:val="20"/>
              </w:rPr>
              <w:t xml:space="preserve"> </w:t>
            </w:r>
          </w:p>
        </w:tc>
      </w:tr>
      <w:tr w:rsidR="00E8309B">
        <w:trPr>
          <w:trHeight w:val="2082"/>
        </w:trPr>
        <w:tc>
          <w:tcPr>
            <w:tcW w:w="465"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0" w:firstLine="0"/>
              <w:jc w:val="left"/>
            </w:pPr>
            <w:r>
              <w:rPr>
                <w:sz w:val="20"/>
              </w:rPr>
              <w:t xml:space="preserve">1. </w:t>
            </w:r>
          </w:p>
        </w:tc>
        <w:tc>
          <w:tcPr>
            <w:tcW w:w="3311"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1" w:right="0" w:firstLine="0"/>
              <w:jc w:val="left"/>
            </w:pPr>
            <w:r>
              <w:rPr>
                <w:sz w:val="20"/>
              </w:rPr>
              <w:t xml:space="preserve">Успостављање одрживог начина финансирања енергетске ефикасности </w:t>
            </w:r>
          </w:p>
        </w:tc>
        <w:tc>
          <w:tcPr>
            <w:tcW w:w="1798"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0" w:firstLine="0"/>
              <w:jc w:val="left"/>
            </w:pPr>
            <w:r>
              <w:rPr>
                <w:sz w:val="20"/>
              </w:rPr>
              <w:t xml:space="preserve">не спроводи се </w:t>
            </w:r>
          </w:p>
        </w:tc>
        <w:tc>
          <w:tcPr>
            <w:tcW w:w="4629"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2" w:right="0" w:firstLine="0"/>
              <w:jc w:val="left"/>
            </w:pPr>
            <w:r>
              <w:rPr>
                <w:sz w:val="20"/>
              </w:rPr>
              <w:t xml:space="preserve">  </w:t>
            </w:r>
          </w:p>
        </w:tc>
        <w:tc>
          <w:tcPr>
            <w:tcW w:w="1609"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1" w:right="0" w:firstLine="0"/>
              <w:jc w:val="left"/>
            </w:pPr>
            <w:r>
              <w:rPr>
                <w:sz w:val="20"/>
              </w:rPr>
              <w:t xml:space="preserve">Није донета коначна одлука о модалитету за успостављање овог механизма иако је у окивру ИПА пројекта урађена анализа могућих опција. </w:t>
            </w:r>
          </w:p>
        </w:tc>
        <w:tc>
          <w:tcPr>
            <w:tcW w:w="2409"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1" w:right="0" w:firstLine="0"/>
              <w:jc w:val="left"/>
            </w:pPr>
            <w:r>
              <w:rPr>
                <w:sz w:val="20"/>
              </w:rPr>
              <w:t xml:space="preserve">  </w:t>
            </w:r>
          </w:p>
        </w:tc>
      </w:tr>
    </w:tbl>
    <w:p w:rsidR="00E8309B" w:rsidRDefault="00E8309B">
      <w:pPr>
        <w:spacing w:after="0" w:line="259" w:lineRule="auto"/>
        <w:ind w:left="-1138" w:right="10666" w:firstLine="0"/>
        <w:jc w:val="left"/>
      </w:pPr>
    </w:p>
    <w:tbl>
      <w:tblPr>
        <w:tblStyle w:val="TableGrid"/>
        <w:tblW w:w="14220" w:type="dxa"/>
        <w:tblInd w:w="6" w:type="dxa"/>
        <w:tblCellMar>
          <w:top w:w="10" w:type="dxa"/>
          <w:left w:w="107" w:type="dxa"/>
          <w:bottom w:w="0" w:type="dxa"/>
          <w:right w:w="61" w:type="dxa"/>
        </w:tblCellMar>
        <w:tblLook w:val="04A0" w:firstRow="1" w:lastRow="0" w:firstColumn="1" w:lastColumn="0" w:noHBand="0" w:noVBand="1"/>
      </w:tblPr>
      <w:tblGrid>
        <w:gridCol w:w="465"/>
        <w:gridCol w:w="3311"/>
        <w:gridCol w:w="1798"/>
        <w:gridCol w:w="4629"/>
        <w:gridCol w:w="1609"/>
        <w:gridCol w:w="2409"/>
      </w:tblGrid>
      <w:tr w:rsidR="00E8309B">
        <w:trPr>
          <w:trHeight w:val="1051"/>
        </w:trPr>
        <w:tc>
          <w:tcPr>
            <w:tcW w:w="465" w:type="dxa"/>
            <w:tcBorders>
              <w:top w:val="single" w:sz="4" w:space="0" w:color="000000"/>
              <w:left w:val="single" w:sz="4" w:space="0" w:color="000000"/>
              <w:bottom w:val="single" w:sz="4" w:space="0" w:color="000000"/>
              <w:right w:val="single" w:sz="4" w:space="0" w:color="000000"/>
            </w:tcBorders>
          </w:tcPr>
          <w:p w:rsidR="00E8309B" w:rsidRDefault="00E8309B">
            <w:pPr>
              <w:spacing w:after="160" w:line="259" w:lineRule="auto"/>
              <w:ind w:left="0" w:right="0" w:firstLine="0"/>
              <w:jc w:val="left"/>
            </w:pPr>
          </w:p>
        </w:tc>
        <w:tc>
          <w:tcPr>
            <w:tcW w:w="3311" w:type="dxa"/>
            <w:tcBorders>
              <w:top w:val="single" w:sz="4" w:space="0" w:color="000000"/>
              <w:left w:val="single" w:sz="4" w:space="0" w:color="000000"/>
              <w:bottom w:val="single" w:sz="4" w:space="0" w:color="000000"/>
              <w:right w:val="single" w:sz="4" w:space="0" w:color="000000"/>
            </w:tcBorders>
          </w:tcPr>
          <w:p w:rsidR="00E8309B" w:rsidRDefault="00E8309B">
            <w:pPr>
              <w:spacing w:after="160" w:line="259" w:lineRule="auto"/>
              <w:ind w:left="0" w:right="0" w:firstLine="0"/>
              <w:jc w:val="left"/>
            </w:pPr>
          </w:p>
        </w:tc>
        <w:tc>
          <w:tcPr>
            <w:tcW w:w="1798" w:type="dxa"/>
            <w:tcBorders>
              <w:top w:val="single" w:sz="4" w:space="0" w:color="000000"/>
              <w:left w:val="single" w:sz="4" w:space="0" w:color="000000"/>
              <w:bottom w:val="single" w:sz="4" w:space="0" w:color="000000"/>
              <w:right w:val="single" w:sz="4" w:space="0" w:color="000000"/>
            </w:tcBorders>
          </w:tcPr>
          <w:p w:rsidR="00E8309B" w:rsidRDefault="00E8309B">
            <w:pPr>
              <w:spacing w:after="160" w:line="259" w:lineRule="auto"/>
              <w:ind w:left="0" w:right="0" w:firstLine="0"/>
              <w:jc w:val="left"/>
            </w:pPr>
          </w:p>
        </w:tc>
        <w:tc>
          <w:tcPr>
            <w:tcW w:w="4629" w:type="dxa"/>
            <w:tcBorders>
              <w:top w:val="single" w:sz="4" w:space="0" w:color="000000"/>
              <w:left w:val="single" w:sz="4" w:space="0" w:color="000000"/>
              <w:bottom w:val="single" w:sz="4" w:space="0" w:color="000000"/>
              <w:right w:val="single" w:sz="4" w:space="0" w:color="000000"/>
            </w:tcBorders>
          </w:tcPr>
          <w:p w:rsidR="00E8309B" w:rsidRDefault="00E8309B">
            <w:pPr>
              <w:spacing w:after="160" w:line="259" w:lineRule="auto"/>
              <w:ind w:left="0" w:right="0" w:firstLine="0"/>
              <w:jc w:val="left"/>
            </w:pPr>
          </w:p>
        </w:tc>
        <w:tc>
          <w:tcPr>
            <w:tcW w:w="1609"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1" w:right="0" w:firstLine="0"/>
              <w:jc w:val="left"/>
            </w:pPr>
            <w:r>
              <w:rPr>
                <w:sz w:val="20"/>
              </w:rPr>
              <w:t xml:space="preserve">Одлука није донета због ситуације са Ковид-19.  </w:t>
            </w:r>
          </w:p>
        </w:tc>
        <w:tc>
          <w:tcPr>
            <w:tcW w:w="2409" w:type="dxa"/>
            <w:tcBorders>
              <w:top w:val="single" w:sz="4" w:space="0" w:color="000000"/>
              <w:left w:val="single" w:sz="4" w:space="0" w:color="000000"/>
              <w:bottom w:val="single" w:sz="4" w:space="0" w:color="000000"/>
              <w:right w:val="single" w:sz="4" w:space="0" w:color="000000"/>
            </w:tcBorders>
          </w:tcPr>
          <w:p w:rsidR="00E8309B" w:rsidRDefault="00E8309B">
            <w:pPr>
              <w:spacing w:after="160" w:line="259" w:lineRule="auto"/>
              <w:ind w:left="0" w:right="0" w:firstLine="0"/>
              <w:jc w:val="left"/>
            </w:pPr>
          </w:p>
        </w:tc>
      </w:tr>
      <w:tr w:rsidR="00E8309B">
        <w:trPr>
          <w:trHeight w:val="818"/>
        </w:trPr>
        <w:tc>
          <w:tcPr>
            <w:tcW w:w="465"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0" w:firstLine="0"/>
              <w:jc w:val="left"/>
            </w:pPr>
            <w:r>
              <w:rPr>
                <w:sz w:val="20"/>
              </w:rPr>
              <w:t xml:space="preserve">2. </w:t>
            </w:r>
          </w:p>
        </w:tc>
        <w:tc>
          <w:tcPr>
            <w:tcW w:w="3311"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1" w:right="0" w:firstLine="0"/>
              <w:jc w:val="left"/>
            </w:pPr>
            <w:r>
              <w:rPr>
                <w:sz w:val="20"/>
              </w:rPr>
              <w:t xml:space="preserve">Прикупљања накнаде за енергетску ефикасност по основу Закона о накнадама </w:t>
            </w:r>
          </w:p>
        </w:tc>
        <w:tc>
          <w:tcPr>
            <w:tcW w:w="1798"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0" w:firstLine="0"/>
              <w:jc w:val="left"/>
            </w:pPr>
            <w:r>
              <w:rPr>
                <w:sz w:val="20"/>
              </w:rPr>
              <w:t xml:space="preserve">потпуно спроведене </w:t>
            </w:r>
          </w:p>
        </w:tc>
        <w:tc>
          <w:tcPr>
            <w:tcW w:w="4629"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2" w:right="0" w:firstLine="0"/>
              <w:jc w:val="left"/>
            </w:pPr>
            <w:r>
              <w:rPr>
                <w:sz w:val="20"/>
              </w:rPr>
              <w:t xml:space="preserve">  </w:t>
            </w:r>
          </w:p>
        </w:tc>
        <w:tc>
          <w:tcPr>
            <w:tcW w:w="1609"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1" w:right="0" w:firstLine="0"/>
              <w:jc w:val="left"/>
            </w:pPr>
            <w:r>
              <w:rPr>
                <w:sz w:val="20"/>
              </w:rPr>
              <w:t xml:space="preserve">  </w:t>
            </w:r>
          </w:p>
        </w:tc>
        <w:tc>
          <w:tcPr>
            <w:tcW w:w="2409"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1" w:right="0" w:firstLine="0"/>
              <w:jc w:val="left"/>
            </w:pPr>
            <w:r>
              <w:rPr>
                <w:sz w:val="20"/>
              </w:rPr>
              <w:t xml:space="preserve">  </w:t>
            </w:r>
          </w:p>
        </w:tc>
      </w:tr>
      <w:tr w:rsidR="00E8309B">
        <w:trPr>
          <w:trHeight w:val="1052"/>
        </w:trPr>
        <w:tc>
          <w:tcPr>
            <w:tcW w:w="465"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0" w:firstLine="0"/>
              <w:jc w:val="left"/>
            </w:pPr>
            <w:r>
              <w:rPr>
                <w:sz w:val="20"/>
              </w:rPr>
              <w:t xml:space="preserve">3. </w:t>
            </w:r>
          </w:p>
        </w:tc>
        <w:tc>
          <w:tcPr>
            <w:tcW w:w="3311"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1" w:right="0" w:firstLine="0"/>
              <w:jc w:val="left"/>
            </w:pPr>
            <w:r>
              <w:rPr>
                <w:sz w:val="20"/>
              </w:rPr>
              <w:t xml:space="preserve">Финансирање пројеката енергетске ефикасности </w:t>
            </w:r>
          </w:p>
        </w:tc>
        <w:tc>
          <w:tcPr>
            <w:tcW w:w="1798"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0" w:firstLine="0"/>
              <w:jc w:val="left"/>
            </w:pPr>
            <w:r>
              <w:rPr>
                <w:sz w:val="20"/>
              </w:rPr>
              <w:t xml:space="preserve">наставак спровођења са почетним резултатима </w:t>
            </w:r>
          </w:p>
        </w:tc>
        <w:tc>
          <w:tcPr>
            <w:tcW w:w="4629"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2" w:right="0" w:firstLine="0"/>
              <w:jc w:val="left"/>
            </w:pPr>
            <w:r>
              <w:rPr>
                <w:sz w:val="20"/>
              </w:rPr>
              <w:t xml:space="preserve">Јавни позив Буџетског фонда је спроведен али се рализација пројеката одвијала успоредно због ситуације са Ковид-19.  </w:t>
            </w:r>
          </w:p>
        </w:tc>
        <w:tc>
          <w:tcPr>
            <w:tcW w:w="1609"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1" w:right="0" w:firstLine="0"/>
              <w:jc w:val="left"/>
            </w:pPr>
            <w:r>
              <w:rPr>
                <w:sz w:val="20"/>
              </w:rPr>
              <w:t xml:space="preserve">  </w:t>
            </w:r>
          </w:p>
        </w:tc>
        <w:tc>
          <w:tcPr>
            <w:tcW w:w="2409"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1" w:right="0" w:firstLine="0"/>
              <w:jc w:val="left"/>
            </w:pPr>
            <w:r>
              <w:rPr>
                <w:sz w:val="20"/>
              </w:rPr>
              <w:t xml:space="preserve">  </w:t>
            </w:r>
          </w:p>
        </w:tc>
      </w:tr>
      <w:tr w:rsidR="00E8309B">
        <w:trPr>
          <w:trHeight w:val="2430"/>
        </w:trPr>
        <w:tc>
          <w:tcPr>
            <w:tcW w:w="465" w:type="dxa"/>
            <w:tcBorders>
              <w:top w:val="single" w:sz="4" w:space="0" w:color="000000"/>
              <w:left w:val="single" w:sz="4" w:space="0" w:color="000000"/>
              <w:bottom w:val="single" w:sz="4" w:space="0" w:color="000000"/>
              <w:right w:val="single" w:sz="4" w:space="0" w:color="000000"/>
            </w:tcBorders>
          </w:tcPr>
          <w:p w:rsidR="00E8309B" w:rsidRDefault="009D0949">
            <w:pPr>
              <w:spacing w:after="1998" w:line="259" w:lineRule="auto"/>
              <w:ind w:left="0" w:right="0" w:firstLine="0"/>
              <w:jc w:val="left"/>
            </w:pPr>
            <w:r>
              <w:rPr>
                <w:sz w:val="20"/>
              </w:rPr>
              <w:t xml:space="preserve">4. </w:t>
            </w:r>
          </w:p>
          <w:p w:rsidR="00E8309B" w:rsidRDefault="009D0949">
            <w:pPr>
              <w:spacing w:after="0" w:line="259" w:lineRule="auto"/>
              <w:ind w:left="0" w:right="0" w:firstLine="0"/>
              <w:jc w:val="left"/>
            </w:pPr>
            <w:r>
              <w:rPr>
                <w:sz w:val="20"/>
              </w:rPr>
              <w:t xml:space="preserve"> </w:t>
            </w:r>
          </w:p>
        </w:tc>
        <w:tc>
          <w:tcPr>
            <w:tcW w:w="3311"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39" w:lineRule="auto"/>
              <w:ind w:left="1" w:right="0" w:firstLine="0"/>
              <w:jc w:val="left"/>
            </w:pPr>
            <w:r>
              <w:rPr>
                <w:sz w:val="20"/>
              </w:rPr>
              <w:t xml:space="preserve">Јачање капацитета за спровођење политике енергетске ефикасности кроз јачање капацитета МРЕ, ЈЛС, тржишне инспекције и успостављање неколико тела за оцену усагалашености производа </w:t>
            </w:r>
          </w:p>
          <w:p w:rsidR="00E8309B" w:rsidRDefault="009D0949">
            <w:pPr>
              <w:spacing w:after="0" w:line="259" w:lineRule="auto"/>
              <w:ind w:left="1" w:right="0" w:firstLine="0"/>
              <w:jc w:val="left"/>
            </w:pPr>
            <w:r>
              <w:rPr>
                <w:sz w:val="20"/>
              </w:rPr>
              <w:t xml:space="preserve">(по директивама 2009/125 и 2010/30) као и спровођење активности на подизању свести о енергетској ефикасности </w:t>
            </w:r>
          </w:p>
        </w:tc>
        <w:tc>
          <w:tcPr>
            <w:tcW w:w="1798"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0" w:firstLine="0"/>
              <w:jc w:val="left"/>
            </w:pPr>
            <w:r>
              <w:rPr>
                <w:sz w:val="20"/>
              </w:rPr>
              <w:t xml:space="preserve">напредак у спровођењу </w:t>
            </w:r>
          </w:p>
        </w:tc>
        <w:tc>
          <w:tcPr>
            <w:tcW w:w="4629" w:type="dxa"/>
            <w:tcBorders>
              <w:top w:val="single" w:sz="4" w:space="0" w:color="000000"/>
              <w:left w:val="single" w:sz="4" w:space="0" w:color="000000"/>
              <w:bottom w:val="single" w:sz="4" w:space="0" w:color="000000"/>
              <w:right w:val="single" w:sz="4" w:space="0" w:color="000000"/>
            </w:tcBorders>
          </w:tcPr>
          <w:p w:rsidR="00E8309B" w:rsidRDefault="009D0949">
            <w:pPr>
              <w:spacing w:after="1079" w:line="258" w:lineRule="auto"/>
              <w:ind w:left="2" w:right="0" w:firstLine="0"/>
              <w:jc w:val="left"/>
            </w:pPr>
            <w:r>
              <w:rPr>
                <w:sz w:val="20"/>
              </w:rPr>
              <w:t>Активности на пројекту се углавном реализују према плану али због ситуације са  Ковид-19. постоји мало померање појединих а</w:t>
            </w:r>
            <w:r>
              <w:rPr>
                <w:sz w:val="20"/>
              </w:rPr>
              <w:t xml:space="preserve">ктивности као на пример активности у вези са истраживањем стања на тржишту производа </w:t>
            </w:r>
          </w:p>
          <w:p w:rsidR="00E8309B" w:rsidRDefault="009D0949">
            <w:pPr>
              <w:spacing w:after="0" w:line="259" w:lineRule="auto"/>
              <w:ind w:left="2" w:right="0" w:firstLine="0"/>
              <w:jc w:val="left"/>
            </w:pPr>
            <w:r>
              <w:rPr>
                <w:sz w:val="20"/>
              </w:rPr>
              <w:t xml:space="preserve"> </w:t>
            </w:r>
          </w:p>
        </w:tc>
        <w:tc>
          <w:tcPr>
            <w:tcW w:w="1609"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1" w:right="0" w:firstLine="0"/>
              <w:jc w:val="left"/>
            </w:pPr>
            <w:r>
              <w:rPr>
                <w:sz w:val="20"/>
              </w:rPr>
              <w:t xml:space="preserve">  </w:t>
            </w:r>
          </w:p>
        </w:tc>
        <w:tc>
          <w:tcPr>
            <w:tcW w:w="2409"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1" w:right="0" w:firstLine="0"/>
              <w:jc w:val="left"/>
            </w:pPr>
            <w:r>
              <w:rPr>
                <w:sz w:val="20"/>
              </w:rPr>
              <w:t xml:space="preserve">  </w:t>
            </w:r>
          </w:p>
        </w:tc>
      </w:tr>
      <w:tr w:rsidR="00E8309B">
        <w:trPr>
          <w:trHeight w:val="385"/>
        </w:trPr>
        <w:tc>
          <w:tcPr>
            <w:tcW w:w="3776" w:type="dxa"/>
            <w:gridSpan w:val="2"/>
            <w:tcBorders>
              <w:top w:val="single" w:sz="4" w:space="0" w:color="000000"/>
              <w:left w:val="nil"/>
              <w:bottom w:val="single" w:sz="4" w:space="0" w:color="000000"/>
              <w:right w:val="single" w:sz="4" w:space="0" w:color="000000"/>
            </w:tcBorders>
          </w:tcPr>
          <w:p w:rsidR="00E8309B" w:rsidRDefault="00E8309B">
            <w:pPr>
              <w:spacing w:after="160" w:line="259" w:lineRule="auto"/>
              <w:ind w:left="0" w:right="0" w:firstLine="0"/>
              <w:jc w:val="left"/>
            </w:pPr>
          </w:p>
        </w:tc>
        <w:tc>
          <w:tcPr>
            <w:tcW w:w="1798" w:type="dxa"/>
            <w:tcBorders>
              <w:top w:val="single" w:sz="4" w:space="0" w:color="000000"/>
              <w:left w:val="single" w:sz="4" w:space="0" w:color="000000"/>
              <w:bottom w:val="single" w:sz="4" w:space="0" w:color="000000"/>
              <w:right w:val="single" w:sz="4" w:space="0" w:color="000000"/>
            </w:tcBorders>
            <w:shd w:val="clear" w:color="auto" w:fill="BDD6EE"/>
          </w:tcPr>
          <w:p w:rsidR="00E8309B" w:rsidRDefault="009D0949">
            <w:pPr>
              <w:spacing w:after="0" w:line="259" w:lineRule="auto"/>
              <w:ind w:left="0" w:right="48" w:firstLine="0"/>
              <w:jc w:val="center"/>
            </w:pPr>
            <w:r>
              <w:rPr>
                <w:b/>
                <w:sz w:val="20"/>
              </w:rPr>
              <w:t xml:space="preserve">60% </w:t>
            </w:r>
          </w:p>
        </w:tc>
        <w:tc>
          <w:tcPr>
            <w:tcW w:w="8646" w:type="dxa"/>
            <w:gridSpan w:val="3"/>
            <w:tcBorders>
              <w:top w:val="single" w:sz="4" w:space="0" w:color="000000"/>
              <w:left w:val="single" w:sz="4" w:space="0" w:color="000000"/>
              <w:bottom w:val="single" w:sz="4" w:space="0" w:color="000000"/>
              <w:right w:val="nil"/>
            </w:tcBorders>
          </w:tcPr>
          <w:p w:rsidR="00E8309B" w:rsidRDefault="00E8309B">
            <w:pPr>
              <w:spacing w:after="160" w:line="259" w:lineRule="auto"/>
              <w:ind w:left="0" w:right="0" w:firstLine="0"/>
              <w:jc w:val="left"/>
            </w:pPr>
          </w:p>
        </w:tc>
      </w:tr>
      <w:tr w:rsidR="00E8309B">
        <w:trPr>
          <w:trHeight w:val="772"/>
        </w:trPr>
        <w:tc>
          <w:tcPr>
            <w:tcW w:w="14220" w:type="dxa"/>
            <w:gridSpan w:val="6"/>
            <w:tcBorders>
              <w:top w:val="single" w:sz="4" w:space="0" w:color="000000"/>
              <w:left w:val="single" w:sz="4" w:space="0" w:color="000000"/>
              <w:bottom w:val="single" w:sz="4" w:space="0" w:color="000000"/>
              <w:right w:val="single" w:sz="4" w:space="0" w:color="000000"/>
            </w:tcBorders>
            <w:shd w:val="clear" w:color="auto" w:fill="D0CECE"/>
          </w:tcPr>
          <w:p w:rsidR="00E8309B" w:rsidRDefault="009D0949">
            <w:pPr>
              <w:spacing w:after="0" w:line="259" w:lineRule="auto"/>
              <w:ind w:left="0" w:right="0" w:firstLine="0"/>
            </w:pPr>
            <w:r>
              <w:rPr>
                <w:b/>
              </w:rPr>
              <w:t xml:space="preserve">СР 3. Унапређење капацитета и квалитета друмског саобраћаја кроз реформу путног сектора у погледу формирања уговорног односа између РС и управљача државних путева и даљу примену  новог начина уговарања одржавања на основу учинка </w:t>
            </w:r>
          </w:p>
        </w:tc>
      </w:tr>
      <w:tr w:rsidR="00E8309B">
        <w:trPr>
          <w:trHeight w:val="1283"/>
        </w:trPr>
        <w:tc>
          <w:tcPr>
            <w:tcW w:w="465"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0" w:firstLine="0"/>
              <w:jc w:val="left"/>
            </w:pPr>
            <w:r>
              <w:rPr>
                <w:sz w:val="20"/>
              </w:rPr>
              <w:t xml:space="preserve">1. </w:t>
            </w:r>
          </w:p>
        </w:tc>
        <w:tc>
          <w:tcPr>
            <w:tcW w:w="3311"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1" w:right="0" w:firstLine="0"/>
              <w:jc w:val="left"/>
            </w:pPr>
            <w:r>
              <w:rPr>
                <w:sz w:val="20"/>
              </w:rPr>
              <w:t xml:space="preserve">Наставак преласка на нов начин уговарања са предузећима за одржавање преостале мреже државних путева (PBMC – 12.000км) (ЈППС)  </w:t>
            </w:r>
          </w:p>
        </w:tc>
        <w:tc>
          <w:tcPr>
            <w:tcW w:w="1798"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0" w:firstLine="0"/>
              <w:jc w:val="left"/>
            </w:pPr>
            <w:r>
              <w:rPr>
                <w:sz w:val="20"/>
              </w:rPr>
              <w:t xml:space="preserve">у припреми </w:t>
            </w:r>
          </w:p>
        </w:tc>
        <w:tc>
          <w:tcPr>
            <w:tcW w:w="4629"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2" w:right="0" w:firstLine="0"/>
              <w:jc w:val="left"/>
            </w:pPr>
            <w:r>
              <w:rPr>
                <w:sz w:val="20"/>
              </w:rPr>
              <w:t xml:space="preserve">ПБМЦ Уговори су у потпуности направљени осим буџета. Буџет ПБМЦ Уговора произилази из СЛА Уговора. </w:t>
            </w:r>
          </w:p>
        </w:tc>
        <w:tc>
          <w:tcPr>
            <w:tcW w:w="1609"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1" w:right="0" w:firstLine="0"/>
              <w:jc w:val="left"/>
            </w:pPr>
            <w:r>
              <w:rPr>
                <w:sz w:val="20"/>
              </w:rPr>
              <w:t xml:space="preserve">  </w:t>
            </w:r>
          </w:p>
        </w:tc>
        <w:tc>
          <w:tcPr>
            <w:tcW w:w="2409"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1" w:right="0" w:firstLine="0"/>
              <w:jc w:val="left"/>
            </w:pPr>
            <w:r>
              <w:rPr>
                <w:sz w:val="20"/>
              </w:rPr>
              <w:t xml:space="preserve">  </w:t>
            </w:r>
          </w:p>
        </w:tc>
      </w:tr>
    </w:tbl>
    <w:p w:rsidR="00E8309B" w:rsidRDefault="00E8309B">
      <w:pPr>
        <w:spacing w:after="0" w:line="259" w:lineRule="auto"/>
        <w:ind w:left="-1138" w:right="10666" w:firstLine="0"/>
        <w:jc w:val="left"/>
      </w:pPr>
    </w:p>
    <w:tbl>
      <w:tblPr>
        <w:tblStyle w:val="TableGrid"/>
        <w:tblW w:w="14220" w:type="dxa"/>
        <w:tblInd w:w="6" w:type="dxa"/>
        <w:tblCellMar>
          <w:top w:w="10" w:type="dxa"/>
          <w:left w:w="107" w:type="dxa"/>
          <w:bottom w:w="0" w:type="dxa"/>
          <w:right w:w="67" w:type="dxa"/>
        </w:tblCellMar>
        <w:tblLook w:val="04A0" w:firstRow="1" w:lastRow="0" w:firstColumn="1" w:lastColumn="0" w:noHBand="0" w:noVBand="1"/>
      </w:tblPr>
      <w:tblGrid>
        <w:gridCol w:w="465"/>
        <w:gridCol w:w="3311"/>
        <w:gridCol w:w="1798"/>
        <w:gridCol w:w="4629"/>
        <w:gridCol w:w="1609"/>
        <w:gridCol w:w="2409"/>
      </w:tblGrid>
      <w:tr w:rsidR="00E8309B">
        <w:trPr>
          <w:trHeight w:val="2202"/>
        </w:trPr>
        <w:tc>
          <w:tcPr>
            <w:tcW w:w="465" w:type="dxa"/>
            <w:tcBorders>
              <w:top w:val="single" w:sz="4" w:space="0" w:color="000000"/>
              <w:left w:val="single" w:sz="4" w:space="0" w:color="000000"/>
              <w:bottom w:val="single" w:sz="4" w:space="0" w:color="000000"/>
              <w:right w:val="single" w:sz="4" w:space="0" w:color="000000"/>
            </w:tcBorders>
          </w:tcPr>
          <w:p w:rsidR="00E8309B" w:rsidRDefault="009D0949">
            <w:pPr>
              <w:spacing w:after="1769" w:line="259" w:lineRule="auto"/>
              <w:ind w:left="0" w:right="0" w:firstLine="0"/>
              <w:jc w:val="left"/>
            </w:pPr>
            <w:r>
              <w:rPr>
                <w:sz w:val="20"/>
              </w:rPr>
              <w:t xml:space="preserve">2. </w:t>
            </w:r>
          </w:p>
          <w:p w:rsidR="00E8309B" w:rsidRDefault="009D0949">
            <w:pPr>
              <w:spacing w:after="0" w:line="259" w:lineRule="auto"/>
              <w:ind w:left="0" w:right="0" w:firstLine="0"/>
              <w:jc w:val="left"/>
            </w:pPr>
            <w:r>
              <w:rPr>
                <w:sz w:val="20"/>
              </w:rPr>
              <w:t xml:space="preserve"> </w:t>
            </w:r>
          </w:p>
        </w:tc>
        <w:tc>
          <w:tcPr>
            <w:tcW w:w="3311"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1" w:right="0" w:firstLine="0"/>
              <w:jc w:val="left"/>
            </w:pPr>
            <w:r>
              <w:rPr>
                <w:sz w:val="20"/>
              </w:rPr>
              <w:t xml:space="preserve">Потписивање првог трогодишњег </w:t>
            </w:r>
          </w:p>
          <w:p w:rsidR="00E8309B" w:rsidRDefault="009D0949">
            <w:pPr>
              <w:spacing w:after="20" w:line="259" w:lineRule="auto"/>
              <w:ind w:left="1" w:right="0" w:firstLine="0"/>
              <w:jc w:val="left"/>
            </w:pPr>
            <w:r>
              <w:rPr>
                <w:sz w:val="20"/>
              </w:rPr>
              <w:t xml:space="preserve">СЛА уговора између ЈППС и </w:t>
            </w:r>
          </w:p>
          <w:p w:rsidR="00E8309B" w:rsidRDefault="009D0949">
            <w:pPr>
              <w:spacing w:after="0" w:line="259" w:lineRule="auto"/>
              <w:ind w:left="1" w:right="0" w:firstLine="0"/>
              <w:jc w:val="left"/>
            </w:pPr>
            <w:r>
              <w:rPr>
                <w:sz w:val="20"/>
              </w:rPr>
              <w:t xml:space="preserve">МГСИ (ЈППС, МГСИ) </w:t>
            </w:r>
          </w:p>
        </w:tc>
        <w:tc>
          <w:tcPr>
            <w:tcW w:w="1798"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0" w:firstLine="0"/>
              <w:jc w:val="left"/>
            </w:pPr>
            <w:r>
              <w:rPr>
                <w:sz w:val="20"/>
              </w:rPr>
              <w:t xml:space="preserve">у припреми </w:t>
            </w:r>
          </w:p>
        </w:tc>
        <w:tc>
          <w:tcPr>
            <w:tcW w:w="4629"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47" w:lineRule="auto"/>
              <w:ind w:left="2" w:right="45" w:firstLine="0"/>
              <w:jc w:val="left"/>
            </w:pPr>
            <w:r>
              <w:rPr>
                <w:sz w:val="20"/>
              </w:rPr>
              <w:t>Форма СЛА уговора за 2020. годину је урађен. Паралелно са СЛА 2020.  консултанат је испоручио нацрт трогодишњег СЛА, који је тренутно у фази развоја. Имајући у виду да</w:t>
            </w:r>
            <w:r>
              <w:rPr>
                <w:sz w:val="20"/>
              </w:rPr>
              <w:t xml:space="preserve"> је крај 2020. године, а узимајући у обзир да је Ковид пандемија успорила планиране активности,  разматра се да се СЛА 2020. преименује на СЛА 2021. а трогодишњи Уговор да се преименује у СЛА 2022. - 2025. </w:t>
            </w:r>
          </w:p>
          <w:p w:rsidR="00E8309B" w:rsidRDefault="009D0949">
            <w:pPr>
              <w:spacing w:after="0" w:line="259" w:lineRule="auto"/>
              <w:ind w:left="2" w:right="0" w:firstLine="0"/>
              <w:jc w:val="left"/>
            </w:pPr>
            <w:r>
              <w:rPr>
                <w:sz w:val="20"/>
              </w:rPr>
              <w:t xml:space="preserve"> </w:t>
            </w:r>
          </w:p>
        </w:tc>
        <w:tc>
          <w:tcPr>
            <w:tcW w:w="1609"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1" w:right="0" w:firstLine="0"/>
              <w:jc w:val="left"/>
            </w:pPr>
            <w:r>
              <w:rPr>
                <w:sz w:val="20"/>
              </w:rPr>
              <w:t xml:space="preserve">  </w:t>
            </w:r>
          </w:p>
        </w:tc>
        <w:tc>
          <w:tcPr>
            <w:tcW w:w="2409"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1" w:right="0" w:firstLine="0"/>
              <w:jc w:val="left"/>
            </w:pPr>
            <w:r>
              <w:rPr>
                <w:sz w:val="20"/>
              </w:rPr>
              <w:t xml:space="preserve">  </w:t>
            </w:r>
          </w:p>
        </w:tc>
      </w:tr>
      <w:tr w:rsidR="00E8309B">
        <w:trPr>
          <w:trHeight w:val="383"/>
        </w:trPr>
        <w:tc>
          <w:tcPr>
            <w:tcW w:w="3776" w:type="dxa"/>
            <w:gridSpan w:val="2"/>
            <w:tcBorders>
              <w:top w:val="single" w:sz="4" w:space="0" w:color="000000"/>
              <w:left w:val="nil"/>
              <w:bottom w:val="single" w:sz="4" w:space="0" w:color="000000"/>
              <w:right w:val="single" w:sz="4" w:space="0" w:color="000000"/>
            </w:tcBorders>
          </w:tcPr>
          <w:p w:rsidR="00E8309B" w:rsidRDefault="00E8309B">
            <w:pPr>
              <w:spacing w:after="160" w:line="259" w:lineRule="auto"/>
              <w:ind w:left="0" w:right="0" w:firstLine="0"/>
              <w:jc w:val="left"/>
            </w:pPr>
          </w:p>
        </w:tc>
        <w:tc>
          <w:tcPr>
            <w:tcW w:w="1798" w:type="dxa"/>
            <w:tcBorders>
              <w:top w:val="single" w:sz="4" w:space="0" w:color="000000"/>
              <w:left w:val="single" w:sz="4" w:space="0" w:color="000000"/>
              <w:bottom w:val="single" w:sz="4" w:space="0" w:color="000000"/>
              <w:right w:val="single" w:sz="4" w:space="0" w:color="000000"/>
            </w:tcBorders>
            <w:shd w:val="clear" w:color="auto" w:fill="BDD6EE"/>
          </w:tcPr>
          <w:p w:rsidR="00E8309B" w:rsidRDefault="009D0949">
            <w:pPr>
              <w:spacing w:after="0" w:line="259" w:lineRule="auto"/>
              <w:ind w:left="0" w:right="42" w:firstLine="0"/>
              <w:jc w:val="center"/>
            </w:pPr>
            <w:r>
              <w:rPr>
                <w:b/>
                <w:sz w:val="20"/>
              </w:rPr>
              <w:t xml:space="preserve">20% </w:t>
            </w:r>
          </w:p>
        </w:tc>
        <w:tc>
          <w:tcPr>
            <w:tcW w:w="8646" w:type="dxa"/>
            <w:gridSpan w:val="3"/>
            <w:tcBorders>
              <w:top w:val="single" w:sz="4" w:space="0" w:color="000000"/>
              <w:left w:val="single" w:sz="4" w:space="0" w:color="000000"/>
              <w:bottom w:val="single" w:sz="4" w:space="0" w:color="000000"/>
              <w:right w:val="nil"/>
            </w:tcBorders>
          </w:tcPr>
          <w:p w:rsidR="00E8309B" w:rsidRDefault="00E8309B">
            <w:pPr>
              <w:spacing w:after="160" w:line="259" w:lineRule="auto"/>
              <w:ind w:left="0" w:right="0" w:firstLine="0"/>
              <w:jc w:val="left"/>
            </w:pPr>
          </w:p>
        </w:tc>
      </w:tr>
      <w:tr w:rsidR="00E8309B">
        <w:trPr>
          <w:trHeight w:val="404"/>
        </w:trPr>
        <w:tc>
          <w:tcPr>
            <w:tcW w:w="14220" w:type="dxa"/>
            <w:gridSpan w:val="6"/>
            <w:tcBorders>
              <w:top w:val="single" w:sz="4" w:space="0" w:color="000000"/>
              <w:left w:val="single" w:sz="4" w:space="0" w:color="000000"/>
              <w:bottom w:val="single" w:sz="4" w:space="0" w:color="000000"/>
              <w:right w:val="single" w:sz="4" w:space="0" w:color="000000"/>
            </w:tcBorders>
            <w:shd w:val="clear" w:color="auto" w:fill="D0CECE"/>
          </w:tcPr>
          <w:p w:rsidR="00E8309B" w:rsidRDefault="009D0949">
            <w:pPr>
              <w:spacing w:after="0" w:line="259" w:lineRule="auto"/>
              <w:ind w:left="0" w:right="0" w:firstLine="0"/>
              <w:jc w:val="left"/>
            </w:pPr>
            <w:r>
              <w:rPr>
                <w:b/>
              </w:rPr>
              <w:t xml:space="preserve">СР 4. Реформа железнице кроз унапређење безбедности у железничком саобраћају и унапређење регулаторног оквира </w:t>
            </w:r>
          </w:p>
        </w:tc>
      </w:tr>
      <w:tr w:rsidR="00E8309B">
        <w:trPr>
          <w:trHeight w:val="6113"/>
        </w:trPr>
        <w:tc>
          <w:tcPr>
            <w:tcW w:w="465"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0" w:firstLine="0"/>
              <w:jc w:val="left"/>
            </w:pPr>
            <w:r>
              <w:rPr>
                <w:sz w:val="20"/>
              </w:rPr>
              <w:t xml:space="preserve">1. </w:t>
            </w:r>
          </w:p>
        </w:tc>
        <w:tc>
          <w:tcPr>
            <w:tcW w:w="3311"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1" w:right="0" w:firstLine="0"/>
              <w:jc w:val="left"/>
            </w:pPr>
            <w:r>
              <w:rPr>
                <w:sz w:val="20"/>
              </w:rPr>
              <w:t xml:space="preserve">Израда нове методологије за за обрачун цене присутпа железничкој инфраструктури </w:t>
            </w:r>
          </w:p>
        </w:tc>
        <w:tc>
          <w:tcPr>
            <w:tcW w:w="1798"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0" w:firstLine="0"/>
              <w:jc w:val="left"/>
            </w:pPr>
            <w:r>
              <w:rPr>
                <w:sz w:val="20"/>
              </w:rPr>
              <w:t xml:space="preserve">напредак у спровођењу </w:t>
            </w:r>
          </w:p>
        </w:tc>
        <w:tc>
          <w:tcPr>
            <w:tcW w:w="4629"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2" w:right="0" w:firstLine="0"/>
              <w:jc w:val="left"/>
            </w:pPr>
            <w:r>
              <w:rPr>
                <w:sz w:val="20"/>
              </w:rPr>
              <w:t>С обзиром да је Делегација ЕУ тек ав</w:t>
            </w:r>
            <w:r>
              <w:rPr>
                <w:sz w:val="20"/>
              </w:rPr>
              <w:t xml:space="preserve">густу 2019. г. </w:t>
            </w:r>
          </w:p>
          <w:p w:rsidR="00E8309B" w:rsidRDefault="009D0949">
            <w:pPr>
              <w:spacing w:after="0" w:line="259" w:lineRule="auto"/>
              <w:ind w:left="2" w:right="0" w:firstLine="0"/>
              <w:jc w:val="left"/>
            </w:pPr>
            <w:r>
              <w:rPr>
                <w:sz w:val="20"/>
              </w:rPr>
              <w:t xml:space="preserve">одобрила продужење пројекта "Свеобухватне реформе железнице", био је одложен и почетак израде Методологије. Међутим, 13.4.2020. г. од стране консултаната МГСИ је достављен Извештај Прелиминарна верзија Методологије и модела за обрачун цена </w:t>
            </w:r>
            <w:r>
              <w:rPr>
                <w:sz w:val="20"/>
              </w:rPr>
              <w:t>приступа, након чега је уследила размена коментара између МГСИ, ИЖС и консултаната. Након тога, 14.7.2020. г. достављен је и Нацрт Методологије и модела за обрачун цена. Овај документ садржи приказ просечних јединичних директних трошкова, методолошки прика</w:t>
            </w:r>
            <w:r>
              <w:rPr>
                <w:sz w:val="20"/>
              </w:rPr>
              <w:t>з и вредности свих коришћених коефицијената. С обзиром да он садржи и тестирање нове цене приступа на одређеном броју најфреквентнијих траса, са циљем поређења нових цена са тренутним, а ради одређивања утицаја на целокупан систем, било је потребно спровес</w:t>
            </w:r>
            <w:r>
              <w:rPr>
                <w:sz w:val="20"/>
              </w:rPr>
              <w:t>ти симулацију за одређени временски период за све трасе. Како би предметна уредба била донета са укључивањем свих заинтересованих страна и разматрањем утицаја на железнички саобраћај формирана је Радна група на вишем нивоу. Потребно је имати у виду да је з</w:t>
            </w:r>
            <w:r>
              <w:rPr>
                <w:sz w:val="20"/>
              </w:rPr>
              <w:t xml:space="preserve">бог утицаја Ковид19 дошло до успоравања активности везаних за израду Методологије.   </w:t>
            </w:r>
          </w:p>
        </w:tc>
        <w:tc>
          <w:tcPr>
            <w:tcW w:w="1609"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1" w:right="0" w:firstLine="0"/>
              <w:jc w:val="left"/>
            </w:pPr>
            <w:r>
              <w:rPr>
                <w:sz w:val="20"/>
              </w:rPr>
              <w:t xml:space="preserve">  </w:t>
            </w:r>
          </w:p>
        </w:tc>
        <w:tc>
          <w:tcPr>
            <w:tcW w:w="2409"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1" w:right="0" w:firstLine="0"/>
              <w:jc w:val="left"/>
            </w:pPr>
            <w:r>
              <w:rPr>
                <w:sz w:val="20"/>
              </w:rPr>
              <w:t xml:space="preserve">  </w:t>
            </w:r>
          </w:p>
        </w:tc>
      </w:tr>
    </w:tbl>
    <w:p w:rsidR="00E8309B" w:rsidRDefault="00E8309B">
      <w:pPr>
        <w:spacing w:after="0" w:line="259" w:lineRule="auto"/>
        <w:ind w:left="-1138" w:right="10666" w:firstLine="0"/>
        <w:jc w:val="left"/>
      </w:pPr>
    </w:p>
    <w:tbl>
      <w:tblPr>
        <w:tblStyle w:val="TableGrid"/>
        <w:tblW w:w="14222" w:type="dxa"/>
        <w:tblInd w:w="5" w:type="dxa"/>
        <w:tblCellMar>
          <w:top w:w="10" w:type="dxa"/>
          <w:left w:w="107" w:type="dxa"/>
          <w:bottom w:w="0" w:type="dxa"/>
          <w:right w:w="64" w:type="dxa"/>
        </w:tblCellMar>
        <w:tblLook w:val="04A0" w:firstRow="1" w:lastRow="0" w:firstColumn="1" w:lastColumn="0" w:noHBand="0" w:noVBand="1"/>
      </w:tblPr>
      <w:tblGrid>
        <w:gridCol w:w="466"/>
        <w:gridCol w:w="3311"/>
        <w:gridCol w:w="1798"/>
        <w:gridCol w:w="4629"/>
        <w:gridCol w:w="1609"/>
        <w:gridCol w:w="2410"/>
      </w:tblGrid>
      <w:tr w:rsidR="00E8309B">
        <w:trPr>
          <w:trHeight w:val="1630"/>
        </w:trPr>
        <w:tc>
          <w:tcPr>
            <w:tcW w:w="466"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1" w:right="0" w:firstLine="0"/>
              <w:jc w:val="left"/>
            </w:pPr>
            <w:r>
              <w:rPr>
                <w:sz w:val="20"/>
              </w:rPr>
              <w:t xml:space="preserve">2. </w:t>
            </w:r>
          </w:p>
        </w:tc>
        <w:tc>
          <w:tcPr>
            <w:tcW w:w="3311"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1" w:right="0" w:firstLine="0"/>
              <w:jc w:val="left"/>
            </w:pPr>
            <w:r>
              <w:rPr>
                <w:sz w:val="20"/>
              </w:rPr>
              <w:t xml:space="preserve">Примена нове методологије за за обрачун цене присутпа железничкој инфраструктури </w:t>
            </w:r>
          </w:p>
        </w:tc>
        <w:tc>
          <w:tcPr>
            <w:tcW w:w="1798"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0" w:firstLine="0"/>
              <w:jc w:val="left"/>
            </w:pPr>
            <w:r>
              <w:rPr>
                <w:sz w:val="20"/>
              </w:rPr>
              <w:t xml:space="preserve">не спроводи се </w:t>
            </w:r>
          </w:p>
        </w:tc>
        <w:tc>
          <w:tcPr>
            <w:tcW w:w="4629"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2" w:right="0" w:firstLine="0"/>
              <w:jc w:val="left"/>
            </w:pPr>
            <w:r>
              <w:rPr>
                <w:sz w:val="20"/>
              </w:rPr>
              <w:t xml:space="preserve">  </w:t>
            </w:r>
          </w:p>
        </w:tc>
        <w:tc>
          <w:tcPr>
            <w:tcW w:w="1609"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1" w:right="0" w:firstLine="0"/>
              <w:jc w:val="left"/>
            </w:pPr>
            <w:r>
              <w:rPr>
                <w:sz w:val="20"/>
              </w:rPr>
              <w:t xml:space="preserve">Примена </w:t>
            </w:r>
          </w:p>
          <w:p w:rsidR="00E8309B" w:rsidRDefault="009D0949">
            <w:pPr>
              <w:spacing w:after="105"/>
              <w:ind w:left="1" w:right="0" w:firstLine="0"/>
              <w:jc w:val="left"/>
            </w:pPr>
            <w:r>
              <w:rPr>
                <w:sz w:val="20"/>
              </w:rPr>
              <w:t xml:space="preserve">Методологије је условљења њеним доношењем. </w:t>
            </w:r>
          </w:p>
          <w:p w:rsidR="00E8309B" w:rsidRDefault="009D0949">
            <w:pPr>
              <w:spacing w:after="0" w:line="259" w:lineRule="auto"/>
              <w:ind w:left="1" w:right="0" w:firstLine="0"/>
              <w:jc w:val="left"/>
            </w:pPr>
            <w:r>
              <w:rPr>
                <w:sz w:val="20"/>
              </w:rPr>
              <w:t xml:space="preserve"> </w:t>
            </w:r>
          </w:p>
        </w:tc>
        <w:tc>
          <w:tcPr>
            <w:tcW w:w="2410"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1" w:right="0" w:firstLine="0"/>
              <w:jc w:val="left"/>
            </w:pPr>
            <w:r>
              <w:rPr>
                <w:sz w:val="20"/>
              </w:rPr>
              <w:t xml:space="preserve">  </w:t>
            </w:r>
          </w:p>
        </w:tc>
      </w:tr>
      <w:tr w:rsidR="00E8309B">
        <w:trPr>
          <w:trHeight w:val="2091"/>
        </w:trPr>
        <w:tc>
          <w:tcPr>
            <w:tcW w:w="466"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1" w:right="0" w:firstLine="0"/>
              <w:jc w:val="left"/>
            </w:pPr>
            <w:r>
              <w:rPr>
                <w:sz w:val="20"/>
              </w:rPr>
              <w:t xml:space="preserve">3. </w:t>
            </w:r>
          </w:p>
        </w:tc>
        <w:tc>
          <w:tcPr>
            <w:tcW w:w="3311"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1" w:right="0" w:firstLine="0"/>
              <w:jc w:val="left"/>
            </w:pPr>
            <w:r>
              <w:rPr>
                <w:sz w:val="20"/>
              </w:rPr>
              <w:t xml:space="preserve">Усаглашавање закона из области железнице са IV пакетом железничких ЕУ прописа </w:t>
            </w:r>
          </w:p>
        </w:tc>
        <w:tc>
          <w:tcPr>
            <w:tcW w:w="1798"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0" w:firstLine="0"/>
              <w:jc w:val="left"/>
            </w:pPr>
            <w:r>
              <w:rPr>
                <w:sz w:val="20"/>
              </w:rPr>
              <w:t xml:space="preserve">наставак спровођења са почетним резултатима </w:t>
            </w:r>
          </w:p>
        </w:tc>
        <w:tc>
          <w:tcPr>
            <w:tcW w:w="4629" w:type="dxa"/>
            <w:tcBorders>
              <w:top w:val="single" w:sz="4" w:space="0" w:color="000000"/>
              <w:left w:val="single" w:sz="4" w:space="0" w:color="000000"/>
              <w:bottom w:val="single" w:sz="4" w:space="0" w:color="000000"/>
              <w:right w:val="single" w:sz="4" w:space="0" w:color="000000"/>
            </w:tcBorders>
          </w:tcPr>
          <w:p w:rsidR="00E8309B" w:rsidRDefault="009D0949">
            <w:pPr>
              <w:spacing w:after="114" w:line="246" w:lineRule="auto"/>
              <w:ind w:left="2" w:right="0" w:firstLine="0"/>
              <w:jc w:val="left"/>
            </w:pPr>
            <w:r>
              <w:rPr>
                <w:sz w:val="20"/>
              </w:rPr>
              <w:t>У вези са овом активношћу, формиране су радне групе за израду Нацрта закона о изменама и допунама Закона о интероперабилности железничког система и Нацрта закона о безбедности железничког саобраћаја и израђене су прве радне верзије нацрта закона које се тр</w:t>
            </w:r>
            <w:r>
              <w:rPr>
                <w:sz w:val="20"/>
              </w:rPr>
              <w:t xml:space="preserve">енутно усаглашавају у оквиру радних група. </w:t>
            </w:r>
          </w:p>
          <w:p w:rsidR="00E8309B" w:rsidRDefault="009D0949">
            <w:pPr>
              <w:spacing w:after="0" w:line="259" w:lineRule="auto"/>
              <w:ind w:left="2" w:right="0" w:firstLine="0"/>
              <w:jc w:val="left"/>
            </w:pPr>
            <w:r>
              <w:rPr>
                <w:sz w:val="20"/>
              </w:rPr>
              <w:t xml:space="preserve"> </w:t>
            </w:r>
          </w:p>
        </w:tc>
        <w:tc>
          <w:tcPr>
            <w:tcW w:w="1609"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1" w:right="0" w:firstLine="0"/>
              <w:jc w:val="left"/>
            </w:pPr>
            <w:r>
              <w:rPr>
                <w:sz w:val="20"/>
              </w:rPr>
              <w:t xml:space="preserve">  </w:t>
            </w:r>
          </w:p>
        </w:tc>
        <w:tc>
          <w:tcPr>
            <w:tcW w:w="2410"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1" w:right="0" w:firstLine="0"/>
              <w:jc w:val="left"/>
            </w:pPr>
            <w:r>
              <w:rPr>
                <w:sz w:val="20"/>
              </w:rPr>
              <w:t xml:space="preserve">  </w:t>
            </w:r>
          </w:p>
        </w:tc>
      </w:tr>
      <w:tr w:rsidR="00E8309B">
        <w:trPr>
          <w:trHeight w:val="5083"/>
        </w:trPr>
        <w:tc>
          <w:tcPr>
            <w:tcW w:w="466" w:type="dxa"/>
            <w:tcBorders>
              <w:top w:val="single" w:sz="4" w:space="0" w:color="000000"/>
              <w:left w:val="single" w:sz="4" w:space="0" w:color="000000"/>
              <w:bottom w:val="single" w:sz="4" w:space="0" w:color="000000"/>
              <w:right w:val="single" w:sz="4" w:space="0" w:color="000000"/>
            </w:tcBorders>
          </w:tcPr>
          <w:p w:rsidR="00E8309B" w:rsidRDefault="009D0949">
            <w:pPr>
              <w:spacing w:after="4650" w:line="259" w:lineRule="auto"/>
              <w:ind w:left="1" w:right="0" w:firstLine="0"/>
              <w:jc w:val="left"/>
            </w:pPr>
            <w:r>
              <w:rPr>
                <w:sz w:val="20"/>
              </w:rPr>
              <w:t xml:space="preserve">4. </w:t>
            </w:r>
          </w:p>
          <w:p w:rsidR="00E8309B" w:rsidRDefault="009D0949">
            <w:pPr>
              <w:spacing w:after="0" w:line="259" w:lineRule="auto"/>
              <w:ind w:left="1" w:right="0" w:firstLine="0"/>
              <w:jc w:val="left"/>
            </w:pPr>
            <w:r>
              <w:rPr>
                <w:sz w:val="20"/>
              </w:rPr>
              <w:t xml:space="preserve"> </w:t>
            </w:r>
          </w:p>
        </w:tc>
        <w:tc>
          <w:tcPr>
            <w:tcW w:w="3311"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1" w:right="0" w:firstLine="0"/>
              <w:jc w:val="left"/>
            </w:pPr>
            <w:r>
              <w:rPr>
                <w:sz w:val="20"/>
              </w:rPr>
              <w:t xml:space="preserve">Повећање безбедности у железничком саобраћају </w:t>
            </w:r>
          </w:p>
        </w:tc>
        <w:tc>
          <w:tcPr>
            <w:tcW w:w="1798"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0" w:firstLine="0"/>
              <w:jc w:val="left"/>
            </w:pPr>
            <w:r>
              <w:rPr>
                <w:sz w:val="20"/>
              </w:rPr>
              <w:t xml:space="preserve">започето спровођење </w:t>
            </w:r>
          </w:p>
        </w:tc>
        <w:tc>
          <w:tcPr>
            <w:tcW w:w="4629"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60" w:lineRule="auto"/>
              <w:ind w:left="2" w:right="9" w:firstLine="0"/>
              <w:jc w:val="left"/>
            </w:pPr>
            <w:r>
              <w:rPr>
                <w:sz w:val="20"/>
              </w:rPr>
              <w:t xml:space="preserve">За повећање безбедности у железничком саобраћају обезбеђена су средства у оквиру Пројекта олакшања трговине и транспорта на </w:t>
            </w:r>
          </w:p>
          <w:p w:rsidR="00E8309B" w:rsidRDefault="009D0949">
            <w:pPr>
              <w:spacing w:after="1" w:line="239" w:lineRule="auto"/>
              <w:ind w:left="2" w:right="0" w:firstLine="0"/>
              <w:jc w:val="left"/>
            </w:pPr>
            <w:r>
              <w:rPr>
                <w:sz w:val="20"/>
              </w:rPr>
              <w:t xml:space="preserve">Западном Балкану који се финансира из кредита Светске банке за модернизацију путних прелаза у износу 10,9 милиона евра (реализација започета </w:t>
            </w:r>
          </w:p>
          <w:p w:rsidR="00E8309B" w:rsidRDefault="009D0949">
            <w:pPr>
              <w:numPr>
                <w:ilvl w:val="0"/>
                <w:numId w:val="63"/>
              </w:numPr>
              <w:spacing w:after="0" w:line="259" w:lineRule="auto"/>
              <w:ind w:right="0" w:firstLine="0"/>
              <w:jc w:val="left"/>
            </w:pPr>
            <w:r>
              <w:rPr>
                <w:sz w:val="20"/>
              </w:rPr>
              <w:t xml:space="preserve">године, док се почетак радова очекује током </w:t>
            </w:r>
          </w:p>
          <w:p w:rsidR="00E8309B" w:rsidRDefault="009D0949">
            <w:pPr>
              <w:numPr>
                <w:ilvl w:val="0"/>
                <w:numId w:val="63"/>
              </w:numPr>
              <w:spacing w:after="0" w:line="258" w:lineRule="auto"/>
              <w:ind w:right="0" w:firstLine="0"/>
              <w:jc w:val="left"/>
            </w:pPr>
            <w:r>
              <w:rPr>
                <w:sz w:val="20"/>
              </w:rPr>
              <w:t>године). Такође, поднет је захтев за пренамену преосталих средстава и</w:t>
            </w:r>
            <w:r>
              <w:rPr>
                <w:sz w:val="20"/>
              </w:rPr>
              <w:t xml:space="preserve">з постојећег кредита EBRD-a у износу од око 10 мил. евра (очекује се формална потврда од стране EBRD-a). Током 2019. године "Инфраструктура железнице </w:t>
            </w:r>
          </w:p>
          <w:p w:rsidR="00E8309B" w:rsidRDefault="009D0949">
            <w:pPr>
              <w:spacing w:after="115" w:line="245" w:lineRule="auto"/>
              <w:ind w:left="2" w:right="47" w:firstLine="0"/>
              <w:jc w:val="left"/>
            </w:pPr>
            <w:r>
              <w:rPr>
                <w:sz w:val="20"/>
              </w:rPr>
              <w:t>Србије" а.д. је уложила око 170 милиона динара (1,4 милиона евра) a у 2020. године око 100 милиона динара</w:t>
            </w:r>
            <w:r>
              <w:rPr>
                <w:sz w:val="20"/>
              </w:rPr>
              <w:t xml:space="preserve"> (830.000 евра) у модернизацију и одржавање путних прелаза. Поред тога, Светска банка је начелно одобрила предлог средстава за модернизацију путних прелаза у износу од око 22,6 милиона евра (реализација се очекује током 2022. и 2023. године). </w:t>
            </w:r>
          </w:p>
          <w:p w:rsidR="00E8309B" w:rsidRDefault="009D0949">
            <w:pPr>
              <w:spacing w:after="0" w:line="259" w:lineRule="auto"/>
              <w:ind w:left="2" w:right="0" w:firstLine="0"/>
              <w:jc w:val="left"/>
            </w:pPr>
            <w:r>
              <w:rPr>
                <w:sz w:val="20"/>
              </w:rPr>
              <w:t xml:space="preserve"> </w:t>
            </w:r>
          </w:p>
          <w:p w:rsidR="00E8309B" w:rsidRDefault="009D0949">
            <w:pPr>
              <w:spacing w:after="0" w:line="259" w:lineRule="auto"/>
              <w:ind w:left="2" w:right="0" w:firstLine="0"/>
              <w:jc w:val="left"/>
            </w:pPr>
            <w:r>
              <w:rPr>
                <w:sz w:val="20"/>
              </w:rPr>
              <w:t xml:space="preserve"> </w:t>
            </w:r>
          </w:p>
        </w:tc>
        <w:tc>
          <w:tcPr>
            <w:tcW w:w="1609"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1" w:right="0" w:firstLine="0"/>
              <w:jc w:val="left"/>
            </w:pPr>
            <w:r>
              <w:rPr>
                <w:sz w:val="20"/>
              </w:rPr>
              <w:t xml:space="preserve">  </w:t>
            </w:r>
          </w:p>
        </w:tc>
        <w:tc>
          <w:tcPr>
            <w:tcW w:w="2410"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1" w:right="0" w:firstLine="0"/>
              <w:jc w:val="left"/>
            </w:pPr>
            <w:r>
              <w:rPr>
                <w:sz w:val="20"/>
              </w:rPr>
              <w:t xml:space="preserve">  </w:t>
            </w:r>
          </w:p>
        </w:tc>
      </w:tr>
      <w:tr w:rsidR="00E8309B">
        <w:trPr>
          <w:trHeight w:val="382"/>
        </w:trPr>
        <w:tc>
          <w:tcPr>
            <w:tcW w:w="3777" w:type="dxa"/>
            <w:gridSpan w:val="2"/>
            <w:tcBorders>
              <w:top w:val="single" w:sz="4" w:space="0" w:color="000000"/>
              <w:left w:val="nil"/>
              <w:bottom w:val="single" w:sz="4" w:space="0" w:color="000000"/>
              <w:right w:val="single" w:sz="4" w:space="0" w:color="000000"/>
            </w:tcBorders>
          </w:tcPr>
          <w:p w:rsidR="00E8309B" w:rsidRDefault="00E8309B">
            <w:pPr>
              <w:spacing w:after="160" w:line="259" w:lineRule="auto"/>
              <w:ind w:left="0" w:right="0" w:firstLine="0"/>
              <w:jc w:val="left"/>
            </w:pPr>
          </w:p>
        </w:tc>
        <w:tc>
          <w:tcPr>
            <w:tcW w:w="1798" w:type="dxa"/>
            <w:tcBorders>
              <w:top w:val="single" w:sz="4" w:space="0" w:color="000000"/>
              <w:left w:val="single" w:sz="4" w:space="0" w:color="000000"/>
              <w:bottom w:val="single" w:sz="4" w:space="0" w:color="000000"/>
              <w:right w:val="single" w:sz="4" w:space="0" w:color="000000"/>
            </w:tcBorders>
            <w:shd w:val="clear" w:color="auto" w:fill="BDD6EE"/>
          </w:tcPr>
          <w:p w:rsidR="00E8309B" w:rsidRDefault="009D0949">
            <w:pPr>
              <w:spacing w:after="0" w:line="259" w:lineRule="auto"/>
              <w:ind w:left="0" w:right="45" w:firstLine="0"/>
              <w:jc w:val="center"/>
            </w:pPr>
            <w:r>
              <w:rPr>
                <w:b/>
                <w:sz w:val="20"/>
              </w:rPr>
              <w:t xml:space="preserve">45% </w:t>
            </w:r>
          </w:p>
        </w:tc>
        <w:tc>
          <w:tcPr>
            <w:tcW w:w="8647" w:type="dxa"/>
            <w:gridSpan w:val="3"/>
            <w:tcBorders>
              <w:top w:val="single" w:sz="4" w:space="0" w:color="000000"/>
              <w:left w:val="single" w:sz="4" w:space="0" w:color="000000"/>
              <w:bottom w:val="single" w:sz="4" w:space="0" w:color="000000"/>
              <w:right w:val="nil"/>
            </w:tcBorders>
          </w:tcPr>
          <w:p w:rsidR="00E8309B" w:rsidRDefault="00E8309B">
            <w:pPr>
              <w:spacing w:after="160" w:line="259" w:lineRule="auto"/>
              <w:ind w:left="0" w:right="0" w:firstLine="0"/>
              <w:jc w:val="left"/>
            </w:pPr>
          </w:p>
        </w:tc>
      </w:tr>
    </w:tbl>
    <w:p w:rsidR="00E8309B" w:rsidRDefault="00E8309B">
      <w:pPr>
        <w:spacing w:after="0" w:line="259" w:lineRule="auto"/>
        <w:ind w:left="-1138" w:right="10666" w:firstLine="0"/>
        <w:jc w:val="left"/>
      </w:pPr>
    </w:p>
    <w:tbl>
      <w:tblPr>
        <w:tblStyle w:val="TableGrid"/>
        <w:tblW w:w="14220" w:type="dxa"/>
        <w:tblInd w:w="6" w:type="dxa"/>
        <w:tblCellMar>
          <w:top w:w="10" w:type="dxa"/>
          <w:left w:w="107" w:type="dxa"/>
          <w:bottom w:w="0" w:type="dxa"/>
          <w:right w:w="62" w:type="dxa"/>
        </w:tblCellMar>
        <w:tblLook w:val="04A0" w:firstRow="1" w:lastRow="0" w:firstColumn="1" w:lastColumn="0" w:noHBand="0" w:noVBand="1"/>
      </w:tblPr>
      <w:tblGrid>
        <w:gridCol w:w="465"/>
        <w:gridCol w:w="3310"/>
        <w:gridCol w:w="1800"/>
        <w:gridCol w:w="4628"/>
        <w:gridCol w:w="1609"/>
        <w:gridCol w:w="2409"/>
      </w:tblGrid>
      <w:tr w:rsidR="00E8309B">
        <w:trPr>
          <w:trHeight w:val="679"/>
        </w:trPr>
        <w:tc>
          <w:tcPr>
            <w:tcW w:w="14220" w:type="dxa"/>
            <w:gridSpan w:val="6"/>
            <w:tcBorders>
              <w:top w:val="single" w:sz="4" w:space="0" w:color="000000"/>
              <w:left w:val="single" w:sz="4" w:space="0" w:color="000000"/>
              <w:bottom w:val="single" w:sz="4" w:space="0" w:color="000000"/>
              <w:right w:val="single" w:sz="4" w:space="0" w:color="000000"/>
            </w:tcBorders>
            <w:shd w:val="clear" w:color="auto" w:fill="D0CECE"/>
          </w:tcPr>
          <w:p w:rsidR="00E8309B" w:rsidRDefault="009D0949">
            <w:pPr>
              <w:spacing w:after="0" w:line="259" w:lineRule="auto"/>
              <w:ind w:left="0" w:right="0" w:firstLine="0"/>
              <w:jc w:val="left"/>
            </w:pPr>
            <w:r>
              <w:rPr>
                <w:b/>
              </w:rPr>
              <w:t>СР 5. Унапређење конкурентности пољопривреде кроз развој руралне инфраструктуре, уређење земљишта и уређење тржишта и квалитета пољопривредних производа</w:t>
            </w:r>
            <w:r>
              <w:rPr>
                <w:b/>
                <w:sz w:val="20"/>
              </w:rPr>
              <w:t xml:space="preserve">  </w:t>
            </w:r>
          </w:p>
        </w:tc>
      </w:tr>
      <w:tr w:rsidR="00E8309B">
        <w:trPr>
          <w:trHeight w:val="3813"/>
        </w:trPr>
        <w:tc>
          <w:tcPr>
            <w:tcW w:w="465"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0" w:firstLine="0"/>
              <w:jc w:val="left"/>
            </w:pPr>
            <w:r>
              <w:rPr>
                <w:sz w:val="20"/>
              </w:rPr>
              <w:t xml:space="preserve">1. </w:t>
            </w:r>
          </w:p>
        </w:tc>
        <w:tc>
          <w:tcPr>
            <w:tcW w:w="3310"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1" w:right="0" w:firstLine="0"/>
              <w:jc w:val="left"/>
            </w:pPr>
            <w:r>
              <w:rPr>
                <w:sz w:val="20"/>
              </w:rPr>
              <w:t xml:space="preserve">Припрема правилника за спровођење мере унапређење руралне инфраструктуре </w:t>
            </w:r>
          </w:p>
        </w:tc>
        <w:tc>
          <w:tcPr>
            <w:tcW w:w="1800"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1" w:right="0" w:firstLine="0"/>
              <w:jc w:val="left"/>
            </w:pPr>
            <w:r>
              <w:rPr>
                <w:sz w:val="20"/>
              </w:rPr>
              <w:t xml:space="preserve">започето спровођење </w:t>
            </w:r>
          </w:p>
        </w:tc>
        <w:tc>
          <w:tcPr>
            <w:tcW w:w="4628"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1" w:right="38" w:firstLine="0"/>
              <w:jc w:val="left"/>
            </w:pPr>
            <w:r>
              <w:rPr>
                <w:sz w:val="20"/>
              </w:rPr>
              <w:t>Услед новонастале ситуације у земљи, изазване пандемијом  Ковид- 19, планиране активности нису у потпуности реализоване. Остварен је напредак у спровођењу једне од компоненти делегиране структурне реформе ,,Унапређење конкурентности по</w:t>
            </w:r>
            <w:r>
              <w:rPr>
                <w:sz w:val="20"/>
              </w:rPr>
              <w:t>љопривреде кроз развој руралне инфраструктуре, уређење земљишта и уређење тржишта и квалитета пољопривредних производа. Усвојен је Правилник о подстицајима за инвестиције у физичку имовину пољопривредног газдинства за електрификацију поља.  Ова мера предст</w:t>
            </w:r>
            <w:r>
              <w:rPr>
                <w:sz w:val="20"/>
              </w:rPr>
              <w:t xml:space="preserve">авља компоненту руралне инфраструктуре и кренула је са спровођењем. Правилник је објављен у Службеном гласнику РС, број 25 од 12. марта 2020. Пристигли Захтеви за подршку овом типу инвестиција су у обради. </w:t>
            </w:r>
          </w:p>
        </w:tc>
        <w:tc>
          <w:tcPr>
            <w:tcW w:w="1609"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47" w:lineRule="auto"/>
              <w:ind w:left="1" w:right="40" w:firstLine="0"/>
              <w:jc w:val="left"/>
            </w:pPr>
            <w:r>
              <w:rPr>
                <w:sz w:val="20"/>
              </w:rPr>
              <w:t>Обуке запослених за спровођење мере нису реализов</w:t>
            </w:r>
            <w:r>
              <w:rPr>
                <w:sz w:val="20"/>
              </w:rPr>
              <w:t xml:space="preserve">ане услед пандемије Ковид-19. Нису ангажовани експерти за припрему </w:t>
            </w:r>
          </w:p>
          <w:p w:rsidR="00E8309B" w:rsidRDefault="009D0949">
            <w:pPr>
              <w:spacing w:after="0" w:line="259" w:lineRule="auto"/>
              <w:ind w:left="1" w:right="3" w:firstLine="0"/>
              <w:jc w:val="left"/>
            </w:pPr>
            <w:r>
              <w:rPr>
                <w:sz w:val="20"/>
              </w:rPr>
              <w:t xml:space="preserve">Правилника за Руралну  инфраструктуру из истог разлога. </w:t>
            </w:r>
          </w:p>
        </w:tc>
        <w:tc>
          <w:tcPr>
            <w:tcW w:w="2409"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40" w:lineRule="auto"/>
              <w:ind w:left="1" w:right="0" w:firstLine="0"/>
              <w:jc w:val="left"/>
            </w:pPr>
            <w:r>
              <w:rPr>
                <w:sz w:val="20"/>
              </w:rPr>
              <w:t xml:space="preserve">Припремљен је Правилник о подстицајима за инвестиције у физичку </w:t>
            </w:r>
          </w:p>
          <w:p w:rsidR="00E8309B" w:rsidRDefault="009D0949">
            <w:pPr>
              <w:spacing w:after="0" w:line="259" w:lineRule="auto"/>
              <w:ind w:left="1" w:right="14" w:firstLine="0"/>
              <w:jc w:val="left"/>
            </w:pPr>
            <w:r>
              <w:rPr>
                <w:sz w:val="20"/>
              </w:rPr>
              <w:t xml:space="preserve">имовину пољопривредног газдинства за електрификацију поља. Овај правилник представља посебну компоненту руралне инфраструктуре. </w:t>
            </w:r>
          </w:p>
        </w:tc>
      </w:tr>
      <w:tr w:rsidR="00E8309B">
        <w:trPr>
          <w:trHeight w:val="588"/>
        </w:trPr>
        <w:tc>
          <w:tcPr>
            <w:tcW w:w="465"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0" w:firstLine="0"/>
              <w:jc w:val="left"/>
            </w:pPr>
            <w:r>
              <w:rPr>
                <w:sz w:val="20"/>
              </w:rPr>
              <w:t xml:space="preserve">2. </w:t>
            </w:r>
          </w:p>
        </w:tc>
        <w:tc>
          <w:tcPr>
            <w:tcW w:w="3310"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1" w:right="0" w:firstLine="0"/>
              <w:jc w:val="left"/>
            </w:pPr>
            <w:r>
              <w:rPr>
                <w:sz w:val="20"/>
              </w:rPr>
              <w:t xml:space="preserve">Обука запослених који ће спроводити меру </w:t>
            </w:r>
          </w:p>
        </w:tc>
        <w:tc>
          <w:tcPr>
            <w:tcW w:w="1800"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1" w:right="0" w:firstLine="0"/>
              <w:jc w:val="left"/>
            </w:pPr>
            <w:r>
              <w:rPr>
                <w:sz w:val="20"/>
              </w:rPr>
              <w:t xml:space="preserve">у припреми </w:t>
            </w:r>
          </w:p>
        </w:tc>
        <w:tc>
          <w:tcPr>
            <w:tcW w:w="4628"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1" w:right="0" w:firstLine="0"/>
              <w:jc w:val="left"/>
            </w:pPr>
            <w:r>
              <w:rPr>
                <w:sz w:val="20"/>
              </w:rPr>
              <w:t xml:space="preserve">  </w:t>
            </w:r>
          </w:p>
        </w:tc>
        <w:tc>
          <w:tcPr>
            <w:tcW w:w="1609"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1" w:right="0" w:firstLine="0"/>
              <w:jc w:val="left"/>
            </w:pPr>
            <w:r>
              <w:rPr>
                <w:sz w:val="20"/>
              </w:rPr>
              <w:t xml:space="preserve">  </w:t>
            </w:r>
          </w:p>
        </w:tc>
        <w:tc>
          <w:tcPr>
            <w:tcW w:w="2409"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1" w:right="0" w:firstLine="0"/>
              <w:jc w:val="left"/>
            </w:pPr>
            <w:r>
              <w:rPr>
                <w:sz w:val="20"/>
              </w:rPr>
              <w:t xml:space="preserve">  </w:t>
            </w:r>
          </w:p>
        </w:tc>
      </w:tr>
      <w:tr w:rsidR="00E8309B">
        <w:trPr>
          <w:trHeight w:val="4383"/>
        </w:trPr>
        <w:tc>
          <w:tcPr>
            <w:tcW w:w="465"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0" w:firstLine="0"/>
              <w:jc w:val="left"/>
            </w:pPr>
            <w:r>
              <w:rPr>
                <w:sz w:val="20"/>
              </w:rPr>
              <w:t xml:space="preserve">3. </w:t>
            </w:r>
          </w:p>
        </w:tc>
        <w:tc>
          <w:tcPr>
            <w:tcW w:w="3310"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1" w:right="0" w:firstLine="0"/>
              <w:jc w:val="left"/>
            </w:pPr>
            <w:r>
              <w:rPr>
                <w:sz w:val="20"/>
              </w:rPr>
              <w:t xml:space="preserve">Доношење Закона о комасацији и </w:t>
            </w:r>
          </w:p>
          <w:p w:rsidR="00E8309B" w:rsidRDefault="009D0949">
            <w:pPr>
              <w:spacing w:after="0" w:line="259" w:lineRule="auto"/>
              <w:ind w:left="1" w:right="0" w:firstLine="0"/>
              <w:jc w:val="left"/>
            </w:pPr>
            <w:r>
              <w:rPr>
                <w:sz w:val="20"/>
              </w:rPr>
              <w:t xml:space="preserve">Закона о изменама и допунама Закона о пољопривредном земљишту </w:t>
            </w:r>
          </w:p>
        </w:tc>
        <w:tc>
          <w:tcPr>
            <w:tcW w:w="1800"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1" w:right="0" w:firstLine="0"/>
              <w:jc w:val="left"/>
            </w:pPr>
            <w:r>
              <w:rPr>
                <w:sz w:val="20"/>
              </w:rPr>
              <w:t xml:space="preserve">у припреми </w:t>
            </w:r>
          </w:p>
        </w:tc>
        <w:tc>
          <w:tcPr>
            <w:tcW w:w="4628"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1" w:right="13" w:firstLine="0"/>
              <w:jc w:val="left"/>
            </w:pPr>
            <w:r>
              <w:rPr>
                <w:sz w:val="20"/>
              </w:rPr>
              <w:t xml:space="preserve">Радне групе за доношење законске регулативе су започеле са радом према добијеним задацима, одржани су састанци и у извесној мери су извршена разматрања предлога у вези са начинима  уређења ових прописа. Пандемија Ковид-9 је утицала на одлагање рокова. </w:t>
            </w:r>
          </w:p>
        </w:tc>
        <w:tc>
          <w:tcPr>
            <w:tcW w:w="1609"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1" w:right="0" w:firstLine="0"/>
              <w:jc w:val="left"/>
            </w:pPr>
            <w:r>
              <w:rPr>
                <w:sz w:val="20"/>
              </w:rPr>
              <w:t xml:space="preserve">  </w:t>
            </w:r>
          </w:p>
        </w:tc>
        <w:tc>
          <w:tcPr>
            <w:tcW w:w="2409"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39" w:lineRule="auto"/>
              <w:ind w:left="1" w:right="53" w:firstLine="0"/>
              <w:jc w:val="left"/>
            </w:pPr>
            <w:r>
              <w:rPr>
                <w:sz w:val="20"/>
              </w:rPr>
              <w:t xml:space="preserve">Непланиране, а реализоване активности су донета два правилника Правилник о садржини, поступку израде и доношења програма комасације </w:t>
            </w:r>
          </w:p>
          <w:p w:rsidR="00E8309B" w:rsidRDefault="009D0949">
            <w:pPr>
              <w:spacing w:after="0" w:line="279" w:lineRule="auto"/>
              <w:ind w:left="1" w:right="0" w:firstLine="0"/>
              <w:jc w:val="left"/>
            </w:pPr>
            <w:r>
              <w:rPr>
                <w:sz w:val="20"/>
              </w:rPr>
              <w:t xml:space="preserve">(„Службени гласник РС”, број 62/2020) и  </w:t>
            </w:r>
          </w:p>
          <w:p w:rsidR="00E8309B" w:rsidRDefault="009D0949">
            <w:pPr>
              <w:spacing w:after="0" w:line="252" w:lineRule="auto"/>
              <w:ind w:left="1" w:right="0" w:firstLine="0"/>
              <w:jc w:val="left"/>
            </w:pPr>
            <w:r>
              <w:rPr>
                <w:sz w:val="20"/>
              </w:rPr>
              <w:t>- Правилник о садржини техничке документације за извођење геодетско- техничких ра</w:t>
            </w:r>
            <w:r>
              <w:rPr>
                <w:sz w:val="20"/>
              </w:rPr>
              <w:t xml:space="preserve">дова </w:t>
            </w:r>
          </w:p>
          <w:p w:rsidR="00E8309B" w:rsidRDefault="009D0949">
            <w:pPr>
              <w:spacing w:after="0" w:line="259" w:lineRule="auto"/>
              <w:ind w:left="1" w:right="57" w:firstLine="0"/>
            </w:pPr>
            <w:r>
              <w:rPr>
                <w:sz w:val="20"/>
              </w:rPr>
              <w:t xml:space="preserve">(пројеката)  у комасацији („Службени гласник РС”, број 62/2020).  Наведеним  правилницима  се ближе прописује уређење </w:t>
            </w:r>
          </w:p>
        </w:tc>
      </w:tr>
    </w:tbl>
    <w:p w:rsidR="00E8309B" w:rsidRDefault="00E8309B">
      <w:pPr>
        <w:spacing w:after="0" w:line="259" w:lineRule="auto"/>
        <w:ind w:left="-1138" w:right="10666" w:firstLine="0"/>
        <w:jc w:val="left"/>
      </w:pPr>
    </w:p>
    <w:tbl>
      <w:tblPr>
        <w:tblStyle w:val="TableGrid"/>
        <w:tblW w:w="14220" w:type="dxa"/>
        <w:tblInd w:w="6" w:type="dxa"/>
        <w:tblCellMar>
          <w:top w:w="10" w:type="dxa"/>
          <w:left w:w="107" w:type="dxa"/>
          <w:bottom w:w="0" w:type="dxa"/>
          <w:right w:w="90" w:type="dxa"/>
        </w:tblCellMar>
        <w:tblLook w:val="04A0" w:firstRow="1" w:lastRow="0" w:firstColumn="1" w:lastColumn="0" w:noHBand="0" w:noVBand="1"/>
      </w:tblPr>
      <w:tblGrid>
        <w:gridCol w:w="465"/>
        <w:gridCol w:w="3311"/>
        <w:gridCol w:w="1798"/>
        <w:gridCol w:w="4629"/>
        <w:gridCol w:w="1609"/>
        <w:gridCol w:w="2409"/>
      </w:tblGrid>
      <w:tr w:rsidR="00E8309B">
        <w:trPr>
          <w:trHeight w:val="4963"/>
        </w:trPr>
        <w:tc>
          <w:tcPr>
            <w:tcW w:w="465" w:type="dxa"/>
            <w:tcBorders>
              <w:top w:val="single" w:sz="4" w:space="0" w:color="000000"/>
              <w:left w:val="single" w:sz="4" w:space="0" w:color="000000"/>
              <w:bottom w:val="single" w:sz="4" w:space="0" w:color="000000"/>
              <w:right w:val="single" w:sz="4" w:space="0" w:color="000000"/>
            </w:tcBorders>
            <w:vAlign w:val="bottom"/>
          </w:tcPr>
          <w:p w:rsidR="00E8309B" w:rsidRDefault="009D0949">
            <w:pPr>
              <w:spacing w:after="0" w:line="259" w:lineRule="auto"/>
              <w:ind w:left="0" w:right="0" w:firstLine="0"/>
              <w:jc w:val="left"/>
            </w:pPr>
            <w:r>
              <w:rPr>
                <w:sz w:val="20"/>
              </w:rPr>
              <w:t xml:space="preserve"> </w:t>
            </w:r>
          </w:p>
        </w:tc>
        <w:tc>
          <w:tcPr>
            <w:tcW w:w="3311" w:type="dxa"/>
            <w:tcBorders>
              <w:top w:val="single" w:sz="4" w:space="0" w:color="000000"/>
              <w:left w:val="single" w:sz="4" w:space="0" w:color="000000"/>
              <w:bottom w:val="single" w:sz="4" w:space="0" w:color="000000"/>
              <w:right w:val="single" w:sz="4" w:space="0" w:color="000000"/>
            </w:tcBorders>
          </w:tcPr>
          <w:p w:rsidR="00E8309B" w:rsidRDefault="00E8309B">
            <w:pPr>
              <w:spacing w:after="160" w:line="259" w:lineRule="auto"/>
              <w:ind w:left="0" w:right="0" w:firstLine="0"/>
              <w:jc w:val="left"/>
            </w:pPr>
          </w:p>
        </w:tc>
        <w:tc>
          <w:tcPr>
            <w:tcW w:w="1798" w:type="dxa"/>
            <w:tcBorders>
              <w:top w:val="single" w:sz="4" w:space="0" w:color="000000"/>
              <w:left w:val="single" w:sz="4" w:space="0" w:color="000000"/>
              <w:bottom w:val="single" w:sz="4" w:space="0" w:color="000000"/>
              <w:right w:val="single" w:sz="4" w:space="0" w:color="000000"/>
            </w:tcBorders>
          </w:tcPr>
          <w:p w:rsidR="00E8309B" w:rsidRDefault="00E8309B">
            <w:pPr>
              <w:spacing w:after="160" w:line="259" w:lineRule="auto"/>
              <w:ind w:left="0" w:right="0" w:firstLine="0"/>
              <w:jc w:val="left"/>
            </w:pPr>
          </w:p>
        </w:tc>
        <w:tc>
          <w:tcPr>
            <w:tcW w:w="4629" w:type="dxa"/>
            <w:tcBorders>
              <w:top w:val="single" w:sz="4" w:space="0" w:color="000000"/>
              <w:left w:val="single" w:sz="4" w:space="0" w:color="000000"/>
              <w:bottom w:val="single" w:sz="4" w:space="0" w:color="000000"/>
              <w:right w:val="single" w:sz="4" w:space="0" w:color="000000"/>
            </w:tcBorders>
            <w:vAlign w:val="bottom"/>
          </w:tcPr>
          <w:p w:rsidR="00E8309B" w:rsidRDefault="009D0949">
            <w:pPr>
              <w:spacing w:after="0" w:line="259" w:lineRule="auto"/>
              <w:ind w:left="2" w:right="0" w:firstLine="0"/>
              <w:jc w:val="left"/>
            </w:pPr>
            <w:r>
              <w:rPr>
                <w:sz w:val="20"/>
              </w:rPr>
              <w:t xml:space="preserve"> </w:t>
            </w:r>
          </w:p>
        </w:tc>
        <w:tc>
          <w:tcPr>
            <w:tcW w:w="1609" w:type="dxa"/>
            <w:tcBorders>
              <w:top w:val="single" w:sz="4" w:space="0" w:color="000000"/>
              <w:left w:val="single" w:sz="4" w:space="0" w:color="000000"/>
              <w:bottom w:val="single" w:sz="4" w:space="0" w:color="000000"/>
              <w:right w:val="single" w:sz="4" w:space="0" w:color="000000"/>
            </w:tcBorders>
          </w:tcPr>
          <w:p w:rsidR="00E8309B" w:rsidRDefault="00E8309B">
            <w:pPr>
              <w:spacing w:after="160" w:line="259" w:lineRule="auto"/>
              <w:ind w:left="0" w:right="0" w:firstLine="0"/>
              <w:jc w:val="left"/>
            </w:pPr>
          </w:p>
        </w:tc>
        <w:tc>
          <w:tcPr>
            <w:tcW w:w="2409"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1" w:right="49" w:firstLine="0"/>
            </w:pPr>
            <w:r>
              <w:rPr>
                <w:sz w:val="20"/>
              </w:rPr>
              <w:t>пољопривредног земљишта  комасацијом. С обзиром да је комасација сложен поступак и  како је циљ доношење планираних закона,  у првим корацима се отпочело са доношењем правилника према важећем Закону о пољопривредном земљишту како би се до доношења планиран</w:t>
            </w:r>
            <w:r>
              <w:rPr>
                <w:sz w:val="20"/>
              </w:rPr>
              <w:t xml:space="preserve">их закона у што већој мери унапредио поступак спровођења комасације и у праксу укључила побољшана решења из донетих подзаконских аката и иста уврстила у нове законске одредбе. </w:t>
            </w:r>
          </w:p>
        </w:tc>
      </w:tr>
      <w:tr w:rsidR="00E8309B">
        <w:trPr>
          <w:trHeight w:val="383"/>
        </w:trPr>
        <w:tc>
          <w:tcPr>
            <w:tcW w:w="3776" w:type="dxa"/>
            <w:gridSpan w:val="2"/>
            <w:tcBorders>
              <w:top w:val="single" w:sz="4" w:space="0" w:color="000000"/>
              <w:left w:val="nil"/>
              <w:bottom w:val="single" w:sz="4" w:space="0" w:color="000000"/>
              <w:right w:val="single" w:sz="4" w:space="0" w:color="000000"/>
            </w:tcBorders>
          </w:tcPr>
          <w:p w:rsidR="00E8309B" w:rsidRDefault="00E8309B">
            <w:pPr>
              <w:spacing w:after="160" w:line="259" w:lineRule="auto"/>
              <w:ind w:left="0" w:right="0" w:firstLine="0"/>
              <w:jc w:val="left"/>
            </w:pPr>
          </w:p>
        </w:tc>
        <w:tc>
          <w:tcPr>
            <w:tcW w:w="1798" w:type="dxa"/>
            <w:tcBorders>
              <w:top w:val="single" w:sz="4" w:space="0" w:color="000000"/>
              <w:left w:val="single" w:sz="4" w:space="0" w:color="000000"/>
              <w:bottom w:val="single" w:sz="4" w:space="0" w:color="000000"/>
              <w:right w:val="single" w:sz="4" w:space="0" w:color="000000"/>
            </w:tcBorders>
            <w:shd w:val="clear" w:color="auto" w:fill="BDD6EE"/>
          </w:tcPr>
          <w:p w:rsidR="00E8309B" w:rsidRDefault="009D0949">
            <w:pPr>
              <w:spacing w:after="0" w:line="259" w:lineRule="auto"/>
              <w:ind w:left="0" w:right="19" w:firstLine="0"/>
              <w:jc w:val="center"/>
            </w:pPr>
            <w:r>
              <w:rPr>
                <w:b/>
                <w:sz w:val="20"/>
              </w:rPr>
              <w:t xml:space="preserve">27% </w:t>
            </w:r>
          </w:p>
        </w:tc>
        <w:tc>
          <w:tcPr>
            <w:tcW w:w="8646" w:type="dxa"/>
            <w:gridSpan w:val="3"/>
            <w:tcBorders>
              <w:top w:val="single" w:sz="4" w:space="0" w:color="000000"/>
              <w:left w:val="single" w:sz="4" w:space="0" w:color="000000"/>
              <w:bottom w:val="single" w:sz="4" w:space="0" w:color="000000"/>
              <w:right w:val="nil"/>
            </w:tcBorders>
          </w:tcPr>
          <w:p w:rsidR="00E8309B" w:rsidRDefault="00E8309B">
            <w:pPr>
              <w:spacing w:after="160" w:line="259" w:lineRule="auto"/>
              <w:ind w:left="0" w:right="0" w:firstLine="0"/>
              <w:jc w:val="left"/>
            </w:pPr>
          </w:p>
        </w:tc>
      </w:tr>
      <w:tr w:rsidR="00E8309B">
        <w:trPr>
          <w:trHeight w:val="680"/>
        </w:trPr>
        <w:tc>
          <w:tcPr>
            <w:tcW w:w="14220" w:type="dxa"/>
            <w:gridSpan w:val="6"/>
            <w:tcBorders>
              <w:top w:val="single" w:sz="4" w:space="0" w:color="000000"/>
              <w:left w:val="single" w:sz="4" w:space="0" w:color="000000"/>
              <w:bottom w:val="single" w:sz="4" w:space="0" w:color="000000"/>
              <w:right w:val="single" w:sz="4" w:space="0" w:color="000000"/>
            </w:tcBorders>
            <w:shd w:val="clear" w:color="auto" w:fill="D0CECE"/>
          </w:tcPr>
          <w:p w:rsidR="00E8309B" w:rsidRDefault="009D0949">
            <w:pPr>
              <w:spacing w:after="0" w:line="259" w:lineRule="auto"/>
              <w:ind w:left="0" w:right="0" w:firstLine="0"/>
              <w:jc w:val="left"/>
            </w:pPr>
            <w:r>
              <w:rPr>
                <w:b/>
              </w:rPr>
              <w:t xml:space="preserve">СР 6. Унапређење вођења регистра пољопривредних газдинстава и одобравања националних подстицаја у пољопривреди кроз развој портала е-аграр </w:t>
            </w:r>
          </w:p>
        </w:tc>
      </w:tr>
      <w:tr w:rsidR="00E8309B">
        <w:trPr>
          <w:trHeight w:val="1511"/>
        </w:trPr>
        <w:tc>
          <w:tcPr>
            <w:tcW w:w="465"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0" w:firstLine="0"/>
              <w:jc w:val="left"/>
            </w:pPr>
            <w:r>
              <w:rPr>
                <w:sz w:val="20"/>
              </w:rPr>
              <w:t xml:space="preserve">1. </w:t>
            </w:r>
          </w:p>
        </w:tc>
        <w:tc>
          <w:tcPr>
            <w:tcW w:w="3311"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1" w:right="21" w:firstLine="0"/>
              <w:jc w:val="left"/>
            </w:pPr>
            <w:r>
              <w:rPr>
                <w:sz w:val="20"/>
              </w:rPr>
              <w:t>Измена Закона о пољопривреди и руралном развоју и доношење потребних правилника који ће уредити дигиталне проце</w:t>
            </w:r>
            <w:r>
              <w:rPr>
                <w:sz w:val="20"/>
              </w:rPr>
              <w:t xml:space="preserve">дуре уписа у РПГ и одобравања националних подстицаја </w:t>
            </w:r>
          </w:p>
        </w:tc>
        <w:tc>
          <w:tcPr>
            <w:tcW w:w="1798"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0" w:firstLine="0"/>
              <w:jc w:val="left"/>
            </w:pPr>
            <w:r>
              <w:rPr>
                <w:sz w:val="20"/>
              </w:rPr>
              <w:t xml:space="preserve">у припреми </w:t>
            </w:r>
          </w:p>
        </w:tc>
        <w:tc>
          <w:tcPr>
            <w:tcW w:w="4629"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2" w:right="0" w:firstLine="0"/>
              <w:jc w:val="left"/>
            </w:pPr>
            <w:r>
              <w:rPr>
                <w:sz w:val="20"/>
              </w:rPr>
              <w:t xml:space="preserve">  </w:t>
            </w:r>
          </w:p>
        </w:tc>
        <w:tc>
          <w:tcPr>
            <w:tcW w:w="1609"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1" w:right="0" w:firstLine="0"/>
              <w:jc w:val="left"/>
            </w:pPr>
            <w:r>
              <w:rPr>
                <w:sz w:val="20"/>
              </w:rPr>
              <w:t xml:space="preserve">  </w:t>
            </w:r>
          </w:p>
        </w:tc>
        <w:tc>
          <w:tcPr>
            <w:tcW w:w="2409"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1" w:right="0" w:firstLine="0"/>
              <w:jc w:val="left"/>
            </w:pPr>
            <w:r>
              <w:rPr>
                <w:sz w:val="20"/>
              </w:rPr>
              <w:t xml:space="preserve">  </w:t>
            </w:r>
          </w:p>
        </w:tc>
      </w:tr>
      <w:tr w:rsidR="00E8309B">
        <w:trPr>
          <w:trHeight w:val="1051"/>
        </w:trPr>
        <w:tc>
          <w:tcPr>
            <w:tcW w:w="465"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0" w:firstLine="0"/>
              <w:jc w:val="left"/>
            </w:pPr>
            <w:r>
              <w:rPr>
                <w:sz w:val="20"/>
              </w:rPr>
              <w:t xml:space="preserve">2. </w:t>
            </w:r>
          </w:p>
        </w:tc>
        <w:tc>
          <w:tcPr>
            <w:tcW w:w="3311"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1" w:right="0" w:firstLine="0"/>
              <w:jc w:val="left"/>
            </w:pPr>
            <w:r>
              <w:rPr>
                <w:sz w:val="20"/>
              </w:rPr>
              <w:t xml:space="preserve">Финализација ИТ спецификације за израду софтвера еАграр-а, избор извођача и израда софтвера која укључује и тестну фазу </w:t>
            </w:r>
          </w:p>
        </w:tc>
        <w:tc>
          <w:tcPr>
            <w:tcW w:w="1798"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0" w:firstLine="0"/>
              <w:jc w:val="left"/>
            </w:pPr>
            <w:r>
              <w:rPr>
                <w:sz w:val="20"/>
              </w:rPr>
              <w:t xml:space="preserve">у припреми </w:t>
            </w:r>
          </w:p>
        </w:tc>
        <w:tc>
          <w:tcPr>
            <w:tcW w:w="4629"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2" w:right="3" w:firstLine="0"/>
              <w:jc w:val="left"/>
            </w:pPr>
            <w:r>
              <w:rPr>
                <w:sz w:val="20"/>
              </w:rPr>
              <w:t>Елементи Е-</w:t>
            </w:r>
            <w:r>
              <w:rPr>
                <w:sz w:val="20"/>
              </w:rPr>
              <w:t xml:space="preserve">аграр решења ће бити имплементирани кроз Пројекат конкурентне пољопривреде који је у фази успостављања.   </w:t>
            </w:r>
          </w:p>
        </w:tc>
        <w:tc>
          <w:tcPr>
            <w:tcW w:w="1609"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1" w:right="0" w:firstLine="0"/>
              <w:jc w:val="left"/>
            </w:pPr>
            <w:r>
              <w:rPr>
                <w:sz w:val="20"/>
              </w:rPr>
              <w:t xml:space="preserve">  </w:t>
            </w:r>
          </w:p>
        </w:tc>
        <w:tc>
          <w:tcPr>
            <w:tcW w:w="2409"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1" w:right="0" w:firstLine="0"/>
              <w:jc w:val="left"/>
            </w:pPr>
            <w:r>
              <w:rPr>
                <w:sz w:val="20"/>
              </w:rPr>
              <w:t xml:space="preserve">  </w:t>
            </w:r>
          </w:p>
        </w:tc>
      </w:tr>
      <w:tr w:rsidR="00E8309B">
        <w:trPr>
          <w:trHeight w:val="521"/>
        </w:trPr>
        <w:tc>
          <w:tcPr>
            <w:tcW w:w="465"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0" w:firstLine="0"/>
              <w:jc w:val="left"/>
            </w:pPr>
            <w:r>
              <w:rPr>
                <w:sz w:val="20"/>
              </w:rPr>
              <w:t xml:space="preserve">3. </w:t>
            </w:r>
          </w:p>
        </w:tc>
        <w:tc>
          <w:tcPr>
            <w:tcW w:w="3311"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1" w:right="0" w:firstLine="0"/>
              <w:jc w:val="left"/>
            </w:pPr>
            <w:r>
              <w:rPr>
                <w:sz w:val="20"/>
              </w:rPr>
              <w:t xml:space="preserve">Успостављање сервисних центара/ангажовање стручних лица </w:t>
            </w:r>
          </w:p>
        </w:tc>
        <w:tc>
          <w:tcPr>
            <w:tcW w:w="1798"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0" w:firstLine="0"/>
              <w:jc w:val="left"/>
            </w:pPr>
            <w:r>
              <w:rPr>
                <w:sz w:val="20"/>
              </w:rPr>
              <w:t xml:space="preserve">не спроводи се </w:t>
            </w:r>
          </w:p>
        </w:tc>
        <w:tc>
          <w:tcPr>
            <w:tcW w:w="4629"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2" w:right="0" w:firstLine="0"/>
              <w:jc w:val="left"/>
            </w:pPr>
            <w:r>
              <w:rPr>
                <w:sz w:val="20"/>
              </w:rPr>
              <w:t xml:space="preserve">  </w:t>
            </w:r>
          </w:p>
        </w:tc>
        <w:tc>
          <w:tcPr>
            <w:tcW w:w="1609"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1" w:right="0" w:firstLine="0"/>
              <w:jc w:val="left"/>
            </w:pPr>
            <w:r>
              <w:rPr>
                <w:sz w:val="20"/>
              </w:rPr>
              <w:t xml:space="preserve">Потребно претходно </w:t>
            </w:r>
          </w:p>
        </w:tc>
        <w:tc>
          <w:tcPr>
            <w:tcW w:w="2409"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1" w:right="0" w:firstLine="0"/>
              <w:jc w:val="left"/>
            </w:pPr>
            <w:r>
              <w:rPr>
                <w:sz w:val="20"/>
              </w:rPr>
              <w:t xml:space="preserve">  </w:t>
            </w:r>
          </w:p>
        </w:tc>
      </w:tr>
    </w:tbl>
    <w:p w:rsidR="00E8309B" w:rsidRDefault="00E8309B">
      <w:pPr>
        <w:spacing w:after="0" w:line="259" w:lineRule="auto"/>
        <w:ind w:left="-1138" w:right="10666" w:firstLine="0"/>
        <w:jc w:val="left"/>
      </w:pPr>
    </w:p>
    <w:tbl>
      <w:tblPr>
        <w:tblStyle w:val="TableGrid"/>
        <w:tblW w:w="14220" w:type="dxa"/>
        <w:tblInd w:w="6" w:type="dxa"/>
        <w:tblCellMar>
          <w:top w:w="10" w:type="dxa"/>
          <w:left w:w="107" w:type="dxa"/>
          <w:bottom w:w="0" w:type="dxa"/>
          <w:right w:w="101" w:type="dxa"/>
        </w:tblCellMar>
        <w:tblLook w:val="04A0" w:firstRow="1" w:lastRow="0" w:firstColumn="1" w:lastColumn="0" w:noHBand="0" w:noVBand="1"/>
      </w:tblPr>
      <w:tblGrid>
        <w:gridCol w:w="465"/>
        <w:gridCol w:w="3311"/>
        <w:gridCol w:w="1798"/>
        <w:gridCol w:w="4629"/>
        <w:gridCol w:w="1609"/>
        <w:gridCol w:w="2409"/>
      </w:tblGrid>
      <w:tr w:rsidR="00E8309B">
        <w:trPr>
          <w:trHeight w:val="590"/>
        </w:trPr>
        <w:tc>
          <w:tcPr>
            <w:tcW w:w="465" w:type="dxa"/>
            <w:tcBorders>
              <w:top w:val="single" w:sz="4" w:space="0" w:color="000000"/>
              <w:left w:val="single" w:sz="4" w:space="0" w:color="000000"/>
              <w:bottom w:val="single" w:sz="4" w:space="0" w:color="000000"/>
              <w:right w:val="single" w:sz="4" w:space="0" w:color="000000"/>
            </w:tcBorders>
            <w:vAlign w:val="bottom"/>
          </w:tcPr>
          <w:p w:rsidR="00E8309B" w:rsidRDefault="00E8309B">
            <w:pPr>
              <w:spacing w:after="160" w:line="259" w:lineRule="auto"/>
              <w:ind w:left="0" w:right="0" w:firstLine="0"/>
              <w:jc w:val="left"/>
            </w:pPr>
          </w:p>
        </w:tc>
        <w:tc>
          <w:tcPr>
            <w:tcW w:w="3311"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1" w:right="0" w:firstLine="0"/>
              <w:jc w:val="left"/>
            </w:pPr>
            <w:r>
              <w:rPr>
                <w:sz w:val="20"/>
              </w:rPr>
              <w:t xml:space="preserve">за помоћ пољопривредницима на локалу  </w:t>
            </w:r>
          </w:p>
        </w:tc>
        <w:tc>
          <w:tcPr>
            <w:tcW w:w="1798" w:type="dxa"/>
            <w:tcBorders>
              <w:top w:val="single" w:sz="4" w:space="0" w:color="000000"/>
              <w:left w:val="single" w:sz="4" w:space="0" w:color="000000"/>
              <w:bottom w:val="single" w:sz="4" w:space="0" w:color="000000"/>
              <w:right w:val="single" w:sz="4" w:space="0" w:color="000000"/>
            </w:tcBorders>
          </w:tcPr>
          <w:p w:rsidR="00E8309B" w:rsidRDefault="00E8309B">
            <w:pPr>
              <w:spacing w:after="160" w:line="259" w:lineRule="auto"/>
              <w:ind w:left="0" w:right="0" w:firstLine="0"/>
              <w:jc w:val="left"/>
            </w:pPr>
          </w:p>
        </w:tc>
        <w:tc>
          <w:tcPr>
            <w:tcW w:w="4629" w:type="dxa"/>
            <w:tcBorders>
              <w:top w:val="single" w:sz="4" w:space="0" w:color="000000"/>
              <w:left w:val="single" w:sz="4" w:space="0" w:color="000000"/>
              <w:bottom w:val="single" w:sz="4" w:space="0" w:color="000000"/>
              <w:right w:val="single" w:sz="4" w:space="0" w:color="000000"/>
            </w:tcBorders>
          </w:tcPr>
          <w:p w:rsidR="00E8309B" w:rsidRDefault="00E8309B">
            <w:pPr>
              <w:spacing w:after="160" w:line="259" w:lineRule="auto"/>
              <w:ind w:left="0" w:right="0" w:firstLine="0"/>
              <w:jc w:val="left"/>
            </w:pPr>
          </w:p>
        </w:tc>
        <w:tc>
          <w:tcPr>
            <w:tcW w:w="1609"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1" w:right="0" w:firstLine="0"/>
              <w:jc w:val="left"/>
            </w:pPr>
            <w:r>
              <w:rPr>
                <w:sz w:val="20"/>
              </w:rPr>
              <w:t xml:space="preserve">реализовање тачке 1 и 2 </w:t>
            </w:r>
          </w:p>
        </w:tc>
        <w:tc>
          <w:tcPr>
            <w:tcW w:w="2409" w:type="dxa"/>
            <w:tcBorders>
              <w:top w:val="single" w:sz="4" w:space="0" w:color="000000"/>
              <w:left w:val="single" w:sz="4" w:space="0" w:color="000000"/>
              <w:bottom w:val="single" w:sz="4" w:space="0" w:color="000000"/>
              <w:right w:val="single" w:sz="4" w:space="0" w:color="000000"/>
            </w:tcBorders>
          </w:tcPr>
          <w:p w:rsidR="00E8309B" w:rsidRDefault="00E8309B">
            <w:pPr>
              <w:spacing w:after="160" w:line="259" w:lineRule="auto"/>
              <w:ind w:left="0" w:right="0" w:firstLine="0"/>
              <w:jc w:val="left"/>
            </w:pPr>
          </w:p>
        </w:tc>
      </w:tr>
      <w:tr w:rsidR="00E8309B">
        <w:trPr>
          <w:trHeight w:val="1972"/>
        </w:trPr>
        <w:tc>
          <w:tcPr>
            <w:tcW w:w="465" w:type="dxa"/>
            <w:tcBorders>
              <w:top w:val="single" w:sz="4" w:space="0" w:color="000000"/>
              <w:left w:val="single" w:sz="4" w:space="0" w:color="000000"/>
              <w:bottom w:val="single" w:sz="4" w:space="0" w:color="000000"/>
              <w:right w:val="single" w:sz="4" w:space="0" w:color="000000"/>
            </w:tcBorders>
          </w:tcPr>
          <w:p w:rsidR="00E8309B" w:rsidRDefault="009D0949">
            <w:pPr>
              <w:spacing w:after="1539" w:line="259" w:lineRule="auto"/>
              <w:ind w:left="0" w:right="0" w:firstLine="0"/>
              <w:jc w:val="left"/>
            </w:pPr>
            <w:r>
              <w:rPr>
                <w:sz w:val="20"/>
              </w:rPr>
              <w:t xml:space="preserve">4. </w:t>
            </w:r>
          </w:p>
          <w:p w:rsidR="00E8309B" w:rsidRDefault="009D0949">
            <w:pPr>
              <w:spacing w:after="0" w:line="259" w:lineRule="auto"/>
              <w:ind w:left="0" w:right="0" w:firstLine="0"/>
              <w:jc w:val="left"/>
            </w:pPr>
            <w:r>
              <w:rPr>
                <w:sz w:val="20"/>
              </w:rPr>
              <w:t xml:space="preserve"> </w:t>
            </w:r>
          </w:p>
        </w:tc>
        <w:tc>
          <w:tcPr>
            <w:tcW w:w="3311"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40" w:lineRule="auto"/>
              <w:ind w:left="1" w:right="0" w:firstLine="0"/>
            </w:pPr>
            <w:r>
              <w:rPr>
                <w:sz w:val="20"/>
              </w:rPr>
              <w:t xml:space="preserve">Обука обрађивача захтева/службеника у </w:t>
            </w:r>
          </w:p>
          <w:p w:rsidR="00E8309B" w:rsidRDefault="009D0949">
            <w:pPr>
              <w:spacing w:after="0" w:line="259" w:lineRule="auto"/>
              <w:ind w:left="1" w:right="0" w:firstLine="0"/>
              <w:jc w:val="left"/>
            </w:pPr>
            <w:r>
              <w:rPr>
                <w:sz w:val="20"/>
              </w:rPr>
              <w:t xml:space="preserve">Министарству пољопривреде, шумарства и водопривреде, Управи за аграрна плаћања и сервисних центара/стручних лица ангажованих за помоћ пољопривредницима </w:t>
            </w:r>
          </w:p>
        </w:tc>
        <w:tc>
          <w:tcPr>
            <w:tcW w:w="1798"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0" w:firstLine="0"/>
              <w:jc w:val="left"/>
            </w:pPr>
            <w:r>
              <w:rPr>
                <w:sz w:val="20"/>
              </w:rPr>
              <w:t xml:space="preserve">не спроводи се </w:t>
            </w:r>
          </w:p>
        </w:tc>
        <w:tc>
          <w:tcPr>
            <w:tcW w:w="4629" w:type="dxa"/>
            <w:tcBorders>
              <w:top w:val="single" w:sz="4" w:space="0" w:color="000000"/>
              <w:left w:val="single" w:sz="4" w:space="0" w:color="000000"/>
              <w:bottom w:val="single" w:sz="4" w:space="0" w:color="000000"/>
              <w:right w:val="single" w:sz="4" w:space="0" w:color="000000"/>
            </w:tcBorders>
          </w:tcPr>
          <w:p w:rsidR="00E8309B" w:rsidRDefault="009D0949">
            <w:pPr>
              <w:spacing w:after="1539" w:line="259" w:lineRule="auto"/>
              <w:ind w:left="2" w:right="0" w:firstLine="0"/>
              <w:jc w:val="left"/>
            </w:pPr>
            <w:r>
              <w:rPr>
                <w:sz w:val="20"/>
              </w:rPr>
              <w:t xml:space="preserve">  </w:t>
            </w:r>
          </w:p>
          <w:p w:rsidR="00E8309B" w:rsidRDefault="009D0949">
            <w:pPr>
              <w:spacing w:after="0" w:line="259" w:lineRule="auto"/>
              <w:ind w:left="2" w:right="0" w:firstLine="0"/>
              <w:jc w:val="left"/>
            </w:pPr>
            <w:r>
              <w:rPr>
                <w:sz w:val="20"/>
              </w:rPr>
              <w:t xml:space="preserve"> </w:t>
            </w:r>
          </w:p>
        </w:tc>
        <w:tc>
          <w:tcPr>
            <w:tcW w:w="1609"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1" w:right="0" w:firstLine="0"/>
              <w:jc w:val="left"/>
            </w:pPr>
            <w:r>
              <w:rPr>
                <w:sz w:val="20"/>
              </w:rPr>
              <w:t xml:space="preserve">Потребно претходно реализовање тачке 1 и 2 </w:t>
            </w:r>
          </w:p>
        </w:tc>
        <w:tc>
          <w:tcPr>
            <w:tcW w:w="2409"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1" w:right="0" w:firstLine="0"/>
              <w:jc w:val="left"/>
            </w:pPr>
            <w:r>
              <w:rPr>
                <w:sz w:val="20"/>
              </w:rPr>
              <w:t xml:space="preserve">  </w:t>
            </w:r>
          </w:p>
        </w:tc>
      </w:tr>
      <w:tr w:rsidR="00E8309B">
        <w:trPr>
          <w:trHeight w:val="383"/>
        </w:trPr>
        <w:tc>
          <w:tcPr>
            <w:tcW w:w="3776" w:type="dxa"/>
            <w:gridSpan w:val="2"/>
            <w:tcBorders>
              <w:top w:val="single" w:sz="4" w:space="0" w:color="000000"/>
              <w:left w:val="nil"/>
              <w:bottom w:val="single" w:sz="4" w:space="0" w:color="000000"/>
              <w:right w:val="single" w:sz="4" w:space="0" w:color="000000"/>
            </w:tcBorders>
          </w:tcPr>
          <w:p w:rsidR="00E8309B" w:rsidRDefault="00E8309B">
            <w:pPr>
              <w:spacing w:after="160" w:line="259" w:lineRule="auto"/>
              <w:ind w:left="0" w:right="0" w:firstLine="0"/>
              <w:jc w:val="left"/>
            </w:pPr>
          </w:p>
        </w:tc>
        <w:tc>
          <w:tcPr>
            <w:tcW w:w="1798" w:type="dxa"/>
            <w:tcBorders>
              <w:top w:val="single" w:sz="4" w:space="0" w:color="000000"/>
              <w:left w:val="single" w:sz="4" w:space="0" w:color="000000"/>
              <w:bottom w:val="single" w:sz="4" w:space="0" w:color="000000"/>
              <w:right w:val="single" w:sz="4" w:space="0" w:color="000000"/>
            </w:tcBorders>
            <w:shd w:val="clear" w:color="auto" w:fill="BDD6EE"/>
          </w:tcPr>
          <w:p w:rsidR="00E8309B" w:rsidRDefault="009D0949">
            <w:pPr>
              <w:spacing w:after="0" w:line="259" w:lineRule="auto"/>
              <w:ind w:left="0" w:right="8" w:firstLine="0"/>
              <w:jc w:val="center"/>
            </w:pPr>
            <w:r>
              <w:rPr>
                <w:b/>
                <w:sz w:val="20"/>
              </w:rPr>
              <w:t xml:space="preserve">10% </w:t>
            </w:r>
          </w:p>
        </w:tc>
        <w:tc>
          <w:tcPr>
            <w:tcW w:w="8646" w:type="dxa"/>
            <w:gridSpan w:val="3"/>
            <w:tcBorders>
              <w:top w:val="single" w:sz="4" w:space="0" w:color="000000"/>
              <w:left w:val="single" w:sz="4" w:space="0" w:color="000000"/>
              <w:bottom w:val="single" w:sz="4" w:space="0" w:color="000000"/>
              <w:right w:val="nil"/>
            </w:tcBorders>
          </w:tcPr>
          <w:p w:rsidR="00E8309B" w:rsidRDefault="00E8309B">
            <w:pPr>
              <w:spacing w:after="160" w:line="259" w:lineRule="auto"/>
              <w:ind w:left="0" w:right="0" w:firstLine="0"/>
              <w:jc w:val="left"/>
            </w:pPr>
          </w:p>
        </w:tc>
      </w:tr>
      <w:tr w:rsidR="00E8309B">
        <w:trPr>
          <w:trHeight w:val="404"/>
        </w:trPr>
        <w:tc>
          <w:tcPr>
            <w:tcW w:w="14220" w:type="dxa"/>
            <w:gridSpan w:val="6"/>
            <w:tcBorders>
              <w:top w:val="single" w:sz="4" w:space="0" w:color="000000"/>
              <w:left w:val="single" w:sz="4" w:space="0" w:color="000000"/>
              <w:bottom w:val="single" w:sz="4" w:space="0" w:color="000000"/>
              <w:right w:val="single" w:sz="4" w:space="0" w:color="000000"/>
            </w:tcBorders>
            <w:shd w:val="clear" w:color="auto" w:fill="D0CECE"/>
          </w:tcPr>
          <w:p w:rsidR="00E8309B" w:rsidRDefault="009D0949">
            <w:pPr>
              <w:spacing w:after="0" w:line="259" w:lineRule="auto"/>
              <w:ind w:left="0" w:right="0" w:firstLine="0"/>
              <w:jc w:val="left"/>
            </w:pPr>
            <w:r>
              <w:rPr>
                <w:b/>
              </w:rPr>
              <w:t>СР 7. Поједностављење и гиљотина поступака за пословање привредних субјеката – „еПАПИР”</w:t>
            </w:r>
            <w:r>
              <w:t xml:space="preserve"> </w:t>
            </w:r>
          </w:p>
        </w:tc>
      </w:tr>
      <w:tr w:rsidR="00E8309B">
        <w:trPr>
          <w:trHeight w:val="1511"/>
        </w:trPr>
        <w:tc>
          <w:tcPr>
            <w:tcW w:w="465"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0" w:firstLine="0"/>
              <w:jc w:val="left"/>
            </w:pPr>
            <w:r>
              <w:rPr>
                <w:sz w:val="20"/>
              </w:rPr>
              <w:t xml:space="preserve">1. </w:t>
            </w:r>
          </w:p>
        </w:tc>
        <w:tc>
          <w:tcPr>
            <w:tcW w:w="3311"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1" w:right="0" w:firstLine="0"/>
              <w:jc w:val="left"/>
            </w:pPr>
            <w:r>
              <w:rPr>
                <w:sz w:val="20"/>
              </w:rPr>
              <w:t xml:space="preserve">Оптимизација административних поступака </w:t>
            </w:r>
          </w:p>
        </w:tc>
        <w:tc>
          <w:tcPr>
            <w:tcW w:w="1798"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0" w:firstLine="0"/>
              <w:jc w:val="left"/>
            </w:pPr>
            <w:r>
              <w:rPr>
                <w:sz w:val="20"/>
              </w:rPr>
              <w:t xml:space="preserve">напредак у спровођењу </w:t>
            </w:r>
          </w:p>
        </w:tc>
        <w:tc>
          <w:tcPr>
            <w:tcW w:w="4629"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40" w:lineRule="auto"/>
              <w:ind w:left="2" w:right="0" w:firstLine="0"/>
              <w:jc w:val="left"/>
            </w:pPr>
            <w:r>
              <w:rPr>
                <w:sz w:val="20"/>
              </w:rPr>
              <w:t xml:space="preserve">До сада је у потпуности оптимизовано 130 и укинуто 4 поступка што за привреду представља уштеду од скоро 32 милиона евра на годишњем </w:t>
            </w:r>
          </w:p>
          <w:p w:rsidR="00E8309B" w:rsidRDefault="009D0949">
            <w:pPr>
              <w:spacing w:after="0" w:line="259" w:lineRule="auto"/>
              <w:ind w:left="2" w:right="953" w:firstLine="0"/>
            </w:pPr>
            <w:r>
              <w:rPr>
                <w:sz w:val="20"/>
              </w:rPr>
              <w:t xml:space="preserve">нивоу. За 367 поступака је започето поједностављење, односно препоруке су делимично имплементиране. </w:t>
            </w:r>
          </w:p>
        </w:tc>
        <w:tc>
          <w:tcPr>
            <w:tcW w:w="1609"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1" w:right="0" w:firstLine="0"/>
              <w:jc w:val="left"/>
            </w:pPr>
            <w:r>
              <w:rPr>
                <w:sz w:val="20"/>
              </w:rPr>
              <w:t xml:space="preserve">  </w:t>
            </w:r>
          </w:p>
        </w:tc>
        <w:tc>
          <w:tcPr>
            <w:tcW w:w="2409"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1" w:right="0" w:firstLine="0"/>
              <w:jc w:val="left"/>
            </w:pPr>
            <w:r>
              <w:rPr>
                <w:sz w:val="20"/>
              </w:rPr>
              <w:t xml:space="preserve">  </w:t>
            </w:r>
          </w:p>
        </w:tc>
      </w:tr>
      <w:tr w:rsidR="00E8309B">
        <w:trPr>
          <w:trHeight w:val="1970"/>
        </w:trPr>
        <w:tc>
          <w:tcPr>
            <w:tcW w:w="465"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0" w:firstLine="0"/>
              <w:jc w:val="left"/>
            </w:pPr>
            <w:r>
              <w:rPr>
                <w:sz w:val="20"/>
              </w:rPr>
              <w:t xml:space="preserve">2. </w:t>
            </w:r>
          </w:p>
        </w:tc>
        <w:tc>
          <w:tcPr>
            <w:tcW w:w="3311"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1" w:right="0" w:firstLine="0"/>
              <w:jc w:val="left"/>
            </w:pPr>
            <w:r>
              <w:rPr>
                <w:sz w:val="20"/>
              </w:rPr>
              <w:t xml:space="preserve">Дигитализација административних поступака </w:t>
            </w:r>
          </w:p>
        </w:tc>
        <w:tc>
          <w:tcPr>
            <w:tcW w:w="1798"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0" w:firstLine="0"/>
              <w:jc w:val="left"/>
            </w:pPr>
            <w:r>
              <w:rPr>
                <w:sz w:val="20"/>
              </w:rPr>
              <w:t xml:space="preserve">напредак у спровођењу </w:t>
            </w:r>
          </w:p>
        </w:tc>
        <w:tc>
          <w:tcPr>
            <w:tcW w:w="4629"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2" w:right="0" w:firstLine="0"/>
              <w:jc w:val="left"/>
            </w:pPr>
            <w:r>
              <w:rPr>
                <w:sz w:val="20"/>
              </w:rPr>
              <w:t>Направљена је платформа за е-Дозволе и повезана са свим потребним сервисима, као што су сервиси е-Плаћање и магистрала за размену података између органа и организација јавне управе, која пре</w:t>
            </w:r>
            <w:r>
              <w:rPr>
                <w:sz w:val="20"/>
              </w:rPr>
              <w:t xml:space="preserve">дставља основу за дигитализацију административних поступака. До сада је дигитализовано и јавно доступно преко портала еУправа 27 административних поступака.  </w:t>
            </w:r>
          </w:p>
        </w:tc>
        <w:tc>
          <w:tcPr>
            <w:tcW w:w="1609"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1" w:right="0" w:firstLine="0"/>
              <w:jc w:val="left"/>
            </w:pPr>
            <w:r>
              <w:rPr>
                <w:sz w:val="20"/>
              </w:rPr>
              <w:t xml:space="preserve">  </w:t>
            </w:r>
          </w:p>
        </w:tc>
        <w:tc>
          <w:tcPr>
            <w:tcW w:w="2409"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1" w:right="0" w:firstLine="0"/>
              <w:jc w:val="left"/>
            </w:pPr>
            <w:r>
              <w:rPr>
                <w:sz w:val="20"/>
              </w:rPr>
              <w:t xml:space="preserve">  </w:t>
            </w:r>
          </w:p>
        </w:tc>
      </w:tr>
      <w:tr w:rsidR="00E8309B">
        <w:trPr>
          <w:trHeight w:val="2662"/>
        </w:trPr>
        <w:tc>
          <w:tcPr>
            <w:tcW w:w="465"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0" w:firstLine="0"/>
              <w:jc w:val="left"/>
            </w:pPr>
            <w:r>
              <w:rPr>
                <w:sz w:val="20"/>
              </w:rPr>
              <w:t xml:space="preserve">3. </w:t>
            </w:r>
          </w:p>
        </w:tc>
        <w:tc>
          <w:tcPr>
            <w:tcW w:w="3311"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1" w:right="0" w:firstLine="0"/>
              <w:jc w:val="left"/>
            </w:pPr>
            <w:r>
              <w:rPr>
                <w:sz w:val="20"/>
              </w:rPr>
              <w:t xml:space="preserve">Усвајање и спровођење акционих планова за поједностављење административних поступака </w:t>
            </w:r>
          </w:p>
        </w:tc>
        <w:tc>
          <w:tcPr>
            <w:tcW w:w="1798"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0" w:firstLine="0"/>
              <w:jc w:val="left"/>
            </w:pPr>
            <w:r>
              <w:rPr>
                <w:sz w:val="20"/>
              </w:rPr>
              <w:t xml:space="preserve">потпуно спроведене </w:t>
            </w:r>
          </w:p>
        </w:tc>
        <w:tc>
          <w:tcPr>
            <w:tcW w:w="4629"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62" w:lineRule="auto"/>
              <w:ind w:left="2" w:right="0" w:firstLine="0"/>
              <w:jc w:val="left"/>
            </w:pPr>
            <w:r>
              <w:rPr>
                <w:sz w:val="20"/>
              </w:rPr>
              <w:t>На иницијативу РСЈП, Канцеларија за сарадњу са цивилним друштвом објавила је позив за учешће на Јавној расправи о Предлогу Акционог плана за спровођење Програма за поједностављење административних поступака и регулативе „еПАПИР” за пери</w:t>
            </w:r>
            <w:r>
              <w:rPr>
                <w:sz w:val="20"/>
              </w:rPr>
              <w:t xml:space="preserve">од 2020- 2021. године. Јавна расправа је спроведена у периоду од 21. фебруара до 12. марта 2020. године. </w:t>
            </w:r>
          </w:p>
          <w:p w:rsidR="00E8309B" w:rsidRDefault="009D0949">
            <w:pPr>
              <w:spacing w:after="0" w:line="259" w:lineRule="auto"/>
              <w:ind w:left="2" w:right="0" w:firstLine="0"/>
              <w:jc w:val="left"/>
            </w:pPr>
            <w:r>
              <w:rPr>
                <w:sz w:val="20"/>
              </w:rPr>
              <w:t xml:space="preserve">Влaдa Рeпубликe Србиje је 26. јуна 2020. године усвојила Акциони план е-Папир за период 2020.2021. године. </w:t>
            </w:r>
          </w:p>
        </w:tc>
        <w:tc>
          <w:tcPr>
            <w:tcW w:w="1609"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1" w:right="0" w:firstLine="0"/>
              <w:jc w:val="left"/>
            </w:pPr>
            <w:r>
              <w:rPr>
                <w:sz w:val="20"/>
              </w:rPr>
              <w:t xml:space="preserve">  </w:t>
            </w:r>
          </w:p>
        </w:tc>
        <w:tc>
          <w:tcPr>
            <w:tcW w:w="2409"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1" w:right="0" w:firstLine="0"/>
              <w:jc w:val="left"/>
            </w:pPr>
            <w:r>
              <w:rPr>
                <w:sz w:val="20"/>
              </w:rPr>
              <w:t xml:space="preserve">  </w:t>
            </w:r>
          </w:p>
        </w:tc>
      </w:tr>
    </w:tbl>
    <w:p w:rsidR="00E8309B" w:rsidRDefault="00E8309B">
      <w:pPr>
        <w:spacing w:after="0" w:line="259" w:lineRule="auto"/>
        <w:ind w:left="-1138" w:right="10666" w:firstLine="0"/>
        <w:jc w:val="left"/>
      </w:pPr>
    </w:p>
    <w:tbl>
      <w:tblPr>
        <w:tblStyle w:val="TableGrid"/>
        <w:tblW w:w="14220" w:type="dxa"/>
        <w:tblInd w:w="6" w:type="dxa"/>
        <w:tblCellMar>
          <w:top w:w="10" w:type="dxa"/>
          <w:left w:w="107" w:type="dxa"/>
          <w:bottom w:w="0" w:type="dxa"/>
          <w:right w:w="123" w:type="dxa"/>
        </w:tblCellMar>
        <w:tblLook w:val="04A0" w:firstRow="1" w:lastRow="0" w:firstColumn="1" w:lastColumn="0" w:noHBand="0" w:noVBand="1"/>
      </w:tblPr>
      <w:tblGrid>
        <w:gridCol w:w="465"/>
        <w:gridCol w:w="3311"/>
        <w:gridCol w:w="1798"/>
        <w:gridCol w:w="4629"/>
        <w:gridCol w:w="1609"/>
        <w:gridCol w:w="2409"/>
      </w:tblGrid>
      <w:tr w:rsidR="00E8309B">
        <w:trPr>
          <w:trHeight w:val="1972"/>
        </w:trPr>
        <w:tc>
          <w:tcPr>
            <w:tcW w:w="465" w:type="dxa"/>
            <w:tcBorders>
              <w:top w:val="single" w:sz="4" w:space="0" w:color="000000"/>
              <w:left w:val="single" w:sz="4" w:space="0" w:color="000000"/>
              <w:bottom w:val="single" w:sz="4" w:space="0" w:color="000000"/>
              <w:right w:val="single" w:sz="4" w:space="0" w:color="000000"/>
            </w:tcBorders>
          </w:tcPr>
          <w:p w:rsidR="00E8309B" w:rsidRDefault="009D0949">
            <w:pPr>
              <w:spacing w:after="1539" w:line="259" w:lineRule="auto"/>
              <w:ind w:left="0" w:right="0" w:firstLine="0"/>
              <w:jc w:val="left"/>
            </w:pPr>
            <w:r>
              <w:rPr>
                <w:sz w:val="20"/>
              </w:rPr>
              <w:t xml:space="preserve">4. </w:t>
            </w:r>
          </w:p>
          <w:p w:rsidR="00E8309B" w:rsidRDefault="009D0949">
            <w:pPr>
              <w:spacing w:after="0" w:line="259" w:lineRule="auto"/>
              <w:ind w:left="0" w:right="0" w:firstLine="0"/>
              <w:jc w:val="left"/>
            </w:pPr>
            <w:r>
              <w:rPr>
                <w:sz w:val="20"/>
              </w:rPr>
              <w:t xml:space="preserve"> </w:t>
            </w:r>
          </w:p>
        </w:tc>
        <w:tc>
          <w:tcPr>
            <w:tcW w:w="3311"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1" w:right="0" w:firstLine="0"/>
              <w:jc w:val="left"/>
            </w:pPr>
            <w:r>
              <w:rPr>
                <w:sz w:val="20"/>
              </w:rPr>
              <w:t xml:space="preserve">Усвајање закона за успостављање Јединственог регистра административних поступака </w:t>
            </w:r>
          </w:p>
        </w:tc>
        <w:tc>
          <w:tcPr>
            <w:tcW w:w="1798"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0" w:firstLine="0"/>
              <w:jc w:val="left"/>
            </w:pPr>
            <w:r>
              <w:rPr>
                <w:sz w:val="20"/>
              </w:rPr>
              <w:t xml:space="preserve">напредак у спровођењу </w:t>
            </w:r>
          </w:p>
        </w:tc>
        <w:tc>
          <w:tcPr>
            <w:tcW w:w="4629"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44" w:lineRule="auto"/>
              <w:ind w:left="2" w:right="0" w:firstLine="0"/>
              <w:jc w:val="left"/>
            </w:pPr>
            <w:r>
              <w:rPr>
                <w:sz w:val="20"/>
              </w:rPr>
              <w:t>Јавна расправа о Нацрту закона о јединственом јавном регистру административних поступака  је завршена и у току је финализација текста који ће бити дост</w:t>
            </w:r>
            <w:r>
              <w:rPr>
                <w:sz w:val="20"/>
              </w:rPr>
              <w:t xml:space="preserve">ављен Влади. Након усвајања на Влади, Предлог закона ће бити прослеђен у скупштинску процедуру. У зависности од дневног реда и распореда заседања Скупштине, усвајање се очекује средином 2021. </w:t>
            </w:r>
          </w:p>
          <w:p w:rsidR="00E8309B" w:rsidRDefault="009D0949">
            <w:pPr>
              <w:spacing w:after="0" w:line="259" w:lineRule="auto"/>
              <w:ind w:left="2" w:right="0" w:firstLine="0"/>
              <w:jc w:val="left"/>
            </w:pPr>
            <w:r>
              <w:rPr>
                <w:sz w:val="20"/>
              </w:rPr>
              <w:t xml:space="preserve"> </w:t>
            </w:r>
          </w:p>
        </w:tc>
        <w:tc>
          <w:tcPr>
            <w:tcW w:w="1609"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1" w:right="0" w:firstLine="0"/>
              <w:jc w:val="left"/>
            </w:pPr>
            <w:r>
              <w:rPr>
                <w:sz w:val="20"/>
              </w:rPr>
              <w:t xml:space="preserve">  </w:t>
            </w:r>
          </w:p>
        </w:tc>
        <w:tc>
          <w:tcPr>
            <w:tcW w:w="2409"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1" w:right="0" w:firstLine="0"/>
              <w:jc w:val="left"/>
            </w:pPr>
            <w:r>
              <w:rPr>
                <w:sz w:val="20"/>
              </w:rPr>
              <w:t xml:space="preserve">  </w:t>
            </w:r>
          </w:p>
        </w:tc>
      </w:tr>
      <w:tr w:rsidR="00E8309B">
        <w:trPr>
          <w:trHeight w:val="384"/>
        </w:trPr>
        <w:tc>
          <w:tcPr>
            <w:tcW w:w="3776" w:type="dxa"/>
            <w:gridSpan w:val="2"/>
            <w:tcBorders>
              <w:top w:val="single" w:sz="4" w:space="0" w:color="000000"/>
              <w:left w:val="nil"/>
              <w:bottom w:val="single" w:sz="4" w:space="0" w:color="000000"/>
              <w:right w:val="single" w:sz="4" w:space="0" w:color="000000"/>
            </w:tcBorders>
          </w:tcPr>
          <w:p w:rsidR="00E8309B" w:rsidRDefault="00E8309B">
            <w:pPr>
              <w:spacing w:after="160" w:line="259" w:lineRule="auto"/>
              <w:ind w:left="0" w:right="0" w:firstLine="0"/>
              <w:jc w:val="left"/>
            </w:pPr>
          </w:p>
        </w:tc>
        <w:tc>
          <w:tcPr>
            <w:tcW w:w="1798" w:type="dxa"/>
            <w:tcBorders>
              <w:top w:val="single" w:sz="4" w:space="0" w:color="000000"/>
              <w:left w:val="single" w:sz="4" w:space="0" w:color="000000"/>
              <w:bottom w:val="single" w:sz="4" w:space="0" w:color="000000"/>
              <w:right w:val="single" w:sz="4" w:space="0" w:color="000000"/>
            </w:tcBorders>
            <w:shd w:val="clear" w:color="auto" w:fill="BDD6EE"/>
          </w:tcPr>
          <w:p w:rsidR="00E8309B" w:rsidRDefault="009D0949">
            <w:pPr>
              <w:spacing w:after="0" w:line="259" w:lineRule="auto"/>
              <w:ind w:left="14" w:right="0" w:firstLine="0"/>
              <w:jc w:val="center"/>
            </w:pPr>
            <w:r>
              <w:rPr>
                <w:b/>
                <w:sz w:val="20"/>
              </w:rPr>
              <w:t xml:space="preserve">85% </w:t>
            </w:r>
          </w:p>
        </w:tc>
        <w:tc>
          <w:tcPr>
            <w:tcW w:w="8646" w:type="dxa"/>
            <w:gridSpan w:val="3"/>
            <w:tcBorders>
              <w:top w:val="single" w:sz="4" w:space="0" w:color="000000"/>
              <w:left w:val="single" w:sz="4" w:space="0" w:color="000000"/>
              <w:bottom w:val="single" w:sz="4" w:space="0" w:color="000000"/>
              <w:right w:val="nil"/>
            </w:tcBorders>
          </w:tcPr>
          <w:p w:rsidR="00E8309B" w:rsidRDefault="00E8309B">
            <w:pPr>
              <w:spacing w:after="160" w:line="259" w:lineRule="auto"/>
              <w:ind w:left="0" w:right="0" w:firstLine="0"/>
              <w:jc w:val="left"/>
            </w:pPr>
          </w:p>
        </w:tc>
      </w:tr>
      <w:tr w:rsidR="00E8309B">
        <w:trPr>
          <w:trHeight w:val="406"/>
        </w:trPr>
        <w:tc>
          <w:tcPr>
            <w:tcW w:w="14220" w:type="dxa"/>
            <w:gridSpan w:val="6"/>
            <w:tcBorders>
              <w:top w:val="single" w:sz="4" w:space="0" w:color="000000"/>
              <w:left w:val="single" w:sz="4" w:space="0" w:color="000000"/>
              <w:bottom w:val="single" w:sz="4" w:space="0" w:color="000000"/>
              <w:right w:val="single" w:sz="4" w:space="0" w:color="000000"/>
            </w:tcBorders>
            <w:shd w:val="clear" w:color="auto" w:fill="D0CECE"/>
          </w:tcPr>
          <w:p w:rsidR="00E8309B" w:rsidRDefault="009D0949">
            <w:pPr>
              <w:spacing w:after="0" w:line="259" w:lineRule="auto"/>
              <w:ind w:left="0" w:right="0" w:firstLine="0"/>
              <w:jc w:val="left"/>
            </w:pPr>
            <w:r>
              <w:rPr>
                <w:b/>
              </w:rPr>
              <w:t>СР 8. Трансформација Пореске управе</w:t>
            </w:r>
            <w:r>
              <w:t xml:space="preserve"> </w:t>
            </w:r>
          </w:p>
        </w:tc>
      </w:tr>
      <w:tr w:rsidR="00E8309B">
        <w:trPr>
          <w:trHeight w:val="3119"/>
        </w:trPr>
        <w:tc>
          <w:tcPr>
            <w:tcW w:w="465"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0" w:firstLine="0"/>
              <w:jc w:val="left"/>
            </w:pPr>
            <w:r>
              <w:rPr>
                <w:sz w:val="20"/>
              </w:rPr>
              <w:t xml:space="preserve">1. </w:t>
            </w:r>
          </w:p>
        </w:tc>
        <w:tc>
          <w:tcPr>
            <w:tcW w:w="3311" w:type="dxa"/>
            <w:tcBorders>
              <w:top w:val="single" w:sz="4" w:space="0" w:color="000000"/>
              <w:left w:val="single" w:sz="4" w:space="0" w:color="000000"/>
              <w:bottom w:val="single" w:sz="4" w:space="0" w:color="000000"/>
              <w:right w:val="single" w:sz="4" w:space="0" w:color="000000"/>
            </w:tcBorders>
          </w:tcPr>
          <w:p w:rsidR="00E8309B" w:rsidRDefault="009D0949">
            <w:pPr>
              <w:spacing w:after="38" w:line="240" w:lineRule="auto"/>
              <w:ind w:left="1" w:right="0" w:firstLine="0"/>
              <w:jc w:val="left"/>
            </w:pPr>
            <w:r>
              <w:rPr>
                <w:sz w:val="20"/>
              </w:rPr>
              <w:t xml:space="preserve">Реинжењеринг пословних процеса за увођење међународних добрих пракси у оперативне функције </w:t>
            </w:r>
          </w:p>
          <w:p w:rsidR="00E8309B" w:rsidRDefault="009D0949">
            <w:pPr>
              <w:spacing w:after="0" w:line="259" w:lineRule="auto"/>
              <w:ind w:left="1" w:right="0" w:firstLine="0"/>
              <w:jc w:val="left"/>
            </w:pPr>
            <w:r>
              <w:rPr>
                <w:sz w:val="20"/>
              </w:rPr>
              <w:t xml:space="preserve">Пoреске управе РС </w:t>
            </w:r>
          </w:p>
        </w:tc>
        <w:tc>
          <w:tcPr>
            <w:tcW w:w="1798"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0" w:firstLine="0"/>
              <w:jc w:val="left"/>
            </w:pPr>
            <w:r>
              <w:rPr>
                <w:sz w:val="20"/>
              </w:rPr>
              <w:t xml:space="preserve">наставак спровођења са почетним резултатима </w:t>
            </w:r>
          </w:p>
        </w:tc>
        <w:tc>
          <w:tcPr>
            <w:tcW w:w="4629"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2" w:right="0" w:firstLine="0"/>
              <w:jc w:val="left"/>
            </w:pPr>
            <w:r>
              <w:rPr>
                <w:sz w:val="20"/>
              </w:rPr>
              <w:t>Пројектни задатак за Реинжењеринг пословних процеса у пореским пословима, укључујући тренинг тренера</w:t>
            </w:r>
            <w:r>
              <w:rPr>
                <w:sz w:val="20"/>
              </w:rPr>
              <w:t xml:space="preserve"> за увођење нових функција у оперативне јединице Пореске управе Републике Србије је написан и предат Светској банци на одобрење. Пројектни задатак је одобрен од стране  Светске банке.  Позив за достављање понуда је објављен 31.8.2020.године. Завршена је оц</w:t>
            </w:r>
            <w:r>
              <w:rPr>
                <w:sz w:val="20"/>
              </w:rPr>
              <w:t xml:space="preserve">ена писама о заинтересованости за избор консултанта за реинжењеринг пословних процеса и одобрена скраћена листа понуђача. Рок за достављање понуда је 20.1.2021. године, након чега се очекује оцена и избор најбољег понуђача.  </w:t>
            </w:r>
          </w:p>
        </w:tc>
        <w:tc>
          <w:tcPr>
            <w:tcW w:w="1609"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1" w:right="0" w:firstLine="0"/>
              <w:jc w:val="left"/>
            </w:pPr>
            <w:r>
              <w:rPr>
                <w:sz w:val="20"/>
              </w:rPr>
              <w:t xml:space="preserve">  </w:t>
            </w:r>
          </w:p>
        </w:tc>
        <w:tc>
          <w:tcPr>
            <w:tcW w:w="2409"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1" w:right="0" w:firstLine="0"/>
              <w:jc w:val="left"/>
            </w:pPr>
            <w:r>
              <w:rPr>
                <w:sz w:val="20"/>
              </w:rPr>
              <w:t xml:space="preserve">  </w:t>
            </w:r>
          </w:p>
        </w:tc>
      </w:tr>
      <w:tr w:rsidR="00E8309B">
        <w:trPr>
          <w:trHeight w:val="1971"/>
        </w:trPr>
        <w:tc>
          <w:tcPr>
            <w:tcW w:w="465"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0" w:firstLine="0"/>
              <w:jc w:val="left"/>
            </w:pPr>
            <w:r>
              <w:rPr>
                <w:sz w:val="20"/>
              </w:rPr>
              <w:t xml:space="preserve">2. </w:t>
            </w:r>
          </w:p>
        </w:tc>
        <w:tc>
          <w:tcPr>
            <w:tcW w:w="3311"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1" w:right="0" w:firstLine="0"/>
            </w:pPr>
            <w:r>
              <w:rPr>
                <w:sz w:val="20"/>
              </w:rPr>
              <w:t xml:space="preserve">Даљи развој платформе информационих система  </w:t>
            </w:r>
          </w:p>
        </w:tc>
        <w:tc>
          <w:tcPr>
            <w:tcW w:w="1798"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0" w:firstLine="0"/>
              <w:jc w:val="left"/>
            </w:pPr>
            <w:r>
              <w:rPr>
                <w:sz w:val="20"/>
              </w:rPr>
              <w:t xml:space="preserve">потпуно спроведене </w:t>
            </w:r>
          </w:p>
        </w:tc>
        <w:tc>
          <w:tcPr>
            <w:tcW w:w="4629"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2" w:right="0" w:firstLine="0"/>
              <w:jc w:val="left"/>
            </w:pPr>
            <w:r>
              <w:rPr>
                <w:sz w:val="20"/>
              </w:rPr>
              <w:t>Спроведене  су следеће активности: унапређење ИИС-а Пореске управе, проширење електронских услуга на Порталу Е-порези, замена и унапређење серверске, сториџ и мрежне инфраструктуре. Спровође</w:t>
            </w:r>
            <w:r>
              <w:rPr>
                <w:sz w:val="20"/>
              </w:rPr>
              <w:t xml:space="preserve">ње наведених активности одвијало се у складу са планираном динамиком. Све планиране активности за 2020. годину, спроведене су у потпуности до 31.12.2020.године.                           </w:t>
            </w:r>
          </w:p>
        </w:tc>
        <w:tc>
          <w:tcPr>
            <w:tcW w:w="1609"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1" w:right="0" w:firstLine="0"/>
              <w:jc w:val="left"/>
            </w:pPr>
            <w:r>
              <w:rPr>
                <w:sz w:val="20"/>
              </w:rPr>
              <w:t xml:space="preserve">  </w:t>
            </w:r>
          </w:p>
        </w:tc>
        <w:tc>
          <w:tcPr>
            <w:tcW w:w="2409"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1" w:right="0" w:firstLine="0"/>
              <w:jc w:val="left"/>
            </w:pPr>
            <w:r>
              <w:rPr>
                <w:sz w:val="20"/>
              </w:rPr>
              <w:t xml:space="preserve">  </w:t>
            </w:r>
          </w:p>
        </w:tc>
      </w:tr>
    </w:tbl>
    <w:p w:rsidR="00E8309B" w:rsidRDefault="00E8309B">
      <w:pPr>
        <w:spacing w:after="0" w:line="259" w:lineRule="auto"/>
        <w:ind w:left="-1138" w:right="10666" w:firstLine="0"/>
        <w:jc w:val="left"/>
      </w:pPr>
    </w:p>
    <w:tbl>
      <w:tblPr>
        <w:tblStyle w:val="TableGrid"/>
        <w:tblW w:w="14220" w:type="dxa"/>
        <w:tblInd w:w="6" w:type="dxa"/>
        <w:tblCellMar>
          <w:top w:w="10" w:type="dxa"/>
          <w:left w:w="107" w:type="dxa"/>
          <w:bottom w:w="0" w:type="dxa"/>
          <w:right w:w="70" w:type="dxa"/>
        </w:tblCellMar>
        <w:tblLook w:val="04A0" w:firstRow="1" w:lastRow="0" w:firstColumn="1" w:lastColumn="0" w:noHBand="0" w:noVBand="1"/>
      </w:tblPr>
      <w:tblGrid>
        <w:gridCol w:w="465"/>
        <w:gridCol w:w="3311"/>
        <w:gridCol w:w="1798"/>
        <w:gridCol w:w="4629"/>
        <w:gridCol w:w="1609"/>
        <w:gridCol w:w="2409"/>
      </w:tblGrid>
      <w:tr w:rsidR="00E8309B">
        <w:trPr>
          <w:trHeight w:val="3122"/>
        </w:trPr>
        <w:tc>
          <w:tcPr>
            <w:tcW w:w="465" w:type="dxa"/>
            <w:tcBorders>
              <w:top w:val="single" w:sz="4" w:space="0" w:color="000000"/>
              <w:left w:val="single" w:sz="4" w:space="0" w:color="000000"/>
              <w:bottom w:val="single" w:sz="4" w:space="0" w:color="000000"/>
              <w:right w:val="single" w:sz="4" w:space="0" w:color="000000"/>
            </w:tcBorders>
          </w:tcPr>
          <w:p w:rsidR="00E8309B" w:rsidRDefault="009D0949">
            <w:pPr>
              <w:spacing w:after="2689" w:line="259" w:lineRule="auto"/>
              <w:ind w:left="0" w:right="0" w:firstLine="0"/>
              <w:jc w:val="left"/>
            </w:pPr>
            <w:r>
              <w:rPr>
                <w:sz w:val="20"/>
              </w:rPr>
              <w:t xml:space="preserve">3. </w:t>
            </w:r>
          </w:p>
          <w:p w:rsidR="00E8309B" w:rsidRDefault="009D0949">
            <w:pPr>
              <w:spacing w:after="0" w:line="259" w:lineRule="auto"/>
              <w:ind w:left="0" w:right="0" w:firstLine="0"/>
              <w:jc w:val="left"/>
            </w:pPr>
            <w:r>
              <w:t xml:space="preserve"> </w:t>
            </w:r>
          </w:p>
        </w:tc>
        <w:tc>
          <w:tcPr>
            <w:tcW w:w="3311" w:type="dxa"/>
            <w:tcBorders>
              <w:top w:val="single" w:sz="4" w:space="0" w:color="000000"/>
              <w:left w:val="single" w:sz="4" w:space="0" w:color="000000"/>
              <w:bottom w:val="single" w:sz="4" w:space="0" w:color="000000"/>
              <w:right w:val="single" w:sz="4" w:space="0" w:color="000000"/>
            </w:tcBorders>
          </w:tcPr>
          <w:p w:rsidR="00E8309B" w:rsidRDefault="009D0949">
            <w:pPr>
              <w:spacing w:after="2228" w:line="260" w:lineRule="auto"/>
              <w:ind w:left="1" w:right="0" w:firstLine="0"/>
              <w:jc w:val="left"/>
            </w:pPr>
            <w:r>
              <w:rPr>
                <w:sz w:val="20"/>
              </w:rPr>
              <w:t xml:space="preserve">Сет активности наведених Планом набавке ТАМП (Пројекта модернизације Пореске управе) </w:t>
            </w:r>
          </w:p>
          <w:p w:rsidR="00E8309B" w:rsidRDefault="009D0949">
            <w:pPr>
              <w:spacing w:after="0" w:line="259" w:lineRule="auto"/>
              <w:ind w:left="1" w:right="0" w:firstLine="0"/>
              <w:jc w:val="left"/>
            </w:pPr>
            <w:r>
              <w:rPr>
                <w:sz w:val="20"/>
              </w:rPr>
              <w:t xml:space="preserve"> </w:t>
            </w:r>
          </w:p>
        </w:tc>
        <w:tc>
          <w:tcPr>
            <w:tcW w:w="1798"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0" w:firstLine="0"/>
              <w:jc w:val="left"/>
            </w:pPr>
            <w:r>
              <w:rPr>
                <w:sz w:val="20"/>
              </w:rPr>
              <w:t xml:space="preserve">напредак у спровођењу </w:t>
            </w:r>
          </w:p>
        </w:tc>
        <w:tc>
          <w:tcPr>
            <w:tcW w:w="4629" w:type="dxa"/>
            <w:tcBorders>
              <w:top w:val="single" w:sz="4" w:space="0" w:color="000000"/>
              <w:left w:val="single" w:sz="4" w:space="0" w:color="000000"/>
              <w:bottom w:val="single" w:sz="4" w:space="0" w:color="000000"/>
              <w:right w:val="single" w:sz="4" w:space="0" w:color="000000"/>
            </w:tcBorders>
            <w:vAlign w:val="bottom"/>
          </w:tcPr>
          <w:p w:rsidR="00E8309B" w:rsidRDefault="009D0949">
            <w:pPr>
              <w:spacing w:after="0"/>
              <w:ind w:left="2" w:right="9" w:firstLine="0"/>
              <w:jc w:val="left"/>
            </w:pPr>
            <w:r>
              <w:rPr>
                <w:sz w:val="20"/>
              </w:rPr>
              <w:t>Спровођење активности  из Плана набавке ТАМП одвија се у складу са Планом набавке. За неколико активности, од којих издвајамо техничку спецификац</w:t>
            </w:r>
            <w:r>
              <w:rPr>
                <w:sz w:val="20"/>
              </w:rPr>
              <w:t>ију за интегратор за е-фискализацију написана је тендерска документација  и предата  Светској банци на коментаре. Очекује се покретање поступка набавке почетком јануара 2021. године. Нови Закон о фискализацији је припремљен, прошао је јавну расправу и усво</w:t>
            </w:r>
            <w:r>
              <w:rPr>
                <w:sz w:val="20"/>
              </w:rPr>
              <w:t xml:space="preserve">јен је у децембру 2020. године у Скупштини Републике Србије. Примена новог Закона о фискализацији почиње од  1.1.2022. године. Спровођење осталих активности одвија се по плану. </w:t>
            </w:r>
          </w:p>
          <w:p w:rsidR="00E8309B" w:rsidRDefault="009D0949">
            <w:pPr>
              <w:spacing w:after="0" w:line="259" w:lineRule="auto"/>
              <w:ind w:left="2" w:right="0" w:firstLine="0"/>
              <w:jc w:val="left"/>
            </w:pPr>
            <w:r>
              <w:t xml:space="preserve"> </w:t>
            </w:r>
          </w:p>
        </w:tc>
        <w:tc>
          <w:tcPr>
            <w:tcW w:w="1609" w:type="dxa"/>
            <w:tcBorders>
              <w:top w:val="single" w:sz="4" w:space="0" w:color="000000"/>
              <w:left w:val="single" w:sz="4" w:space="0" w:color="000000"/>
              <w:bottom w:val="single" w:sz="4" w:space="0" w:color="000000"/>
              <w:right w:val="single" w:sz="4" w:space="0" w:color="000000"/>
            </w:tcBorders>
          </w:tcPr>
          <w:p w:rsidR="00E8309B" w:rsidRDefault="009D0949">
            <w:pPr>
              <w:spacing w:after="2689" w:line="259" w:lineRule="auto"/>
              <w:ind w:left="1" w:right="0" w:firstLine="0"/>
              <w:jc w:val="left"/>
            </w:pPr>
            <w:r>
              <w:rPr>
                <w:sz w:val="20"/>
              </w:rPr>
              <w:t xml:space="preserve">  </w:t>
            </w:r>
          </w:p>
          <w:p w:rsidR="00E8309B" w:rsidRDefault="009D0949">
            <w:pPr>
              <w:spacing w:after="0" w:line="259" w:lineRule="auto"/>
              <w:ind w:left="1" w:right="0" w:firstLine="0"/>
              <w:jc w:val="left"/>
            </w:pPr>
            <w:r>
              <w:rPr>
                <w:sz w:val="20"/>
              </w:rPr>
              <w:t xml:space="preserve"> </w:t>
            </w:r>
          </w:p>
        </w:tc>
        <w:tc>
          <w:tcPr>
            <w:tcW w:w="2409" w:type="dxa"/>
            <w:tcBorders>
              <w:top w:val="single" w:sz="4" w:space="0" w:color="000000"/>
              <w:left w:val="single" w:sz="4" w:space="0" w:color="000000"/>
              <w:bottom w:val="single" w:sz="4" w:space="0" w:color="000000"/>
              <w:right w:val="single" w:sz="4" w:space="0" w:color="000000"/>
            </w:tcBorders>
          </w:tcPr>
          <w:p w:rsidR="00E8309B" w:rsidRDefault="009D0949">
            <w:pPr>
              <w:spacing w:after="2689" w:line="259" w:lineRule="auto"/>
              <w:ind w:left="1" w:right="0" w:firstLine="0"/>
              <w:jc w:val="left"/>
            </w:pPr>
            <w:r>
              <w:rPr>
                <w:sz w:val="20"/>
              </w:rPr>
              <w:t xml:space="preserve">  </w:t>
            </w:r>
          </w:p>
          <w:p w:rsidR="00E8309B" w:rsidRDefault="009D0949">
            <w:pPr>
              <w:spacing w:after="0" w:line="259" w:lineRule="auto"/>
              <w:ind w:left="1" w:right="0" w:firstLine="0"/>
              <w:jc w:val="left"/>
            </w:pPr>
            <w:r>
              <w:rPr>
                <w:sz w:val="20"/>
              </w:rPr>
              <w:t xml:space="preserve"> </w:t>
            </w:r>
          </w:p>
        </w:tc>
      </w:tr>
      <w:tr w:rsidR="00E8309B">
        <w:trPr>
          <w:trHeight w:val="384"/>
        </w:trPr>
        <w:tc>
          <w:tcPr>
            <w:tcW w:w="3776" w:type="dxa"/>
            <w:gridSpan w:val="2"/>
            <w:tcBorders>
              <w:top w:val="single" w:sz="4" w:space="0" w:color="000000"/>
              <w:left w:val="nil"/>
              <w:bottom w:val="single" w:sz="4" w:space="0" w:color="000000"/>
              <w:right w:val="single" w:sz="4" w:space="0" w:color="000000"/>
            </w:tcBorders>
          </w:tcPr>
          <w:p w:rsidR="00E8309B" w:rsidRDefault="00E8309B">
            <w:pPr>
              <w:spacing w:after="160" w:line="259" w:lineRule="auto"/>
              <w:ind w:left="0" w:right="0" w:firstLine="0"/>
              <w:jc w:val="left"/>
            </w:pPr>
          </w:p>
        </w:tc>
        <w:tc>
          <w:tcPr>
            <w:tcW w:w="1798" w:type="dxa"/>
            <w:tcBorders>
              <w:top w:val="single" w:sz="4" w:space="0" w:color="000000"/>
              <w:left w:val="single" w:sz="4" w:space="0" w:color="000000"/>
              <w:bottom w:val="single" w:sz="4" w:space="0" w:color="000000"/>
              <w:right w:val="single" w:sz="4" w:space="0" w:color="000000"/>
            </w:tcBorders>
            <w:shd w:val="clear" w:color="auto" w:fill="BDD6EE"/>
          </w:tcPr>
          <w:p w:rsidR="00E8309B" w:rsidRDefault="009D0949">
            <w:pPr>
              <w:spacing w:after="0" w:line="259" w:lineRule="auto"/>
              <w:ind w:left="0" w:right="39" w:firstLine="0"/>
              <w:jc w:val="center"/>
            </w:pPr>
            <w:r>
              <w:rPr>
                <w:b/>
                <w:sz w:val="20"/>
              </w:rPr>
              <w:t xml:space="preserve">80% </w:t>
            </w:r>
          </w:p>
        </w:tc>
        <w:tc>
          <w:tcPr>
            <w:tcW w:w="8646" w:type="dxa"/>
            <w:gridSpan w:val="3"/>
            <w:tcBorders>
              <w:top w:val="single" w:sz="4" w:space="0" w:color="000000"/>
              <w:left w:val="single" w:sz="4" w:space="0" w:color="000000"/>
              <w:bottom w:val="single" w:sz="4" w:space="0" w:color="000000"/>
              <w:right w:val="nil"/>
            </w:tcBorders>
          </w:tcPr>
          <w:p w:rsidR="00E8309B" w:rsidRDefault="00E8309B">
            <w:pPr>
              <w:spacing w:after="160" w:line="259" w:lineRule="auto"/>
              <w:ind w:left="0" w:right="0" w:firstLine="0"/>
              <w:jc w:val="left"/>
            </w:pPr>
          </w:p>
        </w:tc>
      </w:tr>
      <w:tr w:rsidR="00E8309B">
        <w:trPr>
          <w:trHeight w:val="682"/>
        </w:trPr>
        <w:tc>
          <w:tcPr>
            <w:tcW w:w="14220" w:type="dxa"/>
            <w:gridSpan w:val="6"/>
            <w:tcBorders>
              <w:top w:val="single" w:sz="4" w:space="0" w:color="000000"/>
              <w:left w:val="single" w:sz="4" w:space="0" w:color="000000"/>
              <w:bottom w:val="single" w:sz="4" w:space="0" w:color="000000"/>
              <w:right w:val="single" w:sz="4" w:space="0" w:color="000000"/>
            </w:tcBorders>
            <w:shd w:val="clear" w:color="auto" w:fill="D0CECE"/>
          </w:tcPr>
          <w:p w:rsidR="00E8309B" w:rsidRDefault="009D0949">
            <w:pPr>
              <w:spacing w:after="0" w:line="259" w:lineRule="auto"/>
              <w:ind w:left="0" w:right="0" w:firstLine="0"/>
              <w:jc w:val="left"/>
            </w:pPr>
            <w:r>
              <w:rPr>
                <w:b/>
              </w:rPr>
              <w:t xml:space="preserve">СР 9. Унапређење геопросторног сектора креирањем стратешке дигиталне платформе као подршка инвестиционом одлучивању </w:t>
            </w:r>
          </w:p>
        </w:tc>
      </w:tr>
      <w:tr w:rsidR="00E8309B">
        <w:trPr>
          <w:trHeight w:val="5301"/>
        </w:trPr>
        <w:tc>
          <w:tcPr>
            <w:tcW w:w="465"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0" w:firstLine="0"/>
              <w:jc w:val="left"/>
            </w:pPr>
            <w:r>
              <w:rPr>
                <w:sz w:val="20"/>
              </w:rPr>
              <w:t xml:space="preserve">1. </w:t>
            </w:r>
          </w:p>
        </w:tc>
        <w:tc>
          <w:tcPr>
            <w:tcW w:w="3311"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1" w:right="0" w:firstLine="0"/>
              <w:jc w:val="left"/>
            </w:pPr>
            <w:r>
              <w:rPr>
                <w:sz w:val="20"/>
              </w:rPr>
              <w:t xml:space="preserve">Доношење подзаконских аката из области НИГП-а </w:t>
            </w:r>
          </w:p>
        </w:tc>
        <w:tc>
          <w:tcPr>
            <w:tcW w:w="1798"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0" w:firstLine="0"/>
              <w:jc w:val="left"/>
            </w:pPr>
            <w:r>
              <w:rPr>
                <w:sz w:val="20"/>
              </w:rPr>
              <w:t xml:space="preserve">напредак у спровођењу </w:t>
            </w:r>
          </w:p>
        </w:tc>
        <w:tc>
          <w:tcPr>
            <w:tcW w:w="4629"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2" w:right="50" w:firstLine="0"/>
              <w:jc w:val="left"/>
            </w:pPr>
            <w:r>
              <w:rPr>
                <w:sz w:val="20"/>
              </w:rPr>
              <w:t>У току 2020. године усвојена је Уредба о праћењу и извештавању а</w:t>
            </w:r>
            <w:r>
              <w:rPr>
                <w:sz w:val="20"/>
              </w:rPr>
              <w:t>ктивности НИГП-а („Службени гласник РС“ бр. 91 од 26.06.2020. године). Укупно су донета два подзаконска акта ‒ Уредбе. Израда преостале три уредбе је у току (израђени су нацрти просечно око 60%). Израда предлога Уредбе о интероперабилости одобрена од стран</w:t>
            </w:r>
            <w:r>
              <w:rPr>
                <w:sz w:val="20"/>
              </w:rPr>
              <w:t>е Делегације ЕУ као донација у оквиру PLAC 3 пројекта. Израда нацрта Стратегије НИГП-а је у току (нацрт је израђен 95%). Било је неопходно усклађивање нацрта Стратегије са документима донетим од стране Уједињених нација и Светске банке на светском нивоу, к</w:t>
            </w:r>
            <w:r>
              <w:rPr>
                <w:sz w:val="20"/>
              </w:rPr>
              <w:t>ао и од стране Европске комисије на регионалном нивоу, којима се регулише област геопросторних података на националном нивоу. Тиме се обезбеђује координација и кохерентност управљања геопросторних информација у Србији у наредном периоду, поштовање поставље</w:t>
            </w:r>
            <w:r>
              <w:rPr>
                <w:sz w:val="20"/>
              </w:rPr>
              <w:t xml:space="preserve">них норми и кодекса глобалне праксе, развој капацитета, као и побољшање интероперабилности геопросторних података и услуга. Усклађивање се реализује у оквиру пројекта „Унапређење земљишне администрације у Србији”, уз подршку Светске </w:t>
            </w:r>
          </w:p>
        </w:tc>
        <w:tc>
          <w:tcPr>
            <w:tcW w:w="1609"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1" w:right="0" w:firstLine="0"/>
              <w:jc w:val="left"/>
            </w:pPr>
            <w:r>
              <w:rPr>
                <w:sz w:val="20"/>
              </w:rPr>
              <w:t xml:space="preserve">  </w:t>
            </w:r>
          </w:p>
        </w:tc>
        <w:tc>
          <w:tcPr>
            <w:tcW w:w="2409"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1" w:right="0" w:firstLine="0"/>
              <w:jc w:val="left"/>
            </w:pPr>
            <w:r>
              <w:rPr>
                <w:sz w:val="20"/>
              </w:rPr>
              <w:t xml:space="preserve">  </w:t>
            </w:r>
          </w:p>
        </w:tc>
      </w:tr>
    </w:tbl>
    <w:p w:rsidR="00E8309B" w:rsidRDefault="00E8309B">
      <w:pPr>
        <w:spacing w:after="0" w:line="259" w:lineRule="auto"/>
        <w:ind w:left="-1138" w:right="10666" w:firstLine="0"/>
        <w:jc w:val="left"/>
      </w:pPr>
    </w:p>
    <w:tbl>
      <w:tblPr>
        <w:tblStyle w:val="TableGrid"/>
        <w:tblW w:w="14222" w:type="dxa"/>
        <w:tblInd w:w="5" w:type="dxa"/>
        <w:tblCellMar>
          <w:top w:w="10" w:type="dxa"/>
          <w:left w:w="108" w:type="dxa"/>
          <w:bottom w:w="0" w:type="dxa"/>
          <w:right w:w="84" w:type="dxa"/>
        </w:tblCellMar>
        <w:tblLook w:val="04A0" w:firstRow="1" w:lastRow="0" w:firstColumn="1" w:lastColumn="0" w:noHBand="0" w:noVBand="1"/>
      </w:tblPr>
      <w:tblGrid>
        <w:gridCol w:w="466"/>
        <w:gridCol w:w="3310"/>
        <w:gridCol w:w="1800"/>
        <w:gridCol w:w="4628"/>
        <w:gridCol w:w="1609"/>
        <w:gridCol w:w="2410"/>
      </w:tblGrid>
      <w:tr w:rsidR="00E8309B">
        <w:trPr>
          <w:trHeight w:val="1970"/>
        </w:trPr>
        <w:tc>
          <w:tcPr>
            <w:tcW w:w="466" w:type="dxa"/>
            <w:tcBorders>
              <w:top w:val="single" w:sz="4" w:space="0" w:color="000000"/>
              <w:left w:val="single" w:sz="4" w:space="0" w:color="000000"/>
              <w:bottom w:val="single" w:sz="4" w:space="0" w:color="000000"/>
              <w:right w:val="single" w:sz="4" w:space="0" w:color="000000"/>
            </w:tcBorders>
          </w:tcPr>
          <w:p w:rsidR="00E8309B" w:rsidRDefault="00E8309B">
            <w:pPr>
              <w:spacing w:after="160" w:line="259" w:lineRule="auto"/>
              <w:ind w:left="0" w:right="0" w:firstLine="0"/>
              <w:jc w:val="left"/>
            </w:pPr>
          </w:p>
        </w:tc>
        <w:tc>
          <w:tcPr>
            <w:tcW w:w="3310" w:type="dxa"/>
            <w:tcBorders>
              <w:top w:val="single" w:sz="4" w:space="0" w:color="000000"/>
              <w:left w:val="single" w:sz="4" w:space="0" w:color="000000"/>
              <w:bottom w:val="single" w:sz="4" w:space="0" w:color="000000"/>
              <w:right w:val="single" w:sz="4" w:space="0" w:color="000000"/>
            </w:tcBorders>
          </w:tcPr>
          <w:p w:rsidR="00E8309B" w:rsidRDefault="00E8309B">
            <w:pPr>
              <w:spacing w:after="160" w:line="259" w:lineRule="auto"/>
              <w:ind w:left="0" w:right="0" w:firstLine="0"/>
              <w:jc w:val="left"/>
            </w:pPr>
          </w:p>
        </w:tc>
        <w:tc>
          <w:tcPr>
            <w:tcW w:w="1800" w:type="dxa"/>
            <w:tcBorders>
              <w:top w:val="single" w:sz="4" w:space="0" w:color="000000"/>
              <w:left w:val="single" w:sz="4" w:space="0" w:color="000000"/>
              <w:bottom w:val="single" w:sz="4" w:space="0" w:color="000000"/>
              <w:right w:val="single" w:sz="4" w:space="0" w:color="000000"/>
            </w:tcBorders>
          </w:tcPr>
          <w:p w:rsidR="00E8309B" w:rsidRDefault="00E8309B">
            <w:pPr>
              <w:spacing w:after="160" w:line="259" w:lineRule="auto"/>
              <w:ind w:left="0" w:right="0" w:firstLine="0"/>
              <w:jc w:val="left"/>
            </w:pPr>
          </w:p>
        </w:tc>
        <w:tc>
          <w:tcPr>
            <w:tcW w:w="4628"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0" w:firstLine="0"/>
              <w:jc w:val="left"/>
            </w:pPr>
            <w:r>
              <w:rPr>
                <w:sz w:val="20"/>
              </w:rPr>
              <w:t>банке, а која обухвата и израду социо-економске анализе НИГП-а у Србији. Процес израде предлога Стратегије је пролонгиран заједно са социоекономском анализом због избијања пандемије Ковид-19 и ванредног стања, проглашеним у марту 2020. године, које је успо</w:t>
            </w:r>
            <w:r>
              <w:rPr>
                <w:sz w:val="20"/>
              </w:rPr>
              <w:t xml:space="preserve">рило и процес за избор консултанта који ће урадити ревизију нацрта Стратегије. </w:t>
            </w:r>
          </w:p>
        </w:tc>
        <w:tc>
          <w:tcPr>
            <w:tcW w:w="1609" w:type="dxa"/>
            <w:tcBorders>
              <w:top w:val="single" w:sz="4" w:space="0" w:color="000000"/>
              <w:left w:val="single" w:sz="4" w:space="0" w:color="000000"/>
              <w:bottom w:val="single" w:sz="4" w:space="0" w:color="000000"/>
              <w:right w:val="single" w:sz="4" w:space="0" w:color="000000"/>
            </w:tcBorders>
          </w:tcPr>
          <w:p w:rsidR="00E8309B" w:rsidRDefault="00E8309B">
            <w:pPr>
              <w:spacing w:after="160" w:line="259" w:lineRule="auto"/>
              <w:ind w:left="0" w:right="0" w:firstLine="0"/>
              <w:jc w:val="left"/>
            </w:pPr>
          </w:p>
        </w:tc>
        <w:tc>
          <w:tcPr>
            <w:tcW w:w="2410" w:type="dxa"/>
            <w:tcBorders>
              <w:top w:val="single" w:sz="4" w:space="0" w:color="000000"/>
              <w:left w:val="single" w:sz="4" w:space="0" w:color="000000"/>
              <w:bottom w:val="single" w:sz="4" w:space="0" w:color="000000"/>
              <w:right w:val="single" w:sz="4" w:space="0" w:color="000000"/>
            </w:tcBorders>
          </w:tcPr>
          <w:p w:rsidR="00E8309B" w:rsidRDefault="00E8309B">
            <w:pPr>
              <w:spacing w:after="160" w:line="259" w:lineRule="auto"/>
              <w:ind w:left="0" w:right="0" w:firstLine="0"/>
              <w:jc w:val="left"/>
            </w:pPr>
          </w:p>
        </w:tc>
      </w:tr>
      <w:tr w:rsidR="00E8309B">
        <w:trPr>
          <w:trHeight w:val="2891"/>
        </w:trPr>
        <w:tc>
          <w:tcPr>
            <w:tcW w:w="466"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0" w:firstLine="0"/>
              <w:jc w:val="left"/>
            </w:pPr>
            <w:r>
              <w:rPr>
                <w:sz w:val="20"/>
              </w:rPr>
              <w:t xml:space="preserve">2. </w:t>
            </w:r>
          </w:p>
        </w:tc>
        <w:tc>
          <w:tcPr>
            <w:tcW w:w="3310"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0" w:firstLine="0"/>
              <w:jc w:val="left"/>
            </w:pPr>
            <w:r>
              <w:rPr>
                <w:sz w:val="20"/>
              </w:rPr>
              <w:t xml:space="preserve">Развој и доступност сервиса геопросторних података </w:t>
            </w:r>
          </w:p>
        </w:tc>
        <w:tc>
          <w:tcPr>
            <w:tcW w:w="1800"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0" w:firstLine="0"/>
              <w:jc w:val="left"/>
            </w:pPr>
            <w:r>
              <w:rPr>
                <w:sz w:val="20"/>
              </w:rPr>
              <w:t xml:space="preserve">напредак у спровођењу </w:t>
            </w:r>
          </w:p>
        </w:tc>
        <w:tc>
          <w:tcPr>
            <w:tcW w:w="4628" w:type="dxa"/>
            <w:tcBorders>
              <w:top w:val="single" w:sz="4" w:space="0" w:color="000000"/>
              <w:left w:val="single" w:sz="4" w:space="0" w:color="000000"/>
              <w:bottom w:val="single" w:sz="4" w:space="0" w:color="000000"/>
              <w:right w:val="single" w:sz="4" w:space="0" w:color="000000"/>
            </w:tcBorders>
          </w:tcPr>
          <w:p w:rsidR="00E8309B" w:rsidRDefault="009D0949">
            <w:pPr>
              <w:spacing w:after="39" w:line="239" w:lineRule="auto"/>
              <w:ind w:left="0" w:right="0" w:firstLine="0"/>
              <w:jc w:val="left"/>
            </w:pPr>
            <w:r>
              <w:rPr>
                <w:sz w:val="20"/>
              </w:rPr>
              <w:t xml:space="preserve">Унапређен је национални геопортал „ГеоСрбија” додавањем нових сетова геопросторних података и развојем нових сервиса (укупно је доступно 285 сетова података и 39 сервиса). Поред података </w:t>
            </w:r>
          </w:p>
          <w:p w:rsidR="00E8309B" w:rsidRDefault="009D0949">
            <w:pPr>
              <w:spacing w:after="0" w:line="259" w:lineRule="auto"/>
              <w:ind w:left="0" w:right="0" w:firstLine="0"/>
              <w:jc w:val="left"/>
            </w:pPr>
            <w:r>
              <w:rPr>
                <w:sz w:val="20"/>
              </w:rPr>
              <w:t xml:space="preserve">РГЗ-а, ту су и подаци других органа и институција </w:t>
            </w:r>
          </w:p>
          <w:p w:rsidR="00E8309B" w:rsidRDefault="009D0949">
            <w:pPr>
              <w:spacing w:after="0" w:line="280" w:lineRule="auto"/>
              <w:ind w:left="0" w:right="0" w:firstLine="0"/>
              <w:jc w:val="left"/>
            </w:pPr>
            <w:r>
              <w:rPr>
                <w:sz w:val="20"/>
              </w:rPr>
              <w:t>(укупно 30 инстит</w:t>
            </w:r>
            <w:r>
              <w:rPr>
                <w:sz w:val="20"/>
              </w:rPr>
              <w:t xml:space="preserve">уција пружа податке путем НИГП-а). Тренутно 138  институција користе дигиталну платформу националног геопортала.  </w:t>
            </w:r>
          </w:p>
          <w:p w:rsidR="00E8309B" w:rsidRDefault="009D0949">
            <w:pPr>
              <w:spacing w:after="0" w:line="259" w:lineRule="auto"/>
              <w:ind w:left="0" w:right="0" w:firstLine="0"/>
              <w:jc w:val="left"/>
            </w:pPr>
            <w:r>
              <w:rPr>
                <w:sz w:val="20"/>
              </w:rPr>
              <w:t xml:space="preserve">Влада Републике Србије је на седници одржаној </w:t>
            </w:r>
          </w:p>
          <w:p w:rsidR="00E8309B" w:rsidRDefault="009D0949">
            <w:pPr>
              <w:spacing w:after="0" w:line="259" w:lineRule="auto"/>
              <w:ind w:left="0" w:right="0" w:firstLine="0"/>
              <w:jc w:val="left"/>
            </w:pPr>
            <w:r>
              <w:rPr>
                <w:sz w:val="20"/>
              </w:rPr>
              <w:t xml:space="preserve">26. децембра 2019. године уврстила НИГП у Општи програм обуке државних службеника за 2020. годину. </w:t>
            </w:r>
          </w:p>
        </w:tc>
        <w:tc>
          <w:tcPr>
            <w:tcW w:w="1609"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0" w:firstLine="0"/>
              <w:jc w:val="left"/>
            </w:pPr>
            <w:r>
              <w:rPr>
                <w:sz w:val="20"/>
              </w:rPr>
              <w:t xml:space="preserve">  </w:t>
            </w:r>
          </w:p>
        </w:tc>
        <w:tc>
          <w:tcPr>
            <w:tcW w:w="2410"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0" w:firstLine="0"/>
              <w:jc w:val="left"/>
            </w:pPr>
            <w:r>
              <w:rPr>
                <w:sz w:val="20"/>
              </w:rPr>
              <w:t xml:space="preserve">  </w:t>
            </w:r>
          </w:p>
        </w:tc>
      </w:tr>
      <w:tr w:rsidR="00E8309B">
        <w:trPr>
          <w:trHeight w:val="4731"/>
        </w:trPr>
        <w:tc>
          <w:tcPr>
            <w:tcW w:w="466"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0" w:firstLine="0"/>
              <w:jc w:val="left"/>
            </w:pPr>
            <w:r>
              <w:rPr>
                <w:sz w:val="20"/>
              </w:rPr>
              <w:t xml:space="preserve">3. </w:t>
            </w:r>
          </w:p>
        </w:tc>
        <w:tc>
          <w:tcPr>
            <w:tcW w:w="3310"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23" w:firstLine="0"/>
              <w:jc w:val="left"/>
            </w:pPr>
            <w:r>
              <w:rPr>
                <w:sz w:val="20"/>
              </w:rPr>
              <w:t>Усклађивање, комбиновање и повезивање података катастра непокретности и података из локалних пореских администарција на „пилот” општинама за разв</w:t>
            </w:r>
            <w:r>
              <w:rPr>
                <w:sz w:val="20"/>
              </w:rPr>
              <w:t xml:space="preserve">ој прототипа система масовне процене вредности непокретности </w:t>
            </w:r>
          </w:p>
        </w:tc>
        <w:tc>
          <w:tcPr>
            <w:tcW w:w="1800"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0" w:firstLine="0"/>
              <w:jc w:val="left"/>
            </w:pPr>
            <w:r>
              <w:rPr>
                <w:sz w:val="20"/>
              </w:rPr>
              <w:t xml:space="preserve">наставак спровођења са почетним резултатима </w:t>
            </w:r>
          </w:p>
        </w:tc>
        <w:tc>
          <w:tcPr>
            <w:tcW w:w="4628" w:type="dxa"/>
            <w:tcBorders>
              <w:top w:val="single" w:sz="4" w:space="0" w:color="000000"/>
              <w:left w:val="single" w:sz="4" w:space="0" w:color="000000"/>
              <w:bottom w:val="single" w:sz="4" w:space="0" w:color="000000"/>
              <w:right w:val="single" w:sz="4" w:space="0" w:color="000000"/>
            </w:tcBorders>
          </w:tcPr>
          <w:p w:rsidR="00E8309B" w:rsidRDefault="009D0949">
            <w:pPr>
              <w:spacing w:after="105"/>
              <w:ind w:left="0" w:right="0" w:firstLine="0"/>
              <w:jc w:val="left"/>
            </w:pPr>
            <w:r>
              <w:rPr>
                <w:sz w:val="20"/>
              </w:rPr>
              <w:t xml:space="preserve">У току је реализација активности у пет пилот општина, и паралелно у компаративним општинама (укупно преко 30 општина је укључено у пројекат). </w:t>
            </w:r>
          </w:p>
          <w:p w:rsidR="00E8309B" w:rsidRDefault="009D0949">
            <w:pPr>
              <w:spacing w:after="0" w:line="259" w:lineRule="auto"/>
              <w:ind w:left="0" w:right="23" w:firstLine="0"/>
              <w:jc w:val="left"/>
            </w:pPr>
            <w:r>
              <w:rPr>
                <w:sz w:val="20"/>
              </w:rPr>
              <w:t>Обављен је читав низ припремних радњи за спровођење ове активности: прикупљане су информације о расположивим базама података на подручју пилот општина; потписан је споразум о сарадњи са општином Врачар, чиме је свих пет пилот општина укључено у развој сист</w:t>
            </w:r>
            <w:r>
              <w:rPr>
                <w:sz w:val="20"/>
              </w:rPr>
              <w:t>ема масовне процене вредности непокретности; прикупљани су демографски и социјално-економски подаци за пилот општине; дефинисани су регистри и локалне базе података из којих ће се прикупљати подаци за Регистар података за масовну процену; израђени су захте</w:t>
            </w:r>
            <w:r>
              <w:rPr>
                <w:sz w:val="20"/>
              </w:rPr>
              <w:t xml:space="preserve">ви за функционалности система регистра података за масовну процену; дефинисани су екстерни и интерни извори података и основнe и додатнe табелe у моделу података; прикупљани су подаци о години изградње за објекте на подручју </w:t>
            </w:r>
          </w:p>
        </w:tc>
        <w:tc>
          <w:tcPr>
            <w:tcW w:w="1609"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0" w:firstLine="0"/>
              <w:jc w:val="left"/>
            </w:pPr>
            <w:r>
              <w:rPr>
                <w:sz w:val="20"/>
              </w:rPr>
              <w:t xml:space="preserve"> </w:t>
            </w:r>
          </w:p>
        </w:tc>
        <w:tc>
          <w:tcPr>
            <w:tcW w:w="2410"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0" w:firstLine="0"/>
              <w:jc w:val="left"/>
            </w:pPr>
            <w:r>
              <w:rPr>
                <w:sz w:val="20"/>
              </w:rPr>
              <w:t xml:space="preserve"> </w:t>
            </w:r>
          </w:p>
        </w:tc>
      </w:tr>
    </w:tbl>
    <w:p w:rsidR="00E8309B" w:rsidRDefault="00E8309B">
      <w:pPr>
        <w:spacing w:after="0" w:line="259" w:lineRule="auto"/>
        <w:ind w:left="-1138" w:right="10666" w:firstLine="0"/>
        <w:jc w:val="left"/>
      </w:pPr>
    </w:p>
    <w:tbl>
      <w:tblPr>
        <w:tblStyle w:val="TableGrid"/>
        <w:tblW w:w="14222" w:type="dxa"/>
        <w:tblInd w:w="5" w:type="dxa"/>
        <w:tblCellMar>
          <w:top w:w="10" w:type="dxa"/>
          <w:left w:w="108" w:type="dxa"/>
          <w:bottom w:w="0" w:type="dxa"/>
          <w:right w:w="81" w:type="dxa"/>
        </w:tblCellMar>
        <w:tblLook w:val="04A0" w:firstRow="1" w:lastRow="0" w:firstColumn="1" w:lastColumn="0" w:noHBand="0" w:noVBand="1"/>
      </w:tblPr>
      <w:tblGrid>
        <w:gridCol w:w="466"/>
        <w:gridCol w:w="3310"/>
        <w:gridCol w:w="1800"/>
        <w:gridCol w:w="4628"/>
        <w:gridCol w:w="1609"/>
        <w:gridCol w:w="2410"/>
      </w:tblGrid>
      <w:tr w:rsidR="00E8309B">
        <w:trPr>
          <w:trHeight w:val="5082"/>
        </w:trPr>
        <w:tc>
          <w:tcPr>
            <w:tcW w:w="466" w:type="dxa"/>
            <w:tcBorders>
              <w:top w:val="single" w:sz="4" w:space="0" w:color="000000"/>
              <w:left w:val="single" w:sz="4" w:space="0" w:color="000000"/>
              <w:bottom w:val="single" w:sz="4" w:space="0" w:color="000000"/>
              <w:right w:val="single" w:sz="4" w:space="0" w:color="000000"/>
            </w:tcBorders>
          </w:tcPr>
          <w:p w:rsidR="00E8309B" w:rsidRDefault="00E8309B">
            <w:pPr>
              <w:spacing w:after="160" w:line="259" w:lineRule="auto"/>
              <w:ind w:left="0" w:right="0" w:firstLine="0"/>
              <w:jc w:val="left"/>
            </w:pPr>
          </w:p>
        </w:tc>
        <w:tc>
          <w:tcPr>
            <w:tcW w:w="3310" w:type="dxa"/>
            <w:tcBorders>
              <w:top w:val="single" w:sz="4" w:space="0" w:color="000000"/>
              <w:left w:val="single" w:sz="4" w:space="0" w:color="000000"/>
              <w:bottom w:val="single" w:sz="4" w:space="0" w:color="000000"/>
              <w:right w:val="single" w:sz="4" w:space="0" w:color="000000"/>
            </w:tcBorders>
          </w:tcPr>
          <w:p w:rsidR="00E8309B" w:rsidRDefault="00E8309B">
            <w:pPr>
              <w:spacing w:after="160" w:line="259" w:lineRule="auto"/>
              <w:ind w:left="0" w:right="0" w:firstLine="0"/>
              <w:jc w:val="left"/>
            </w:pPr>
          </w:p>
        </w:tc>
        <w:tc>
          <w:tcPr>
            <w:tcW w:w="1800" w:type="dxa"/>
            <w:tcBorders>
              <w:top w:val="single" w:sz="4" w:space="0" w:color="000000"/>
              <w:left w:val="single" w:sz="4" w:space="0" w:color="000000"/>
              <w:bottom w:val="single" w:sz="4" w:space="0" w:color="000000"/>
              <w:right w:val="single" w:sz="4" w:space="0" w:color="000000"/>
            </w:tcBorders>
          </w:tcPr>
          <w:p w:rsidR="00E8309B" w:rsidRDefault="00E8309B">
            <w:pPr>
              <w:spacing w:after="160" w:line="259" w:lineRule="auto"/>
              <w:ind w:left="0" w:right="0" w:firstLine="0"/>
              <w:jc w:val="left"/>
            </w:pPr>
          </w:p>
        </w:tc>
        <w:tc>
          <w:tcPr>
            <w:tcW w:w="4628" w:type="dxa"/>
            <w:tcBorders>
              <w:top w:val="single" w:sz="4" w:space="0" w:color="000000"/>
              <w:left w:val="single" w:sz="4" w:space="0" w:color="000000"/>
              <w:bottom w:val="single" w:sz="4" w:space="0" w:color="000000"/>
              <w:right w:val="single" w:sz="4" w:space="0" w:color="000000"/>
            </w:tcBorders>
          </w:tcPr>
          <w:p w:rsidR="00E8309B" w:rsidRDefault="009D0949">
            <w:pPr>
              <w:spacing w:after="106" w:line="254" w:lineRule="auto"/>
              <w:ind w:left="0" w:right="78" w:firstLine="0"/>
              <w:jc w:val="left"/>
            </w:pPr>
            <w:r>
              <w:rPr>
                <w:sz w:val="20"/>
              </w:rPr>
              <w:t>три пилот општине (Зрењанин, Пирот и Чачак); започета израда идејног пројекта за израду регистра података за масовну процену.  У циљу развоја прототипа система масовне процене непокретности, анализа структуре података катастра непокретности и локалних поре</w:t>
            </w:r>
            <w:r>
              <w:rPr>
                <w:sz w:val="20"/>
              </w:rPr>
              <w:t>ских адмнинистрација реализована је 25%. У сарадњи са међународним експертом, у току је израда 1. верзије модела за тржиште станова на територији пилот општина и компаративних општина (реализовано око 60%). Унапређене су функционалности код уноса и контрол</w:t>
            </w:r>
            <w:r>
              <w:rPr>
                <w:sz w:val="20"/>
              </w:rPr>
              <w:t xml:space="preserve">е података у Регистар цена непокретности (РЦН) и обезбеђена је дневна ажурност уноса у овај регистар на целој територији РС.  </w:t>
            </w:r>
          </w:p>
          <w:p w:rsidR="00E8309B" w:rsidRDefault="009D0949">
            <w:pPr>
              <w:spacing w:after="0" w:line="259" w:lineRule="auto"/>
              <w:ind w:left="0" w:right="0" w:firstLine="0"/>
              <w:jc w:val="left"/>
            </w:pPr>
            <w:r>
              <w:rPr>
                <w:sz w:val="20"/>
              </w:rPr>
              <w:t>И даље остају присутни изазови у комуникацији са свим релевантним учесницима у изградњи система масовне процене вредности непокре</w:t>
            </w:r>
            <w:r>
              <w:rPr>
                <w:sz w:val="20"/>
              </w:rPr>
              <w:t xml:space="preserve">тности, због њене комплексности и великог броја учесника, као и у обезбеђивању неопходних и ажурних података из различитих извора. </w:t>
            </w:r>
          </w:p>
        </w:tc>
        <w:tc>
          <w:tcPr>
            <w:tcW w:w="1609" w:type="dxa"/>
            <w:tcBorders>
              <w:top w:val="single" w:sz="4" w:space="0" w:color="000000"/>
              <w:left w:val="single" w:sz="4" w:space="0" w:color="000000"/>
              <w:bottom w:val="single" w:sz="4" w:space="0" w:color="000000"/>
              <w:right w:val="single" w:sz="4" w:space="0" w:color="000000"/>
            </w:tcBorders>
          </w:tcPr>
          <w:p w:rsidR="00E8309B" w:rsidRDefault="00E8309B">
            <w:pPr>
              <w:spacing w:after="160" w:line="259" w:lineRule="auto"/>
              <w:ind w:left="0" w:right="0" w:firstLine="0"/>
              <w:jc w:val="left"/>
            </w:pPr>
          </w:p>
        </w:tc>
        <w:tc>
          <w:tcPr>
            <w:tcW w:w="2410" w:type="dxa"/>
            <w:tcBorders>
              <w:top w:val="single" w:sz="4" w:space="0" w:color="000000"/>
              <w:left w:val="single" w:sz="4" w:space="0" w:color="000000"/>
              <w:bottom w:val="single" w:sz="4" w:space="0" w:color="000000"/>
              <w:right w:val="single" w:sz="4" w:space="0" w:color="000000"/>
            </w:tcBorders>
          </w:tcPr>
          <w:p w:rsidR="00E8309B" w:rsidRDefault="00E8309B">
            <w:pPr>
              <w:spacing w:after="160" w:line="259" w:lineRule="auto"/>
              <w:ind w:left="0" w:right="0" w:firstLine="0"/>
              <w:jc w:val="left"/>
            </w:pPr>
          </w:p>
        </w:tc>
      </w:tr>
      <w:tr w:rsidR="00E8309B">
        <w:trPr>
          <w:trHeight w:val="4270"/>
        </w:trPr>
        <w:tc>
          <w:tcPr>
            <w:tcW w:w="466"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0" w:firstLine="0"/>
              <w:jc w:val="left"/>
            </w:pPr>
            <w:r>
              <w:rPr>
                <w:sz w:val="20"/>
              </w:rPr>
              <w:t xml:space="preserve">4. </w:t>
            </w:r>
          </w:p>
        </w:tc>
        <w:tc>
          <w:tcPr>
            <w:tcW w:w="3310"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0" w:firstLine="0"/>
            </w:pPr>
            <w:r>
              <w:rPr>
                <w:sz w:val="20"/>
              </w:rPr>
              <w:t xml:space="preserve">Ажурирање података Адресног регистра на територији РС </w:t>
            </w:r>
          </w:p>
        </w:tc>
        <w:tc>
          <w:tcPr>
            <w:tcW w:w="1800"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0" w:firstLine="0"/>
              <w:jc w:val="left"/>
            </w:pPr>
            <w:r>
              <w:rPr>
                <w:sz w:val="20"/>
              </w:rPr>
              <w:t xml:space="preserve">напредак у спровођењу </w:t>
            </w:r>
          </w:p>
        </w:tc>
        <w:tc>
          <w:tcPr>
            <w:tcW w:w="4628"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48" w:lineRule="auto"/>
              <w:ind w:left="0" w:right="0" w:firstLine="0"/>
              <w:jc w:val="left"/>
            </w:pPr>
            <w:r>
              <w:rPr>
                <w:sz w:val="20"/>
              </w:rPr>
              <w:t>У наставку реализације пројекта „Унапређење адресног регистра у Републици Србији”, чији је циљ да сваки објекат добије назив улице и кућни број, тј. да се званична база података адресног регистра у потпуности ажурира, за 93 јединице локалне самоуправе (58%</w:t>
            </w:r>
            <w:r>
              <w:rPr>
                <w:sz w:val="20"/>
              </w:rPr>
              <w:t>) ажуриран је адресни регистар (укупно је 334.897 новоутврђених и ажурираних кућних бројева). До краја 2020. године нису ажурирани подаци адресног регистра у свих 161 ЈЛС, како је то било планирано ERP-ом 20202022. Основни разлог је кашњење у доношењу одлу</w:t>
            </w:r>
            <w:r>
              <w:rPr>
                <w:sz w:val="20"/>
              </w:rPr>
              <w:t>ка о именовању улица од стране ЈЛС на основу елабората уличних система који су достављени од стране Републичког геодетског завода. Такође, избијање пандемије вируса Ковид-</w:t>
            </w:r>
          </w:p>
          <w:p w:rsidR="00E8309B" w:rsidRDefault="009D0949">
            <w:pPr>
              <w:spacing w:after="0" w:line="259" w:lineRule="auto"/>
              <w:ind w:left="0" w:right="33" w:firstLine="0"/>
              <w:jc w:val="left"/>
            </w:pPr>
            <w:r>
              <w:rPr>
                <w:sz w:val="20"/>
              </w:rPr>
              <w:t xml:space="preserve">19 је отежало комуникацију са представницима ЈЛС и значајно успорило активности на ажурирању адресног регистра. </w:t>
            </w:r>
          </w:p>
        </w:tc>
        <w:tc>
          <w:tcPr>
            <w:tcW w:w="1609"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0" w:firstLine="0"/>
              <w:jc w:val="left"/>
            </w:pPr>
            <w:r>
              <w:rPr>
                <w:sz w:val="20"/>
              </w:rPr>
              <w:t xml:space="preserve">  </w:t>
            </w:r>
          </w:p>
        </w:tc>
        <w:tc>
          <w:tcPr>
            <w:tcW w:w="2410"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0" w:firstLine="0"/>
              <w:jc w:val="left"/>
            </w:pPr>
            <w:r>
              <w:rPr>
                <w:sz w:val="20"/>
              </w:rPr>
              <w:t xml:space="preserve">  </w:t>
            </w:r>
          </w:p>
        </w:tc>
      </w:tr>
    </w:tbl>
    <w:p w:rsidR="00E8309B" w:rsidRDefault="00E8309B">
      <w:pPr>
        <w:spacing w:after="0" w:line="259" w:lineRule="auto"/>
        <w:ind w:left="-1138" w:right="10666" w:firstLine="0"/>
        <w:jc w:val="left"/>
      </w:pPr>
    </w:p>
    <w:tbl>
      <w:tblPr>
        <w:tblStyle w:val="TableGrid"/>
        <w:tblW w:w="14220" w:type="dxa"/>
        <w:tblInd w:w="6" w:type="dxa"/>
        <w:tblCellMar>
          <w:top w:w="10" w:type="dxa"/>
          <w:left w:w="107" w:type="dxa"/>
          <w:bottom w:w="0" w:type="dxa"/>
          <w:right w:w="72" w:type="dxa"/>
        </w:tblCellMar>
        <w:tblLook w:val="04A0" w:firstRow="1" w:lastRow="0" w:firstColumn="1" w:lastColumn="0" w:noHBand="0" w:noVBand="1"/>
      </w:tblPr>
      <w:tblGrid>
        <w:gridCol w:w="465"/>
        <w:gridCol w:w="3311"/>
        <w:gridCol w:w="1798"/>
        <w:gridCol w:w="4629"/>
        <w:gridCol w:w="1609"/>
        <w:gridCol w:w="2409"/>
      </w:tblGrid>
      <w:tr w:rsidR="00E8309B">
        <w:trPr>
          <w:trHeight w:val="3257"/>
        </w:trPr>
        <w:tc>
          <w:tcPr>
            <w:tcW w:w="465" w:type="dxa"/>
            <w:tcBorders>
              <w:top w:val="single" w:sz="4" w:space="0" w:color="000000"/>
              <w:left w:val="single" w:sz="4" w:space="0" w:color="000000"/>
              <w:bottom w:val="single" w:sz="4" w:space="0" w:color="000000"/>
              <w:right w:val="single" w:sz="4" w:space="0" w:color="000000"/>
            </w:tcBorders>
          </w:tcPr>
          <w:p w:rsidR="00E8309B" w:rsidRDefault="009D0949">
            <w:pPr>
              <w:spacing w:after="2826" w:line="259" w:lineRule="auto"/>
              <w:ind w:left="0" w:right="0" w:firstLine="0"/>
              <w:jc w:val="left"/>
            </w:pPr>
            <w:r>
              <w:rPr>
                <w:sz w:val="20"/>
              </w:rPr>
              <w:t xml:space="preserve">5. </w:t>
            </w:r>
          </w:p>
          <w:p w:rsidR="00E8309B" w:rsidRDefault="009D0949">
            <w:pPr>
              <w:spacing w:after="0" w:line="259" w:lineRule="auto"/>
              <w:ind w:left="0" w:right="0" w:firstLine="0"/>
              <w:jc w:val="left"/>
            </w:pPr>
            <w:r>
              <w:rPr>
                <w:sz w:val="20"/>
              </w:rPr>
              <w:t xml:space="preserve"> </w:t>
            </w:r>
          </w:p>
        </w:tc>
        <w:tc>
          <w:tcPr>
            <w:tcW w:w="3311"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1" w:right="0" w:firstLine="0"/>
              <w:jc w:val="left"/>
            </w:pPr>
            <w:r>
              <w:rPr>
                <w:sz w:val="20"/>
              </w:rPr>
              <w:t xml:space="preserve">Успостављање интероперабилности података Адресног регистра са подацима државних органа, организација и јединица локалне самоуправе </w:t>
            </w:r>
          </w:p>
        </w:tc>
        <w:tc>
          <w:tcPr>
            <w:tcW w:w="1798"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0" w:firstLine="0"/>
              <w:jc w:val="left"/>
            </w:pPr>
            <w:r>
              <w:rPr>
                <w:sz w:val="20"/>
              </w:rPr>
              <w:t xml:space="preserve">напредак у спровођењу </w:t>
            </w:r>
          </w:p>
        </w:tc>
        <w:tc>
          <w:tcPr>
            <w:tcW w:w="4629"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40" w:lineRule="auto"/>
              <w:ind w:left="2" w:right="0" w:firstLine="0"/>
              <w:jc w:val="left"/>
            </w:pPr>
            <w:r>
              <w:rPr>
                <w:sz w:val="20"/>
              </w:rPr>
              <w:t xml:space="preserve">Успостављањем централне базе адресног регистра и web сервисима омогућено је коришћење ажурних </w:t>
            </w:r>
          </w:p>
          <w:p w:rsidR="00E8309B" w:rsidRDefault="009D0949">
            <w:pPr>
              <w:spacing w:after="768" w:line="245" w:lineRule="auto"/>
              <w:ind w:left="2" w:right="0" w:firstLine="0"/>
              <w:jc w:val="left"/>
            </w:pPr>
            <w:r>
              <w:rPr>
                <w:sz w:val="20"/>
              </w:rPr>
              <w:t>подата</w:t>
            </w:r>
            <w:r>
              <w:rPr>
                <w:sz w:val="20"/>
              </w:rPr>
              <w:t>ка адресног регистра. До сада су три регистра (регистар пребивалишта, регистар купопродајних уговора, регистар стамбених заједница) повезани и користе податке централног адресног регистра. Такође, и два државна органа (МУП и Министарство правде), затим АПР</w:t>
            </w:r>
            <w:r>
              <w:rPr>
                <w:sz w:val="20"/>
              </w:rPr>
              <w:t xml:space="preserve">, као и 169 јединица локалне самоуправе користе податке централног адресног регистра. </w:t>
            </w:r>
          </w:p>
          <w:p w:rsidR="00E8309B" w:rsidRDefault="009D0949">
            <w:pPr>
              <w:spacing w:after="0" w:line="259" w:lineRule="auto"/>
              <w:ind w:left="2" w:right="0" w:firstLine="0"/>
              <w:jc w:val="left"/>
            </w:pPr>
            <w:r>
              <w:rPr>
                <w:sz w:val="20"/>
              </w:rPr>
              <w:t xml:space="preserve"> </w:t>
            </w:r>
          </w:p>
        </w:tc>
        <w:tc>
          <w:tcPr>
            <w:tcW w:w="1609"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1" w:right="0" w:firstLine="0"/>
              <w:jc w:val="left"/>
            </w:pPr>
            <w:r>
              <w:rPr>
                <w:sz w:val="20"/>
              </w:rPr>
              <w:t xml:space="preserve">  </w:t>
            </w:r>
          </w:p>
        </w:tc>
        <w:tc>
          <w:tcPr>
            <w:tcW w:w="2409"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1" w:right="0" w:firstLine="0"/>
              <w:jc w:val="left"/>
            </w:pPr>
            <w:r>
              <w:rPr>
                <w:sz w:val="20"/>
              </w:rPr>
              <w:t xml:space="preserve">  </w:t>
            </w:r>
          </w:p>
        </w:tc>
      </w:tr>
      <w:tr w:rsidR="00E8309B">
        <w:trPr>
          <w:trHeight w:val="706"/>
        </w:trPr>
        <w:tc>
          <w:tcPr>
            <w:tcW w:w="3776" w:type="dxa"/>
            <w:gridSpan w:val="2"/>
            <w:tcBorders>
              <w:top w:val="single" w:sz="4" w:space="0" w:color="000000"/>
              <w:left w:val="nil"/>
              <w:bottom w:val="single" w:sz="4" w:space="0" w:color="000000"/>
              <w:right w:val="single" w:sz="4" w:space="0" w:color="000000"/>
            </w:tcBorders>
          </w:tcPr>
          <w:p w:rsidR="00E8309B" w:rsidRDefault="00E8309B">
            <w:pPr>
              <w:spacing w:after="160" w:line="259" w:lineRule="auto"/>
              <w:ind w:left="0" w:right="0" w:firstLine="0"/>
              <w:jc w:val="left"/>
            </w:pPr>
          </w:p>
        </w:tc>
        <w:tc>
          <w:tcPr>
            <w:tcW w:w="1798" w:type="dxa"/>
            <w:tcBorders>
              <w:top w:val="single" w:sz="4" w:space="0" w:color="000000"/>
              <w:left w:val="single" w:sz="4" w:space="0" w:color="000000"/>
              <w:bottom w:val="single" w:sz="4" w:space="0" w:color="000000"/>
              <w:right w:val="single" w:sz="4" w:space="0" w:color="000000"/>
            </w:tcBorders>
            <w:shd w:val="clear" w:color="auto" w:fill="BDD6EE"/>
          </w:tcPr>
          <w:p w:rsidR="00E8309B" w:rsidRDefault="009D0949">
            <w:pPr>
              <w:spacing w:after="0" w:line="259" w:lineRule="auto"/>
              <w:ind w:left="0" w:right="37" w:firstLine="0"/>
              <w:jc w:val="center"/>
            </w:pPr>
            <w:r>
              <w:rPr>
                <w:b/>
                <w:sz w:val="20"/>
              </w:rPr>
              <w:t xml:space="preserve">76% </w:t>
            </w:r>
          </w:p>
        </w:tc>
        <w:tc>
          <w:tcPr>
            <w:tcW w:w="8646" w:type="dxa"/>
            <w:gridSpan w:val="3"/>
            <w:tcBorders>
              <w:top w:val="single" w:sz="4" w:space="0" w:color="000000"/>
              <w:left w:val="single" w:sz="4" w:space="0" w:color="000000"/>
              <w:bottom w:val="single" w:sz="4" w:space="0" w:color="000000"/>
              <w:right w:val="nil"/>
            </w:tcBorders>
          </w:tcPr>
          <w:p w:rsidR="00E8309B" w:rsidRDefault="00E8309B">
            <w:pPr>
              <w:spacing w:after="160" w:line="259" w:lineRule="auto"/>
              <w:ind w:left="0" w:right="0" w:firstLine="0"/>
              <w:jc w:val="left"/>
            </w:pPr>
          </w:p>
        </w:tc>
      </w:tr>
      <w:tr w:rsidR="00E8309B">
        <w:trPr>
          <w:trHeight w:val="606"/>
        </w:trPr>
        <w:tc>
          <w:tcPr>
            <w:tcW w:w="14220" w:type="dxa"/>
            <w:gridSpan w:val="6"/>
            <w:tcBorders>
              <w:top w:val="single" w:sz="4" w:space="0" w:color="000000"/>
              <w:left w:val="single" w:sz="4" w:space="0" w:color="000000"/>
              <w:bottom w:val="single" w:sz="4" w:space="0" w:color="000000"/>
              <w:right w:val="single" w:sz="4" w:space="0" w:color="000000"/>
            </w:tcBorders>
            <w:shd w:val="clear" w:color="auto" w:fill="D0CECE"/>
          </w:tcPr>
          <w:p w:rsidR="00E8309B" w:rsidRDefault="009D0949">
            <w:pPr>
              <w:spacing w:after="0" w:line="259" w:lineRule="auto"/>
              <w:ind w:left="0" w:right="0" w:firstLine="0"/>
              <w:jc w:val="left"/>
            </w:pPr>
            <w:r>
              <w:rPr>
                <w:b/>
              </w:rPr>
              <w:t xml:space="preserve">СР 10. Успостављање одрживог система финансирања заштите животне средине </w:t>
            </w:r>
          </w:p>
        </w:tc>
      </w:tr>
      <w:tr w:rsidR="00E8309B">
        <w:trPr>
          <w:trHeight w:val="4122"/>
        </w:trPr>
        <w:tc>
          <w:tcPr>
            <w:tcW w:w="465" w:type="dxa"/>
            <w:tcBorders>
              <w:top w:val="single" w:sz="4" w:space="0" w:color="000000"/>
              <w:left w:val="single" w:sz="4" w:space="0" w:color="000000"/>
              <w:bottom w:val="single" w:sz="4" w:space="0" w:color="000000"/>
              <w:right w:val="single" w:sz="4" w:space="0" w:color="000000"/>
            </w:tcBorders>
          </w:tcPr>
          <w:p w:rsidR="00E8309B" w:rsidRDefault="009D0949">
            <w:pPr>
              <w:spacing w:after="3688" w:line="259" w:lineRule="auto"/>
              <w:ind w:left="0" w:right="0" w:firstLine="0"/>
              <w:jc w:val="left"/>
            </w:pPr>
            <w:r>
              <w:rPr>
                <w:sz w:val="20"/>
              </w:rPr>
              <w:t xml:space="preserve">1. </w:t>
            </w:r>
          </w:p>
          <w:p w:rsidR="00E8309B" w:rsidRDefault="009D0949">
            <w:pPr>
              <w:spacing w:after="0" w:line="259" w:lineRule="auto"/>
              <w:ind w:left="0" w:right="0" w:firstLine="0"/>
              <w:jc w:val="left"/>
            </w:pPr>
            <w:r>
              <w:rPr>
                <w:sz w:val="20"/>
              </w:rPr>
              <w:t xml:space="preserve"> </w:t>
            </w:r>
          </w:p>
        </w:tc>
        <w:tc>
          <w:tcPr>
            <w:tcW w:w="3311"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1" w:right="0" w:firstLine="0"/>
              <w:jc w:val="left"/>
            </w:pPr>
            <w:r>
              <w:rPr>
                <w:sz w:val="20"/>
              </w:rPr>
              <w:t xml:space="preserve">Идентификовање и утврђивање мера и активности за успостављање одрживог система финансирања програма и пројеката у области заштите животне средине </w:t>
            </w:r>
          </w:p>
        </w:tc>
        <w:tc>
          <w:tcPr>
            <w:tcW w:w="1798"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0" w:firstLine="0"/>
              <w:jc w:val="left"/>
            </w:pPr>
            <w:r>
              <w:rPr>
                <w:sz w:val="20"/>
              </w:rPr>
              <w:t xml:space="preserve">започето спровођење </w:t>
            </w:r>
          </w:p>
        </w:tc>
        <w:tc>
          <w:tcPr>
            <w:tcW w:w="4629" w:type="dxa"/>
            <w:tcBorders>
              <w:top w:val="single" w:sz="4" w:space="0" w:color="000000"/>
              <w:left w:val="single" w:sz="4" w:space="0" w:color="000000"/>
              <w:bottom w:val="single" w:sz="4" w:space="0" w:color="000000"/>
              <w:right w:val="single" w:sz="4" w:space="0" w:color="000000"/>
            </w:tcBorders>
          </w:tcPr>
          <w:p w:rsidR="00E8309B" w:rsidRDefault="009D0949">
            <w:pPr>
              <w:spacing w:after="710" w:line="245" w:lineRule="auto"/>
              <w:ind w:left="2" w:right="34" w:firstLine="0"/>
              <w:jc w:val="left"/>
            </w:pPr>
            <w:r>
              <w:rPr>
                <w:sz w:val="20"/>
              </w:rPr>
              <w:t>Активности планиране за 2020. годину су започете кроз припрему предлога пројекта: "Подрш</w:t>
            </w:r>
            <w:r>
              <w:rPr>
                <w:sz w:val="20"/>
              </w:rPr>
              <w:t xml:space="preserve">ка успостављању одрживог система финансирања заштите животне средине кроз унапређење функционалности Зеленог фонда. Међутим, због мобилизације средстава за борбу против ширења заразне болести Ковид-19, средства су преусмерена за друге намене и дошло је до </w:t>
            </w:r>
            <w:r>
              <w:rPr>
                <w:sz w:val="20"/>
              </w:rPr>
              <w:t>одлагања планираних активности;  Настављено је  учешће у раду  Радне групе за успостављање механизама за неометано спровођењe програма/пројеката из области заштите животне средине и енергетске ефикасности успостављене Решењем министра финансија од 30.10.20</w:t>
            </w:r>
            <w:r>
              <w:rPr>
                <w:sz w:val="20"/>
              </w:rPr>
              <w:t xml:space="preserve">18; </w:t>
            </w:r>
          </w:p>
          <w:p w:rsidR="00E8309B" w:rsidRDefault="009D0949">
            <w:pPr>
              <w:spacing w:after="0" w:line="259" w:lineRule="auto"/>
              <w:ind w:left="2" w:right="0" w:firstLine="0"/>
              <w:jc w:val="left"/>
            </w:pPr>
            <w:r>
              <w:rPr>
                <w:sz w:val="20"/>
              </w:rPr>
              <w:t xml:space="preserve"> </w:t>
            </w:r>
          </w:p>
        </w:tc>
        <w:tc>
          <w:tcPr>
            <w:tcW w:w="1609"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1" w:right="0" w:firstLine="0"/>
              <w:jc w:val="left"/>
            </w:pPr>
            <w:r>
              <w:rPr>
                <w:sz w:val="20"/>
              </w:rPr>
              <w:t xml:space="preserve">  </w:t>
            </w:r>
          </w:p>
        </w:tc>
        <w:tc>
          <w:tcPr>
            <w:tcW w:w="2409"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1" w:right="0" w:firstLine="0"/>
              <w:jc w:val="left"/>
            </w:pPr>
            <w:r>
              <w:rPr>
                <w:sz w:val="20"/>
              </w:rPr>
              <w:t xml:space="preserve">  </w:t>
            </w:r>
          </w:p>
        </w:tc>
      </w:tr>
      <w:tr w:rsidR="00E8309B">
        <w:trPr>
          <w:trHeight w:val="564"/>
        </w:trPr>
        <w:tc>
          <w:tcPr>
            <w:tcW w:w="3776" w:type="dxa"/>
            <w:gridSpan w:val="2"/>
            <w:tcBorders>
              <w:top w:val="single" w:sz="4" w:space="0" w:color="000000"/>
              <w:left w:val="nil"/>
              <w:bottom w:val="single" w:sz="4" w:space="0" w:color="000000"/>
              <w:right w:val="single" w:sz="4" w:space="0" w:color="000000"/>
            </w:tcBorders>
          </w:tcPr>
          <w:p w:rsidR="00E8309B" w:rsidRDefault="00E8309B">
            <w:pPr>
              <w:spacing w:after="160" w:line="259" w:lineRule="auto"/>
              <w:ind w:left="0" w:right="0" w:firstLine="0"/>
              <w:jc w:val="left"/>
            </w:pPr>
          </w:p>
        </w:tc>
        <w:tc>
          <w:tcPr>
            <w:tcW w:w="1798" w:type="dxa"/>
            <w:tcBorders>
              <w:top w:val="single" w:sz="4" w:space="0" w:color="000000"/>
              <w:left w:val="single" w:sz="4" w:space="0" w:color="000000"/>
              <w:bottom w:val="single" w:sz="4" w:space="0" w:color="000000"/>
              <w:right w:val="single" w:sz="4" w:space="0" w:color="000000"/>
            </w:tcBorders>
            <w:shd w:val="clear" w:color="auto" w:fill="BDD6EE"/>
          </w:tcPr>
          <w:p w:rsidR="00E8309B" w:rsidRDefault="009D0949">
            <w:pPr>
              <w:spacing w:after="0" w:line="259" w:lineRule="auto"/>
              <w:ind w:left="0" w:right="37" w:firstLine="0"/>
              <w:jc w:val="center"/>
            </w:pPr>
            <w:r>
              <w:rPr>
                <w:b/>
                <w:sz w:val="20"/>
              </w:rPr>
              <w:t xml:space="preserve">40% </w:t>
            </w:r>
          </w:p>
        </w:tc>
        <w:tc>
          <w:tcPr>
            <w:tcW w:w="8646" w:type="dxa"/>
            <w:gridSpan w:val="3"/>
            <w:tcBorders>
              <w:top w:val="single" w:sz="4" w:space="0" w:color="000000"/>
              <w:left w:val="single" w:sz="4" w:space="0" w:color="000000"/>
              <w:bottom w:val="single" w:sz="4" w:space="0" w:color="000000"/>
              <w:right w:val="nil"/>
            </w:tcBorders>
          </w:tcPr>
          <w:p w:rsidR="00E8309B" w:rsidRDefault="00E8309B">
            <w:pPr>
              <w:spacing w:after="160" w:line="259" w:lineRule="auto"/>
              <w:ind w:left="0" w:right="0" w:firstLine="0"/>
              <w:jc w:val="left"/>
            </w:pPr>
          </w:p>
        </w:tc>
      </w:tr>
    </w:tbl>
    <w:p w:rsidR="00E8309B" w:rsidRDefault="00E8309B">
      <w:pPr>
        <w:spacing w:after="0" w:line="259" w:lineRule="auto"/>
        <w:ind w:left="-1138" w:right="10666" w:firstLine="0"/>
        <w:jc w:val="left"/>
      </w:pPr>
    </w:p>
    <w:tbl>
      <w:tblPr>
        <w:tblStyle w:val="TableGrid"/>
        <w:tblW w:w="14220" w:type="dxa"/>
        <w:tblInd w:w="6" w:type="dxa"/>
        <w:tblCellMar>
          <w:top w:w="10" w:type="dxa"/>
          <w:left w:w="107" w:type="dxa"/>
          <w:bottom w:w="0" w:type="dxa"/>
          <w:right w:w="87" w:type="dxa"/>
        </w:tblCellMar>
        <w:tblLook w:val="04A0" w:firstRow="1" w:lastRow="0" w:firstColumn="1" w:lastColumn="0" w:noHBand="0" w:noVBand="1"/>
      </w:tblPr>
      <w:tblGrid>
        <w:gridCol w:w="465"/>
        <w:gridCol w:w="3311"/>
        <w:gridCol w:w="1798"/>
        <w:gridCol w:w="4629"/>
        <w:gridCol w:w="1609"/>
        <w:gridCol w:w="2409"/>
      </w:tblGrid>
      <w:tr w:rsidR="00E8309B">
        <w:trPr>
          <w:trHeight w:val="403"/>
        </w:trPr>
        <w:tc>
          <w:tcPr>
            <w:tcW w:w="14220" w:type="dxa"/>
            <w:gridSpan w:val="6"/>
            <w:tcBorders>
              <w:top w:val="single" w:sz="4" w:space="0" w:color="000000"/>
              <w:left w:val="single" w:sz="4" w:space="0" w:color="000000"/>
              <w:bottom w:val="single" w:sz="4" w:space="0" w:color="000000"/>
              <w:right w:val="single" w:sz="4" w:space="0" w:color="000000"/>
            </w:tcBorders>
            <w:shd w:val="clear" w:color="auto" w:fill="D0CECE"/>
          </w:tcPr>
          <w:p w:rsidR="00E8309B" w:rsidRDefault="009D0949">
            <w:pPr>
              <w:spacing w:after="0" w:line="259" w:lineRule="auto"/>
              <w:ind w:left="0" w:right="0" w:firstLine="0"/>
              <w:jc w:val="left"/>
            </w:pPr>
            <w:r>
              <w:rPr>
                <w:b/>
              </w:rPr>
              <w:t xml:space="preserve">СР 11. Увођење концепта циркуларне економије кроз дефинисање стратешког оквира </w:t>
            </w:r>
          </w:p>
        </w:tc>
      </w:tr>
      <w:tr w:rsidR="00E8309B">
        <w:trPr>
          <w:trHeight w:val="5883"/>
        </w:trPr>
        <w:tc>
          <w:tcPr>
            <w:tcW w:w="465" w:type="dxa"/>
            <w:tcBorders>
              <w:top w:val="single" w:sz="4" w:space="0" w:color="000000"/>
              <w:left w:val="single" w:sz="4" w:space="0" w:color="000000"/>
              <w:bottom w:val="single" w:sz="4" w:space="0" w:color="000000"/>
              <w:right w:val="single" w:sz="4" w:space="0" w:color="000000"/>
            </w:tcBorders>
          </w:tcPr>
          <w:p w:rsidR="00E8309B" w:rsidRDefault="009D0949">
            <w:pPr>
              <w:spacing w:after="5449" w:line="259" w:lineRule="auto"/>
              <w:ind w:left="0" w:right="0" w:firstLine="0"/>
              <w:jc w:val="left"/>
            </w:pPr>
            <w:r>
              <w:rPr>
                <w:sz w:val="20"/>
              </w:rPr>
              <w:t xml:space="preserve">1. </w:t>
            </w:r>
          </w:p>
          <w:p w:rsidR="00E8309B" w:rsidRDefault="009D0949">
            <w:pPr>
              <w:spacing w:after="0" w:line="259" w:lineRule="auto"/>
              <w:ind w:left="0" w:right="0" w:firstLine="0"/>
              <w:jc w:val="left"/>
            </w:pPr>
            <w:r>
              <w:rPr>
                <w:sz w:val="20"/>
              </w:rPr>
              <w:t xml:space="preserve"> </w:t>
            </w:r>
          </w:p>
        </w:tc>
        <w:tc>
          <w:tcPr>
            <w:tcW w:w="3311"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1" w:right="25" w:firstLine="0"/>
              <w:jc w:val="left"/>
            </w:pPr>
            <w:r>
              <w:rPr>
                <w:sz w:val="20"/>
              </w:rPr>
              <w:t xml:space="preserve">Израда документа јавне политике за циркуларну економију </w:t>
            </w:r>
          </w:p>
        </w:tc>
        <w:tc>
          <w:tcPr>
            <w:tcW w:w="1798"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0" w:firstLine="0"/>
              <w:jc w:val="left"/>
            </w:pPr>
            <w:r>
              <w:rPr>
                <w:sz w:val="20"/>
              </w:rPr>
              <w:t xml:space="preserve">започето спровођење </w:t>
            </w:r>
          </w:p>
        </w:tc>
        <w:tc>
          <w:tcPr>
            <w:tcW w:w="4629"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7" w:lineRule="auto"/>
              <w:ind w:left="2" w:right="0" w:firstLine="0"/>
              <w:jc w:val="left"/>
            </w:pPr>
            <w:r>
              <w:rPr>
                <w:sz w:val="20"/>
              </w:rPr>
              <w:t xml:space="preserve">Током 2019. године кроз PLAC III пројекат који финансира ЕУ, припремљена је </w:t>
            </w:r>
            <w:r>
              <w:rPr>
                <w:i/>
                <w:sz w:val="20"/>
              </w:rPr>
              <w:t>Ex-ante</w:t>
            </w:r>
            <w:r>
              <w:rPr>
                <w:sz w:val="20"/>
              </w:rPr>
              <w:t xml:space="preserve"> анализа ефеката за циркуларну економију, у складу са </w:t>
            </w:r>
          </w:p>
          <w:p w:rsidR="00E8309B" w:rsidRDefault="009D0949">
            <w:pPr>
              <w:spacing w:after="0" w:line="242" w:lineRule="auto"/>
              <w:ind w:left="2" w:right="17" w:firstLine="0"/>
              <w:jc w:val="left"/>
            </w:pPr>
            <w:r>
              <w:rPr>
                <w:sz w:val="20"/>
              </w:rPr>
              <w:t xml:space="preserve">Законом о планском систему Републике Србије. Почетком 2020. године спроведене су јавне консултације на поменути документ. Овај документ је припремни документ у процесу дефинисања документа јавне политике а то је Програм за циркуларну економију са акционим </w:t>
            </w:r>
            <w:r>
              <w:rPr>
                <w:sz w:val="20"/>
              </w:rPr>
              <w:t>планом за три године.  Према Плану јавних набавки Министарства заштите животне средине за 2020. било је предвиђено да се  спроведе јавна набавка за израду документа јавне политике Програм за циркуларну економију са акционим планом на три године, у првом кв</w:t>
            </w:r>
            <w:r>
              <w:rPr>
                <w:sz w:val="20"/>
              </w:rPr>
              <w:t xml:space="preserve">арталу 2020. године али због специфичне ситуације са пандемијом Ковид-19 вируса  јавна набавка није спроведена. Ова активност је одложена за 2021. годину и у предложеном буџету за 2021. годину су предложена средства за израду овог документа. </w:t>
            </w:r>
          </w:p>
          <w:p w:rsidR="00E8309B" w:rsidRDefault="009D0949">
            <w:pPr>
              <w:spacing w:after="0" w:line="249" w:lineRule="auto"/>
              <w:ind w:left="2" w:right="0" w:firstLine="0"/>
              <w:jc w:val="left"/>
            </w:pPr>
            <w:r>
              <w:rPr>
                <w:sz w:val="20"/>
              </w:rPr>
              <w:t>Програм је ва</w:t>
            </w:r>
            <w:r>
              <w:rPr>
                <w:sz w:val="20"/>
              </w:rPr>
              <w:t xml:space="preserve">жан јер ће дати правац деловања Р. Србије у области циркуларне економије, са конкретним мерама и активностима које треба предузимати у циљу имплементације концепта циркуларне економије. </w:t>
            </w:r>
          </w:p>
          <w:p w:rsidR="00E8309B" w:rsidRDefault="009D0949">
            <w:pPr>
              <w:spacing w:after="0" w:line="259" w:lineRule="auto"/>
              <w:ind w:left="2" w:right="0" w:firstLine="0"/>
              <w:jc w:val="left"/>
            </w:pPr>
            <w:r>
              <w:rPr>
                <w:sz w:val="20"/>
              </w:rPr>
              <w:t xml:space="preserve"> </w:t>
            </w:r>
          </w:p>
        </w:tc>
        <w:tc>
          <w:tcPr>
            <w:tcW w:w="1609"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1" w:right="0" w:firstLine="0"/>
              <w:jc w:val="left"/>
            </w:pPr>
            <w:r>
              <w:rPr>
                <w:sz w:val="20"/>
              </w:rPr>
              <w:t xml:space="preserve">  </w:t>
            </w:r>
          </w:p>
        </w:tc>
        <w:tc>
          <w:tcPr>
            <w:tcW w:w="2409"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1" w:right="0" w:firstLine="0"/>
              <w:jc w:val="left"/>
            </w:pPr>
            <w:r>
              <w:rPr>
                <w:sz w:val="20"/>
              </w:rPr>
              <w:t xml:space="preserve">  </w:t>
            </w:r>
          </w:p>
        </w:tc>
      </w:tr>
      <w:tr w:rsidR="00E8309B">
        <w:trPr>
          <w:trHeight w:val="385"/>
        </w:trPr>
        <w:tc>
          <w:tcPr>
            <w:tcW w:w="3776" w:type="dxa"/>
            <w:gridSpan w:val="2"/>
            <w:tcBorders>
              <w:top w:val="single" w:sz="4" w:space="0" w:color="000000"/>
              <w:left w:val="nil"/>
              <w:bottom w:val="single" w:sz="4" w:space="0" w:color="000000"/>
              <w:right w:val="single" w:sz="4" w:space="0" w:color="000000"/>
            </w:tcBorders>
          </w:tcPr>
          <w:p w:rsidR="00E8309B" w:rsidRDefault="00E8309B">
            <w:pPr>
              <w:spacing w:after="160" w:line="259" w:lineRule="auto"/>
              <w:ind w:left="0" w:right="0" w:firstLine="0"/>
              <w:jc w:val="left"/>
            </w:pPr>
          </w:p>
        </w:tc>
        <w:tc>
          <w:tcPr>
            <w:tcW w:w="1798" w:type="dxa"/>
            <w:tcBorders>
              <w:top w:val="single" w:sz="4" w:space="0" w:color="000000"/>
              <w:left w:val="single" w:sz="4" w:space="0" w:color="000000"/>
              <w:bottom w:val="single" w:sz="4" w:space="0" w:color="000000"/>
              <w:right w:val="single" w:sz="4" w:space="0" w:color="000000"/>
            </w:tcBorders>
            <w:shd w:val="clear" w:color="auto" w:fill="BDD6EE"/>
          </w:tcPr>
          <w:p w:rsidR="00E8309B" w:rsidRDefault="009D0949">
            <w:pPr>
              <w:spacing w:after="0" w:line="259" w:lineRule="auto"/>
              <w:ind w:left="0" w:right="22" w:firstLine="0"/>
              <w:jc w:val="center"/>
            </w:pPr>
            <w:r>
              <w:rPr>
                <w:b/>
                <w:sz w:val="20"/>
              </w:rPr>
              <w:t xml:space="preserve">40% </w:t>
            </w:r>
          </w:p>
        </w:tc>
        <w:tc>
          <w:tcPr>
            <w:tcW w:w="8646" w:type="dxa"/>
            <w:gridSpan w:val="3"/>
            <w:tcBorders>
              <w:top w:val="single" w:sz="4" w:space="0" w:color="000000"/>
              <w:left w:val="single" w:sz="4" w:space="0" w:color="000000"/>
              <w:bottom w:val="single" w:sz="4" w:space="0" w:color="000000"/>
              <w:right w:val="nil"/>
            </w:tcBorders>
          </w:tcPr>
          <w:p w:rsidR="00E8309B" w:rsidRDefault="00E8309B">
            <w:pPr>
              <w:spacing w:after="160" w:line="259" w:lineRule="auto"/>
              <w:ind w:left="0" w:right="0" w:firstLine="0"/>
              <w:jc w:val="left"/>
            </w:pPr>
          </w:p>
        </w:tc>
      </w:tr>
      <w:tr w:rsidR="00E8309B">
        <w:trPr>
          <w:trHeight w:val="404"/>
        </w:trPr>
        <w:tc>
          <w:tcPr>
            <w:tcW w:w="14220" w:type="dxa"/>
            <w:gridSpan w:val="6"/>
            <w:tcBorders>
              <w:top w:val="single" w:sz="4" w:space="0" w:color="000000"/>
              <w:left w:val="single" w:sz="4" w:space="0" w:color="000000"/>
              <w:bottom w:val="single" w:sz="4" w:space="0" w:color="000000"/>
              <w:right w:val="single" w:sz="4" w:space="0" w:color="000000"/>
            </w:tcBorders>
            <w:shd w:val="clear" w:color="auto" w:fill="D0CECE"/>
          </w:tcPr>
          <w:p w:rsidR="00E8309B" w:rsidRDefault="009D0949">
            <w:pPr>
              <w:spacing w:after="0" w:line="259" w:lineRule="auto"/>
              <w:ind w:left="0" w:right="0" w:firstLine="0"/>
              <w:jc w:val="left"/>
            </w:pPr>
            <w:r>
              <w:rPr>
                <w:b/>
              </w:rPr>
              <w:t>СР 12. Подршка одрживом финансирању научноистраживачке делатности</w:t>
            </w:r>
            <w:r>
              <w:rPr>
                <w:b/>
                <w:sz w:val="20"/>
              </w:rPr>
              <w:t xml:space="preserve"> </w:t>
            </w:r>
          </w:p>
        </w:tc>
      </w:tr>
      <w:tr w:rsidR="00E8309B">
        <w:trPr>
          <w:trHeight w:val="592"/>
        </w:trPr>
        <w:tc>
          <w:tcPr>
            <w:tcW w:w="465"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0" w:firstLine="0"/>
              <w:jc w:val="left"/>
            </w:pPr>
            <w:r>
              <w:rPr>
                <w:sz w:val="20"/>
              </w:rPr>
              <w:t xml:space="preserve">  </w:t>
            </w:r>
          </w:p>
        </w:tc>
        <w:tc>
          <w:tcPr>
            <w:tcW w:w="3311"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1" w:right="0" w:firstLine="0"/>
              <w:jc w:val="left"/>
            </w:pPr>
            <w:r>
              <w:rPr>
                <w:b/>
                <w:sz w:val="20"/>
              </w:rPr>
              <w:t xml:space="preserve">МПНТР - институционално финансирање </w:t>
            </w:r>
          </w:p>
        </w:tc>
        <w:tc>
          <w:tcPr>
            <w:tcW w:w="1798"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0" w:firstLine="0"/>
              <w:jc w:val="left"/>
            </w:pPr>
            <w:r>
              <w:rPr>
                <w:sz w:val="20"/>
              </w:rPr>
              <w:t xml:space="preserve">  </w:t>
            </w:r>
          </w:p>
        </w:tc>
        <w:tc>
          <w:tcPr>
            <w:tcW w:w="4629"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2" w:right="0" w:firstLine="0"/>
              <w:jc w:val="left"/>
            </w:pPr>
            <w:r>
              <w:rPr>
                <w:sz w:val="20"/>
              </w:rPr>
              <w:t xml:space="preserve">  </w:t>
            </w:r>
          </w:p>
        </w:tc>
        <w:tc>
          <w:tcPr>
            <w:tcW w:w="1609"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1" w:right="0" w:firstLine="0"/>
              <w:jc w:val="left"/>
            </w:pPr>
            <w:r>
              <w:rPr>
                <w:sz w:val="20"/>
              </w:rPr>
              <w:t xml:space="preserve">  </w:t>
            </w:r>
          </w:p>
        </w:tc>
        <w:tc>
          <w:tcPr>
            <w:tcW w:w="2409"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1" w:right="0" w:firstLine="0"/>
              <w:jc w:val="left"/>
            </w:pPr>
            <w:r>
              <w:rPr>
                <w:sz w:val="20"/>
              </w:rPr>
              <w:t xml:space="preserve">  </w:t>
            </w:r>
          </w:p>
        </w:tc>
      </w:tr>
      <w:tr w:rsidR="00E8309B">
        <w:trPr>
          <w:trHeight w:val="588"/>
        </w:trPr>
        <w:tc>
          <w:tcPr>
            <w:tcW w:w="465"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0" w:firstLine="0"/>
              <w:jc w:val="left"/>
            </w:pPr>
            <w:r>
              <w:rPr>
                <w:sz w:val="20"/>
              </w:rPr>
              <w:t xml:space="preserve">1. </w:t>
            </w:r>
          </w:p>
        </w:tc>
        <w:tc>
          <w:tcPr>
            <w:tcW w:w="3311"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1" w:right="0" w:firstLine="0"/>
              <w:jc w:val="left"/>
            </w:pPr>
            <w:r>
              <w:rPr>
                <w:sz w:val="20"/>
              </w:rPr>
              <w:t xml:space="preserve">Програм институционалног финансирања - делимична примена </w:t>
            </w:r>
          </w:p>
        </w:tc>
        <w:tc>
          <w:tcPr>
            <w:tcW w:w="1798"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0" w:firstLine="0"/>
              <w:jc w:val="left"/>
            </w:pPr>
            <w:r>
              <w:rPr>
                <w:sz w:val="20"/>
              </w:rPr>
              <w:t xml:space="preserve">потпуно спроведене </w:t>
            </w:r>
          </w:p>
        </w:tc>
        <w:tc>
          <w:tcPr>
            <w:tcW w:w="4629"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2" w:right="0" w:firstLine="0"/>
              <w:jc w:val="left"/>
            </w:pPr>
            <w:r>
              <w:rPr>
                <w:sz w:val="20"/>
              </w:rPr>
              <w:t xml:space="preserve">  </w:t>
            </w:r>
          </w:p>
        </w:tc>
        <w:tc>
          <w:tcPr>
            <w:tcW w:w="1609"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1" w:right="0" w:firstLine="0"/>
              <w:jc w:val="left"/>
            </w:pPr>
            <w:r>
              <w:rPr>
                <w:sz w:val="20"/>
              </w:rPr>
              <w:t xml:space="preserve">  </w:t>
            </w:r>
          </w:p>
        </w:tc>
        <w:tc>
          <w:tcPr>
            <w:tcW w:w="2409"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1" w:right="0" w:firstLine="0"/>
              <w:jc w:val="left"/>
            </w:pPr>
            <w:r>
              <w:rPr>
                <w:sz w:val="20"/>
              </w:rPr>
              <w:t xml:space="preserve">  </w:t>
            </w:r>
          </w:p>
        </w:tc>
      </w:tr>
      <w:tr w:rsidR="00E8309B">
        <w:trPr>
          <w:trHeight w:val="1282"/>
        </w:trPr>
        <w:tc>
          <w:tcPr>
            <w:tcW w:w="465"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0" w:firstLine="0"/>
              <w:jc w:val="left"/>
            </w:pPr>
            <w:r>
              <w:rPr>
                <w:sz w:val="20"/>
              </w:rPr>
              <w:t xml:space="preserve">2. </w:t>
            </w:r>
          </w:p>
        </w:tc>
        <w:tc>
          <w:tcPr>
            <w:tcW w:w="3311"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1" w:right="0" w:firstLine="0"/>
              <w:jc w:val="left"/>
            </w:pPr>
            <w:r>
              <w:rPr>
                <w:sz w:val="20"/>
              </w:rPr>
              <w:t xml:space="preserve">Програм за изврсне пројекте младих истраживача ПРОМИС - почетак имплементације од стране научноистраживачких организација (НИО) </w:t>
            </w:r>
          </w:p>
        </w:tc>
        <w:tc>
          <w:tcPr>
            <w:tcW w:w="1798"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0" w:firstLine="0"/>
              <w:jc w:val="left"/>
            </w:pPr>
            <w:r>
              <w:rPr>
                <w:sz w:val="20"/>
              </w:rPr>
              <w:t xml:space="preserve">потпуно спроведене </w:t>
            </w:r>
          </w:p>
        </w:tc>
        <w:tc>
          <w:tcPr>
            <w:tcW w:w="4629"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2" w:right="0" w:firstLine="0"/>
              <w:jc w:val="left"/>
            </w:pPr>
            <w:r>
              <w:rPr>
                <w:sz w:val="20"/>
              </w:rPr>
              <w:t xml:space="preserve">  </w:t>
            </w:r>
          </w:p>
        </w:tc>
        <w:tc>
          <w:tcPr>
            <w:tcW w:w="1609"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1" w:right="0" w:firstLine="0"/>
              <w:jc w:val="left"/>
            </w:pPr>
            <w:r>
              <w:rPr>
                <w:sz w:val="20"/>
              </w:rPr>
              <w:t xml:space="preserve">  </w:t>
            </w:r>
          </w:p>
        </w:tc>
        <w:tc>
          <w:tcPr>
            <w:tcW w:w="2409"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1" w:right="0" w:firstLine="0"/>
              <w:jc w:val="left"/>
            </w:pPr>
            <w:r>
              <w:rPr>
                <w:sz w:val="20"/>
              </w:rPr>
              <w:t xml:space="preserve">  </w:t>
            </w:r>
          </w:p>
        </w:tc>
      </w:tr>
    </w:tbl>
    <w:p w:rsidR="00E8309B" w:rsidRDefault="00E8309B">
      <w:pPr>
        <w:spacing w:after="0" w:line="259" w:lineRule="auto"/>
        <w:ind w:left="-1138" w:right="10666" w:firstLine="0"/>
        <w:jc w:val="left"/>
      </w:pPr>
    </w:p>
    <w:tbl>
      <w:tblPr>
        <w:tblStyle w:val="TableGrid"/>
        <w:tblW w:w="14220" w:type="dxa"/>
        <w:tblInd w:w="6" w:type="dxa"/>
        <w:tblCellMar>
          <w:top w:w="10" w:type="dxa"/>
          <w:left w:w="107" w:type="dxa"/>
          <w:bottom w:w="0" w:type="dxa"/>
          <w:right w:w="97" w:type="dxa"/>
        </w:tblCellMar>
        <w:tblLook w:val="04A0" w:firstRow="1" w:lastRow="0" w:firstColumn="1" w:lastColumn="0" w:noHBand="0" w:noVBand="1"/>
      </w:tblPr>
      <w:tblGrid>
        <w:gridCol w:w="465"/>
        <w:gridCol w:w="3311"/>
        <w:gridCol w:w="1798"/>
        <w:gridCol w:w="4629"/>
        <w:gridCol w:w="1609"/>
        <w:gridCol w:w="2409"/>
      </w:tblGrid>
      <w:tr w:rsidR="00E8309B">
        <w:trPr>
          <w:trHeight w:val="835"/>
        </w:trPr>
        <w:tc>
          <w:tcPr>
            <w:tcW w:w="465"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0" w:firstLine="0"/>
              <w:jc w:val="left"/>
            </w:pPr>
            <w:r>
              <w:rPr>
                <w:sz w:val="20"/>
              </w:rPr>
              <w:t xml:space="preserve">3. </w:t>
            </w:r>
          </w:p>
        </w:tc>
        <w:tc>
          <w:tcPr>
            <w:tcW w:w="3311"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1" w:right="0" w:firstLine="0"/>
              <w:jc w:val="left"/>
            </w:pPr>
            <w:r>
              <w:rPr>
                <w:sz w:val="20"/>
              </w:rPr>
              <w:t xml:space="preserve">Програм развоја вештачке интелигенције - Потписивање уговиора </w:t>
            </w:r>
          </w:p>
        </w:tc>
        <w:tc>
          <w:tcPr>
            <w:tcW w:w="1798"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0" w:firstLine="0"/>
              <w:jc w:val="left"/>
            </w:pPr>
            <w:r>
              <w:rPr>
                <w:sz w:val="20"/>
              </w:rPr>
              <w:t xml:space="preserve">потпуно спроведене </w:t>
            </w:r>
          </w:p>
        </w:tc>
        <w:tc>
          <w:tcPr>
            <w:tcW w:w="4629"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2" w:right="0" w:firstLine="0"/>
              <w:jc w:val="left"/>
            </w:pPr>
            <w:r>
              <w:rPr>
                <w:sz w:val="20"/>
              </w:rPr>
              <w:t xml:space="preserve">Активност у завршној фази потписивања Уговора са 12 пројеката који су добили грантове након завршене фазе евалуације предлога пројеката. </w:t>
            </w:r>
          </w:p>
        </w:tc>
        <w:tc>
          <w:tcPr>
            <w:tcW w:w="1609"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1" w:right="0" w:firstLine="0"/>
              <w:jc w:val="left"/>
            </w:pPr>
            <w:r>
              <w:rPr>
                <w:sz w:val="20"/>
              </w:rPr>
              <w:t xml:space="preserve">  </w:t>
            </w:r>
          </w:p>
        </w:tc>
        <w:tc>
          <w:tcPr>
            <w:tcW w:w="2409"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1" w:right="0" w:firstLine="0"/>
              <w:jc w:val="left"/>
            </w:pPr>
            <w:r>
              <w:rPr>
                <w:sz w:val="20"/>
              </w:rPr>
              <w:t xml:space="preserve">  </w:t>
            </w:r>
          </w:p>
        </w:tc>
      </w:tr>
      <w:tr w:rsidR="00E8309B">
        <w:trPr>
          <w:trHeight w:val="1051"/>
        </w:trPr>
        <w:tc>
          <w:tcPr>
            <w:tcW w:w="465"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0" w:firstLine="0"/>
              <w:jc w:val="left"/>
            </w:pPr>
            <w:r>
              <w:rPr>
                <w:sz w:val="20"/>
              </w:rPr>
              <w:t xml:space="preserve">4. </w:t>
            </w:r>
          </w:p>
        </w:tc>
        <w:tc>
          <w:tcPr>
            <w:tcW w:w="3311"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1" w:right="0" w:firstLine="0"/>
              <w:jc w:val="left"/>
            </w:pPr>
            <w:r>
              <w:rPr>
                <w:sz w:val="20"/>
              </w:rPr>
              <w:t xml:space="preserve">Програм развоја вештачке интелигенције - имплементација </w:t>
            </w:r>
          </w:p>
        </w:tc>
        <w:tc>
          <w:tcPr>
            <w:tcW w:w="1798"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0" w:firstLine="0"/>
              <w:jc w:val="left"/>
            </w:pPr>
            <w:r>
              <w:rPr>
                <w:sz w:val="20"/>
              </w:rPr>
              <w:t xml:space="preserve">напредак у спровођењу </w:t>
            </w:r>
          </w:p>
        </w:tc>
        <w:tc>
          <w:tcPr>
            <w:tcW w:w="4629"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2" w:right="0" w:firstLine="0"/>
              <w:jc w:val="left"/>
            </w:pPr>
            <w:r>
              <w:rPr>
                <w:sz w:val="20"/>
              </w:rPr>
              <w:t xml:space="preserve">Потписани су уговора за 12 пројеката који су добили грантове након завршене фазе евалуације предлога пројеката. У току је њихова имплементација. </w:t>
            </w:r>
          </w:p>
        </w:tc>
        <w:tc>
          <w:tcPr>
            <w:tcW w:w="1609"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1" w:right="0" w:firstLine="0"/>
              <w:jc w:val="left"/>
            </w:pPr>
            <w:r>
              <w:rPr>
                <w:sz w:val="20"/>
              </w:rPr>
              <w:t xml:space="preserve">  </w:t>
            </w:r>
          </w:p>
        </w:tc>
        <w:tc>
          <w:tcPr>
            <w:tcW w:w="2409"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1" w:right="0" w:firstLine="0"/>
              <w:jc w:val="left"/>
            </w:pPr>
            <w:r>
              <w:rPr>
                <w:sz w:val="20"/>
              </w:rPr>
              <w:t xml:space="preserve">  </w:t>
            </w:r>
          </w:p>
        </w:tc>
      </w:tr>
      <w:tr w:rsidR="00E8309B">
        <w:trPr>
          <w:trHeight w:val="893"/>
        </w:trPr>
        <w:tc>
          <w:tcPr>
            <w:tcW w:w="465"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0" w:firstLine="0"/>
              <w:jc w:val="left"/>
            </w:pPr>
            <w:r>
              <w:rPr>
                <w:sz w:val="20"/>
              </w:rPr>
              <w:t xml:space="preserve">5. </w:t>
            </w:r>
          </w:p>
        </w:tc>
        <w:tc>
          <w:tcPr>
            <w:tcW w:w="3311"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1" w:right="0" w:firstLine="0"/>
              <w:jc w:val="left"/>
            </w:pPr>
            <w:r>
              <w:rPr>
                <w:sz w:val="20"/>
              </w:rPr>
              <w:t xml:space="preserve">Програм сарадње српске науке са дијаспором - имплементација </w:t>
            </w:r>
          </w:p>
        </w:tc>
        <w:tc>
          <w:tcPr>
            <w:tcW w:w="1798"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0" w:firstLine="0"/>
              <w:jc w:val="left"/>
            </w:pPr>
            <w:r>
              <w:rPr>
                <w:sz w:val="20"/>
              </w:rPr>
              <w:t xml:space="preserve">започето спровођење </w:t>
            </w:r>
          </w:p>
        </w:tc>
        <w:tc>
          <w:tcPr>
            <w:tcW w:w="4629"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2" w:right="0" w:firstLine="0"/>
              <w:jc w:val="left"/>
            </w:pPr>
            <w:r>
              <w:rPr>
                <w:sz w:val="20"/>
              </w:rPr>
              <w:t xml:space="preserve">Активност је у фази потписивања Уговора са 92 пројекта који су добили грантове након завршене фазе евалуације предлога пројеката.  </w:t>
            </w:r>
          </w:p>
        </w:tc>
        <w:tc>
          <w:tcPr>
            <w:tcW w:w="1609"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1" w:right="0" w:firstLine="0"/>
              <w:jc w:val="left"/>
            </w:pPr>
            <w:r>
              <w:rPr>
                <w:sz w:val="20"/>
              </w:rPr>
              <w:t xml:space="preserve">  </w:t>
            </w:r>
          </w:p>
        </w:tc>
        <w:tc>
          <w:tcPr>
            <w:tcW w:w="2409"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1" w:right="0" w:firstLine="0"/>
              <w:jc w:val="left"/>
            </w:pPr>
            <w:r>
              <w:rPr>
                <w:sz w:val="20"/>
              </w:rPr>
              <w:t xml:space="preserve">  </w:t>
            </w:r>
          </w:p>
        </w:tc>
      </w:tr>
      <w:tr w:rsidR="00E8309B">
        <w:trPr>
          <w:trHeight w:val="1513"/>
        </w:trPr>
        <w:tc>
          <w:tcPr>
            <w:tcW w:w="465" w:type="dxa"/>
            <w:tcBorders>
              <w:top w:val="single" w:sz="4" w:space="0" w:color="000000"/>
              <w:left w:val="single" w:sz="4" w:space="0" w:color="000000"/>
              <w:bottom w:val="single" w:sz="4" w:space="0" w:color="000000"/>
              <w:right w:val="single" w:sz="4" w:space="0" w:color="000000"/>
            </w:tcBorders>
          </w:tcPr>
          <w:p w:rsidR="00E8309B" w:rsidRDefault="009D0949">
            <w:pPr>
              <w:spacing w:after="1078" w:line="259" w:lineRule="auto"/>
              <w:ind w:left="0" w:right="0" w:firstLine="0"/>
              <w:jc w:val="left"/>
            </w:pPr>
            <w:r>
              <w:rPr>
                <w:sz w:val="20"/>
              </w:rPr>
              <w:t xml:space="preserve">6. </w:t>
            </w:r>
          </w:p>
          <w:p w:rsidR="00E8309B" w:rsidRDefault="009D0949">
            <w:pPr>
              <w:spacing w:after="0" w:line="259" w:lineRule="auto"/>
              <w:ind w:left="0" w:right="0" w:firstLine="0"/>
              <w:jc w:val="left"/>
            </w:pPr>
            <w:r>
              <w:rPr>
                <w:sz w:val="20"/>
              </w:rPr>
              <w:t xml:space="preserve"> </w:t>
            </w:r>
          </w:p>
        </w:tc>
        <w:tc>
          <w:tcPr>
            <w:tcW w:w="3311"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1" w:right="0" w:firstLine="0"/>
              <w:jc w:val="left"/>
            </w:pPr>
            <w:r>
              <w:rPr>
                <w:sz w:val="20"/>
              </w:rPr>
              <w:t xml:space="preserve">ЈП Програма Идеје - објава позива </w:t>
            </w:r>
          </w:p>
        </w:tc>
        <w:tc>
          <w:tcPr>
            <w:tcW w:w="1798"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0" w:firstLine="0"/>
              <w:jc w:val="left"/>
            </w:pPr>
            <w:r>
              <w:rPr>
                <w:sz w:val="20"/>
              </w:rPr>
              <w:t xml:space="preserve">потпуно спроведене </w:t>
            </w:r>
          </w:p>
        </w:tc>
        <w:tc>
          <w:tcPr>
            <w:tcW w:w="4629"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6" w:lineRule="auto"/>
              <w:ind w:left="2" w:right="9" w:firstLine="0"/>
              <w:jc w:val="left"/>
            </w:pPr>
            <w:r>
              <w:rPr>
                <w:sz w:val="20"/>
              </w:rPr>
              <w:t>Позив за Програм Идеје објављен је 11.03.2020. године. Рок за подношење предлога пројекта је два пута померан услед актуелне пандемије вируса Цовид-19, услед чега је рок за подношење предлога пројекта одложен до 7.10.2020. године. У току је евалуација пред</w:t>
            </w:r>
            <w:r>
              <w:rPr>
                <w:sz w:val="20"/>
              </w:rPr>
              <w:t xml:space="preserve">лога пројеката. </w:t>
            </w:r>
          </w:p>
          <w:p w:rsidR="00E8309B" w:rsidRDefault="009D0949">
            <w:pPr>
              <w:spacing w:after="0" w:line="259" w:lineRule="auto"/>
              <w:ind w:left="2" w:right="0" w:firstLine="0"/>
              <w:jc w:val="left"/>
            </w:pPr>
            <w:r>
              <w:rPr>
                <w:sz w:val="20"/>
              </w:rPr>
              <w:t xml:space="preserve"> </w:t>
            </w:r>
          </w:p>
        </w:tc>
        <w:tc>
          <w:tcPr>
            <w:tcW w:w="1609"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1" w:right="0" w:firstLine="0"/>
              <w:jc w:val="left"/>
            </w:pPr>
            <w:r>
              <w:rPr>
                <w:sz w:val="20"/>
              </w:rPr>
              <w:t xml:space="preserve">  </w:t>
            </w:r>
          </w:p>
        </w:tc>
        <w:tc>
          <w:tcPr>
            <w:tcW w:w="2409"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1" w:right="0" w:firstLine="0"/>
              <w:jc w:val="left"/>
            </w:pPr>
            <w:r>
              <w:rPr>
                <w:sz w:val="20"/>
              </w:rPr>
              <w:t xml:space="preserve">  </w:t>
            </w:r>
          </w:p>
        </w:tc>
      </w:tr>
      <w:tr w:rsidR="00E8309B">
        <w:trPr>
          <w:trHeight w:val="383"/>
        </w:trPr>
        <w:tc>
          <w:tcPr>
            <w:tcW w:w="3776" w:type="dxa"/>
            <w:gridSpan w:val="2"/>
            <w:tcBorders>
              <w:top w:val="single" w:sz="4" w:space="0" w:color="000000"/>
              <w:left w:val="nil"/>
              <w:bottom w:val="single" w:sz="4" w:space="0" w:color="000000"/>
              <w:right w:val="single" w:sz="4" w:space="0" w:color="000000"/>
            </w:tcBorders>
          </w:tcPr>
          <w:p w:rsidR="00E8309B" w:rsidRDefault="00E8309B">
            <w:pPr>
              <w:spacing w:after="160" w:line="259" w:lineRule="auto"/>
              <w:ind w:left="0" w:right="0" w:firstLine="0"/>
              <w:jc w:val="left"/>
            </w:pPr>
          </w:p>
        </w:tc>
        <w:tc>
          <w:tcPr>
            <w:tcW w:w="1798" w:type="dxa"/>
            <w:tcBorders>
              <w:top w:val="single" w:sz="4" w:space="0" w:color="000000"/>
              <w:left w:val="single" w:sz="4" w:space="0" w:color="000000"/>
              <w:bottom w:val="single" w:sz="4" w:space="0" w:color="000000"/>
              <w:right w:val="single" w:sz="4" w:space="0" w:color="000000"/>
            </w:tcBorders>
            <w:shd w:val="clear" w:color="auto" w:fill="BDD6EE"/>
          </w:tcPr>
          <w:p w:rsidR="00E8309B" w:rsidRDefault="009D0949">
            <w:pPr>
              <w:spacing w:after="0" w:line="259" w:lineRule="auto"/>
              <w:ind w:left="0" w:right="12" w:firstLine="0"/>
              <w:jc w:val="center"/>
            </w:pPr>
            <w:r>
              <w:rPr>
                <w:b/>
                <w:sz w:val="20"/>
              </w:rPr>
              <w:t xml:space="preserve">87% </w:t>
            </w:r>
          </w:p>
        </w:tc>
        <w:tc>
          <w:tcPr>
            <w:tcW w:w="8646" w:type="dxa"/>
            <w:gridSpan w:val="3"/>
            <w:tcBorders>
              <w:top w:val="single" w:sz="4" w:space="0" w:color="000000"/>
              <w:left w:val="single" w:sz="4" w:space="0" w:color="000000"/>
              <w:bottom w:val="single" w:sz="4" w:space="0" w:color="000000"/>
              <w:right w:val="nil"/>
            </w:tcBorders>
          </w:tcPr>
          <w:p w:rsidR="00E8309B" w:rsidRDefault="00E8309B">
            <w:pPr>
              <w:spacing w:after="160" w:line="259" w:lineRule="auto"/>
              <w:ind w:left="0" w:right="0" w:firstLine="0"/>
              <w:jc w:val="left"/>
            </w:pPr>
          </w:p>
        </w:tc>
      </w:tr>
      <w:tr w:rsidR="00E8309B">
        <w:trPr>
          <w:trHeight w:val="405"/>
        </w:trPr>
        <w:tc>
          <w:tcPr>
            <w:tcW w:w="14220" w:type="dxa"/>
            <w:gridSpan w:val="6"/>
            <w:tcBorders>
              <w:top w:val="single" w:sz="4" w:space="0" w:color="000000"/>
              <w:left w:val="single" w:sz="4" w:space="0" w:color="000000"/>
              <w:bottom w:val="single" w:sz="4" w:space="0" w:color="000000"/>
              <w:right w:val="single" w:sz="4" w:space="0" w:color="000000"/>
            </w:tcBorders>
            <w:shd w:val="clear" w:color="auto" w:fill="D0CECE"/>
          </w:tcPr>
          <w:p w:rsidR="00E8309B" w:rsidRDefault="009D0949">
            <w:pPr>
              <w:spacing w:after="0" w:line="259" w:lineRule="auto"/>
              <w:ind w:left="0" w:right="0" w:firstLine="0"/>
              <w:jc w:val="left"/>
            </w:pPr>
            <w:r>
              <w:rPr>
                <w:b/>
              </w:rPr>
              <w:t xml:space="preserve">СР 13. Подршка иновативним start-up компанијама и дигиталној трансформацији привредних друштава </w:t>
            </w:r>
          </w:p>
        </w:tc>
      </w:tr>
      <w:tr w:rsidR="00E8309B">
        <w:trPr>
          <w:trHeight w:val="361"/>
        </w:trPr>
        <w:tc>
          <w:tcPr>
            <w:tcW w:w="465"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0" w:firstLine="0"/>
              <w:jc w:val="left"/>
            </w:pPr>
            <w:r>
              <w:rPr>
                <w:sz w:val="20"/>
              </w:rPr>
              <w:t xml:space="preserve">  </w:t>
            </w:r>
          </w:p>
        </w:tc>
        <w:tc>
          <w:tcPr>
            <w:tcW w:w="3311"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1" w:right="0" w:firstLine="0"/>
              <w:jc w:val="left"/>
            </w:pPr>
            <w:r>
              <w:rPr>
                <w:b/>
                <w:sz w:val="20"/>
              </w:rPr>
              <w:t xml:space="preserve">ИПА 2014 </w:t>
            </w:r>
          </w:p>
        </w:tc>
        <w:tc>
          <w:tcPr>
            <w:tcW w:w="1798"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0" w:firstLine="0"/>
              <w:jc w:val="left"/>
            </w:pPr>
            <w:r>
              <w:rPr>
                <w:sz w:val="20"/>
              </w:rPr>
              <w:t xml:space="preserve">  </w:t>
            </w:r>
          </w:p>
        </w:tc>
        <w:tc>
          <w:tcPr>
            <w:tcW w:w="4629"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2" w:right="0" w:firstLine="0"/>
              <w:jc w:val="left"/>
            </w:pPr>
            <w:r>
              <w:rPr>
                <w:sz w:val="20"/>
              </w:rPr>
              <w:t xml:space="preserve">  </w:t>
            </w:r>
          </w:p>
        </w:tc>
        <w:tc>
          <w:tcPr>
            <w:tcW w:w="1609"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1" w:right="0" w:firstLine="0"/>
              <w:jc w:val="left"/>
            </w:pPr>
            <w:r>
              <w:rPr>
                <w:sz w:val="20"/>
              </w:rPr>
              <w:t xml:space="preserve">  </w:t>
            </w:r>
          </w:p>
        </w:tc>
        <w:tc>
          <w:tcPr>
            <w:tcW w:w="2409"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1" w:right="0" w:firstLine="0"/>
              <w:jc w:val="left"/>
            </w:pPr>
            <w:r>
              <w:rPr>
                <w:sz w:val="20"/>
              </w:rPr>
              <w:t xml:space="preserve">  </w:t>
            </w:r>
          </w:p>
        </w:tc>
      </w:tr>
      <w:tr w:rsidR="00E8309B">
        <w:trPr>
          <w:trHeight w:val="1279"/>
        </w:trPr>
        <w:tc>
          <w:tcPr>
            <w:tcW w:w="465"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0" w:firstLine="0"/>
              <w:jc w:val="left"/>
            </w:pPr>
            <w:r>
              <w:rPr>
                <w:sz w:val="20"/>
              </w:rPr>
              <w:t xml:space="preserve">1. </w:t>
            </w:r>
          </w:p>
        </w:tc>
        <w:tc>
          <w:tcPr>
            <w:tcW w:w="3311"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1" w:right="0" w:firstLine="0"/>
              <w:jc w:val="left"/>
            </w:pPr>
            <w:r>
              <w:rPr>
                <w:sz w:val="20"/>
              </w:rPr>
              <w:t xml:space="preserve">Имплементација пројеката од стране корисника којима је додељено финансирање, мониторинг од стране Фонда за иновациону делатност </w:t>
            </w:r>
          </w:p>
        </w:tc>
        <w:tc>
          <w:tcPr>
            <w:tcW w:w="1798"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0" w:firstLine="0"/>
              <w:jc w:val="left"/>
            </w:pPr>
            <w:r>
              <w:rPr>
                <w:sz w:val="20"/>
              </w:rPr>
              <w:t xml:space="preserve">напредак у спровођењу </w:t>
            </w:r>
          </w:p>
        </w:tc>
        <w:tc>
          <w:tcPr>
            <w:tcW w:w="4629"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2" w:right="0" w:firstLine="0"/>
              <w:jc w:val="left"/>
            </w:pPr>
            <w:r>
              <w:rPr>
                <w:sz w:val="20"/>
              </w:rPr>
              <w:t xml:space="preserve">Имплементација пројеката се спроводи у складу са договореном динамиком и потписаним уговорима са добитницима гранта.  </w:t>
            </w:r>
          </w:p>
        </w:tc>
        <w:tc>
          <w:tcPr>
            <w:tcW w:w="1609"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1" w:right="0" w:firstLine="0"/>
              <w:jc w:val="left"/>
            </w:pPr>
            <w:r>
              <w:rPr>
                <w:sz w:val="20"/>
              </w:rPr>
              <w:t xml:space="preserve">  </w:t>
            </w:r>
          </w:p>
        </w:tc>
        <w:tc>
          <w:tcPr>
            <w:tcW w:w="2409"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1" w:right="0" w:firstLine="0"/>
              <w:jc w:val="left"/>
            </w:pPr>
            <w:r>
              <w:rPr>
                <w:sz w:val="20"/>
              </w:rPr>
              <w:t xml:space="preserve">  </w:t>
            </w:r>
          </w:p>
        </w:tc>
      </w:tr>
      <w:tr w:rsidR="00E8309B">
        <w:trPr>
          <w:trHeight w:val="360"/>
        </w:trPr>
        <w:tc>
          <w:tcPr>
            <w:tcW w:w="465"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0" w:firstLine="0"/>
              <w:jc w:val="left"/>
            </w:pPr>
            <w:r>
              <w:rPr>
                <w:sz w:val="20"/>
              </w:rPr>
              <w:t xml:space="preserve">  </w:t>
            </w:r>
          </w:p>
        </w:tc>
        <w:tc>
          <w:tcPr>
            <w:tcW w:w="3311"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1" w:right="0" w:firstLine="0"/>
              <w:jc w:val="left"/>
            </w:pPr>
            <w:r>
              <w:rPr>
                <w:b/>
                <w:sz w:val="20"/>
              </w:rPr>
              <w:t xml:space="preserve">„Competitiveness &amp; Јobs“ </w:t>
            </w:r>
          </w:p>
        </w:tc>
        <w:tc>
          <w:tcPr>
            <w:tcW w:w="1798"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0" w:firstLine="0"/>
              <w:jc w:val="left"/>
            </w:pPr>
            <w:r>
              <w:rPr>
                <w:sz w:val="20"/>
              </w:rPr>
              <w:t xml:space="preserve">  </w:t>
            </w:r>
          </w:p>
        </w:tc>
        <w:tc>
          <w:tcPr>
            <w:tcW w:w="4629"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2" w:right="0" w:firstLine="0"/>
              <w:jc w:val="left"/>
            </w:pPr>
            <w:r>
              <w:rPr>
                <w:sz w:val="20"/>
              </w:rPr>
              <w:t xml:space="preserve">  </w:t>
            </w:r>
          </w:p>
        </w:tc>
        <w:tc>
          <w:tcPr>
            <w:tcW w:w="1609"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1" w:right="0" w:firstLine="0"/>
              <w:jc w:val="left"/>
            </w:pPr>
            <w:r>
              <w:rPr>
                <w:sz w:val="20"/>
              </w:rPr>
              <w:t xml:space="preserve">  </w:t>
            </w:r>
          </w:p>
        </w:tc>
        <w:tc>
          <w:tcPr>
            <w:tcW w:w="2409"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1" w:right="0" w:firstLine="0"/>
              <w:jc w:val="left"/>
            </w:pPr>
            <w:r>
              <w:rPr>
                <w:sz w:val="20"/>
              </w:rPr>
              <w:t xml:space="preserve">  </w:t>
            </w:r>
          </w:p>
        </w:tc>
      </w:tr>
      <w:tr w:rsidR="00E8309B">
        <w:trPr>
          <w:trHeight w:val="1513"/>
        </w:trPr>
        <w:tc>
          <w:tcPr>
            <w:tcW w:w="465"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0" w:firstLine="0"/>
              <w:jc w:val="left"/>
            </w:pPr>
            <w:r>
              <w:rPr>
                <w:sz w:val="20"/>
              </w:rPr>
              <w:t xml:space="preserve">2. </w:t>
            </w:r>
          </w:p>
        </w:tc>
        <w:tc>
          <w:tcPr>
            <w:tcW w:w="3311"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1" w:right="0" w:firstLine="0"/>
              <w:jc w:val="left"/>
            </w:pPr>
            <w:r>
              <w:rPr>
                <w:sz w:val="20"/>
              </w:rPr>
              <w:t xml:space="preserve">а) Имплементација пројеката 1 ЈП (Програм раног развоја и програм суфинансирања иновација) од стране корисника и мониторинг од стране Фонда за иновациону делатност </w:t>
            </w:r>
          </w:p>
        </w:tc>
        <w:tc>
          <w:tcPr>
            <w:tcW w:w="1798"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0" w:firstLine="0"/>
              <w:jc w:val="left"/>
            </w:pPr>
            <w:r>
              <w:rPr>
                <w:sz w:val="20"/>
              </w:rPr>
              <w:t xml:space="preserve">потпуно спроведене </w:t>
            </w:r>
          </w:p>
        </w:tc>
        <w:tc>
          <w:tcPr>
            <w:tcW w:w="4629"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2" w:right="0" w:firstLine="0"/>
              <w:jc w:val="left"/>
            </w:pPr>
            <w:r>
              <w:rPr>
                <w:sz w:val="20"/>
              </w:rPr>
              <w:t xml:space="preserve">  </w:t>
            </w:r>
          </w:p>
        </w:tc>
        <w:tc>
          <w:tcPr>
            <w:tcW w:w="1609"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1" w:right="0" w:firstLine="0"/>
              <w:jc w:val="left"/>
            </w:pPr>
            <w:r>
              <w:rPr>
                <w:sz w:val="20"/>
              </w:rPr>
              <w:t xml:space="preserve">  </w:t>
            </w:r>
          </w:p>
        </w:tc>
        <w:tc>
          <w:tcPr>
            <w:tcW w:w="2409"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1" w:right="0" w:firstLine="0"/>
              <w:jc w:val="left"/>
            </w:pPr>
            <w:r>
              <w:rPr>
                <w:sz w:val="20"/>
              </w:rPr>
              <w:t xml:space="preserve">  </w:t>
            </w:r>
          </w:p>
        </w:tc>
      </w:tr>
      <w:tr w:rsidR="00E8309B">
        <w:trPr>
          <w:trHeight w:val="929"/>
        </w:trPr>
        <w:tc>
          <w:tcPr>
            <w:tcW w:w="465"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0" w:firstLine="0"/>
              <w:jc w:val="left"/>
            </w:pPr>
            <w:r>
              <w:rPr>
                <w:sz w:val="20"/>
              </w:rPr>
              <w:t xml:space="preserve">3. </w:t>
            </w:r>
          </w:p>
        </w:tc>
        <w:tc>
          <w:tcPr>
            <w:tcW w:w="3311"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1" w:right="0" w:firstLine="0"/>
              <w:jc w:val="left"/>
            </w:pPr>
            <w:r>
              <w:rPr>
                <w:sz w:val="20"/>
              </w:rPr>
              <w:t xml:space="preserve">б) Имплементација пројеката 2 ЈП (Програм раног развоја и програм суфинансирања иновација) од стране корисника и мониторинг од </w:t>
            </w:r>
          </w:p>
        </w:tc>
        <w:tc>
          <w:tcPr>
            <w:tcW w:w="1798"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0" w:firstLine="0"/>
              <w:jc w:val="left"/>
            </w:pPr>
            <w:r>
              <w:rPr>
                <w:sz w:val="20"/>
              </w:rPr>
              <w:t xml:space="preserve">напредак у спровођењу </w:t>
            </w:r>
          </w:p>
        </w:tc>
        <w:tc>
          <w:tcPr>
            <w:tcW w:w="4629"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2" w:right="0" w:firstLine="0"/>
              <w:jc w:val="left"/>
            </w:pPr>
            <w:r>
              <w:rPr>
                <w:sz w:val="20"/>
              </w:rPr>
              <w:t>Имплементација пројеката се спроводи у складу са договореном динамиком и потписаним уговорима са добитниц</w:t>
            </w:r>
            <w:r>
              <w:rPr>
                <w:sz w:val="20"/>
              </w:rPr>
              <w:t xml:space="preserve">има гранта.  </w:t>
            </w:r>
          </w:p>
        </w:tc>
        <w:tc>
          <w:tcPr>
            <w:tcW w:w="1609"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1" w:right="0" w:firstLine="0"/>
              <w:jc w:val="left"/>
            </w:pPr>
            <w:r>
              <w:rPr>
                <w:sz w:val="20"/>
              </w:rPr>
              <w:t xml:space="preserve">  </w:t>
            </w:r>
          </w:p>
        </w:tc>
        <w:tc>
          <w:tcPr>
            <w:tcW w:w="2409"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1" w:right="0" w:firstLine="0"/>
              <w:jc w:val="left"/>
            </w:pPr>
            <w:r>
              <w:rPr>
                <w:sz w:val="20"/>
              </w:rPr>
              <w:t xml:space="preserve">  </w:t>
            </w:r>
          </w:p>
        </w:tc>
      </w:tr>
    </w:tbl>
    <w:p w:rsidR="00E8309B" w:rsidRDefault="00E8309B">
      <w:pPr>
        <w:spacing w:after="0" w:line="259" w:lineRule="auto"/>
        <w:ind w:left="-1138" w:right="10666" w:firstLine="0"/>
        <w:jc w:val="left"/>
      </w:pPr>
    </w:p>
    <w:tbl>
      <w:tblPr>
        <w:tblStyle w:val="TableGrid"/>
        <w:tblW w:w="14222" w:type="dxa"/>
        <w:tblInd w:w="5" w:type="dxa"/>
        <w:tblCellMar>
          <w:top w:w="10" w:type="dxa"/>
          <w:left w:w="108" w:type="dxa"/>
          <w:bottom w:w="0" w:type="dxa"/>
          <w:right w:w="90" w:type="dxa"/>
        </w:tblCellMar>
        <w:tblLook w:val="04A0" w:firstRow="1" w:lastRow="0" w:firstColumn="1" w:lastColumn="0" w:noHBand="0" w:noVBand="1"/>
      </w:tblPr>
      <w:tblGrid>
        <w:gridCol w:w="466"/>
        <w:gridCol w:w="3310"/>
        <w:gridCol w:w="1800"/>
        <w:gridCol w:w="4628"/>
        <w:gridCol w:w="1609"/>
        <w:gridCol w:w="2410"/>
      </w:tblGrid>
      <w:tr w:rsidR="00E8309B">
        <w:trPr>
          <w:trHeight w:val="775"/>
        </w:trPr>
        <w:tc>
          <w:tcPr>
            <w:tcW w:w="466" w:type="dxa"/>
            <w:tcBorders>
              <w:top w:val="single" w:sz="4" w:space="0" w:color="000000"/>
              <w:left w:val="single" w:sz="4" w:space="0" w:color="000000"/>
              <w:bottom w:val="single" w:sz="4" w:space="0" w:color="000000"/>
              <w:right w:val="single" w:sz="4" w:space="0" w:color="000000"/>
            </w:tcBorders>
          </w:tcPr>
          <w:p w:rsidR="00E8309B" w:rsidRDefault="00E8309B">
            <w:pPr>
              <w:spacing w:after="160" w:line="259" w:lineRule="auto"/>
              <w:ind w:left="0" w:right="0" w:firstLine="0"/>
              <w:jc w:val="left"/>
            </w:pPr>
          </w:p>
        </w:tc>
        <w:tc>
          <w:tcPr>
            <w:tcW w:w="3310"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0" w:firstLine="0"/>
              <w:jc w:val="left"/>
            </w:pPr>
            <w:r>
              <w:rPr>
                <w:sz w:val="20"/>
              </w:rPr>
              <w:t xml:space="preserve">стране Фонда за иновациону делатност </w:t>
            </w:r>
          </w:p>
        </w:tc>
        <w:tc>
          <w:tcPr>
            <w:tcW w:w="1800" w:type="dxa"/>
            <w:tcBorders>
              <w:top w:val="single" w:sz="4" w:space="0" w:color="000000"/>
              <w:left w:val="single" w:sz="4" w:space="0" w:color="000000"/>
              <w:bottom w:val="single" w:sz="4" w:space="0" w:color="000000"/>
              <w:right w:val="single" w:sz="4" w:space="0" w:color="000000"/>
            </w:tcBorders>
          </w:tcPr>
          <w:p w:rsidR="00E8309B" w:rsidRDefault="00E8309B">
            <w:pPr>
              <w:spacing w:after="160" w:line="259" w:lineRule="auto"/>
              <w:ind w:left="0" w:right="0" w:firstLine="0"/>
              <w:jc w:val="left"/>
            </w:pPr>
          </w:p>
        </w:tc>
        <w:tc>
          <w:tcPr>
            <w:tcW w:w="4628" w:type="dxa"/>
            <w:tcBorders>
              <w:top w:val="single" w:sz="4" w:space="0" w:color="000000"/>
              <w:left w:val="single" w:sz="4" w:space="0" w:color="000000"/>
              <w:bottom w:val="single" w:sz="4" w:space="0" w:color="000000"/>
              <w:right w:val="single" w:sz="4" w:space="0" w:color="000000"/>
            </w:tcBorders>
          </w:tcPr>
          <w:p w:rsidR="00E8309B" w:rsidRDefault="00E8309B">
            <w:pPr>
              <w:spacing w:after="160" w:line="259" w:lineRule="auto"/>
              <w:ind w:left="0" w:right="0" w:firstLine="0"/>
              <w:jc w:val="left"/>
            </w:pPr>
          </w:p>
        </w:tc>
        <w:tc>
          <w:tcPr>
            <w:tcW w:w="1609" w:type="dxa"/>
            <w:tcBorders>
              <w:top w:val="single" w:sz="4" w:space="0" w:color="000000"/>
              <w:left w:val="single" w:sz="4" w:space="0" w:color="000000"/>
              <w:bottom w:val="single" w:sz="4" w:space="0" w:color="000000"/>
              <w:right w:val="single" w:sz="4" w:space="0" w:color="000000"/>
            </w:tcBorders>
          </w:tcPr>
          <w:p w:rsidR="00E8309B" w:rsidRDefault="00E8309B">
            <w:pPr>
              <w:spacing w:after="160" w:line="259" w:lineRule="auto"/>
              <w:ind w:left="0" w:right="0" w:firstLine="0"/>
              <w:jc w:val="left"/>
            </w:pPr>
          </w:p>
        </w:tc>
        <w:tc>
          <w:tcPr>
            <w:tcW w:w="2410" w:type="dxa"/>
            <w:tcBorders>
              <w:top w:val="single" w:sz="4" w:space="0" w:color="000000"/>
              <w:left w:val="single" w:sz="4" w:space="0" w:color="000000"/>
              <w:bottom w:val="single" w:sz="4" w:space="0" w:color="000000"/>
              <w:right w:val="single" w:sz="4" w:space="0" w:color="000000"/>
            </w:tcBorders>
          </w:tcPr>
          <w:p w:rsidR="00E8309B" w:rsidRDefault="00E8309B">
            <w:pPr>
              <w:spacing w:after="160" w:line="259" w:lineRule="auto"/>
              <w:ind w:left="0" w:right="0" w:firstLine="0"/>
              <w:jc w:val="left"/>
            </w:pPr>
          </w:p>
        </w:tc>
      </w:tr>
      <w:tr w:rsidR="00E8309B">
        <w:trPr>
          <w:trHeight w:val="1279"/>
        </w:trPr>
        <w:tc>
          <w:tcPr>
            <w:tcW w:w="466"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0" w:firstLine="0"/>
              <w:jc w:val="left"/>
            </w:pPr>
            <w:r>
              <w:rPr>
                <w:sz w:val="20"/>
              </w:rPr>
              <w:t xml:space="preserve">4. </w:t>
            </w:r>
          </w:p>
        </w:tc>
        <w:tc>
          <w:tcPr>
            <w:tcW w:w="3310"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0" w:firstLine="0"/>
              <w:jc w:val="left"/>
            </w:pPr>
            <w:r>
              <w:rPr>
                <w:sz w:val="20"/>
              </w:rPr>
              <w:t xml:space="preserve">в) Имплементација пројеката 3 ЈП (Програм сарадње науке и привреде) од стране корисника и мониторинг од стране Фонда за иновациону делатност </w:t>
            </w:r>
          </w:p>
        </w:tc>
        <w:tc>
          <w:tcPr>
            <w:tcW w:w="1800"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0" w:firstLine="0"/>
              <w:jc w:val="left"/>
            </w:pPr>
            <w:r>
              <w:rPr>
                <w:sz w:val="20"/>
              </w:rPr>
              <w:t xml:space="preserve">напредак у спровођењу </w:t>
            </w:r>
          </w:p>
        </w:tc>
        <w:tc>
          <w:tcPr>
            <w:tcW w:w="4628"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0" w:firstLine="0"/>
              <w:jc w:val="left"/>
            </w:pPr>
            <w:r>
              <w:rPr>
                <w:sz w:val="20"/>
              </w:rPr>
              <w:t xml:space="preserve">Имплементација пројеката се спроводи у складу са договореном динамиком и потписаним уговорима са добитницима гранта.  </w:t>
            </w:r>
          </w:p>
        </w:tc>
        <w:tc>
          <w:tcPr>
            <w:tcW w:w="1609"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0" w:firstLine="0"/>
              <w:jc w:val="left"/>
            </w:pPr>
            <w:r>
              <w:rPr>
                <w:sz w:val="20"/>
              </w:rPr>
              <w:t xml:space="preserve">  </w:t>
            </w:r>
          </w:p>
        </w:tc>
        <w:tc>
          <w:tcPr>
            <w:tcW w:w="2410"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0" w:firstLine="0"/>
              <w:jc w:val="left"/>
            </w:pPr>
            <w:r>
              <w:rPr>
                <w:sz w:val="20"/>
              </w:rPr>
              <w:t xml:space="preserve">  </w:t>
            </w:r>
          </w:p>
        </w:tc>
      </w:tr>
      <w:tr w:rsidR="00E8309B">
        <w:trPr>
          <w:trHeight w:val="1510"/>
        </w:trPr>
        <w:tc>
          <w:tcPr>
            <w:tcW w:w="466"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0" w:firstLine="0"/>
              <w:jc w:val="left"/>
            </w:pPr>
            <w:r>
              <w:rPr>
                <w:sz w:val="20"/>
              </w:rPr>
              <w:t xml:space="preserve">5. </w:t>
            </w:r>
          </w:p>
        </w:tc>
        <w:tc>
          <w:tcPr>
            <w:tcW w:w="3310"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0" w:firstLine="0"/>
              <w:jc w:val="left"/>
            </w:pPr>
            <w:r>
              <w:rPr>
                <w:sz w:val="20"/>
              </w:rPr>
              <w:t xml:space="preserve">г) Оцењивање и имплементација пројеката 4 ЈП (Програм раног развоја и Програм сарадње науке и привреде) од стране корисника и мониторинг од стране Фонда за иновациону делатност </w:t>
            </w:r>
          </w:p>
        </w:tc>
        <w:tc>
          <w:tcPr>
            <w:tcW w:w="1800"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0" w:firstLine="0"/>
              <w:jc w:val="left"/>
            </w:pPr>
            <w:r>
              <w:rPr>
                <w:sz w:val="20"/>
              </w:rPr>
              <w:t xml:space="preserve">напредак у спровођењу </w:t>
            </w:r>
          </w:p>
        </w:tc>
        <w:tc>
          <w:tcPr>
            <w:tcW w:w="4628"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0" w:firstLine="0"/>
              <w:jc w:val="left"/>
            </w:pPr>
            <w:r>
              <w:rPr>
                <w:sz w:val="20"/>
              </w:rPr>
              <w:t xml:space="preserve">Oцењивање је завршено у првој половини 2020. </w:t>
            </w:r>
          </w:p>
          <w:p w:rsidR="00E8309B" w:rsidRDefault="009D0949">
            <w:pPr>
              <w:spacing w:after="0" w:line="259" w:lineRule="auto"/>
              <w:ind w:left="0" w:right="0" w:firstLine="0"/>
              <w:jc w:val="left"/>
            </w:pPr>
            <w:r>
              <w:rPr>
                <w:sz w:val="20"/>
              </w:rPr>
              <w:t>године, у</w:t>
            </w:r>
            <w:r>
              <w:rPr>
                <w:sz w:val="20"/>
              </w:rPr>
              <w:t xml:space="preserve">з благо кашњење услед пандемије изазване коронавирусом. Имплементација пројеката је отпочела. </w:t>
            </w:r>
          </w:p>
        </w:tc>
        <w:tc>
          <w:tcPr>
            <w:tcW w:w="1609"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0" w:firstLine="0"/>
              <w:jc w:val="left"/>
            </w:pPr>
            <w:r>
              <w:rPr>
                <w:sz w:val="20"/>
              </w:rPr>
              <w:t xml:space="preserve">  </w:t>
            </w:r>
          </w:p>
        </w:tc>
        <w:tc>
          <w:tcPr>
            <w:tcW w:w="2410"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0" w:firstLine="0"/>
              <w:jc w:val="left"/>
            </w:pPr>
            <w:r>
              <w:rPr>
                <w:sz w:val="20"/>
              </w:rPr>
              <w:t xml:space="preserve">  </w:t>
            </w:r>
          </w:p>
        </w:tc>
      </w:tr>
      <w:tr w:rsidR="00E8309B">
        <w:trPr>
          <w:trHeight w:val="1512"/>
        </w:trPr>
        <w:tc>
          <w:tcPr>
            <w:tcW w:w="466"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0" w:firstLine="0"/>
              <w:jc w:val="left"/>
            </w:pPr>
            <w:r>
              <w:rPr>
                <w:sz w:val="20"/>
              </w:rPr>
              <w:t xml:space="preserve">6. </w:t>
            </w:r>
          </w:p>
        </w:tc>
        <w:tc>
          <w:tcPr>
            <w:tcW w:w="3310"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10" w:firstLine="0"/>
              <w:jc w:val="left"/>
            </w:pPr>
            <w:r>
              <w:rPr>
                <w:sz w:val="20"/>
              </w:rPr>
              <w:t xml:space="preserve">д) Објава и оцењивање приспелих пројеката, имплементација </w:t>
            </w:r>
            <w:r>
              <w:rPr>
                <w:sz w:val="20"/>
              </w:rPr>
              <w:t xml:space="preserve">5 ЈП (Програм раног развоја и програм суфинансирања иновација), консултације, радионице и отворена врата </w:t>
            </w:r>
          </w:p>
        </w:tc>
        <w:tc>
          <w:tcPr>
            <w:tcW w:w="1800"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0" w:firstLine="0"/>
              <w:jc w:val="left"/>
            </w:pPr>
            <w:r>
              <w:rPr>
                <w:sz w:val="20"/>
              </w:rPr>
              <w:t xml:space="preserve">потпуно спроведене </w:t>
            </w:r>
          </w:p>
        </w:tc>
        <w:tc>
          <w:tcPr>
            <w:tcW w:w="4628"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0" w:firstLine="0"/>
              <w:jc w:val="left"/>
            </w:pPr>
            <w:r>
              <w:rPr>
                <w:sz w:val="20"/>
              </w:rPr>
              <w:t xml:space="preserve">Чека се потврда од стране УО, у складу са процедурама Фонда. Очекује се да ово буде завршено до краја децембра 2020. </w:t>
            </w:r>
          </w:p>
        </w:tc>
        <w:tc>
          <w:tcPr>
            <w:tcW w:w="1609"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0" w:firstLine="0"/>
              <w:jc w:val="left"/>
            </w:pPr>
            <w:r>
              <w:rPr>
                <w:sz w:val="20"/>
              </w:rPr>
              <w:t xml:space="preserve">  </w:t>
            </w:r>
          </w:p>
        </w:tc>
        <w:tc>
          <w:tcPr>
            <w:tcW w:w="2410"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0" w:firstLine="0"/>
              <w:jc w:val="left"/>
            </w:pPr>
            <w:r>
              <w:rPr>
                <w:sz w:val="20"/>
              </w:rPr>
              <w:t xml:space="preserve">  </w:t>
            </w:r>
          </w:p>
        </w:tc>
      </w:tr>
      <w:tr w:rsidR="00E8309B">
        <w:trPr>
          <w:trHeight w:val="2429"/>
        </w:trPr>
        <w:tc>
          <w:tcPr>
            <w:tcW w:w="466"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0" w:firstLine="0"/>
              <w:jc w:val="left"/>
            </w:pPr>
            <w:r>
              <w:rPr>
                <w:sz w:val="20"/>
              </w:rPr>
              <w:t xml:space="preserve">7. </w:t>
            </w:r>
          </w:p>
        </w:tc>
        <w:tc>
          <w:tcPr>
            <w:tcW w:w="3310" w:type="dxa"/>
            <w:tcBorders>
              <w:top w:val="single" w:sz="4" w:space="0" w:color="000000"/>
              <w:left w:val="single" w:sz="4" w:space="0" w:color="000000"/>
              <w:bottom w:val="single" w:sz="4" w:space="0" w:color="000000"/>
              <w:right w:val="single" w:sz="4" w:space="0" w:color="000000"/>
            </w:tcBorders>
          </w:tcPr>
          <w:p w:rsidR="00E8309B" w:rsidRDefault="009D0949">
            <w:pPr>
              <w:spacing w:after="1" w:line="238" w:lineRule="auto"/>
              <w:ind w:left="0" w:right="0" w:firstLine="0"/>
              <w:jc w:val="left"/>
            </w:pPr>
            <w:r>
              <w:rPr>
                <w:sz w:val="20"/>
              </w:rPr>
              <w:t xml:space="preserve">ђ) Реализација активности: 1. имплементаџија Програма трансфера технологије, 2. </w:t>
            </w:r>
          </w:p>
          <w:p w:rsidR="00E8309B" w:rsidRDefault="009D0949">
            <w:pPr>
              <w:spacing w:after="0" w:line="259" w:lineRule="auto"/>
              <w:ind w:left="0" w:right="0" w:firstLine="0"/>
              <w:jc w:val="left"/>
            </w:pPr>
            <w:r>
              <w:rPr>
                <w:sz w:val="20"/>
              </w:rPr>
              <w:t xml:space="preserve">реалиѕација Програма иновационих ваучера, 3. реализација Програма доказ концепта  + потенцијални развој нових сервисних линија </w:t>
            </w:r>
          </w:p>
        </w:tc>
        <w:tc>
          <w:tcPr>
            <w:tcW w:w="1800"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0" w:firstLine="0"/>
              <w:jc w:val="left"/>
            </w:pPr>
            <w:r>
              <w:rPr>
                <w:sz w:val="20"/>
              </w:rPr>
              <w:t xml:space="preserve">напредак у спровођењу </w:t>
            </w:r>
          </w:p>
        </w:tc>
        <w:tc>
          <w:tcPr>
            <w:tcW w:w="4628"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77" w:lineRule="auto"/>
              <w:ind w:left="0" w:right="0" w:firstLine="0"/>
              <w:jc w:val="left"/>
            </w:pPr>
            <w:r>
              <w:rPr>
                <w:sz w:val="20"/>
              </w:rPr>
              <w:t>Програм трансфера технол</w:t>
            </w:r>
            <w:r>
              <w:rPr>
                <w:sz w:val="20"/>
              </w:rPr>
              <w:t xml:space="preserve">огије се спроводи у скалду са планом.  </w:t>
            </w:r>
          </w:p>
          <w:p w:rsidR="00E8309B" w:rsidRDefault="009D0949">
            <w:pPr>
              <w:spacing w:after="0" w:line="259" w:lineRule="auto"/>
              <w:ind w:left="0" w:right="0" w:firstLine="0"/>
              <w:jc w:val="left"/>
            </w:pPr>
            <w:r>
              <w:rPr>
                <w:sz w:val="20"/>
              </w:rPr>
              <w:t xml:space="preserve">Други позив за Програм Доказ концепта је спроведен и пријаве су тренутно у фази оцењивања. Очекује се да уговори са добитницима буду потписани у другој половини 2020. године. </w:t>
            </w:r>
            <w:r>
              <w:rPr>
                <w:sz w:val="20"/>
              </w:rPr>
              <w:t xml:space="preserve">Јавни позиви за доделу иновационих ваучера се спроводе по установљеној динамици. Наредни јавни позив се очекује у другој половини септембра. </w:t>
            </w:r>
          </w:p>
        </w:tc>
        <w:tc>
          <w:tcPr>
            <w:tcW w:w="1609"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0" w:firstLine="0"/>
              <w:jc w:val="left"/>
            </w:pPr>
            <w:r>
              <w:rPr>
                <w:sz w:val="20"/>
              </w:rPr>
              <w:t xml:space="preserve">  </w:t>
            </w:r>
          </w:p>
        </w:tc>
        <w:tc>
          <w:tcPr>
            <w:tcW w:w="2410"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0" w:firstLine="0"/>
              <w:jc w:val="left"/>
            </w:pPr>
            <w:r>
              <w:rPr>
                <w:sz w:val="20"/>
              </w:rPr>
              <w:t xml:space="preserve">  </w:t>
            </w:r>
          </w:p>
        </w:tc>
      </w:tr>
      <w:tr w:rsidR="00E8309B">
        <w:trPr>
          <w:trHeight w:val="590"/>
        </w:trPr>
        <w:tc>
          <w:tcPr>
            <w:tcW w:w="466"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0" w:firstLine="0"/>
              <w:jc w:val="left"/>
            </w:pPr>
            <w:r>
              <w:rPr>
                <w:sz w:val="20"/>
              </w:rPr>
              <w:t xml:space="preserve">  </w:t>
            </w:r>
          </w:p>
        </w:tc>
        <w:tc>
          <w:tcPr>
            <w:tcW w:w="3310"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0" w:firstLine="0"/>
              <w:jc w:val="left"/>
            </w:pPr>
            <w:r>
              <w:rPr>
                <w:b/>
                <w:sz w:val="20"/>
              </w:rPr>
              <w:t xml:space="preserve">"Подршка Европске уније развоју пословних инкубатора"  </w:t>
            </w:r>
          </w:p>
        </w:tc>
        <w:tc>
          <w:tcPr>
            <w:tcW w:w="1800"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0" w:firstLine="0"/>
              <w:jc w:val="left"/>
            </w:pPr>
            <w:r>
              <w:rPr>
                <w:sz w:val="20"/>
              </w:rPr>
              <w:t xml:space="preserve">  </w:t>
            </w:r>
          </w:p>
        </w:tc>
        <w:tc>
          <w:tcPr>
            <w:tcW w:w="4628"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0" w:firstLine="0"/>
              <w:jc w:val="left"/>
            </w:pPr>
            <w:r>
              <w:rPr>
                <w:sz w:val="20"/>
              </w:rPr>
              <w:t xml:space="preserve">  </w:t>
            </w:r>
          </w:p>
        </w:tc>
        <w:tc>
          <w:tcPr>
            <w:tcW w:w="1609"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0" w:firstLine="0"/>
              <w:jc w:val="left"/>
            </w:pPr>
            <w:r>
              <w:rPr>
                <w:sz w:val="20"/>
              </w:rPr>
              <w:t xml:space="preserve">  </w:t>
            </w:r>
          </w:p>
        </w:tc>
        <w:tc>
          <w:tcPr>
            <w:tcW w:w="2410"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0" w:firstLine="0"/>
              <w:jc w:val="left"/>
            </w:pPr>
            <w:r>
              <w:rPr>
                <w:sz w:val="20"/>
              </w:rPr>
              <w:t xml:space="preserve">  </w:t>
            </w:r>
          </w:p>
        </w:tc>
      </w:tr>
    </w:tbl>
    <w:p w:rsidR="00E8309B" w:rsidRDefault="00E8309B">
      <w:pPr>
        <w:spacing w:after="0" w:line="259" w:lineRule="auto"/>
        <w:ind w:left="-1138" w:right="10666" w:firstLine="0"/>
        <w:jc w:val="left"/>
      </w:pPr>
    </w:p>
    <w:tbl>
      <w:tblPr>
        <w:tblStyle w:val="TableGrid"/>
        <w:tblW w:w="14220" w:type="dxa"/>
        <w:tblInd w:w="6" w:type="dxa"/>
        <w:tblCellMar>
          <w:top w:w="10" w:type="dxa"/>
          <w:left w:w="107" w:type="dxa"/>
          <w:bottom w:w="0" w:type="dxa"/>
          <w:right w:w="59" w:type="dxa"/>
        </w:tblCellMar>
        <w:tblLook w:val="04A0" w:firstRow="1" w:lastRow="0" w:firstColumn="1" w:lastColumn="0" w:noHBand="0" w:noVBand="1"/>
      </w:tblPr>
      <w:tblGrid>
        <w:gridCol w:w="465"/>
        <w:gridCol w:w="3311"/>
        <w:gridCol w:w="1798"/>
        <w:gridCol w:w="4629"/>
        <w:gridCol w:w="1609"/>
        <w:gridCol w:w="2409"/>
      </w:tblGrid>
      <w:tr w:rsidR="00E8309B">
        <w:trPr>
          <w:trHeight w:val="1970"/>
        </w:trPr>
        <w:tc>
          <w:tcPr>
            <w:tcW w:w="465"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0" w:firstLine="0"/>
              <w:jc w:val="left"/>
            </w:pPr>
            <w:r>
              <w:rPr>
                <w:sz w:val="20"/>
              </w:rPr>
              <w:t xml:space="preserve">8. </w:t>
            </w:r>
          </w:p>
        </w:tc>
        <w:tc>
          <w:tcPr>
            <w:tcW w:w="3311"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1" w:right="0" w:firstLine="0"/>
              <w:jc w:val="left"/>
            </w:pPr>
            <w:r>
              <w:rPr>
                <w:sz w:val="20"/>
              </w:rPr>
              <w:t xml:space="preserve">Реализација активности друге компоненте пројекта- Унапређење услуга пословних инкубатора </w:t>
            </w:r>
          </w:p>
        </w:tc>
        <w:tc>
          <w:tcPr>
            <w:tcW w:w="1798"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0" w:firstLine="0"/>
              <w:jc w:val="left"/>
            </w:pPr>
            <w:r>
              <w:rPr>
                <w:sz w:val="20"/>
              </w:rPr>
              <w:t xml:space="preserve">напредак у спровођењу </w:t>
            </w:r>
          </w:p>
        </w:tc>
        <w:tc>
          <w:tcPr>
            <w:tcW w:w="4629"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2" w:right="0" w:firstLine="0"/>
              <w:jc w:val="left"/>
            </w:pPr>
            <w:r>
              <w:rPr>
                <w:sz w:val="20"/>
              </w:rPr>
              <w:t>Динамика спровођења је у складу са постављеним плановима. Припремљени су Приручници за пружање услуга високо-</w:t>
            </w:r>
            <w:r>
              <w:rPr>
                <w:sz w:val="20"/>
              </w:rPr>
              <w:t xml:space="preserve">технолошких пословних инкубатора и пословних инкубатора за подршку самозапошљавању. Спроведени су интензивни програми подизања капацитета високотехнолошких пословних инкубатора и пословних инкубатора за подршку самозапошљавању. </w:t>
            </w:r>
          </w:p>
        </w:tc>
        <w:tc>
          <w:tcPr>
            <w:tcW w:w="1609"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1" w:right="0" w:firstLine="0"/>
              <w:jc w:val="left"/>
            </w:pPr>
            <w:r>
              <w:rPr>
                <w:sz w:val="20"/>
              </w:rPr>
              <w:t xml:space="preserve">  </w:t>
            </w:r>
          </w:p>
        </w:tc>
        <w:tc>
          <w:tcPr>
            <w:tcW w:w="2409"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1" w:right="0" w:firstLine="0"/>
              <w:jc w:val="left"/>
            </w:pPr>
            <w:r>
              <w:rPr>
                <w:sz w:val="20"/>
              </w:rPr>
              <w:t xml:space="preserve">  </w:t>
            </w:r>
          </w:p>
        </w:tc>
      </w:tr>
      <w:tr w:rsidR="00E8309B">
        <w:trPr>
          <w:trHeight w:val="1741"/>
        </w:trPr>
        <w:tc>
          <w:tcPr>
            <w:tcW w:w="465"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0" w:firstLine="0"/>
              <w:jc w:val="left"/>
            </w:pPr>
            <w:r>
              <w:rPr>
                <w:sz w:val="20"/>
              </w:rPr>
              <w:t xml:space="preserve">9. </w:t>
            </w:r>
          </w:p>
        </w:tc>
        <w:tc>
          <w:tcPr>
            <w:tcW w:w="3311"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1" w:right="0" w:firstLine="0"/>
              <w:jc w:val="left"/>
            </w:pPr>
            <w:r>
              <w:rPr>
                <w:sz w:val="20"/>
              </w:rPr>
              <w:t>Реализација акти</w:t>
            </w:r>
            <w:r>
              <w:rPr>
                <w:sz w:val="20"/>
              </w:rPr>
              <w:t xml:space="preserve">вности треће компоненте пројекта- Унапређење капацитета релевантних стејкхолдера за оснивање и управљање пословним инкубаторима  </w:t>
            </w:r>
          </w:p>
        </w:tc>
        <w:tc>
          <w:tcPr>
            <w:tcW w:w="1798"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0" w:firstLine="0"/>
              <w:jc w:val="left"/>
            </w:pPr>
            <w:r>
              <w:rPr>
                <w:sz w:val="20"/>
              </w:rPr>
              <w:t xml:space="preserve">напредак у спровођењу </w:t>
            </w:r>
          </w:p>
        </w:tc>
        <w:tc>
          <w:tcPr>
            <w:tcW w:w="4629"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2" w:right="0" w:firstLine="0"/>
              <w:jc w:val="left"/>
            </w:pPr>
            <w:r>
              <w:rPr>
                <w:sz w:val="20"/>
              </w:rPr>
              <w:t>У току је израда  ЈПП модела за оснивање и управљање пословним инкубаторима. Организовано је учешће на Међународној конференцији НТП (IASP) и размена искуства и знања кроз учешће у виртуелним студијским посетама екосистемима пословних инкубатора у Литваниј</w:t>
            </w:r>
            <w:r>
              <w:rPr>
                <w:sz w:val="20"/>
              </w:rPr>
              <w:t xml:space="preserve">и, Естонији и Пољској. </w:t>
            </w:r>
          </w:p>
        </w:tc>
        <w:tc>
          <w:tcPr>
            <w:tcW w:w="1609"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1" w:right="0" w:firstLine="0"/>
              <w:jc w:val="left"/>
            </w:pPr>
            <w:r>
              <w:rPr>
                <w:sz w:val="20"/>
              </w:rPr>
              <w:t xml:space="preserve">  </w:t>
            </w:r>
          </w:p>
        </w:tc>
        <w:tc>
          <w:tcPr>
            <w:tcW w:w="2409"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1" w:right="0" w:firstLine="0"/>
              <w:jc w:val="left"/>
            </w:pPr>
            <w:r>
              <w:rPr>
                <w:sz w:val="20"/>
              </w:rPr>
              <w:t xml:space="preserve">  </w:t>
            </w:r>
          </w:p>
        </w:tc>
      </w:tr>
      <w:tr w:rsidR="00E8309B">
        <w:trPr>
          <w:trHeight w:val="360"/>
        </w:trPr>
        <w:tc>
          <w:tcPr>
            <w:tcW w:w="465"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0" w:firstLine="0"/>
              <w:jc w:val="left"/>
            </w:pPr>
            <w:r>
              <w:rPr>
                <w:sz w:val="20"/>
              </w:rPr>
              <w:t xml:space="preserve">  </w:t>
            </w:r>
          </w:p>
        </w:tc>
        <w:tc>
          <w:tcPr>
            <w:tcW w:w="3311"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1" w:right="0" w:firstLine="0"/>
              <w:jc w:val="left"/>
            </w:pPr>
            <w:r>
              <w:rPr>
                <w:b/>
                <w:sz w:val="20"/>
              </w:rPr>
              <w:t xml:space="preserve">ИПА 2018 </w:t>
            </w:r>
          </w:p>
        </w:tc>
        <w:tc>
          <w:tcPr>
            <w:tcW w:w="1798"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0" w:firstLine="0"/>
              <w:jc w:val="left"/>
            </w:pPr>
            <w:r>
              <w:rPr>
                <w:sz w:val="20"/>
              </w:rPr>
              <w:t xml:space="preserve">  </w:t>
            </w:r>
          </w:p>
        </w:tc>
        <w:tc>
          <w:tcPr>
            <w:tcW w:w="4629"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2" w:right="0" w:firstLine="0"/>
              <w:jc w:val="left"/>
            </w:pPr>
            <w:r>
              <w:rPr>
                <w:sz w:val="20"/>
              </w:rPr>
              <w:t xml:space="preserve">  </w:t>
            </w:r>
          </w:p>
        </w:tc>
        <w:tc>
          <w:tcPr>
            <w:tcW w:w="1609"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1" w:right="0" w:firstLine="0"/>
              <w:jc w:val="left"/>
            </w:pPr>
            <w:r>
              <w:rPr>
                <w:sz w:val="20"/>
              </w:rPr>
              <w:t xml:space="preserve">  </w:t>
            </w:r>
          </w:p>
        </w:tc>
        <w:tc>
          <w:tcPr>
            <w:tcW w:w="2409"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1" w:right="0" w:firstLine="0"/>
              <w:jc w:val="left"/>
            </w:pPr>
            <w:r>
              <w:rPr>
                <w:sz w:val="20"/>
              </w:rPr>
              <w:t xml:space="preserve">  </w:t>
            </w:r>
          </w:p>
        </w:tc>
      </w:tr>
      <w:tr w:rsidR="00E8309B">
        <w:trPr>
          <w:trHeight w:val="1510"/>
        </w:trPr>
        <w:tc>
          <w:tcPr>
            <w:tcW w:w="465"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0" w:firstLine="0"/>
              <w:jc w:val="left"/>
            </w:pPr>
            <w:r>
              <w:rPr>
                <w:sz w:val="20"/>
              </w:rPr>
              <w:t xml:space="preserve">10. </w:t>
            </w:r>
          </w:p>
        </w:tc>
        <w:tc>
          <w:tcPr>
            <w:tcW w:w="3311"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1" w:right="43" w:firstLine="0"/>
              <w:jc w:val="left"/>
            </w:pPr>
            <w:r>
              <w:rPr>
                <w:sz w:val="20"/>
              </w:rPr>
              <w:t xml:space="preserve">а) Објава, оцењивање и имплементација 1 ЈП (Програм раног развоја и програм суфинансирања иновација), консултације, радионице и отворена врата </w:t>
            </w:r>
          </w:p>
        </w:tc>
        <w:tc>
          <w:tcPr>
            <w:tcW w:w="1798"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0" w:firstLine="0"/>
              <w:jc w:val="left"/>
            </w:pPr>
            <w:r>
              <w:rPr>
                <w:sz w:val="20"/>
              </w:rPr>
              <w:t xml:space="preserve">у припреми </w:t>
            </w:r>
          </w:p>
        </w:tc>
        <w:tc>
          <w:tcPr>
            <w:tcW w:w="4629"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2" w:right="0" w:firstLine="0"/>
              <w:jc w:val="left"/>
            </w:pPr>
            <w:r>
              <w:rPr>
                <w:sz w:val="20"/>
              </w:rPr>
              <w:t xml:space="preserve">Фонд за иновациону делатност је предао прелиминарну Апликацију CFCU-у. Потписивање уговора о директном гранту се очекује у I кварталу 2021. године. </w:t>
            </w:r>
          </w:p>
        </w:tc>
        <w:tc>
          <w:tcPr>
            <w:tcW w:w="1609"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1" w:right="0" w:firstLine="0"/>
              <w:jc w:val="left"/>
            </w:pPr>
            <w:r>
              <w:rPr>
                <w:sz w:val="20"/>
              </w:rPr>
              <w:t xml:space="preserve">  </w:t>
            </w:r>
          </w:p>
        </w:tc>
        <w:tc>
          <w:tcPr>
            <w:tcW w:w="2409"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1" w:right="0" w:firstLine="0"/>
              <w:jc w:val="left"/>
            </w:pPr>
            <w:r>
              <w:rPr>
                <w:sz w:val="20"/>
              </w:rPr>
              <w:t xml:space="preserve">  </w:t>
            </w:r>
          </w:p>
        </w:tc>
      </w:tr>
      <w:tr w:rsidR="00E8309B">
        <w:trPr>
          <w:trHeight w:val="592"/>
        </w:trPr>
        <w:tc>
          <w:tcPr>
            <w:tcW w:w="465" w:type="dxa"/>
            <w:tcBorders>
              <w:top w:val="single" w:sz="4" w:space="0" w:color="000000"/>
              <w:left w:val="single" w:sz="4" w:space="0" w:color="000000"/>
              <w:bottom w:val="single" w:sz="4" w:space="0" w:color="000000"/>
              <w:right w:val="single" w:sz="4" w:space="0" w:color="000000"/>
            </w:tcBorders>
          </w:tcPr>
          <w:p w:rsidR="00E8309B" w:rsidRDefault="009D0949">
            <w:pPr>
              <w:spacing w:after="159" w:line="259" w:lineRule="auto"/>
              <w:ind w:left="0" w:right="0" w:firstLine="0"/>
              <w:jc w:val="left"/>
            </w:pPr>
            <w:r>
              <w:rPr>
                <w:sz w:val="20"/>
              </w:rPr>
              <w:t xml:space="preserve">11. </w:t>
            </w:r>
          </w:p>
          <w:p w:rsidR="00E8309B" w:rsidRDefault="009D0949">
            <w:pPr>
              <w:spacing w:after="0" w:line="259" w:lineRule="auto"/>
              <w:ind w:left="0" w:right="0" w:firstLine="0"/>
              <w:jc w:val="left"/>
            </w:pPr>
            <w:r>
              <w:rPr>
                <w:sz w:val="20"/>
              </w:rPr>
              <w:t xml:space="preserve"> </w:t>
            </w:r>
          </w:p>
        </w:tc>
        <w:tc>
          <w:tcPr>
            <w:tcW w:w="3311"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80" w:lineRule="auto"/>
              <w:ind w:left="1" w:right="0" w:firstLine="0"/>
            </w:pPr>
            <w:r>
              <w:rPr>
                <w:sz w:val="20"/>
              </w:rPr>
              <w:t xml:space="preserve">Спровођење Програма подршке дигиталне трансформације ММСП  </w:t>
            </w:r>
          </w:p>
          <w:p w:rsidR="00E8309B" w:rsidRDefault="009D0949">
            <w:pPr>
              <w:spacing w:after="0" w:line="259" w:lineRule="auto"/>
              <w:ind w:left="1" w:right="0" w:firstLine="0"/>
              <w:jc w:val="left"/>
            </w:pPr>
            <w:r>
              <w:rPr>
                <w:sz w:val="20"/>
              </w:rPr>
              <w:t xml:space="preserve"> </w:t>
            </w:r>
          </w:p>
        </w:tc>
        <w:tc>
          <w:tcPr>
            <w:tcW w:w="1798"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0" w:firstLine="0"/>
              <w:jc w:val="left"/>
            </w:pPr>
            <w:r>
              <w:rPr>
                <w:sz w:val="20"/>
              </w:rPr>
              <w:t xml:space="preserve">напредак у спровођењу </w:t>
            </w:r>
          </w:p>
        </w:tc>
        <w:tc>
          <w:tcPr>
            <w:tcW w:w="4629"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78" w:lineRule="auto"/>
              <w:ind w:left="2" w:right="0" w:firstLine="0"/>
              <w:jc w:val="left"/>
            </w:pPr>
            <w:r>
              <w:rPr>
                <w:sz w:val="20"/>
              </w:rPr>
              <w:t xml:space="preserve">Програм се континуирано спроводи до утрошка средстава. </w:t>
            </w:r>
          </w:p>
          <w:p w:rsidR="00E8309B" w:rsidRDefault="009D0949">
            <w:pPr>
              <w:spacing w:after="0" w:line="259" w:lineRule="auto"/>
              <w:ind w:left="2" w:right="0" w:firstLine="0"/>
              <w:jc w:val="left"/>
            </w:pPr>
            <w:r>
              <w:rPr>
                <w:sz w:val="20"/>
              </w:rPr>
              <w:t xml:space="preserve"> </w:t>
            </w:r>
          </w:p>
        </w:tc>
        <w:tc>
          <w:tcPr>
            <w:tcW w:w="1609" w:type="dxa"/>
            <w:tcBorders>
              <w:top w:val="single" w:sz="4" w:space="0" w:color="000000"/>
              <w:left w:val="single" w:sz="4" w:space="0" w:color="000000"/>
              <w:bottom w:val="single" w:sz="4" w:space="0" w:color="000000"/>
              <w:right w:val="single" w:sz="4" w:space="0" w:color="000000"/>
            </w:tcBorders>
          </w:tcPr>
          <w:p w:rsidR="00E8309B" w:rsidRDefault="009D0949">
            <w:pPr>
              <w:spacing w:after="159" w:line="259" w:lineRule="auto"/>
              <w:ind w:left="1" w:right="0" w:firstLine="0"/>
              <w:jc w:val="left"/>
            </w:pPr>
            <w:r>
              <w:rPr>
                <w:sz w:val="20"/>
              </w:rPr>
              <w:t xml:space="preserve">  </w:t>
            </w:r>
          </w:p>
          <w:p w:rsidR="00E8309B" w:rsidRDefault="009D0949">
            <w:pPr>
              <w:spacing w:after="0" w:line="259" w:lineRule="auto"/>
              <w:ind w:left="1" w:right="0" w:firstLine="0"/>
              <w:jc w:val="left"/>
            </w:pPr>
            <w:r>
              <w:rPr>
                <w:sz w:val="20"/>
              </w:rPr>
              <w:t xml:space="preserve"> </w:t>
            </w:r>
          </w:p>
        </w:tc>
        <w:tc>
          <w:tcPr>
            <w:tcW w:w="2409" w:type="dxa"/>
            <w:tcBorders>
              <w:top w:val="single" w:sz="4" w:space="0" w:color="000000"/>
              <w:left w:val="single" w:sz="4" w:space="0" w:color="000000"/>
              <w:bottom w:val="single" w:sz="4" w:space="0" w:color="000000"/>
              <w:right w:val="single" w:sz="4" w:space="0" w:color="000000"/>
            </w:tcBorders>
          </w:tcPr>
          <w:p w:rsidR="00E8309B" w:rsidRDefault="009D0949">
            <w:pPr>
              <w:spacing w:after="159" w:line="259" w:lineRule="auto"/>
              <w:ind w:left="1" w:right="0" w:firstLine="0"/>
              <w:jc w:val="left"/>
            </w:pPr>
            <w:r>
              <w:rPr>
                <w:sz w:val="20"/>
              </w:rPr>
              <w:t xml:space="preserve">  </w:t>
            </w:r>
          </w:p>
          <w:p w:rsidR="00E8309B" w:rsidRDefault="009D0949">
            <w:pPr>
              <w:spacing w:after="0" w:line="259" w:lineRule="auto"/>
              <w:ind w:left="1" w:right="0" w:firstLine="0"/>
              <w:jc w:val="left"/>
            </w:pPr>
            <w:r>
              <w:rPr>
                <w:sz w:val="20"/>
              </w:rPr>
              <w:t xml:space="preserve"> </w:t>
            </w:r>
          </w:p>
        </w:tc>
      </w:tr>
      <w:tr w:rsidR="00E8309B">
        <w:trPr>
          <w:trHeight w:val="383"/>
        </w:trPr>
        <w:tc>
          <w:tcPr>
            <w:tcW w:w="3776" w:type="dxa"/>
            <w:gridSpan w:val="2"/>
            <w:tcBorders>
              <w:top w:val="single" w:sz="4" w:space="0" w:color="000000"/>
              <w:left w:val="nil"/>
              <w:bottom w:val="single" w:sz="4" w:space="0" w:color="000000"/>
              <w:right w:val="single" w:sz="4" w:space="0" w:color="000000"/>
            </w:tcBorders>
          </w:tcPr>
          <w:p w:rsidR="00E8309B" w:rsidRDefault="00E8309B">
            <w:pPr>
              <w:spacing w:after="160" w:line="259" w:lineRule="auto"/>
              <w:ind w:left="0" w:right="0" w:firstLine="0"/>
              <w:jc w:val="left"/>
            </w:pPr>
          </w:p>
        </w:tc>
        <w:tc>
          <w:tcPr>
            <w:tcW w:w="1798" w:type="dxa"/>
            <w:tcBorders>
              <w:top w:val="single" w:sz="4" w:space="0" w:color="000000"/>
              <w:left w:val="single" w:sz="4" w:space="0" w:color="000000"/>
              <w:bottom w:val="single" w:sz="4" w:space="0" w:color="000000"/>
              <w:right w:val="single" w:sz="4" w:space="0" w:color="000000"/>
            </w:tcBorders>
            <w:shd w:val="clear" w:color="auto" w:fill="BDD6EE"/>
          </w:tcPr>
          <w:p w:rsidR="00E8309B" w:rsidRDefault="009D0949">
            <w:pPr>
              <w:spacing w:after="0" w:line="259" w:lineRule="auto"/>
              <w:ind w:left="0" w:right="51" w:firstLine="0"/>
              <w:jc w:val="center"/>
            </w:pPr>
            <w:r>
              <w:rPr>
                <w:b/>
                <w:sz w:val="20"/>
              </w:rPr>
              <w:t xml:space="preserve">78% </w:t>
            </w:r>
          </w:p>
        </w:tc>
        <w:tc>
          <w:tcPr>
            <w:tcW w:w="8646" w:type="dxa"/>
            <w:gridSpan w:val="3"/>
            <w:tcBorders>
              <w:top w:val="single" w:sz="4" w:space="0" w:color="000000"/>
              <w:left w:val="single" w:sz="4" w:space="0" w:color="000000"/>
              <w:bottom w:val="single" w:sz="4" w:space="0" w:color="000000"/>
              <w:right w:val="nil"/>
            </w:tcBorders>
          </w:tcPr>
          <w:p w:rsidR="00E8309B" w:rsidRDefault="00E8309B">
            <w:pPr>
              <w:spacing w:after="160" w:line="259" w:lineRule="auto"/>
              <w:ind w:left="0" w:right="0" w:firstLine="0"/>
              <w:jc w:val="left"/>
            </w:pPr>
          </w:p>
        </w:tc>
      </w:tr>
      <w:tr w:rsidR="00E8309B">
        <w:trPr>
          <w:trHeight w:val="404"/>
        </w:trPr>
        <w:tc>
          <w:tcPr>
            <w:tcW w:w="14220" w:type="dxa"/>
            <w:gridSpan w:val="6"/>
            <w:tcBorders>
              <w:top w:val="single" w:sz="4" w:space="0" w:color="000000"/>
              <w:left w:val="single" w:sz="4" w:space="0" w:color="000000"/>
              <w:bottom w:val="single" w:sz="4" w:space="0" w:color="000000"/>
              <w:right w:val="single" w:sz="4" w:space="0" w:color="000000"/>
            </w:tcBorders>
            <w:shd w:val="clear" w:color="auto" w:fill="D0CECE"/>
          </w:tcPr>
          <w:p w:rsidR="00E8309B" w:rsidRDefault="009D0949">
            <w:pPr>
              <w:spacing w:after="0" w:line="259" w:lineRule="auto"/>
              <w:ind w:left="0" w:right="0" w:firstLine="0"/>
              <w:jc w:val="left"/>
            </w:pPr>
            <w:r>
              <w:rPr>
                <w:b/>
              </w:rPr>
              <w:t>СР 14. Повећање доступности електронске управе грађанима и привреди кроз унапређење корисничких сервиса</w:t>
            </w:r>
            <w:r>
              <w:t xml:space="preserve"> </w:t>
            </w:r>
          </w:p>
        </w:tc>
      </w:tr>
      <w:tr w:rsidR="00E8309B">
        <w:trPr>
          <w:trHeight w:val="1283"/>
        </w:trPr>
        <w:tc>
          <w:tcPr>
            <w:tcW w:w="465"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0" w:firstLine="0"/>
              <w:jc w:val="left"/>
            </w:pPr>
            <w:r>
              <w:rPr>
                <w:sz w:val="20"/>
              </w:rPr>
              <w:t xml:space="preserve">1. </w:t>
            </w:r>
          </w:p>
        </w:tc>
        <w:tc>
          <w:tcPr>
            <w:tcW w:w="3311" w:type="dxa"/>
            <w:tcBorders>
              <w:top w:val="single" w:sz="4" w:space="0" w:color="000000"/>
              <w:left w:val="single" w:sz="4" w:space="0" w:color="000000"/>
              <w:bottom w:val="single" w:sz="4" w:space="0" w:color="000000"/>
              <w:right w:val="single" w:sz="4" w:space="0" w:color="000000"/>
            </w:tcBorders>
          </w:tcPr>
          <w:p w:rsidR="00E8309B" w:rsidRDefault="009D0949">
            <w:pPr>
              <w:spacing w:after="37" w:line="240" w:lineRule="auto"/>
              <w:ind w:left="1" w:right="0" w:firstLine="0"/>
            </w:pPr>
            <w:r>
              <w:rPr>
                <w:sz w:val="20"/>
              </w:rPr>
              <w:t xml:space="preserve">Успостављање Државног центра за управљање и чување података у </w:t>
            </w:r>
          </w:p>
          <w:p w:rsidR="00E8309B" w:rsidRDefault="009D0949">
            <w:pPr>
              <w:spacing w:after="19" w:line="259" w:lineRule="auto"/>
              <w:ind w:left="1" w:right="0" w:firstLine="0"/>
              <w:jc w:val="left"/>
            </w:pPr>
            <w:r>
              <w:rPr>
                <w:sz w:val="20"/>
              </w:rPr>
              <w:t xml:space="preserve">Крагујевцу - Дата центар </w:t>
            </w:r>
          </w:p>
          <w:p w:rsidR="00E8309B" w:rsidRDefault="009D0949">
            <w:pPr>
              <w:spacing w:after="0" w:line="259" w:lineRule="auto"/>
              <w:ind w:left="1" w:right="0" w:firstLine="0"/>
              <w:jc w:val="left"/>
            </w:pPr>
            <w:r>
              <w:rPr>
                <w:sz w:val="20"/>
              </w:rPr>
              <w:t xml:space="preserve">Крагујевац </w:t>
            </w:r>
          </w:p>
        </w:tc>
        <w:tc>
          <w:tcPr>
            <w:tcW w:w="1798"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0" w:firstLine="0"/>
              <w:jc w:val="left"/>
            </w:pPr>
            <w:r>
              <w:rPr>
                <w:sz w:val="20"/>
              </w:rPr>
              <w:t xml:space="preserve">потпуно спроведене </w:t>
            </w:r>
          </w:p>
        </w:tc>
        <w:tc>
          <w:tcPr>
            <w:tcW w:w="4629"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2" w:right="0" w:firstLine="0"/>
              <w:jc w:val="left"/>
            </w:pPr>
            <w:r>
              <w:rPr>
                <w:sz w:val="20"/>
              </w:rPr>
              <w:t>Функционална целина биће готова до половине месеца децембра, када ће бити организовано и званично отварање Дата Центра (Објекат 1). Непосредно пре тога, у наредних пар дана, Дата Центар ће бити пушт</w:t>
            </w:r>
            <w:r>
              <w:rPr>
                <w:sz w:val="20"/>
              </w:rPr>
              <w:t xml:space="preserve">ен у пробни рад. </w:t>
            </w:r>
          </w:p>
        </w:tc>
        <w:tc>
          <w:tcPr>
            <w:tcW w:w="1609"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1" w:right="0" w:firstLine="0"/>
              <w:jc w:val="left"/>
            </w:pPr>
            <w:r>
              <w:rPr>
                <w:sz w:val="20"/>
              </w:rPr>
              <w:t xml:space="preserve">  </w:t>
            </w:r>
          </w:p>
        </w:tc>
        <w:tc>
          <w:tcPr>
            <w:tcW w:w="2409"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1" w:right="0" w:firstLine="0"/>
              <w:jc w:val="left"/>
            </w:pPr>
            <w:r>
              <w:rPr>
                <w:sz w:val="20"/>
              </w:rPr>
              <w:t xml:space="preserve">  </w:t>
            </w:r>
          </w:p>
        </w:tc>
      </w:tr>
      <w:tr w:rsidR="00E8309B">
        <w:trPr>
          <w:trHeight w:val="818"/>
        </w:trPr>
        <w:tc>
          <w:tcPr>
            <w:tcW w:w="465"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0" w:firstLine="0"/>
              <w:jc w:val="left"/>
            </w:pPr>
            <w:r>
              <w:rPr>
                <w:sz w:val="20"/>
              </w:rPr>
              <w:t xml:space="preserve">2. </w:t>
            </w:r>
          </w:p>
        </w:tc>
        <w:tc>
          <w:tcPr>
            <w:tcW w:w="3311"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1" w:right="186" w:firstLine="0"/>
            </w:pPr>
            <w:r>
              <w:rPr>
                <w:sz w:val="20"/>
              </w:rPr>
              <w:t xml:space="preserve">Израда „Централног информационог система у области угоститељства и туризма" (ЦИС) </w:t>
            </w:r>
          </w:p>
        </w:tc>
        <w:tc>
          <w:tcPr>
            <w:tcW w:w="1798"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0" w:firstLine="0"/>
              <w:jc w:val="left"/>
            </w:pPr>
            <w:r>
              <w:rPr>
                <w:sz w:val="20"/>
              </w:rPr>
              <w:t xml:space="preserve">потпуно спроведене </w:t>
            </w:r>
          </w:p>
        </w:tc>
        <w:tc>
          <w:tcPr>
            <w:tcW w:w="4629"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2" w:right="0" w:firstLine="0"/>
              <w:jc w:val="left"/>
            </w:pPr>
            <w:r>
              <w:rPr>
                <w:sz w:val="20"/>
              </w:rPr>
              <w:t xml:space="preserve">  </w:t>
            </w:r>
          </w:p>
        </w:tc>
        <w:tc>
          <w:tcPr>
            <w:tcW w:w="1609"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1" w:right="0" w:firstLine="0"/>
              <w:jc w:val="left"/>
            </w:pPr>
            <w:r>
              <w:rPr>
                <w:sz w:val="20"/>
              </w:rPr>
              <w:t xml:space="preserve">  </w:t>
            </w:r>
          </w:p>
        </w:tc>
        <w:tc>
          <w:tcPr>
            <w:tcW w:w="2409"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1" w:right="0" w:firstLine="0"/>
              <w:jc w:val="left"/>
            </w:pPr>
            <w:r>
              <w:rPr>
                <w:sz w:val="20"/>
              </w:rPr>
              <w:t xml:space="preserve">  </w:t>
            </w:r>
          </w:p>
        </w:tc>
      </w:tr>
    </w:tbl>
    <w:p w:rsidR="00E8309B" w:rsidRDefault="00E8309B">
      <w:pPr>
        <w:spacing w:after="0" w:line="259" w:lineRule="auto"/>
        <w:ind w:left="-1138" w:right="10666" w:firstLine="0"/>
        <w:jc w:val="left"/>
      </w:pPr>
    </w:p>
    <w:tbl>
      <w:tblPr>
        <w:tblStyle w:val="TableGrid"/>
        <w:tblW w:w="14220" w:type="dxa"/>
        <w:tblInd w:w="6" w:type="dxa"/>
        <w:tblCellMar>
          <w:top w:w="7" w:type="dxa"/>
          <w:left w:w="107" w:type="dxa"/>
          <w:bottom w:w="0" w:type="dxa"/>
          <w:right w:w="68" w:type="dxa"/>
        </w:tblCellMar>
        <w:tblLook w:val="04A0" w:firstRow="1" w:lastRow="0" w:firstColumn="1" w:lastColumn="0" w:noHBand="0" w:noVBand="1"/>
      </w:tblPr>
      <w:tblGrid>
        <w:gridCol w:w="465"/>
        <w:gridCol w:w="3311"/>
        <w:gridCol w:w="1798"/>
        <w:gridCol w:w="4629"/>
        <w:gridCol w:w="1609"/>
        <w:gridCol w:w="2409"/>
      </w:tblGrid>
      <w:tr w:rsidR="00E8309B">
        <w:trPr>
          <w:trHeight w:val="1282"/>
        </w:trPr>
        <w:tc>
          <w:tcPr>
            <w:tcW w:w="465" w:type="dxa"/>
            <w:tcBorders>
              <w:top w:val="single" w:sz="4" w:space="0" w:color="000000"/>
              <w:left w:val="single" w:sz="4" w:space="0" w:color="000000"/>
              <w:bottom w:val="single" w:sz="4" w:space="0" w:color="000000"/>
              <w:right w:val="single" w:sz="4" w:space="0" w:color="000000"/>
            </w:tcBorders>
          </w:tcPr>
          <w:p w:rsidR="00E8309B" w:rsidRDefault="009D0949">
            <w:pPr>
              <w:spacing w:after="850" w:line="259" w:lineRule="auto"/>
              <w:ind w:left="0" w:right="0" w:firstLine="0"/>
              <w:jc w:val="left"/>
            </w:pPr>
            <w:r>
              <w:rPr>
                <w:sz w:val="20"/>
              </w:rPr>
              <w:t xml:space="preserve">3. </w:t>
            </w:r>
          </w:p>
          <w:p w:rsidR="00E8309B" w:rsidRDefault="009D0949">
            <w:pPr>
              <w:spacing w:after="0" w:line="259" w:lineRule="auto"/>
              <w:ind w:left="0" w:right="0" w:firstLine="0"/>
              <w:jc w:val="left"/>
            </w:pPr>
            <w:r>
              <w:rPr>
                <w:sz w:val="20"/>
              </w:rPr>
              <w:t xml:space="preserve"> </w:t>
            </w:r>
          </w:p>
        </w:tc>
        <w:tc>
          <w:tcPr>
            <w:tcW w:w="3311"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1" w:right="0" w:firstLine="0"/>
              <w:jc w:val="left"/>
            </w:pPr>
            <w:r>
              <w:rPr>
                <w:sz w:val="20"/>
              </w:rPr>
              <w:t xml:space="preserve">Унапређење функционалности еПлаћања+ на Порталу еУправа </w:t>
            </w:r>
          </w:p>
        </w:tc>
        <w:tc>
          <w:tcPr>
            <w:tcW w:w="1798"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0" w:firstLine="0"/>
              <w:jc w:val="left"/>
            </w:pPr>
            <w:r>
              <w:rPr>
                <w:sz w:val="20"/>
              </w:rPr>
              <w:t xml:space="preserve">напредак у спровођењу </w:t>
            </w:r>
          </w:p>
        </w:tc>
        <w:tc>
          <w:tcPr>
            <w:tcW w:w="4629"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0" w:lineRule="auto"/>
              <w:ind w:left="2" w:right="0" w:firstLine="0"/>
              <w:jc w:val="left"/>
            </w:pPr>
            <w:r>
              <w:rPr>
                <w:sz w:val="20"/>
              </w:rPr>
              <w:t xml:space="preserve">Техничко решење је спремно. Сада се ради на организационом спровођењу овог пројекта у оквиру државних органа који пружају услуге. Предвиђено је да се функционалност пусти у продукцију средином-крајем јануара 2021. године. </w:t>
            </w:r>
          </w:p>
          <w:p w:rsidR="00E8309B" w:rsidRDefault="009D0949">
            <w:pPr>
              <w:spacing w:after="0" w:line="259" w:lineRule="auto"/>
              <w:ind w:left="2" w:right="0" w:firstLine="0"/>
              <w:jc w:val="left"/>
            </w:pPr>
            <w:r>
              <w:rPr>
                <w:sz w:val="20"/>
              </w:rPr>
              <w:t xml:space="preserve"> </w:t>
            </w:r>
          </w:p>
        </w:tc>
        <w:tc>
          <w:tcPr>
            <w:tcW w:w="1609"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1" w:right="0" w:firstLine="0"/>
              <w:jc w:val="left"/>
            </w:pPr>
            <w:r>
              <w:rPr>
                <w:sz w:val="20"/>
              </w:rPr>
              <w:t xml:space="preserve">  </w:t>
            </w:r>
          </w:p>
        </w:tc>
        <w:tc>
          <w:tcPr>
            <w:tcW w:w="2409"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1" w:right="0" w:firstLine="0"/>
              <w:jc w:val="left"/>
            </w:pPr>
            <w:r>
              <w:rPr>
                <w:sz w:val="20"/>
              </w:rPr>
              <w:t xml:space="preserve">  </w:t>
            </w:r>
          </w:p>
        </w:tc>
      </w:tr>
      <w:tr w:rsidR="00E8309B">
        <w:trPr>
          <w:trHeight w:val="384"/>
        </w:trPr>
        <w:tc>
          <w:tcPr>
            <w:tcW w:w="3776" w:type="dxa"/>
            <w:gridSpan w:val="2"/>
            <w:tcBorders>
              <w:top w:val="single" w:sz="4" w:space="0" w:color="000000"/>
              <w:left w:val="nil"/>
              <w:bottom w:val="single" w:sz="4" w:space="0" w:color="000000"/>
              <w:right w:val="single" w:sz="4" w:space="0" w:color="000000"/>
            </w:tcBorders>
          </w:tcPr>
          <w:p w:rsidR="00E8309B" w:rsidRDefault="00E8309B">
            <w:pPr>
              <w:spacing w:after="160" w:line="259" w:lineRule="auto"/>
              <w:ind w:left="0" w:right="0" w:firstLine="0"/>
              <w:jc w:val="left"/>
            </w:pPr>
          </w:p>
        </w:tc>
        <w:tc>
          <w:tcPr>
            <w:tcW w:w="1798" w:type="dxa"/>
            <w:tcBorders>
              <w:top w:val="single" w:sz="4" w:space="0" w:color="000000"/>
              <w:left w:val="single" w:sz="4" w:space="0" w:color="000000"/>
              <w:bottom w:val="single" w:sz="4" w:space="0" w:color="000000"/>
              <w:right w:val="single" w:sz="4" w:space="0" w:color="000000"/>
            </w:tcBorders>
            <w:shd w:val="clear" w:color="auto" w:fill="BDD6EE"/>
          </w:tcPr>
          <w:p w:rsidR="00E8309B" w:rsidRDefault="009D0949">
            <w:pPr>
              <w:spacing w:after="0" w:line="259" w:lineRule="auto"/>
              <w:ind w:left="0" w:right="41" w:firstLine="0"/>
              <w:jc w:val="center"/>
            </w:pPr>
            <w:r>
              <w:rPr>
                <w:b/>
                <w:sz w:val="20"/>
              </w:rPr>
              <w:t xml:space="preserve">93% </w:t>
            </w:r>
          </w:p>
        </w:tc>
        <w:tc>
          <w:tcPr>
            <w:tcW w:w="8646" w:type="dxa"/>
            <w:gridSpan w:val="3"/>
            <w:tcBorders>
              <w:top w:val="single" w:sz="4" w:space="0" w:color="000000"/>
              <w:left w:val="single" w:sz="4" w:space="0" w:color="000000"/>
              <w:bottom w:val="single" w:sz="4" w:space="0" w:color="000000"/>
              <w:right w:val="nil"/>
            </w:tcBorders>
          </w:tcPr>
          <w:p w:rsidR="00E8309B" w:rsidRDefault="00E8309B">
            <w:pPr>
              <w:spacing w:after="160" w:line="259" w:lineRule="auto"/>
              <w:ind w:left="0" w:right="0" w:firstLine="0"/>
              <w:jc w:val="left"/>
            </w:pPr>
          </w:p>
        </w:tc>
      </w:tr>
      <w:tr w:rsidR="00E8309B">
        <w:trPr>
          <w:trHeight w:val="680"/>
        </w:trPr>
        <w:tc>
          <w:tcPr>
            <w:tcW w:w="14220" w:type="dxa"/>
            <w:gridSpan w:val="6"/>
            <w:tcBorders>
              <w:top w:val="single" w:sz="4" w:space="0" w:color="000000"/>
              <w:left w:val="single" w:sz="4" w:space="0" w:color="000000"/>
              <w:bottom w:val="single" w:sz="4" w:space="0" w:color="000000"/>
              <w:right w:val="single" w:sz="4" w:space="0" w:color="000000"/>
            </w:tcBorders>
            <w:shd w:val="clear" w:color="auto" w:fill="D0CECE"/>
          </w:tcPr>
          <w:p w:rsidR="00E8309B" w:rsidRDefault="009D0949">
            <w:pPr>
              <w:spacing w:after="0" w:line="259" w:lineRule="auto"/>
              <w:ind w:left="0" w:right="0" w:firstLine="0"/>
              <w:jc w:val="left"/>
            </w:pPr>
            <w:r>
              <w:rPr>
                <w:b/>
              </w:rPr>
              <w:t xml:space="preserve">СР 15. Унапређење сервиса електронске управе и образовања кроз развој националне информационо-комуникационе инфраструктуре  </w:t>
            </w:r>
          </w:p>
        </w:tc>
      </w:tr>
      <w:tr w:rsidR="00E8309B">
        <w:trPr>
          <w:trHeight w:val="592"/>
        </w:trPr>
        <w:tc>
          <w:tcPr>
            <w:tcW w:w="465"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0" w:firstLine="0"/>
              <w:jc w:val="left"/>
            </w:pPr>
            <w:r>
              <w:rPr>
                <w:sz w:val="20"/>
              </w:rPr>
              <w:t xml:space="preserve">1. </w:t>
            </w:r>
          </w:p>
        </w:tc>
        <w:tc>
          <w:tcPr>
            <w:tcW w:w="3311"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1" w:right="0" w:firstLine="0"/>
            </w:pPr>
            <w:r>
              <w:rPr>
                <w:sz w:val="20"/>
              </w:rPr>
              <w:t xml:space="preserve">Повезивање установа образовања и културе на АМРЕС </w:t>
            </w:r>
          </w:p>
        </w:tc>
        <w:tc>
          <w:tcPr>
            <w:tcW w:w="1798"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0" w:firstLine="0"/>
              <w:jc w:val="left"/>
            </w:pPr>
            <w:r>
              <w:rPr>
                <w:sz w:val="20"/>
              </w:rPr>
              <w:t xml:space="preserve">потпуно спроведене </w:t>
            </w:r>
          </w:p>
        </w:tc>
        <w:tc>
          <w:tcPr>
            <w:tcW w:w="4629"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2" w:right="0" w:firstLine="0"/>
              <w:jc w:val="left"/>
            </w:pPr>
            <w:r>
              <w:rPr>
                <w:sz w:val="20"/>
              </w:rPr>
              <w:t xml:space="preserve">  </w:t>
            </w:r>
          </w:p>
        </w:tc>
        <w:tc>
          <w:tcPr>
            <w:tcW w:w="1609"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1" w:right="0" w:firstLine="0"/>
              <w:jc w:val="left"/>
            </w:pPr>
            <w:r>
              <w:rPr>
                <w:sz w:val="20"/>
              </w:rPr>
              <w:t xml:space="preserve">  </w:t>
            </w:r>
          </w:p>
        </w:tc>
        <w:tc>
          <w:tcPr>
            <w:tcW w:w="2409"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1" w:right="0" w:firstLine="0"/>
              <w:jc w:val="left"/>
            </w:pPr>
            <w:r>
              <w:rPr>
                <w:sz w:val="20"/>
              </w:rPr>
              <w:t xml:space="preserve">  </w:t>
            </w:r>
          </w:p>
        </w:tc>
      </w:tr>
      <w:tr w:rsidR="00E8309B">
        <w:trPr>
          <w:trHeight w:val="1279"/>
        </w:trPr>
        <w:tc>
          <w:tcPr>
            <w:tcW w:w="465"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0" w:firstLine="0"/>
              <w:jc w:val="left"/>
            </w:pPr>
            <w:r>
              <w:rPr>
                <w:sz w:val="20"/>
              </w:rPr>
              <w:t xml:space="preserve">2. </w:t>
            </w:r>
          </w:p>
        </w:tc>
        <w:tc>
          <w:tcPr>
            <w:tcW w:w="3311"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1" w:right="0" w:firstLine="0"/>
              <w:jc w:val="left"/>
            </w:pPr>
            <w:r>
              <w:rPr>
                <w:sz w:val="20"/>
              </w:rPr>
              <w:t>Активности на унапређењу информационо-</w:t>
            </w:r>
            <w:r>
              <w:rPr>
                <w:sz w:val="20"/>
              </w:rPr>
              <w:t xml:space="preserve">комуникационе инфраструктуре у свим основним и средњим школама у РС – „Повезане школе“ </w:t>
            </w:r>
          </w:p>
        </w:tc>
        <w:tc>
          <w:tcPr>
            <w:tcW w:w="1798"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0" w:firstLine="0"/>
              <w:jc w:val="left"/>
            </w:pPr>
            <w:r>
              <w:rPr>
                <w:sz w:val="20"/>
              </w:rPr>
              <w:t xml:space="preserve">потпуно спроведене </w:t>
            </w:r>
          </w:p>
        </w:tc>
        <w:tc>
          <w:tcPr>
            <w:tcW w:w="4629"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2" w:right="0" w:firstLine="0"/>
              <w:jc w:val="left"/>
            </w:pPr>
            <w:r>
              <w:rPr>
                <w:sz w:val="20"/>
              </w:rPr>
              <w:t xml:space="preserve">  </w:t>
            </w:r>
          </w:p>
        </w:tc>
        <w:tc>
          <w:tcPr>
            <w:tcW w:w="1609"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1" w:right="0" w:firstLine="0"/>
              <w:jc w:val="left"/>
            </w:pPr>
            <w:r>
              <w:rPr>
                <w:sz w:val="20"/>
              </w:rPr>
              <w:t xml:space="preserve">  </w:t>
            </w:r>
          </w:p>
        </w:tc>
        <w:tc>
          <w:tcPr>
            <w:tcW w:w="2409"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1" w:right="0" w:firstLine="0"/>
              <w:jc w:val="left"/>
            </w:pPr>
            <w:r>
              <w:rPr>
                <w:sz w:val="20"/>
              </w:rPr>
              <w:t xml:space="preserve">  </w:t>
            </w:r>
          </w:p>
        </w:tc>
      </w:tr>
      <w:tr w:rsidR="00E8309B">
        <w:trPr>
          <w:trHeight w:val="5300"/>
        </w:trPr>
        <w:tc>
          <w:tcPr>
            <w:tcW w:w="465"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0" w:firstLine="0"/>
              <w:jc w:val="left"/>
            </w:pPr>
            <w:r>
              <w:rPr>
                <w:sz w:val="20"/>
              </w:rPr>
              <w:t xml:space="preserve">3. </w:t>
            </w:r>
          </w:p>
        </w:tc>
        <w:tc>
          <w:tcPr>
            <w:tcW w:w="3311"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1" w:right="0" w:firstLine="0"/>
              <w:jc w:val="left"/>
            </w:pPr>
            <w:r>
              <w:rPr>
                <w:sz w:val="20"/>
              </w:rPr>
              <w:t xml:space="preserve">Припреме за изградњу оптичке широкопојасне мреже  у руралним областима Србије </w:t>
            </w:r>
          </w:p>
        </w:tc>
        <w:tc>
          <w:tcPr>
            <w:tcW w:w="1798"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0" w:firstLine="0"/>
              <w:jc w:val="left"/>
            </w:pPr>
            <w:r>
              <w:rPr>
                <w:sz w:val="20"/>
              </w:rPr>
              <w:t xml:space="preserve">потпуно спроведене </w:t>
            </w:r>
          </w:p>
        </w:tc>
        <w:tc>
          <w:tcPr>
            <w:tcW w:w="4629" w:type="dxa"/>
            <w:tcBorders>
              <w:top w:val="single" w:sz="4" w:space="0" w:color="000000"/>
              <w:left w:val="single" w:sz="4" w:space="0" w:color="000000"/>
              <w:bottom w:val="single" w:sz="4" w:space="0" w:color="000000"/>
              <w:right w:val="single" w:sz="4" w:space="0" w:color="000000"/>
            </w:tcBorders>
          </w:tcPr>
          <w:p w:rsidR="00E8309B" w:rsidRDefault="009D0949">
            <w:pPr>
              <w:spacing w:after="34" w:line="244" w:lineRule="auto"/>
              <w:ind w:left="2" w:right="0" w:firstLine="0"/>
              <w:jc w:val="left"/>
            </w:pPr>
            <w:r>
              <w:rPr>
                <w:sz w:val="20"/>
              </w:rPr>
              <w:t>Влада РС је у марту 2020. године донела Уредбу о утврђивању Програма коришћења средстава Буџетског фонда за финансирање активности и мера унапређења и развоја области електронских комуникација и информационог друштва у 2020. години чије спровођење обухвата</w:t>
            </w:r>
            <w:r>
              <w:rPr>
                <w:sz w:val="20"/>
              </w:rPr>
              <w:t xml:space="preserve"> и пројекат за заједничку изградњу широкопојасне комуникационе инфраструктуре у „белим зонама“ у Републици Србији. </w:t>
            </w:r>
          </w:p>
          <w:p w:rsidR="00E8309B" w:rsidRDefault="009D0949">
            <w:pPr>
              <w:spacing w:after="0" w:line="242" w:lineRule="auto"/>
              <w:ind w:left="2" w:right="29" w:firstLine="0"/>
              <w:jc w:val="left"/>
            </w:pPr>
            <w:r>
              <w:rPr>
                <w:sz w:val="20"/>
              </w:rPr>
              <w:t xml:space="preserve">За реализацију овог пројекта МТТТ </w:t>
            </w:r>
            <w:r>
              <w:rPr>
                <w:sz w:val="20"/>
              </w:rPr>
              <w:t>је у септембру и новембру 2020. године објавило Јавне позиве за учешће оператора на заједничкој изградњи широкопојасне комуникационе инфраструктуре у руралним пределима Републике Србије, којима су прописани услови које оператори морају да испуне, дефинисан</w:t>
            </w:r>
            <w:r>
              <w:rPr>
                <w:sz w:val="20"/>
              </w:rPr>
              <w:t xml:space="preserve"> начин пријављивања, потребна документација као и рок за подношење пријава и утврђен критеријум за оцењивање и поступак одабира пријава оператора. Први јавни позив расписан је за 60 насеља и уговори су за 34 насеља потписани у новембру 2020. године док је </w:t>
            </w:r>
            <w:r>
              <w:rPr>
                <w:sz w:val="20"/>
              </w:rPr>
              <w:t xml:space="preserve">други Јавни позив расписан за 200 насеља. </w:t>
            </w:r>
          </w:p>
          <w:p w:rsidR="00E8309B" w:rsidRDefault="009D0949">
            <w:pPr>
              <w:spacing w:after="0" w:line="259" w:lineRule="auto"/>
              <w:ind w:left="2" w:right="0" w:firstLine="0"/>
              <w:jc w:val="left"/>
            </w:pPr>
            <w:r>
              <w:rPr>
                <w:sz w:val="20"/>
              </w:rPr>
              <w:t xml:space="preserve">Потписан је уговор о инвестиционом гранту са </w:t>
            </w:r>
          </w:p>
        </w:tc>
        <w:tc>
          <w:tcPr>
            <w:tcW w:w="1609"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1" w:right="0" w:firstLine="0"/>
              <w:jc w:val="left"/>
            </w:pPr>
            <w:r>
              <w:rPr>
                <w:sz w:val="20"/>
              </w:rPr>
              <w:t xml:space="preserve">  </w:t>
            </w:r>
          </w:p>
        </w:tc>
        <w:tc>
          <w:tcPr>
            <w:tcW w:w="2409"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1" w:right="0" w:firstLine="0"/>
              <w:jc w:val="left"/>
            </w:pPr>
            <w:r>
              <w:rPr>
                <w:sz w:val="20"/>
              </w:rPr>
              <w:t xml:space="preserve">  </w:t>
            </w:r>
          </w:p>
        </w:tc>
      </w:tr>
    </w:tbl>
    <w:p w:rsidR="00E8309B" w:rsidRDefault="00E8309B">
      <w:pPr>
        <w:spacing w:after="0" w:line="259" w:lineRule="auto"/>
        <w:ind w:left="-1138" w:right="10666" w:firstLine="0"/>
        <w:jc w:val="left"/>
      </w:pPr>
    </w:p>
    <w:tbl>
      <w:tblPr>
        <w:tblStyle w:val="TableGrid"/>
        <w:tblW w:w="14220" w:type="dxa"/>
        <w:tblInd w:w="6" w:type="dxa"/>
        <w:tblCellMar>
          <w:top w:w="10" w:type="dxa"/>
          <w:left w:w="107" w:type="dxa"/>
          <w:bottom w:w="0" w:type="dxa"/>
          <w:right w:w="92" w:type="dxa"/>
        </w:tblCellMar>
        <w:tblLook w:val="04A0" w:firstRow="1" w:lastRow="0" w:firstColumn="1" w:lastColumn="0" w:noHBand="0" w:noVBand="1"/>
      </w:tblPr>
      <w:tblGrid>
        <w:gridCol w:w="465"/>
        <w:gridCol w:w="3311"/>
        <w:gridCol w:w="1798"/>
        <w:gridCol w:w="4629"/>
        <w:gridCol w:w="1609"/>
        <w:gridCol w:w="2409"/>
      </w:tblGrid>
      <w:tr w:rsidR="00E8309B">
        <w:trPr>
          <w:trHeight w:val="1840"/>
        </w:trPr>
        <w:tc>
          <w:tcPr>
            <w:tcW w:w="465" w:type="dxa"/>
            <w:tcBorders>
              <w:top w:val="single" w:sz="4" w:space="0" w:color="000000"/>
              <w:left w:val="single" w:sz="4" w:space="0" w:color="000000"/>
              <w:bottom w:val="single" w:sz="4" w:space="0" w:color="000000"/>
              <w:right w:val="single" w:sz="4" w:space="0" w:color="000000"/>
            </w:tcBorders>
            <w:vAlign w:val="bottom"/>
          </w:tcPr>
          <w:p w:rsidR="00E8309B" w:rsidRDefault="009D0949">
            <w:pPr>
              <w:spacing w:after="0" w:line="259" w:lineRule="auto"/>
              <w:ind w:left="0" w:right="0" w:firstLine="0"/>
              <w:jc w:val="left"/>
            </w:pPr>
            <w:r>
              <w:rPr>
                <w:sz w:val="20"/>
              </w:rPr>
              <w:t xml:space="preserve"> </w:t>
            </w:r>
          </w:p>
        </w:tc>
        <w:tc>
          <w:tcPr>
            <w:tcW w:w="3311" w:type="dxa"/>
            <w:tcBorders>
              <w:top w:val="single" w:sz="4" w:space="0" w:color="000000"/>
              <w:left w:val="single" w:sz="4" w:space="0" w:color="000000"/>
              <w:bottom w:val="single" w:sz="4" w:space="0" w:color="000000"/>
              <w:right w:val="single" w:sz="4" w:space="0" w:color="000000"/>
            </w:tcBorders>
          </w:tcPr>
          <w:p w:rsidR="00E8309B" w:rsidRDefault="00E8309B">
            <w:pPr>
              <w:spacing w:after="160" w:line="259" w:lineRule="auto"/>
              <w:ind w:left="0" w:right="0" w:firstLine="0"/>
              <w:jc w:val="left"/>
            </w:pPr>
          </w:p>
        </w:tc>
        <w:tc>
          <w:tcPr>
            <w:tcW w:w="1798" w:type="dxa"/>
            <w:tcBorders>
              <w:top w:val="single" w:sz="4" w:space="0" w:color="000000"/>
              <w:left w:val="single" w:sz="4" w:space="0" w:color="000000"/>
              <w:bottom w:val="single" w:sz="4" w:space="0" w:color="000000"/>
              <w:right w:val="single" w:sz="4" w:space="0" w:color="000000"/>
            </w:tcBorders>
          </w:tcPr>
          <w:p w:rsidR="00E8309B" w:rsidRDefault="00E8309B">
            <w:pPr>
              <w:spacing w:after="160" w:line="259" w:lineRule="auto"/>
              <w:ind w:left="0" w:right="0" w:firstLine="0"/>
              <w:jc w:val="left"/>
            </w:pPr>
          </w:p>
        </w:tc>
        <w:tc>
          <w:tcPr>
            <w:tcW w:w="4629" w:type="dxa"/>
            <w:tcBorders>
              <w:top w:val="single" w:sz="4" w:space="0" w:color="000000"/>
              <w:left w:val="single" w:sz="4" w:space="0" w:color="000000"/>
              <w:bottom w:val="single" w:sz="4" w:space="0" w:color="000000"/>
              <w:right w:val="single" w:sz="4" w:space="0" w:color="000000"/>
            </w:tcBorders>
          </w:tcPr>
          <w:p w:rsidR="00E8309B" w:rsidRDefault="009D0949">
            <w:pPr>
              <w:spacing w:after="36" w:line="252" w:lineRule="auto"/>
              <w:ind w:left="2" w:right="0" w:firstLine="0"/>
              <w:jc w:val="left"/>
            </w:pPr>
            <w:r>
              <w:rPr>
                <w:sz w:val="20"/>
              </w:rPr>
              <w:t xml:space="preserve">Western Balkan Investment Framework за припрему комплетне пројектне документације потребне за имплементацију Пројекта у вредности од 1,7 милиона вера и </w:t>
            </w:r>
            <w:r>
              <w:rPr>
                <w:sz w:val="20"/>
              </w:rPr>
              <w:t xml:space="preserve">уговор о зајму са Европском банком за обнову и развој за финансирање фазе изградње оптичке широкопојасне мреже  у руралним областима Србије. </w:t>
            </w:r>
          </w:p>
          <w:p w:rsidR="00E8309B" w:rsidRDefault="009D0949">
            <w:pPr>
              <w:spacing w:after="0" w:line="259" w:lineRule="auto"/>
              <w:ind w:left="2" w:right="0" w:firstLine="0"/>
              <w:jc w:val="left"/>
            </w:pPr>
            <w:r>
              <w:rPr>
                <w:sz w:val="20"/>
              </w:rPr>
              <w:t xml:space="preserve"> </w:t>
            </w:r>
          </w:p>
        </w:tc>
        <w:tc>
          <w:tcPr>
            <w:tcW w:w="1609" w:type="dxa"/>
            <w:tcBorders>
              <w:top w:val="single" w:sz="4" w:space="0" w:color="000000"/>
              <w:left w:val="single" w:sz="4" w:space="0" w:color="000000"/>
              <w:bottom w:val="single" w:sz="4" w:space="0" w:color="000000"/>
              <w:right w:val="single" w:sz="4" w:space="0" w:color="000000"/>
            </w:tcBorders>
          </w:tcPr>
          <w:p w:rsidR="00E8309B" w:rsidRDefault="00E8309B">
            <w:pPr>
              <w:spacing w:after="160" w:line="259" w:lineRule="auto"/>
              <w:ind w:left="0" w:right="0" w:firstLine="0"/>
              <w:jc w:val="left"/>
            </w:pPr>
          </w:p>
        </w:tc>
        <w:tc>
          <w:tcPr>
            <w:tcW w:w="2409" w:type="dxa"/>
            <w:tcBorders>
              <w:top w:val="single" w:sz="4" w:space="0" w:color="000000"/>
              <w:left w:val="single" w:sz="4" w:space="0" w:color="000000"/>
              <w:bottom w:val="single" w:sz="4" w:space="0" w:color="000000"/>
              <w:right w:val="single" w:sz="4" w:space="0" w:color="000000"/>
            </w:tcBorders>
          </w:tcPr>
          <w:p w:rsidR="00E8309B" w:rsidRDefault="00E8309B">
            <w:pPr>
              <w:spacing w:after="160" w:line="259" w:lineRule="auto"/>
              <w:ind w:left="0" w:right="0" w:firstLine="0"/>
              <w:jc w:val="left"/>
            </w:pPr>
          </w:p>
        </w:tc>
      </w:tr>
      <w:tr w:rsidR="00E8309B">
        <w:trPr>
          <w:trHeight w:val="383"/>
        </w:trPr>
        <w:tc>
          <w:tcPr>
            <w:tcW w:w="3776" w:type="dxa"/>
            <w:gridSpan w:val="2"/>
            <w:tcBorders>
              <w:top w:val="single" w:sz="4" w:space="0" w:color="000000"/>
              <w:left w:val="nil"/>
              <w:bottom w:val="single" w:sz="4" w:space="0" w:color="000000"/>
              <w:right w:val="single" w:sz="4" w:space="0" w:color="000000"/>
            </w:tcBorders>
          </w:tcPr>
          <w:p w:rsidR="00E8309B" w:rsidRDefault="00E8309B">
            <w:pPr>
              <w:spacing w:after="160" w:line="259" w:lineRule="auto"/>
              <w:ind w:left="0" w:right="0" w:firstLine="0"/>
              <w:jc w:val="left"/>
            </w:pPr>
          </w:p>
        </w:tc>
        <w:tc>
          <w:tcPr>
            <w:tcW w:w="1798" w:type="dxa"/>
            <w:tcBorders>
              <w:top w:val="single" w:sz="4" w:space="0" w:color="000000"/>
              <w:left w:val="single" w:sz="4" w:space="0" w:color="000000"/>
              <w:bottom w:val="single" w:sz="4" w:space="0" w:color="000000"/>
              <w:right w:val="single" w:sz="4" w:space="0" w:color="000000"/>
            </w:tcBorders>
            <w:shd w:val="clear" w:color="auto" w:fill="BDD6EE"/>
          </w:tcPr>
          <w:p w:rsidR="00E8309B" w:rsidRDefault="009D0949">
            <w:pPr>
              <w:spacing w:after="0" w:line="259" w:lineRule="auto"/>
              <w:ind w:left="0" w:right="13" w:firstLine="0"/>
              <w:jc w:val="center"/>
            </w:pPr>
            <w:r>
              <w:rPr>
                <w:b/>
                <w:sz w:val="20"/>
              </w:rPr>
              <w:t xml:space="preserve">100% </w:t>
            </w:r>
          </w:p>
        </w:tc>
        <w:tc>
          <w:tcPr>
            <w:tcW w:w="8646" w:type="dxa"/>
            <w:gridSpan w:val="3"/>
            <w:tcBorders>
              <w:top w:val="single" w:sz="4" w:space="0" w:color="000000"/>
              <w:left w:val="single" w:sz="4" w:space="0" w:color="000000"/>
              <w:bottom w:val="single" w:sz="4" w:space="0" w:color="000000"/>
              <w:right w:val="nil"/>
            </w:tcBorders>
          </w:tcPr>
          <w:p w:rsidR="00E8309B" w:rsidRDefault="00E8309B">
            <w:pPr>
              <w:spacing w:after="160" w:line="259" w:lineRule="auto"/>
              <w:ind w:left="0" w:right="0" w:firstLine="0"/>
              <w:jc w:val="left"/>
            </w:pPr>
          </w:p>
        </w:tc>
      </w:tr>
      <w:tr w:rsidR="00E8309B">
        <w:trPr>
          <w:trHeight w:val="405"/>
        </w:trPr>
        <w:tc>
          <w:tcPr>
            <w:tcW w:w="14220" w:type="dxa"/>
            <w:gridSpan w:val="6"/>
            <w:tcBorders>
              <w:top w:val="single" w:sz="4" w:space="0" w:color="000000"/>
              <w:left w:val="single" w:sz="4" w:space="0" w:color="000000"/>
              <w:bottom w:val="single" w:sz="4" w:space="0" w:color="000000"/>
              <w:right w:val="single" w:sz="4" w:space="0" w:color="000000"/>
            </w:tcBorders>
            <w:shd w:val="clear" w:color="auto" w:fill="D0CECE"/>
          </w:tcPr>
          <w:p w:rsidR="00E8309B" w:rsidRDefault="009D0949">
            <w:pPr>
              <w:spacing w:after="0" w:line="259" w:lineRule="auto"/>
              <w:ind w:left="0" w:right="0" w:firstLine="0"/>
              <w:jc w:val="left"/>
            </w:pPr>
            <w:r>
              <w:rPr>
                <w:b/>
              </w:rPr>
              <w:t xml:space="preserve">СР 16. Унапређење услова и уклањање препрека трговини </w:t>
            </w:r>
          </w:p>
        </w:tc>
      </w:tr>
      <w:tr w:rsidR="00E8309B">
        <w:trPr>
          <w:trHeight w:val="1052"/>
        </w:trPr>
        <w:tc>
          <w:tcPr>
            <w:tcW w:w="465"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0" w:firstLine="0"/>
              <w:jc w:val="left"/>
            </w:pPr>
            <w:r>
              <w:rPr>
                <w:sz w:val="20"/>
              </w:rPr>
              <w:t xml:space="preserve">1. </w:t>
            </w:r>
          </w:p>
        </w:tc>
        <w:tc>
          <w:tcPr>
            <w:tcW w:w="3311"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1" w:right="0" w:firstLine="0"/>
              <w:jc w:val="left"/>
            </w:pPr>
            <w:r>
              <w:rPr>
                <w:sz w:val="20"/>
              </w:rPr>
              <w:t xml:space="preserve">Преговори о приступању СТО - </w:t>
            </w:r>
            <w:r>
              <w:rPr>
                <w:sz w:val="20"/>
              </w:rPr>
              <w:t xml:space="preserve">билатерални преговори, усвајање прописа усаглашаних са СТО правилима и принципима  </w:t>
            </w:r>
          </w:p>
        </w:tc>
        <w:tc>
          <w:tcPr>
            <w:tcW w:w="1798"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0" w:firstLine="0"/>
              <w:jc w:val="left"/>
            </w:pPr>
            <w:r>
              <w:rPr>
                <w:sz w:val="20"/>
              </w:rPr>
              <w:t xml:space="preserve">наставак спровођења са почетним резултатима </w:t>
            </w:r>
          </w:p>
        </w:tc>
        <w:tc>
          <w:tcPr>
            <w:tcW w:w="4629"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2" w:right="15" w:firstLine="0"/>
              <w:jc w:val="left"/>
            </w:pPr>
            <w:r>
              <w:rPr>
                <w:sz w:val="20"/>
              </w:rPr>
              <w:t xml:space="preserve">Успостављени контакти и започете консултације са појединим чланицама СТО са којима су још увек отворени билатерални преговори </w:t>
            </w:r>
          </w:p>
        </w:tc>
        <w:tc>
          <w:tcPr>
            <w:tcW w:w="1609"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1" w:right="0" w:firstLine="0"/>
              <w:jc w:val="left"/>
            </w:pPr>
            <w:r>
              <w:rPr>
                <w:sz w:val="20"/>
              </w:rPr>
              <w:t xml:space="preserve">  </w:t>
            </w:r>
          </w:p>
        </w:tc>
        <w:tc>
          <w:tcPr>
            <w:tcW w:w="2409"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1" w:right="0" w:firstLine="0"/>
              <w:jc w:val="left"/>
            </w:pPr>
            <w:r>
              <w:rPr>
                <w:sz w:val="20"/>
              </w:rPr>
              <w:t xml:space="preserve">  </w:t>
            </w:r>
          </w:p>
        </w:tc>
      </w:tr>
      <w:tr w:rsidR="00E8309B">
        <w:trPr>
          <w:trHeight w:val="1968"/>
        </w:trPr>
        <w:tc>
          <w:tcPr>
            <w:tcW w:w="465"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0" w:firstLine="0"/>
              <w:jc w:val="left"/>
            </w:pPr>
            <w:r>
              <w:rPr>
                <w:sz w:val="20"/>
              </w:rPr>
              <w:t xml:space="preserve">2. </w:t>
            </w:r>
          </w:p>
        </w:tc>
        <w:tc>
          <w:tcPr>
            <w:tcW w:w="3311"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1" w:right="21" w:firstLine="0"/>
              <w:jc w:val="left"/>
            </w:pPr>
            <w:r>
              <w:rPr>
                <w:sz w:val="20"/>
              </w:rPr>
              <w:t xml:space="preserve">MAP REA - ЦЕФТА – Спровођење Додатног протокола 5 о олакшавању трговине: припрема програма међусобног признавања докумената која се подносе приликом увоза и извоза робе, као и осталих иницијатива за олакшање трговине у оквиру ЦЕФТА </w:t>
            </w:r>
          </w:p>
        </w:tc>
        <w:tc>
          <w:tcPr>
            <w:tcW w:w="1798"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0" w:firstLine="0"/>
              <w:jc w:val="left"/>
            </w:pPr>
            <w:r>
              <w:rPr>
                <w:sz w:val="20"/>
              </w:rPr>
              <w:t xml:space="preserve">напредак у спровођењу </w:t>
            </w:r>
          </w:p>
        </w:tc>
        <w:tc>
          <w:tcPr>
            <w:tcW w:w="4629"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2" w:right="0" w:firstLine="0"/>
              <w:jc w:val="left"/>
            </w:pPr>
            <w:r>
              <w:rPr>
                <w:sz w:val="20"/>
              </w:rPr>
              <w:t xml:space="preserve">Усвојена је 18. децембра 2019. године Одлука о  успостављању поступка валидације међусобног признавања националних програма овлашћених привредних субјеката ЦЕФТА Страна у погледу сигурности и безбедности (АЕО), усвојена 25. фебруара </w:t>
            </w:r>
            <w:r>
              <w:rPr>
                <w:sz w:val="20"/>
              </w:rPr>
              <w:t xml:space="preserve">2020. Одлука о олакшавању трговине воћем и поврћем у ЦЕФТА </w:t>
            </w:r>
          </w:p>
        </w:tc>
        <w:tc>
          <w:tcPr>
            <w:tcW w:w="1609"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1" w:right="0" w:firstLine="0"/>
              <w:jc w:val="left"/>
            </w:pPr>
            <w:r>
              <w:rPr>
                <w:sz w:val="20"/>
              </w:rPr>
              <w:t xml:space="preserve">  </w:t>
            </w:r>
          </w:p>
        </w:tc>
        <w:tc>
          <w:tcPr>
            <w:tcW w:w="2409"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1" w:right="0" w:firstLine="0"/>
              <w:jc w:val="left"/>
            </w:pPr>
            <w:r>
              <w:rPr>
                <w:sz w:val="20"/>
              </w:rPr>
              <w:t xml:space="preserve">  </w:t>
            </w:r>
          </w:p>
        </w:tc>
      </w:tr>
      <w:tr w:rsidR="00E8309B">
        <w:trPr>
          <w:trHeight w:val="2036"/>
        </w:trPr>
        <w:tc>
          <w:tcPr>
            <w:tcW w:w="465"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0" w:firstLine="0"/>
              <w:jc w:val="left"/>
            </w:pPr>
            <w:r>
              <w:rPr>
                <w:sz w:val="20"/>
              </w:rPr>
              <w:t xml:space="preserve">3. </w:t>
            </w:r>
          </w:p>
        </w:tc>
        <w:tc>
          <w:tcPr>
            <w:tcW w:w="3311"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1" w:right="0" w:firstLine="0"/>
              <w:jc w:val="left"/>
            </w:pPr>
            <w:r>
              <w:rPr>
                <w:sz w:val="20"/>
              </w:rPr>
              <w:t xml:space="preserve">MAP REA - ЦЕФТА : Усвајање и спровођење Закона о ратификацији Додатног протокола 6 о трговини услугама </w:t>
            </w:r>
          </w:p>
        </w:tc>
        <w:tc>
          <w:tcPr>
            <w:tcW w:w="1798"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0" w:firstLine="0"/>
              <w:jc w:val="left"/>
            </w:pPr>
            <w:r>
              <w:rPr>
                <w:sz w:val="20"/>
              </w:rPr>
              <w:t xml:space="preserve">напредак у спровођењу </w:t>
            </w:r>
          </w:p>
        </w:tc>
        <w:tc>
          <w:tcPr>
            <w:tcW w:w="4629"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40" w:lineRule="auto"/>
              <w:ind w:left="2" w:right="0" w:firstLine="0"/>
              <w:jc w:val="left"/>
            </w:pPr>
            <w:r>
              <w:rPr>
                <w:sz w:val="20"/>
              </w:rPr>
              <w:t xml:space="preserve">ЦЕФТА Додатни Протокол 6 о трговини услугама усвојен је 18. децембра 2019. године у Тирани. Народна Скупштина је усвојила Закон о </w:t>
            </w:r>
          </w:p>
          <w:p w:rsidR="00E8309B" w:rsidRDefault="009D0949">
            <w:pPr>
              <w:spacing w:after="0" w:line="259" w:lineRule="auto"/>
              <w:ind w:left="2" w:right="0" w:firstLine="0"/>
              <w:jc w:val="left"/>
            </w:pPr>
            <w:r>
              <w:rPr>
                <w:sz w:val="20"/>
              </w:rPr>
              <w:t xml:space="preserve">потврђивању Додатног Протокола 6 24. фебруара </w:t>
            </w:r>
          </w:p>
          <w:p w:rsidR="00E8309B" w:rsidRDefault="009D0949">
            <w:pPr>
              <w:spacing w:after="0" w:line="259" w:lineRule="auto"/>
              <w:ind w:left="2" w:right="0" w:firstLine="0"/>
              <w:jc w:val="left"/>
            </w:pPr>
            <w:r>
              <w:rPr>
                <w:sz w:val="20"/>
              </w:rPr>
              <w:t>2020. године, усвојен је План дијалога о регулаторним питањима е-</w:t>
            </w:r>
            <w:r>
              <w:rPr>
                <w:sz w:val="20"/>
              </w:rPr>
              <w:t xml:space="preserve">трговине у ЦЕФТА, договорено је покретање интрарегионалне регионалне сарадње у пилот сектору туризма </w:t>
            </w:r>
          </w:p>
        </w:tc>
        <w:tc>
          <w:tcPr>
            <w:tcW w:w="1609"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1" w:right="0" w:firstLine="0"/>
              <w:jc w:val="left"/>
            </w:pPr>
            <w:r>
              <w:rPr>
                <w:sz w:val="20"/>
              </w:rPr>
              <w:t xml:space="preserve">  </w:t>
            </w:r>
          </w:p>
        </w:tc>
        <w:tc>
          <w:tcPr>
            <w:tcW w:w="2409"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1" w:right="0" w:firstLine="0"/>
              <w:jc w:val="left"/>
            </w:pPr>
            <w:r>
              <w:rPr>
                <w:sz w:val="20"/>
              </w:rPr>
              <w:t xml:space="preserve">  </w:t>
            </w:r>
          </w:p>
        </w:tc>
      </w:tr>
      <w:tr w:rsidR="00E8309B">
        <w:trPr>
          <w:trHeight w:val="1051"/>
        </w:trPr>
        <w:tc>
          <w:tcPr>
            <w:tcW w:w="465"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0" w:firstLine="0"/>
              <w:jc w:val="left"/>
            </w:pPr>
            <w:r>
              <w:rPr>
                <w:sz w:val="20"/>
              </w:rPr>
              <w:t xml:space="preserve">4. </w:t>
            </w:r>
          </w:p>
        </w:tc>
        <w:tc>
          <w:tcPr>
            <w:tcW w:w="3311"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1" w:right="132" w:firstLine="0"/>
            </w:pPr>
            <w:r>
              <w:rPr>
                <w:sz w:val="20"/>
              </w:rPr>
              <w:t xml:space="preserve">МАП РЕА - ЦЕФТА : Преговори и усвајање  Додатног протокола 7 о решавању спорова </w:t>
            </w:r>
          </w:p>
        </w:tc>
        <w:tc>
          <w:tcPr>
            <w:tcW w:w="1798"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0" w:firstLine="0"/>
              <w:jc w:val="left"/>
            </w:pPr>
            <w:r>
              <w:rPr>
                <w:sz w:val="20"/>
              </w:rPr>
              <w:t xml:space="preserve">наставак спровођења са почетним резултатима </w:t>
            </w:r>
          </w:p>
        </w:tc>
        <w:tc>
          <w:tcPr>
            <w:tcW w:w="4629"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2" w:right="0" w:firstLine="0"/>
            </w:pPr>
            <w:r>
              <w:rPr>
                <w:sz w:val="20"/>
              </w:rPr>
              <w:t xml:space="preserve">Током 2020. настављени преговори о Додатном Протоколу 7 </w:t>
            </w:r>
          </w:p>
        </w:tc>
        <w:tc>
          <w:tcPr>
            <w:tcW w:w="1609"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1" w:right="0" w:firstLine="0"/>
              <w:jc w:val="left"/>
            </w:pPr>
            <w:r>
              <w:rPr>
                <w:sz w:val="20"/>
              </w:rPr>
              <w:t xml:space="preserve">  </w:t>
            </w:r>
          </w:p>
        </w:tc>
        <w:tc>
          <w:tcPr>
            <w:tcW w:w="2409"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1" w:right="0" w:firstLine="0"/>
              <w:jc w:val="left"/>
            </w:pPr>
            <w:r>
              <w:rPr>
                <w:sz w:val="20"/>
              </w:rPr>
              <w:t xml:space="preserve">  </w:t>
            </w:r>
          </w:p>
        </w:tc>
      </w:tr>
    </w:tbl>
    <w:p w:rsidR="00E8309B" w:rsidRDefault="00E8309B">
      <w:pPr>
        <w:spacing w:after="0" w:line="259" w:lineRule="auto"/>
        <w:ind w:left="-1138" w:right="10666" w:firstLine="0"/>
        <w:jc w:val="left"/>
      </w:pPr>
    </w:p>
    <w:tbl>
      <w:tblPr>
        <w:tblStyle w:val="TableGrid"/>
        <w:tblW w:w="14220" w:type="dxa"/>
        <w:tblInd w:w="6" w:type="dxa"/>
        <w:tblCellMar>
          <w:top w:w="10" w:type="dxa"/>
          <w:left w:w="107" w:type="dxa"/>
          <w:bottom w:w="0" w:type="dxa"/>
          <w:right w:w="68" w:type="dxa"/>
        </w:tblCellMar>
        <w:tblLook w:val="04A0" w:firstRow="1" w:lastRow="0" w:firstColumn="1" w:lastColumn="0" w:noHBand="0" w:noVBand="1"/>
      </w:tblPr>
      <w:tblGrid>
        <w:gridCol w:w="465"/>
        <w:gridCol w:w="3311"/>
        <w:gridCol w:w="1798"/>
        <w:gridCol w:w="4629"/>
        <w:gridCol w:w="1609"/>
        <w:gridCol w:w="2409"/>
      </w:tblGrid>
      <w:tr w:rsidR="00E8309B">
        <w:trPr>
          <w:trHeight w:val="1282"/>
        </w:trPr>
        <w:tc>
          <w:tcPr>
            <w:tcW w:w="465" w:type="dxa"/>
            <w:tcBorders>
              <w:top w:val="single" w:sz="4" w:space="0" w:color="000000"/>
              <w:left w:val="single" w:sz="4" w:space="0" w:color="000000"/>
              <w:bottom w:val="single" w:sz="4" w:space="0" w:color="000000"/>
              <w:right w:val="single" w:sz="4" w:space="0" w:color="000000"/>
            </w:tcBorders>
          </w:tcPr>
          <w:p w:rsidR="00E8309B" w:rsidRDefault="009D0949">
            <w:pPr>
              <w:spacing w:after="850" w:line="259" w:lineRule="auto"/>
              <w:ind w:left="0" w:right="0" w:firstLine="0"/>
              <w:jc w:val="left"/>
            </w:pPr>
            <w:r>
              <w:rPr>
                <w:sz w:val="20"/>
              </w:rPr>
              <w:t xml:space="preserve">5. </w:t>
            </w:r>
          </w:p>
          <w:p w:rsidR="00E8309B" w:rsidRDefault="009D0949">
            <w:pPr>
              <w:spacing w:after="0" w:line="259" w:lineRule="auto"/>
              <w:ind w:left="0" w:right="0" w:firstLine="0"/>
              <w:jc w:val="left"/>
            </w:pPr>
            <w:r>
              <w:rPr>
                <w:sz w:val="20"/>
              </w:rPr>
              <w:t xml:space="preserve"> </w:t>
            </w:r>
          </w:p>
        </w:tc>
        <w:tc>
          <w:tcPr>
            <w:tcW w:w="3311"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1" w:right="0" w:firstLine="0"/>
              <w:jc w:val="left"/>
            </w:pPr>
            <w:r>
              <w:rPr>
                <w:sz w:val="20"/>
              </w:rPr>
              <w:t xml:space="preserve">Усвајање новог Акционог плана Националног координационог тела за олакшавање трговине  за 20202021 и спровођење дефинисаних активности </w:t>
            </w:r>
          </w:p>
        </w:tc>
        <w:tc>
          <w:tcPr>
            <w:tcW w:w="1798"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0" w:firstLine="0"/>
              <w:jc w:val="left"/>
            </w:pPr>
            <w:r>
              <w:rPr>
                <w:sz w:val="20"/>
              </w:rPr>
              <w:t xml:space="preserve">напредак у спровођењу </w:t>
            </w:r>
          </w:p>
        </w:tc>
        <w:tc>
          <w:tcPr>
            <w:tcW w:w="4629"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48" w:lineRule="auto"/>
              <w:ind w:left="2" w:right="49" w:firstLine="0"/>
              <w:jc w:val="left"/>
            </w:pPr>
            <w:r>
              <w:rPr>
                <w:sz w:val="20"/>
              </w:rPr>
              <w:t xml:space="preserve">Акциони планови за период 2020-2021 усвојени на седници НКТОТ 27. децембра 2019. године. Континуирано ће се спроводити активности четири стручне радне групе НКТОТ, у складу са АП. </w:t>
            </w:r>
          </w:p>
          <w:p w:rsidR="00E8309B" w:rsidRDefault="009D0949">
            <w:pPr>
              <w:spacing w:after="0" w:line="259" w:lineRule="auto"/>
              <w:ind w:left="2" w:right="0" w:firstLine="0"/>
              <w:jc w:val="left"/>
            </w:pPr>
            <w:r>
              <w:rPr>
                <w:sz w:val="20"/>
              </w:rPr>
              <w:t xml:space="preserve"> </w:t>
            </w:r>
          </w:p>
        </w:tc>
        <w:tc>
          <w:tcPr>
            <w:tcW w:w="1609"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1" w:right="0" w:firstLine="0"/>
              <w:jc w:val="left"/>
            </w:pPr>
            <w:r>
              <w:rPr>
                <w:sz w:val="20"/>
              </w:rPr>
              <w:t xml:space="preserve">  </w:t>
            </w:r>
          </w:p>
        </w:tc>
        <w:tc>
          <w:tcPr>
            <w:tcW w:w="2409"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1" w:right="0" w:firstLine="0"/>
              <w:jc w:val="left"/>
            </w:pPr>
            <w:r>
              <w:rPr>
                <w:sz w:val="20"/>
              </w:rPr>
              <w:t xml:space="preserve">  </w:t>
            </w:r>
          </w:p>
        </w:tc>
      </w:tr>
      <w:tr w:rsidR="00E8309B">
        <w:trPr>
          <w:trHeight w:val="384"/>
        </w:trPr>
        <w:tc>
          <w:tcPr>
            <w:tcW w:w="3776" w:type="dxa"/>
            <w:gridSpan w:val="2"/>
            <w:tcBorders>
              <w:top w:val="single" w:sz="4" w:space="0" w:color="000000"/>
              <w:left w:val="nil"/>
              <w:bottom w:val="single" w:sz="4" w:space="0" w:color="000000"/>
              <w:right w:val="single" w:sz="4" w:space="0" w:color="000000"/>
            </w:tcBorders>
          </w:tcPr>
          <w:p w:rsidR="00E8309B" w:rsidRDefault="00E8309B">
            <w:pPr>
              <w:spacing w:after="160" w:line="259" w:lineRule="auto"/>
              <w:ind w:left="0" w:right="0" w:firstLine="0"/>
              <w:jc w:val="left"/>
            </w:pPr>
          </w:p>
        </w:tc>
        <w:tc>
          <w:tcPr>
            <w:tcW w:w="1798" w:type="dxa"/>
            <w:tcBorders>
              <w:top w:val="single" w:sz="4" w:space="0" w:color="000000"/>
              <w:left w:val="single" w:sz="4" w:space="0" w:color="000000"/>
              <w:bottom w:val="single" w:sz="4" w:space="0" w:color="000000"/>
              <w:right w:val="single" w:sz="4" w:space="0" w:color="000000"/>
            </w:tcBorders>
            <w:shd w:val="clear" w:color="auto" w:fill="BDD6EE"/>
          </w:tcPr>
          <w:p w:rsidR="00E8309B" w:rsidRDefault="009D0949">
            <w:pPr>
              <w:spacing w:after="0" w:line="259" w:lineRule="auto"/>
              <w:ind w:left="0" w:right="41" w:firstLine="0"/>
              <w:jc w:val="center"/>
            </w:pPr>
            <w:r>
              <w:rPr>
                <w:b/>
                <w:sz w:val="20"/>
              </w:rPr>
              <w:t xml:space="preserve">72% </w:t>
            </w:r>
          </w:p>
        </w:tc>
        <w:tc>
          <w:tcPr>
            <w:tcW w:w="8646" w:type="dxa"/>
            <w:gridSpan w:val="3"/>
            <w:tcBorders>
              <w:top w:val="single" w:sz="4" w:space="0" w:color="000000"/>
              <w:left w:val="single" w:sz="4" w:space="0" w:color="000000"/>
              <w:bottom w:val="single" w:sz="4" w:space="0" w:color="000000"/>
              <w:right w:val="nil"/>
            </w:tcBorders>
          </w:tcPr>
          <w:p w:rsidR="00E8309B" w:rsidRDefault="00E8309B">
            <w:pPr>
              <w:spacing w:after="160" w:line="259" w:lineRule="auto"/>
              <w:ind w:left="0" w:right="0" w:firstLine="0"/>
              <w:jc w:val="left"/>
            </w:pPr>
          </w:p>
        </w:tc>
      </w:tr>
      <w:tr w:rsidR="00E8309B">
        <w:trPr>
          <w:trHeight w:val="404"/>
        </w:trPr>
        <w:tc>
          <w:tcPr>
            <w:tcW w:w="14220" w:type="dxa"/>
            <w:gridSpan w:val="6"/>
            <w:tcBorders>
              <w:top w:val="single" w:sz="4" w:space="0" w:color="000000"/>
              <w:left w:val="single" w:sz="4" w:space="0" w:color="000000"/>
              <w:bottom w:val="single" w:sz="4" w:space="0" w:color="000000"/>
              <w:right w:val="single" w:sz="4" w:space="0" w:color="000000"/>
            </w:tcBorders>
            <w:shd w:val="clear" w:color="auto" w:fill="D0CECE"/>
          </w:tcPr>
          <w:p w:rsidR="00E8309B" w:rsidRDefault="009D0949">
            <w:pPr>
              <w:spacing w:after="0" w:line="259" w:lineRule="auto"/>
              <w:ind w:left="0" w:right="0" w:firstLine="0"/>
              <w:jc w:val="left"/>
            </w:pPr>
            <w:r>
              <w:rPr>
                <w:b/>
              </w:rPr>
              <w:t xml:space="preserve">СР 17. „Производ инфо“ – </w:t>
            </w:r>
            <w:r>
              <w:rPr>
                <w:b/>
              </w:rPr>
              <w:t xml:space="preserve">успостављање јединственог дигиталног сервиса у вези са техничким прописимa </w:t>
            </w:r>
          </w:p>
        </w:tc>
      </w:tr>
      <w:tr w:rsidR="00E8309B">
        <w:trPr>
          <w:trHeight w:val="4272"/>
        </w:trPr>
        <w:tc>
          <w:tcPr>
            <w:tcW w:w="465"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0" w:firstLine="0"/>
              <w:jc w:val="left"/>
            </w:pPr>
            <w:r>
              <w:rPr>
                <w:sz w:val="20"/>
              </w:rPr>
              <w:t xml:space="preserve">1. </w:t>
            </w:r>
          </w:p>
        </w:tc>
        <w:tc>
          <w:tcPr>
            <w:tcW w:w="3311"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1" w:right="0" w:firstLine="0"/>
              <w:jc w:val="left"/>
            </w:pPr>
            <w:r>
              <w:rPr>
                <w:sz w:val="20"/>
              </w:rPr>
              <w:t xml:space="preserve">Идентификација потреба заинтересованих страна, структуре и садржаја портала „Производинфо“ са развојем методологије праћења напретка у овој области </w:t>
            </w:r>
          </w:p>
        </w:tc>
        <w:tc>
          <w:tcPr>
            <w:tcW w:w="1798"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0" w:firstLine="0"/>
              <w:jc w:val="left"/>
            </w:pPr>
            <w:r>
              <w:rPr>
                <w:sz w:val="20"/>
              </w:rPr>
              <w:t xml:space="preserve">наставак спровођења са </w:t>
            </w:r>
            <w:r>
              <w:rPr>
                <w:sz w:val="20"/>
              </w:rPr>
              <w:t xml:space="preserve">почетним резултатима </w:t>
            </w:r>
          </w:p>
        </w:tc>
        <w:tc>
          <w:tcPr>
            <w:tcW w:w="4629"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2" w:right="31" w:firstLine="0"/>
              <w:jc w:val="left"/>
            </w:pPr>
            <w:r>
              <w:rPr>
                <w:sz w:val="20"/>
              </w:rPr>
              <w:t xml:space="preserve">Реализација планираних активности касни услед промена које је донела  Ковид-19 криза, али је започета реализација ове активности. Са ИПА 2017 пројектом је договорено да подрже израду упитника за идентификацију потреба заинтересованих </w:t>
            </w:r>
            <w:r>
              <w:rPr>
                <w:sz w:val="20"/>
              </w:rPr>
              <w:t>страна. Такође је за потребе утврђивања утицаја кризе Ковид-19 на сектор инфраструктуре квалитета (ИК) и пружања услуга оцењивања усаглашености, спроведена анализа ефеката кризе на пословање институција ИК (Акредитационо тело Србије, Институт за стандардиз</w:t>
            </w:r>
            <w:r>
              <w:rPr>
                <w:sz w:val="20"/>
              </w:rPr>
              <w:t xml:space="preserve">ацију Србије и Дирекција за мере и драгоцене метале), као и именованих и овлашћених тела за оцењивање усаглашености (ТоУ) (привредни субјекти који пружају услуге оцењивања усаглашености). Поједини резултати ове анализе се користе за идентификацију потреба </w:t>
            </w:r>
            <w:r>
              <w:rPr>
                <w:sz w:val="20"/>
              </w:rPr>
              <w:t xml:space="preserve">заинтересованих страна.  </w:t>
            </w:r>
          </w:p>
        </w:tc>
        <w:tc>
          <w:tcPr>
            <w:tcW w:w="1609"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1" w:right="0" w:firstLine="0"/>
              <w:jc w:val="left"/>
            </w:pPr>
            <w:r>
              <w:rPr>
                <w:sz w:val="20"/>
              </w:rPr>
              <w:t xml:space="preserve">  </w:t>
            </w:r>
          </w:p>
        </w:tc>
        <w:tc>
          <w:tcPr>
            <w:tcW w:w="2409"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1" w:right="0" w:firstLine="0"/>
              <w:jc w:val="left"/>
            </w:pPr>
            <w:r>
              <w:rPr>
                <w:sz w:val="20"/>
              </w:rPr>
              <w:t xml:space="preserve">  </w:t>
            </w:r>
          </w:p>
        </w:tc>
      </w:tr>
      <w:tr w:rsidR="00E8309B">
        <w:trPr>
          <w:trHeight w:val="2201"/>
        </w:trPr>
        <w:tc>
          <w:tcPr>
            <w:tcW w:w="465"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0" w:firstLine="0"/>
              <w:jc w:val="left"/>
            </w:pPr>
            <w:r>
              <w:rPr>
                <w:sz w:val="20"/>
              </w:rPr>
              <w:t xml:space="preserve">2. </w:t>
            </w:r>
          </w:p>
        </w:tc>
        <w:tc>
          <w:tcPr>
            <w:tcW w:w="3311"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1" w:right="29" w:firstLine="0"/>
              <w:jc w:val="left"/>
            </w:pPr>
            <w:r>
              <w:rPr>
                <w:sz w:val="20"/>
              </w:rPr>
              <w:t xml:space="preserve">Анализа стања постојећих ИТ капацитета и софтверских решења и потреба за њиховим унапређењем у институцијама ИК (МП - Министарство привреде, ИСС - </w:t>
            </w:r>
          </w:p>
          <w:p w:rsidR="00E8309B" w:rsidRDefault="009D0949">
            <w:pPr>
              <w:spacing w:after="19" w:line="259" w:lineRule="auto"/>
              <w:ind w:left="1" w:right="0" w:firstLine="0"/>
              <w:jc w:val="left"/>
            </w:pPr>
            <w:r>
              <w:rPr>
                <w:sz w:val="20"/>
              </w:rPr>
              <w:t xml:space="preserve">Институт за стандардизацију </w:t>
            </w:r>
          </w:p>
          <w:p w:rsidR="00E8309B" w:rsidRDefault="009D0949">
            <w:pPr>
              <w:spacing w:after="0" w:line="259" w:lineRule="auto"/>
              <w:ind w:left="1" w:right="0" w:firstLine="0"/>
              <w:jc w:val="left"/>
            </w:pPr>
            <w:r>
              <w:rPr>
                <w:sz w:val="20"/>
              </w:rPr>
              <w:t xml:space="preserve">Србије, АТС - </w:t>
            </w:r>
            <w:r>
              <w:rPr>
                <w:sz w:val="20"/>
              </w:rPr>
              <w:t xml:space="preserve">Акредитационо тело Србије и ДМДМ - Дирекција за мере и драгоцене метале) </w:t>
            </w:r>
          </w:p>
        </w:tc>
        <w:tc>
          <w:tcPr>
            <w:tcW w:w="1798"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0" w:firstLine="0"/>
              <w:jc w:val="left"/>
            </w:pPr>
            <w:r>
              <w:rPr>
                <w:sz w:val="20"/>
              </w:rPr>
              <w:t xml:space="preserve">наставак спровођења са почетним резултатима </w:t>
            </w:r>
          </w:p>
        </w:tc>
        <w:tc>
          <w:tcPr>
            <w:tcW w:w="4629"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2" w:right="0" w:firstLine="0"/>
              <w:jc w:val="left"/>
            </w:pPr>
            <w:r>
              <w:rPr>
                <w:sz w:val="20"/>
              </w:rPr>
              <w:t>Припремљен је пројектни задатак за спровођење јавне набавке услуге анализе потреба и стања постојећих ИТ капацитета и израда пројектне до</w:t>
            </w:r>
            <w:r>
              <w:rPr>
                <w:sz w:val="20"/>
              </w:rPr>
              <w:t xml:space="preserve">кументације за набавку хардвера, софтвера и дигитализацију услуга. </w:t>
            </w:r>
          </w:p>
        </w:tc>
        <w:tc>
          <w:tcPr>
            <w:tcW w:w="1609"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1" w:right="0" w:firstLine="0"/>
              <w:jc w:val="left"/>
            </w:pPr>
            <w:r>
              <w:rPr>
                <w:sz w:val="20"/>
              </w:rPr>
              <w:t xml:space="preserve">  </w:t>
            </w:r>
          </w:p>
        </w:tc>
        <w:tc>
          <w:tcPr>
            <w:tcW w:w="2409"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1" w:right="0" w:firstLine="0"/>
              <w:jc w:val="left"/>
            </w:pPr>
            <w:r>
              <w:rPr>
                <w:sz w:val="20"/>
              </w:rPr>
              <w:t xml:space="preserve">  </w:t>
            </w:r>
          </w:p>
        </w:tc>
      </w:tr>
      <w:tr w:rsidR="00E8309B">
        <w:trPr>
          <w:trHeight w:val="955"/>
        </w:trPr>
        <w:tc>
          <w:tcPr>
            <w:tcW w:w="465"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0" w:firstLine="0"/>
              <w:jc w:val="left"/>
            </w:pPr>
            <w:r>
              <w:rPr>
                <w:sz w:val="20"/>
              </w:rPr>
              <w:t xml:space="preserve">3. </w:t>
            </w:r>
          </w:p>
        </w:tc>
        <w:tc>
          <w:tcPr>
            <w:tcW w:w="3311"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1" w:right="0" w:firstLine="0"/>
              <w:jc w:val="left"/>
            </w:pPr>
            <w:r>
              <w:rPr>
                <w:sz w:val="20"/>
              </w:rPr>
              <w:t xml:space="preserve">Унапређење база података и дигиталног сервиса у  (Сектор за квалитет и безбедност производа) у вези са технички захтеви за </w:t>
            </w:r>
          </w:p>
        </w:tc>
        <w:tc>
          <w:tcPr>
            <w:tcW w:w="1798"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0" w:firstLine="0"/>
              <w:jc w:val="left"/>
            </w:pPr>
            <w:r>
              <w:rPr>
                <w:sz w:val="20"/>
              </w:rPr>
              <w:t xml:space="preserve">не спроводи се </w:t>
            </w:r>
          </w:p>
        </w:tc>
        <w:tc>
          <w:tcPr>
            <w:tcW w:w="4629"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2" w:right="0" w:firstLine="0"/>
              <w:jc w:val="left"/>
            </w:pPr>
            <w:r>
              <w:rPr>
                <w:sz w:val="20"/>
              </w:rPr>
              <w:t xml:space="preserve">  </w:t>
            </w:r>
          </w:p>
        </w:tc>
        <w:tc>
          <w:tcPr>
            <w:tcW w:w="1609"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1" w:right="3" w:firstLine="0"/>
              <w:jc w:val="left"/>
            </w:pPr>
            <w:r>
              <w:rPr>
                <w:sz w:val="20"/>
              </w:rPr>
              <w:t xml:space="preserve">Ова активност је зависна од завршетка </w:t>
            </w:r>
          </w:p>
        </w:tc>
        <w:tc>
          <w:tcPr>
            <w:tcW w:w="2409"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1" w:right="0" w:firstLine="0"/>
              <w:jc w:val="left"/>
            </w:pPr>
            <w:r>
              <w:rPr>
                <w:sz w:val="20"/>
              </w:rPr>
              <w:t xml:space="preserve">  </w:t>
            </w:r>
          </w:p>
        </w:tc>
      </w:tr>
    </w:tbl>
    <w:p w:rsidR="00E8309B" w:rsidRDefault="00E8309B">
      <w:pPr>
        <w:spacing w:after="0" w:line="259" w:lineRule="auto"/>
        <w:ind w:left="-1138" w:right="10666" w:firstLine="0"/>
        <w:jc w:val="left"/>
      </w:pPr>
    </w:p>
    <w:tbl>
      <w:tblPr>
        <w:tblStyle w:val="TableGrid"/>
        <w:tblW w:w="14220" w:type="dxa"/>
        <w:tblInd w:w="6" w:type="dxa"/>
        <w:tblCellMar>
          <w:top w:w="10" w:type="dxa"/>
          <w:left w:w="107" w:type="dxa"/>
          <w:bottom w:w="0" w:type="dxa"/>
          <w:right w:w="68" w:type="dxa"/>
        </w:tblCellMar>
        <w:tblLook w:val="04A0" w:firstRow="1" w:lastRow="0" w:firstColumn="1" w:lastColumn="0" w:noHBand="0" w:noVBand="1"/>
      </w:tblPr>
      <w:tblGrid>
        <w:gridCol w:w="465"/>
        <w:gridCol w:w="3311"/>
        <w:gridCol w:w="1798"/>
        <w:gridCol w:w="4629"/>
        <w:gridCol w:w="1609"/>
        <w:gridCol w:w="2409"/>
      </w:tblGrid>
      <w:tr w:rsidR="00E8309B">
        <w:trPr>
          <w:trHeight w:val="956"/>
        </w:trPr>
        <w:tc>
          <w:tcPr>
            <w:tcW w:w="465" w:type="dxa"/>
            <w:tcBorders>
              <w:top w:val="single" w:sz="4" w:space="0" w:color="000000"/>
              <w:left w:val="single" w:sz="4" w:space="0" w:color="000000"/>
              <w:bottom w:val="single" w:sz="4" w:space="0" w:color="000000"/>
              <w:right w:val="single" w:sz="4" w:space="0" w:color="000000"/>
            </w:tcBorders>
            <w:vAlign w:val="bottom"/>
          </w:tcPr>
          <w:p w:rsidR="00E8309B" w:rsidRDefault="009D0949">
            <w:pPr>
              <w:spacing w:after="0" w:line="259" w:lineRule="auto"/>
              <w:ind w:left="0" w:right="0" w:firstLine="0"/>
              <w:jc w:val="left"/>
            </w:pPr>
            <w:r>
              <w:rPr>
                <w:sz w:val="20"/>
              </w:rPr>
              <w:t xml:space="preserve"> </w:t>
            </w:r>
          </w:p>
        </w:tc>
        <w:tc>
          <w:tcPr>
            <w:tcW w:w="3311" w:type="dxa"/>
            <w:tcBorders>
              <w:top w:val="single" w:sz="4" w:space="0" w:color="000000"/>
              <w:left w:val="single" w:sz="4" w:space="0" w:color="000000"/>
              <w:bottom w:val="single" w:sz="4" w:space="0" w:color="000000"/>
              <w:right w:val="single" w:sz="4" w:space="0" w:color="000000"/>
            </w:tcBorders>
          </w:tcPr>
          <w:p w:rsidR="00E8309B" w:rsidRDefault="009D0949">
            <w:pPr>
              <w:spacing w:after="37" w:line="240" w:lineRule="auto"/>
              <w:ind w:left="1" w:right="0" w:firstLine="0"/>
            </w:pPr>
            <w:r>
              <w:rPr>
                <w:sz w:val="20"/>
              </w:rPr>
              <w:t xml:space="preserve">производе и портала „TBT Enquire point (Контактна тачка за </w:t>
            </w:r>
          </w:p>
          <w:p w:rsidR="00E8309B" w:rsidRDefault="009D0949">
            <w:pPr>
              <w:spacing w:after="0" w:line="259" w:lineRule="auto"/>
              <w:ind w:left="1" w:right="0" w:firstLine="0"/>
              <w:jc w:val="left"/>
            </w:pPr>
            <w:r>
              <w:rPr>
                <w:sz w:val="20"/>
              </w:rPr>
              <w:t xml:space="preserve">производе) </w:t>
            </w:r>
          </w:p>
        </w:tc>
        <w:tc>
          <w:tcPr>
            <w:tcW w:w="1798" w:type="dxa"/>
            <w:tcBorders>
              <w:top w:val="single" w:sz="4" w:space="0" w:color="000000"/>
              <w:left w:val="single" w:sz="4" w:space="0" w:color="000000"/>
              <w:bottom w:val="single" w:sz="4" w:space="0" w:color="000000"/>
              <w:right w:val="single" w:sz="4" w:space="0" w:color="000000"/>
            </w:tcBorders>
          </w:tcPr>
          <w:p w:rsidR="00E8309B" w:rsidRDefault="00E8309B">
            <w:pPr>
              <w:spacing w:after="160" w:line="259" w:lineRule="auto"/>
              <w:ind w:left="0" w:right="0" w:firstLine="0"/>
              <w:jc w:val="left"/>
            </w:pPr>
          </w:p>
        </w:tc>
        <w:tc>
          <w:tcPr>
            <w:tcW w:w="4629" w:type="dxa"/>
            <w:tcBorders>
              <w:top w:val="single" w:sz="4" w:space="0" w:color="000000"/>
              <w:left w:val="single" w:sz="4" w:space="0" w:color="000000"/>
              <w:bottom w:val="single" w:sz="4" w:space="0" w:color="000000"/>
              <w:right w:val="single" w:sz="4" w:space="0" w:color="000000"/>
            </w:tcBorders>
            <w:vAlign w:val="bottom"/>
          </w:tcPr>
          <w:p w:rsidR="00E8309B" w:rsidRDefault="009D0949">
            <w:pPr>
              <w:spacing w:after="0" w:line="259" w:lineRule="auto"/>
              <w:ind w:left="2" w:right="0" w:firstLine="0"/>
              <w:jc w:val="left"/>
            </w:pPr>
            <w:r>
              <w:rPr>
                <w:sz w:val="20"/>
              </w:rPr>
              <w:t xml:space="preserve"> </w:t>
            </w:r>
          </w:p>
        </w:tc>
        <w:tc>
          <w:tcPr>
            <w:tcW w:w="1609"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1" w:right="0" w:firstLine="0"/>
              <w:jc w:val="left"/>
            </w:pPr>
            <w:r>
              <w:rPr>
                <w:sz w:val="20"/>
              </w:rPr>
              <w:t xml:space="preserve">претходне две активности.  </w:t>
            </w:r>
          </w:p>
        </w:tc>
        <w:tc>
          <w:tcPr>
            <w:tcW w:w="2409" w:type="dxa"/>
            <w:tcBorders>
              <w:top w:val="single" w:sz="4" w:space="0" w:color="000000"/>
              <w:left w:val="single" w:sz="4" w:space="0" w:color="000000"/>
              <w:bottom w:val="single" w:sz="4" w:space="0" w:color="000000"/>
              <w:right w:val="single" w:sz="4" w:space="0" w:color="000000"/>
            </w:tcBorders>
          </w:tcPr>
          <w:p w:rsidR="00E8309B" w:rsidRDefault="00E8309B">
            <w:pPr>
              <w:spacing w:after="160" w:line="259" w:lineRule="auto"/>
              <w:ind w:left="0" w:right="0" w:firstLine="0"/>
              <w:jc w:val="left"/>
            </w:pPr>
          </w:p>
        </w:tc>
      </w:tr>
      <w:tr w:rsidR="00E8309B">
        <w:trPr>
          <w:trHeight w:val="384"/>
        </w:trPr>
        <w:tc>
          <w:tcPr>
            <w:tcW w:w="3776" w:type="dxa"/>
            <w:gridSpan w:val="2"/>
            <w:tcBorders>
              <w:top w:val="single" w:sz="4" w:space="0" w:color="000000"/>
              <w:left w:val="nil"/>
              <w:bottom w:val="single" w:sz="4" w:space="0" w:color="000000"/>
              <w:right w:val="single" w:sz="4" w:space="0" w:color="000000"/>
            </w:tcBorders>
          </w:tcPr>
          <w:p w:rsidR="00E8309B" w:rsidRDefault="00E8309B">
            <w:pPr>
              <w:spacing w:after="160" w:line="259" w:lineRule="auto"/>
              <w:ind w:left="0" w:right="0" w:firstLine="0"/>
              <w:jc w:val="left"/>
            </w:pPr>
          </w:p>
        </w:tc>
        <w:tc>
          <w:tcPr>
            <w:tcW w:w="1798" w:type="dxa"/>
            <w:tcBorders>
              <w:top w:val="single" w:sz="4" w:space="0" w:color="000000"/>
              <w:left w:val="single" w:sz="4" w:space="0" w:color="000000"/>
              <w:bottom w:val="single" w:sz="4" w:space="0" w:color="000000"/>
              <w:right w:val="single" w:sz="4" w:space="0" w:color="000000"/>
            </w:tcBorders>
            <w:shd w:val="clear" w:color="auto" w:fill="BDD6EE"/>
          </w:tcPr>
          <w:p w:rsidR="00E8309B" w:rsidRDefault="009D0949">
            <w:pPr>
              <w:spacing w:after="0" w:line="259" w:lineRule="auto"/>
              <w:ind w:left="0" w:right="41" w:firstLine="0"/>
              <w:jc w:val="center"/>
            </w:pPr>
            <w:r>
              <w:rPr>
                <w:b/>
                <w:sz w:val="20"/>
              </w:rPr>
              <w:t xml:space="preserve">40% </w:t>
            </w:r>
          </w:p>
        </w:tc>
        <w:tc>
          <w:tcPr>
            <w:tcW w:w="8646" w:type="dxa"/>
            <w:gridSpan w:val="3"/>
            <w:tcBorders>
              <w:top w:val="single" w:sz="4" w:space="0" w:color="000000"/>
              <w:left w:val="single" w:sz="4" w:space="0" w:color="000000"/>
              <w:bottom w:val="single" w:sz="4" w:space="0" w:color="000000"/>
              <w:right w:val="nil"/>
            </w:tcBorders>
          </w:tcPr>
          <w:p w:rsidR="00E8309B" w:rsidRDefault="00E8309B">
            <w:pPr>
              <w:spacing w:after="160" w:line="259" w:lineRule="auto"/>
              <w:ind w:left="0" w:right="0" w:firstLine="0"/>
              <w:jc w:val="left"/>
            </w:pPr>
          </w:p>
        </w:tc>
      </w:tr>
      <w:tr w:rsidR="00E8309B">
        <w:trPr>
          <w:trHeight w:val="406"/>
        </w:trPr>
        <w:tc>
          <w:tcPr>
            <w:tcW w:w="14220" w:type="dxa"/>
            <w:gridSpan w:val="6"/>
            <w:tcBorders>
              <w:top w:val="single" w:sz="4" w:space="0" w:color="000000"/>
              <w:left w:val="single" w:sz="4" w:space="0" w:color="000000"/>
              <w:bottom w:val="single" w:sz="4" w:space="0" w:color="000000"/>
              <w:right w:val="single" w:sz="4" w:space="0" w:color="000000"/>
            </w:tcBorders>
            <w:shd w:val="clear" w:color="auto" w:fill="D0CECE"/>
          </w:tcPr>
          <w:p w:rsidR="00E8309B" w:rsidRDefault="009D0949">
            <w:pPr>
              <w:spacing w:after="0" w:line="259" w:lineRule="auto"/>
              <w:ind w:left="0" w:right="0" w:firstLine="0"/>
              <w:jc w:val="left"/>
            </w:pPr>
            <w:r>
              <w:rPr>
                <w:b/>
              </w:rPr>
              <w:t xml:space="preserve">СР 18. Квалификације оријентисане према потребама тржишта рада  </w:t>
            </w:r>
          </w:p>
        </w:tc>
      </w:tr>
      <w:tr w:rsidR="00E8309B">
        <w:trPr>
          <w:trHeight w:val="1281"/>
        </w:trPr>
        <w:tc>
          <w:tcPr>
            <w:tcW w:w="465"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0" w:firstLine="0"/>
              <w:jc w:val="left"/>
            </w:pPr>
            <w:r>
              <w:rPr>
                <w:sz w:val="20"/>
              </w:rPr>
              <w:t xml:space="preserve">1. </w:t>
            </w:r>
          </w:p>
        </w:tc>
        <w:tc>
          <w:tcPr>
            <w:tcW w:w="3311"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1" w:right="0" w:firstLine="0"/>
              <w:jc w:val="left"/>
            </w:pPr>
            <w:r>
              <w:rPr>
                <w:sz w:val="20"/>
              </w:rPr>
              <w:t xml:space="preserve">Доношење подзаконских аката за реализацију дуалног модела студија у високом образовању, у складу са Законом о дуалном моделу студија у високом образовању </w:t>
            </w:r>
          </w:p>
        </w:tc>
        <w:tc>
          <w:tcPr>
            <w:tcW w:w="1798"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0" w:firstLine="0"/>
              <w:jc w:val="left"/>
            </w:pPr>
            <w:r>
              <w:rPr>
                <w:sz w:val="20"/>
              </w:rPr>
              <w:t xml:space="preserve">започето спровођење </w:t>
            </w:r>
          </w:p>
        </w:tc>
        <w:tc>
          <w:tcPr>
            <w:tcW w:w="4629"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2" w:right="0" w:firstLine="0"/>
              <w:jc w:val="left"/>
            </w:pPr>
            <w:r>
              <w:rPr>
                <w:sz w:val="20"/>
              </w:rPr>
              <w:t>Предлог подзаконског акта "Стандарди за акредитацију студијских програма по дуал</w:t>
            </w:r>
            <w:r>
              <w:rPr>
                <w:sz w:val="20"/>
              </w:rPr>
              <w:t xml:space="preserve">ном моделу" је израђен и актуелно је у поступку усвајања.  </w:t>
            </w:r>
          </w:p>
        </w:tc>
        <w:tc>
          <w:tcPr>
            <w:tcW w:w="1609"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1" w:right="0" w:firstLine="0"/>
              <w:jc w:val="left"/>
            </w:pPr>
            <w:r>
              <w:rPr>
                <w:sz w:val="20"/>
              </w:rPr>
              <w:t xml:space="preserve">  </w:t>
            </w:r>
          </w:p>
        </w:tc>
        <w:tc>
          <w:tcPr>
            <w:tcW w:w="2409"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1" w:right="0" w:firstLine="0"/>
              <w:jc w:val="left"/>
            </w:pPr>
            <w:r>
              <w:rPr>
                <w:sz w:val="20"/>
              </w:rPr>
              <w:t xml:space="preserve">  </w:t>
            </w:r>
          </w:p>
        </w:tc>
      </w:tr>
      <w:tr w:rsidR="00E8309B">
        <w:trPr>
          <w:trHeight w:val="821"/>
        </w:trPr>
        <w:tc>
          <w:tcPr>
            <w:tcW w:w="465"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0" w:firstLine="0"/>
              <w:jc w:val="left"/>
            </w:pPr>
            <w:r>
              <w:rPr>
                <w:sz w:val="20"/>
              </w:rPr>
              <w:t xml:space="preserve">2. </w:t>
            </w:r>
          </w:p>
        </w:tc>
        <w:tc>
          <w:tcPr>
            <w:tcW w:w="3311"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1" w:right="0" w:firstLine="0"/>
              <w:jc w:val="left"/>
            </w:pPr>
            <w:r>
              <w:rPr>
                <w:sz w:val="20"/>
              </w:rPr>
              <w:t xml:space="preserve">Промоција дуалног модела образовања (округли столови, радионице и сл.) </w:t>
            </w:r>
          </w:p>
        </w:tc>
        <w:tc>
          <w:tcPr>
            <w:tcW w:w="1798"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0" w:firstLine="0"/>
              <w:jc w:val="left"/>
            </w:pPr>
            <w:r>
              <w:rPr>
                <w:sz w:val="20"/>
              </w:rPr>
              <w:t xml:space="preserve">потпуно спроведене </w:t>
            </w:r>
          </w:p>
        </w:tc>
        <w:tc>
          <w:tcPr>
            <w:tcW w:w="4629"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2" w:right="0" w:firstLine="0"/>
              <w:jc w:val="left"/>
            </w:pPr>
            <w:r>
              <w:rPr>
                <w:sz w:val="20"/>
              </w:rPr>
              <w:t xml:space="preserve">  </w:t>
            </w:r>
          </w:p>
        </w:tc>
        <w:tc>
          <w:tcPr>
            <w:tcW w:w="1609"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1" w:right="0" w:firstLine="0"/>
              <w:jc w:val="left"/>
            </w:pPr>
            <w:r>
              <w:rPr>
                <w:sz w:val="20"/>
              </w:rPr>
              <w:t xml:space="preserve">  </w:t>
            </w:r>
          </w:p>
        </w:tc>
        <w:tc>
          <w:tcPr>
            <w:tcW w:w="2409"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1" w:right="0" w:firstLine="0"/>
              <w:jc w:val="left"/>
            </w:pPr>
            <w:r>
              <w:rPr>
                <w:sz w:val="20"/>
              </w:rPr>
              <w:t xml:space="preserve">  </w:t>
            </w:r>
          </w:p>
        </w:tc>
      </w:tr>
      <w:tr w:rsidR="00E8309B">
        <w:trPr>
          <w:trHeight w:val="3810"/>
        </w:trPr>
        <w:tc>
          <w:tcPr>
            <w:tcW w:w="465"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0" w:firstLine="0"/>
              <w:jc w:val="left"/>
            </w:pPr>
            <w:r>
              <w:rPr>
                <w:sz w:val="20"/>
              </w:rPr>
              <w:t xml:space="preserve">3. </w:t>
            </w:r>
          </w:p>
        </w:tc>
        <w:tc>
          <w:tcPr>
            <w:tcW w:w="3311"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1" w:right="0" w:firstLine="0"/>
              <w:jc w:val="left"/>
            </w:pPr>
            <w:r>
              <w:rPr>
                <w:sz w:val="20"/>
              </w:rPr>
              <w:t xml:space="preserve">Увођење индустрије 4.0 у систем дуалног образовања </w:t>
            </w:r>
          </w:p>
        </w:tc>
        <w:tc>
          <w:tcPr>
            <w:tcW w:w="1798"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0" w:firstLine="0"/>
              <w:jc w:val="left"/>
            </w:pPr>
            <w:r>
              <w:rPr>
                <w:sz w:val="20"/>
              </w:rPr>
              <w:t xml:space="preserve">започето спровођење </w:t>
            </w:r>
          </w:p>
        </w:tc>
        <w:tc>
          <w:tcPr>
            <w:tcW w:w="4629"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2" w:right="0" w:firstLine="0"/>
              <w:jc w:val="left"/>
            </w:pPr>
            <w:r>
              <w:rPr>
                <w:sz w:val="20"/>
              </w:rPr>
              <w:t xml:space="preserve">Креирани су дуални образовни програми који обухватају и индустрију 4.0: електротехничар информационих технологија, авиомехатроничар и техничар за безбедност информационо - комуникационих система у ваздушном саобраћају </w:t>
            </w:r>
          </w:p>
        </w:tc>
        <w:tc>
          <w:tcPr>
            <w:tcW w:w="1609"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1" w:right="0" w:firstLine="0"/>
              <w:jc w:val="left"/>
            </w:pPr>
            <w:r>
              <w:rPr>
                <w:sz w:val="20"/>
              </w:rPr>
              <w:t xml:space="preserve">  </w:t>
            </w:r>
          </w:p>
        </w:tc>
        <w:tc>
          <w:tcPr>
            <w:tcW w:w="2409" w:type="dxa"/>
            <w:tcBorders>
              <w:top w:val="single" w:sz="4" w:space="0" w:color="000000"/>
              <w:left w:val="single" w:sz="4" w:space="0" w:color="000000"/>
              <w:bottom w:val="single" w:sz="4" w:space="0" w:color="000000"/>
              <w:right w:val="single" w:sz="4" w:space="0" w:color="000000"/>
            </w:tcBorders>
          </w:tcPr>
          <w:p w:rsidR="00E8309B" w:rsidRDefault="009D0949">
            <w:pPr>
              <w:spacing w:after="2" w:line="237" w:lineRule="auto"/>
              <w:ind w:left="1" w:right="0" w:firstLine="0"/>
              <w:jc w:val="left"/>
            </w:pPr>
            <w:r>
              <w:rPr>
                <w:sz w:val="20"/>
              </w:rPr>
              <w:t xml:space="preserve">У циљу стварања услова за увођење </w:t>
            </w:r>
            <w:r>
              <w:rPr>
                <w:sz w:val="20"/>
              </w:rPr>
              <w:t xml:space="preserve">индустрије </w:t>
            </w:r>
          </w:p>
          <w:p w:rsidR="00E8309B" w:rsidRDefault="009D0949">
            <w:pPr>
              <w:spacing w:after="0" w:line="259" w:lineRule="auto"/>
              <w:ind w:left="1" w:right="0" w:firstLine="0"/>
              <w:jc w:val="left"/>
            </w:pPr>
            <w:r>
              <w:rPr>
                <w:sz w:val="20"/>
              </w:rPr>
              <w:t xml:space="preserve">4.0 потписан је </w:t>
            </w:r>
          </w:p>
          <w:p w:rsidR="00E8309B" w:rsidRDefault="009D0949">
            <w:pPr>
              <w:spacing w:after="0" w:line="259" w:lineRule="auto"/>
              <w:ind w:left="1" w:right="14" w:firstLine="0"/>
              <w:jc w:val="left"/>
            </w:pPr>
            <w:r>
              <w:rPr>
                <w:sz w:val="20"/>
              </w:rPr>
              <w:t>Меморандум о сарадњи у области дуалног образовања са немачком авио компанијом МТУ, што је захтевало набавку додатне основне опреме у оквиру Ваздухопловне aкадемије, која је уједно и један од планираних регионалних тренинг цента</w:t>
            </w:r>
            <w:r>
              <w:rPr>
                <w:sz w:val="20"/>
              </w:rPr>
              <w:t xml:space="preserve">ра, на шта су средства преусмерена у 2020. години.   </w:t>
            </w:r>
          </w:p>
        </w:tc>
      </w:tr>
      <w:tr w:rsidR="00E8309B">
        <w:trPr>
          <w:trHeight w:val="1740"/>
        </w:trPr>
        <w:tc>
          <w:tcPr>
            <w:tcW w:w="465"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0" w:firstLine="0"/>
              <w:jc w:val="left"/>
            </w:pPr>
            <w:r>
              <w:rPr>
                <w:sz w:val="20"/>
              </w:rPr>
              <w:t xml:space="preserve">4. </w:t>
            </w:r>
          </w:p>
        </w:tc>
        <w:tc>
          <w:tcPr>
            <w:tcW w:w="3311"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1" w:right="0" w:firstLine="0"/>
              <w:jc w:val="left"/>
            </w:pPr>
            <w:r>
              <w:rPr>
                <w:sz w:val="20"/>
              </w:rPr>
              <w:t xml:space="preserve">Акредитација компанија и студијских програма/модула за реализацију дуалног модела студија у високом образовању </w:t>
            </w:r>
          </w:p>
        </w:tc>
        <w:tc>
          <w:tcPr>
            <w:tcW w:w="1798"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0" w:firstLine="0"/>
              <w:jc w:val="left"/>
            </w:pPr>
            <w:r>
              <w:rPr>
                <w:sz w:val="20"/>
              </w:rPr>
              <w:t xml:space="preserve">започето спровођење </w:t>
            </w:r>
          </w:p>
        </w:tc>
        <w:tc>
          <w:tcPr>
            <w:tcW w:w="4629" w:type="dxa"/>
            <w:tcBorders>
              <w:top w:val="single" w:sz="4" w:space="0" w:color="000000"/>
              <w:left w:val="single" w:sz="4" w:space="0" w:color="000000"/>
              <w:bottom w:val="single" w:sz="4" w:space="0" w:color="000000"/>
              <w:right w:val="single" w:sz="4" w:space="0" w:color="000000"/>
            </w:tcBorders>
          </w:tcPr>
          <w:p w:rsidR="00E8309B" w:rsidRDefault="009D0949">
            <w:pPr>
              <w:spacing w:after="105" w:line="252" w:lineRule="auto"/>
              <w:ind w:left="2" w:right="44" w:firstLine="0"/>
              <w:jc w:val="left"/>
            </w:pPr>
            <w:r>
              <w:rPr>
                <w:sz w:val="20"/>
              </w:rPr>
              <w:t xml:space="preserve">Акредитација компанија које су укључене у дуални модел образовања је континуиран процес чији послови су поверени Привредној комори Србије.  </w:t>
            </w:r>
          </w:p>
          <w:p w:rsidR="00E8309B" w:rsidRDefault="009D0949">
            <w:pPr>
              <w:spacing w:after="0" w:line="259" w:lineRule="auto"/>
              <w:ind w:left="2" w:right="0" w:firstLine="0"/>
              <w:jc w:val="left"/>
            </w:pPr>
            <w:r>
              <w:rPr>
                <w:sz w:val="20"/>
              </w:rPr>
              <w:t xml:space="preserve">Након усвајања предлога Стандарда за акредитацију студијских програма </w:t>
            </w:r>
            <w:r>
              <w:rPr>
                <w:sz w:val="20"/>
              </w:rPr>
              <w:t xml:space="preserve">по дуалном моделу биће започет процес акредитације </w:t>
            </w:r>
          </w:p>
        </w:tc>
        <w:tc>
          <w:tcPr>
            <w:tcW w:w="1609"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1" w:right="0" w:firstLine="0"/>
              <w:jc w:val="left"/>
            </w:pPr>
            <w:r>
              <w:rPr>
                <w:sz w:val="20"/>
              </w:rPr>
              <w:t xml:space="preserve">  </w:t>
            </w:r>
          </w:p>
        </w:tc>
        <w:tc>
          <w:tcPr>
            <w:tcW w:w="2409"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1" w:right="0" w:firstLine="0"/>
              <w:jc w:val="left"/>
            </w:pPr>
            <w:r>
              <w:rPr>
                <w:sz w:val="20"/>
              </w:rPr>
              <w:t xml:space="preserve">  </w:t>
            </w:r>
          </w:p>
        </w:tc>
      </w:tr>
    </w:tbl>
    <w:p w:rsidR="00E8309B" w:rsidRDefault="00E8309B">
      <w:pPr>
        <w:spacing w:after="0" w:line="259" w:lineRule="auto"/>
        <w:ind w:left="-1138" w:right="10666" w:firstLine="0"/>
        <w:jc w:val="left"/>
      </w:pPr>
    </w:p>
    <w:tbl>
      <w:tblPr>
        <w:tblStyle w:val="TableGrid"/>
        <w:tblW w:w="14220" w:type="dxa"/>
        <w:tblInd w:w="6" w:type="dxa"/>
        <w:tblCellMar>
          <w:top w:w="10" w:type="dxa"/>
          <w:left w:w="107" w:type="dxa"/>
          <w:bottom w:w="0" w:type="dxa"/>
          <w:right w:w="68" w:type="dxa"/>
        </w:tblCellMar>
        <w:tblLook w:val="04A0" w:firstRow="1" w:lastRow="0" w:firstColumn="1" w:lastColumn="0" w:noHBand="0" w:noVBand="1"/>
      </w:tblPr>
      <w:tblGrid>
        <w:gridCol w:w="465"/>
        <w:gridCol w:w="3311"/>
        <w:gridCol w:w="1798"/>
        <w:gridCol w:w="4629"/>
        <w:gridCol w:w="1609"/>
        <w:gridCol w:w="2409"/>
      </w:tblGrid>
      <w:tr w:rsidR="00E8309B">
        <w:trPr>
          <w:trHeight w:val="703"/>
        </w:trPr>
        <w:tc>
          <w:tcPr>
            <w:tcW w:w="465" w:type="dxa"/>
            <w:tcBorders>
              <w:top w:val="single" w:sz="4" w:space="0" w:color="000000"/>
              <w:left w:val="single" w:sz="4" w:space="0" w:color="000000"/>
              <w:bottom w:val="single" w:sz="4" w:space="0" w:color="000000"/>
              <w:right w:val="single" w:sz="4" w:space="0" w:color="000000"/>
            </w:tcBorders>
          </w:tcPr>
          <w:p w:rsidR="00E8309B" w:rsidRDefault="00E8309B">
            <w:pPr>
              <w:spacing w:after="160" w:line="259" w:lineRule="auto"/>
              <w:ind w:left="0" w:right="0" w:firstLine="0"/>
              <w:jc w:val="left"/>
            </w:pPr>
          </w:p>
        </w:tc>
        <w:tc>
          <w:tcPr>
            <w:tcW w:w="3311" w:type="dxa"/>
            <w:tcBorders>
              <w:top w:val="single" w:sz="4" w:space="0" w:color="000000"/>
              <w:left w:val="single" w:sz="4" w:space="0" w:color="000000"/>
              <w:bottom w:val="single" w:sz="4" w:space="0" w:color="000000"/>
              <w:right w:val="single" w:sz="4" w:space="0" w:color="000000"/>
            </w:tcBorders>
          </w:tcPr>
          <w:p w:rsidR="00E8309B" w:rsidRDefault="00E8309B">
            <w:pPr>
              <w:spacing w:after="160" w:line="259" w:lineRule="auto"/>
              <w:ind w:left="0" w:right="0" w:firstLine="0"/>
              <w:jc w:val="left"/>
            </w:pPr>
          </w:p>
        </w:tc>
        <w:tc>
          <w:tcPr>
            <w:tcW w:w="1798" w:type="dxa"/>
            <w:tcBorders>
              <w:top w:val="single" w:sz="4" w:space="0" w:color="000000"/>
              <w:left w:val="single" w:sz="4" w:space="0" w:color="000000"/>
              <w:bottom w:val="single" w:sz="4" w:space="0" w:color="000000"/>
              <w:right w:val="single" w:sz="4" w:space="0" w:color="000000"/>
            </w:tcBorders>
          </w:tcPr>
          <w:p w:rsidR="00E8309B" w:rsidRDefault="00E8309B">
            <w:pPr>
              <w:spacing w:after="160" w:line="259" w:lineRule="auto"/>
              <w:ind w:left="0" w:right="0" w:firstLine="0"/>
              <w:jc w:val="left"/>
            </w:pPr>
          </w:p>
        </w:tc>
        <w:tc>
          <w:tcPr>
            <w:tcW w:w="4629"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2" w:right="0" w:firstLine="0"/>
              <w:jc w:val="left"/>
            </w:pPr>
            <w:r>
              <w:rPr>
                <w:sz w:val="20"/>
              </w:rPr>
              <w:t xml:space="preserve">студијских програма/модула за реализацију дуалним модела студија у високом образовању.  </w:t>
            </w:r>
          </w:p>
        </w:tc>
        <w:tc>
          <w:tcPr>
            <w:tcW w:w="1609" w:type="dxa"/>
            <w:tcBorders>
              <w:top w:val="single" w:sz="4" w:space="0" w:color="000000"/>
              <w:left w:val="single" w:sz="4" w:space="0" w:color="000000"/>
              <w:bottom w:val="single" w:sz="4" w:space="0" w:color="000000"/>
              <w:right w:val="single" w:sz="4" w:space="0" w:color="000000"/>
            </w:tcBorders>
          </w:tcPr>
          <w:p w:rsidR="00E8309B" w:rsidRDefault="00E8309B">
            <w:pPr>
              <w:spacing w:after="160" w:line="259" w:lineRule="auto"/>
              <w:ind w:left="0" w:right="0" w:firstLine="0"/>
              <w:jc w:val="left"/>
            </w:pPr>
          </w:p>
        </w:tc>
        <w:tc>
          <w:tcPr>
            <w:tcW w:w="2409" w:type="dxa"/>
            <w:tcBorders>
              <w:top w:val="single" w:sz="4" w:space="0" w:color="000000"/>
              <w:left w:val="single" w:sz="4" w:space="0" w:color="000000"/>
              <w:bottom w:val="single" w:sz="4" w:space="0" w:color="000000"/>
              <w:right w:val="single" w:sz="4" w:space="0" w:color="000000"/>
            </w:tcBorders>
          </w:tcPr>
          <w:p w:rsidR="00E8309B" w:rsidRDefault="00E8309B">
            <w:pPr>
              <w:spacing w:after="160" w:line="259" w:lineRule="auto"/>
              <w:ind w:left="0" w:right="0" w:firstLine="0"/>
              <w:jc w:val="left"/>
            </w:pPr>
          </w:p>
        </w:tc>
      </w:tr>
      <w:tr w:rsidR="00E8309B">
        <w:trPr>
          <w:trHeight w:val="3809"/>
        </w:trPr>
        <w:tc>
          <w:tcPr>
            <w:tcW w:w="465"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0" w:firstLine="0"/>
              <w:jc w:val="left"/>
            </w:pPr>
            <w:r>
              <w:rPr>
                <w:sz w:val="20"/>
              </w:rPr>
              <w:t xml:space="preserve">5. </w:t>
            </w:r>
          </w:p>
        </w:tc>
        <w:tc>
          <w:tcPr>
            <w:tcW w:w="3311"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1" w:right="0" w:firstLine="0"/>
              <w:jc w:val="left"/>
            </w:pPr>
            <w:r>
              <w:rPr>
                <w:sz w:val="20"/>
              </w:rPr>
              <w:t xml:space="preserve">Оснивање, инфраструктурно уређење и опремање тренинг центара. </w:t>
            </w:r>
          </w:p>
        </w:tc>
        <w:tc>
          <w:tcPr>
            <w:tcW w:w="1798"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0" w:firstLine="0"/>
              <w:jc w:val="left"/>
            </w:pPr>
            <w:r>
              <w:rPr>
                <w:sz w:val="20"/>
              </w:rPr>
              <w:t xml:space="preserve">у припреми </w:t>
            </w:r>
          </w:p>
        </w:tc>
        <w:tc>
          <w:tcPr>
            <w:tcW w:w="4629"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2" w:right="165" w:firstLine="0"/>
            </w:pPr>
            <w:r>
              <w:rPr>
                <w:sz w:val="20"/>
              </w:rPr>
              <w:t xml:space="preserve">Израђена је пројектна документација за опремање и реконструкцију два регионална  тренинг центра.  </w:t>
            </w:r>
          </w:p>
        </w:tc>
        <w:tc>
          <w:tcPr>
            <w:tcW w:w="1609"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1" w:right="25" w:firstLine="0"/>
              <w:jc w:val="left"/>
            </w:pPr>
            <w:r>
              <w:rPr>
                <w:sz w:val="20"/>
              </w:rPr>
              <w:t>Средства су била опредељена, али је услед ванредног стања дошло до преусмеравања средстава на друге приоритете у циљу обуздавања пандемије и спречавања потен</w:t>
            </w:r>
            <w:r>
              <w:rPr>
                <w:sz w:val="20"/>
              </w:rPr>
              <w:t xml:space="preserve">цијалне кризе. </w:t>
            </w:r>
          </w:p>
        </w:tc>
        <w:tc>
          <w:tcPr>
            <w:tcW w:w="2409"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1" w:right="0" w:firstLine="0"/>
              <w:jc w:val="left"/>
            </w:pPr>
            <w:r>
              <w:rPr>
                <w:sz w:val="20"/>
              </w:rPr>
              <w:t xml:space="preserve">  </w:t>
            </w:r>
          </w:p>
        </w:tc>
      </w:tr>
      <w:tr w:rsidR="00E8309B">
        <w:trPr>
          <w:trHeight w:val="591"/>
        </w:trPr>
        <w:tc>
          <w:tcPr>
            <w:tcW w:w="465"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0" w:firstLine="0"/>
              <w:jc w:val="left"/>
            </w:pPr>
            <w:r>
              <w:rPr>
                <w:sz w:val="20"/>
              </w:rPr>
              <w:t xml:space="preserve">6. </w:t>
            </w:r>
          </w:p>
        </w:tc>
        <w:tc>
          <w:tcPr>
            <w:tcW w:w="3311"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1" w:right="0" w:firstLine="0"/>
              <w:jc w:val="left"/>
            </w:pPr>
            <w:r>
              <w:rPr>
                <w:sz w:val="20"/>
              </w:rPr>
              <w:t xml:space="preserve">Повезивање НОКС са Европским оквиром квалификација </w:t>
            </w:r>
          </w:p>
        </w:tc>
        <w:tc>
          <w:tcPr>
            <w:tcW w:w="1798"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0" w:firstLine="0"/>
              <w:jc w:val="left"/>
            </w:pPr>
            <w:r>
              <w:rPr>
                <w:sz w:val="20"/>
              </w:rPr>
              <w:t xml:space="preserve">потпуно спроведене </w:t>
            </w:r>
          </w:p>
        </w:tc>
        <w:tc>
          <w:tcPr>
            <w:tcW w:w="4629"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2" w:right="0" w:firstLine="0"/>
              <w:jc w:val="left"/>
            </w:pPr>
            <w:r>
              <w:rPr>
                <w:sz w:val="20"/>
              </w:rPr>
              <w:t xml:space="preserve">  </w:t>
            </w:r>
          </w:p>
        </w:tc>
        <w:tc>
          <w:tcPr>
            <w:tcW w:w="1609"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1" w:right="0" w:firstLine="0"/>
              <w:jc w:val="left"/>
            </w:pPr>
            <w:r>
              <w:rPr>
                <w:sz w:val="20"/>
              </w:rPr>
              <w:t xml:space="preserve">  </w:t>
            </w:r>
          </w:p>
        </w:tc>
        <w:tc>
          <w:tcPr>
            <w:tcW w:w="2409"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1" w:right="0" w:firstLine="0"/>
              <w:jc w:val="left"/>
            </w:pPr>
            <w:r>
              <w:rPr>
                <w:sz w:val="20"/>
              </w:rPr>
              <w:t xml:space="preserve">  </w:t>
            </w:r>
          </w:p>
        </w:tc>
      </w:tr>
      <w:tr w:rsidR="00E8309B">
        <w:trPr>
          <w:trHeight w:val="1512"/>
        </w:trPr>
        <w:tc>
          <w:tcPr>
            <w:tcW w:w="465" w:type="dxa"/>
            <w:tcBorders>
              <w:top w:val="single" w:sz="4" w:space="0" w:color="000000"/>
              <w:left w:val="single" w:sz="4" w:space="0" w:color="000000"/>
              <w:bottom w:val="single" w:sz="4" w:space="0" w:color="000000"/>
              <w:right w:val="single" w:sz="4" w:space="0" w:color="000000"/>
            </w:tcBorders>
          </w:tcPr>
          <w:p w:rsidR="00E8309B" w:rsidRDefault="009D0949">
            <w:pPr>
              <w:spacing w:after="1080" w:line="259" w:lineRule="auto"/>
              <w:ind w:left="0" w:right="0" w:firstLine="0"/>
              <w:jc w:val="left"/>
            </w:pPr>
            <w:r>
              <w:rPr>
                <w:sz w:val="20"/>
              </w:rPr>
              <w:t xml:space="preserve">7. </w:t>
            </w:r>
          </w:p>
          <w:p w:rsidR="00E8309B" w:rsidRDefault="009D0949">
            <w:pPr>
              <w:spacing w:after="0" w:line="259" w:lineRule="auto"/>
              <w:ind w:left="0" w:right="0" w:firstLine="0"/>
              <w:jc w:val="left"/>
            </w:pPr>
            <w:r>
              <w:rPr>
                <w:sz w:val="20"/>
              </w:rPr>
              <w:t xml:space="preserve"> </w:t>
            </w:r>
          </w:p>
        </w:tc>
        <w:tc>
          <w:tcPr>
            <w:tcW w:w="3311"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1" w:right="0" w:firstLine="0"/>
              <w:jc w:val="left"/>
            </w:pPr>
            <w:r>
              <w:rPr>
                <w:sz w:val="20"/>
              </w:rPr>
              <w:t xml:space="preserve">Пилотирање поступка признавања претходног учења </w:t>
            </w:r>
          </w:p>
        </w:tc>
        <w:tc>
          <w:tcPr>
            <w:tcW w:w="1798"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0" w:firstLine="0"/>
              <w:jc w:val="left"/>
            </w:pPr>
            <w:r>
              <w:rPr>
                <w:sz w:val="20"/>
              </w:rPr>
              <w:t xml:space="preserve">започето спровођење </w:t>
            </w:r>
          </w:p>
        </w:tc>
        <w:tc>
          <w:tcPr>
            <w:tcW w:w="4629"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48" w:lineRule="auto"/>
              <w:ind w:left="2" w:right="28" w:firstLine="0"/>
              <w:jc w:val="left"/>
            </w:pPr>
            <w:r>
              <w:rPr>
                <w:sz w:val="20"/>
              </w:rPr>
              <w:t>Правилник о стандардима и начину спровођења поступка признавања претходног учења (ППУ) дат је на објављивање у Службеном гласнику. Започете су припремне активности за одобравање статуса ЈПОА школама за активност ППУ, односно за имплементацију поступка ППУ.</w:t>
            </w:r>
            <w:r>
              <w:rPr>
                <w:sz w:val="20"/>
              </w:rPr>
              <w:t xml:space="preserve"> </w:t>
            </w:r>
          </w:p>
          <w:p w:rsidR="00E8309B" w:rsidRDefault="009D0949">
            <w:pPr>
              <w:spacing w:after="0" w:line="259" w:lineRule="auto"/>
              <w:ind w:left="2" w:right="0" w:firstLine="0"/>
              <w:jc w:val="left"/>
            </w:pPr>
            <w:r>
              <w:rPr>
                <w:sz w:val="20"/>
              </w:rPr>
              <w:t xml:space="preserve"> </w:t>
            </w:r>
          </w:p>
        </w:tc>
        <w:tc>
          <w:tcPr>
            <w:tcW w:w="1609"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1" w:right="0" w:firstLine="0"/>
              <w:jc w:val="left"/>
            </w:pPr>
            <w:r>
              <w:rPr>
                <w:sz w:val="20"/>
              </w:rPr>
              <w:t xml:space="preserve">  </w:t>
            </w:r>
          </w:p>
        </w:tc>
        <w:tc>
          <w:tcPr>
            <w:tcW w:w="2409"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1" w:right="0" w:firstLine="0"/>
              <w:jc w:val="left"/>
            </w:pPr>
            <w:r>
              <w:rPr>
                <w:sz w:val="20"/>
              </w:rPr>
              <w:t xml:space="preserve">  </w:t>
            </w:r>
          </w:p>
        </w:tc>
      </w:tr>
      <w:tr w:rsidR="00E8309B">
        <w:trPr>
          <w:trHeight w:val="384"/>
        </w:trPr>
        <w:tc>
          <w:tcPr>
            <w:tcW w:w="3776" w:type="dxa"/>
            <w:gridSpan w:val="2"/>
            <w:tcBorders>
              <w:top w:val="single" w:sz="4" w:space="0" w:color="000000"/>
              <w:left w:val="nil"/>
              <w:bottom w:val="single" w:sz="4" w:space="0" w:color="000000"/>
              <w:right w:val="single" w:sz="4" w:space="0" w:color="000000"/>
            </w:tcBorders>
          </w:tcPr>
          <w:p w:rsidR="00E8309B" w:rsidRDefault="00E8309B">
            <w:pPr>
              <w:spacing w:after="160" w:line="259" w:lineRule="auto"/>
              <w:ind w:left="0" w:right="0" w:firstLine="0"/>
              <w:jc w:val="left"/>
            </w:pPr>
          </w:p>
        </w:tc>
        <w:tc>
          <w:tcPr>
            <w:tcW w:w="1798" w:type="dxa"/>
            <w:tcBorders>
              <w:top w:val="single" w:sz="4" w:space="0" w:color="000000"/>
              <w:left w:val="single" w:sz="4" w:space="0" w:color="000000"/>
              <w:bottom w:val="single" w:sz="4" w:space="0" w:color="000000"/>
              <w:right w:val="single" w:sz="4" w:space="0" w:color="000000"/>
            </w:tcBorders>
            <w:shd w:val="clear" w:color="auto" w:fill="BDD6EE"/>
          </w:tcPr>
          <w:p w:rsidR="00E8309B" w:rsidRDefault="009D0949">
            <w:pPr>
              <w:spacing w:after="0" w:line="259" w:lineRule="auto"/>
              <w:ind w:left="0" w:right="42" w:firstLine="0"/>
              <w:jc w:val="center"/>
            </w:pPr>
            <w:r>
              <w:rPr>
                <w:b/>
                <w:sz w:val="20"/>
              </w:rPr>
              <w:t xml:space="preserve">54% </w:t>
            </w:r>
          </w:p>
        </w:tc>
        <w:tc>
          <w:tcPr>
            <w:tcW w:w="8646" w:type="dxa"/>
            <w:gridSpan w:val="3"/>
            <w:tcBorders>
              <w:top w:val="single" w:sz="4" w:space="0" w:color="000000"/>
              <w:left w:val="single" w:sz="4" w:space="0" w:color="000000"/>
              <w:bottom w:val="single" w:sz="4" w:space="0" w:color="000000"/>
              <w:right w:val="nil"/>
            </w:tcBorders>
          </w:tcPr>
          <w:p w:rsidR="00E8309B" w:rsidRDefault="00E8309B">
            <w:pPr>
              <w:spacing w:after="160" w:line="259" w:lineRule="auto"/>
              <w:ind w:left="0" w:right="0" w:firstLine="0"/>
              <w:jc w:val="left"/>
            </w:pPr>
          </w:p>
        </w:tc>
      </w:tr>
      <w:tr w:rsidR="00E8309B">
        <w:trPr>
          <w:trHeight w:val="405"/>
        </w:trPr>
        <w:tc>
          <w:tcPr>
            <w:tcW w:w="14220" w:type="dxa"/>
            <w:gridSpan w:val="6"/>
            <w:tcBorders>
              <w:top w:val="single" w:sz="4" w:space="0" w:color="000000"/>
              <w:left w:val="single" w:sz="4" w:space="0" w:color="000000"/>
              <w:bottom w:val="single" w:sz="4" w:space="0" w:color="000000"/>
              <w:right w:val="single" w:sz="4" w:space="0" w:color="000000"/>
            </w:tcBorders>
            <w:shd w:val="clear" w:color="auto" w:fill="D0CECE"/>
          </w:tcPr>
          <w:p w:rsidR="00E8309B" w:rsidRDefault="009D0949">
            <w:pPr>
              <w:spacing w:after="0" w:line="259" w:lineRule="auto"/>
              <w:ind w:left="0" w:right="0" w:firstLine="0"/>
              <w:jc w:val="left"/>
            </w:pPr>
            <w:r>
              <w:rPr>
                <w:b/>
              </w:rPr>
              <w:t xml:space="preserve">СР 19. Дигитализација система образовања и увођење јединственог нформационог система образовања </w:t>
            </w:r>
          </w:p>
        </w:tc>
      </w:tr>
      <w:tr w:rsidR="00E8309B">
        <w:trPr>
          <w:trHeight w:val="2082"/>
        </w:trPr>
        <w:tc>
          <w:tcPr>
            <w:tcW w:w="465"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0" w:firstLine="0"/>
              <w:jc w:val="left"/>
            </w:pPr>
            <w:r>
              <w:rPr>
                <w:sz w:val="20"/>
              </w:rPr>
              <w:t xml:space="preserve">1. </w:t>
            </w:r>
          </w:p>
        </w:tc>
        <w:tc>
          <w:tcPr>
            <w:tcW w:w="3311"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1" w:right="8" w:firstLine="0"/>
              <w:jc w:val="left"/>
            </w:pPr>
            <w:r>
              <w:rPr>
                <w:sz w:val="20"/>
              </w:rPr>
              <w:t>Повећање употребе ИКТ-</w:t>
            </w:r>
            <w:r>
              <w:rPr>
                <w:sz w:val="20"/>
              </w:rPr>
              <w:t xml:space="preserve">а у подучавању, учењу и оцењивању тако да ученици овладају потребним вештинама да одговоре на изазове окружења које се брзо мења </w:t>
            </w:r>
          </w:p>
        </w:tc>
        <w:tc>
          <w:tcPr>
            <w:tcW w:w="1798"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0" w:firstLine="0"/>
              <w:jc w:val="left"/>
            </w:pPr>
            <w:r>
              <w:rPr>
                <w:sz w:val="20"/>
              </w:rPr>
              <w:t xml:space="preserve">напредак у спровођењу </w:t>
            </w:r>
          </w:p>
        </w:tc>
        <w:tc>
          <w:tcPr>
            <w:tcW w:w="4629"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2" w:right="0" w:firstLine="0"/>
              <w:jc w:val="left"/>
            </w:pPr>
            <w:r>
              <w:rPr>
                <w:sz w:val="20"/>
              </w:rPr>
              <w:t xml:space="preserve">Активности су се спорије реализовале  због увођења ванредног стања. Чим су се стекли услови активности </w:t>
            </w:r>
            <w:r>
              <w:rPr>
                <w:sz w:val="20"/>
              </w:rPr>
              <w:t xml:space="preserve">су настављене. </w:t>
            </w:r>
          </w:p>
        </w:tc>
        <w:tc>
          <w:tcPr>
            <w:tcW w:w="1609"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1" w:right="0" w:firstLine="0"/>
              <w:jc w:val="left"/>
            </w:pPr>
            <w:r>
              <w:rPr>
                <w:sz w:val="20"/>
              </w:rPr>
              <w:t xml:space="preserve">Набавка рачунарске опреме за дигиталне учионице у 2020. години  није спроведена јер су услед  пандемије </w:t>
            </w:r>
          </w:p>
        </w:tc>
        <w:tc>
          <w:tcPr>
            <w:tcW w:w="2409"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1" w:right="0" w:firstLine="0"/>
              <w:jc w:val="left"/>
            </w:pPr>
            <w:r>
              <w:rPr>
                <w:sz w:val="20"/>
              </w:rPr>
              <w:t xml:space="preserve">  </w:t>
            </w:r>
          </w:p>
        </w:tc>
      </w:tr>
    </w:tbl>
    <w:p w:rsidR="00E8309B" w:rsidRDefault="00E8309B">
      <w:pPr>
        <w:spacing w:after="0" w:line="259" w:lineRule="auto"/>
        <w:ind w:left="-1138" w:right="10666" w:firstLine="0"/>
        <w:jc w:val="left"/>
      </w:pPr>
    </w:p>
    <w:tbl>
      <w:tblPr>
        <w:tblStyle w:val="TableGrid"/>
        <w:tblW w:w="14222" w:type="dxa"/>
        <w:tblInd w:w="5" w:type="dxa"/>
        <w:tblCellMar>
          <w:top w:w="10" w:type="dxa"/>
          <w:left w:w="107" w:type="dxa"/>
          <w:bottom w:w="0" w:type="dxa"/>
          <w:right w:w="61" w:type="dxa"/>
        </w:tblCellMar>
        <w:tblLook w:val="04A0" w:firstRow="1" w:lastRow="0" w:firstColumn="1" w:lastColumn="0" w:noHBand="0" w:noVBand="1"/>
      </w:tblPr>
      <w:tblGrid>
        <w:gridCol w:w="466"/>
        <w:gridCol w:w="3311"/>
        <w:gridCol w:w="1798"/>
        <w:gridCol w:w="4629"/>
        <w:gridCol w:w="1609"/>
        <w:gridCol w:w="2410"/>
      </w:tblGrid>
      <w:tr w:rsidR="00E8309B">
        <w:trPr>
          <w:trHeight w:val="1051"/>
        </w:trPr>
        <w:tc>
          <w:tcPr>
            <w:tcW w:w="466" w:type="dxa"/>
            <w:tcBorders>
              <w:top w:val="single" w:sz="4" w:space="0" w:color="000000"/>
              <w:left w:val="single" w:sz="4" w:space="0" w:color="000000"/>
              <w:bottom w:val="single" w:sz="4" w:space="0" w:color="000000"/>
              <w:right w:val="single" w:sz="4" w:space="0" w:color="000000"/>
            </w:tcBorders>
          </w:tcPr>
          <w:p w:rsidR="00E8309B" w:rsidRDefault="00E8309B">
            <w:pPr>
              <w:spacing w:after="160" w:line="259" w:lineRule="auto"/>
              <w:ind w:left="0" w:right="0" w:firstLine="0"/>
              <w:jc w:val="left"/>
            </w:pPr>
          </w:p>
        </w:tc>
        <w:tc>
          <w:tcPr>
            <w:tcW w:w="3311" w:type="dxa"/>
            <w:tcBorders>
              <w:top w:val="single" w:sz="4" w:space="0" w:color="000000"/>
              <w:left w:val="single" w:sz="4" w:space="0" w:color="000000"/>
              <w:bottom w:val="single" w:sz="4" w:space="0" w:color="000000"/>
              <w:right w:val="single" w:sz="4" w:space="0" w:color="000000"/>
            </w:tcBorders>
            <w:vAlign w:val="bottom"/>
          </w:tcPr>
          <w:p w:rsidR="00E8309B" w:rsidRDefault="00E8309B">
            <w:pPr>
              <w:spacing w:after="160" w:line="259" w:lineRule="auto"/>
              <w:ind w:left="0" w:right="0" w:firstLine="0"/>
              <w:jc w:val="left"/>
            </w:pPr>
          </w:p>
        </w:tc>
        <w:tc>
          <w:tcPr>
            <w:tcW w:w="1798" w:type="dxa"/>
            <w:tcBorders>
              <w:top w:val="single" w:sz="4" w:space="0" w:color="000000"/>
              <w:left w:val="single" w:sz="4" w:space="0" w:color="000000"/>
              <w:bottom w:val="single" w:sz="4" w:space="0" w:color="000000"/>
              <w:right w:val="single" w:sz="4" w:space="0" w:color="000000"/>
            </w:tcBorders>
          </w:tcPr>
          <w:p w:rsidR="00E8309B" w:rsidRDefault="00E8309B">
            <w:pPr>
              <w:spacing w:after="160" w:line="259" w:lineRule="auto"/>
              <w:ind w:left="0" w:right="0" w:firstLine="0"/>
              <w:jc w:val="left"/>
            </w:pPr>
          </w:p>
        </w:tc>
        <w:tc>
          <w:tcPr>
            <w:tcW w:w="4629" w:type="dxa"/>
            <w:tcBorders>
              <w:top w:val="single" w:sz="4" w:space="0" w:color="000000"/>
              <w:left w:val="single" w:sz="4" w:space="0" w:color="000000"/>
              <w:bottom w:val="single" w:sz="4" w:space="0" w:color="000000"/>
              <w:right w:val="single" w:sz="4" w:space="0" w:color="000000"/>
            </w:tcBorders>
            <w:vAlign w:val="bottom"/>
          </w:tcPr>
          <w:p w:rsidR="00E8309B" w:rsidRDefault="00E8309B">
            <w:pPr>
              <w:spacing w:after="160" w:line="259" w:lineRule="auto"/>
              <w:ind w:left="0" w:right="0" w:firstLine="0"/>
              <w:jc w:val="left"/>
            </w:pPr>
          </w:p>
        </w:tc>
        <w:tc>
          <w:tcPr>
            <w:tcW w:w="1609"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1" w:right="0" w:firstLine="0"/>
              <w:jc w:val="left"/>
            </w:pPr>
            <w:r>
              <w:rPr>
                <w:sz w:val="20"/>
              </w:rPr>
              <w:t xml:space="preserve">Ковид- 19 буџетска средства преусмерена.  </w:t>
            </w:r>
          </w:p>
        </w:tc>
        <w:tc>
          <w:tcPr>
            <w:tcW w:w="2410" w:type="dxa"/>
            <w:tcBorders>
              <w:top w:val="single" w:sz="4" w:space="0" w:color="000000"/>
              <w:left w:val="single" w:sz="4" w:space="0" w:color="000000"/>
              <w:bottom w:val="single" w:sz="4" w:space="0" w:color="000000"/>
              <w:right w:val="single" w:sz="4" w:space="0" w:color="000000"/>
            </w:tcBorders>
          </w:tcPr>
          <w:p w:rsidR="00E8309B" w:rsidRDefault="00E8309B">
            <w:pPr>
              <w:spacing w:after="160" w:line="259" w:lineRule="auto"/>
              <w:ind w:left="0" w:right="0" w:firstLine="0"/>
              <w:jc w:val="left"/>
            </w:pPr>
          </w:p>
        </w:tc>
      </w:tr>
      <w:tr w:rsidR="00E8309B">
        <w:trPr>
          <w:trHeight w:val="7031"/>
        </w:trPr>
        <w:tc>
          <w:tcPr>
            <w:tcW w:w="466"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1" w:right="0" w:firstLine="0"/>
              <w:jc w:val="left"/>
            </w:pPr>
            <w:r>
              <w:rPr>
                <w:sz w:val="20"/>
              </w:rPr>
              <w:t xml:space="preserve">2. </w:t>
            </w:r>
          </w:p>
        </w:tc>
        <w:tc>
          <w:tcPr>
            <w:tcW w:w="3311"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1" w:right="40" w:firstLine="0"/>
              <w:jc w:val="left"/>
            </w:pPr>
            <w:r>
              <w:rPr>
                <w:sz w:val="20"/>
              </w:rPr>
              <w:t xml:space="preserve">Обезбеђивање дигиталних уџбеника за све ученике основних школа који раде по реформисаном плану и програму </w:t>
            </w:r>
          </w:p>
        </w:tc>
        <w:tc>
          <w:tcPr>
            <w:tcW w:w="1798"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0" w:firstLine="0"/>
              <w:jc w:val="left"/>
            </w:pPr>
            <w:r>
              <w:rPr>
                <w:sz w:val="20"/>
              </w:rPr>
              <w:t xml:space="preserve">започето спровођење </w:t>
            </w:r>
          </w:p>
        </w:tc>
        <w:tc>
          <w:tcPr>
            <w:tcW w:w="4629"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2" w:right="38" w:firstLine="0"/>
              <w:jc w:val="left"/>
            </w:pPr>
            <w:r>
              <w:rPr>
                <w:sz w:val="20"/>
              </w:rPr>
              <w:t xml:space="preserve">Пројекат је паузиран због увођења ванредног стања и преусмеравања финансијских средстава. Чим су се стекли услови пројекат је настављен по планираној динамици. </w:t>
            </w:r>
          </w:p>
        </w:tc>
        <w:tc>
          <w:tcPr>
            <w:tcW w:w="1609" w:type="dxa"/>
            <w:tcBorders>
              <w:top w:val="single" w:sz="4" w:space="0" w:color="000000"/>
              <w:left w:val="single" w:sz="4" w:space="0" w:color="000000"/>
              <w:bottom w:val="single" w:sz="4" w:space="0" w:color="000000"/>
              <w:right w:val="single" w:sz="4" w:space="0" w:color="000000"/>
            </w:tcBorders>
          </w:tcPr>
          <w:p w:rsidR="00E8309B" w:rsidRDefault="009D0949">
            <w:pPr>
              <w:spacing w:after="1" w:line="239" w:lineRule="auto"/>
              <w:ind w:left="1" w:right="48" w:firstLine="0"/>
              <w:jc w:val="left"/>
            </w:pPr>
            <w:r>
              <w:rPr>
                <w:sz w:val="20"/>
              </w:rPr>
              <w:t xml:space="preserve">Набавка лиценци за дигиталне уџбенике због смањења буџета није реализована по плану. </w:t>
            </w:r>
          </w:p>
          <w:p w:rsidR="00E8309B" w:rsidRDefault="009D0949">
            <w:pPr>
              <w:spacing w:after="0" w:line="259" w:lineRule="auto"/>
              <w:ind w:left="1" w:right="3" w:firstLine="0"/>
              <w:jc w:val="left"/>
            </w:pPr>
            <w:r>
              <w:rPr>
                <w:sz w:val="20"/>
              </w:rPr>
              <w:t>Реализова</w:t>
            </w:r>
            <w:r>
              <w:rPr>
                <w:sz w:val="20"/>
              </w:rPr>
              <w:t>на је  набавка годишњи лиценци за дигиталне уџбенике за све 2. разреде, као и за 3, 6. и 7. разред у 707 одабраних школа, док је за све 1. разреде, за 3, 6. и 7. разред у 219 школа, као и за 5. разред у 924 школе набављеана полугодишња лиценца за дигиталне</w:t>
            </w:r>
            <w:r>
              <w:rPr>
                <w:sz w:val="20"/>
              </w:rPr>
              <w:t xml:space="preserve"> уџбенике.  </w:t>
            </w:r>
          </w:p>
        </w:tc>
        <w:tc>
          <w:tcPr>
            <w:tcW w:w="2410"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1" w:right="0" w:firstLine="0"/>
              <w:jc w:val="left"/>
            </w:pPr>
            <w:r>
              <w:rPr>
                <w:sz w:val="20"/>
              </w:rPr>
              <w:t xml:space="preserve">  </w:t>
            </w:r>
          </w:p>
        </w:tc>
      </w:tr>
      <w:tr w:rsidR="00E8309B">
        <w:trPr>
          <w:trHeight w:val="820"/>
        </w:trPr>
        <w:tc>
          <w:tcPr>
            <w:tcW w:w="466" w:type="dxa"/>
            <w:tcBorders>
              <w:top w:val="single" w:sz="4" w:space="0" w:color="000000"/>
              <w:left w:val="single" w:sz="4" w:space="0" w:color="000000"/>
              <w:bottom w:val="single" w:sz="4" w:space="0" w:color="000000"/>
              <w:right w:val="single" w:sz="4" w:space="0" w:color="000000"/>
            </w:tcBorders>
          </w:tcPr>
          <w:p w:rsidR="00E8309B" w:rsidRDefault="009D0949">
            <w:pPr>
              <w:spacing w:after="387" w:line="259" w:lineRule="auto"/>
              <w:ind w:left="1" w:right="0" w:firstLine="0"/>
              <w:jc w:val="left"/>
            </w:pPr>
            <w:r>
              <w:rPr>
                <w:sz w:val="20"/>
              </w:rPr>
              <w:t xml:space="preserve">3. </w:t>
            </w:r>
          </w:p>
          <w:p w:rsidR="00E8309B" w:rsidRDefault="009D0949">
            <w:pPr>
              <w:spacing w:after="0" w:line="259" w:lineRule="auto"/>
              <w:ind w:left="1" w:right="0" w:firstLine="0"/>
              <w:jc w:val="left"/>
            </w:pPr>
            <w:r>
              <w:rPr>
                <w:sz w:val="20"/>
              </w:rPr>
              <w:t xml:space="preserve"> </w:t>
            </w:r>
          </w:p>
        </w:tc>
        <w:tc>
          <w:tcPr>
            <w:tcW w:w="3311"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1" w:right="0" w:firstLine="0"/>
              <w:jc w:val="left"/>
            </w:pPr>
            <w:r>
              <w:rPr>
                <w:sz w:val="20"/>
              </w:rPr>
              <w:t xml:space="preserve">Развој Јединственог </w:t>
            </w:r>
          </w:p>
          <w:p w:rsidR="00E8309B" w:rsidRDefault="009D0949">
            <w:pPr>
              <w:spacing w:after="0" w:line="259" w:lineRule="auto"/>
              <w:ind w:left="1" w:right="0" w:firstLine="0"/>
              <w:jc w:val="left"/>
            </w:pPr>
            <w:r>
              <w:rPr>
                <w:sz w:val="20"/>
              </w:rPr>
              <w:t xml:space="preserve">информационог система просвете и израда првих извештаја </w:t>
            </w:r>
          </w:p>
        </w:tc>
        <w:tc>
          <w:tcPr>
            <w:tcW w:w="1798"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0" w:firstLine="0"/>
              <w:jc w:val="left"/>
            </w:pPr>
            <w:r>
              <w:rPr>
                <w:sz w:val="20"/>
              </w:rPr>
              <w:t xml:space="preserve">потпуно спроведене </w:t>
            </w:r>
          </w:p>
        </w:tc>
        <w:tc>
          <w:tcPr>
            <w:tcW w:w="4629" w:type="dxa"/>
            <w:tcBorders>
              <w:top w:val="single" w:sz="4" w:space="0" w:color="000000"/>
              <w:left w:val="single" w:sz="4" w:space="0" w:color="000000"/>
              <w:bottom w:val="single" w:sz="4" w:space="0" w:color="000000"/>
              <w:right w:val="single" w:sz="4" w:space="0" w:color="000000"/>
            </w:tcBorders>
          </w:tcPr>
          <w:p w:rsidR="00E8309B" w:rsidRDefault="009D0949">
            <w:pPr>
              <w:spacing w:after="387" w:line="259" w:lineRule="auto"/>
              <w:ind w:left="2" w:right="0" w:firstLine="0"/>
              <w:jc w:val="left"/>
            </w:pPr>
            <w:r>
              <w:rPr>
                <w:sz w:val="20"/>
              </w:rPr>
              <w:t xml:space="preserve">  </w:t>
            </w:r>
          </w:p>
          <w:p w:rsidR="00E8309B" w:rsidRDefault="009D0949">
            <w:pPr>
              <w:spacing w:after="0" w:line="259" w:lineRule="auto"/>
              <w:ind w:left="2" w:right="0" w:firstLine="0"/>
              <w:jc w:val="left"/>
            </w:pPr>
            <w:r>
              <w:rPr>
                <w:sz w:val="20"/>
              </w:rPr>
              <w:t xml:space="preserve"> </w:t>
            </w:r>
          </w:p>
        </w:tc>
        <w:tc>
          <w:tcPr>
            <w:tcW w:w="1609"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1" w:right="0" w:firstLine="0"/>
              <w:jc w:val="left"/>
            </w:pPr>
            <w:r>
              <w:rPr>
                <w:sz w:val="20"/>
              </w:rPr>
              <w:t xml:space="preserve">  </w:t>
            </w:r>
          </w:p>
        </w:tc>
        <w:tc>
          <w:tcPr>
            <w:tcW w:w="2410"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1" w:right="0" w:firstLine="0"/>
              <w:jc w:val="left"/>
            </w:pPr>
            <w:r>
              <w:rPr>
                <w:sz w:val="20"/>
              </w:rPr>
              <w:t xml:space="preserve">  </w:t>
            </w:r>
          </w:p>
        </w:tc>
      </w:tr>
      <w:tr w:rsidR="00E8309B">
        <w:trPr>
          <w:trHeight w:val="384"/>
        </w:trPr>
        <w:tc>
          <w:tcPr>
            <w:tcW w:w="3777" w:type="dxa"/>
            <w:gridSpan w:val="2"/>
            <w:tcBorders>
              <w:top w:val="single" w:sz="4" w:space="0" w:color="000000"/>
              <w:left w:val="nil"/>
              <w:bottom w:val="single" w:sz="4" w:space="0" w:color="000000"/>
              <w:right w:val="single" w:sz="4" w:space="0" w:color="000000"/>
            </w:tcBorders>
          </w:tcPr>
          <w:p w:rsidR="00E8309B" w:rsidRDefault="00E8309B">
            <w:pPr>
              <w:spacing w:after="160" w:line="259" w:lineRule="auto"/>
              <w:ind w:left="0" w:right="0" w:firstLine="0"/>
              <w:jc w:val="left"/>
            </w:pPr>
          </w:p>
        </w:tc>
        <w:tc>
          <w:tcPr>
            <w:tcW w:w="1798" w:type="dxa"/>
            <w:tcBorders>
              <w:top w:val="single" w:sz="4" w:space="0" w:color="000000"/>
              <w:left w:val="single" w:sz="4" w:space="0" w:color="000000"/>
              <w:bottom w:val="single" w:sz="4" w:space="0" w:color="000000"/>
              <w:right w:val="single" w:sz="4" w:space="0" w:color="000000"/>
            </w:tcBorders>
            <w:shd w:val="clear" w:color="auto" w:fill="BDD6EE"/>
          </w:tcPr>
          <w:p w:rsidR="00E8309B" w:rsidRDefault="009D0949">
            <w:pPr>
              <w:spacing w:after="0" w:line="259" w:lineRule="auto"/>
              <w:ind w:left="0" w:right="48" w:firstLine="0"/>
              <w:jc w:val="center"/>
            </w:pPr>
            <w:r>
              <w:rPr>
                <w:b/>
                <w:sz w:val="20"/>
              </w:rPr>
              <w:t xml:space="preserve">73% </w:t>
            </w:r>
          </w:p>
        </w:tc>
        <w:tc>
          <w:tcPr>
            <w:tcW w:w="8647" w:type="dxa"/>
            <w:gridSpan w:val="3"/>
            <w:tcBorders>
              <w:top w:val="single" w:sz="4" w:space="0" w:color="000000"/>
              <w:left w:val="single" w:sz="4" w:space="0" w:color="000000"/>
              <w:bottom w:val="single" w:sz="4" w:space="0" w:color="000000"/>
              <w:right w:val="nil"/>
            </w:tcBorders>
          </w:tcPr>
          <w:p w:rsidR="00E8309B" w:rsidRDefault="00E8309B">
            <w:pPr>
              <w:spacing w:after="160" w:line="259" w:lineRule="auto"/>
              <w:ind w:left="0" w:right="0" w:firstLine="0"/>
              <w:jc w:val="left"/>
            </w:pPr>
          </w:p>
        </w:tc>
      </w:tr>
    </w:tbl>
    <w:p w:rsidR="00E8309B" w:rsidRDefault="00E8309B">
      <w:pPr>
        <w:spacing w:after="0" w:line="259" w:lineRule="auto"/>
        <w:ind w:left="-1138" w:right="10666" w:firstLine="0"/>
        <w:jc w:val="left"/>
      </w:pPr>
    </w:p>
    <w:tbl>
      <w:tblPr>
        <w:tblStyle w:val="TableGrid"/>
        <w:tblW w:w="14220" w:type="dxa"/>
        <w:tblInd w:w="6" w:type="dxa"/>
        <w:tblCellMar>
          <w:top w:w="10" w:type="dxa"/>
          <w:left w:w="107" w:type="dxa"/>
          <w:bottom w:w="0" w:type="dxa"/>
          <w:right w:w="75" w:type="dxa"/>
        </w:tblCellMar>
        <w:tblLook w:val="04A0" w:firstRow="1" w:lastRow="0" w:firstColumn="1" w:lastColumn="0" w:noHBand="0" w:noVBand="1"/>
      </w:tblPr>
      <w:tblGrid>
        <w:gridCol w:w="465"/>
        <w:gridCol w:w="3311"/>
        <w:gridCol w:w="1798"/>
        <w:gridCol w:w="4629"/>
        <w:gridCol w:w="1609"/>
        <w:gridCol w:w="2409"/>
      </w:tblGrid>
      <w:tr w:rsidR="00E8309B">
        <w:trPr>
          <w:trHeight w:val="559"/>
        </w:trPr>
        <w:tc>
          <w:tcPr>
            <w:tcW w:w="14220" w:type="dxa"/>
            <w:gridSpan w:val="6"/>
            <w:tcBorders>
              <w:top w:val="single" w:sz="4" w:space="0" w:color="000000"/>
              <w:left w:val="single" w:sz="4" w:space="0" w:color="000000"/>
              <w:bottom w:val="single" w:sz="4" w:space="0" w:color="000000"/>
              <w:right w:val="single" w:sz="4" w:space="0" w:color="000000"/>
            </w:tcBorders>
            <w:shd w:val="clear" w:color="auto" w:fill="D0CECE"/>
          </w:tcPr>
          <w:p w:rsidR="00E8309B" w:rsidRDefault="009D0949">
            <w:pPr>
              <w:spacing w:after="0" w:line="259" w:lineRule="auto"/>
              <w:ind w:left="0" w:right="0" w:firstLine="0"/>
              <w:jc w:val="left"/>
            </w:pPr>
            <w:r>
              <w:rPr>
                <w:b/>
              </w:rPr>
              <w:t xml:space="preserve">СР 20. Унапређење националне политике запошљавања у складу са добром праксом и стандардима ЕУ  </w:t>
            </w:r>
          </w:p>
        </w:tc>
      </w:tr>
      <w:tr w:rsidR="00E8309B">
        <w:trPr>
          <w:trHeight w:val="3266"/>
        </w:trPr>
        <w:tc>
          <w:tcPr>
            <w:tcW w:w="465"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0" w:firstLine="0"/>
              <w:jc w:val="left"/>
            </w:pPr>
            <w:r>
              <w:rPr>
                <w:sz w:val="20"/>
              </w:rPr>
              <w:t xml:space="preserve">1. </w:t>
            </w:r>
          </w:p>
        </w:tc>
        <w:tc>
          <w:tcPr>
            <w:tcW w:w="3311"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1" w:right="38" w:firstLine="0"/>
              <w:jc w:val="left"/>
            </w:pPr>
            <w:r>
              <w:rPr>
                <w:sz w:val="20"/>
              </w:rPr>
              <w:t xml:space="preserve">Припрема аналитичког основа за потребе креирања новог стратешког оквира у области запошљавања </w:t>
            </w:r>
          </w:p>
        </w:tc>
        <w:tc>
          <w:tcPr>
            <w:tcW w:w="1798"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0" w:firstLine="0"/>
              <w:jc w:val="left"/>
            </w:pPr>
            <w:r>
              <w:rPr>
                <w:sz w:val="20"/>
              </w:rPr>
              <w:t xml:space="preserve">потпуно спроведене </w:t>
            </w:r>
          </w:p>
        </w:tc>
        <w:tc>
          <w:tcPr>
            <w:tcW w:w="4629" w:type="dxa"/>
            <w:tcBorders>
              <w:top w:val="single" w:sz="4" w:space="0" w:color="000000"/>
              <w:left w:val="single" w:sz="4" w:space="0" w:color="000000"/>
              <w:bottom w:val="single" w:sz="4" w:space="0" w:color="000000"/>
              <w:right w:val="single" w:sz="4" w:space="0" w:color="000000"/>
            </w:tcBorders>
          </w:tcPr>
          <w:p w:rsidR="00E8309B" w:rsidRDefault="009D0949">
            <w:pPr>
              <w:spacing w:after="2" w:line="275" w:lineRule="auto"/>
              <w:ind w:left="2" w:right="0" w:firstLine="0"/>
              <w:jc w:val="left"/>
            </w:pPr>
            <w:r>
              <w:rPr>
                <w:sz w:val="20"/>
              </w:rPr>
              <w:t xml:space="preserve">₋ Припремљена је ex- post анализа Националне стратегије запошљавања за период 2011. – 2020. </w:t>
            </w:r>
          </w:p>
          <w:p w:rsidR="00E8309B" w:rsidRDefault="009D0949">
            <w:pPr>
              <w:spacing w:after="19" w:line="259" w:lineRule="auto"/>
              <w:ind w:left="2" w:right="0" w:firstLine="0"/>
              <w:jc w:val="left"/>
            </w:pPr>
            <w:r>
              <w:rPr>
                <w:sz w:val="20"/>
              </w:rPr>
              <w:t xml:space="preserve">године; </w:t>
            </w:r>
          </w:p>
          <w:p w:rsidR="00E8309B" w:rsidRDefault="009D0949">
            <w:pPr>
              <w:spacing w:after="20" w:line="259" w:lineRule="auto"/>
              <w:ind w:left="2" w:right="0" w:firstLine="0"/>
              <w:jc w:val="left"/>
            </w:pPr>
            <w:r>
              <w:rPr>
                <w:sz w:val="20"/>
              </w:rPr>
              <w:t>₋ Припремљен нацрт еx-</w:t>
            </w:r>
            <w:r>
              <w:rPr>
                <w:sz w:val="20"/>
              </w:rPr>
              <w:t xml:space="preserve">ante анализе за нову </w:t>
            </w:r>
          </w:p>
          <w:p w:rsidR="00E8309B" w:rsidRDefault="009D0949">
            <w:pPr>
              <w:spacing w:after="2" w:line="278" w:lineRule="auto"/>
              <w:ind w:left="2" w:right="84" w:firstLine="0"/>
              <w:jc w:val="left"/>
            </w:pPr>
            <w:r>
              <w:rPr>
                <w:sz w:val="20"/>
              </w:rPr>
              <w:t xml:space="preserve">Стратегију са главним стубовима и пројекцијама; ₋ Припремљен нацрт анализе програма стручне праксе;  </w:t>
            </w:r>
          </w:p>
          <w:p w:rsidR="00E8309B" w:rsidRDefault="009D0949">
            <w:pPr>
              <w:spacing w:after="0" w:line="259" w:lineRule="auto"/>
              <w:ind w:left="2" w:right="22" w:firstLine="0"/>
              <w:jc w:val="left"/>
            </w:pPr>
            <w:r>
              <w:rPr>
                <w:sz w:val="20"/>
              </w:rPr>
              <w:t xml:space="preserve">₋ Припремљена је Функционална анализа НСЗ и OJ за запошљавање у Сектору за рад и запошљавање; ₋ Припремљена је Процена изводљивости </w:t>
            </w:r>
            <w:r>
              <w:rPr>
                <w:sz w:val="20"/>
              </w:rPr>
              <w:t xml:space="preserve">увођења Гаранција за младе. </w:t>
            </w:r>
          </w:p>
        </w:tc>
        <w:tc>
          <w:tcPr>
            <w:tcW w:w="1609"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1" w:right="0" w:firstLine="0"/>
              <w:jc w:val="left"/>
            </w:pPr>
            <w:r>
              <w:rPr>
                <w:sz w:val="20"/>
              </w:rPr>
              <w:t xml:space="preserve">  </w:t>
            </w:r>
          </w:p>
        </w:tc>
        <w:tc>
          <w:tcPr>
            <w:tcW w:w="2409"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1" w:right="0" w:firstLine="0"/>
              <w:jc w:val="left"/>
            </w:pPr>
            <w:r>
              <w:rPr>
                <w:sz w:val="20"/>
              </w:rPr>
              <w:t xml:space="preserve">  </w:t>
            </w:r>
          </w:p>
        </w:tc>
      </w:tr>
      <w:tr w:rsidR="00E8309B">
        <w:trPr>
          <w:trHeight w:val="4970"/>
        </w:trPr>
        <w:tc>
          <w:tcPr>
            <w:tcW w:w="465" w:type="dxa"/>
            <w:tcBorders>
              <w:top w:val="single" w:sz="4" w:space="0" w:color="000000"/>
              <w:left w:val="single" w:sz="4" w:space="0" w:color="000000"/>
              <w:bottom w:val="single" w:sz="4" w:space="0" w:color="000000"/>
              <w:right w:val="single" w:sz="4" w:space="0" w:color="000000"/>
            </w:tcBorders>
          </w:tcPr>
          <w:p w:rsidR="00E8309B" w:rsidRDefault="009D0949">
            <w:pPr>
              <w:spacing w:after="4537" w:line="259" w:lineRule="auto"/>
              <w:ind w:left="0" w:right="0" w:firstLine="0"/>
              <w:jc w:val="left"/>
            </w:pPr>
            <w:r>
              <w:rPr>
                <w:sz w:val="20"/>
              </w:rPr>
              <w:t xml:space="preserve">2. </w:t>
            </w:r>
          </w:p>
          <w:p w:rsidR="00E8309B" w:rsidRDefault="009D0949">
            <w:pPr>
              <w:spacing w:after="0" w:line="259" w:lineRule="auto"/>
              <w:ind w:left="0" w:right="0" w:firstLine="0"/>
              <w:jc w:val="left"/>
            </w:pPr>
            <w:r>
              <w:t xml:space="preserve"> </w:t>
            </w:r>
          </w:p>
        </w:tc>
        <w:tc>
          <w:tcPr>
            <w:tcW w:w="3311"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1" w:right="0" w:firstLine="0"/>
              <w:jc w:val="left"/>
            </w:pPr>
            <w:r>
              <w:rPr>
                <w:sz w:val="20"/>
              </w:rPr>
              <w:t xml:space="preserve">Креирање нове Националне стратегије запошљавања за период 2021-2026. године са пратећим  акционим планом запошљавања за период 2021-2023 године </w:t>
            </w:r>
          </w:p>
        </w:tc>
        <w:tc>
          <w:tcPr>
            <w:tcW w:w="1798"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0" w:firstLine="0"/>
              <w:jc w:val="left"/>
            </w:pPr>
            <w:r>
              <w:rPr>
                <w:sz w:val="20"/>
              </w:rPr>
              <w:t xml:space="preserve">напредак у спровођењу </w:t>
            </w:r>
          </w:p>
        </w:tc>
        <w:tc>
          <w:tcPr>
            <w:tcW w:w="4629" w:type="dxa"/>
            <w:tcBorders>
              <w:top w:val="single" w:sz="4" w:space="0" w:color="000000"/>
              <w:left w:val="single" w:sz="4" w:space="0" w:color="000000"/>
              <w:bottom w:val="single" w:sz="4" w:space="0" w:color="000000"/>
              <w:right w:val="single" w:sz="4" w:space="0" w:color="000000"/>
            </w:tcBorders>
            <w:vAlign w:val="bottom"/>
          </w:tcPr>
          <w:p w:rsidR="00E8309B" w:rsidRDefault="009D0949">
            <w:pPr>
              <w:spacing w:after="0" w:line="280" w:lineRule="auto"/>
              <w:ind w:left="2" w:right="0" w:firstLine="0"/>
              <w:jc w:val="left"/>
            </w:pPr>
            <w:r>
              <w:rPr>
                <w:sz w:val="20"/>
              </w:rPr>
              <w:t xml:space="preserve"> </w:t>
            </w:r>
            <w:r>
              <w:rPr>
                <w:sz w:val="20"/>
              </w:rPr>
              <w:t xml:space="preserve">₋ Донeто Решење о образовању Радне групе за израду Предлога стратегије и АП;  </w:t>
            </w:r>
          </w:p>
          <w:p w:rsidR="00E8309B" w:rsidRDefault="009D0949">
            <w:pPr>
              <w:spacing w:after="17" w:line="259" w:lineRule="auto"/>
              <w:ind w:left="2" w:right="0" w:firstLine="0"/>
              <w:jc w:val="left"/>
            </w:pPr>
            <w:r>
              <w:rPr>
                <w:sz w:val="20"/>
              </w:rPr>
              <w:t xml:space="preserve">₋ Организован први састанак Радне групе за израду </w:t>
            </w:r>
          </w:p>
          <w:p w:rsidR="00E8309B" w:rsidRDefault="009D0949">
            <w:pPr>
              <w:spacing w:after="0" w:line="280" w:lineRule="auto"/>
              <w:ind w:left="2" w:right="60" w:firstLine="0"/>
              <w:jc w:val="left"/>
            </w:pPr>
            <w:r>
              <w:rPr>
                <w:sz w:val="20"/>
              </w:rPr>
              <w:t>Предлога стратегије и АП - 30. јун 2020. године;  ₋ Објављен почетак  консултативног процеса након првог састанка РГ – на инте</w:t>
            </w:r>
            <w:r>
              <w:rPr>
                <w:sz w:val="20"/>
              </w:rPr>
              <w:t xml:space="preserve">рнет страници </w:t>
            </w:r>
          </w:p>
          <w:p w:rsidR="00E8309B" w:rsidRDefault="009D0949">
            <w:pPr>
              <w:spacing w:after="20" w:line="259" w:lineRule="auto"/>
              <w:ind w:left="2" w:right="15" w:firstLine="0"/>
              <w:jc w:val="left"/>
            </w:pPr>
            <w:r>
              <w:rPr>
                <w:sz w:val="20"/>
              </w:rPr>
              <w:t xml:space="preserve">МРЗБСП – 2. јула 2020. године.                                 - Ангажован експерт за писање полазних основа Стратегије и Акционог плана у складу са Законом о планском систему (као подршка запосленима у МРЗБСП).  </w:t>
            </w:r>
          </w:p>
          <w:p w:rsidR="00E8309B" w:rsidRDefault="009D0949">
            <w:pPr>
              <w:numPr>
                <w:ilvl w:val="0"/>
                <w:numId w:val="64"/>
              </w:numPr>
              <w:spacing w:after="0" w:line="279" w:lineRule="auto"/>
              <w:ind w:right="542" w:firstLine="0"/>
              <w:jc w:val="left"/>
            </w:pPr>
            <w:r>
              <w:rPr>
                <w:sz w:val="20"/>
              </w:rPr>
              <w:t xml:space="preserve">Организован други састанак </w:t>
            </w:r>
            <w:r>
              <w:rPr>
                <w:sz w:val="20"/>
              </w:rPr>
              <w:t xml:space="preserve">Радне групе и представљени налази ex-post анализе.  - Спровођење јавне расправе планирано је за децембар 2020./јануар 2021. године, у трајању од 20 радних дана. </w:t>
            </w:r>
          </w:p>
          <w:p w:rsidR="00E8309B" w:rsidRDefault="009D0949">
            <w:pPr>
              <w:numPr>
                <w:ilvl w:val="0"/>
                <w:numId w:val="64"/>
              </w:numPr>
              <w:spacing w:after="377" w:line="279" w:lineRule="auto"/>
              <w:ind w:right="542" w:firstLine="0"/>
              <w:jc w:val="left"/>
            </w:pPr>
            <w:r>
              <w:rPr>
                <w:sz w:val="20"/>
              </w:rPr>
              <w:t xml:space="preserve">Упућивање Предлога стратегије и АП на мишљења и усвајање, јануар 2021. године </w:t>
            </w:r>
          </w:p>
          <w:p w:rsidR="00E8309B" w:rsidRDefault="009D0949">
            <w:pPr>
              <w:spacing w:after="0" w:line="259" w:lineRule="auto"/>
              <w:ind w:left="2" w:right="0" w:firstLine="0"/>
              <w:jc w:val="left"/>
            </w:pPr>
            <w:r>
              <w:t xml:space="preserve"> </w:t>
            </w:r>
          </w:p>
        </w:tc>
        <w:tc>
          <w:tcPr>
            <w:tcW w:w="1609"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1" w:right="0" w:firstLine="0"/>
              <w:jc w:val="left"/>
            </w:pPr>
            <w:r>
              <w:rPr>
                <w:sz w:val="20"/>
              </w:rPr>
              <w:t xml:space="preserve">  </w:t>
            </w:r>
          </w:p>
        </w:tc>
        <w:tc>
          <w:tcPr>
            <w:tcW w:w="2409"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1" w:right="0" w:firstLine="0"/>
              <w:jc w:val="left"/>
            </w:pPr>
            <w:r>
              <w:rPr>
                <w:sz w:val="20"/>
              </w:rPr>
              <w:t xml:space="preserve">  </w:t>
            </w:r>
          </w:p>
        </w:tc>
      </w:tr>
      <w:tr w:rsidR="00E8309B">
        <w:trPr>
          <w:trHeight w:val="552"/>
        </w:trPr>
        <w:tc>
          <w:tcPr>
            <w:tcW w:w="3776" w:type="dxa"/>
            <w:gridSpan w:val="2"/>
            <w:tcBorders>
              <w:top w:val="single" w:sz="4" w:space="0" w:color="000000"/>
              <w:left w:val="nil"/>
              <w:bottom w:val="single" w:sz="4" w:space="0" w:color="000000"/>
              <w:right w:val="single" w:sz="4" w:space="0" w:color="000000"/>
            </w:tcBorders>
          </w:tcPr>
          <w:p w:rsidR="00E8309B" w:rsidRDefault="00E8309B">
            <w:pPr>
              <w:spacing w:after="160" w:line="259" w:lineRule="auto"/>
              <w:ind w:left="0" w:right="0" w:firstLine="0"/>
              <w:jc w:val="left"/>
            </w:pPr>
          </w:p>
        </w:tc>
        <w:tc>
          <w:tcPr>
            <w:tcW w:w="1798" w:type="dxa"/>
            <w:tcBorders>
              <w:top w:val="single" w:sz="4" w:space="0" w:color="000000"/>
              <w:left w:val="single" w:sz="4" w:space="0" w:color="000000"/>
              <w:bottom w:val="single" w:sz="4" w:space="0" w:color="000000"/>
              <w:right w:val="single" w:sz="4" w:space="0" w:color="000000"/>
            </w:tcBorders>
            <w:shd w:val="clear" w:color="auto" w:fill="BDD6EE"/>
          </w:tcPr>
          <w:p w:rsidR="00E8309B" w:rsidRDefault="009D0949">
            <w:pPr>
              <w:spacing w:after="0" w:line="259" w:lineRule="auto"/>
              <w:ind w:left="0" w:right="34" w:firstLine="0"/>
              <w:jc w:val="center"/>
            </w:pPr>
            <w:r>
              <w:rPr>
                <w:b/>
                <w:sz w:val="20"/>
              </w:rPr>
              <w:t xml:space="preserve">90% </w:t>
            </w:r>
          </w:p>
        </w:tc>
        <w:tc>
          <w:tcPr>
            <w:tcW w:w="8646" w:type="dxa"/>
            <w:gridSpan w:val="3"/>
            <w:tcBorders>
              <w:top w:val="single" w:sz="4" w:space="0" w:color="000000"/>
              <w:left w:val="single" w:sz="4" w:space="0" w:color="000000"/>
              <w:bottom w:val="single" w:sz="4" w:space="0" w:color="000000"/>
              <w:right w:val="nil"/>
            </w:tcBorders>
          </w:tcPr>
          <w:p w:rsidR="00E8309B" w:rsidRDefault="00E8309B">
            <w:pPr>
              <w:spacing w:after="160" w:line="259" w:lineRule="auto"/>
              <w:ind w:left="0" w:right="0" w:firstLine="0"/>
              <w:jc w:val="left"/>
            </w:pPr>
          </w:p>
        </w:tc>
      </w:tr>
    </w:tbl>
    <w:p w:rsidR="00E8309B" w:rsidRDefault="00E8309B">
      <w:pPr>
        <w:spacing w:after="0" w:line="259" w:lineRule="auto"/>
        <w:ind w:left="-1138" w:right="10666" w:firstLine="0"/>
        <w:jc w:val="left"/>
      </w:pPr>
    </w:p>
    <w:tbl>
      <w:tblPr>
        <w:tblStyle w:val="TableGrid"/>
        <w:tblW w:w="14220" w:type="dxa"/>
        <w:tblInd w:w="6" w:type="dxa"/>
        <w:tblCellMar>
          <w:top w:w="10" w:type="dxa"/>
          <w:left w:w="107" w:type="dxa"/>
          <w:bottom w:w="0" w:type="dxa"/>
          <w:right w:w="71" w:type="dxa"/>
        </w:tblCellMar>
        <w:tblLook w:val="04A0" w:firstRow="1" w:lastRow="0" w:firstColumn="1" w:lastColumn="0" w:noHBand="0" w:noVBand="1"/>
      </w:tblPr>
      <w:tblGrid>
        <w:gridCol w:w="465"/>
        <w:gridCol w:w="3310"/>
        <w:gridCol w:w="1800"/>
        <w:gridCol w:w="4628"/>
        <w:gridCol w:w="1609"/>
        <w:gridCol w:w="2409"/>
      </w:tblGrid>
      <w:tr w:rsidR="00E8309B">
        <w:trPr>
          <w:trHeight w:val="403"/>
        </w:trPr>
        <w:tc>
          <w:tcPr>
            <w:tcW w:w="14220" w:type="dxa"/>
            <w:gridSpan w:val="6"/>
            <w:tcBorders>
              <w:top w:val="single" w:sz="4" w:space="0" w:color="000000"/>
              <w:left w:val="single" w:sz="4" w:space="0" w:color="000000"/>
              <w:bottom w:val="single" w:sz="4" w:space="0" w:color="000000"/>
              <w:right w:val="single" w:sz="4" w:space="0" w:color="000000"/>
            </w:tcBorders>
            <w:shd w:val="clear" w:color="auto" w:fill="D0CECE"/>
          </w:tcPr>
          <w:p w:rsidR="00E8309B" w:rsidRDefault="009D0949">
            <w:pPr>
              <w:spacing w:after="0" w:line="259" w:lineRule="auto"/>
              <w:ind w:left="0" w:right="0" w:firstLine="0"/>
              <w:jc w:val="left"/>
            </w:pPr>
            <w:r>
              <w:rPr>
                <w:b/>
              </w:rPr>
              <w:t xml:space="preserve">СР 21. Стварање услова за праћење, подстицање и подршку циркуларним миграцијама </w:t>
            </w:r>
          </w:p>
        </w:tc>
      </w:tr>
      <w:tr w:rsidR="00E8309B">
        <w:trPr>
          <w:trHeight w:val="3813"/>
        </w:trPr>
        <w:tc>
          <w:tcPr>
            <w:tcW w:w="465"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0" w:firstLine="0"/>
              <w:jc w:val="left"/>
            </w:pPr>
            <w:r>
              <w:rPr>
                <w:sz w:val="20"/>
              </w:rPr>
              <w:t xml:space="preserve">1. </w:t>
            </w:r>
          </w:p>
        </w:tc>
        <w:tc>
          <w:tcPr>
            <w:tcW w:w="3310"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1" w:right="30" w:firstLine="0"/>
              <w:jc w:val="left"/>
            </w:pPr>
            <w:r>
              <w:rPr>
                <w:sz w:val="20"/>
              </w:rPr>
              <w:t xml:space="preserve">Административно успостављање организације и мапирање дијаспоре, уз студијске посете земљама са сличним иницијативама </w:t>
            </w:r>
          </w:p>
        </w:tc>
        <w:tc>
          <w:tcPr>
            <w:tcW w:w="1800"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1" w:right="0" w:firstLine="0"/>
              <w:jc w:val="left"/>
            </w:pPr>
            <w:r>
              <w:rPr>
                <w:sz w:val="20"/>
              </w:rPr>
              <w:t xml:space="preserve">потпуно спроведене </w:t>
            </w:r>
          </w:p>
        </w:tc>
        <w:tc>
          <w:tcPr>
            <w:tcW w:w="4628"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60" w:lineRule="auto"/>
              <w:ind w:left="1" w:right="0" w:firstLine="0"/>
              <w:jc w:val="left"/>
            </w:pPr>
            <w:r>
              <w:rPr>
                <w:sz w:val="20"/>
              </w:rPr>
              <w:t xml:space="preserve">Тачка повратка је успостављена у сарадњи са Програмом за развој Уједињених Нација кроз њихов механизам који пружа подршку </w:t>
            </w:r>
          </w:p>
          <w:p w:rsidR="00E8309B" w:rsidRDefault="009D0949">
            <w:pPr>
              <w:spacing w:after="27" w:line="252" w:lineRule="auto"/>
              <w:ind w:left="1" w:right="0" w:firstLine="0"/>
              <w:jc w:val="left"/>
            </w:pPr>
            <w:r>
              <w:rPr>
                <w:sz w:val="20"/>
              </w:rPr>
              <w:t>релевантним иницијативама у периоду од 12 до 18 месеци. На тај начин, пронађен је модалитет јавно</w:t>
            </w:r>
            <w:r>
              <w:rPr>
                <w:sz w:val="20"/>
              </w:rPr>
              <w:t xml:space="preserve">приватног партнерства који омогућава учешће у Управном одбору представницима Владе </w:t>
            </w:r>
          </w:p>
          <w:p w:rsidR="00E8309B" w:rsidRDefault="009D0949">
            <w:pPr>
              <w:spacing w:after="0" w:line="259" w:lineRule="auto"/>
              <w:ind w:left="1" w:right="0" w:firstLine="0"/>
              <w:jc w:val="left"/>
            </w:pPr>
            <w:r>
              <w:rPr>
                <w:sz w:val="20"/>
              </w:rPr>
              <w:t>Републике Србије, Научно-технолошког парка Београд и дијаспора организација које су иницирале идеју покретања програма Тачка повратка. Са друге стране, имајући у виду огран</w:t>
            </w:r>
            <w:r>
              <w:rPr>
                <w:sz w:val="20"/>
              </w:rPr>
              <w:t xml:space="preserve">ичења у путовању због пандемије вируса Ковид-19 све планиране студијски посете су одложене са намером да се исте одрже чим се створе могућности за безбедно путовање на светском нивоу. </w:t>
            </w:r>
          </w:p>
        </w:tc>
        <w:tc>
          <w:tcPr>
            <w:tcW w:w="1609"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1" w:right="0" w:firstLine="0"/>
              <w:jc w:val="left"/>
            </w:pPr>
            <w:r>
              <w:rPr>
                <w:sz w:val="20"/>
              </w:rPr>
              <w:t xml:space="preserve">  </w:t>
            </w:r>
          </w:p>
        </w:tc>
        <w:tc>
          <w:tcPr>
            <w:tcW w:w="2409"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1" w:right="0" w:firstLine="0"/>
              <w:jc w:val="left"/>
            </w:pPr>
            <w:r>
              <w:rPr>
                <w:sz w:val="20"/>
              </w:rPr>
              <w:t xml:space="preserve">  </w:t>
            </w:r>
          </w:p>
        </w:tc>
      </w:tr>
      <w:tr w:rsidR="00E8309B">
        <w:trPr>
          <w:trHeight w:val="5300"/>
        </w:trPr>
        <w:tc>
          <w:tcPr>
            <w:tcW w:w="465"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0" w:firstLine="0"/>
              <w:jc w:val="left"/>
            </w:pPr>
            <w:r>
              <w:rPr>
                <w:sz w:val="20"/>
              </w:rPr>
              <w:t xml:space="preserve">2. </w:t>
            </w:r>
          </w:p>
        </w:tc>
        <w:tc>
          <w:tcPr>
            <w:tcW w:w="3310"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1" w:right="0" w:firstLine="0"/>
              <w:jc w:val="left"/>
            </w:pPr>
            <w:r>
              <w:rPr>
                <w:sz w:val="20"/>
              </w:rPr>
              <w:t>Представљање и промоција пореских подстицаја, поједностављен</w:t>
            </w:r>
            <w:r>
              <w:rPr>
                <w:sz w:val="20"/>
              </w:rPr>
              <w:t xml:space="preserve">их процедура за запослење и повратак у земљу </w:t>
            </w:r>
          </w:p>
        </w:tc>
        <w:tc>
          <w:tcPr>
            <w:tcW w:w="1800"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1" w:right="0" w:firstLine="0"/>
              <w:jc w:val="left"/>
            </w:pPr>
            <w:r>
              <w:rPr>
                <w:sz w:val="20"/>
              </w:rPr>
              <w:t xml:space="preserve">започето спровођење </w:t>
            </w:r>
          </w:p>
        </w:tc>
        <w:tc>
          <w:tcPr>
            <w:tcW w:w="4628"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1" w:right="0" w:firstLine="0"/>
              <w:jc w:val="left"/>
            </w:pPr>
            <w:r>
              <w:rPr>
                <w:sz w:val="20"/>
              </w:rPr>
              <w:t>Имајући у виду епидемиолошку ситуацију у Републици Србији и целом свету, тим Тачке повратка је првенствено био ангажован на активностима подршке Влади Републике Србије у борби против вируса Ковид-19, посебно у комуникацији са великим бројем људи који су се</w:t>
            </w:r>
            <w:r>
              <w:rPr>
                <w:sz w:val="20"/>
              </w:rPr>
              <w:t xml:space="preserve"> вратили у земљу током пандемије. Промотивне активности које се односе на пореске и друге подстицаје ограничене су и спроведене у складу са могућностима, како би се расположиви ресурсиусмерили на приоритетне области у том тренутку. Све активности које су м</w:t>
            </w:r>
            <w:r>
              <w:rPr>
                <w:sz w:val="20"/>
              </w:rPr>
              <w:t xml:space="preserve">огле бити спроведене без физичког окупљања, попут онлајн семинара и презентација, су одржане.  </w:t>
            </w:r>
          </w:p>
        </w:tc>
        <w:tc>
          <w:tcPr>
            <w:tcW w:w="1609"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1" w:right="0" w:firstLine="0"/>
              <w:jc w:val="left"/>
            </w:pPr>
            <w:r>
              <w:rPr>
                <w:sz w:val="20"/>
              </w:rPr>
              <w:t xml:space="preserve">  </w:t>
            </w:r>
          </w:p>
        </w:tc>
        <w:tc>
          <w:tcPr>
            <w:tcW w:w="2409"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42" w:lineRule="auto"/>
              <w:ind w:left="1" w:right="30" w:firstLine="0"/>
              <w:jc w:val="left"/>
            </w:pPr>
            <w:r>
              <w:rPr>
                <w:sz w:val="20"/>
              </w:rPr>
              <w:t>Због избијања пандемије вируса Ковид-</w:t>
            </w:r>
            <w:r>
              <w:rPr>
                <w:sz w:val="20"/>
              </w:rPr>
              <w:t>19 и у условима затварања граница Републике Србије, људски и други ресурси успостављеног тела, Тачке повратка, су усмерени у подршку органима Републике Србије за организовани повратак држављана Републике Србије назад у Србију. Тачка повратка је своје напор</w:t>
            </w:r>
            <w:r>
              <w:rPr>
                <w:sz w:val="20"/>
              </w:rPr>
              <w:t xml:space="preserve">е првенствено усмерила на организовани повратак ђака и студената. У сарадњи са </w:t>
            </w:r>
          </w:p>
          <w:p w:rsidR="00E8309B" w:rsidRDefault="009D0949">
            <w:pPr>
              <w:spacing w:after="0" w:line="259" w:lineRule="auto"/>
              <w:ind w:left="1" w:right="0" w:firstLine="0"/>
              <w:jc w:val="left"/>
            </w:pPr>
            <w:r>
              <w:rPr>
                <w:sz w:val="20"/>
              </w:rPr>
              <w:t xml:space="preserve">Министарством спољних послова, и другим надлежним телима, организовани су хуманитарни летови за </w:t>
            </w:r>
          </w:p>
        </w:tc>
      </w:tr>
    </w:tbl>
    <w:p w:rsidR="00E8309B" w:rsidRDefault="00E8309B">
      <w:pPr>
        <w:spacing w:after="0" w:line="259" w:lineRule="auto"/>
        <w:ind w:left="-1138" w:right="10666" w:firstLine="0"/>
        <w:jc w:val="left"/>
      </w:pPr>
    </w:p>
    <w:tbl>
      <w:tblPr>
        <w:tblStyle w:val="TableGrid"/>
        <w:tblW w:w="14222" w:type="dxa"/>
        <w:tblInd w:w="5" w:type="dxa"/>
        <w:tblCellMar>
          <w:top w:w="10" w:type="dxa"/>
          <w:left w:w="107" w:type="dxa"/>
          <w:bottom w:w="0" w:type="dxa"/>
          <w:right w:w="69" w:type="dxa"/>
        </w:tblCellMar>
        <w:tblLook w:val="04A0" w:firstRow="1" w:lastRow="0" w:firstColumn="1" w:lastColumn="0" w:noHBand="0" w:noVBand="1"/>
      </w:tblPr>
      <w:tblGrid>
        <w:gridCol w:w="466"/>
        <w:gridCol w:w="3311"/>
        <w:gridCol w:w="1798"/>
        <w:gridCol w:w="4629"/>
        <w:gridCol w:w="1609"/>
        <w:gridCol w:w="2410"/>
      </w:tblGrid>
      <w:tr w:rsidR="00E8309B">
        <w:trPr>
          <w:trHeight w:val="4501"/>
        </w:trPr>
        <w:tc>
          <w:tcPr>
            <w:tcW w:w="466" w:type="dxa"/>
            <w:tcBorders>
              <w:top w:val="single" w:sz="4" w:space="0" w:color="000000"/>
              <w:left w:val="single" w:sz="4" w:space="0" w:color="000000"/>
              <w:bottom w:val="single" w:sz="4" w:space="0" w:color="000000"/>
              <w:right w:val="single" w:sz="4" w:space="0" w:color="000000"/>
            </w:tcBorders>
          </w:tcPr>
          <w:p w:rsidR="00E8309B" w:rsidRDefault="00E8309B">
            <w:pPr>
              <w:spacing w:after="160" w:line="259" w:lineRule="auto"/>
              <w:ind w:left="0" w:right="0" w:firstLine="0"/>
              <w:jc w:val="left"/>
            </w:pPr>
          </w:p>
        </w:tc>
        <w:tc>
          <w:tcPr>
            <w:tcW w:w="3311" w:type="dxa"/>
            <w:tcBorders>
              <w:top w:val="single" w:sz="4" w:space="0" w:color="000000"/>
              <w:left w:val="single" w:sz="4" w:space="0" w:color="000000"/>
              <w:bottom w:val="single" w:sz="4" w:space="0" w:color="000000"/>
              <w:right w:val="single" w:sz="4" w:space="0" w:color="000000"/>
            </w:tcBorders>
          </w:tcPr>
          <w:p w:rsidR="00E8309B" w:rsidRDefault="00E8309B">
            <w:pPr>
              <w:spacing w:after="160" w:line="259" w:lineRule="auto"/>
              <w:ind w:left="0" w:right="0" w:firstLine="0"/>
              <w:jc w:val="left"/>
            </w:pPr>
          </w:p>
        </w:tc>
        <w:tc>
          <w:tcPr>
            <w:tcW w:w="1798" w:type="dxa"/>
            <w:tcBorders>
              <w:top w:val="single" w:sz="4" w:space="0" w:color="000000"/>
              <w:left w:val="single" w:sz="4" w:space="0" w:color="000000"/>
              <w:bottom w:val="single" w:sz="4" w:space="0" w:color="000000"/>
              <w:right w:val="single" w:sz="4" w:space="0" w:color="000000"/>
            </w:tcBorders>
          </w:tcPr>
          <w:p w:rsidR="00E8309B" w:rsidRDefault="00E8309B">
            <w:pPr>
              <w:spacing w:after="160" w:line="259" w:lineRule="auto"/>
              <w:ind w:left="0" w:right="0" w:firstLine="0"/>
              <w:jc w:val="left"/>
            </w:pPr>
          </w:p>
        </w:tc>
        <w:tc>
          <w:tcPr>
            <w:tcW w:w="4629" w:type="dxa"/>
            <w:tcBorders>
              <w:top w:val="single" w:sz="4" w:space="0" w:color="000000"/>
              <w:left w:val="single" w:sz="4" w:space="0" w:color="000000"/>
              <w:bottom w:val="single" w:sz="4" w:space="0" w:color="000000"/>
              <w:right w:val="single" w:sz="4" w:space="0" w:color="000000"/>
            </w:tcBorders>
          </w:tcPr>
          <w:p w:rsidR="00E8309B" w:rsidRDefault="00E8309B">
            <w:pPr>
              <w:spacing w:after="160" w:line="259" w:lineRule="auto"/>
              <w:ind w:left="0" w:right="0" w:firstLine="0"/>
              <w:jc w:val="left"/>
            </w:pPr>
          </w:p>
        </w:tc>
        <w:tc>
          <w:tcPr>
            <w:tcW w:w="1609" w:type="dxa"/>
            <w:tcBorders>
              <w:top w:val="single" w:sz="4" w:space="0" w:color="000000"/>
              <w:left w:val="single" w:sz="4" w:space="0" w:color="000000"/>
              <w:bottom w:val="single" w:sz="4" w:space="0" w:color="000000"/>
              <w:right w:val="single" w:sz="4" w:space="0" w:color="000000"/>
            </w:tcBorders>
          </w:tcPr>
          <w:p w:rsidR="00E8309B" w:rsidRDefault="00E8309B">
            <w:pPr>
              <w:spacing w:after="160" w:line="259" w:lineRule="auto"/>
              <w:ind w:left="0" w:right="0" w:firstLine="0"/>
              <w:jc w:val="left"/>
            </w:pPr>
          </w:p>
        </w:tc>
        <w:tc>
          <w:tcPr>
            <w:tcW w:w="2410"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40" w:lineRule="auto"/>
              <w:ind w:left="1" w:right="241" w:firstLine="0"/>
            </w:pPr>
            <w:r>
              <w:rPr>
                <w:sz w:val="20"/>
              </w:rPr>
              <w:t xml:space="preserve">преко 6.000 држављана Србије у периоду од краја марта до почетка маја 2020. године. </w:t>
            </w:r>
          </w:p>
          <w:p w:rsidR="00E8309B" w:rsidRDefault="009D0949">
            <w:pPr>
              <w:spacing w:after="0" w:line="259" w:lineRule="auto"/>
              <w:ind w:left="1" w:right="0" w:firstLine="0"/>
              <w:jc w:val="left"/>
            </w:pPr>
            <w:r>
              <w:rPr>
                <w:sz w:val="20"/>
              </w:rPr>
              <w:t xml:space="preserve">Паралелно, у сарадњи са </w:t>
            </w:r>
          </w:p>
          <w:p w:rsidR="00E8309B" w:rsidRDefault="009D0949">
            <w:pPr>
              <w:spacing w:after="0" w:line="259" w:lineRule="auto"/>
              <w:ind w:left="1" w:right="0" w:firstLine="0"/>
              <w:jc w:val="left"/>
            </w:pPr>
            <w:r>
              <w:rPr>
                <w:sz w:val="20"/>
              </w:rPr>
              <w:t xml:space="preserve">Програмом за развој </w:t>
            </w:r>
          </w:p>
          <w:p w:rsidR="00E8309B" w:rsidRDefault="009D0949">
            <w:pPr>
              <w:spacing w:after="0" w:line="259" w:lineRule="auto"/>
              <w:ind w:left="1" w:right="38" w:firstLine="0"/>
              <w:jc w:val="left"/>
            </w:pPr>
            <w:r>
              <w:rPr>
                <w:sz w:val="20"/>
              </w:rPr>
              <w:t>Уједињених Нација (УНДП) организован је позив лекарима, и другом медицинском особљу, из дијаспоре ради пружања подршке здравс</w:t>
            </w:r>
            <w:r>
              <w:rPr>
                <w:sz w:val="20"/>
              </w:rPr>
              <w:t xml:space="preserve">твеном систему Србије. Преко 300 лекара се јавило на позив Тачке повратка од кога је знатан број укључен у борбу за сузбијање вируса Ковид-19. </w:t>
            </w:r>
          </w:p>
        </w:tc>
      </w:tr>
      <w:tr w:rsidR="00E8309B">
        <w:trPr>
          <w:trHeight w:val="2201"/>
        </w:trPr>
        <w:tc>
          <w:tcPr>
            <w:tcW w:w="466"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1" w:right="0" w:firstLine="0"/>
              <w:jc w:val="left"/>
            </w:pPr>
            <w:r>
              <w:rPr>
                <w:sz w:val="20"/>
              </w:rPr>
              <w:t xml:space="preserve">3. </w:t>
            </w:r>
          </w:p>
        </w:tc>
        <w:tc>
          <w:tcPr>
            <w:tcW w:w="3311"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1" w:right="50" w:firstLine="0"/>
            </w:pPr>
            <w:r>
              <w:rPr>
                <w:sz w:val="20"/>
              </w:rPr>
              <w:t xml:space="preserve">Отворен дијалог са дијаспором кроз организацију конференције Таленти на окупу 3.0 и 4.0 </w:t>
            </w:r>
          </w:p>
        </w:tc>
        <w:tc>
          <w:tcPr>
            <w:tcW w:w="1798"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0" w:firstLine="0"/>
              <w:jc w:val="left"/>
            </w:pPr>
            <w:r>
              <w:rPr>
                <w:sz w:val="20"/>
              </w:rPr>
              <w:t>потпуно спроведене</w:t>
            </w:r>
            <w:r>
              <w:rPr>
                <w:sz w:val="20"/>
              </w:rPr>
              <w:t xml:space="preserve"> </w:t>
            </w:r>
          </w:p>
        </w:tc>
        <w:tc>
          <w:tcPr>
            <w:tcW w:w="4629"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2" w:right="38" w:firstLine="0"/>
              <w:jc w:val="left"/>
            </w:pPr>
            <w:r>
              <w:rPr>
                <w:sz w:val="20"/>
              </w:rPr>
              <w:t xml:space="preserve">Конференција Таленти на вези је одржана 16. децембра 2020. године у онлајн формату. </w:t>
            </w:r>
            <w:r>
              <w:rPr>
                <w:sz w:val="20"/>
              </w:rPr>
              <w:t xml:space="preserve">Конференцију је уживо пратило око 500 људи и више хиљада људи накнадно. Због епидемиолошке ситуације и ограничења окупљања у складу са одлукама Владе Републике Србије, конференција ће се организовати онлајн. На тај начин се укључио и знатно већи број људи </w:t>
            </w:r>
            <w:r>
              <w:rPr>
                <w:sz w:val="20"/>
              </w:rPr>
              <w:t xml:space="preserve">него што је планирано за иницијалну конференцију. </w:t>
            </w:r>
          </w:p>
        </w:tc>
        <w:tc>
          <w:tcPr>
            <w:tcW w:w="1609"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1" w:right="0" w:firstLine="0"/>
              <w:jc w:val="left"/>
            </w:pPr>
            <w:r>
              <w:rPr>
                <w:sz w:val="20"/>
              </w:rPr>
              <w:t xml:space="preserve">  </w:t>
            </w:r>
          </w:p>
        </w:tc>
        <w:tc>
          <w:tcPr>
            <w:tcW w:w="2410"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1" w:right="0" w:firstLine="0"/>
              <w:jc w:val="left"/>
            </w:pPr>
            <w:r>
              <w:rPr>
                <w:sz w:val="20"/>
              </w:rPr>
              <w:t xml:space="preserve">  </w:t>
            </w:r>
          </w:p>
        </w:tc>
      </w:tr>
      <w:tr w:rsidR="00E8309B">
        <w:trPr>
          <w:trHeight w:val="2200"/>
        </w:trPr>
        <w:tc>
          <w:tcPr>
            <w:tcW w:w="466" w:type="dxa"/>
            <w:tcBorders>
              <w:top w:val="single" w:sz="4" w:space="0" w:color="000000"/>
              <w:left w:val="single" w:sz="4" w:space="0" w:color="000000"/>
              <w:bottom w:val="single" w:sz="4" w:space="0" w:color="000000"/>
              <w:right w:val="single" w:sz="4" w:space="0" w:color="000000"/>
            </w:tcBorders>
          </w:tcPr>
          <w:p w:rsidR="00E8309B" w:rsidRDefault="009D0949">
            <w:pPr>
              <w:spacing w:after="1767" w:line="259" w:lineRule="auto"/>
              <w:ind w:left="1" w:right="0" w:firstLine="0"/>
              <w:jc w:val="left"/>
            </w:pPr>
            <w:r>
              <w:rPr>
                <w:sz w:val="20"/>
              </w:rPr>
              <w:t xml:space="preserve">4. </w:t>
            </w:r>
          </w:p>
          <w:p w:rsidR="00E8309B" w:rsidRDefault="009D0949">
            <w:pPr>
              <w:spacing w:after="0" w:line="259" w:lineRule="auto"/>
              <w:ind w:left="1" w:right="0" w:firstLine="0"/>
              <w:jc w:val="left"/>
            </w:pPr>
            <w:r>
              <w:rPr>
                <w:sz w:val="20"/>
              </w:rPr>
              <w:t xml:space="preserve"> </w:t>
            </w:r>
          </w:p>
        </w:tc>
        <w:tc>
          <w:tcPr>
            <w:tcW w:w="3311" w:type="dxa"/>
            <w:tcBorders>
              <w:top w:val="single" w:sz="4" w:space="0" w:color="000000"/>
              <w:left w:val="single" w:sz="4" w:space="0" w:color="000000"/>
              <w:bottom w:val="single" w:sz="4" w:space="0" w:color="000000"/>
              <w:right w:val="single" w:sz="4" w:space="0" w:color="000000"/>
            </w:tcBorders>
          </w:tcPr>
          <w:p w:rsidR="00E8309B" w:rsidRDefault="009D0949">
            <w:pPr>
              <w:spacing w:after="41" w:line="237" w:lineRule="auto"/>
              <w:ind w:left="1" w:right="0" w:firstLine="0"/>
              <w:jc w:val="left"/>
            </w:pPr>
            <w:r>
              <w:rPr>
                <w:sz w:val="20"/>
              </w:rPr>
              <w:t xml:space="preserve">Промоција успешних прича повратника, странаца у Србији и </w:t>
            </w:r>
          </w:p>
          <w:p w:rsidR="00E8309B" w:rsidRDefault="009D0949">
            <w:pPr>
              <w:spacing w:after="0" w:line="259" w:lineRule="auto"/>
              <w:ind w:left="1" w:right="0" w:firstLine="0"/>
              <w:jc w:val="left"/>
            </w:pPr>
            <w:r>
              <w:rPr>
                <w:sz w:val="20"/>
              </w:rPr>
              <w:t xml:space="preserve">циркуларних миграната </w:t>
            </w:r>
          </w:p>
        </w:tc>
        <w:tc>
          <w:tcPr>
            <w:tcW w:w="1798"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0" w:firstLine="0"/>
              <w:jc w:val="left"/>
            </w:pPr>
            <w:r>
              <w:rPr>
                <w:sz w:val="20"/>
              </w:rPr>
              <w:t xml:space="preserve">наставак спровођења са почетним резултатима </w:t>
            </w:r>
          </w:p>
        </w:tc>
        <w:tc>
          <w:tcPr>
            <w:tcW w:w="4629" w:type="dxa"/>
            <w:tcBorders>
              <w:top w:val="single" w:sz="4" w:space="0" w:color="000000"/>
              <w:left w:val="single" w:sz="4" w:space="0" w:color="000000"/>
              <w:bottom w:val="single" w:sz="4" w:space="0" w:color="000000"/>
              <w:right w:val="single" w:sz="4" w:space="0" w:color="000000"/>
            </w:tcBorders>
          </w:tcPr>
          <w:p w:rsidR="00E8309B" w:rsidRDefault="009D0949">
            <w:pPr>
              <w:spacing w:after="1" w:line="239" w:lineRule="auto"/>
              <w:ind w:left="2" w:right="40" w:firstLine="0"/>
              <w:jc w:val="left"/>
            </w:pPr>
            <w:r>
              <w:rPr>
                <w:sz w:val="20"/>
              </w:rPr>
              <w:t xml:space="preserve">Тачка повратка је успоставила подкасте као први модел кроз који жели да пружи подршку успешним причама повратника. Током 2020. </w:t>
            </w:r>
          </w:p>
          <w:p w:rsidR="00E8309B" w:rsidRDefault="009D0949">
            <w:pPr>
              <w:spacing w:after="0" w:line="247" w:lineRule="auto"/>
              <w:ind w:left="2" w:right="0" w:firstLine="0"/>
              <w:jc w:val="left"/>
            </w:pPr>
            <w:r>
              <w:rPr>
                <w:sz w:val="20"/>
              </w:rPr>
              <w:t>године припремљено је и објављено 14 подкаста емисија док је такође објављен већи број различитих видео материјала у циљу покрет</w:t>
            </w:r>
            <w:r>
              <w:rPr>
                <w:sz w:val="20"/>
              </w:rPr>
              <w:t xml:space="preserve">ања кампања за промоцију српског језика у дијаспори, промоције повратка успешних уметника или други садржаји релевантни за дијаспору. </w:t>
            </w:r>
          </w:p>
          <w:p w:rsidR="00E8309B" w:rsidRDefault="009D0949">
            <w:pPr>
              <w:spacing w:after="0" w:line="259" w:lineRule="auto"/>
              <w:ind w:left="2" w:right="0" w:firstLine="0"/>
              <w:jc w:val="left"/>
            </w:pPr>
            <w:r>
              <w:rPr>
                <w:sz w:val="20"/>
              </w:rPr>
              <w:t xml:space="preserve"> </w:t>
            </w:r>
          </w:p>
        </w:tc>
        <w:tc>
          <w:tcPr>
            <w:tcW w:w="1609"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1" w:right="0" w:firstLine="0"/>
              <w:jc w:val="left"/>
            </w:pPr>
            <w:r>
              <w:rPr>
                <w:sz w:val="20"/>
              </w:rPr>
              <w:t xml:space="preserve">  </w:t>
            </w:r>
          </w:p>
        </w:tc>
        <w:tc>
          <w:tcPr>
            <w:tcW w:w="2410" w:type="dxa"/>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1" w:right="0" w:firstLine="0"/>
              <w:jc w:val="left"/>
            </w:pPr>
            <w:r>
              <w:rPr>
                <w:sz w:val="20"/>
              </w:rPr>
              <w:t xml:space="preserve">  </w:t>
            </w:r>
          </w:p>
        </w:tc>
      </w:tr>
      <w:tr w:rsidR="00E8309B">
        <w:trPr>
          <w:trHeight w:val="384"/>
        </w:trPr>
        <w:tc>
          <w:tcPr>
            <w:tcW w:w="3777" w:type="dxa"/>
            <w:gridSpan w:val="2"/>
            <w:tcBorders>
              <w:top w:val="single" w:sz="4" w:space="0" w:color="000000"/>
              <w:left w:val="nil"/>
              <w:bottom w:val="single" w:sz="4" w:space="0" w:color="000000"/>
              <w:right w:val="single" w:sz="4" w:space="0" w:color="000000"/>
            </w:tcBorders>
          </w:tcPr>
          <w:p w:rsidR="00E8309B" w:rsidRDefault="00E8309B">
            <w:pPr>
              <w:spacing w:after="160" w:line="259" w:lineRule="auto"/>
              <w:ind w:left="0" w:right="0" w:firstLine="0"/>
              <w:jc w:val="left"/>
            </w:pPr>
          </w:p>
        </w:tc>
        <w:tc>
          <w:tcPr>
            <w:tcW w:w="1798" w:type="dxa"/>
            <w:tcBorders>
              <w:top w:val="single" w:sz="4" w:space="0" w:color="000000"/>
              <w:left w:val="single" w:sz="4" w:space="0" w:color="000000"/>
              <w:bottom w:val="single" w:sz="4" w:space="0" w:color="000000"/>
              <w:right w:val="single" w:sz="4" w:space="0" w:color="000000"/>
            </w:tcBorders>
            <w:shd w:val="clear" w:color="auto" w:fill="BDD6EE"/>
          </w:tcPr>
          <w:p w:rsidR="00E8309B" w:rsidRDefault="009D0949">
            <w:pPr>
              <w:spacing w:after="0" w:line="259" w:lineRule="auto"/>
              <w:ind w:left="0" w:right="41" w:firstLine="0"/>
              <w:jc w:val="center"/>
            </w:pPr>
            <w:r>
              <w:rPr>
                <w:b/>
                <w:sz w:val="20"/>
              </w:rPr>
              <w:t xml:space="preserve">75% </w:t>
            </w:r>
          </w:p>
        </w:tc>
        <w:tc>
          <w:tcPr>
            <w:tcW w:w="8647" w:type="dxa"/>
            <w:gridSpan w:val="3"/>
            <w:tcBorders>
              <w:top w:val="single" w:sz="4" w:space="0" w:color="000000"/>
              <w:left w:val="single" w:sz="4" w:space="0" w:color="000000"/>
              <w:bottom w:val="single" w:sz="4" w:space="0" w:color="000000"/>
              <w:right w:val="nil"/>
            </w:tcBorders>
          </w:tcPr>
          <w:p w:rsidR="00E8309B" w:rsidRDefault="00E8309B">
            <w:pPr>
              <w:spacing w:after="160" w:line="259" w:lineRule="auto"/>
              <w:ind w:left="0" w:right="0" w:firstLine="0"/>
              <w:jc w:val="left"/>
            </w:pPr>
          </w:p>
        </w:tc>
      </w:tr>
    </w:tbl>
    <w:p w:rsidR="00E8309B" w:rsidRDefault="00E8309B">
      <w:pPr>
        <w:spacing w:after="0" w:line="259" w:lineRule="auto"/>
        <w:ind w:left="-1138" w:right="10666" w:firstLine="0"/>
        <w:jc w:val="left"/>
      </w:pPr>
    </w:p>
    <w:tbl>
      <w:tblPr>
        <w:tblStyle w:val="TableGrid"/>
        <w:tblW w:w="14220" w:type="dxa"/>
        <w:tblInd w:w="6" w:type="dxa"/>
        <w:tblCellMar>
          <w:top w:w="10" w:type="dxa"/>
          <w:left w:w="107" w:type="dxa"/>
          <w:bottom w:w="0" w:type="dxa"/>
          <w:right w:w="66" w:type="dxa"/>
        </w:tblCellMar>
        <w:tblLook w:val="04A0" w:firstRow="1" w:lastRow="0" w:firstColumn="1" w:lastColumn="0" w:noHBand="0" w:noVBand="1"/>
      </w:tblPr>
      <w:tblGrid>
        <w:gridCol w:w="1"/>
        <w:gridCol w:w="464"/>
        <w:gridCol w:w="1"/>
        <w:gridCol w:w="3309"/>
        <w:gridCol w:w="1"/>
        <w:gridCol w:w="1799"/>
        <w:gridCol w:w="1"/>
        <w:gridCol w:w="4627"/>
        <w:gridCol w:w="1"/>
        <w:gridCol w:w="1608"/>
        <w:gridCol w:w="1"/>
        <w:gridCol w:w="2408"/>
        <w:gridCol w:w="1"/>
      </w:tblGrid>
      <w:tr w:rsidR="00E8309B">
        <w:trPr>
          <w:gridBefore w:val="1"/>
          <w:trHeight w:val="403"/>
        </w:trPr>
        <w:tc>
          <w:tcPr>
            <w:tcW w:w="14220" w:type="dxa"/>
            <w:gridSpan w:val="12"/>
            <w:tcBorders>
              <w:top w:val="single" w:sz="4" w:space="0" w:color="000000"/>
              <w:left w:val="single" w:sz="4" w:space="0" w:color="000000"/>
              <w:bottom w:val="single" w:sz="4" w:space="0" w:color="000000"/>
              <w:right w:val="single" w:sz="4" w:space="0" w:color="000000"/>
            </w:tcBorders>
            <w:shd w:val="clear" w:color="auto" w:fill="D0CECE"/>
          </w:tcPr>
          <w:p w:rsidR="00E8309B" w:rsidRDefault="009D0949">
            <w:pPr>
              <w:spacing w:after="0" w:line="259" w:lineRule="auto"/>
              <w:ind w:left="0" w:right="0" w:firstLine="0"/>
              <w:jc w:val="left"/>
            </w:pPr>
            <w:r>
              <w:rPr>
                <w:b/>
              </w:rPr>
              <w:t xml:space="preserve">СР 22. Унапређење адекватности, квалитета и таргетираности мера социјалне заштите </w:t>
            </w:r>
            <w:r>
              <w:rPr>
                <w:b/>
                <w:sz w:val="20"/>
              </w:rPr>
              <w:t xml:space="preserve"> </w:t>
            </w:r>
          </w:p>
        </w:tc>
      </w:tr>
      <w:tr w:rsidR="00E8309B">
        <w:trPr>
          <w:gridBefore w:val="1"/>
          <w:trHeight w:val="5193"/>
        </w:trPr>
        <w:tc>
          <w:tcPr>
            <w:tcW w:w="465" w:type="dxa"/>
            <w:gridSpan w:val="2"/>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0" w:firstLine="0"/>
              <w:jc w:val="left"/>
            </w:pPr>
            <w:r>
              <w:rPr>
                <w:sz w:val="20"/>
              </w:rPr>
              <w:t xml:space="preserve">1. </w:t>
            </w:r>
          </w:p>
        </w:tc>
        <w:tc>
          <w:tcPr>
            <w:tcW w:w="3310" w:type="dxa"/>
            <w:gridSpan w:val="2"/>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1" w:right="0" w:firstLine="0"/>
              <w:jc w:val="left"/>
            </w:pPr>
            <w:r>
              <w:rPr>
                <w:sz w:val="20"/>
              </w:rPr>
              <w:t xml:space="preserve">Повезивање центара за социјални рад у јединствену мрежу применом софтвера - Информационог система за подршку пословним процесима у спровођењу социјалне заштите (ИС социјалне заштите) </w:t>
            </w:r>
          </w:p>
        </w:tc>
        <w:tc>
          <w:tcPr>
            <w:tcW w:w="1800" w:type="dxa"/>
            <w:gridSpan w:val="2"/>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1" w:right="0" w:firstLine="0"/>
              <w:jc w:val="left"/>
            </w:pPr>
            <w:r>
              <w:rPr>
                <w:sz w:val="20"/>
              </w:rPr>
              <w:t xml:space="preserve">у припреми </w:t>
            </w:r>
          </w:p>
        </w:tc>
        <w:tc>
          <w:tcPr>
            <w:tcW w:w="4628" w:type="dxa"/>
            <w:gridSpan w:val="2"/>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1" w:right="9" w:firstLine="0"/>
              <w:jc w:val="left"/>
            </w:pPr>
            <w:r>
              <w:rPr>
                <w:sz w:val="20"/>
              </w:rPr>
              <w:t>Министарство за рад, запошљавање, борачка и социјална питања</w:t>
            </w:r>
            <w:r>
              <w:rPr>
                <w:sz w:val="20"/>
              </w:rPr>
              <w:t xml:space="preserve"> је 2020.год. започело набавку Система за заштиту и аутоматизацију инструмената социјалне заштите, која обухвата софтверско решење, са свим модулима и подмодулима, и хардвером. Уговором о набавци наведеног система, детаљно су регулисане обавезе и рокови у </w:t>
            </w:r>
            <w:r>
              <w:rPr>
                <w:sz w:val="20"/>
              </w:rPr>
              <w:t xml:space="preserve">којима је добављач дужан да испуни своје обавезе у циљу успостављања Система за заштиту и аутоматизацију инструмената социјалне заштите. Реализована je тродневна радионица (0709.08.2020. године), на којој су учествовали представници произвођача софтвера и </w:t>
            </w:r>
            <w:r>
              <w:rPr>
                <w:sz w:val="20"/>
              </w:rPr>
              <w:t>представници Министарства као наручиоца. На радионици су презентовани први резултати рада извођача на реализацији пројектног задатка, односно изради модула и подмодула (писарница, регистар и пријем корисника, досије, збирке података, вођење случаја и супер</w:t>
            </w:r>
            <w:r>
              <w:rPr>
                <w:sz w:val="20"/>
              </w:rPr>
              <w:t xml:space="preserve">визија, материјална давања, локалне услуге, породични смештај, домски смештај, старатељство,усвајење, судски поступци, надзор).   </w:t>
            </w:r>
          </w:p>
        </w:tc>
        <w:tc>
          <w:tcPr>
            <w:tcW w:w="1609" w:type="dxa"/>
            <w:gridSpan w:val="2"/>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1" w:right="0" w:firstLine="0"/>
              <w:jc w:val="left"/>
            </w:pPr>
            <w:r>
              <w:rPr>
                <w:sz w:val="20"/>
              </w:rPr>
              <w:t xml:space="preserve">  </w:t>
            </w:r>
          </w:p>
        </w:tc>
        <w:tc>
          <w:tcPr>
            <w:tcW w:w="2409" w:type="dxa"/>
            <w:gridSpan w:val="2"/>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1" w:right="0" w:firstLine="0"/>
              <w:jc w:val="left"/>
            </w:pPr>
            <w:r>
              <w:rPr>
                <w:sz w:val="20"/>
              </w:rPr>
              <w:t xml:space="preserve">  </w:t>
            </w:r>
          </w:p>
        </w:tc>
      </w:tr>
      <w:tr w:rsidR="00E8309B">
        <w:trPr>
          <w:gridBefore w:val="1"/>
          <w:trHeight w:val="1279"/>
        </w:trPr>
        <w:tc>
          <w:tcPr>
            <w:tcW w:w="465" w:type="dxa"/>
            <w:gridSpan w:val="2"/>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0" w:firstLine="0"/>
              <w:jc w:val="left"/>
            </w:pPr>
            <w:r>
              <w:rPr>
                <w:sz w:val="20"/>
              </w:rPr>
              <w:t xml:space="preserve">2. </w:t>
            </w:r>
          </w:p>
        </w:tc>
        <w:tc>
          <w:tcPr>
            <w:tcW w:w="3310" w:type="dxa"/>
            <w:gridSpan w:val="2"/>
            <w:tcBorders>
              <w:top w:val="single" w:sz="4" w:space="0" w:color="000000"/>
              <w:left w:val="single" w:sz="4" w:space="0" w:color="000000"/>
              <w:bottom w:val="single" w:sz="4" w:space="0" w:color="000000"/>
              <w:right w:val="single" w:sz="4" w:space="0" w:color="000000"/>
            </w:tcBorders>
          </w:tcPr>
          <w:p w:rsidR="00E8309B" w:rsidRDefault="009D0949">
            <w:pPr>
              <w:spacing w:after="26" w:line="252" w:lineRule="auto"/>
              <w:ind w:left="1" w:right="0" w:firstLine="0"/>
              <w:jc w:val="left"/>
            </w:pPr>
            <w:r>
              <w:rPr>
                <w:sz w:val="20"/>
              </w:rPr>
              <w:t>Информационо повезивање са изворима података од значаја за социјално-</w:t>
            </w:r>
            <w:r>
              <w:rPr>
                <w:sz w:val="20"/>
              </w:rPr>
              <w:t xml:space="preserve">економски статус појединца и породице (регистар </w:t>
            </w:r>
          </w:p>
          <w:p w:rsidR="00E8309B" w:rsidRDefault="009D0949">
            <w:pPr>
              <w:spacing w:after="0" w:line="259" w:lineRule="auto"/>
              <w:ind w:left="1" w:right="0" w:firstLine="0"/>
              <w:jc w:val="left"/>
            </w:pPr>
            <w:r>
              <w:rPr>
                <w:sz w:val="20"/>
              </w:rPr>
              <w:t xml:space="preserve">Социјална карта) </w:t>
            </w:r>
          </w:p>
        </w:tc>
        <w:tc>
          <w:tcPr>
            <w:tcW w:w="1800" w:type="dxa"/>
            <w:gridSpan w:val="2"/>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1" w:right="0" w:firstLine="0"/>
              <w:jc w:val="left"/>
            </w:pPr>
            <w:r>
              <w:rPr>
                <w:sz w:val="20"/>
              </w:rPr>
              <w:t xml:space="preserve">започето спровођење </w:t>
            </w:r>
          </w:p>
        </w:tc>
        <w:tc>
          <w:tcPr>
            <w:tcW w:w="4628" w:type="dxa"/>
            <w:gridSpan w:val="2"/>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1" w:right="0" w:firstLine="0"/>
              <w:jc w:val="left"/>
            </w:pPr>
            <w:r>
              <w:rPr>
                <w:sz w:val="20"/>
              </w:rPr>
              <w:t xml:space="preserve">До сада је завршена прва фаза развоја </w:t>
            </w:r>
            <w:r>
              <w:rPr>
                <w:i/>
                <w:sz w:val="20"/>
              </w:rPr>
              <w:t>Регистра социјална карта</w:t>
            </w:r>
            <w:r>
              <w:rPr>
                <w:sz w:val="20"/>
              </w:rPr>
              <w:t xml:space="preserve"> која подразумева интерно повезивање подсистема података на нивоу Министарства и израђен је </w:t>
            </w:r>
            <w:r>
              <w:rPr>
                <w:i/>
                <w:sz w:val="20"/>
              </w:rPr>
              <w:t>Нацрт закона о</w:t>
            </w:r>
            <w:r>
              <w:rPr>
                <w:i/>
                <w:sz w:val="20"/>
              </w:rPr>
              <w:t xml:space="preserve"> социјалној карти</w:t>
            </w:r>
            <w:r>
              <w:rPr>
                <w:sz w:val="20"/>
              </w:rPr>
              <w:t xml:space="preserve">.  </w:t>
            </w:r>
          </w:p>
        </w:tc>
        <w:tc>
          <w:tcPr>
            <w:tcW w:w="1609" w:type="dxa"/>
            <w:gridSpan w:val="2"/>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1" w:right="0" w:firstLine="0"/>
              <w:jc w:val="left"/>
            </w:pPr>
            <w:r>
              <w:rPr>
                <w:sz w:val="20"/>
              </w:rPr>
              <w:t xml:space="preserve">  </w:t>
            </w:r>
          </w:p>
        </w:tc>
        <w:tc>
          <w:tcPr>
            <w:tcW w:w="2409" w:type="dxa"/>
            <w:gridSpan w:val="2"/>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1" w:right="0" w:firstLine="0"/>
              <w:jc w:val="left"/>
            </w:pPr>
            <w:r>
              <w:rPr>
                <w:sz w:val="20"/>
              </w:rPr>
              <w:t xml:space="preserve">  </w:t>
            </w:r>
          </w:p>
        </w:tc>
      </w:tr>
      <w:tr w:rsidR="00E8309B">
        <w:trPr>
          <w:gridBefore w:val="1"/>
          <w:trHeight w:val="1510"/>
        </w:trPr>
        <w:tc>
          <w:tcPr>
            <w:tcW w:w="465" w:type="dxa"/>
            <w:gridSpan w:val="2"/>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0" w:firstLine="0"/>
              <w:jc w:val="left"/>
            </w:pPr>
            <w:r>
              <w:rPr>
                <w:sz w:val="20"/>
              </w:rPr>
              <w:t xml:space="preserve">3.  </w:t>
            </w:r>
          </w:p>
        </w:tc>
        <w:tc>
          <w:tcPr>
            <w:tcW w:w="3310" w:type="dxa"/>
            <w:gridSpan w:val="2"/>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1" w:right="0" w:firstLine="0"/>
            </w:pPr>
            <w:r>
              <w:rPr>
                <w:sz w:val="20"/>
              </w:rPr>
              <w:t xml:space="preserve">Доношење одговарајућих подзаконских аката </w:t>
            </w:r>
          </w:p>
        </w:tc>
        <w:tc>
          <w:tcPr>
            <w:tcW w:w="1800" w:type="dxa"/>
            <w:gridSpan w:val="2"/>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1" w:right="0" w:firstLine="0"/>
              <w:jc w:val="left"/>
            </w:pPr>
            <w:r>
              <w:rPr>
                <w:sz w:val="20"/>
              </w:rPr>
              <w:t xml:space="preserve">не спроводи се </w:t>
            </w:r>
          </w:p>
        </w:tc>
        <w:tc>
          <w:tcPr>
            <w:tcW w:w="4628" w:type="dxa"/>
            <w:gridSpan w:val="2"/>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1" w:right="0" w:firstLine="0"/>
              <w:jc w:val="left"/>
            </w:pPr>
            <w:r>
              <w:rPr>
                <w:sz w:val="20"/>
              </w:rPr>
              <w:t xml:space="preserve"> </w:t>
            </w:r>
          </w:p>
        </w:tc>
        <w:tc>
          <w:tcPr>
            <w:tcW w:w="1609" w:type="dxa"/>
            <w:gridSpan w:val="2"/>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1" w:right="2" w:firstLine="0"/>
              <w:jc w:val="left"/>
            </w:pPr>
            <w:r>
              <w:rPr>
                <w:sz w:val="20"/>
              </w:rPr>
              <w:t xml:space="preserve">Активност се не спроводи јер није донет Закон о социјалној карти. </w:t>
            </w:r>
          </w:p>
        </w:tc>
        <w:tc>
          <w:tcPr>
            <w:tcW w:w="2409" w:type="dxa"/>
            <w:gridSpan w:val="2"/>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1" w:right="0" w:firstLine="0"/>
              <w:jc w:val="left"/>
            </w:pPr>
            <w:r>
              <w:rPr>
                <w:sz w:val="20"/>
              </w:rPr>
              <w:t xml:space="preserve"> </w:t>
            </w:r>
          </w:p>
        </w:tc>
      </w:tr>
      <w:tr w:rsidR="00E8309B">
        <w:trPr>
          <w:gridBefore w:val="1"/>
          <w:trHeight w:val="931"/>
        </w:trPr>
        <w:tc>
          <w:tcPr>
            <w:tcW w:w="465" w:type="dxa"/>
            <w:gridSpan w:val="2"/>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0" w:firstLine="0"/>
              <w:jc w:val="left"/>
            </w:pPr>
            <w:r>
              <w:rPr>
                <w:sz w:val="20"/>
              </w:rPr>
              <w:t xml:space="preserve">4. </w:t>
            </w:r>
          </w:p>
        </w:tc>
        <w:tc>
          <w:tcPr>
            <w:tcW w:w="3310" w:type="dxa"/>
            <w:gridSpan w:val="2"/>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1" w:right="0" w:firstLine="0"/>
              <w:jc w:val="left"/>
            </w:pPr>
            <w:r>
              <w:rPr>
                <w:sz w:val="20"/>
              </w:rPr>
              <w:t xml:space="preserve">Припремљена одговарајућа упутства и организоване потребне обуке за кориснике Социјалне </w:t>
            </w:r>
          </w:p>
        </w:tc>
        <w:tc>
          <w:tcPr>
            <w:tcW w:w="1800" w:type="dxa"/>
            <w:gridSpan w:val="2"/>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1" w:right="0" w:firstLine="0"/>
              <w:jc w:val="left"/>
            </w:pPr>
            <w:r>
              <w:rPr>
                <w:sz w:val="20"/>
              </w:rPr>
              <w:t xml:space="preserve">не спроводи се </w:t>
            </w:r>
          </w:p>
        </w:tc>
        <w:tc>
          <w:tcPr>
            <w:tcW w:w="4628" w:type="dxa"/>
            <w:gridSpan w:val="2"/>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1" w:right="0" w:firstLine="0"/>
              <w:jc w:val="left"/>
            </w:pPr>
            <w:r>
              <w:rPr>
                <w:sz w:val="20"/>
              </w:rPr>
              <w:t xml:space="preserve">  </w:t>
            </w:r>
          </w:p>
        </w:tc>
        <w:tc>
          <w:tcPr>
            <w:tcW w:w="1609" w:type="dxa"/>
            <w:gridSpan w:val="2"/>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1" w:right="1" w:firstLine="0"/>
              <w:jc w:val="left"/>
            </w:pPr>
            <w:r>
              <w:rPr>
                <w:sz w:val="20"/>
              </w:rPr>
              <w:t xml:space="preserve">Активност се не спроводи јер није донет Закон о </w:t>
            </w:r>
          </w:p>
        </w:tc>
        <w:tc>
          <w:tcPr>
            <w:tcW w:w="2409" w:type="dxa"/>
            <w:gridSpan w:val="2"/>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1" w:right="0" w:firstLine="0"/>
              <w:jc w:val="left"/>
            </w:pPr>
            <w:r>
              <w:rPr>
                <w:sz w:val="20"/>
              </w:rPr>
              <w:t xml:space="preserve">  </w:t>
            </w:r>
          </w:p>
        </w:tc>
      </w:tr>
      <w:tr w:rsidR="00E8309B">
        <w:trPr>
          <w:gridAfter w:val="1"/>
          <w:trHeight w:val="868"/>
        </w:trPr>
        <w:tc>
          <w:tcPr>
            <w:tcW w:w="465" w:type="dxa"/>
            <w:gridSpan w:val="2"/>
            <w:tcBorders>
              <w:top w:val="single" w:sz="4" w:space="0" w:color="000000"/>
              <w:left w:val="single" w:sz="4" w:space="0" w:color="000000"/>
              <w:bottom w:val="single" w:sz="4" w:space="0" w:color="000000"/>
              <w:right w:val="single" w:sz="4" w:space="0" w:color="000000"/>
            </w:tcBorders>
            <w:vAlign w:val="bottom"/>
          </w:tcPr>
          <w:p w:rsidR="00E8309B" w:rsidRDefault="009D0949">
            <w:pPr>
              <w:spacing w:after="0" w:line="259" w:lineRule="auto"/>
              <w:ind w:left="0" w:right="0" w:firstLine="0"/>
              <w:jc w:val="left"/>
            </w:pPr>
            <w:r>
              <w:rPr>
                <w:sz w:val="20"/>
              </w:rPr>
              <w:t xml:space="preserve"> </w:t>
            </w:r>
          </w:p>
        </w:tc>
        <w:tc>
          <w:tcPr>
            <w:tcW w:w="3310" w:type="dxa"/>
            <w:gridSpan w:val="2"/>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0" w:firstLine="0"/>
              <w:jc w:val="left"/>
            </w:pPr>
            <w:r>
              <w:rPr>
                <w:sz w:val="20"/>
              </w:rPr>
              <w:t xml:space="preserve">карте и СОЗИС (Информациони систем социјалне заштите) </w:t>
            </w:r>
          </w:p>
        </w:tc>
        <w:tc>
          <w:tcPr>
            <w:tcW w:w="1800" w:type="dxa"/>
            <w:gridSpan w:val="2"/>
            <w:tcBorders>
              <w:top w:val="single" w:sz="4" w:space="0" w:color="000000"/>
              <w:left w:val="single" w:sz="4" w:space="0" w:color="000000"/>
              <w:bottom w:val="single" w:sz="4" w:space="0" w:color="000000"/>
              <w:right w:val="single" w:sz="4" w:space="0" w:color="000000"/>
            </w:tcBorders>
          </w:tcPr>
          <w:p w:rsidR="00E8309B" w:rsidRDefault="00E8309B">
            <w:pPr>
              <w:spacing w:after="160" w:line="259" w:lineRule="auto"/>
              <w:ind w:left="0" w:right="0" w:firstLine="0"/>
              <w:jc w:val="left"/>
            </w:pPr>
          </w:p>
        </w:tc>
        <w:tc>
          <w:tcPr>
            <w:tcW w:w="4628" w:type="dxa"/>
            <w:gridSpan w:val="2"/>
            <w:tcBorders>
              <w:top w:val="single" w:sz="4" w:space="0" w:color="000000"/>
              <w:left w:val="single" w:sz="4" w:space="0" w:color="000000"/>
              <w:bottom w:val="single" w:sz="4" w:space="0" w:color="000000"/>
              <w:right w:val="single" w:sz="4" w:space="0" w:color="000000"/>
            </w:tcBorders>
            <w:vAlign w:val="bottom"/>
          </w:tcPr>
          <w:p w:rsidR="00E8309B" w:rsidRDefault="009D0949">
            <w:pPr>
              <w:spacing w:after="0" w:line="259" w:lineRule="auto"/>
              <w:ind w:left="1" w:right="0" w:firstLine="0"/>
              <w:jc w:val="left"/>
            </w:pPr>
            <w:r>
              <w:rPr>
                <w:sz w:val="20"/>
              </w:rPr>
              <w:t xml:space="preserve"> </w:t>
            </w:r>
          </w:p>
        </w:tc>
        <w:tc>
          <w:tcPr>
            <w:tcW w:w="1609" w:type="dxa"/>
            <w:gridSpan w:val="2"/>
            <w:tcBorders>
              <w:top w:val="single" w:sz="4" w:space="0" w:color="000000"/>
              <w:left w:val="single" w:sz="4" w:space="0" w:color="000000"/>
              <w:bottom w:val="single" w:sz="4" w:space="0" w:color="000000"/>
              <w:right w:val="single" w:sz="4" w:space="0" w:color="000000"/>
            </w:tcBorders>
          </w:tcPr>
          <w:p w:rsidR="00E8309B" w:rsidRDefault="009D0949">
            <w:pPr>
              <w:spacing w:after="0" w:line="259" w:lineRule="auto"/>
              <w:ind w:left="0" w:right="0" w:firstLine="0"/>
              <w:jc w:val="left"/>
            </w:pPr>
            <w:r>
              <w:rPr>
                <w:sz w:val="20"/>
              </w:rPr>
              <w:t xml:space="preserve">социјалној карти. </w:t>
            </w:r>
          </w:p>
        </w:tc>
        <w:tc>
          <w:tcPr>
            <w:tcW w:w="2409" w:type="dxa"/>
            <w:gridSpan w:val="2"/>
            <w:tcBorders>
              <w:top w:val="single" w:sz="4" w:space="0" w:color="000000"/>
              <w:left w:val="single" w:sz="4" w:space="0" w:color="000000"/>
              <w:bottom w:val="single" w:sz="4" w:space="0" w:color="000000"/>
              <w:right w:val="single" w:sz="4" w:space="0" w:color="000000"/>
            </w:tcBorders>
            <w:vAlign w:val="bottom"/>
          </w:tcPr>
          <w:p w:rsidR="00E8309B" w:rsidRDefault="00E8309B">
            <w:pPr>
              <w:spacing w:after="160" w:line="259" w:lineRule="auto"/>
              <w:ind w:left="0" w:right="0" w:firstLine="0"/>
              <w:jc w:val="left"/>
            </w:pPr>
          </w:p>
        </w:tc>
      </w:tr>
      <w:tr w:rsidR="00E8309B">
        <w:trPr>
          <w:gridAfter w:val="1"/>
          <w:trHeight w:val="382"/>
        </w:trPr>
        <w:tc>
          <w:tcPr>
            <w:tcW w:w="3775" w:type="dxa"/>
            <w:gridSpan w:val="4"/>
            <w:tcBorders>
              <w:top w:val="single" w:sz="4" w:space="0" w:color="000000"/>
              <w:left w:val="nil"/>
              <w:bottom w:val="nil"/>
              <w:right w:val="single" w:sz="4" w:space="0" w:color="000000"/>
            </w:tcBorders>
          </w:tcPr>
          <w:p w:rsidR="00E8309B" w:rsidRDefault="00E8309B">
            <w:pPr>
              <w:spacing w:after="160" w:line="259" w:lineRule="auto"/>
              <w:ind w:left="0" w:right="0" w:firstLine="0"/>
              <w:jc w:val="left"/>
            </w:pPr>
          </w:p>
        </w:tc>
        <w:tc>
          <w:tcPr>
            <w:tcW w:w="1800" w:type="dxa"/>
            <w:gridSpan w:val="2"/>
            <w:tcBorders>
              <w:top w:val="single" w:sz="4" w:space="0" w:color="000000"/>
              <w:left w:val="single" w:sz="4" w:space="0" w:color="000000"/>
              <w:bottom w:val="single" w:sz="4" w:space="0" w:color="000000"/>
              <w:right w:val="single" w:sz="4" w:space="0" w:color="000000"/>
            </w:tcBorders>
            <w:shd w:val="clear" w:color="auto" w:fill="BDD6EE"/>
          </w:tcPr>
          <w:p w:rsidR="00E8309B" w:rsidRDefault="009D0949">
            <w:pPr>
              <w:spacing w:after="0" w:line="259" w:lineRule="auto"/>
              <w:ind w:left="5" w:right="0" w:firstLine="0"/>
              <w:jc w:val="center"/>
            </w:pPr>
            <w:r>
              <w:rPr>
                <w:b/>
                <w:sz w:val="20"/>
              </w:rPr>
              <w:t xml:space="preserve">15% </w:t>
            </w:r>
          </w:p>
        </w:tc>
        <w:tc>
          <w:tcPr>
            <w:tcW w:w="8645" w:type="dxa"/>
            <w:gridSpan w:val="6"/>
            <w:tcBorders>
              <w:top w:val="single" w:sz="4" w:space="0" w:color="000000"/>
              <w:left w:val="single" w:sz="4" w:space="0" w:color="000000"/>
              <w:bottom w:val="nil"/>
              <w:right w:val="nil"/>
            </w:tcBorders>
          </w:tcPr>
          <w:p w:rsidR="00E8309B" w:rsidRDefault="00E8309B">
            <w:pPr>
              <w:spacing w:after="160" w:line="259" w:lineRule="auto"/>
              <w:ind w:left="0" w:right="0" w:firstLine="0"/>
              <w:jc w:val="left"/>
            </w:pPr>
          </w:p>
        </w:tc>
      </w:tr>
    </w:tbl>
    <w:p w:rsidR="00E8309B" w:rsidRDefault="009D0949">
      <w:pPr>
        <w:spacing w:after="79" w:line="259" w:lineRule="auto"/>
        <w:ind w:left="0" w:right="0" w:firstLine="0"/>
      </w:pPr>
      <w:r>
        <w:rPr>
          <w:b/>
        </w:rPr>
        <w:t xml:space="preserve"> </w:t>
      </w:r>
    </w:p>
    <w:p w:rsidR="00E8309B" w:rsidRDefault="009D0949">
      <w:pPr>
        <w:spacing w:after="0" w:line="259" w:lineRule="auto"/>
        <w:ind w:left="0" w:right="0" w:firstLine="0"/>
      </w:pPr>
      <w:r>
        <w:rPr>
          <w:rFonts w:ascii="Calibri" w:eastAsia="Calibri" w:hAnsi="Calibri" w:cs="Calibri"/>
          <w:sz w:val="22"/>
        </w:rPr>
        <w:t xml:space="preserve"> </w:t>
      </w:r>
    </w:p>
    <w:p w:rsidR="00E8309B" w:rsidRDefault="00E8309B">
      <w:pPr>
        <w:sectPr w:rsidR="00E8309B">
          <w:headerReference w:type="even" r:id="rId239"/>
          <w:headerReference w:type="default" r:id="rId240"/>
          <w:footerReference w:type="even" r:id="rId241"/>
          <w:footerReference w:type="default" r:id="rId242"/>
          <w:headerReference w:type="first" r:id="rId243"/>
          <w:footerReference w:type="first" r:id="rId244"/>
          <w:pgSz w:w="16838" w:h="11906" w:orient="landscape"/>
          <w:pgMar w:top="1143" w:right="6172" w:bottom="1145" w:left="1138" w:header="720" w:footer="720" w:gutter="0"/>
          <w:cols w:space="720"/>
          <w:titlePg/>
        </w:sectPr>
      </w:pPr>
    </w:p>
    <w:p w:rsidR="00E8309B" w:rsidRDefault="009D0949">
      <w:pPr>
        <w:pStyle w:val="Heading1"/>
        <w:numPr>
          <w:ilvl w:val="0"/>
          <w:numId w:val="0"/>
        </w:numPr>
        <w:spacing w:after="207"/>
        <w:ind w:left="-5" w:right="9"/>
        <w:jc w:val="both"/>
      </w:pPr>
      <w:r>
        <w:rPr>
          <w:sz w:val="24"/>
        </w:rPr>
        <w:t xml:space="preserve">Прилог 1: Допринос представника цивилног друштва за ЕРП 2021-2023 </w:t>
      </w:r>
    </w:p>
    <w:p w:rsidR="00E8309B" w:rsidRDefault="009D0949">
      <w:pPr>
        <w:shd w:val="clear" w:color="auto" w:fill="D9D9D9"/>
        <w:spacing w:after="18" w:line="267" w:lineRule="auto"/>
        <w:ind w:left="-5" w:right="-10"/>
        <w:jc w:val="left"/>
      </w:pPr>
      <w:r>
        <w:rPr>
          <w:b/>
          <w:sz w:val="22"/>
        </w:rPr>
        <w:t xml:space="preserve">Коментари Међусекторске радне групе НКЕУ на прелиминарну листу структурних реформи </w:t>
      </w:r>
    </w:p>
    <w:p w:rsidR="00E8309B" w:rsidRDefault="009D0949">
      <w:pPr>
        <w:shd w:val="clear" w:color="auto" w:fill="D9D9D9"/>
        <w:spacing w:after="221" w:line="267" w:lineRule="auto"/>
        <w:ind w:left="-5" w:right="-10"/>
        <w:jc w:val="left"/>
      </w:pPr>
      <w:r>
        <w:rPr>
          <w:b/>
          <w:sz w:val="22"/>
        </w:rPr>
        <w:t>Програма економских реформи и одговори представника Радне групе за израду и праћење Програма економских р</w:t>
      </w:r>
      <w:r>
        <w:rPr>
          <w:b/>
          <w:sz w:val="22"/>
        </w:rPr>
        <w:t xml:space="preserve">еформи 2021-2023 </w:t>
      </w:r>
    </w:p>
    <w:p w:rsidR="00E8309B" w:rsidRDefault="009D0949">
      <w:pPr>
        <w:spacing w:after="157"/>
        <w:ind w:left="-5" w:right="17"/>
      </w:pPr>
      <w:r>
        <w:t>Међусекторска радна група Националног конвента о Европској унији (МС РГ НКЕУ) за ЕРП размотрила је предлог листе структурних реформи за Програм економских реформи за период 2021 – 2023. године и припремила коментаре и сугестије на овај пр</w:t>
      </w:r>
      <w:r>
        <w:t xml:space="preserve">едлог. У наставку је дат сажетак коментара и сугестија са састанка МС РГ НКЕУ одржаног 14. 10. 2020. године, као и прилога прикупљених од чланова РГ који нису присуствовали састанку:  </w:t>
      </w:r>
    </w:p>
    <w:p w:rsidR="00E8309B" w:rsidRDefault="009D0949">
      <w:pPr>
        <w:spacing w:after="91" w:line="259" w:lineRule="auto"/>
        <w:ind w:left="-5" w:right="0"/>
        <w:jc w:val="left"/>
      </w:pPr>
      <w:r>
        <w:rPr>
          <w:b/>
          <w:u w:val="single" w:color="000000"/>
        </w:rPr>
        <w:t>Општи коментари Међусекторске радне групе НКЕУ</w:t>
      </w:r>
      <w:r>
        <w:rPr>
          <w:b/>
        </w:rPr>
        <w:t xml:space="preserve"> </w:t>
      </w:r>
    </w:p>
    <w:p w:rsidR="00E8309B" w:rsidRDefault="009D0949">
      <w:pPr>
        <w:ind w:left="-5" w:right="17"/>
      </w:pPr>
      <w:r>
        <w:t>Најпре, координатор РГ изразио је жаљење што ни ове године очито нисмо успели да са колегама из ресорних министарстава ревидирамо, евалуирамо и по потреби унапредимо критеријуме и показатеље на основу којих се бирају предлози структурних реформи из иниција</w:t>
      </w:r>
      <w:r>
        <w:t xml:space="preserve">лног скупа и проглашавају приоритетним, а који су цивилном друштву у највећој мери непознати. </w:t>
      </w:r>
    </w:p>
    <w:p w:rsidR="00E8309B" w:rsidRDefault="009D0949">
      <w:pPr>
        <w:ind w:left="-5" w:right="17"/>
      </w:pPr>
      <w:r>
        <w:t xml:space="preserve">Што се тиче предложене листе прелиминарних структурних реформи и даље изостаје реформа подршке рестаурацији средњорочне фискалне одрживости поред осталог и кроз </w:t>
      </w:r>
      <w:r>
        <w:t xml:space="preserve">реформу система плата у јавном сектору. Такође, потребно је укључити успостављање кредибилних и обавезујућих фискалних правила, с обзиром на то да се постојећа већ једно време не поштују. </w:t>
      </w:r>
    </w:p>
    <w:p w:rsidR="00E8309B" w:rsidRDefault="009D0949">
      <w:pPr>
        <w:ind w:left="-5" w:right="17"/>
      </w:pPr>
      <w:r>
        <w:t>Затим, пожељно је повећати капиталне инвестиције са директним позит</w:t>
      </w:r>
      <w:r>
        <w:t>ивним утицајем на привредни раст, делимично кроз нпр. путну инфраструктуру али најпре кроз друге конкретне пројекте у реалном сектору. Неопходно је и повећање транспарентности фискалног трошка тренутног пословања јавних предузећа. Потребно је и додатно под</w:t>
      </w:r>
      <w:r>
        <w:t>ржати развој тржишта финансијских деривата и општих елемената осигурања од финансијских ризика у склопу одржања ликвидности привреде и становништва које ће претрпети одређене изазове када се Kовид-19 претвори у економске последице. Генералан утисак је и да</w:t>
      </w:r>
      <w:r>
        <w:t xml:space="preserve"> се очекивало више структурних реформи које ће бити директно усмерене на економску политику повезану са отклањањем последица изазваних Kовид-19 на привреду али и тржиште рада и здравствени систем.  </w:t>
      </w:r>
    </w:p>
    <w:p w:rsidR="00E8309B" w:rsidRDefault="009D0949">
      <w:pPr>
        <w:ind w:left="-5" w:right="17"/>
      </w:pPr>
      <w:r>
        <w:t>Треба узети у обзир и то да прелиминарна листа структурни</w:t>
      </w:r>
      <w:r>
        <w:t>х реформи тренутно садржи 24 реформе у односу на максимални дозвољени број од 20 реформи, и да „економске“ области садрже предлоге 4-5 реформи, док области запошљавања, образовања и социјалне и здравствене заштите имају само по 1-2. Ово је нарочито проблем</w:t>
      </w:r>
      <w:r>
        <w:t xml:space="preserve">атично имајући у виду то: да ове године истиче примена Програма реформи политике запошљавања и социјалне политике (ЕСРП); да је у </w:t>
      </w:r>
      <w:hyperlink r:id="rId245">
        <w:r>
          <w:rPr>
            <w:color w:val="0563C1"/>
            <w:u w:val="single" w:color="0563C1"/>
          </w:rPr>
          <w:t>оцени ЕК ЕРП 2020</w:t>
        </w:r>
      </w:hyperlink>
      <w:hyperlink r:id="rId246">
        <w:r>
          <w:rPr>
            <w:color w:val="0563C1"/>
            <w:u w:val="single" w:color="0563C1"/>
          </w:rPr>
          <w:t>-</w:t>
        </w:r>
      </w:hyperlink>
      <w:hyperlink r:id="rId247">
        <w:r>
          <w:rPr>
            <w:color w:val="0563C1"/>
            <w:u w:val="single" w:color="0563C1"/>
          </w:rPr>
          <w:t>2022</w:t>
        </w:r>
      </w:hyperlink>
      <w:hyperlink r:id="rId248">
        <w:r>
          <w:t>.</w:t>
        </w:r>
      </w:hyperlink>
      <w:r>
        <w:t xml:space="preserve"> наведено следеће: „the proposed measures in the areas of employment and social protection are either vague or do not remedy the fundamental challenges, lacking the clearly defined objectives“; да оцена ЕК ЕРП 2020-2022. садржи посебно по</w:t>
      </w:r>
      <w:r>
        <w:t>главље посвећено примени Европског стуба социјалних права у којем је наведено да Србија у већини начела покривених овим стубом заостаје за просеком ЕУ. С тим у вези, у наставку текста, а код одговарајућих области, предлажемо увођење нових структурних рефор</w:t>
      </w:r>
      <w:r>
        <w:t xml:space="preserve">ми.  </w:t>
      </w:r>
    </w:p>
    <w:p w:rsidR="00E8309B" w:rsidRDefault="009D0949">
      <w:pPr>
        <w:ind w:left="-5" w:right="17"/>
      </w:pPr>
      <w:r>
        <w:t xml:space="preserve">Препорука је да Министарство рада, запошљавања, борачких и социјалних питања, али и остала ресорна министарства користе </w:t>
      </w:r>
      <w:hyperlink r:id="rId249">
        <w:r>
          <w:rPr>
            <w:i/>
            <w:color w:val="0563C1"/>
            <w:u w:val="single" w:color="0563C1"/>
          </w:rPr>
          <w:t>OECD ERP Prioritisation Tool</w:t>
        </w:r>
      </w:hyperlink>
      <w:hyperlink r:id="rId250">
        <w:r>
          <w:t xml:space="preserve"> </w:t>
        </w:r>
      </w:hyperlink>
      <w:r>
        <w:t xml:space="preserve">у формулисању структурних реформи. </w:t>
      </w:r>
    </w:p>
    <w:p w:rsidR="00E8309B" w:rsidRDefault="009D0949">
      <w:pPr>
        <w:ind w:left="-5" w:right="17"/>
      </w:pPr>
      <w:r>
        <w:t>Такође, сматрамо да је дигитализација у центру великог дела структурних реформи али без фокуса на унапређење пословних процеса, ј</w:t>
      </w:r>
      <w:r>
        <w:t xml:space="preserve">ер дигитализација не значи пуно уколико не дође до реформе процеса који су у ствари главни проблем.  </w:t>
      </w:r>
    </w:p>
    <w:p w:rsidR="00E8309B" w:rsidRDefault="009D0949">
      <w:pPr>
        <w:ind w:left="-5" w:right="17"/>
      </w:pPr>
      <w:r>
        <w:t xml:space="preserve">Поред тога, уочава се недостатак структурне реформе из претходног циклуса „Унапређење вођења Регистра пољопривредних газдинстава и одобравања националних </w:t>
      </w:r>
      <w:r>
        <w:t>подстицаја у пољопривреди кроз развој портала е-Aграр“, док РГ сматра да је неопходно да се она врати у овај програм. Увођењем е-Аграр система пољопривредници ће значајно уштедети на врему и трошковима при  упису у РПГ и подношењу захтева за субвенције. Са</w:t>
      </w:r>
      <w:r>
        <w:t xml:space="preserve"> друге стране, захваљујући аутоматизацији процеса, очекује се да ће инситуције убрзати обраде захтева и омогућити брже одобравање подстицаја и бржу исплату те ће се боље искористити и ресурси управе за саветовање, помоћ пољопривредницима, али и бољу контро</w:t>
      </w:r>
      <w:r>
        <w:t xml:space="preserve">лу на терену. </w:t>
      </w:r>
    </w:p>
    <w:p w:rsidR="00E8309B" w:rsidRDefault="009D0949">
      <w:pPr>
        <w:spacing w:after="91"/>
        <w:ind w:left="-5" w:right="17"/>
      </w:pPr>
      <w:r>
        <w:t>Приметан је тренд смањивања броја структурних реформи које се баве заштитом животне средине. Избацивањем структурне реформе која се бави финансирањем Зеленог фонда је дат лош пример јер је у овој области стање није на задовољавајућем нивоу и</w:t>
      </w:r>
      <w:r>
        <w:t xml:space="preserve"> неопходно је улагање значајних средства да би се стање заштите животне средине довео на ниво сличан чланицама ЕУ. Поред тога, број реформи који се односе на енергетику, саобраћај и инфраструктуру, дакле које могу негативно да утичу на животну средину оста</w:t>
      </w:r>
      <w:r>
        <w:t xml:space="preserve">је исти или се повећава, док мањка реформи које треба позитивно да утичу на опоравак животне средине.   </w:t>
      </w:r>
    </w:p>
    <w:p w:rsidR="00E8309B" w:rsidRDefault="009D0949">
      <w:pPr>
        <w:ind w:left="-5" w:right="17"/>
      </w:pPr>
      <w:r>
        <w:t>Претходни ЕРП не садржи ниједну адекватно спроведену анализу „очекиваног утицаја на социјалне циљеве, као што су запосленост, смањење сиромаштва, једна</w:t>
      </w:r>
      <w:r>
        <w:t>кост и род“. Новим ЕРП смерницама овим областима додат је и „приступ здравственој заштити“, што такође треба узети у обзир приликом израде новог ЕРП, као и укључити Министарство здравља у израду прилога ресорних министарстава о очекиваном утицају структурн</w:t>
      </w:r>
      <w:r>
        <w:t xml:space="preserve">их реформи. </w:t>
      </w:r>
    </w:p>
    <w:p w:rsidR="00E8309B" w:rsidRDefault="009D0949">
      <w:pPr>
        <w:spacing w:after="155"/>
        <w:ind w:left="-5" w:right="17"/>
      </w:pPr>
      <w:r>
        <w:t>И за крај, а у складу са препорукама МС РГ НКЕУ на претходни циклус ЕРП из децембра 2019. године, у овом циклусу би показатељи требало да буду адекватније дефинисани. Пре свега, да то буду индикатори исхода (</w:t>
      </w:r>
      <w:r>
        <w:rPr>
          <w:i/>
        </w:rPr>
        <w:t>outcome</w:t>
      </w:r>
      <w:r>
        <w:t>) и резултата (</w:t>
      </w:r>
      <w:r>
        <w:rPr>
          <w:i/>
        </w:rPr>
        <w:t>output</w:t>
      </w:r>
      <w:r>
        <w:t>), како</w:t>
      </w:r>
      <w:r>
        <w:t xml:space="preserve"> би се пратио ефекат структурних реформи, а не индикатори на нивоу активности.   </w:t>
      </w:r>
    </w:p>
    <w:p w:rsidR="00E8309B" w:rsidRDefault="009D0949">
      <w:pPr>
        <w:spacing w:after="91" w:line="259" w:lineRule="auto"/>
        <w:ind w:left="-5" w:right="0"/>
        <w:jc w:val="left"/>
      </w:pPr>
      <w:r>
        <w:rPr>
          <w:b/>
          <w:u w:val="single" w:color="000000"/>
        </w:rPr>
        <w:t>Одговор представника Радне групе за израду и праћење ЕРП:</w:t>
      </w:r>
      <w:r>
        <w:rPr>
          <w:b/>
        </w:rPr>
        <w:t xml:space="preserve">  </w:t>
      </w:r>
    </w:p>
    <w:p w:rsidR="00E8309B" w:rsidRDefault="009D0949">
      <w:pPr>
        <w:ind w:left="-5" w:right="17"/>
      </w:pPr>
      <w:r>
        <w:t>Избор приоритетних структурних реформи и реформских мера у документу ЕРП, као што је појашњено и приликом стављања</w:t>
      </w:r>
      <w:r>
        <w:t xml:space="preserve"> листе СР на увид јавности, врши се на бази расположивих стратешких докумената - претходних циклуса ЕРП, стратешких докумената Владе Републике Србије, обавеза у процесу европских интеграција и међународно преузетих обавеза, све у циљу дефинисања реформских</w:t>
      </w:r>
      <w:r>
        <w:t xml:space="preserve"> мера које доприносе унапређењу конкурентности привреде, привредном расту и запошљавању. Није могуће обухватити све реформске процесе који су актуелни, али је акценат пре свега на приоритетним мерама, као и на реформама за које постоје обезбеђена финансијс</w:t>
      </w:r>
      <w:r>
        <w:t xml:space="preserve">ка средства. </w:t>
      </w:r>
    </w:p>
    <w:p w:rsidR="00E8309B" w:rsidRDefault="009D0949">
      <w:pPr>
        <w:ind w:left="-5" w:right="17"/>
      </w:pPr>
      <w:r>
        <w:t>Имајући у виду да у овогодишњем циклусу припреме Програма економских реформи,  прелиминарна листа структурних реформи садржи већи број реформи у односу на дозвољени, донета је одлука  да се предложи само једна реформа из области заштите живот</w:t>
      </w:r>
      <w:r>
        <w:t>не средине, која се односи на област циркуларне економије. Министарство заштите животне средине свакако и даље континуирано ради на унапређењу система финансирања заштите животне средине. У циљу обезбеђивања националног стратешког  оквира за потребне инвес</w:t>
      </w:r>
      <w:r>
        <w:t>тиције у заштити животне средине и осигуравање усклађености са свим релевантним директивама ЕУ, Министарство заштите животне средине је израдило и  Вишегодишњи инвестициони и финансијски план (План), који је усвојен као саставни део преговарачке позиције з</w:t>
      </w:r>
      <w:r>
        <w:t>а Поглавље 27, у јануару 2020. године. Вишегодишњи инвестициони и финансијски план укључује преглед инвестиција потребних за усклађеност, процену трошкова пројеката и процену потенцијалних извора финансирања. Такође, План разматра доступност средстава, деф</w:t>
      </w:r>
      <w:r>
        <w:t>инише приоритете за инвестиционе пројекте и развија стратегију финансирања са инвестиционим потребама, изворима финансирања и временским распоредом појединачних пројеката. Додатно, треба имати у виду, да ће неке од предложених реформи које се односе на ене</w:t>
      </w:r>
      <w:r>
        <w:t>ргетику, саобраћај и инфраструктуру, као што је нпр. реформа у области енергетске ефикасности, имати велики позитиван утицај на животну средину кроз смањење емисија гасова са ефектом стаклене баште, као и смањење емисија у ваздух, чиме ће значајно допринет</w:t>
      </w:r>
      <w:r>
        <w:t xml:space="preserve">и и испуњавању циљева  Европског зеленог договора. </w:t>
      </w:r>
    </w:p>
    <w:p w:rsidR="00E8309B" w:rsidRDefault="009D0949">
      <w:pPr>
        <w:ind w:left="-5" w:right="17"/>
      </w:pPr>
      <w:r>
        <w:t>У вези са коментаром о неопходности повећања транспарентности фискалног трошка тренутног пословања јавних предузећа истичемо да се јавна предузећа оснивају и послују у складу са Законом о јавним предузећи</w:t>
      </w:r>
      <w:r>
        <w:t xml:space="preserve">ма. Овим законом прописана је обавеза  јавности у раду ових предузећа, односно прописани су елементи пословања која су јавна предузећа дужна да објављују на својим интернет страницама. </w:t>
      </w:r>
    </w:p>
    <w:p w:rsidR="00E8309B" w:rsidRDefault="009D0949">
      <w:pPr>
        <w:ind w:left="-5" w:right="17"/>
      </w:pPr>
      <w:r>
        <w:t xml:space="preserve">Што се тиче коментара у вези са реформом која се односи на железнички </w:t>
      </w:r>
      <w:r>
        <w:t>саобраћај, напомињемо да Реформа железнице има за циљ успостављање ефикасног и тржишно оријентисаног железничког система. Железнички превоз је по својој дефиницији еколошки најприхватљивији вид транспорта. Стога, његово побољшање директно доприноси смањењу</w:t>
      </w:r>
      <w:r>
        <w:t xml:space="preserve"> загушења путева, смањењу емисије гасова стаклене баште и на крају примени Зеленог споразума. </w:t>
      </w:r>
    </w:p>
    <w:p w:rsidR="00E8309B" w:rsidRDefault="009D0949">
      <w:pPr>
        <w:ind w:left="-5" w:right="17"/>
      </w:pPr>
      <w:r>
        <w:t>У вези са коментаром који се односи на недостатак структурне реформе из претходног циклуса „Унапређење вођења Регистра пољопривредних газдинстава и одобравања на</w:t>
      </w:r>
      <w:r>
        <w:t xml:space="preserve">ционалних подстицаја у пољопривреди кроз развој портала е-Aграр“ истичемо да ће, у складу са АП за ПГ 11 биће успостављен IACS – Интегрисан систем управљања и контроле (алат који се користи у свим земљама чланицама ЕУ и један је од услова, уз успостављање </w:t>
      </w:r>
      <w:r>
        <w:t>функционалне и акредитоване Агеније за плаћања (у складу са ЕУ регулативама), за затварање поглавља 11). IACS ће омогућити пољопривредницима једноставнији и бржи упис у РПГ, бржу обраду захтева, бржу исплату субвенција, контролу подстицаја. Ако се донесе о</w:t>
      </w:r>
      <w:r>
        <w:t xml:space="preserve">длука да се успоставља е-Аграр мора се водити рачуна о активностима и роковима успостављања IACS-a. </w:t>
      </w:r>
    </w:p>
    <w:p w:rsidR="00E8309B" w:rsidRDefault="009D0949">
      <w:pPr>
        <w:spacing w:after="154"/>
        <w:ind w:left="-5" w:right="17"/>
      </w:pPr>
      <w:r>
        <w:t>У вези са коментаром који сугерише реформе процеса напомињемо да структурна реформа Унапређење квалитета пружања јавних услуга кроз оптимизацију и дигитали</w:t>
      </w:r>
      <w:r>
        <w:t>зацију административних поступака - ,,еПАПИР“, поред активности дигитализације административних поступака, подразумева и претходну оптимизацију поступака тј поједностављење процеса кроз укидање непотребне документације, прибављање по службеној дужности под</w:t>
      </w:r>
      <w:r>
        <w:t xml:space="preserve">атака потребних за одлучивање по захтеву странке, могућност плаћања таксе/накнаде електронским путем, директно са портала еУправа, чак и смањење тих такси уколико је то оправдано и сл. </w:t>
      </w:r>
    </w:p>
    <w:p w:rsidR="00E8309B" w:rsidRDefault="009D0949">
      <w:pPr>
        <w:spacing w:after="135" w:line="271" w:lineRule="auto"/>
        <w:ind w:left="-5" w:right="9"/>
      </w:pPr>
      <w:r>
        <w:rPr>
          <w:b/>
        </w:rPr>
        <w:t xml:space="preserve">СР 5: Унапређење процеса комасације </w:t>
      </w:r>
    </w:p>
    <w:p w:rsidR="00E8309B" w:rsidRDefault="009D0949">
      <w:pPr>
        <w:spacing w:after="79" w:line="271" w:lineRule="auto"/>
        <w:ind w:left="-5" w:right="9"/>
      </w:pPr>
      <w:r>
        <w:rPr>
          <w:b/>
        </w:rPr>
        <w:t xml:space="preserve">Коментар Међусекторске радне групе НКЕУ: </w:t>
      </w:r>
    </w:p>
    <w:p w:rsidR="00E8309B" w:rsidRDefault="009D0949">
      <w:pPr>
        <w:spacing w:after="99"/>
        <w:ind w:left="-5" w:right="17"/>
      </w:pPr>
      <w:r>
        <w:t>Што се тиче пољопривреде општи утисак је да су неке од структурних реформи које се баве пољопривредом могле бити обједињене па се и ова структурна реформа могла наћи као део неке од осталих структурних реформи које</w:t>
      </w:r>
      <w:r>
        <w:t xml:space="preserve"> се баве темом пољопривреде. Такође, примедба чланова РГ је да је опис ове структурне реформе дат уопштено и да се не види из описа који је крајњи циљ спровођења реформе. Поред тога, укрупњавање земљишта, на штету малих произвођача и потенцијална продаја п</w:t>
      </w:r>
      <w:r>
        <w:t xml:space="preserve">ољопривредног земљишта странцима, свакако не би требало да буду саставни део оваквог програма.  </w:t>
      </w:r>
    </w:p>
    <w:p w:rsidR="00E8309B" w:rsidRDefault="009D0949">
      <w:pPr>
        <w:spacing w:after="19" w:line="271" w:lineRule="auto"/>
        <w:ind w:left="-5" w:right="9"/>
      </w:pPr>
      <w:r>
        <w:rPr>
          <w:b/>
        </w:rPr>
        <w:t xml:space="preserve">Одговор представника Радне групе за израду и праћење ЕРП: </w:t>
      </w:r>
    </w:p>
    <w:p w:rsidR="00E8309B" w:rsidRDefault="009D0949">
      <w:pPr>
        <w:ind w:left="-5" w:right="17"/>
      </w:pPr>
      <w:r>
        <w:t>Мишљења смо да је текст који се односи на циљеве комасације, и то у првом реду на:  укрупњавање посе</w:t>
      </w:r>
      <w:r>
        <w:t>да, обезбеђивање одговарајућих површина за изградњу објеката јавне инфраструктуре (атарски путеви, системи за наводњавање и одводњавање, ветрозаштитни појасеви и др.) и ефикасније спровођење самог поступка комасације коме ће претходити доношење новог закон</w:t>
      </w:r>
      <w:r>
        <w:t xml:space="preserve">а и измена и допуна постојећих закона, јасно  указује на циљ реформе. </w:t>
      </w:r>
    </w:p>
    <w:p w:rsidR="00E8309B" w:rsidRDefault="009D0949">
      <w:pPr>
        <w:ind w:left="-5" w:right="17"/>
      </w:pPr>
      <w:r>
        <w:t xml:space="preserve">У вези са коментаром који се односи на укрупњавање земљишта на могућу штету малих произвођача и потенцијалну продају пољопривредног земљишта странцима који како се у коментарима наводи </w:t>
      </w:r>
      <w:r>
        <w:t>свакако не би требало да буду саставни део оваквог програма, указујемо да комасација као поступак „не прави разлику“ између лица која поседују мање површине пољопривредног земљишта и лица која имају веће површине. Један од циљева у поступку  комасације мож</w:t>
      </w:r>
      <w:r>
        <w:t>е да буде укрупњавање распрачаних поседа, тако да се након комасације целокупан посед појединих произвођача, односно површина поседа појединих произвођача утврђена  проценом вредности налази на мање места, што пољопривредницима олакшава пољопривредну произ</w:t>
      </w:r>
      <w:r>
        <w:t xml:space="preserve">водњу или да се комасацијом учесницима комасације обезбеди изградња и коришћење објеката јавне инфраструктуре за којима се створила потреба (атарски путеви, системи за наводњавање итд.).  </w:t>
      </w:r>
    </w:p>
    <w:p w:rsidR="00E8309B" w:rsidRDefault="009D0949">
      <w:pPr>
        <w:spacing w:after="93"/>
        <w:ind w:left="-5" w:right="17"/>
      </w:pPr>
      <w:r>
        <w:t>Напомињемо да у документу на који је дат коментар нема навода о пот</w:t>
      </w:r>
      <w:r>
        <w:t xml:space="preserve">енцијалној продаји пољопривредног земљишта странцима. </w:t>
      </w:r>
    </w:p>
    <w:p w:rsidR="00E8309B" w:rsidRDefault="009D0949">
      <w:pPr>
        <w:spacing w:after="131" w:line="271" w:lineRule="auto"/>
        <w:ind w:left="-5" w:right="9"/>
      </w:pPr>
      <w:r>
        <w:rPr>
          <w:b/>
        </w:rPr>
        <w:t xml:space="preserve">СР 7: Унапређење система финансијске подршке пољопривреди кроз дигитализацију и аутоматизацију процеса </w:t>
      </w:r>
    </w:p>
    <w:p w:rsidR="00E8309B" w:rsidRDefault="009D0949">
      <w:pPr>
        <w:spacing w:after="79" w:line="271" w:lineRule="auto"/>
        <w:ind w:left="-5" w:right="9"/>
      </w:pPr>
      <w:r>
        <w:rPr>
          <w:b/>
        </w:rPr>
        <w:t xml:space="preserve">Коментар Међусекторске радне групе НКЕУ: </w:t>
      </w:r>
    </w:p>
    <w:p w:rsidR="00E8309B" w:rsidRDefault="009D0949">
      <w:pPr>
        <w:spacing w:after="95"/>
        <w:ind w:left="-5" w:right="17"/>
      </w:pPr>
      <w:r>
        <w:t>Дигитализација и аутоматизација процеса јесте добар кор</w:t>
      </w:r>
      <w:r>
        <w:t>ак али се треба упоредо обезбедити и обука која ће омогућити пољопривредницима да се упознају са могућностима и лакше користити онлајн алате. Са друге стране, треба направити транзициони период где се може користити и један и други начин за обављање админи</w:t>
      </w:r>
      <w:r>
        <w:t xml:space="preserve">стративних процедура – и преко шалтера и онлине. </w:t>
      </w:r>
    </w:p>
    <w:p w:rsidR="00E8309B" w:rsidRDefault="009D0949">
      <w:pPr>
        <w:spacing w:after="126" w:line="271" w:lineRule="auto"/>
        <w:ind w:left="-5" w:right="9"/>
      </w:pPr>
      <w:r>
        <w:rPr>
          <w:b/>
        </w:rPr>
        <w:t xml:space="preserve">Одговор представника Радне групе за израду и праћење ЕРП: </w:t>
      </w:r>
    </w:p>
    <w:p w:rsidR="00E8309B" w:rsidRDefault="009D0949">
      <w:pPr>
        <w:ind w:left="-5" w:right="17"/>
      </w:pPr>
      <w:r>
        <w:t xml:space="preserve">Слажемо се са коментаром, подршка је предвиђена.  </w:t>
      </w:r>
    </w:p>
    <w:p w:rsidR="00E8309B" w:rsidRDefault="009D0949">
      <w:pPr>
        <w:ind w:left="-5" w:right="17"/>
      </w:pPr>
      <w:r>
        <w:t xml:space="preserve">У складу са АП за ПГ 11 (који је у фази ажурирања) предвиђено је успостављање Агенције за плаћања која ће имати регионалне/локалне канцеларије које ће, између осталог, пружати подршку корисницима.   </w:t>
      </w:r>
    </w:p>
    <w:p w:rsidR="00E8309B" w:rsidRDefault="009D0949">
      <w:pPr>
        <w:spacing w:after="90"/>
        <w:ind w:left="-5" w:right="17"/>
      </w:pPr>
      <w:r>
        <w:t xml:space="preserve">Такође, преко пројеката који су у току, као и оних који </w:t>
      </w:r>
      <w:r>
        <w:t xml:space="preserve">су планирани, предвиђене су обуке запослених који ће бити задужени за едукацију корисника. </w:t>
      </w:r>
    </w:p>
    <w:p w:rsidR="00E8309B" w:rsidRDefault="009D0949">
      <w:pPr>
        <w:spacing w:after="135" w:line="271" w:lineRule="auto"/>
        <w:ind w:left="-5" w:right="9"/>
      </w:pPr>
      <w:r>
        <w:rPr>
          <w:b/>
        </w:rPr>
        <w:t xml:space="preserve">СР 8: Подизање конкурентности индустрије </w:t>
      </w:r>
    </w:p>
    <w:p w:rsidR="00E8309B" w:rsidRDefault="009D0949">
      <w:pPr>
        <w:spacing w:after="79" w:line="271" w:lineRule="auto"/>
        <w:ind w:left="-5" w:right="9"/>
      </w:pPr>
      <w:r>
        <w:rPr>
          <w:b/>
        </w:rPr>
        <w:t xml:space="preserve">Коментар Међусекторске радне групе НКЕУ: </w:t>
      </w:r>
    </w:p>
    <w:p w:rsidR="00E8309B" w:rsidRDefault="009D0949">
      <w:pPr>
        <w:spacing w:after="158"/>
        <w:ind w:left="-5" w:right="17"/>
      </w:pPr>
      <w:r>
        <w:t>Објашњење структурне реформе која се бави подизањем конкурентности индустрије је потребно предефинисати јер тренутно објашњење није адекватно с обзиром да се позива на Стратегију паметне специјализације а да је у међувремену усвојена Стратегија индустријск</w:t>
      </w:r>
      <w:r>
        <w:t xml:space="preserve">ог развоја. Такође, тренутно се ради и Акциони план за ову Стратегију па је потребно усклађивање описа структурне реформе са тренутним стање ствари. </w:t>
      </w:r>
    </w:p>
    <w:p w:rsidR="00E8309B" w:rsidRDefault="009D0949">
      <w:pPr>
        <w:spacing w:after="126" w:line="271" w:lineRule="auto"/>
        <w:ind w:left="-5" w:right="9"/>
      </w:pPr>
      <w:r>
        <w:rPr>
          <w:b/>
        </w:rPr>
        <w:t xml:space="preserve">Одговор представника Радне групе за израду и праћење ЕРП: </w:t>
      </w:r>
    </w:p>
    <w:p w:rsidR="00E8309B" w:rsidRDefault="009D0949">
      <w:pPr>
        <w:spacing w:after="90"/>
        <w:ind w:left="-5" w:right="17"/>
      </w:pPr>
      <w:r>
        <w:t>У тачки 1 - Опис структурне реформе, наводи се:</w:t>
      </w:r>
      <w:r>
        <w:t xml:space="preserve"> „Реформа обухвата спровођење мера дефинисаних Стратегијом индустријске политике Републике Србије од 2021. до 2030. године која је усвојена 5. марта 2020. године.“ Реформа се не позива на Стратегију паметне специјализације, већ се констатује да ће Акциони </w:t>
      </w:r>
      <w:r>
        <w:t xml:space="preserve">план за спровођење Стратегије индустријске политике подржати налазе Стратегије паметне специјализације, што представља један од услова за затварање Поглавља 20.  </w:t>
      </w:r>
    </w:p>
    <w:p w:rsidR="00E8309B" w:rsidRDefault="009D0949">
      <w:pPr>
        <w:spacing w:after="157"/>
        <w:ind w:left="-5" w:right="17"/>
      </w:pPr>
      <w:r>
        <w:t xml:space="preserve">Такође, у тачки 3 - Планиране активности по годинама, наводи се: „У 2021. години је планиран </w:t>
      </w:r>
      <w:r>
        <w:t>почетак примене активности из Акционог плана за спровођење Стратегије индустријске политике Републике Србије од 2021. до 2030. године, који ће бити усвојен почетком 2021. године, за период од наредне три године.“, што представља информацију у вези са трену</w:t>
      </w:r>
      <w:r>
        <w:t xml:space="preserve">тним стањем у процесу креирања и усвајања акционог плана. </w:t>
      </w:r>
    </w:p>
    <w:p w:rsidR="00E8309B" w:rsidRDefault="009D0949">
      <w:pPr>
        <w:spacing w:after="5" w:line="333" w:lineRule="auto"/>
        <w:ind w:left="-5" w:right="9"/>
      </w:pPr>
      <w:r>
        <w:rPr>
          <w:b/>
        </w:rPr>
        <w:t xml:space="preserve">СР 9: Унапређење квалитета пружања јавних услуга кроз оптимизацију и дигитализацију административних поступака - ,,еПАПИР“ Коментар Међусекторске радне групе НКЕУ: </w:t>
      </w:r>
    </w:p>
    <w:p w:rsidR="00E8309B" w:rsidRDefault="009D0949">
      <w:pPr>
        <w:spacing w:after="153"/>
        <w:ind w:left="-5" w:right="17"/>
      </w:pPr>
      <w:r>
        <w:t>Иако оснивање јединствене контак</w:t>
      </w:r>
      <w:r>
        <w:t>тне тачке (ЈЕКТ) суштински не припада структурној реформи која се бави успостављањем јединственог јавног регистра административних поступака потпуно искључење ове теме из структурних реформи даје лош сигнал свим привредницима из услужног сектора који се на</w:t>
      </w:r>
      <w:r>
        <w:t>дају једноставнијем обављању административних процедура. Због тога треба искористи прилику да оснивање и функционисање ЈЕКТ заузме значајније место у предложеној листи структурних реформи, као посебна структурна реформа или релевантан део структурне реформ</w:t>
      </w:r>
      <w:r>
        <w:t>е која се тиче платформе еПапир. У случају да, због административних разлога, не може да нова структурна реформа буде уведена у ЕРП, предлог је да питање ЈЕКТ остане у садашњој структурној реформи али да буде у довољној мери издвојена целина и оформљена ка</w:t>
      </w:r>
      <w:r>
        <w:t xml:space="preserve">о посебна платформа са свим функционалностима које пружају ЈЕКТ сервиси земаља ЕУ. </w:t>
      </w:r>
    </w:p>
    <w:p w:rsidR="00E8309B" w:rsidRDefault="009D0949">
      <w:pPr>
        <w:spacing w:after="79" w:line="271" w:lineRule="auto"/>
        <w:ind w:left="-5" w:right="9"/>
      </w:pPr>
      <w:r>
        <w:rPr>
          <w:b/>
        </w:rPr>
        <w:t xml:space="preserve">Одговор представника Радне групе за израду и праћење ЕРП: </w:t>
      </w:r>
    </w:p>
    <w:p w:rsidR="00E8309B" w:rsidRDefault="009D0949">
      <w:pPr>
        <w:ind w:left="-5" w:right="17"/>
      </w:pPr>
      <w:r>
        <w:t xml:space="preserve">Регистар административних поступака садржи све потребне информације о поступцима које привредни субјекти покрећу </w:t>
      </w:r>
      <w:r>
        <w:t>пред органима јавне управе, у циљу испуњења неких од законом предвиђених обавеза или остваривања права. Регистар представља полазну основу за успостављање Јединствене електронске контактне тачке (ЈЕКТ) које је у надлежности Министарства трговине, туризма и</w:t>
      </w:r>
      <w:r>
        <w:t xml:space="preserve"> телекомуникација. </w:t>
      </w:r>
    </w:p>
    <w:p w:rsidR="00E8309B" w:rsidRDefault="009D0949">
      <w:pPr>
        <w:ind w:left="-5" w:right="17"/>
      </w:pPr>
      <w:r>
        <w:t>Успостављање Регистра прати процес поједностављења поступака кроз елиминацију непотребне документације и сувишних корака или дигитализацију, као и спајање међусобно условљених поступака, чиме се значајно смањују трошкови у времену и нов</w:t>
      </w:r>
      <w:r>
        <w:t xml:space="preserve">цу, како за кориснике тако и за јавну управу. Истовремено, постиже се правна сигурност, предвидљивост и уједначеност поступања целе јавне управе. </w:t>
      </w:r>
    </w:p>
    <w:p w:rsidR="00E8309B" w:rsidRDefault="009D0949">
      <w:pPr>
        <w:spacing w:after="159"/>
        <w:ind w:left="-5" w:right="17"/>
      </w:pPr>
      <w:r>
        <w:t>Такође, Успостављање Регистра прати и подизање Портала Регистра административних поступака који ће представља</w:t>
      </w:r>
      <w:r>
        <w:t>ти јединствену контактну тачку за све поступке, касније и услове за пословање у Републици Србији, чиме ће овај портал дати све потребне информације за пословање у Републици Србији и тиме обухватити све што се захтева успостављањем ЈЕКТ, чак и више јер се н</w:t>
      </w:r>
      <w:r>
        <w:t xml:space="preserve">еће односити само на услуге. </w:t>
      </w:r>
    </w:p>
    <w:p w:rsidR="00E8309B" w:rsidRDefault="009D0949">
      <w:pPr>
        <w:spacing w:after="135" w:line="271" w:lineRule="auto"/>
        <w:ind w:left="-5" w:right="9"/>
      </w:pPr>
      <w:r>
        <w:rPr>
          <w:b/>
        </w:rPr>
        <w:t xml:space="preserve">СР 10: Трансформација Пореске управе </w:t>
      </w:r>
    </w:p>
    <w:p w:rsidR="00E8309B" w:rsidRDefault="009D0949">
      <w:pPr>
        <w:spacing w:after="79" w:line="271" w:lineRule="auto"/>
        <w:ind w:left="-5" w:right="9"/>
      </w:pPr>
      <w:r>
        <w:rPr>
          <w:b/>
        </w:rPr>
        <w:t xml:space="preserve">Коментар Међусекторске радне групе НКЕУ: </w:t>
      </w:r>
    </w:p>
    <w:p w:rsidR="00E8309B" w:rsidRDefault="009D0949">
      <w:pPr>
        <w:spacing w:after="91"/>
        <w:ind w:left="-5" w:right="17"/>
      </w:pPr>
      <w:r>
        <w:t>Трансформација Пореске управе је структурна мера која се налази у ЕРП документу још од првог издања. С тим у вези можда је исправније посматрати је као структурну меру а не као реформу јер је требала у међувремену да постане оперативна активност. Подржавам</w:t>
      </w:r>
      <w:r>
        <w:t>о останак ове структурне мере и даље јер постоје области које још увек треба уредити као што је на пример пореска политика и акцизе на јака алкохолна пића. Посматрано у ширем контексту, са макроекономског становишта, трансформација и консолидација активнос</w:t>
      </w:r>
      <w:r>
        <w:t xml:space="preserve">ти Пореске управе представљала је један од кључних задатака током трајања програма фискалне консолидације, у периоду од 2015-2017. године. Наставак активности у правцу даље модернизације Пореске управе био је предвиђен новим аранжманом са IMF – Инструмент </w:t>
      </w:r>
      <w:r>
        <w:t>координације политика  (јул 2018 - децембар 2020. године) и садржан у свим Годишњим извештајима ЕК. Унапређењем ефикасности и ефективности основних пословних процеса, подизањем квалитета услуга и смањењем трошкова за привреду и грађане, процес утврђивања и</w:t>
      </w:r>
      <w:r>
        <w:t xml:space="preserve"> плаћања пореза за пореске обвезнике би требало да буде једноставнији и јефтинији. Поред тога, већа транспарентност пореске политике уз поједностављене процедуре за отпочињање посла представљају снажан подстицај за отварање нових предузећа, посебно малих и</w:t>
      </w:r>
      <w:r>
        <w:t xml:space="preserve"> средњих. Јасна, предвидива и транспарентна пореска правила додатно подстичу самозапошљавање и утичу на одлуке привредних субјеката да из сиве пређу у легалну зону пословања.  И поред чињенице да је у протеклих пет година остварен значајан напредак у транс</w:t>
      </w:r>
      <w:r>
        <w:t xml:space="preserve">формисању Пореске управе у модеран, ефикасан и транспарентан сервис привреде и грађана, идентификовани су одређени проблеми који отежавају успешну имплементацију реформе. Због свега наведеног предлог је да се:  </w:t>
      </w:r>
    </w:p>
    <w:p w:rsidR="00E8309B" w:rsidRDefault="009D0949">
      <w:pPr>
        <w:spacing w:after="110"/>
        <w:ind w:left="-5" w:right="17"/>
      </w:pPr>
      <w:r>
        <w:t>Донесе методологија за утврђивање индикатора</w:t>
      </w:r>
      <w:r>
        <w:t xml:space="preserve"> и начине њиховог мерења. Иако је у ЕРП за период 2018-2020. године најављено доношење јединствене методологије, закључно са израдом и усвајањем ЕРП-а за период 2020-2022. године то није реализовано. Дакле, приоритет је да се у најкраћем року, већ у овом ц</w:t>
      </w:r>
      <w:r>
        <w:t>иклусу израде ЕРП (за период 2021-2023), донесе методологија којом ће бити јасно дефинисани индикатори чијим мерењем ће бити утврђен степен реализације активности. Начин на који су до сада дефинисани индикатори потребно је унапредити, тако да буду јасни, ј</w:t>
      </w:r>
      <w:r>
        <w:t xml:space="preserve">едноставни за праћење и недвосмислени.  </w:t>
      </w:r>
    </w:p>
    <w:p w:rsidR="00E8309B" w:rsidRDefault="009D0949">
      <w:pPr>
        <w:spacing w:after="90"/>
        <w:ind w:left="-5" w:right="17"/>
      </w:pPr>
      <w:r>
        <w:t>Припреме ex-post извештаји о стварним трошковима, односно расходима, по свакој активности, према изворима финансирања (домаћи vs. инострани). Не искључујемо могућност да овакви извештаји већ постоје и да су интерног</w:t>
      </w:r>
      <w:r>
        <w:t xml:space="preserve"> карактера. Свакако их треба учинити јавно доступним, интегрисањем у део ЕРП који се односи на трансформисање Пореске управе, уз образложење разлога одступања од планираних величина.   </w:t>
      </w:r>
    </w:p>
    <w:p w:rsidR="00E8309B" w:rsidRDefault="009D0949">
      <w:pPr>
        <w:spacing w:after="97"/>
        <w:ind w:left="-5" w:right="17"/>
      </w:pPr>
      <w:r>
        <w:t>Додатно ојачају и унапреде капацитети Пореске управе, не само са аспек</w:t>
      </w:r>
      <w:r>
        <w:t xml:space="preserve">та олакшане и једноставније примене пореских прописа већ и у погледу јасног и једнозначног тумачења пореских прописа. Поред јасне методологије за утврђивање индикатора и начине њиховог мерења, транспарентности и једноставности целокупоног пореског система </w:t>
      </w:r>
      <w:r>
        <w:t>за све пореске обвезнике допринело би и идентично тумачење истих пореских прописа од стране пореских органа. Један од проблема несметаног функционисања и обављања пословних активности, поред високих пореза (посебно на рад), привредници виде у неуједначеном</w:t>
      </w:r>
      <w:r>
        <w:t xml:space="preserve"> пореском третману, односно различитом тумачењу прописа и поступања пореских инспектора за исто пореско питање. Овај проблем би се могао решити издавањем смерница за спорна питања или израдом јединственог електронског поступка за све пореске инспекторе (по</w:t>
      </w:r>
      <w:r>
        <w:t xml:space="preserve">пут калкулатора за обрачун пореза и доприноса предузетника паушалаца).  </w:t>
      </w:r>
      <w:r>
        <w:rPr>
          <w:b/>
        </w:rPr>
        <w:t xml:space="preserve">Одговор представника Радне групе за израду и праћење ЕРП: </w:t>
      </w:r>
    </w:p>
    <w:p w:rsidR="00E8309B" w:rsidRDefault="009D0949">
      <w:pPr>
        <w:spacing w:after="154"/>
        <w:ind w:left="-5" w:right="17"/>
      </w:pPr>
      <w:r>
        <w:t xml:space="preserve">Сектор за трансформацију Пореске управе се захваљује Међусекторској радној групи националног конвента Европске уније која је </w:t>
      </w:r>
      <w:r>
        <w:t xml:space="preserve">размотрила предлог листе структурних реформи и доставила своје коментаре. Сектор за трансформацију ће имати у виду достављене сугестије у даљем спровођењу трансформације. </w:t>
      </w:r>
    </w:p>
    <w:p w:rsidR="00E8309B" w:rsidRDefault="009D0949">
      <w:pPr>
        <w:spacing w:after="0" w:line="386" w:lineRule="auto"/>
        <w:ind w:left="-5" w:right="3111"/>
      </w:pPr>
      <w:r>
        <w:rPr>
          <w:b/>
        </w:rPr>
        <w:t>СР 12: Увођење концепта циркуларне економије  Коментар Међусекторске радне групе НКЕ</w:t>
      </w:r>
      <w:r>
        <w:rPr>
          <w:b/>
        </w:rPr>
        <w:t xml:space="preserve">У: </w:t>
      </w:r>
    </w:p>
    <w:p w:rsidR="00E8309B" w:rsidRDefault="009D0949">
      <w:pPr>
        <w:spacing w:after="158"/>
        <w:ind w:left="-5" w:right="17"/>
      </w:pPr>
      <w:r>
        <w:t xml:space="preserve">С обзиром да не постоји Стратегија циркуларне економије, у опису ове структурне реформе је начињена грешка када се говори о дефинисању стратешког оквира. Оно што постоји јесте Мапа циркуларне економије и даље ће се радити на изради Програма циркуларне </w:t>
      </w:r>
      <w:r>
        <w:t xml:space="preserve">економије. Подржавамо укључивање ове структурне реформе у ЕРП, само је потребно боље дефинисати ефекте који се  желе постићи, као и индикаторе остваривања ефеката.  </w:t>
      </w:r>
    </w:p>
    <w:p w:rsidR="00E8309B" w:rsidRDefault="009D0949">
      <w:pPr>
        <w:spacing w:after="79" w:line="271" w:lineRule="auto"/>
        <w:ind w:left="-5" w:right="9"/>
      </w:pPr>
      <w:r>
        <w:rPr>
          <w:b/>
        </w:rPr>
        <w:t xml:space="preserve">Одговор представника Радне групе за израду и праћење ЕРП: </w:t>
      </w:r>
    </w:p>
    <w:p w:rsidR="00E8309B" w:rsidRDefault="009D0949">
      <w:pPr>
        <w:ind w:left="-5" w:right="17"/>
      </w:pPr>
      <w:r>
        <w:t>Структурна реформа Увођење конц</w:t>
      </w:r>
      <w:r>
        <w:t>епта циркуларне економије подразумева припрему стратешког оквира за циркуларну економију у 2021. години кроз израду документа јавне политике Програм за циркуларну економију са акционим планом на три године, а у складу са  Законом о планском систему РС („Сл</w:t>
      </w:r>
      <w:r>
        <w:t>. гласник РС“, бр. 30/2018)  и Уредбом о методологији управљања јавним политикама, анализи ефеката јавних политика и прописа и садржају појединачних докумената јавних политика („Сл. гласник РС“, бр. 8/2019). Као припремни документ за израду овог стратешког</w:t>
      </w:r>
      <w:r>
        <w:t xml:space="preserve"> документа у 2020. године завршена је Еx-ante анализа ефеката за циркуларну економију, која је показала да је за област циркуларне економије потребан посебан документ јавне политике. Програмом ће бити дефинисане мере и активности које ће помоћи у имплемент</w:t>
      </w:r>
      <w:r>
        <w:t>ацији концепта циркуларне економије у Србији. Мапа пута за циркуларну економију је документ који даје смернице за процес транзиције са линеарне на циркуларну економију али није обавезујући. Програм за циркуларну економију са акционим планом на три године ћ</w:t>
      </w:r>
      <w:r>
        <w:t xml:space="preserve">е бити обавезујући документ, а праћење спровођења предвиђених активности обавезан део процеса, чиме се могу добити мерљиви резултати. Ефекти који ће се постићи бити детаљније дефинисани кроз сам документ јавне политике.   </w:t>
      </w:r>
    </w:p>
    <w:p w:rsidR="00E8309B" w:rsidRDefault="00E8309B">
      <w:pPr>
        <w:sectPr w:rsidR="00E8309B">
          <w:headerReference w:type="even" r:id="rId251"/>
          <w:headerReference w:type="default" r:id="rId252"/>
          <w:footerReference w:type="even" r:id="rId253"/>
          <w:footerReference w:type="default" r:id="rId254"/>
          <w:headerReference w:type="first" r:id="rId255"/>
          <w:footerReference w:type="first" r:id="rId256"/>
          <w:pgSz w:w="11906" w:h="16838"/>
          <w:pgMar w:top="1189" w:right="1134" w:bottom="1148" w:left="1138" w:header="720" w:footer="720" w:gutter="0"/>
          <w:cols w:space="720"/>
          <w:titlePg/>
        </w:sectPr>
      </w:pPr>
    </w:p>
    <w:p w:rsidR="00E8309B" w:rsidRDefault="009D0949">
      <w:pPr>
        <w:spacing w:after="130" w:line="271" w:lineRule="auto"/>
        <w:ind w:left="-15" w:right="9" w:firstLine="377"/>
      </w:pPr>
      <w:r>
        <w:rPr>
          <w:b/>
        </w:rPr>
        <w:t xml:space="preserve">15: Повећање доступности е-управе унапређењем инфраструктуре и увођењем нових технологија </w:t>
      </w:r>
    </w:p>
    <w:p w:rsidR="00E8309B" w:rsidRDefault="009D0949">
      <w:pPr>
        <w:spacing w:after="79" w:line="271" w:lineRule="auto"/>
        <w:ind w:left="-5" w:right="9"/>
      </w:pPr>
      <w:r>
        <w:rPr>
          <w:b/>
        </w:rPr>
        <w:t xml:space="preserve">Коментар Међусекторске радне групе НКЕУ: </w:t>
      </w:r>
    </w:p>
    <w:p w:rsidR="00E8309B" w:rsidRDefault="009D0949">
      <w:pPr>
        <w:ind w:left="-5" w:right="17"/>
      </w:pPr>
      <w:r>
        <w:t>Примећен је релативни напредак у опису ове структурне реформе у односу на прош</w:t>
      </w:r>
      <w:r>
        <w:t>лу годину када је било одређених понављања циљева и активности са Програмом развоја електронске управе у Републици Србији као и нове Стратегије реформе јавне управе. Међутим, потребно је у овој структурној реформи  ставити већи фокус на побољшање пословног</w:t>
      </w:r>
      <w:r>
        <w:t xml:space="preserve"> амбијента кроз већу употребу дигиталних сервиса. Предлози за унапређење ове структурне реформе у односу на прошли циклус ЕРП су следећи: </w:t>
      </w:r>
    </w:p>
    <w:p w:rsidR="00E8309B" w:rsidRDefault="009D0949">
      <w:pPr>
        <w:ind w:left="-5" w:right="17"/>
      </w:pPr>
      <w:r>
        <w:t>Проширење ове реформе тако да обухвати и друге активности које се односе на унапређење корисничких сервиса и развој е</w:t>
      </w:r>
      <w:r>
        <w:t xml:space="preserve">лектронске управе као што су еПисарница и еАрхива, јачање информационе безбедности итд;  </w:t>
      </w:r>
    </w:p>
    <w:p w:rsidR="00E8309B" w:rsidRDefault="009D0949">
      <w:pPr>
        <w:spacing w:after="157"/>
        <w:ind w:left="-5" w:right="17"/>
      </w:pPr>
      <w:r>
        <w:t>Унапредити индикаторе праћења ове реформе и то тако да буду дефинисани као  кориснички оријентисани показатељи, нпр број услуга на Порталу еУправа за привреднике и гр</w:t>
      </w:r>
      <w:r>
        <w:t xml:space="preserve">ађане којима је омогућено електронско плаћање, да ли постоји пораст броја корисника електронских услуга након омогућавања електронског плаћања, мерено у процентима, а могуће је укључити и мерење задовољства корисника услугом;    </w:t>
      </w:r>
    </w:p>
    <w:p w:rsidR="00E8309B" w:rsidRDefault="009D0949">
      <w:pPr>
        <w:spacing w:after="79" w:line="271" w:lineRule="auto"/>
        <w:ind w:left="-5" w:right="9"/>
      </w:pPr>
      <w:r>
        <w:rPr>
          <w:b/>
        </w:rPr>
        <w:t>Одговор представника Радне</w:t>
      </w:r>
      <w:r>
        <w:rPr>
          <w:b/>
        </w:rPr>
        <w:t xml:space="preserve"> групе за израду и праћење ЕРП: </w:t>
      </w:r>
    </w:p>
    <w:p w:rsidR="00E8309B" w:rsidRDefault="009D0949">
      <w:pPr>
        <w:ind w:left="-5" w:right="17"/>
      </w:pPr>
      <w:r>
        <w:t xml:space="preserve">Имајући у виду концепт документа ЕРП није могуће обухватити све остале активности које тренутно обавља Канцеларија за ИТ и електронску управу, и које ће обављати у наредном периоду.  </w:t>
      </w:r>
    </w:p>
    <w:p w:rsidR="00E8309B" w:rsidRDefault="009D0949">
      <w:pPr>
        <w:ind w:left="-5" w:right="17"/>
      </w:pPr>
      <w:r>
        <w:t>План је да унапређење Информационе безб</w:t>
      </w:r>
      <w:r>
        <w:t xml:space="preserve">едности буде предложено у неком наредном периоду као једна од активности, будући да се очекује доста пројеката у овој области. </w:t>
      </w:r>
    </w:p>
    <w:p w:rsidR="00E8309B" w:rsidRDefault="009D0949">
      <w:pPr>
        <w:spacing w:after="91"/>
        <w:ind w:left="-5" w:right="17"/>
      </w:pPr>
      <w:r>
        <w:t>Највећи број индикатора/показатеља дефинисан је као кориснички оријентисан, попут: броја органа државне управе и ЈЛС који корист</w:t>
      </w:r>
      <w:r>
        <w:t>е Дата центар за управљање и чување података, броја предузећа која користе Дата центар на комерцијалној основи и броја софтверских решења органа државне управе и ЈЛС која су мигрирала у Дата центре. Такође, имамо и број градова у којима је спроведен пројек</w:t>
      </w:r>
      <w:r>
        <w:t xml:space="preserve">ат Smart City као индикатор. </w:t>
      </w:r>
      <w:r>
        <w:rPr>
          <w:b/>
        </w:rPr>
        <w:t xml:space="preserve">СР 18: Унапређење услова и уклањање препрека трговини Коментар Међусекторске радне групе НКЕУ: </w:t>
      </w:r>
    </w:p>
    <w:p w:rsidR="00E8309B" w:rsidRDefault="009D0949">
      <w:pPr>
        <w:spacing w:after="157"/>
        <w:ind w:left="-5" w:right="17"/>
      </w:pPr>
      <w:r>
        <w:t>Како се из годину у годину понавља наставак процеса приступања WТО као структурна реформа, предлог чланова РГ је да се овај део иск</w:t>
      </w:r>
      <w:r>
        <w:t xml:space="preserve">ључи из структурне реформе јер је по материји у питању тема која се треба спровести на оперативном плану. </w:t>
      </w:r>
    </w:p>
    <w:p w:rsidR="00E8309B" w:rsidRDefault="009D0949">
      <w:pPr>
        <w:spacing w:after="79" w:line="271" w:lineRule="auto"/>
        <w:ind w:left="-5" w:right="9"/>
      </w:pPr>
      <w:r>
        <w:rPr>
          <w:b/>
        </w:rPr>
        <w:t xml:space="preserve">Одговор представника Радне групе за израду и праћење ЕРП: </w:t>
      </w:r>
    </w:p>
    <w:p w:rsidR="00E8309B" w:rsidRDefault="009D0949">
      <w:pPr>
        <w:ind w:left="-5" w:right="17"/>
      </w:pPr>
      <w:r>
        <w:t>Ова структурна реформа у највећој мери се наставља из претходног ЕРП, укључујући и део кој</w:t>
      </w:r>
      <w:r>
        <w:t>и се тиче наставка приступања СТО. Узимајући у обзир досадашњи ток процеса приступања Србије СТО, сматрамо да наставак овог процеса није тема коју треба спровести на оперативном плану, већ углавном политичко и реформско питање. Уз то, наставак рада на члан</w:t>
      </w:r>
      <w:r>
        <w:t>ству у СТО наведен је и као један од приоритета ове Владе, а приступање СТО је важан елемент интеграције Србије у мултилатерални трговински систем и оквир за даље трговинске интеграције на ЕУ и регионалном нивоу. Имајући у виду наведено, као и да у току до</w:t>
      </w:r>
      <w:r>
        <w:t xml:space="preserve">садашње припреме Нацрта ЕРП није било сугестија да се овај процес искључи из реформе, сматрамо да наставак приступања СТО треба да остане део наведене реформе.  </w:t>
      </w:r>
    </w:p>
    <w:p w:rsidR="00E8309B" w:rsidRDefault="009D0949">
      <w:pPr>
        <w:ind w:left="-5" w:right="17"/>
      </w:pPr>
      <w:r>
        <w:t>У наредним циклусима могла би се, евентуално, размотрити могућност редефинисања и комбиновања активности из ове реформе са другим реформским активностима које су усмерене на унапређење и олакшање трговине, а у складу са приоритетима Владе и препорукама и с</w:t>
      </w:r>
      <w:r>
        <w:t xml:space="preserve">угестијама релевантних заинтересованих страна. </w:t>
      </w:r>
    </w:p>
    <w:p w:rsidR="00E8309B" w:rsidRDefault="009D0949">
      <w:pPr>
        <w:spacing w:after="0" w:line="391" w:lineRule="auto"/>
        <w:ind w:left="-15" w:right="1042" w:firstLine="377"/>
      </w:pPr>
      <w:r>
        <w:rPr>
          <w:b/>
        </w:rPr>
        <w:t xml:space="preserve">19: Безбедан и квалитетан производ – фактор развоја индустрије Коментар Међусекторске радне групе НКЕУ: </w:t>
      </w:r>
    </w:p>
    <w:p w:rsidR="00E8309B" w:rsidRDefault="009D0949">
      <w:pPr>
        <w:ind w:left="-5" w:right="17"/>
      </w:pPr>
      <w:r>
        <w:t>Предлог је да ова структурна реформа дефинитивно остане у ЕРП. Додавањем дела који предвиђа финансијску подршку предузећима за унапређење безбедности и квалитета производа и услуга коришћењем најновијих стандарда у производњи и организацији пословања предс</w:t>
      </w:r>
      <w:r>
        <w:t>тавља добар комплемент сервису Производ инфо који је предложен у прошлогодишњом циклусу ЕРП. Потребно је, међутим, обратити пажњу да се фокус ове структурне реформе не премести на њен додатак и помери са развијања портала Производ инфо. Такође, како се у и</w:t>
      </w:r>
      <w:r>
        <w:t xml:space="preserve">звештајима Европске комисије из године у годину понавља апел за оснивањем и унапређењем Контактне тачке за производе –Производ инфо- овај процес у Србији би требало убрзати кроз постављање овог циља као приоритета у овој структурној реформи. </w:t>
      </w:r>
    </w:p>
    <w:p w:rsidR="00E8309B" w:rsidRDefault="009D0949">
      <w:pPr>
        <w:spacing w:after="159"/>
        <w:ind w:left="-5" w:right="17"/>
      </w:pPr>
      <w:r>
        <w:t>Део у коме је</w:t>
      </w:r>
      <w:r>
        <w:t xml:space="preserve"> могуће највише унапредити предложену структурну реформу у односу на претходни циклус јесте боље дефинисање индикатора, односно да показатељи који ће бити дефинисани говоре о оствареним резултатима структурне реформе, а не њеним активностима. На пример, мо</w:t>
      </w:r>
      <w:r>
        <w:t>же да се мери проценат техничких прописа који су прошли кроз комплетан и исправан процес нотификације који је предвиђен прописом. Постављен на овакав начин, овај индикатор може да мери ниво успеха у спровођењу прописане процедуре нотификације која има посе</w:t>
      </w:r>
      <w:r>
        <w:t>бан значај за смањење техничких баријера трговини у нехармонизованом подручју. Такође, могуће је дефинисати индактор који би мерио колики је проценат предузећа из МСПП сектора користило њихове услуге, имајући у виду претпоставку да већа предузећа имају бољ</w:t>
      </w:r>
      <w:r>
        <w:t xml:space="preserve">е људске и техничке капацитете да се питањем техничких прописа баве интерно. Сет индикатора након успостављања сервиса Производ инфо може да укључи индикаторе који ће мерити задовољство корисника и броја извозника који користе овај систем подршке. С тим у </w:t>
      </w:r>
      <w:r>
        <w:t xml:space="preserve">вези, неопходно је увести оцену у којој мери је постављени систем користио привредницима (и свим заинтересованим странама) у решавању проблема везаних за техничке прописе и/или активности неке од институција ИК.  </w:t>
      </w:r>
    </w:p>
    <w:p w:rsidR="00E8309B" w:rsidRDefault="009D0949">
      <w:pPr>
        <w:spacing w:after="126" w:line="271" w:lineRule="auto"/>
        <w:ind w:left="-5" w:right="9"/>
      </w:pPr>
      <w:r>
        <w:rPr>
          <w:b/>
        </w:rPr>
        <w:t>Одговор представника Радне групе за израду</w:t>
      </w:r>
      <w:r>
        <w:rPr>
          <w:b/>
        </w:rPr>
        <w:t xml:space="preserve"> и праћење ЕРП: </w:t>
      </w:r>
    </w:p>
    <w:p w:rsidR="00E8309B" w:rsidRDefault="009D0949">
      <w:pPr>
        <w:ind w:left="-5" w:right="17"/>
      </w:pPr>
      <w:r>
        <w:t xml:space="preserve">Министарство привреде захваљује на коментарима и конструктивним сугестијама НКЕУ.  </w:t>
      </w:r>
    </w:p>
    <w:p w:rsidR="00E8309B" w:rsidRDefault="009D0949">
      <w:pPr>
        <w:ind w:left="-5" w:right="17"/>
      </w:pPr>
      <w:r>
        <w:t>Додавање нове компоненте која се односи на развој и имплементацију механизма финансијске подршке предузећима је превасходно одговор на кризу и смањење обим</w:t>
      </w:r>
      <w:r>
        <w:t xml:space="preserve">а пословања услед пандемије Ковид 19. Идеја предлагача ове реформе није била да се фокус премести на ту компоненту како би јој се дао већи значај у односу на компоненту Производ инфо.  </w:t>
      </w:r>
    </w:p>
    <w:p w:rsidR="00E8309B" w:rsidRDefault="009D0949">
      <w:pPr>
        <w:ind w:left="-5" w:right="17"/>
      </w:pPr>
      <w:r>
        <w:t>Успостављањем јединствене дигиталне приступне тачке Производ инфо и ди</w:t>
      </w:r>
      <w:r>
        <w:t xml:space="preserve">гитализацијом услуга у области ИК, кроз имплементацију ове компоненте СР, створиће се услови за испуњење препоруке Европске комисије за унапређењем Контактне тачке за производе (PCPProduct Contact Point) у складу са европском Уредбом 2019/515. </w:t>
      </w:r>
    </w:p>
    <w:p w:rsidR="00E8309B" w:rsidRDefault="009D0949">
      <w:pPr>
        <w:ind w:left="-5" w:right="17"/>
      </w:pPr>
      <w:r>
        <w:t>Сагласни см</w:t>
      </w:r>
      <w:r>
        <w:t xml:space="preserve">о са предлогом НКЕУ да се индикатори унапреде како би се мерио утицај и резултат саме реформе на нивоу исхода, а не на нивоу активности.  </w:t>
      </w:r>
    </w:p>
    <w:p w:rsidR="00E8309B" w:rsidRDefault="009D0949">
      <w:pPr>
        <w:ind w:left="-5" w:right="17"/>
      </w:pPr>
      <w:r>
        <w:t xml:space="preserve">Показатељ који се односи на проценат техничких прописа који су прошли комплетан процес нотификације ће се додати чим </w:t>
      </w:r>
      <w:r>
        <w:t>се заврши дигитализација комплетног поступка нотификације, када ће се знати и његова базна вредност. Такође смo сагласни и са осталим предложеним индикаторима и сматрамо да су веома корисни у погледу праћења позитивног утицаја СР на привреднике, посебно МС</w:t>
      </w:r>
      <w:r>
        <w:t>П, али како је и сам НКЕУ навео ти показатељи ће моћи да се укључе у праћење успешности реформе тек након њене имплементације, тј. након успостављања нове дигиталне приступне тачке, јер оцењивање успешности ове реформе зависи од базних вредности које ће се</w:t>
      </w:r>
      <w:r>
        <w:t xml:space="preserve"> тек тада знати. </w:t>
      </w:r>
    </w:p>
    <w:p w:rsidR="00E8309B" w:rsidRDefault="009D0949">
      <w:pPr>
        <w:spacing w:after="36" w:line="259" w:lineRule="auto"/>
        <w:ind w:left="0" w:right="0" w:firstLine="0"/>
        <w:jc w:val="left"/>
      </w:pPr>
      <w:r>
        <w:t xml:space="preserve"> </w:t>
      </w:r>
    </w:p>
    <w:p w:rsidR="00E8309B" w:rsidRDefault="009D0949">
      <w:pPr>
        <w:spacing w:after="0" w:line="259" w:lineRule="auto"/>
        <w:ind w:left="0" w:right="0" w:firstLine="0"/>
        <w:jc w:val="left"/>
      </w:pPr>
      <w:r>
        <w:t xml:space="preserve"> </w:t>
      </w:r>
    </w:p>
    <w:p w:rsidR="00E8309B" w:rsidRDefault="009D0949">
      <w:pPr>
        <w:spacing w:after="0" w:line="391" w:lineRule="auto"/>
        <w:ind w:left="-15" w:right="973" w:firstLine="377"/>
      </w:pPr>
      <w:r>
        <w:rPr>
          <w:b/>
        </w:rPr>
        <w:t xml:space="preserve">20: Квалификације оријентисане према потребама тржишта рада Коментар Међусекторске радне групе НКЕУ: </w:t>
      </w:r>
    </w:p>
    <w:p w:rsidR="00E8309B" w:rsidRDefault="009D0949">
      <w:pPr>
        <w:spacing w:after="158"/>
        <w:ind w:left="-5" w:right="17"/>
      </w:pPr>
      <w:r>
        <w:t>Систем који постоји у држави а уређује образовање не може да реагује толико брзо као што реагује тржиште. С тим у вези треба омогући</w:t>
      </w:r>
      <w:r>
        <w:t>ти школама већу флексибилност у погледу могућности да додају и одузимају часове, да могу да нуде часове које требају тржишту (нпр. часови везани за информационе технологије) без неких превеликих одобрења и на тај начин да из године у годину прилагођавају с</w:t>
      </w:r>
      <w:r>
        <w:t xml:space="preserve">вој наставни програм. Због тога се фокус ове структурне реформе треба управо пребацити на флексибилност самих школа у састављању програма. </w:t>
      </w:r>
    </w:p>
    <w:p w:rsidR="00E8309B" w:rsidRDefault="009D0949">
      <w:pPr>
        <w:spacing w:after="79" w:line="271" w:lineRule="auto"/>
        <w:ind w:left="-5" w:right="9"/>
      </w:pPr>
      <w:r>
        <w:rPr>
          <w:b/>
        </w:rPr>
        <w:t xml:space="preserve">Одговор представника Радне групе за израду и праћење ЕРП: </w:t>
      </w:r>
    </w:p>
    <w:p w:rsidR="00E8309B" w:rsidRDefault="009D0949">
      <w:pPr>
        <w:spacing w:after="157"/>
        <w:ind w:left="-5" w:right="17"/>
      </w:pPr>
      <w:r>
        <w:t>Основ за доношење планова и програма наставе и учења представља стандард квалификације који утврђује секторско веће за одређени сектор рада, у складу са законом који уређује национални оквир квалификација. На основу стандарда квалификације Завод за унапређ</w:t>
      </w:r>
      <w:r>
        <w:t>ивање образовања и васпитања израђује предлог плана и програма наставе и учења и доставља га МПНТР. План и програм наставе и учења садржи стандард квалификације, обавезне општеобразовне, обавезне стручне и изборне предмете. У оквиру обавезних стручних пред</w:t>
      </w:r>
      <w:r>
        <w:t>мета налазе се и предмети који се реализују као учење кроз рад. Исходи учења утврђени за предмете који се реализују у оквиру учења кроз рад су основа за израду плана реализације учења кроз рад и део су школског програма. Министар надлежан за послове образо</w:t>
      </w:r>
      <w:r>
        <w:t>вања и васпитања, уз претходно прибављено мишљење Националног просветног савета и Савета за стручно образовање и образовање одраслих, доноси план и програм наставе и учења. Стандард квалификације и план и програм наставе и учења иновира се сваких пет годин</w:t>
      </w:r>
      <w:r>
        <w:t>а, односно у краћем року ако потребе привреде и технолошког развоја то захтевају. Обим учења кроз рад износи најмање 20%, а највише 80% часова од укупног броја часова стручних предмета, у складу са одговарајућим планом и програмом наставе и учења. Обим уче</w:t>
      </w:r>
      <w:r>
        <w:t xml:space="preserve">ња кроз рад је већ увећан у складу са законом у односу на класично средње стручно образовање где се практична настава реализује у обиму од 25% од укупног обима часова практичне наставе и професионалне праксе. </w:t>
      </w:r>
    </w:p>
    <w:p w:rsidR="00E8309B" w:rsidRDefault="009D0949">
      <w:pPr>
        <w:spacing w:after="131" w:line="271" w:lineRule="auto"/>
        <w:ind w:left="-5" w:right="9"/>
      </w:pPr>
      <w:r>
        <w:rPr>
          <w:b/>
        </w:rPr>
        <w:t>СР 22: Унапређење амбијента за подстицање, под</w:t>
      </w:r>
      <w:r>
        <w:rPr>
          <w:b/>
        </w:rPr>
        <w:t xml:space="preserve">ршку и праћење циркуларних и економских миграција </w:t>
      </w:r>
    </w:p>
    <w:p w:rsidR="00E8309B" w:rsidRDefault="009D0949">
      <w:pPr>
        <w:spacing w:after="79" w:line="271" w:lineRule="auto"/>
        <w:ind w:left="-5" w:right="9"/>
      </w:pPr>
      <w:r>
        <w:rPr>
          <w:b/>
        </w:rPr>
        <w:t xml:space="preserve">Коментар Међусекторске радне групе НКЕУ: </w:t>
      </w:r>
    </w:p>
    <w:p w:rsidR="00E8309B" w:rsidRDefault="009D0949">
      <w:pPr>
        <w:ind w:left="-5" w:right="17"/>
      </w:pPr>
      <w:r>
        <w:t>Главна замерка у овом делу је то што је тема запошљавања сведена само на једну структурну реформу - реформу за циркуларне и економске миграције. Овако постављена р</w:t>
      </w:r>
      <w:r>
        <w:t>еформа уопште не уважава контекст Ковид-19 а у исто време није ни испоштована ни препорука Европске комисије која је дала оцену да је у питању добра мера али подстиче запошљавање само мањег броја људи. Предлог је да се по угледу на ЕРП Северне Македоније у</w:t>
      </w:r>
      <w:r>
        <w:t xml:space="preserve">веду Гаранција за младе чији би фокус био на повећању формалне запослености, рањивим категоријама становништва и на секторе који су највише погођени последицама Ковид-19. </w:t>
      </w:r>
    </w:p>
    <w:p w:rsidR="00E8309B" w:rsidRDefault="009D0949">
      <w:pPr>
        <w:ind w:left="-5" w:right="17"/>
      </w:pPr>
      <w:r>
        <w:t>Структурна реформа у области запошљавања из ЕРП 2019. која се односила на повећање р</w:t>
      </w:r>
      <w:r>
        <w:t>адне активације није пренета у ЕРП 2020. јер су, како је образложено, у питању биле редовне активности МРЗБСП; ипак, тада је формулисана реформа која се односи на усвајање нове стратегије запошљавања, што такође спада у редовну активност МРЗБСП. Сада ни те</w:t>
      </w:r>
      <w:r>
        <w:t xml:space="preserve"> реформе нема на широј листи структурних реформи, да би једина реформа у овој области остала реформа из прошлог ЕРП која се односи на циркуларне и економске миграције, са фокусом на дијаспору, путем развоја система за прикупљање података и пружања пореских</w:t>
      </w:r>
      <w:r>
        <w:t xml:space="preserve"> подстицаја. У реформи у области запошљавања није узет у обзир Ковид-19 контекст који је погодио велики број радно ангажованих, нарочито младих на несигурним пословима, и то посебно жене. То изричито стоји у смерницама: „2023 Economic and Reform Programmes</w:t>
      </w:r>
      <w:r>
        <w:t xml:space="preserve"> will have to focus on the post Covid-19 recovery. Поред тога, смернице говоре о томе да структурне реформе треба да се односе на „најважније структурне препреке и тиме подрже опоравак после епидемије Ковид-</w:t>
      </w:r>
    </w:p>
    <w:p w:rsidR="00E8309B" w:rsidRDefault="00E8309B">
      <w:pPr>
        <w:sectPr w:rsidR="00E8309B">
          <w:headerReference w:type="even" r:id="rId257"/>
          <w:headerReference w:type="default" r:id="rId258"/>
          <w:footerReference w:type="even" r:id="rId259"/>
          <w:footerReference w:type="default" r:id="rId260"/>
          <w:headerReference w:type="first" r:id="rId261"/>
          <w:footerReference w:type="first" r:id="rId262"/>
          <w:pgSz w:w="11906" w:h="16838"/>
          <w:pgMar w:top="1195" w:right="1132" w:bottom="1280" w:left="1138" w:header="1147" w:footer="725" w:gutter="0"/>
          <w:cols w:space="720"/>
        </w:sectPr>
      </w:pPr>
    </w:p>
    <w:p w:rsidR="00E8309B" w:rsidRDefault="009D0949">
      <w:pPr>
        <w:ind w:left="-5" w:right="17"/>
      </w:pPr>
      <w:r>
        <w:t>19“. Једина предложена реформа у овој области не садржи ни циљ ни „кључну препреку за конкурентност и инклузивни раст“ на коју одговара, како то смернице предвиђају, као ни допринос</w:t>
      </w:r>
      <w:r>
        <w:t xml:space="preserve"> Циљевима одрживог развоја. На крају, овом реформом се не одговара ни на инструкцију из смерница која се односи на област запошљавања: „Public policies to promote quality employment, equal opportunities and access to the labour market and fair working cond</w:t>
      </w:r>
      <w:r>
        <w:t xml:space="preserve">itions will be covered and this sub-section.”  </w:t>
      </w:r>
    </w:p>
    <w:p w:rsidR="00E8309B" w:rsidRDefault="009D0949">
      <w:pPr>
        <w:ind w:left="-5" w:right="17"/>
      </w:pPr>
      <w:r>
        <w:t>Такође, нису узете у обзир оцене: „Тhe fact that a relative low proportion of young people and women are integrated in the labour market continues to be the key labour market challenge“, „There were no measur</w:t>
      </w:r>
      <w:r>
        <w:t>es on the formalisation of labour in non-agricultural sectors and the funding for Active Labour Market Policies was not increased“ и „Serbia is considering bringing in the Youth Guarantee (YG), which has proven to be an effective remedy to youth unemployme</w:t>
      </w:r>
      <w:r>
        <w:t>nt in the European Union. The YG provides a framework for tackling youth unemployment and inactivity and guarantees every young person below 25 years old a good quality offer of employment, continued education, apprenticeship or traineeship within a period</w:t>
      </w:r>
      <w:r>
        <w:t xml:space="preserve"> of four months of becoming unemployed or leaving formal education. To function properly, the Youth Guarantee needs to be supported by effective hiring incentives and be based on strengthened public employment services, which provide career guidance, inter</w:t>
      </w:r>
      <w:r>
        <w:t>nships and structural reforms. It is included in the ERP as Reform Measure 20 (National Employment Policy Improvement in line with EU good practice and standards)“. У овој области занемарене су и препоруке из Закључака ЕКОФИН - „Extend social protection co</w:t>
      </w:r>
      <w:r>
        <w:t>verage and provide incentives for businesses and employees in the informal economy sector to register and to facilitate their transfer to the formal economy“ и „Take measures to preserve employment including through short-time work schemes and ensure incre</w:t>
      </w:r>
      <w:r>
        <w:t xml:space="preserve">ased provision of effective active labour market policies to the unemployed“. </w:t>
      </w:r>
    </w:p>
    <w:p w:rsidR="00E8309B" w:rsidRDefault="009D0949">
      <w:pPr>
        <w:spacing w:after="158"/>
        <w:ind w:left="-5" w:right="17"/>
      </w:pPr>
      <w:r>
        <w:t xml:space="preserve">Имајући све ово у виду, предлог је да се формулише нова структурна реформа која би се односина на увођење тзв. Гаранција за (Youth Guarantee), </w:t>
      </w:r>
      <w:hyperlink r:id="rId263">
        <w:r>
          <w:t xml:space="preserve">по угледу на ЕРП Северне </w:t>
        </w:r>
      </w:hyperlink>
      <w:hyperlink r:id="rId264">
        <w:r>
          <w:t>Македоније,</w:t>
        </w:r>
      </w:hyperlink>
      <w:r>
        <w:t xml:space="preserve">  и на линији предлога садржаног </w:t>
      </w:r>
      <w:hyperlink r:id="rId265">
        <w:r>
          <w:t>у инвестиционом пакету за Западни Балкан</w:t>
        </w:r>
      </w:hyperlink>
      <w:hyperlink r:id="rId266">
        <w:r>
          <w:t>.</w:t>
        </w:r>
      </w:hyperlink>
      <w:r>
        <w:t xml:space="preserve"> Фокус треба да буде на повећању формуле запослености и на рањивим категоријама (ромска популација, жене, рурално становништво) и секторима (туризам, угоститељство, грађевинарство, управљање отпадом итд. И </w:t>
      </w:r>
      <w:r>
        <w:t xml:space="preserve">да буде у вези са СР 12 „Увођење концепта циркуларне економије“.  </w:t>
      </w:r>
    </w:p>
    <w:p w:rsidR="00E8309B" w:rsidRDefault="009D0949">
      <w:pPr>
        <w:spacing w:after="79" w:line="271" w:lineRule="auto"/>
        <w:ind w:left="-5" w:right="9"/>
      </w:pPr>
      <w:r>
        <w:rPr>
          <w:b/>
        </w:rPr>
        <w:t xml:space="preserve">Одговор представника Радне групе за израду и праћење ЕРП: </w:t>
      </w:r>
    </w:p>
    <w:p w:rsidR="00E8309B" w:rsidRDefault="009D0949">
      <w:pPr>
        <w:ind w:left="-5" w:right="17"/>
      </w:pPr>
      <w:r>
        <w:t>Имајући у виду да су Министарство и Тачка повратка заједнички допринели раду на структурној реформи 22: „Унапређење амбијента за подстицање, подршку и праћење циркуларних и економских миграција“ користимо прилику да заједнички пружимо одговор цивилном друш</w:t>
      </w:r>
      <w:r>
        <w:t xml:space="preserve">тву на коментаре искључиво везане за наведену меру.  </w:t>
      </w:r>
    </w:p>
    <w:p w:rsidR="00E8309B" w:rsidRDefault="009D0949">
      <w:pPr>
        <w:spacing w:after="6"/>
        <w:ind w:left="-5" w:right="17"/>
      </w:pPr>
      <w:r>
        <w:t>Поводом коментара датог на Структурну реформу 22, да овако постављена реформа уопште не уважава контекст Ковид-19 а, те да није испоштована ни препорука Европске комисије која је дала оцену да је у пита</w:t>
      </w:r>
      <w:r>
        <w:t>њу добра мера али подстиче запошљавање само мањег броја људи, сматрамо да ова реформа, уважава промене на светском тржишту рада и у традиционалном радном окружењу, које су настале управо услед пандемије изазване вирусом Ковид-19. Наиме, пандемија је утицал</w:t>
      </w:r>
      <w:r>
        <w:t>а на одлуку великог броја наших грађана да се врате у Србију, чиме се појавила још већа потреба за праћењем циркуларних и економских миграција, а што је и наведено и самим Нацртом Програма економских реформи за период 2021-2023. године. Поред унапређења ка</w:t>
      </w:r>
      <w:r>
        <w:t>пацитета за праћење циркуларних и економских миграција, предложена реформа има проактиван приступ према дијаспори, као и страним држављанима, како би унапредила административни оквир и имплементирала програме који ће имати за циљ привлачење дефицитарних ка</w:t>
      </w:r>
      <w:r>
        <w:t xml:space="preserve">дрова из иностранства. Искуство програма Тачка повратка у 2020. години је показало повећано интересовање за повратак људи из дијаспоре због несигурности проузроковане пандемијом и због тога је од великог значаја да се у кратком року пружи директна подршка </w:t>
      </w:r>
      <w:r>
        <w:t xml:space="preserve">и подстицај људима из дијаспоре да се врате у Србију. На тај начин се пружа подршка преносу знања и капитала из иностранства као и подршка привреди у Србији кроз обезбеђивање дефицитарних кадрова.  </w:t>
      </w:r>
    </w:p>
    <w:p w:rsidR="00E8309B" w:rsidRDefault="009D0949">
      <w:pPr>
        <w:ind w:left="-5" w:right="17"/>
      </w:pPr>
      <w:r>
        <w:t>С друге стране, истиче се и да како је Република Србија у</w:t>
      </w:r>
      <w:r>
        <w:t xml:space="preserve"> дефициту са кадровима, то ће се спровођењем реформе радити на привлачењу појединаца који, осим својим знањима и искуству, могу допринети и развоју тржишта. Дакле, фокус је на дефицитарним занимањима у Србији, који обухватају не само високе технологије и в</w:t>
      </w:r>
      <w:r>
        <w:t xml:space="preserve">исокоспецијализоване индустрије, већ и друга дефицитарна занимања.  </w:t>
      </w:r>
    </w:p>
    <w:p w:rsidR="00E8309B" w:rsidRDefault="009D0949">
      <w:pPr>
        <w:ind w:left="-5" w:right="17"/>
      </w:pPr>
      <w:r>
        <w:t>Истовремено напомињемо да се свакако активно ради на унапређењу положаја грађана, те чињеница да се неке активности не налазе на листи структурних реформи, не значи да се оне и не спровод</w:t>
      </w:r>
      <w:r>
        <w:t>е. Имајући у виду захтеве Европске комисије по питању броја структурних реформи, није било могуће уврстити све активности Министарства у нацрт Програма. Имајући у виду почетак примене Акционог плана за спровођење Стратегије за економске миграције за период</w:t>
      </w:r>
      <w:r>
        <w:t xml:space="preserve"> 2021-2027 од посебног је значаја пружити подршку предложеним активностима кроз уврштавање у једну од мера Програма економских реформи за период од 2021-2023. године. Након што спровођење Акционог плана буде успешно започето, могуће је размотрити да се у н</w:t>
      </w:r>
      <w:r>
        <w:t xml:space="preserve">аредном издању Програма економских реформи 2022-2024 наведене активности подведу под редовне активности Министарства као и да створе простор за кандидовање додатних тема од посебног значаја у области запошљавања. </w:t>
      </w:r>
    </w:p>
    <w:p w:rsidR="00E8309B" w:rsidRDefault="009D0949">
      <w:pPr>
        <w:ind w:left="-5" w:right="17"/>
      </w:pPr>
      <w:r>
        <w:t>Програм „Гаранција за младеˮ који се спров</w:t>
      </w:r>
      <w:r>
        <w:t xml:space="preserve">оди у државама чланицама ЕУ, пример је интервенције у оквиру које се младима који су неактивни и незапослени приступа кроз сарадњу различитих сектора и социјалних партнера, укључујући и организације цивилног друштва, а у циљу дугорочно одрживе интеграције </w:t>
      </w:r>
      <w:r>
        <w:t xml:space="preserve">на тржиште рада.  </w:t>
      </w:r>
    </w:p>
    <w:p w:rsidR="00E8309B" w:rsidRDefault="009D0949">
      <w:pPr>
        <w:ind w:left="-5" w:right="17"/>
      </w:pPr>
      <w:r>
        <w:t xml:space="preserve">„Гаранцијa за младеˮ подразумева да млади до 25 година старости добијају понуду за посао, наставак образовања, праксу или обуку у периоду од 4 месеца од уласка у статус незапослености или напуштања, односно завршетка формалног образовања.  </w:t>
      </w:r>
    </w:p>
    <w:p w:rsidR="00E8309B" w:rsidRDefault="009D0949">
      <w:pPr>
        <w:ind w:left="-5" w:right="17"/>
      </w:pPr>
      <w:r>
        <w:t>Овај програм за</w:t>
      </w:r>
      <w:r>
        <w:t>хтева стабилан систем за координацију политика, и то нарочито између институција задужених за образовање, запошљавање, социјалну заштиту и политика за младе, затим механизам за управљање који треба да усмерава активности на националном и локалном нивоу, ка</w:t>
      </w:r>
      <w:r>
        <w:t xml:space="preserve">о и опредељење надлежних институција да се спроведу неопходне структурне реформе и коначно, значајне људске и финансијске ресурсе.  </w:t>
      </w:r>
    </w:p>
    <w:p w:rsidR="00E8309B" w:rsidRDefault="009D0949">
      <w:pPr>
        <w:ind w:left="-5" w:right="17"/>
      </w:pPr>
      <w:r>
        <w:t>Такође, с обзиром да Гаранција за младе подразумева да се младој особи пружи квалитетна понуда у року од 4 месеца од уласка</w:t>
      </w:r>
      <w:r>
        <w:t xml:space="preserve"> у статус незапослености, неопходно је да Национална служба за запошљавање располаже довољним средствима за мере активне политике запошљавања како би се омогућило да мере буду доступне током целе године, односно, са довољним бројем квалитетних слободних по</w:t>
      </w:r>
      <w:r>
        <w:t xml:space="preserve">слова на које се млади упућују.  </w:t>
      </w:r>
    </w:p>
    <w:p w:rsidR="00E8309B" w:rsidRDefault="009D0949">
      <w:pPr>
        <w:ind w:left="-5" w:right="17"/>
      </w:pPr>
      <w:r>
        <w:t xml:space="preserve">Имајући у виду наведено,  Министарство за рад, запошљавање, борачка и социјална питања затражило је од Међународне организације рада израду анализе о процени изводљивости имплементације овог програма у Републици Србији. </w:t>
      </w:r>
    </w:p>
    <w:p w:rsidR="00E8309B" w:rsidRDefault="009D0949">
      <w:pPr>
        <w:spacing w:after="1"/>
        <w:ind w:left="-5" w:right="17"/>
      </w:pPr>
      <w:r>
        <w:t>Н</w:t>
      </w:r>
      <w:r>
        <w:t>алази анализе „Процена изводљивости увођења Гаранције за младе у Србијиˮ (МОР, децембар 2020.), сагледавајући постојеће административне капацитете, указују да министарство надлежно за послове запошљавања и НСЗ, нису у овом тренутку у могућности да делотвор</w:t>
      </w:r>
      <w:r>
        <w:t>но управљају овако сложеним оквиром запошљавања младих. Стога је препорука МОР да се прво ради на организационим и административним изазовима који утичу на капацитете обе институције, а након тога да се интервенција пилотира у највише три филијале НСЗ, али</w:t>
      </w:r>
      <w:r>
        <w:t xml:space="preserve"> само за поједине елементе Гаранције за младе, као што су мере досезања и активације младих који су пасивни, а желе и могу да раде (outreach), а која може да се спроводи у сарадњи са организацијама цивилног друштва.  Млади који би се на овај начин пријавил</w:t>
      </w:r>
      <w:r>
        <w:t>и на евиденцију незапослених лица, добили би у НСЗ понуду за посао или за учешће у мери АПЗ. Такође, било би корисно да се у сврху пилотирања уведе систем за профилисање заснован на подацима, а оквир праћења прилагоди тако да мери директно пружање услуга (</w:t>
      </w:r>
      <w:r>
        <w:t xml:space="preserve">улаз и излаз из програма) и ситуацију корисника након 6, 12 и 18 месеци. Овакво пилотирање би такође омогућило прецизнију процену трошкова увођења комплетне Гаранције за младе. </w:t>
      </w:r>
    </w:p>
    <w:p w:rsidR="00E8309B" w:rsidRDefault="009D0949">
      <w:pPr>
        <w:ind w:left="-5" w:right="17"/>
      </w:pPr>
      <w:r>
        <w:t>Како би Србија могла да уведе елементе овог програма неопходно је да се претхо</w:t>
      </w:r>
      <w:r>
        <w:t>дно учине напори и испуне одређени предуслови са посебним акцентом на већа финансијска издавајања (у буџету РС и кроз друге изворе финансирања будући да Србија нема могућност коришћења средстава Европског социјалног фонда), оснаживање капацитета министарст</w:t>
      </w:r>
      <w:r>
        <w:t xml:space="preserve">ва надлежног за послове запошљавања као и Националне службе за запошљавање. </w:t>
      </w:r>
    </w:p>
    <w:p w:rsidR="00E8309B" w:rsidRDefault="009D0949">
      <w:pPr>
        <w:ind w:left="-5" w:right="17"/>
      </w:pPr>
      <w:r>
        <w:t>Поводом навода „Фокус треба да буде на повећању формуле запослености и на рањивим категоријама (ромска популација, жене, рурално становништво) и секторима (туризам, угоститељство,</w:t>
      </w:r>
      <w:r>
        <w:t xml:space="preserve"> грађевинарство, управљање отпадом итд.) и да буде у вези са СР 12 „Увођење концепта циркуларне економије“, указујемо да је Министарство за рад, запошљавање, борачка и социјална питања у процесу израде Стратегије запошљавања у Републици Србији за период од</w:t>
      </w:r>
      <w:r>
        <w:t xml:space="preserve"> 2021. до 2026. године у којој ће значајно место имати мере и активности у циљу повећања исплативости и квалитета рада, као и унапређења положаја теже запошљивих категорија незапослених лица на тржишту рада. </w:t>
      </w:r>
    </w:p>
    <w:p w:rsidR="00E8309B" w:rsidRDefault="009D0949">
      <w:pPr>
        <w:spacing w:after="156"/>
        <w:ind w:left="-5" w:right="17"/>
      </w:pPr>
      <w:r>
        <w:t>Захвални смо Националном конвенту о Европској у</w:t>
      </w:r>
      <w:r>
        <w:t>нији на коментарима на наведену структурну реформу и стојимо на располагању за сва додатна појашњења цивилном сектору како бисмо произвели квалитетнија стратешка документа и предлоге јавних политика у циљну унапређења економске и социјалне ситуације у Срби</w:t>
      </w:r>
      <w:r>
        <w:t xml:space="preserve">ји. </w:t>
      </w:r>
    </w:p>
    <w:p w:rsidR="00E8309B" w:rsidRDefault="009D0949">
      <w:pPr>
        <w:spacing w:after="0" w:line="386" w:lineRule="auto"/>
        <w:ind w:left="-5" w:right="9"/>
      </w:pPr>
      <w:r>
        <w:rPr>
          <w:b/>
        </w:rPr>
        <w:t xml:space="preserve">СР 23: Унапређење адекватности, квалитета и таргетираности мера социјалне заштите Коментар Међусекторске радне групе НКЕУ: </w:t>
      </w:r>
    </w:p>
    <w:p w:rsidR="00E8309B" w:rsidRDefault="009D0949">
      <w:pPr>
        <w:ind w:left="-5" w:right="17"/>
      </w:pPr>
      <w:r>
        <w:t>Из године у годину је структурна реформа које се бави социјалном заштитом имала компоненту повећања обухвата и висине издвајања</w:t>
      </w:r>
      <w:r>
        <w:t xml:space="preserve"> за социјалну заштиту. Међутим оно што је тренутно актуелно у овој структурној реформи је само увођење ИТ система – Социјалне карте. Иако увођење оваквог система може да буде предуслов, ова активност нема структурне везе са оним што се десило ове године са</w:t>
      </w:r>
      <w:r>
        <w:t xml:space="preserve"> пандемијом и препоруком да треба пажљиво пратити утицај епидемије на осетљиве групе. Такође, неопходно је проширити предложену структурну реформу, тако што ће јој бити враћена компонента која се тиче повећања обухвата и адекватности новчаних давања. </w:t>
      </w:r>
    </w:p>
    <w:p w:rsidR="00E8309B" w:rsidRDefault="009D0949">
      <w:pPr>
        <w:ind w:left="-5" w:right="17"/>
      </w:pPr>
      <w:r>
        <w:t>Стру</w:t>
      </w:r>
      <w:r>
        <w:t>ктурна реформа у овој области из ЕРП 2019. која се односила на унапређење адекватности, квалитета и таргетираности мера социјалне заштите и која је садржала као активности усвајање закона о социјалној карти (ради увођења јединственог информационог система)</w:t>
      </w:r>
      <w:r>
        <w:t xml:space="preserve"> и новог закона о социјалној заштити (ради унапређења обухвата корисника новчане социјалне помоћи) само је делимично пренета у ЕРП 2020., и то у делу који се односи на успостављање регистра „Социјална карта“. Ова реформа је предложена и за нови ЕРП.  </w:t>
      </w:r>
    </w:p>
    <w:p w:rsidR="00E8309B" w:rsidRDefault="009D0949">
      <w:pPr>
        <w:ind w:left="-5" w:right="17"/>
      </w:pPr>
      <w:r>
        <w:t xml:space="preserve">Као </w:t>
      </w:r>
      <w:r>
        <w:t xml:space="preserve">ни у случају области запошљавања, прелиминарни списак ЕРП реформи није узео у обзир контекст Ковид-19 који је истакнут у ЕРП смерницама. Поред тога, ниједна од предложених реформи не одговара на адекватан начин на инструкције из смерница које се односе на </w:t>
      </w:r>
      <w:r>
        <w:t>ову област: реформа у области социјалне заштите занемарује решавање неједнакости и сиромаштва, док реформа у области здравствене заштите занемарује унапређење приступа здравственим услугама и нову инструкцију додату у светлу Ковид-19 кризе: „This section s</w:t>
      </w:r>
      <w:r>
        <w:t xml:space="preserve">hould provide an assessment and include the relevant reform measures related to the universality of health insurance, and the accessibility, adequacy and affordability of healthcare services, as well as the sustainability of its financing“.  </w:t>
      </w:r>
    </w:p>
    <w:p w:rsidR="00E8309B" w:rsidRDefault="009D0949">
      <w:pPr>
        <w:spacing w:after="70"/>
        <w:ind w:left="-5" w:right="17"/>
      </w:pPr>
      <w:r>
        <w:t xml:space="preserve">Нису узете у </w:t>
      </w:r>
      <w:r>
        <w:t>обзир оцене, из ERP assessment, да Србија не само што заостаје за просеком ЕУ, већ се и стање погоршава по питању: родног јаза у запослености, утицаја социјалних трансфера на смањење сиромаштва и самопријављених незадовољених потреба за здравственом негом.</w:t>
      </w:r>
      <w:r>
        <w:t xml:space="preserve"> Такође, није узета у обзир ни препорука „more attention needs to be paid to fields that are less dependent on the level of national income, such as gender equality and inequality“, као ни из закључака ЕКОФИН: „Step up social transfers to ensure adequate i</w:t>
      </w:r>
      <w:r>
        <w:t xml:space="preserve">ncome support for people at risk of poverty and social exclusion“ i „Ensure adequate and sustainable funding to strengthen the health care sector with an aim to improve access to quality public health care for all citizens“. </w:t>
      </w:r>
    </w:p>
    <w:p w:rsidR="00E8309B" w:rsidRDefault="009D0949">
      <w:pPr>
        <w:spacing w:after="159"/>
        <w:ind w:left="-5" w:right="17"/>
      </w:pPr>
      <w:r>
        <w:t>Имајући то у виду, потребно је проширити ову и предложену СР 24 (Дигитализација здравственог система) и то тако што ће реформи која се односи на социјалну заштиту бити враћена компонента која се тиче повећања обухвата и адекватности новчаних давања, а рефо</w:t>
      </w:r>
      <w:r>
        <w:t xml:space="preserve">рми која се односи на здравствену заштиту придодата компонента која се односи на смањење неједнакости приступу здравственој заштити, нарочито у светлу последица епидемоје Ковид-19.   </w:t>
      </w:r>
    </w:p>
    <w:p w:rsidR="00E8309B" w:rsidRDefault="009D0949">
      <w:pPr>
        <w:spacing w:after="79" w:line="271" w:lineRule="auto"/>
        <w:ind w:left="-5" w:right="9"/>
      </w:pPr>
      <w:r>
        <w:rPr>
          <w:b/>
        </w:rPr>
        <w:t xml:space="preserve">Одговор представника Радне групе за израду и праћење ЕРП: </w:t>
      </w:r>
    </w:p>
    <w:p w:rsidR="00E8309B" w:rsidRDefault="009D0949">
      <w:pPr>
        <w:ind w:left="-5" w:right="17"/>
      </w:pPr>
      <w:r>
        <w:t>Захваљујемо п</w:t>
      </w:r>
      <w:r>
        <w:t>редставницима цивилног друштва на достављеним коментарима и предлозима али се не бисмо сложили са ставом НКЕУ да увођење Регистра Социјална карта ''нема структурне везе са оним што се десило ове године са пандемијом и препоруком да треба пажљиво пратити ут</w:t>
      </w:r>
      <w:r>
        <w:t>ицај епидемије на осетљиве групе'' из разлога што ће и Регистар СК и Систем за заштиту и аутоматизацију инструмената социјалне заштите подржати социјални скрининг за потребе управљања периодом након пандемије и проналажење најугроженијих појединаца посебно</w:t>
      </w:r>
      <w:r>
        <w:t xml:space="preserve"> у погледу незапослености.  </w:t>
      </w:r>
    </w:p>
    <w:p w:rsidR="00E8309B" w:rsidRDefault="009D0949">
      <w:pPr>
        <w:ind w:left="-5" w:right="17"/>
      </w:pPr>
      <w:r>
        <w:t xml:space="preserve">Не бисмо се сложили ни са ставом да ''реформа у области социјалне заштите занемарује решавање неједнакости и сиромаштва'' с обзиром да је њен превасходни циљ праведнија расподела социјалне помоћи као и брже реаговање у случају </w:t>
      </w:r>
      <w:r>
        <w:t xml:space="preserve">промена у подацима који утичу на социјално-економски статус и превенција сиромаштва.  </w:t>
      </w:r>
    </w:p>
    <w:p w:rsidR="00E8309B" w:rsidRDefault="009D0949">
      <w:pPr>
        <w:spacing w:after="153"/>
        <w:ind w:left="-5" w:right="17"/>
      </w:pPr>
      <w:r>
        <w:t>Предлог да се „у ЕРП врати компонента која се тиче повећања обухвата и адекватности новчаних давања“, која је била саставни део ЕРП 2019-2021, је као област још увек акт</w:t>
      </w:r>
      <w:r>
        <w:t>уелна. Посебан изазов, међутим, представља испуњавање планираних активности уз ограниченост финансијских средстава и буџет који је опредељен за социјалну заштиту, и из којег би се финансирала унапређена адекватност новчаних давања. У току 2020. године дина</w:t>
      </w:r>
      <w:r>
        <w:t>мика исплате права на социјална давања из буџета Републике Србије била је таква да су опредељена средства Законом о буџету Републике Србије за 2020. ревидирана најпре Законом о изменама и допунама Закона о буџету Републике Србије за 2020. годину када је ум</w:t>
      </w:r>
      <w:r>
        <w:t xml:space="preserve">ањен износ средстава за наведене намене, док је  Законом о буџету Републике Србије за 2021. годину за социјална давања опредељена су средства у већем износу у односу на претходну годину за око 4,5%. </w:t>
      </w:r>
    </w:p>
    <w:p w:rsidR="00E8309B" w:rsidRDefault="009D0949">
      <w:pPr>
        <w:spacing w:after="135" w:line="271" w:lineRule="auto"/>
        <w:ind w:left="-5" w:right="9"/>
      </w:pPr>
      <w:r>
        <w:rPr>
          <w:b/>
        </w:rPr>
        <w:t xml:space="preserve">СР 24: Дигитализација здравственог система </w:t>
      </w:r>
    </w:p>
    <w:p w:rsidR="00E8309B" w:rsidRDefault="009D0949">
      <w:pPr>
        <w:spacing w:after="79" w:line="271" w:lineRule="auto"/>
        <w:ind w:left="-5" w:right="9"/>
      </w:pPr>
      <w:r>
        <w:rPr>
          <w:b/>
        </w:rPr>
        <w:t>Коментар Међ</w:t>
      </w:r>
      <w:r>
        <w:rPr>
          <w:b/>
        </w:rPr>
        <w:t xml:space="preserve">усекторске радне групе НКЕУ: </w:t>
      </w:r>
    </w:p>
    <w:p w:rsidR="00E8309B" w:rsidRDefault="009D0949">
      <w:pPr>
        <w:spacing w:after="91"/>
        <w:ind w:left="-5" w:right="17"/>
      </w:pPr>
      <w:r>
        <w:t>Увођење структурне реформе која се бави темом здравственог система је оцењена као позитивна новина у предлогу структурних реформи посебно у светлу догађаја везаних за Ковид-19. Међутим, идентификовано је и доста проблема са ов</w:t>
      </w:r>
      <w:r>
        <w:t>ом структурном реформом које треба адресирати пре него што њена имплементација започне. Пре свега, реформа је доста уопштено објашњена без јасне економске политике која ће се водити по овом питању сем дигитализације која сама по себи неће успети да реши на</w:t>
      </w:r>
      <w:r>
        <w:t>гомилане проблеме које муче овај сектор. У првом реду увођењем централизованог система у здравственом систему нису узете у обзир неке структурне препреке као што је одлив стручне радне снаге, неразвијеност локалних услуга за ментално здравље – посебно битн</w:t>
      </w:r>
      <w:r>
        <w:t>ог аспекта у данашње време, потреба да се смањи неједнакост у приступу здравственој заштити, итд. Због свега тога је потребно огромна промена у дизајну саме структурне реформе јер су потребна велика улагања у овај сектор и смањење неједнакости у приступу з</w:t>
      </w:r>
      <w:r>
        <w:t xml:space="preserve">дравственој заштити, нарочито у светлу последица Ковид-19.  </w:t>
      </w:r>
    </w:p>
    <w:p w:rsidR="00E8309B" w:rsidRDefault="009D0949">
      <w:pPr>
        <w:ind w:left="-5" w:right="17"/>
      </w:pPr>
      <w:r>
        <w:rPr>
          <w:b/>
        </w:rPr>
        <w:t xml:space="preserve">Одговор: </w:t>
      </w:r>
      <w:r>
        <w:t xml:space="preserve">Предлози ће бити разматрани од стране ЕРП РГ у наредном циклусу. </w:t>
      </w:r>
    </w:p>
    <w:p w:rsidR="00E8309B" w:rsidRDefault="009D0949">
      <w:pPr>
        <w:spacing w:after="0" w:line="259" w:lineRule="auto"/>
        <w:ind w:left="0" w:right="0" w:firstLine="0"/>
        <w:jc w:val="left"/>
      </w:pPr>
      <w:r>
        <w:t xml:space="preserve"> </w:t>
      </w:r>
    </w:p>
    <w:p w:rsidR="00E8309B" w:rsidRDefault="009D0949">
      <w:pPr>
        <w:shd w:val="clear" w:color="auto" w:fill="D9D9D9"/>
        <w:spacing w:after="330" w:line="246" w:lineRule="auto"/>
        <w:ind w:left="-5" w:right="-12"/>
        <w:jc w:val="left"/>
      </w:pPr>
      <w:r>
        <w:rPr>
          <w:b/>
        </w:rPr>
        <w:t>Коментари заинтересованих страна на нацрт ЕРП 2021-2023 децембар 2020 – јануар 2021. године</w:t>
      </w:r>
      <w:r>
        <w:rPr>
          <w:b/>
          <w:vertAlign w:val="superscript"/>
        </w:rPr>
        <w:footnoteReference w:id="90"/>
      </w:r>
      <w:r>
        <w:rPr>
          <w:b/>
        </w:rPr>
        <w:t xml:space="preserve"> </w:t>
      </w:r>
    </w:p>
    <w:p w:rsidR="00E8309B" w:rsidRDefault="009D0949">
      <w:pPr>
        <w:spacing w:after="79" w:line="271" w:lineRule="auto"/>
        <w:ind w:left="-5" w:right="9"/>
      </w:pPr>
      <w:r>
        <w:rPr>
          <w:b/>
        </w:rPr>
        <w:t>Коментари МС РГ НКЕУ  Ко</w:t>
      </w:r>
      <w:r>
        <w:rPr>
          <w:b/>
        </w:rPr>
        <w:t xml:space="preserve">ментари НКЕУ на поглавља ЕРП од 1 до 5  </w:t>
      </w:r>
    </w:p>
    <w:p w:rsidR="00E8309B" w:rsidRDefault="009D0949">
      <w:pPr>
        <w:spacing w:after="87"/>
        <w:ind w:left="-5" w:right="17"/>
      </w:pPr>
      <w:r>
        <w:t>Оцењује се да су приказани подаци у ЕРП реалистични, а основни циљеви пакета економских мера у борби против Ковида-19 само делимично испуњени, јер ликвидност привреде и пре кризе није била на завидном нивоу. Процењу</w:t>
      </w:r>
      <w:r>
        <w:t>је се да је макреоекономски одговор на пандемију конципиран на предпоставци да ће пандемија бити завршена до краја 2020. године, те се оцењује да је обимна економска подршка привреди могла да потраје дуже и дели се селективније, као и да су се фискалне мер</w:t>
      </w:r>
      <w:r>
        <w:t>е могле више ослањати на манипулацију приходном страном буџета. С тим у вези констатује се да ће у 2021. години бити изазов одржати макроекономску стабилност. У сфери социјалне заштите указано је на кашњење у реализацији социјалних карата. Као посебни ризи</w:t>
      </w:r>
      <w:r>
        <w:t>к истиче се реформа јавних предузећа, те указује на значај Групе за праћење фискалних ризика везаних за пословање јавног сектора у МФ у овој области. Посебно интересовање изражено је за процењени раст БДП-а и јавног дуга, индикаторе фискалне одрживости, ме</w:t>
      </w:r>
      <w:r>
        <w:t xml:space="preserve">ханизам увођења примарних дилера на домаће тржиште капитала, годишњи финансијски резултат консолидованог сектора јавних предузећа за 2020, и процедуру за верификацију и праћење капиталних инвестиција.  </w:t>
      </w:r>
    </w:p>
    <w:p w:rsidR="00E8309B" w:rsidRDefault="009D0949">
      <w:pPr>
        <w:spacing w:after="66" w:line="254" w:lineRule="auto"/>
        <w:ind w:left="-5" w:right="-6"/>
      </w:pPr>
      <w:r>
        <w:rPr>
          <w:b/>
        </w:rPr>
        <w:t xml:space="preserve">Одговор: </w:t>
      </w:r>
      <w:r>
        <w:rPr>
          <w:color w:val="212121"/>
        </w:rPr>
        <w:t>Република Србија је 2020. годину завршила са учешћем јавног дуга у БДП-у (56,8% на централном нивоу власти према прелиминарним подацима) испод првобитно прокјектованог нивоа (57,9%). До почетка пандемије изаване вирусом Ковид-19, захваљујући мерама фискалн</w:t>
      </w:r>
      <w:r>
        <w:rPr>
          <w:color w:val="212121"/>
        </w:rPr>
        <w:t>е консолидације од 2015. године присутан је тренд константног пада учешћа јавног дуга у БДП-у. Пандемија је захтевала адекватан одговор који није изостао, што је подразумевало обезбеђивање додатних финансијска средства која су била неопходна за финансирање</w:t>
      </w:r>
      <w:r>
        <w:rPr>
          <w:color w:val="212121"/>
        </w:rPr>
        <w:t xml:space="preserve"> мера подршке привреди и грађанима. Упркос томе, Република Србија је успела да се нађе међу земљама са најмањим растом учешћа јавног дуга у БДП-у у Европи током 2020. године, а истовремено буде најуспешнија што се тиче економског раста. Макроекономска стаб</w:t>
      </w:r>
      <w:r>
        <w:rPr>
          <w:color w:val="212121"/>
        </w:rPr>
        <w:t>илност је кључна и Република Србија има спреман одговор и на изазове у 2021. години, као што је успела да пронађе идеалан баланс мера које је било потребно предузети током 2020. години како би јавни дуг остао на одрживом нивоу, уз истовремено подстицање ек</w:t>
      </w:r>
      <w:r>
        <w:rPr>
          <w:color w:val="212121"/>
        </w:rPr>
        <w:t>ономске активности.</w:t>
      </w:r>
      <w:r>
        <w:rPr>
          <w:rFonts w:ascii="Segoe UI" w:eastAsia="Segoe UI" w:hAnsi="Segoe UI" w:cs="Segoe UI"/>
          <w:color w:val="212121"/>
        </w:rPr>
        <w:t xml:space="preserve"> </w:t>
      </w:r>
    </w:p>
    <w:p w:rsidR="00E8309B" w:rsidRDefault="009D0949">
      <w:pPr>
        <w:spacing w:after="148" w:line="254" w:lineRule="auto"/>
        <w:ind w:left="-5" w:right="-6"/>
      </w:pPr>
      <w:r>
        <w:rPr>
          <w:color w:val="212121"/>
        </w:rPr>
        <w:t>Пилот пројекат продаје државних обвезница путем примарних дилера је у припреми. Међутим, процењено је да није адекватан тренутак да се крене са његовом реализацијом. Република Србија ће кренути са његовом реализацијом када се створе св</w:t>
      </w:r>
      <w:r>
        <w:rPr>
          <w:color w:val="212121"/>
        </w:rPr>
        <w:t xml:space="preserve">и неопходни предуслови да се он одвија у уобичајеним околностима, како би могли да се сагледају прави ефекти пројекта, без утицаја тренутних фактора изазваних пандемијом. </w:t>
      </w:r>
    </w:p>
    <w:p w:rsidR="00E8309B" w:rsidRDefault="009D0949">
      <w:pPr>
        <w:spacing w:after="104"/>
        <w:ind w:left="-5" w:right="17"/>
      </w:pPr>
      <w:r>
        <w:t>Сектор за праћење фискалних ризика Министарства финансија врши анализу фискалних риз</w:t>
      </w:r>
      <w:r>
        <w:t>ика који произилазе из пословања републичких јавних предузећа, затим, привредних друштава која обављају делатност од општег интереса и осталих државних предузећа, преко годишњих програма пословања, програма развоја, тромесечних извештаја о пословању, финан</w:t>
      </w:r>
      <w:r>
        <w:t>сијских извештаја, извештаја о извршеној ревизији. Такође, Сектор за праћење фискалних ризика врши припрему анализа које се односе на пословање јавних предузећа и њихов утицај на макроекономску стабилност.</w:t>
      </w:r>
      <w:r>
        <w:rPr>
          <w:rFonts w:ascii="Calibri" w:eastAsia="Calibri" w:hAnsi="Calibri" w:cs="Calibri"/>
          <w:b/>
        </w:rPr>
        <w:t xml:space="preserve">  </w:t>
      </w:r>
    </w:p>
    <w:p w:rsidR="00E8309B" w:rsidRDefault="009D0949">
      <w:pPr>
        <w:spacing w:after="36" w:line="259" w:lineRule="auto"/>
        <w:ind w:left="0" w:right="0" w:firstLine="0"/>
        <w:jc w:val="left"/>
      </w:pPr>
      <w:r>
        <w:rPr>
          <w:b/>
        </w:rPr>
        <w:t xml:space="preserve"> </w:t>
      </w:r>
    </w:p>
    <w:p w:rsidR="00E8309B" w:rsidRDefault="009D0949">
      <w:pPr>
        <w:spacing w:after="36" w:line="259" w:lineRule="auto"/>
        <w:ind w:left="0" w:right="0" w:firstLine="0"/>
        <w:jc w:val="left"/>
      </w:pPr>
      <w:r>
        <w:rPr>
          <w:b/>
        </w:rPr>
        <w:t xml:space="preserve"> </w:t>
      </w:r>
    </w:p>
    <w:p w:rsidR="00E8309B" w:rsidRDefault="009D0949">
      <w:pPr>
        <w:spacing w:after="0" w:line="259" w:lineRule="auto"/>
        <w:ind w:left="0" w:right="0" w:firstLine="0"/>
        <w:jc w:val="left"/>
      </w:pPr>
      <w:r>
        <w:rPr>
          <w:b/>
        </w:rPr>
        <w:t xml:space="preserve"> </w:t>
      </w:r>
    </w:p>
    <w:p w:rsidR="00E8309B" w:rsidRDefault="009D0949">
      <w:pPr>
        <w:spacing w:after="130" w:line="271" w:lineRule="auto"/>
        <w:ind w:left="-5" w:right="9"/>
      </w:pPr>
      <w:r>
        <w:rPr>
          <w:b/>
        </w:rPr>
        <w:t>ОБЛАСТ 1: РЕФОРМА ТРЖИШТА ЕНЕРГИЈЕ И ТРАНС</w:t>
      </w:r>
      <w:r>
        <w:rPr>
          <w:b/>
        </w:rPr>
        <w:t xml:space="preserve">ПОРТА Коментар: Радна група НКЕУ 15 – Енергетика </w:t>
      </w:r>
    </w:p>
    <w:p w:rsidR="00E8309B" w:rsidRDefault="009D0949">
      <w:pPr>
        <w:spacing w:after="88"/>
        <w:ind w:left="-5" w:right="17"/>
      </w:pPr>
      <w:r>
        <w:rPr>
          <w:b/>
        </w:rPr>
        <w:t>СР 1. Развој енергетског тржишта уз изградњу енергетске инфраструктуре</w:t>
      </w:r>
      <w:r>
        <w:t xml:space="preserve"> је конципирана тако да је изостављен пројекат изградње магистралног гасовода Ниш - Димитровград чија је реализација према претходном ЕР</w:t>
      </w:r>
      <w:r>
        <w:t>П 2020-2022 планирана у 2022. години. Сугерише се враћање овог пројекта у ЕРП и праћење реализације. Поред тога није наведено кашњење у преализацији припреме техничке документације за ДБ Обреновац – Б.Башта чији је завршетак планиран до половине 2021, и ро</w:t>
      </w:r>
      <w:r>
        <w:t xml:space="preserve">к продужен до краја 2021. године. Неопходно је навести изворе финансирања реформе.  </w:t>
      </w:r>
    </w:p>
    <w:p w:rsidR="00E8309B" w:rsidRDefault="009D0949">
      <w:pPr>
        <w:ind w:left="-5" w:right="17"/>
      </w:pPr>
      <w:r>
        <w:rPr>
          <w:b/>
        </w:rPr>
        <w:t xml:space="preserve">Одговор: </w:t>
      </w:r>
      <w:r>
        <w:t>Изградња магистралног гасовода Ниш-Димитровград је пројекат високог приоритета за Републику Србију. Због извесног кашњења информације о коначном одобрењу кредитни</w:t>
      </w:r>
      <w:r>
        <w:t>х средстава од Европске инвестиционе банке (ЕИБ), није било могуће са већом поузданошћу предвидети динамику реализације овог пројекта. Кредитна средства у износу 25 милиона евра су у међувремену одобрена, и преговори су у току. Тендерска процедура је у ток</w:t>
      </w:r>
      <w:r>
        <w:t xml:space="preserve">у, објављен је Contract Notice за Надзор над радовима. Остварени су услови да пројекат буде враћен у оквире наредног циклуса ЕРП. </w:t>
      </w:r>
    </w:p>
    <w:p w:rsidR="00E8309B" w:rsidRDefault="009D0949">
      <w:pPr>
        <w:spacing w:after="98"/>
        <w:ind w:left="-5" w:right="17"/>
      </w:pPr>
      <w:r>
        <w:t>Завршетак израде техничке документације за Секцију 3 пројекта Трансбалкански коридор није померена. Рок за завршетак пројекта - мај 2021. године је дефинисан на почетном састанку. Можда је забуну изазвало то што је рок за завршетак израде техничке докумета</w:t>
      </w:r>
      <w:r>
        <w:t>ције за Секцију 4, септембар 2021. године (мада ни он није померан од када је дефинисан у септембру 2019). Извори финансирања СР се финализирају у јануару 2021. године, имајући у виду да је неопходно да пре тога буде усвојен Закон о буџету, те због тога ни</w:t>
      </w:r>
      <w:r>
        <w:t xml:space="preserve">су били саставни део нацрта ЕРП који је на увиду јавности од децембра 2020.  </w:t>
      </w:r>
    </w:p>
    <w:p w:rsidR="00E8309B" w:rsidRDefault="009D0949">
      <w:pPr>
        <w:spacing w:after="91"/>
        <w:ind w:left="-5" w:right="17"/>
      </w:pPr>
      <w:r>
        <w:rPr>
          <w:b/>
        </w:rPr>
        <w:t>СР 2: Унапређење услова за повећање енергетске ефикасности кроз хармонизацију законодавног оквира и успостављање одрживог начина финансирања пројеката енергетске ефикасности</w:t>
      </w:r>
      <w:r>
        <w:t xml:space="preserve"> обух</w:t>
      </w:r>
      <w:r>
        <w:t xml:space="preserve">вата јачање административних капацитета приказано кроз повећање броја запослених у Одсеку за унапређење ЕЕ. Наведена су 3 запослена док је прошлогодишњим планом било предвиђено 30, потребно је навести разлоге због којих је испуњено само 10% од планираног. </w:t>
      </w:r>
      <w:r>
        <w:t>Неопходно је навести изворе финансирања реформе. Поред индикатора наведеног у ЕРП, предлаже се увођење додатних индикатора: 1. Успостављен одржив начин финансирања пројеката енергетске ефикасности; 2. Донети подзаконски акти Закон о ефикасном коришћењу ене</w:t>
      </w:r>
      <w:r>
        <w:t xml:space="preserve">ргије; 3. Проценат остварене уштеде кроз реализацију пројеката ЕЕ јавних зграда (3% годишње реконструкције јавних зграда према Директиви о енергетској ефикасности). </w:t>
      </w:r>
    </w:p>
    <w:p w:rsidR="00E8309B" w:rsidRDefault="009D0949">
      <w:pPr>
        <w:ind w:left="-5" w:right="17"/>
      </w:pPr>
      <w:r>
        <w:rPr>
          <w:b/>
        </w:rPr>
        <w:t>Одговор:</w:t>
      </w:r>
      <w:r>
        <w:t xml:space="preserve"> СР у оквиру ЕРП 2020-2022 није било предвиђено запошљавање 30 нових запослених у </w:t>
      </w:r>
      <w:r>
        <w:t xml:space="preserve">Одсеку за унапређење енергетске ефикасности, већ се ради о процени потребних нових радних места у оквиру одрживог механизма финансирања.  </w:t>
      </w:r>
    </w:p>
    <w:p w:rsidR="00E8309B" w:rsidRDefault="009D0949">
      <w:pPr>
        <w:ind w:left="-5" w:right="17"/>
      </w:pPr>
      <w:r>
        <w:t>Могуће је додати индикатор „Успостављен одржив начин финансирања пројеката енергетске ефикасности“ док предлог индикатора „Донети подзаконски акти ЗЕКЕ“ није могуће увести јер се у овом тренутку не могу прецизно утврдити вредности у 2021. и 2022. години, с</w:t>
      </w:r>
      <w:r>
        <w:t xml:space="preserve"> обзиром да Закон није донет па није познат тачан број подзаконских акта. За предложени индикатор „Проценат остварене уштеде кроз реализацију пројеката ЕЕ  јавних зграда“ сматрамо да већ постоји сличан индикатор у форми „% остварене уштеде енергије кроз ре</w:t>
      </w:r>
      <w:r>
        <w:t>ализацију пројеката ЕЕ у односу на потрошњу енергије у години пре реализације пројекта“. Што се тиче процента уштеде од 3%, овај проценат се у Директиви не односи на јавне зграде већ на зграде централне Власти (док у оквиру Енергетске заједнице овај процен</w:t>
      </w:r>
      <w:r>
        <w:t xml:space="preserve">ат за рехабилитацију зграда централне власти износи 1% годишње ). Извори финансирања дати су у ЕРП-у у делу процењених трошкова. </w:t>
      </w:r>
    </w:p>
    <w:p w:rsidR="00E8309B" w:rsidRDefault="009D0949">
      <w:pPr>
        <w:spacing w:after="36" w:line="259" w:lineRule="auto"/>
        <w:ind w:left="0" w:right="0" w:firstLine="0"/>
        <w:jc w:val="left"/>
      </w:pPr>
      <w:r>
        <w:t xml:space="preserve"> </w:t>
      </w:r>
    </w:p>
    <w:p w:rsidR="00E8309B" w:rsidRDefault="009D0949">
      <w:pPr>
        <w:spacing w:after="0" w:line="259" w:lineRule="auto"/>
        <w:ind w:left="0" w:right="0" w:firstLine="0"/>
        <w:jc w:val="left"/>
      </w:pPr>
      <w:r>
        <w:t xml:space="preserve"> </w:t>
      </w:r>
    </w:p>
    <w:p w:rsidR="00E8309B" w:rsidRDefault="009D0949">
      <w:pPr>
        <w:spacing w:after="127" w:line="271" w:lineRule="auto"/>
        <w:ind w:left="-5" w:right="9"/>
      </w:pPr>
      <w:r>
        <w:rPr>
          <w:b/>
        </w:rPr>
        <w:t xml:space="preserve">ОБЛАСТ 2: ПОЉОПРИВРЕДА, ИНДУСТРИЈА И УСЛУГЕ Коментар: Мрежа за рурални развој Србије и Европски покрет у Србији </w:t>
      </w:r>
    </w:p>
    <w:p w:rsidR="00E8309B" w:rsidRDefault="009D0949">
      <w:pPr>
        <w:spacing w:after="25" w:line="269" w:lineRule="auto"/>
        <w:ind w:left="-5" w:right="0"/>
        <w:jc w:val="left"/>
      </w:pPr>
      <w:r>
        <w:rPr>
          <w:b/>
        </w:rPr>
        <w:t>СР 4: Уна</w:t>
      </w:r>
      <w:r>
        <w:rPr>
          <w:b/>
        </w:rPr>
        <w:t>пређење процеса комасације</w:t>
      </w:r>
      <w:r>
        <w:t xml:space="preserve"> предвиђа спровођење активности пилот комасације, те је препорука да се развије индикатор који ће мерити резултате пилот пројекта (нпр. бројем спроведених комасација током пилот пројекта или обухваћених површина). </w:t>
      </w:r>
    </w:p>
    <w:p w:rsidR="00E8309B" w:rsidRDefault="009D0949">
      <w:pPr>
        <w:ind w:left="-5" w:right="17"/>
      </w:pPr>
      <w:r>
        <w:t>Утисак је да је</w:t>
      </w:r>
      <w:r>
        <w:t xml:space="preserve"> вредност индикатора Смањење трајања поступка комасације планиран за 2025. годину и даље значајно висока (36 месеци). Сматра се да ће при убрзању комасације са 50 на 36 месеци, постојати реална опасност да се многи пројекти не спроведу или да се спорије сп</w:t>
      </w:r>
      <w:r>
        <w:t xml:space="preserve">роводе, а од кључне су важности за развој пољопривреде и руралних подручја (нпр. наводњавање). Неопходно је навести изворе финансирања реформе. </w:t>
      </w:r>
    </w:p>
    <w:p w:rsidR="00E8309B" w:rsidRDefault="009D0949">
      <w:pPr>
        <w:spacing w:after="99"/>
        <w:ind w:left="-5" w:right="17"/>
      </w:pPr>
      <w:r>
        <w:rPr>
          <w:b/>
        </w:rPr>
        <w:t xml:space="preserve">Одговор: </w:t>
      </w:r>
      <w:r>
        <w:t>У вези са коментарима који се односе на унапређење комасације биће размотрена могућност да се скрате р</w:t>
      </w:r>
      <w:r>
        <w:t>окови за трајање поступка комасације, као и да се уведе индикатор који се односи на број спроведених комасација током пилот пројекта. Мишљења смо да површина спроведене комасације не би била најбоље решење као индикатор, јер је тренутно непознато која ће п</w:t>
      </w:r>
      <w:r>
        <w:t xml:space="preserve">овршина бити у поступку пилот пројеката, нити број предложених пилот пројеката.   </w:t>
      </w:r>
    </w:p>
    <w:p w:rsidR="00E8309B" w:rsidRDefault="009D0949">
      <w:pPr>
        <w:spacing w:after="91"/>
        <w:ind w:left="-5" w:right="17"/>
      </w:pPr>
      <w:r>
        <w:rPr>
          <w:b/>
        </w:rPr>
        <w:t>СР 5: Унапређење система финансијске подршке пољопривреди кроз дигитализацију и аутоматизацију процеса.</w:t>
      </w:r>
      <w:r>
        <w:t xml:space="preserve"> Препорука је да се упоредо са развојем IACS система (IACS - Integrate</w:t>
      </w:r>
      <w:r>
        <w:t>d Administrative Conrtol System, који чланице ЕУ користе у циљу смањења административног оптерећења и обезбеђивања ефикасних и делотворних контрола), настави са развојем софтверских решења, процедура и институционалне координације за подршку пољопривредним</w:t>
      </w:r>
      <w:r>
        <w:t xml:space="preserve"> газдинствима, како у информисању, тако и у процесу аплицирања, обради захтева и исплати средстава.  </w:t>
      </w:r>
    </w:p>
    <w:p w:rsidR="00E8309B" w:rsidRDefault="009D0949">
      <w:pPr>
        <w:spacing w:after="99"/>
        <w:ind w:left="-5" w:right="17"/>
      </w:pPr>
      <w:r>
        <w:rPr>
          <w:b/>
        </w:rPr>
        <w:t>Одговор:</w:t>
      </w:r>
      <w:r>
        <w:t xml:space="preserve"> Слажемо се да је коментар сврсисходан, али кораци треба да буду усклађени са активностима и роковима предвиђених поглављем 11, имајући у виду да </w:t>
      </w:r>
      <w:r>
        <w:t>је успостављање функционалног IACS услов за затварање преговарачког поглавља 11. Што се тиче препоруке да се упоредо са развојем IACS система, настави са развојем софтверских решења, процедура и институционалне координације за подршку пољопривредним газдин</w:t>
      </w:r>
      <w:r>
        <w:t>ствима, како у информисању, тако и у процесу аплицирања, обради захтева и исплати средстава, указујемо да је развијено софтверско решење за рурални развој (РД ИТ) за аутоматску обраду ИПАРД захтева и ускоро се очекује његова пуна примена. Такође, у каснијо</w:t>
      </w:r>
      <w:r>
        <w:t>ј фази примене РД ИТ планира се његово повезивање са ЛПИС чиме ће се спровести пилотирање IACS. Управа за аграрна плаћања је развила пилот решење за електронско подношење захтева за подстицаје за пчеле, и планира се да се настави рад на развоју осталих соф</w:t>
      </w:r>
      <w:r>
        <w:t>тверских решења. Упоредо се ради на унапређењу постојећих процедура које су у надлежности Управе. Управа за аграрана плаћања све наведене активности “пилотира” спроводећи ИПАРД I, а од стране Владе јој је додељена улога ИПАРД агенције, чиме је омогућено да</w:t>
      </w:r>
      <w:r>
        <w:t xml:space="preserve"> се поступно припреме корисници и администрација за ЕУ захтеве који ће се спроводити након чланства у ЕУ. </w:t>
      </w:r>
    </w:p>
    <w:p w:rsidR="00E8309B" w:rsidRDefault="009D0949">
      <w:pPr>
        <w:ind w:left="-5" w:right="17"/>
      </w:pPr>
      <w:r>
        <w:rPr>
          <w:b/>
        </w:rPr>
        <w:t>СР 5: Унапређење система финансијске подршке пољопривреди кроз дигитализацију и аутоматизацију процеса</w:t>
      </w:r>
      <w:r>
        <w:t xml:space="preserve"> констатује потребу унапређења механизма исплат</w:t>
      </w:r>
      <w:r>
        <w:t>е буџетске подршке пољопривреди што је свакако потребан корак у реформи пољопривредног сектора. Ипак, СР не говори о променама самог креирања постојећих мера аграрне политике земље у циљу максимизације њиховог ефекта. Суштинско питање је ефекат који ове ме</w:t>
      </w:r>
      <w:r>
        <w:t>ре постижу и да ли су мере аграрне политике исправно формулисане, а не само како су имплементиране (нпр. премија за млеко). Препорука је да ЕРП предвиди суштинску, свеобухватну реформу аграрног буџета у правцу: 1) формулисање националне аграрне политике ко</w:t>
      </w:r>
      <w:r>
        <w:t xml:space="preserve">ја ће остварити максимални ефекат на производњу и приходе лица ангажованих у пољопривреди и 2) унапредити усклађеност домаћих аграрних политика са ЕУ ЗАП. Неопходно је навести изворе финансирања реформе. </w:t>
      </w:r>
    </w:p>
    <w:p w:rsidR="00E8309B" w:rsidRDefault="009D0949">
      <w:pPr>
        <w:spacing w:after="90"/>
        <w:ind w:left="-5" w:right="17"/>
      </w:pPr>
      <w:r>
        <w:rPr>
          <w:b/>
        </w:rPr>
        <w:t>Одговор:</w:t>
      </w:r>
      <w:r>
        <w:t xml:space="preserve"> Постепено усклађивање мера пољопривредне п</w:t>
      </w:r>
      <w:r>
        <w:t>олитике и политике руралног развоја предвиђено је Акционим планом за прeузимaњe, усвajaњe и спрoвoђeњe прaвних текoвинa ЕУ у oблaсти пoљoприврeдe и рурaлнoг рaзвoja, Националним програмом пољопривреде 20182020, Нациналним програмом за рурални развој 2018-2</w:t>
      </w:r>
      <w:r>
        <w:t>020, као и Националним програмом за усвајање правних тековина Европске уније. ЕРП већ делимично садржи реформу буџетске подршке кроз структурну реформу 6: Унапређење конкурентности пољопривреде, и то кроз усвајање Закона о уређењу тржишта пољопривредних по</w:t>
      </w:r>
      <w:r>
        <w:t>ризвода и успостављање правне основе за подршку у овој области. Усклађивање осталих елемената буџетске подршке у области пољопривредне политике и политике руралног развоја могу бити предвиђени ЕРП-ом у наредним годинама, а у складу са предвиђеном динамиком</w:t>
      </w:r>
      <w:r>
        <w:t xml:space="preserve"> хармонизације са acquis. </w:t>
      </w:r>
      <w:r>
        <w:rPr>
          <w:b/>
        </w:rPr>
        <w:t>СР 6: Унапређење конкурентности пољопривреде</w:t>
      </w:r>
      <w:r>
        <w:t xml:space="preserve"> нема индикатор који указује на циљану промену у руралној инфраструктури. Препорука је да се дефинише индикатор, како би се на јасан начин сагледавао напредак (нпр. 15 инфраструктурних п</w:t>
      </w:r>
      <w:r>
        <w:t>ројеката у руралним подручјима). Имајући у виду да је добар део руралне инфраструктуре локалног карактера, препорука је да се предвиде активности које ће унапредити капацитете локалних самоуправа, како у планирању, тако и у имплементацији мера. Утисак је д</w:t>
      </w:r>
      <w:r>
        <w:t>а недостају мере и активности који би подржале развој тржишних ланаца и формирање произвођачких организација, што је постојало у претходном ЕРП. Препорука је да се сачува активност подршке формирању произвођачких организација из претходног ЕРП, посебно што</w:t>
      </w:r>
      <w:r>
        <w:t xml:space="preserve"> је то могуће планирати и у оквиру ИПАРД 3, а суштински може утицати на приступ тржишту у сектору производње воћа и поврћа, производњи млека и млекарству. Било би пожељно да ЕРП предвиди начине унапређења знања код радно ангажованих лица у овом сектору (по</w:t>
      </w:r>
      <w:r>
        <w:t xml:space="preserve">љопривредника, менаџера на фармама и осталих запослених у пољопривреди и прехрамбеној индустрији). Пољопривредна стручно-саветодавна служба под ингеренцијом Министарства пољопривреде, шумарства и водопривреде је свакако један од инструмената који стоји на </w:t>
      </w:r>
      <w:r>
        <w:t xml:space="preserve">располагању, али њеним капацитетима се мора посветити додатна пажња.  </w:t>
      </w:r>
    </w:p>
    <w:p w:rsidR="00E8309B" w:rsidRDefault="009D0949">
      <w:pPr>
        <w:ind w:left="-5" w:right="17"/>
      </w:pPr>
      <w:r>
        <w:rPr>
          <w:b/>
        </w:rPr>
        <w:t>Одговор:</w:t>
      </w:r>
      <w:r>
        <w:t xml:space="preserve"> Мера која се односи на унапређење руралне инфраструктуре је у фази припреме. Планирано је да се мера акредитује у оквиру ИПАРД 3 програма и да се спроводи и из националног буџе</w:t>
      </w:r>
      <w:r>
        <w:t>та. Усвајање ИПАРД 3 програма планирано је крајем 2021. године и још увек нису познати тачни износи опредељених средстава по мерама и по годинама. Како приликом припреме структурне реформе није било познато када ће бити усвојен ИПАРД 3 програм, у нацрту до</w:t>
      </w:r>
      <w:r>
        <w:t>кумента није прецизирано да ли ће се у 2021. години спроводити јавни позив из ИПАРД 3 програма или из националног буџета. Планирано је да корисници подршке кроз меру која се односи на подршку унапређењу руралне инфраструктуре буду јединице локлане самоупра</w:t>
      </w:r>
      <w:r>
        <w:t>ве са већ припремљеним пројектима за различите групе инвестиција. Приликом акредитовања мере у ИПАРД 3 програму, биће прецизиране све групе инвестиција за које се може остварити подршка, а које ће бити наведене у листи прихватљивих трошкова. У процесу акре</w:t>
      </w:r>
      <w:r>
        <w:t xml:space="preserve">дитације биће дефинисани и нови индикатори како би се на јасан начин сагледао напредак.  </w:t>
      </w:r>
    </w:p>
    <w:p w:rsidR="00E8309B" w:rsidRDefault="009D0949">
      <w:pPr>
        <w:ind w:left="-5" w:right="17"/>
      </w:pPr>
      <w:r>
        <w:t xml:space="preserve">Законски оквир о уређењу тржишта пољопривредних производа треба на јединствен начин да регулише тржишта по секторима (са акцентом на увођење стандарда у производњи), </w:t>
      </w:r>
      <w:r>
        <w:t>али и да омогући формирање произвођачких организација, као и да омогући и подстакне уговорно повезивање свих актера у тржишном ланцу. На тај начин повећала би се сигурност у пољопривредној производњи, стандардизација производње, као и њено укрупњавање кроз</w:t>
      </w:r>
      <w:r>
        <w:t xml:space="preserve"> формирање произвођачких организација. </w:t>
      </w:r>
    </w:p>
    <w:p w:rsidR="00E8309B" w:rsidRDefault="009D0949">
      <w:pPr>
        <w:spacing w:after="91"/>
        <w:ind w:left="-5" w:right="17"/>
      </w:pPr>
      <w:r>
        <w:t xml:space="preserve">Пољопривредне стручне и саветодавне службе значајно помажу на терену пољопривредним газдинствима која у оквиру ИПАРД програма унапређују своју конкуретност. Службе за потребе малих пољпривредних газдинстава израђују </w:t>
      </w:r>
      <w:r>
        <w:t xml:space="preserve">једноставне пословне планове (за инвестиције до 50.000 евра) бесплатно и пружају саветодавне услуге.  </w:t>
      </w:r>
    </w:p>
    <w:p w:rsidR="00E8309B" w:rsidRDefault="009D0949">
      <w:pPr>
        <w:spacing w:after="64"/>
        <w:ind w:left="-5" w:right="17"/>
      </w:pPr>
      <w:r>
        <w:rPr>
          <w:b/>
        </w:rPr>
        <w:t>СР 7: Подизање конкурентности индустрије.</w:t>
      </w:r>
      <w:r>
        <w:t xml:space="preserve"> </w:t>
      </w:r>
      <w:r>
        <w:t xml:space="preserve">Након прошлогодишње интервенције НКЕУ, ова реформа је поново враћена у ЕРП. Како је Стратегија индустријске политике РС за период 2021-2030. усвојена у марту 2020. године, а у јануару 2021. године се очекује и усвајање Акционог плана за 2021-2023. годину, </w:t>
      </w:r>
      <w:r>
        <w:t>у опису реформе не треба да пише: „Стварање фокусиране и боље координисане политике развоја индустрије кроз дигитализацију пословних модела индустријске производње, повећање обима инвестиција у индустрију и унапређење технолошке структуре извоза, а у коорд</w:t>
      </w:r>
      <w:r>
        <w:t xml:space="preserve">инацији са Стратегијом паметне специјализације“ него „Примена Стратегије индустрије која треба да обезбеди...“ </w:t>
      </w:r>
    </w:p>
    <w:p w:rsidR="00E8309B" w:rsidRDefault="009D0949">
      <w:pPr>
        <w:spacing w:after="92"/>
        <w:ind w:left="-5" w:right="17"/>
      </w:pPr>
      <w:r>
        <w:rPr>
          <w:b/>
        </w:rPr>
        <w:t>Одговор:</w:t>
      </w:r>
      <w:r>
        <w:t xml:space="preserve"> Имајући у виду да је претходни стратешки документ у области индустријског развоја – Стратегија и политика развоја индустрије Републике </w:t>
      </w:r>
      <w:r>
        <w:t>Србије од 2011. до 2020. године, као свој највећи недостатак имао недовољну примену, Стратегијом индустријске политике Републике Србије од 2021. до 2030. године се настојао дефинисати оквир циљева и мера које ће бити применљиве и лакше за праћење остварени</w:t>
      </w:r>
      <w:r>
        <w:t xml:space="preserve">х резултата. „Фокусирана и боље координисана политика развоја индустрије“ овде има шире значење и подразумева целину стратегије, акционог плана и свих активности у процесу њихове имплементације. </w:t>
      </w:r>
    </w:p>
    <w:p w:rsidR="00E8309B" w:rsidRDefault="009D0949">
      <w:pPr>
        <w:spacing w:after="89"/>
        <w:ind w:left="-5" w:right="17"/>
      </w:pPr>
      <w:r>
        <w:rPr>
          <w:b/>
        </w:rPr>
        <w:t>СР 8: Увођење концепта циркуларне економије.</w:t>
      </w:r>
      <w:r>
        <w:t xml:space="preserve"> Након прошлогод</w:t>
      </w:r>
      <w:r>
        <w:t>ишње интервенције НКЕУ, кориговано је да ће област циркуларне економије бити дефинисана посебним програмом, а не посебном стратегијом. Програм је документ нижег ранга у односну на стратегију, а кровни документ је Стратегија индустријске политике РС за пери</w:t>
      </w:r>
      <w:r>
        <w:t xml:space="preserve">од 2021-2030. године где је циркуларна економија дефинисана као посебан циљ.  </w:t>
      </w:r>
    </w:p>
    <w:p w:rsidR="00E8309B" w:rsidRDefault="009D0949">
      <w:pPr>
        <w:spacing w:after="158"/>
        <w:ind w:left="-5" w:right="17"/>
      </w:pPr>
      <w:r>
        <w:rPr>
          <w:b/>
        </w:rPr>
        <w:t xml:space="preserve">Одговор: </w:t>
      </w:r>
      <w:r>
        <w:t>Ова СР се први пут нашла у ЕРП 2020-2022. Мера је подразумевала да се за област циркуларне економије изради посебан документ јавне политике у складу са Законом о планск</w:t>
      </w:r>
      <w:r>
        <w:t>ом систему, према коме је у 2019. години урађена је Еx-ante анализа ефеката. Закључак ове анализе је да је за област циркуларне економије потребан посебан документ јавне политике и то Програм за циркуларну економију са акционим планом за три године. Страте</w:t>
      </w:r>
      <w:r>
        <w:t xml:space="preserve">гија се није помињала јер ће за област заштите животне средине бити донете две стратегије: Стратегија заштите животне средине која ће дефинисати посебне циљеве - један ће бити циркуларна економија, а друга је Стратегија нискоугљеничног развоја. Све остале </w:t>
      </w:r>
      <w:r>
        <w:t xml:space="preserve">областе заштите животне средине биће дефинисане кроз програме (отпад, заштита ваздуха, чистија производња, и др), као посебни циљеви ове две кровне стратегије. У ЕРП 2021-2023. мера је поновљена јер се очекује даља реализација. Општи коментар је нејасан,  </w:t>
      </w:r>
      <w:r>
        <w:t>јер је и у прошлом циклусу било предвиђено да се изради Програм за циркуларну економију са акционим планом за три године, а не стратегија. Стратегија индустријске политике за период 2021-2030. не може бити кровна стратегија за област цикруларне економије ј</w:t>
      </w:r>
      <w:r>
        <w:t xml:space="preserve">ер је ова тема мултисекторска и обухвата многе области као што су управљање отпадом, иновације, дигитализација, циркуларни дизајн, коришћење обновљивих извора енергије, енергетска ефикасност, зелене јавне набавке, урбана мобилност и др, али је веома важна </w:t>
      </w:r>
      <w:r>
        <w:t xml:space="preserve">јер ствара пословни амбијент за развој микро, малих и средњих предузећа које могу да убрзају транзицију са линераног на циркуларни модел економије. </w:t>
      </w:r>
    </w:p>
    <w:p w:rsidR="00E8309B" w:rsidRDefault="009D0949">
      <w:pPr>
        <w:spacing w:after="79" w:line="271" w:lineRule="auto"/>
        <w:ind w:left="-5" w:right="9"/>
      </w:pPr>
      <w:r>
        <w:rPr>
          <w:b/>
        </w:rPr>
        <w:t xml:space="preserve">Коментар: Центар за екологију и одрживи развој - ЦЕКОР </w:t>
      </w:r>
    </w:p>
    <w:p w:rsidR="00E8309B" w:rsidRDefault="009D0949">
      <w:pPr>
        <w:ind w:left="-5" w:right="17"/>
      </w:pPr>
      <w:r>
        <w:t>Реформа из прошлог периода бр 10. Успостављање одрж</w:t>
      </w:r>
      <w:r>
        <w:t xml:space="preserve">ивог система финансирања заштите животнe средине није поново нашла место у ЕРП-у. Недостаје боље објашњење која су то нова дешавања, и шта је урађено у протеклом периоду у вези ове реформе. </w:t>
      </w:r>
    </w:p>
    <w:p w:rsidR="00E8309B" w:rsidRDefault="009D0949">
      <w:pPr>
        <w:spacing w:after="90"/>
        <w:ind w:left="-5" w:right="17"/>
      </w:pPr>
      <w:r>
        <w:t>Улагање у превентивне програме за ризике од елементарних непогода</w:t>
      </w:r>
      <w:r>
        <w:t xml:space="preserve"> и природних катастрофа је истакнуто као неопходно, али није предвиђено нити једном структурном реформом, тј. активношћу. На пример, врло је значајно да се уради карта ерозије која је предвиђна и Законом о заштити земљишта из 2015. године, те се предлаже у</w:t>
      </w:r>
      <w:r>
        <w:t xml:space="preserve">кључење ове активности у реформу бр 6. Неопходно је навести изворе финансирања реформе. </w:t>
      </w:r>
    </w:p>
    <w:p w:rsidR="00E8309B" w:rsidRDefault="009D0949">
      <w:pPr>
        <w:spacing w:after="90"/>
        <w:ind w:left="-5" w:right="17"/>
      </w:pPr>
      <w:r>
        <w:rPr>
          <w:b/>
        </w:rPr>
        <w:t>Одговор:</w:t>
      </w:r>
      <w:r>
        <w:t xml:space="preserve"> Предлози ће бити разматрани од стране ЕРП РГ у наредном циклусу. </w:t>
      </w:r>
    </w:p>
    <w:p w:rsidR="00E8309B" w:rsidRDefault="009D0949">
      <w:pPr>
        <w:spacing w:after="94"/>
        <w:ind w:left="-5" w:right="17"/>
      </w:pPr>
      <w:r>
        <w:rPr>
          <w:b/>
        </w:rPr>
        <w:t>СР 6: Унапређење конкурентности пољопривреде</w:t>
      </w:r>
      <w:r>
        <w:t xml:space="preserve"> у области спровођења структурне мере унапређења</w:t>
      </w:r>
      <w:r>
        <w:t xml:space="preserve"> руралне инфраструктуре, врши се кроз финансирање инвестиција које се односе на изградњу постројења за пречишћавање отпадних вода и управљање отпадом. Као индикатор резултата обавезно навести колики број постројења ће бити изграђен кроз ову меру, као и на </w:t>
      </w:r>
      <w:r>
        <w:t>основу којих критеријума ће се одабрати пројекти - локације где ће се изградити ова постројења. Структурна мера подразумева спровођење на територији целе Србије по једнаким критеријумима, и ради уједначеног економског развоја. Ако је очекивани основни ризи</w:t>
      </w:r>
      <w:r>
        <w:t xml:space="preserve">к у потенцијално малом број корисника са припремљеним квалитетним пројектима потребно је обухватити реформом и припрему пројеката, укључити локалне самоуправе.  </w:t>
      </w:r>
    </w:p>
    <w:p w:rsidR="00E8309B" w:rsidRDefault="009D0949">
      <w:pPr>
        <w:spacing w:after="91"/>
        <w:ind w:left="-5" w:right="17"/>
      </w:pPr>
      <w:r>
        <w:rPr>
          <w:b/>
        </w:rPr>
        <w:t>Одговор:</w:t>
      </w:r>
      <w:r>
        <w:t xml:space="preserve"> Мера је у фази припреме. Планирани корисници мере јесу јединице локлане самоуправе. П</w:t>
      </w:r>
      <w:r>
        <w:t xml:space="preserve">рипрема пројектне документације је прихватљив трошак код свих мера које се спроводе у оквиру ИПАРД програма, тако ће бити и са мером која се односи на унапређење руралне инфраструктуре у тренутку када се мера акредитује у ИПАРД 3 програму. </w:t>
      </w:r>
    </w:p>
    <w:p w:rsidR="00E8309B" w:rsidRDefault="009D0949">
      <w:pPr>
        <w:spacing w:after="90"/>
        <w:ind w:left="-5" w:right="17"/>
      </w:pPr>
      <w:r>
        <w:rPr>
          <w:b/>
        </w:rPr>
        <w:t xml:space="preserve">СР 7: Подизање </w:t>
      </w:r>
      <w:r>
        <w:rPr>
          <w:b/>
        </w:rPr>
        <w:t>конкурентности индустрије</w:t>
      </w:r>
      <w:r>
        <w:t xml:space="preserve"> потребно појаснити како ће се порадити на трансформацији индустрије од линеарног ка циркуларном моделу. У оквиру ове структурне реформе такође предвидети строге критеријуме заштите животне средине и увођење нових и чистијих технол</w:t>
      </w:r>
      <w:r>
        <w:t xml:space="preserve">огија као предуслов за добијање подстицаја за индустрију. </w:t>
      </w:r>
    </w:p>
    <w:p w:rsidR="00E8309B" w:rsidRDefault="009D0949">
      <w:pPr>
        <w:spacing w:after="92"/>
        <w:ind w:left="-5" w:right="17"/>
      </w:pPr>
      <w:r>
        <w:rPr>
          <w:b/>
        </w:rPr>
        <w:t>Одговор:</w:t>
      </w:r>
      <w:r>
        <w:t xml:space="preserve"> За остварење посебног циља Стратегије индустријске политике од 2021. до 2030. године - Трансформација индустрије од линеарног ка циркуларном моделу предвиђене су три мере. Прву меру чине а</w:t>
      </w:r>
      <w:r>
        <w:t>ктивности промоције циркуларне економије и едукација привредних субјеката уз подршку Привредне коморе Србије и Министарства заштите животне средине. Друге две мере односе се на прилагођавање критеријума за набавку опреме, у оквиру постојећих програма Минис</w:t>
      </w:r>
      <w:r>
        <w:t xml:space="preserve">тарства приведе, у смислу да се постепено подстиче набавка опреме која се примењује у циркуларној економији и опреме која је енергетски ефикасна. </w:t>
      </w:r>
    </w:p>
    <w:p w:rsidR="00E8309B" w:rsidRDefault="009D0949">
      <w:pPr>
        <w:spacing w:after="91"/>
        <w:ind w:left="-5" w:right="17"/>
      </w:pPr>
      <w:r>
        <w:rPr>
          <w:b/>
        </w:rPr>
        <w:t>СР 8: Увођење концепта циркуларне економије.</w:t>
      </w:r>
      <w:r>
        <w:t xml:space="preserve"> Циљни број предузећа који ће применити концепт циркуларне економ</w:t>
      </w:r>
      <w:r>
        <w:t>ије кроз циркуларне ваучере је 10 до краја 2022. године. Како ће се бирати ова предузећа, и зашто само њих 10? Циљни број ЈЛС које ће израдити локалне Мапе пута за циркуларну економију и постати део циркуларне заједнице је 5 до 2023. године. По којим крите</w:t>
      </w:r>
      <w:r>
        <w:t xml:space="preserve">ријумима ће бити одабране ЈЛС? </w:t>
      </w:r>
    </w:p>
    <w:p w:rsidR="00E8309B" w:rsidRDefault="009D0949">
      <w:pPr>
        <w:spacing w:after="98"/>
        <w:ind w:left="-5" w:right="17"/>
      </w:pPr>
      <w:r>
        <w:rPr>
          <w:b/>
        </w:rPr>
        <w:t>Одговор:</w:t>
      </w:r>
      <w:r>
        <w:t xml:space="preserve"> Када је у питању број компанија које ће увести концепт циркуларне економије до 2022. то ће свакако бити већи број од 10, јер се и друге инстутуције баве промоцијом циркуларне економије као концептом за уштеду сирови</w:t>
      </w:r>
      <w:r>
        <w:t>на и енергије. Међутим, очекује се да ће 10 компанија проћи кроз циклус доделе циркуларних ваучера (новчани подстицај),  што подразумева заједнички рад пословног и академског сектора на иновацијама и осмишљавању мера које ће допринети заштити животне среди</w:t>
      </w:r>
      <w:r>
        <w:t>не и испуњавању циљева одрживог развоја. Како би се одабрале адекватне компаније, у сарадњи са ПКС расписаће се конкурс са критеријумима. За одабир најбољих 10 пројеката биће формирана посебна комисија у којој ће учествовати представници релевантних инстит</w:t>
      </w:r>
      <w:r>
        <w:t>уција и организација. Локалне самоуправе ће се бирати према критеријумима који ће бити дефинисати и договорени са СКГО. Такође, одабир локалних самоуправа у којима ће бити израђене анализе за  примену концепта циркуларне економије биће задатак комисије кој</w:t>
      </w:r>
      <w:r>
        <w:t xml:space="preserve">у ће чинити представници релевантних институција и организација. </w:t>
      </w:r>
    </w:p>
    <w:p w:rsidR="00E8309B" w:rsidRDefault="009D0949">
      <w:pPr>
        <w:spacing w:after="79" w:line="271" w:lineRule="auto"/>
        <w:ind w:left="-5" w:right="9"/>
      </w:pPr>
      <w:r>
        <w:rPr>
          <w:b/>
        </w:rPr>
        <w:t xml:space="preserve">ОБЛАСТ 3: ПОСЛОВНИ АМБИЈЕНТ И БОРБА ПРОТИВ СИВЕ ЕКОНОМИЈЕ Коментар: Центар за европске политике (CEP) </w:t>
      </w:r>
    </w:p>
    <w:p w:rsidR="00E8309B" w:rsidRDefault="009D0949">
      <w:pPr>
        <w:ind w:left="-5" w:right="17"/>
      </w:pPr>
      <w:r>
        <w:t>У односу на прошлогодишњу верзију ЕРП документа приметно је да је фокус у потпуности пребачен на одређена инфраструктурна питања везана за еУправу, док је питање побољшања пословног амбијента маргинализовано. Успостављање дата центара, набавка суперрачунар</w:t>
      </w:r>
      <w:r>
        <w:t>а и имплементација пројекат Паметни градови имају своје користи али ове ствари треба да буду само вид инфраструктурне подршке реформском процесу који треба да има за крајњи циљ олакшање пословања. Узевши такође у обзир да је реформом јавне управе питање еУ</w:t>
      </w:r>
      <w:r>
        <w:t xml:space="preserve">праве свеобухватно обрађено, предлог је да се у ЕРП-у  фокус стави на побољшање пословног амбијента кроз већу употребу дигиталних сервиса, а да предложене активности буду део сета мера фокусираних на олакшавање пословања. </w:t>
      </w:r>
    </w:p>
    <w:p w:rsidR="00E8309B" w:rsidRDefault="009D0949">
      <w:pPr>
        <w:spacing w:after="16" w:line="271" w:lineRule="auto"/>
        <w:ind w:left="-5" w:right="9"/>
      </w:pPr>
      <w:r>
        <w:rPr>
          <w:b/>
        </w:rPr>
        <w:t>СР 9: Унапређење квалитета пружањ</w:t>
      </w:r>
      <w:r>
        <w:rPr>
          <w:b/>
        </w:rPr>
        <w:t xml:space="preserve">а јавних услуга кроз оптимизацију и дигитализацију административних поступака - ,,еПАПИР“ </w:t>
      </w:r>
    </w:p>
    <w:p w:rsidR="00E8309B" w:rsidRDefault="009D0949">
      <w:pPr>
        <w:spacing w:after="157"/>
        <w:ind w:left="-5" w:right="17"/>
      </w:pPr>
      <w:r>
        <w:t>С обзиром да није дошло до велике помене у односу на претходни циклус израде ЕРП документа коментар који је упућен прошле године у делу предметне реформе који се тич</w:t>
      </w:r>
      <w:r>
        <w:t xml:space="preserve">е јединствене контактне тачке (ЈЕКТ)  остаје валидан и овом приликом.  </w:t>
      </w:r>
    </w:p>
    <w:p w:rsidR="00E8309B" w:rsidRDefault="009D0949">
      <w:pPr>
        <w:spacing w:after="79" w:line="271" w:lineRule="auto"/>
        <w:ind w:left="-5" w:right="9"/>
      </w:pPr>
      <w:r>
        <w:rPr>
          <w:b/>
        </w:rPr>
        <w:t xml:space="preserve">Коментари: Радна група НКЕУ за ПП 10 </w:t>
      </w:r>
    </w:p>
    <w:p w:rsidR="00E8309B" w:rsidRDefault="009D0949">
      <w:pPr>
        <w:spacing w:after="151"/>
        <w:ind w:left="-5" w:right="17"/>
      </w:pPr>
      <w:r>
        <w:t xml:space="preserve">Имајући у виду да ЕРП наводи да се „У области дигиталне економије планира се повећавање  доступности електронске управе грађанима и привреди кроз </w:t>
      </w:r>
      <w:r>
        <w:t>унапређивање  корисничких сервиса као и даљи развој националне комуникационе инфраструктуре“. Предлог је да концепт дигиталне економије чине још: дигитализација процеса рада и пружања услуга, развој нових дигиталних производа и услуга, ширење домаће произв</w:t>
      </w:r>
      <w:r>
        <w:t xml:space="preserve">одње софтвера, примене концепта ИНД 4.0  у модернизацији индустрије и др. </w:t>
      </w:r>
    </w:p>
    <w:p w:rsidR="00E8309B" w:rsidRDefault="009D0949">
      <w:pPr>
        <w:spacing w:after="140"/>
        <w:ind w:left="-5" w:right="17"/>
      </w:pPr>
      <w:r>
        <w:rPr>
          <w:b/>
        </w:rPr>
        <w:t>Одговор:</w:t>
      </w:r>
      <w:r>
        <w:t xml:space="preserve"> Предлог ће бити размотрен у наредном циклусу ЕРП.</w:t>
      </w:r>
      <w:r>
        <w:rPr>
          <w:b/>
        </w:rPr>
        <w:t xml:space="preserve"> </w:t>
      </w:r>
    </w:p>
    <w:p w:rsidR="00E8309B" w:rsidRDefault="009D0949">
      <w:pPr>
        <w:spacing w:after="16" w:line="271" w:lineRule="auto"/>
        <w:ind w:left="-5" w:right="9"/>
      </w:pPr>
      <w:r>
        <w:rPr>
          <w:b/>
        </w:rPr>
        <w:t xml:space="preserve">ОБЛАСТ </w:t>
      </w:r>
      <w:r>
        <w:rPr>
          <w:b/>
        </w:rPr>
        <w:tab/>
        <w:t xml:space="preserve">4: </w:t>
      </w:r>
      <w:r>
        <w:rPr>
          <w:b/>
        </w:rPr>
        <w:tab/>
        <w:t xml:space="preserve">ИСТРАЖИВАЊЕ, </w:t>
      </w:r>
      <w:r>
        <w:rPr>
          <w:b/>
        </w:rPr>
        <w:tab/>
        <w:t xml:space="preserve">РАЗВОЈ </w:t>
      </w:r>
      <w:r>
        <w:rPr>
          <w:b/>
        </w:rPr>
        <w:tab/>
        <w:t xml:space="preserve">И </w:t>
      </w:r>
      <w:r>
        <w:rPr>
          <w:b/>
        </w:rPr>
        <w:tab/>
        <w:t xml:space="preserve">ИНОВАЦИЈЕ </w:t>
      </w:r>
      <w:r>
        <w:rPr>
          <w:b/>
        </w:rPr>
        <w:tab/>
        <w:t xml:space="preserve">И </w:t>
      </w:r>
      <w:r>
        <w:rPr>
          <w:b/>
        </w:rPr>
        <w:tab/>
        <w:t xml:space="preserve">ДИГИТАЛНА ТРАНСФОРМАЦИЈА  </w:t>
      </w:r>
    </w:p>
    <w:p w:rsidR="00E8309B" w:rsidRDefault="009D0949">
      <w:pPr>
        <w:ind w:left="-5" w:right="17"/>
      </w:pPr>
      <w:r>
        <w:t>Предлог је да се иновирају подаци о дигиталној повезаности у Србији, али и предложе ефикасније мере да се стање у овој области поправи (развој телекомуникационе инфраструктуре, промотивне активности оператера и провајдера, нове апликације, примене стандард</w:t>
      </w:r>
      <w:r>
        <w:t xml:space="preserve">а, развој и мерење квалитета инфраструктуре...). </w:t>
      </w:r>
    </w:p>
    <w:p w:rsidR="00E8309B" w:rsidRDefault="009D0949">
      <w:pPr>
        <w:spacing w:after="89"/>
        <w:ind w:left="-5" w:right="17"/>
      </w:pPr>
      <w:r>
        <w:rPr>
          <w:b/>
        </w:rPr>
        <w:t xml:space="preserve">Одговор: </w:t>
      </w:r>
      <w:r>
        <w:t>Према индексу дигиталне економије и друштва (DESI), који је први пут објављен за Србију 2017. године, Србија je u 2018. години заузимала последње место на листи европских земаља са вредношћу индекс</w:t>
      </w:r>
      <w:r>
        <w:t>а 40,3 у категорији Повезаност, која представља инфраструктуру потребну за дигиталну економију и друштво и нуди информације о врстама, доступностии квалитету приступа интернету. У 2019. години остварен је значајан напредак и индекс је у категорији Повезано</w:t>
      </w:r>
      <w:r>
        <w:t xml:space="preserve">ст подигнут на вредност 54,8 што је изнад просека земаља Европске уније. </w:t>
      </w:r>
      <w:r>
        <w:rPr>
          <w:b/>
        </w:rPr>
        <w:t>СР 16: Повећање доступности е-управе унапређењем инфраструктуре и увођењем нових технологија.</w:t>
      </w:r>
      <w:r>
        <w:t xml:space="preserve"> ЕРП говори о пројектима ”Смарт Сити”, чија примена у Србији оцењује се заостаје за трендо</w:t>
      </w:r>
      <w:r>
        <w:t>вима у свету, па чак и у окружењу. Предвиђен је врло спор развој нових пројеката ”Смарт Сити”. Предлог је да се позову ИТ компаније које имају понуду ”Паметни град” решења да агилније промовишу своју понуду, подстицати интересовање локалне самоуправе за ов</w:t>
      </w:r>
      <w:r>
        <w:t xml:space="preserve">е пројекте. Такође, Министарство за државну управу и локалну самоуправу и Стална коинференција градова и општина (СКГО) треба да иницирају, координирају и организују размену искустава у примени ”Паметни град” пројеката. </w:t>
      </w:r>
    </w:p>
    <w:p w:rsidR="00E8309B" w:rsidRDefault="009D0949">
      <w:pPr>
        <w:spacing w:after="98"/>
        <w:ind w:left="-5" w:right="17"/>
      </w:pPr>
      <w:r>
        <w:rPr>
          <w:b/>
        </w:rPr>
        <w:t>Одговор:</w:t>
      </w:r>
      <w:r>
        <w:t xml:space="preserve"> Предлог ће бити размотрен </w:t>
      </w:r>
      <w:r>
        <w:t xml:space="preserve">у наредном циклусу ЕРП. </w:t>
      </w:r>
    </w:p>
    <w:p w:rsidR="00E8309B" w:rsidRDefault="009D0949">
      <w:pPr>
        <w:spacing w:after="79" w:line="271" w:lineRule="auto"/>
        <w:ind w:left="-5" w:right="9"/>
      </w:pPr>
      <w:r>
        <w:rPr>
          <w:b/>
        </w:rPr>
        <w:t xml:space="preserve">Коментар: Центар за европске политике (CEP) </w:t>
      </w:r>
    </w:p>
    <w:p w:rsidR="00E8309B" w:rsidRDefault="009D0949">
      <w:pPr>
        <w:spacing w:after="91"/>
        <w:ind w:left="-5" w:right="17"/>
      </w:pPr>
      <w:r>
        <w:rPr>
          <w:b/>
        </w:rPr>
        <w:t>СР 19: Безбедан и квалитетан производ – фактор развоја индустрије</w:t>
      </w:r>
      <w:r>
        <w:t xml:space="preserve"> представља генерално добар потез. Оно што је овде потребно јесте да се у самом опису структурне реформе наведе начин на </w:t>
      </w:r>
      <w:r>
        <w:t>који ће се ова компонента спроводи, а у делу ове структурне реформе везаном за успостављање платформе Производ инфо, потребно је представити поступак за функционисање овог сервиса тј. начина на који ће портал ТЕХНИС бити проширен како би служио као Контакт</w:t>
      </w:r>
      <w:r>
        <w:t xml:space="preserve">на тачка за отклањање техничких баријера у трговини јер та информација и даље мањка у опису саме структурне реформе. </w:t>
      </w:r>
    </w:p>
    <w:p w:rsidR="00E8309B" w:rsidRDefault="009D0949">
      <w:pPr>
        <w:ind w:left="-5" w:right="17"/>
      </w:pPr>
      <w:r>
        <w:rPr>
          <w:b/>
        </w:rPr>
        <w:t xml:space="preserve">Одговор: </w:t>
      </w:r>
      <w:r>
        <w:t>Нова компонента структурне реформе која се односи на програм финансијске подршке привредним субјектима није тренутно детаљније ра</w:t>
      </w:r>
      <w:r>
        <w:t>зрађена, јер ће бити развијена у оквиру прве активности 1.1. „Развој програма подршке привредним субјектима“, која ће се спроводити у 2021. години, док је спровођење самог инструмента финансијске подршке планирано током 2022. и 2023. године. Детаљан опис ф</w:t>
      </w:r>
      <w:r>
        <w:t>ункционисања нове приступне тачке „Производ инфо“, заједно са пројектном документацијом за набавку недостајуће рачунарскокомуникационе опреме, софтвера и дигитализацију услуга, биће резултат реализације јавне набавке услуге израде анализе стања и потреба и</w:t>
      </w:r>
      <w:r>
        <w:t xml:space="preserve"> припреме пројектне документације за “Производ инфо” портал и сервис, који ће се спровести у првој половини 2021. године. На основу те пројектне документације унапредиће се, не само постојећи портал ТЕХНИС, већ и постојеће базе података, електронски сервис</w:t>
      </w:r>
      <w:r>
        <w:t>и, као и умрежавање Министарства привреде и кључних партнера, тј. институција инфраструктуре квалитета (ИСС, АТС и ДМДМ). Сва ова унапређења су основа за ефикасан рад Контактне тачке за производе, чиме се уједно испуњава препорука Европске комисије наведен</w:t>
      </w:r>
      <w:r>
        <w:t xml:space="preserve">а у извештајима о напретку из претходних неколико година. </w:t>
      </w:r>
    </w:p>
    <w:p w:rsidR="00E8309B" w:rsidRDefault="009D0949">
      <w:pPr>
        <w:spacing w:after="79" w:line="271" w:lineRule="auto"/>
        <w:ind w:left="-5" w:right="9"/>
      </w:pPr>
      <w:r>
        <w:rPr>
          <w:b/>
        </w:rPr>
        <w:t xml:space="preserve">ОБЛАСТ 8: СОЦИЈАЛНА ЗАШТИТА И ИНКЛУЗИЈА, УКЉУЧУЈУЋИ ЗДРАВСТВЕНУ ЗАШТИТУ  </w:t>
      </w:r>
    </w:p>
    <w:p w:rsidR="00E8309B" w:rsidRDefault="009D0949">
      <w:pPr>
        <w:spacing w:after="89"/>
        <w:ind w:left="-5" w:right="17"/>
      </w:pPr>
      <w:r>
        <w:rPr>
          <w:b/>
        </w:rPr>
        <w:t>СР 24:</w:t>
      </w:r>
      <w:r>
        <w:t xml:space="preserve"> Дигитализација здравственог система касни и реализује се парцијално а што се негативно одразило на импровизације за </w:t>
      </w:r>
      <w:r>
        <w:t>време Ковид-19 пандемије. Више пута је предлагано да пре приступања дигитализацији треба израдити и јавно верификовати концепт Интегралног информационог система здравства. Као потенцијални ризик треба додати губљење и објављивање личних података пацијената</w:t>
      </w:r>
      <w:r>
        <w:t xml:space="preserve"> до чега може доћи случајно или у виду злоупотребе личних података. </w:t>
      </w:r>
    </w:p>
    <w:p w:rsidR="00E8309B" w:rsidRDefault="009D0949">
      <w:pPr>
        <w:spacing w:after="156"/>
        <w:ind w:left="-5" w:right="17"/>
      </w:pPr>
      <w:r>
        <w:rPr>
          <w:b/>
        </w:rPr>
        <w:t>Одговор:</w:t>
      </w:r>
      <w:r>
        <w:t xml:space="preserve"> Предлог ће бити размотрен у наредном циклусу ЕРП. </w:t>
      </w:r>
    </w:p>
    <w:p w:rsidR="00E8309B" w:rsidRDefault="009D0949">
      <w:pPr>
        <w:spacing w:after="126" w:line="271" w:lineRule="auto"/>
        <w:ind w:left="-5" w:right="9"/>
      </w:pPr>
      <w:r>
        <w:rPr>
          <w:b/>
        </w:rPr>
        <w:t xml:space="preserve">Коментари: ЦЕВЕС </w:t>
      </w:r>
    </w:p>
    <w:p w:rsidR="00E8309B" w:rsidRDefault="009D0949">
      <w:pPr>
        <w:spacing w:after="88"/>
        <w:ind w:left="-5" w:right="17"/>
      </w:pPr>
      <w:r>
        <w:t xml:space="preserve">У делу Структурне реформе ЕРП предлаже се допуна областима које се односе на:  </w:t>
      </w:r>
    </w:p>
    <w:p w:rsidR="00E8309B" w:rsidRDefault="009D0949">
      <w:pPr>
        <w:spacing w:after="90"/>
        <w:ind w:left="-5" w:right="17"/>
      </w:pPr>
      <w:r>
        <w:t xml:space="preserve">1. </w:t>
      </w:r>
      <w:r>
        <w:t>Унапређење јавне управе и управљања у јавним предузећима кроз 1.1. Убрзавање процеса увођења Финансијског управљања и контроле у локалним самоуправама и јавним предузећима кроз јачање институционалних капацитета и перманентну едукацију; и 1.2.Професионализ</w:t>
      </w:r>
      <w:r>
        <w:t>ација менаџмента јавних предузећа и државних службеника кроз спровођење транспарентних конкурса и процедура запошљавања; и 2.  Унапређење управљања државном имовином кроз 2.1 Припрему јединственог регистра корисника јавних средстава; и 2.2.Припрему јединст</w:t>
      </w:r>
      <w:r>
        <w:t>веног регистра државне имовине и посредно државне имовне (имовина у власништву општина, градова, војске Републике Србије, Републичког фонда за пензионо и инвалидско осигурање, Фонда за развој и осталих државних институције); 2.3. Унапређење регулативног ок</w:t>
      </w:r>
      <w:r>
        <w:t>вира који се односи на располагање државном имовином у смислу ефикасности и транспарентности продаје државне имовине и давања исте у закуп; 2.4. Унапређење области jавно-приватног партнерства кроз измену регулативног оквира и јачање институционалних капаци</w:t>
      </w:r>
      <w:r>
        <w:t xml:space="preserve">тета у смислу ефикасности и транспарентности и 2.5. Унапређење области стечаја предузећа и банака кроз измену регулативног оквира и јачање институционалних капацитета у смислу ефикасности и транспарентности. </w:t>
      </w:r>
    </w:p>
    <w:p w:rsidR="00E8309B" w:rsidRDefault="009D0949">
      <w:pPr>
        <w:ind w:left="-5" w:right="17"/>
      </w:pPr>
      <w:r>
        <w:rPr>
          <w:b/>
        </w:rPr>
        <w:t>Одговор:</w:t>
      </w:r>
      <w:r>
        <w:t xml:space="preserve"> О корпоративном управљању јавним преду</w:t>
      </w:r>
      <w:r>
        <w:t xml:space="preserve">зећима ЕРП је садржао одговарајуће мере у претходним циклусима, које су изостављене, имајући у виду да се у овој фази ради о редовним активностима. Остале предложене активности биће разматране у наредном циклусу ЕРП. </w:t>
      </w:r>
    </w:p>
    <w:p w:rsidR="00E8309B" w:rsidRDefault="009D0949">
      <w:pPr>
        <w:spacing w:after="36" w:line="259" w:lineRule="auto"/>
        <w:ind w:left="0" w:right="0" w:firstLine="0"/>
        <w:jc w:val="left"/>
      </w:pPr>
      <w:r>
        <w:t xml:space="preserve"> </w:t>
      </w:r>
    </w:p>
    <w:p w:rsidR="00E8309B" w:rsidRDefault="009D0949">
      <w:pPr>
        <w:spacing w:after="40" w:line="259" w:lineRule="auto"/>
        <w:ind w:left="0" w:right="0" w:firstLine="0"/>
        <w:jc w:val="left"/>
      </w:pPr>
      <w:r>
        <w:t xml:space="preserve"> </w:t>
      </w:r>
    </w:p>
    <w:p w:rsidR="00E8309B" w:rsidRDefault="009D0949">
      <w:pPr>
        <w:shd w:val="clear" w:color="auto" w:fill="D9D9D9"/>
        <w:spacing w:after="163" w:line="246" w:lineRule="auto"/>
        <w:ind w:left="-5" w:right="-12"/>
        <w:jc w:val="left"/>
      </w:pPr>
      <w:r>
        <w:rPr>
          <w:b/>
        </w:rPr>
        <w:t>Додатни коментари пристигли у проц</w:t>
      </w:r>
      <w:r>
        <w:rPr>
          <w:b/>
        </w:rPr>
        <w:t xml:space="preserve">есу онлајн консултација децембар 2020–јануар 2021: </w:t>
      </w:r>
    </w:p>
    <w:p w:rsidR="00E8309B" w:rsidRDefault="009D0949">
      <w:pPr>
        <w:spacing w:after="126" w:line="271" w:lineRule="auto"/>
        <w:ind w:left="-5" w:right="9"/>
      </w:pPr>
      <w:r>
        <w:rPr>
          <w:b/>
        </w:rPr>
        <w:t xml:space="preserve">Коментари: UNDP Србија </w:t>
      </w:r>
    </w:p>
    <w:p w:rsidR="00E8309B" w:rsidRDefault="009D0949">
      <w:pPr>
        <w:spacing w:after="91"/>
        <w:ind w:left="-5" w:right="17"/>
      </w:pPr>
      <w:r>
        <w:t xml:space="preserve">Предлог је да се следеће реформске области интегришу у ЕРП: </w:t>
      </w:r>
    </w:p>
    <w:p w:rsidR="00E8309B" w:rsidRDefault="009D0949">
      <w:pPr>
        <w:numPr>
          <w:ilvl w:val="0"/>
          <w:numId w:val="58"/>
        </w:numPr>
        <w:ind w:right="17" w:hanging="360"/>
      </w:pPr>
      <w:r>
        <w:t>Подршка одрживом и зеленом опоравку и развоју у области Пољопривреда, индустрија и услуге, имајући у виду да је циркула</w:t>
      </w:r>
      <w:r>
        <w:t>рна економија само део зеленог опоравка/развоја, и да подразумева и транзицију на чисте енергије у целом реалном сектору (не само енергетици), одрживи и зелени транспорт, економски развој градова и општина ка одрживим, зеленим и паметним градовима, истражи</w:t>
      </w:r>
      <w:r>
        <w:t xml:space="preserve">вање и развој у области зеленог развоја, интегрисање одговарајућих рачуноводствених стандарда и пословног извештавања, подстицање зелених извора финансирања, итс. </w:t>
      </w:r>
    </w:p>
    <w:p w:rsidR="00E8309B" w:rsidRDefault="009D0949">
      <w:pPr>
        <w:numPr>
          <w:ilvl w:val="0"/>
          <w:numId w:val="58"/>
        </w:numPr>
        <w:ind w:right="17" w:hanging="360"/>
      </w:pPr>
      <w:r>
        <w:t xml:space="preserve">Увођење механизама и подизање капацитета за агилно управљање у области Истраживање, развој, иновације и дигитална трансформација, да би се обезбедили механизми за брзо и адекватно управљање економским опоравком и развојем. Ово подразумева улагања у људске </w:t>
      </w:r>
      <w:r>
        <w:t xml:space="preserve">и управљачке капацитете, као и технолошке и дигиталне капацитете институција за прикупљање и управљање подацима, даљу интеграцију свих база података, укључујући и коришћење података мрежа ОЦД. </w:t>
      </w:r>
    </w:p>
    <w:p w:rsidR="00E8309B" w:rsidRDefault="009D0949">
      <w:pPr>
        <w:numPr>
          <w:ilvl w:val="0"/>
          <w:numId w:val="58"/>
        </w:numPr>
        <w:ind w:right="17" w:hanging="360"/>
      </w:pPr>
      <w:r>
        <w:t>Доношење стратегије о подацима и увођење системског приступа п</w:t>
      </w:r>
      <w:r>
        <w:t xml:space="preserve">одацима који ће омогућити друштво и управљање засновано на подацима у области Истраживање, развој, иновације и дигитална трансформација. </w:t>
      </w:r>
    </w:p>
    <w:p w:rsidR="00E8309B" w:rsidRDefault="009D0949">
      <w:pPr>
        <w:numPr>
          <w:ilvl w:val="0"/>
          <w:numId w:val="58"/>
        </w:numPr>
        <w:ind w:right="17" w:hanging="360"/>
      </w:pPr>
      <w:r>
        <w:t>Унапређење регулативе која ће омогућити већи приступ изворима финансирања и развој тржишта капитала у области Пословни</w:t>
      </w:r>
      <w:r>
        <w:t xml:space="preserve"> амбијент финансирања и развој тржишта капитала и да законодавни оквир и даље ствара препреке које негативно утичу на различите и иновативне изворе финансирања (као што је Закон о девизном пословању, одсуство закона о небанкарским изворима финансирања итд)</w:t>
      </w:r>
      <w:r>
        <w:t xml:space="preserve">. </w:t>
      </w:r>
    </w:p>
    <w:p w:rsidR="00E8309B" w:rsidRDefault="009D0949">
      <w:pPr>
        <w:numPr>
          <w:ilvl w:val="0"/>
          <w:numId w:val="58"/>
        </w:numPr>
        <w:ind w:right="17" w:hanging="360"/>
      </w:pPr>
      <w:r>
        <w:t xml:space="preserve">Унапређење и прилагођавање тржишта рада новим изазовима – суочавање са трендовима будућности рада и изазовима депопулације у области Запошљавање и тржиште рада. </w:t>
      </w:r>
    </w:p>
    <w:p w:rsidR="00E8309B" w:rsidRDefault="009D0949">
      <w:pPr>
        <w:spacing w:after="91"/>
        <w:ind w:left="-5" w:right="17"/>
      </w:pPr>
      <w:r>
        <w:t>Сугерисана је допуна текста ЕРП са више информација о циљевима одрживог развоја, интеграциј</w:t>
      </w:r>
      <w:r>
        <w:t>и рањивих група на тржишту рада и економској активности, концепту управљања државним предузећима, раду инспекција, управљању капиталним инвестицијама и квалитету здравствене заштите, и предлаже увођење концепта развоја паметних градова и урбанизације, мето</w:t>
      </w:r>
      <w:r>
        <w:t xml:space="preserve">дологије за процену степена угрожености кризом. </w:t>
      </w:r>
    </w:p>
    <w:p w:rsidR="00E8309B" w:rsidRDefault="009D0949">
      <w:pPr>
        <w:ind w:left="-5" w:right="17"/>
      </w:pPr>
      <w:r>
        <w:rPr>
          <w:b/>
        </w:rPr>
        <w:t>Одговор:</w:t>
      </w:r>
      <w:r>
        <w:t xml:space="preserve"> Предлози нових СР и други коментари биће разматрани у новом ЕРП циклусу од стране РГ, циљеви одрживог развоја су приказани у иновираном ЕРП 2021-2023, док су питања управљања државним предузећима, и</w:t>
      </w:r>
      <w:r>
        <w:t xml:space="preserve">нспекцијском надзору и капиталним инвестицијамa већ биле предмет структурних реформи у претходним циклусима ЕРП. </w:t>
      </w:r>
    </w:p>
    <w:p w:rsidR="00E8309B" w:rsidRDefault="009D0949">
      <w:pPr>
        <w:ind w:left="-5" w:right="17"/>
      </w:pPr>
      <w:r>
        <w:t>Нисмо сагласни са оценом да Закон о девизном пословању представља једну од препрека које негативно утичу на приступ новим изворима финансирања</w:t>
      </w:r>
      <w:r>
        <w:t xml:space="preserve">, јер се </w:t>
      </w:r>
      <w:r>
        <w:rPr>
          <w:b/>
        </w:rPr>
        <w:t>под постојеће правне норме прописане овим законом могу подвести и нова, иновативна решења</w:t>
      </w:r>
      <w:r>
        <w:t xml:space="preserve">, која у својој основи имају одговарајући правни посао који закон већ регулише. Сматрамо да је неопходно </w:t>
      </w:r>
      <w:r>
        <w:rPr>
          <w:b/>
        </w:rPr>
        <w:t>опрезно сагледавање утицаја алтернативних извора фина</w:t>
      </w:r>
      <w:r>
        <w:rPr>
          <w:b/>
        </w:rPr>
        <w:t>нсирања на тржишту Републике Србије на макроекономску и финансијску стабилност,</w:t>
      </w:r>
      <w:r>
        <w:t xml:space="preserve"> поготово у новонасталим околностима. И поред опрезног приступа, важно је нагласити да је</w:t>
      </w:r>
      <w:r>
        <w:rPr>
          <w:b/>
        </w:rPr>
        <w:t xml:space="preserve"> подршка иновативним изворима финансирања евидентна </w:t>
      </w:r>
      <w:r>
        <w:t>– што се може видети и кроз активнос</w:t>
      </w:r>
      <w:r>
        <w:t xml:space="preserve">ти у којима је Народна банка Србије учествовала у претходном периоду. У том смислу потребно је истаћи законе који су донети 2019. године: </w:t>
      </w:r>
      <w:r>
        <w:rPr>
          <w:b/>
        </w:rPr>
        <w:t xml:space="preserve">Закон о алтернативним инвестиционим фондовима </w:t>
      </w:r>
      <w:r>
        <w:t xml:space="preserve">и </w:t>
      </w:r>
      <w:r>
        <w:rPr>
          <w:b/>
        </w:rPr>
        <w:t>Закон о отвореним инвестиционим фондовима са јавном понудом</w:t>
      </w:r>
      <w:r>
        <w:t xml:space="preserve"> којима је,</w:t>
      </w:r>
      <w:r>
        <w:t xml:space="preserve"> поред осталог, обезбеђено и проширење извора финансирања на домаћем финансијском тржишту. Поред тога, у циљу омогућавања већег приступа новим облицима финансирања, Народна банка Србије иницира и учествује у целовитом регулисању иновативних видова финансир</w:t>
      </w:r>
      <w:r>
        <w:t xml:space="preserve">ања, као што је на пример </w:t>
      </w:r>
      <w:r>
        <w:rPr>
          <w:b/>
        </w:rPr>
        <w:t xml:space="preserve">обављање послова групног финансирања – </w:t>
      </w:r>
      <w:r>
        <w:rPr>
          <w:b/>
          <w:i/>
        </w:rPr>
        <w:t>crowdfunding</w:t>
      </w:r>
      <w:r>
        <w:rPr>
          <w:b/>
        </w:rPr>
        <w:t>.</w:t>
      </w:r>
      <w:r>
        <w:t xml:space="preserve"> На овај начин Народна банка Србије ће допринети даљем унапређењу пословног амбијента и помоћи да привредни субјекти, а посебно мала и средња предузећа, лакше долазе до потребног</w:t>
      </w:r>
      <w:r>
        <w:t xml:space="preserve"> капитала за своје инвестиционе пројекте. Истовремено, указујемо да је Народна банка Србије активно учествовала и у доношењу закона којим се уређује дигитална имовина и којим је омогућен  рад платформи за трговање виртуелним валутама. </w:t>
      </w:r>
    </w:p>
    <w:p w:rsidR="00E8309B" w:rsidRDefault="009D0949">
      <w:pPr>
        <w:ind w:left="-5" w:right="17"/>
      </w:pPr>
      <w:r>
        <w:t>Када је реч о комент</w:t>
      </w:r>
      <w:r>
        <w:t xml:space="preserve">ару UNDP-а да је у контексту предузетих мера и активности на испуњење препорука ЕCOFIN потребно прецизирати како се прате изазови, ко их и како предвиђа, како се дефинишу и препознају у пракси, у праћењу изазова Народна банка Србије </w:t>
      </w:r>
      <w:r>
        <w:rPr>
          <w:b/>
        </w:rPr>
        <w:t>делује јединствено и ка</w:t>
      </w:r>
      <w:r>
        <w:rPr>
          <w:b/>
        </w:rPr>
        <w:t>о институција, и у садејству са Владом Републике Србије</w:t>
      </w:r>
      <w:r>
        <w:t>, свесна снажне интеракције економских токова и остваривања циљева економске политике, а самим тим и наших циљева – ценовне и финансијске стабилности. Сматрамо да је доследно спровођење оваквог приступ</w:t>
      </w:r>
      <w:r>
        <w:t xml:space="preserve">а кључно допринело постигнутим резултатима који су јасно мерљиви, што потврђује да смо исправно и правовремено препознали изазове и адекватно одговорили на њих. </w:t>
      </w:r>
    </w:p>
    <w:p w:rsidR="00E8309B" w:rsidRDefault="009D0949">
      <w:pPr>
        <w:spacing w:after="153"/>
        <w:ind w:left="-5" w:right="17"/>
      </w:pPr>
      <w:r>
        <w:t>С тим у вези, желимо да нагласимо да Народна банка Србије у реалном времену, а у складу с њихо</w:t>
      </w:r>
      <w:r>
        <w:t>вом расположивошћу, прати кретање широког спектра макроекономских и финансијских показатеља из међународног и домаћег окружења, као и пословног, инвестиционог и потрошачког сентимента. На бази развијених емпиријских модела и експертске процене на конзистен</w:t>
      </w:r>
      <w:r>
        <w:t xml:space="preserve">тан начин оцењујемо њихов утицај на инфлацију, финансијску стабилност и економску активност. </w:t>
      </w:r>
      <w:r>
        <w:rPr>
          <w:b/>
        </w:rPr>
        <w:t>То нам је омогућило брзу реакцију и доношење конкретних мера у које јавност има увид, а које су резултирале очувањем ценовне и финансијске стабилности, знатним убл</w:t>
      </w:r>
      <w:r>
        <w:rPr>
          <w:b/>
        </w:rPr>
        <w:t xml:space="preserve">ажавањем негативних ефеката пандемије на привреду и грађане и омогућиле убрзан привредни опоравак на одрживим основама. </w:t>
      </w:r>
    </w:p>
    <w:p w:rsidR="00E8309B" w:rsidRDefault="009D0949">
      <w:pPr>
        <w:spacing w:after="79" w:line="271" w:lineRule="auto"/>
        <w:ind w:left="-5" w:right="9"/>
      </w:pPr>
      <w:r>
        <w:rPr>
          <w:b/>
        </w:rPr>
        <w:t xml:space="preserve">Коментари: UNICEF </w:t>
      </w:r>
    </w:p>
    <w:p w:rsidR="00E8309B" w:rsidRDefault="009D0949">
      <w:pPr>
        <w:spacing w:after="98"/>
        <w:ind w:left="-5" w:right="17"/>
      </w:pPr>
      <w:r>
        <w:t>Коментари се односе на препоруке ЕКОФИН Савета, у погледу јавних консултација, координацију поводом одговора на Ковид 19, мера социјалне заштите и одрживо финансирање здравствене заштите, указујући посебно на значај финансирања и здравствених потреба ван К</w:t>
      </w:r>
      <w:r>
        <w:t xml:space="preserve">овид 19. </w:t>
      </w:r>
    </w:p>
    <w:p w:rsidR="00E8309B" w:rsidRDefault="009D0949">
      <w:pPr>
        <w:spacing w:after="20" w:line="271" w:lineRule="auto"/>
        <w:ind w:left="-5" w:right="9"/>
      </w:pPr>
      <w:r>
        <w:rPr>
          <w:b/>
        </w:rPr>
        <w:t xml:space="preserve">Коментари: Коалиција за доброчинство </w:t>
      </w:r>
    </w:p>
    <w:p w:rsidR="00E8309B" w:rsidRDefault="009D0949">
      <w:pPr>
        <w:spacing w:after="89"/>
        <w:ind w:left="-5" w:right="17"/>
      </w:pPr>
      <w:r>
        <w:t>Предлози се односе на СР 8 Увођење циркуларне економије и односе са на сугестију да: 1. укључивање мера које се односе на управљање вишковима хране у програм циркуларне економије и 2. разматрање предлога за у</w:t>
      </w:r>
      <w:r>
        <w:t>кидање ПДВ-а за донације хране пред истеком рока трајања, буду наведене у анексу ЕРП документа као подстицајне мере која ће допринети развоју циркуларне економије и смањењу загађења животне средине. Предлози су проистекли из анализа обављених у оквиру Прој</w:t>
      </w:r>
      <w:r>
        <w:t xml:space="preserve">екта за унапређење оквира за давање.  </w:t>
      </w:r>
    </w:p>
    <w:p w:rsidR="00E8309B" w:rsidRDefault="009D0949">
      <w:pPr>
        <w:spacing w:after="157"/>
        <w:ind w:left="-5" w:right="17"/>
      </w:pPr>
      <w:r>
        <w:rPr>
          <w:b/>
        </w:rPr>
        <w:t>Одговор:</w:t>
      </w:r>
      <w:r>
        <w:t xml:space="preserve"> Еx-ante анализа ефеката за циркуларну економију је израђена 2019. године кроз PLAC III пројекат који је финасирала ЕУ. Број дана за израду овог документа је био веома ограничен и стога нису могле да буду обух</w:t>
      </w:r>
      <w:r>
        <w:t>ваћене све области цикруларне економије. Слажемо се да је проблематика вишкова од хране веома важна и биће укључена у Програм за циркуларну економију са акционим планом за три године. Пошто ће се израда  овог документа финасирати из буџета, приликом распис</w:t>
      </w:r>
      <w:r>
        <w:t>ивања јавне набавке један од критеријума за понуђаче биће да се користе сви релевантни документи у циљу добијања што квалитетнијх података. Поред тога, потребно је да предлог за укидање ПДВ за донацију хране пред истеком рока трајања буде посебно размотрен</w:t>
      </w:r>
      <w:r>
        <w:t xml:space="preserve">. </w:t>
      </w:r>
    </w:p>
    <w:p w:rsidR="00E8309B" w:rsidRDefault="009D0949">
      <w:pPr>
        <w:spacing w:after="79" w:line="271" w:lineRule="auto"/>
        <w:ind w:left="-5" w:right="9"/>
      </w:pPr>
      <w:r>
        <w:rPr>
          <w:b/>
        </w:rPr>
        <w:t xml:space="preserve">Коментари: НАЛЕД </w:t>
      </w:r>
    </w:p>
    <w:p w:rsidR="00E8309B" w:rsidRDefault="009D0949">
      <w:pPr>
        <w:ind w:left="-5" w:right="17"/>
      </w:pPr>
      <w:r>
        <w:rPr>
          <w:b/>
        </w:rPr>
        <w:t>СР 16. Повећање доступности еУправе унапређењем инфраструктуре и увођењем нових технологија</w:t>
      </w:r>
      <w:r>
        <w:t xml:space="preserve"> и </w:t>
      </w:r>
      <w:r>
        <w:rPr>
          <w:b/>
        </w:rPr>
        <w:t xml:space="preserve">СР 17. Развој и унапређење националне информационо-комуникационе инфраструктуре. </w:t>
      </w:r>
      <w:r>
        <w:t>Указано је на потребу за транспоновањем директиве ЕУ 2014/16</w:t>
      </w:r>
      <w:r>
        <w:t xml:space="preserve"> о олакшаној изградњи инвраструктуре (поред новог Закона о еКомуникацијама), као неопходан предуслов за аукцију 5G спектра (најављен за 2022) и развој мрежа нове генерације на целој територији Србије, чије спровођење је МТТТ почело кроз пројекат „Повезане </w:t>
      </w:r>
      <w:r>
        <w:t>школе“, односно развој широкопојасног интернета у руралним подручјима Србије. Сугерише се да се у ЕРП наведу и постојеће препреке у регулаторном оквиру које се односе на добијање дозвола за телекомуникациону инфраструктуру (дозвола за регулатора, дозвола з</w:t>
      </w:r>
      <w:r>
        <w:t xml:space="preserve">а изградњу и процедура у области заштите животне средине), што је препознато у ризицима СР. Иако је назначено да СР нема утицај на животну средину и здравље, регулатива у тој области (Закон о нејонизујућем зрачењу, Закон о заштити животне средине, планска </w:t>
      </w:r>
      <w:r>
        <w:t>акта ЈЛС која се заснивају на овим законима) и њена неконзистентна примена на локалном нивоу отежава омогућавање адекватне покривености мрежама нове генерације. Указује се и на потребу за бољом координацијом у планирању инфраструктурних радова и бољем кори</w:t>
      </w:r>
      <w:r>
        <w:t xml:space="preserve">шћењу постојеће инфраструктуре кроз транспоновање CRD у национални оквир и изради ефикасног механизма (електронске платформе) за њену имплементацију. </w:t>
      </w:r>
    </w:p>
    <w:p w:rsidR="00E8309B" w:rsidRDefault="009D0949">
      <w:pPr>
        <w:spacing w:after="104"/>
        <w:ind w:left="-5" w:right="17"/>
      </w:pPr>
      <w:r>
        <w:rPr>
          <w:b/>
        </w:rPr>
        <w:t xml:space="preserve">Одговор: </w:t>
      </w:r>
      <w:r>
        <w:t xml:space="preserve">Планирано је доношење Закона о широкопојасној инфраструктури којим ће бити транспонована поменута „Cost reduction“ директива до краја 2021. године. </w:t>
      </w:r>
      <w:r>
        <w:rPr>
          <w:b/>
        </w:rPr>
        <w:t xml:space="preserve"> </w:t>
      </w:r>
    </w:p>
    <w:p w:rsidR="00E8309B" w:rsidRDefault="009D0949">
      <w:pPr>
        <w:spacing w:after="91" w:line="259" w:lineRule="auto"/>
        <w:ind w:left="0" w:right="0" w:firstLine="0"/>
        <w:jc w:val="left"/>
      </w:pPr>
      <w:r>
        <w:rPr>
          <w:b/>
        </w:rPr>
        <w:t xml:space="preserve"> </w:t>
      </w:r>
    </w:p>
    <w:p w:rsidR="00E8309B" w:rsidRDefault="009D0949">
      <w:pPr>
        <w:spacing w:after="0" w:line="259" w:lineRule="auto"/>
        <w:ind w:left="0" w:right="0" w:firstLine="0"/>
        <w:jc w:val="left"/>
      </w:pPr>
      <w:r>
        <w:t xml:space="preserve"> </w:t>
      </w:r>
    </w:p>
    <w:p w:rsidR="00E8309B" w:rsidRDefault="009D0949">
      <w:pPr>
        <w:spacing w:after="0" w:line="259" w:lineRule="auto"/>
        <w:ind w:left="0" w:right="0" w:firstLine="0"/>
        <w:jc w:val="left"/>
      </w:pPr>
      <w:r>
        <w:rPr>
          <w:b/>
        </w:rPr>
        <w:t xml:space="preserve"> </w:t>
      </w:r>
      <w:r>
        <w:rPr>
          <w:b/>
        </w:rPr>
        <w:tab/>
        <w:t xml:space="preserve"> </w:t>
      </w:r>
      <w:r>
        <w:br w:type="page"/>
      </w:r>
    </w:p>
    <w:p w:rsidR="00E8309B" w:rsidRDefault="009D0949">
      <w:pPr>
        <w:pStyle w:val="Heading1"/>
        <w:numPr>
          <w:ilvl w:val="0"/>
          <w:numId w:val="0"/>
        </w:numPr>
        <w:spacing w:after="101"/>
        <w:ind w:left="-5" w:right="9"/>
        <w:jc w:val="both"/>
      </w:pPr>
      <w:r>
        <w:rPr>
          <w:sz w:val="24"/>
        </w:rPr>
        <w:t xml:space="preserve">Прилог 2: Списак институција које учествују у изради ЕРП 2021-2023 </w:t>
      </w:r>
    </w:p>
    <w:p w:rsidR="00E8309B" w:rsidRDefault="009D0949">
      <w:pPr>
        <w:spacing w:after="16" w:line="259" w:lineRule="auto"/>
        <w:ind w:left="0" w:right="0" w:firstLine="0"/>
        <w:jc w:val="left"/>
      </w:pPr>
      <w:r>
        <w:t xml:space="preserve"> </w:t>
      </w:r>
    </w:p>
    <w:p w:rsidR="00E8309B" w:rsidRDefault="009D0949">
      <w:pPr>
        <w:spacing w:after="25" w:line="269" w:lineRule="auto"/>
        <w:ind w:left="-5" w:right="0"/>
        <w:jc w:val="left"/>
      </w:pPr>
      <w:r>
        <w:t xml:space="preserve">Решењем министра финансија </w:t>
      </w:r>
      <w:r>
        <w:t xml:space="preserve">бр. 119-01-282/2019-24, од 18. јула 2019. године, образована је Радна група за израду и праћење спровођења ЕРП-а. Чланове и заменике чланова Радне групе чине представници следећих институција: </w:t>
      </w:r>
    </w:p>
    <w:p w:rsidR="00E8309B" w:rsidRDefault="009D0949">
      <w:pPr>
        <w:spacing w:after="20" w:line="259" w:lineRule="auto"/>
        <w:ind w:left="0" w:right="0" w:firstLine="0"/>
        <w:jc w:val="left"/>
      </w:pPr>
      <w:r>
        <w:t xml:space="preserve"> </w:t>
      </w:r>
    </w:p>
    <w:p w:rsidR="00E8309B" w:rsidRDefault="009D0949">
      <w:pPr>
        <w:numPr>
          <w:ilvl w:val="0"/>
          <w:numId w:val="59"/>
        </w:numPr>
        <w:ind w:right="17" w:hanging="139"/>
      </w:pPr>
      <w:r>
        <w:t xml:space="preserve">Кабинет председника Владе </w:t>
      </w:r>
    </w:p>
    <w:p w:rsidR="00E8309B" w:rsidRDefault="009D0949">
      <w:pPr>
        <w:numPr>
          <w:ilvl w:val="0"/>
          <w:numId w:val="59"/>
        </w:numPr>
        <w:ind w:right="17" w:hanging="139"/>
      </w:pPr>
      <w:r>
        <w:t xml:space="preserve">Mинистарство финансија </w:t>
      </w:r>
    </w:p>
    <w:p w:rsidR="00E8309B" w:rsidRDefault="009D0949">
      <w:pPr>
        <w:numPr>
          <w:ilvl w:val="0"/>
          <w:numId w:val="59"/>
        </w:numPr>
        <w:ind w:right="17" w:hanging="139"/>
      </w:pPr>
      <w:r>
        <w:t>Републичк</w:t>
      </w:r>
      <w:r>
        <w:t xml:space="preserve">и секретаријат за јавне политике </w:t>
      </w:r>
    </w:p>
    <w:p w:rsidR="00E8309B" w:rsidRDefault="009D0949">
      <w:pPr>
        <w:numPr>
          <w:ilvl w:val="0"/>
          <w:numId w:val="59"/>
        </w:numPr>
        <w:ind w:right="17" w:hanging="139"/>
      </w:pPr>
      <w:r>
        <w:t xml:space="preserve">Министарство привреде </w:t>
      </w:r>
    </w:p>
    <w:p w:rsidR="00E8309B" w:rsidRDefault="009D0949">
      <w:pPr>
        <w:numPr>
          <w:ilvl w:val="0"/>
          <w:numId w:val="59"/>
        </w:numPr>
        <w:ind w:right="17" w:hanging="139"/>
      </w:pPr>
      <w:r>
        <w:t xml:space="preserve">Министарство трговине, туризма и телекомуникација </w:t>
      </w:r>
    </w:p>
    <w:p w:rsidR="00E8309B" w:rsidRDefault="009D0949">
      <w:pPr>
        <w:numPr>
          <w:ilvl w:val="0"/>
          <w:numId w:val="59"/>
        </w:numPr>
        <w:ind w:right="17" w:hanging="139"/>
      </w:pPr>
      <w:r>
        <w:t xml:space="preserve">Министарство државне управе и локалне самоуправе </w:t>
      </w:r>
    </w:p>
    <w:p w:rsidR="00E8309B" w:rsidRDefault="009D0949">
      <w:pPr>
        <w:numPr>
          <w:ilvl w:val="0"/>
          <w:numId w:val="59"/>
        </w:numPr>
        <w:ind w:right="17" w:hanging="139"/>
      </w:pPr>
      <w:r>
        <w:t xml:space="preserve">Министарство правде </w:t>
      </w:r>
    </w:p>
    <w:p w:rsidR="00E8309B" w:rsidRDefault="009D0949">
      <w:pPr>
        <w:numPr>
          <w:ilvl w:val="0"/>
          <w:numId w:val="59"/>
        </w:numPr>
        <w:ind w:right="17" w:hanging="139"/>
      </w:pPr>
      <w:r>
        <w:t xml:space="preserve">Министарство за европске интеграције </w:t>
      </w:r>
    </w:p>
    <w:p w:rsidR="00E8309B" w:rsidRDefault="009D0949">
      <w:pPr>
        <w:numPr>
          <w:ilvl w:val="0"/>
          <w:numId w:val="59"/>
        </w:numPr>
        <w:ind w:right="17" w:hanging="139"/>
      </w:pPr>
      <w:r>
        <w:t xml:space="preserve">Министарство здравља </w:t>
      </w:r>
    </w:p>
    <w:p w:rsidR="00E8309B" w:rsidRDefault="009D0949">
      <w:pPr>
        <w:numPr>
          <w:ilvl w:val="0"/>
          <w:numId w:val="59"/>
        </w:numPr>
        <w:ind w:right="17" w:hanging="139"/>
      </w:pPr>
      <w:r>
        <w:t xml:space="preserve">Министарство просвете, науке и технолошког развоја </w:t>
      </w:r>
    </w:p>
    <w:p w:rsidR="00E8309B" w:rsidRDefault="009D0949">
      <w:pPr>
        <w:numPr>
          <w:ilvl w:val="0"/>
          <w:numId w:val="59"/>
        </w:numPr>
        <w:ind w:right="17" w:hanging="139"/>
      </w:pPr>
      <w:r>
        <w:t xml:space="preserve">Министарство пољопривреде, шумарства и водопривреде </w:t>
      </w:r>
    </w:p>
    <w:p w:rsidR="00E8309B" w:rsidRDefault="009D0949">
      <w:pPr>
        <w:numPr>
          <w:ilvl w:val="0"/>
          <w:numId w:val="59"/>
        </w:numPr>
        <w:ind w:right="17" w:hanging="139"/>
      </w:pPr>
      <w:r>
        <w:t xml:space="preserve">Министарство заштите животне средине </w:t>
      </w:r>
    </w:p>
    <w:p w:rsidR="00E8309B" w:rsidRDefault="009D0949">
      <w:pPr>
        <w:numPr>
          <w:ilvl w:val="0"/>
          <w:numId w:val="59"/>
        </w:numPr>
        <w:ind w:right="17" w:hanging="139"/>
      </w:pPr>
      <w:r>
        <w:t xml:space="preserve">Министарство рударства и енергетике </w:t>
      </w:r>
    </w:p>
    <w:p w:rsidR="00E8309B" w:rsidRDefault="009D0949">
      <w:pPr>
        <w:numPr>
          <w:ilvl w:val="0"/>
          <w:numId w:val="59"/>
        </w:numPr>
        <w:ind w:right="17" w:hanging="139"/>
      </w:pPr>
      <w:r>
        <w:t xml:space="preserve">Министарство за рад, запошљавање, борачка и социјална питања </w:t>
      </w:r>
    </w:p>
    <w:p w:rsidR="00E8309B" w:rsidRDefault="009D0949">
      <w:pPr>
        <w:numPr>
          <w:ilvl w:val="0"/>
          <w:numId w:val="59"/>
        </w:numPr>
        <w:ind w:right="17" w:hanging="139"/>
      </w:pPr>
      <w:r>
        <w:t>Министарство г</w:t>
      </w:r>
      <w:r>
        <w:t xml:space="preserve">рађевинарства, саобраћаја и инфраструктуре </w:t>
      </w:r>
    </w:p>
    <w:p w:rsidR="00E8309B" w:rsidRDefault="009D0949">
      <w:pPr>
        <w:numPr>
          <w:ilvl w:val="0"/>
          <w:numId w:val="59"/>
        </w:numPr>
        <w:ind w:right="17" w:hanging="139"/>
      </w:pPr>
      <w:r>
        <w:t xml:space="preserve">Министарство омладине и спорта </w:t>
      </w:r>
    </w:p>
    <w:p w:rsidR="00E8309B" w:rsidRDefault="009D0949">
      <w:pPr>
        <w:numPr>
          <w:ilvl w:val="0"/>
          <w:numId w:val="59"/>
        </w:numPr>
        <w:ind w:right="17" w:hanging="139"/>
      </w:pPr>
      <w:r>
        <w:t xml:space="preserve">Министарство одбране </w:t>
      </w:r>
    </w:p>
    <w:p w:rsidR="00E8309B" w:rsidRDefault="009D0949">
      <w:pPr>
        <w:numPr>
          <w:ilvl w:val="0"/>
          <w:numId w:val="59"/>
        </w:numPr>
        <w:ind w:right="17" w:hanging="139"/>
      </w:pPr>
      <w:r>
        <w:t xml:space="preserve">Министарство културе и информисања </w:t>
      </w:r>
    </w:p>
    <w:p w:rsidR="00E8309B" w:rsidRDefault="009D0949">
      <w:pPr>
        <w:numPr>
          <w:ilvl w:val="0"/>
          <w:numId w:val="59"/>
        </w:numPr>
        <w:ind w:right="17" w:hanging="139"/>
      </w:pPr>
      <w:r>
        <w:t xml:space="preserve">Министарство спољних послова </w:t>
      </w:r>
    </w:p>
    <w:p w:rsidR="00E8309B" w:rsidRDefault="009D0949">
      <w:pPr>
        <w:numPr>
          <w:ilvl w:val="0"/>
          <w:numId w:val="59"/>
        </w:numPr>
        <w:ind w:right="17" w:hanging="139"/>
      </w:pPr>
      <w:r>
        <w:t xml:space="preserve">Кабинет министра без портфеља задужен за регионални развој и рад јавних предузећа </w:t>
      </w:r>
    </w:p>
    <w:p w:rsidR="00E8309B" w:rsidRDefault="009D0949">
      <w:pPr>
        <w:numPr>
          <w:ilvl w:val="0"/>
          <w:numId w:val="59"/>
        </w:numPr>
        <w:ind w:right="17" w:hanging="139"/>
      </w:pPr>
      <w:r>
        <w:t>Кабинет м</w:t>
      </w:r>
      <w:r>
        <w:t xml:space="preserve">инистра без портфеља задужен за иновације и технолошки развој </w:t>
      </w:r>
    </w:p>
    <w:p w:rsidR="00E8309B" w:rsidRDefault="009D0949">
      <w:pPr>
        <w:numPr>
          <w:ilvl w:val="0"/>
          <w:numId w:val="59"/>
        </w:numPr>
        <w:ind w:right="17" w:hanging="139"/>
      </w:pPr>
      <w:r>
        <w:t xml:space="preserve">Народна банка Србије </w:t>
      </w:r>
    </w:p>
    <w:p w:rsidR="00E8309B" w:rsidRDefault="009D0949">
      <w:pPr>
        <w:numPr>
          <w:ilvl w:val="0"/>
          <w:numId w:val="59"/>
        </w:numPr>
        <w:ind w:right="17" w:hanging="139"/>
      </w:pPr>
      <w:r>
        <w:t xml:space="preserve">Републички завод за статистику </w:t>
      </w:r>
    </w:p>
    <w:p w:rsidR="00E8309B" w:rsidRDefault="009D0949">
      <w:pPr>
        <w:numPr>
          <w:ilvl w:val="0"/>
          <w:numId w:val="59"/>
        </w:numPr>
        <w:ind w:right="17" w:hanging="139"/>
      </w:pPr>
      <w:r>
        <w:t xml:space="preserve">Републички геодетски завод </w:t>
      </w:r>
    </w:p>
    <w:p w:rsidR="00E8309B" w:rsidRDefault="009D0949">
      <w:pPr>
        <w:numPr>
          <w:ilvl w:val="0"/>
          <w:numId w:val="59"/>
        </w:numPr>
        <w:ind w:right="17" w:hanging="139"/>
      </w:pPr>
      <w:r>
        <w:t xml:space="preserve">Национална служба за запошљавање </w:t>
      </w:r>
    </w:p>
    <w:p w:rsidR="00E8309B" w:rsidRDefault="009D0949">
      <w:pPr>
        <w:numPr>
          <w:ilvl w:val="0"/>
          <w:numId w:val="59"/>
        </w:numPr>
        <w:ind w:right="17" w:hanging="139"/>
      </w:pPr>
      <w:r>
        <w:t xml:space="preserve">Тим за социјално укључивање и смањење сиромаштва </w:t>
      </w:r>
    </w:p>
    <w:p w:rsidR="00E8309B" w:rsidRDefault="009D0949">
      <w:pPr>
        <w:numPr>
          <w:ilvl w:val="0"/>
          <w:numId w:val="59"/>
        </w:numPr>
        <w:ind w:right="17" w:hanging="139"/>
      </w:pPr>
      <w:r>
        <w:t xml:space="preserve">Управа за јавне набавке </w:t>
      </w:r>
    </w:p>
    <w:p w:rsidR="00E8309B" w:rsidRDefault="009D0949">
      <w:pPr>
        <w:numPr>
          <w:ilvl w:val="0"/>
          <w:numId w:val="59"/>
        </w:numPr>
        <w:ind w:right="17" w:hanging="139"/>
      </w:pPr>
      <w:r>
        <w:t>Ка</w:t>
      </w:r>
      <w:r>
        <w:t xml:space="preserve">нцеларија за информационе технологије и електронску управу </w:t>
      </w:r>
    </w:p>
    <w:p w:rsidR="00E8309B" w:rsidRDefault="009D0949">
      <w:pPr>
        <w:numPr>
          <w:ilvl w:val="0"/>
          <w:numId w:val="59"/>
        </w:numPr>
        <w:ind w:right="17" w:hanging="139"/>
      </w:pPr>
      <w:r>
        <w:t xml:space="preserve">Комисија за контролу државне помоћи </w:t>
      </w:r>
    </w:p>
    <w:sectPr w:rsidR="00E8309B">
      <w:headerReference w:type="even" r:id="rId267"/>
      <w:headerReference w:type="default" r:id="rId268"/>
      <w:footerReference w:type="even" r:id="rId269"/>
      <w:footerReference w:type="default" r:id="rId270"/>
      <w:headerReference w:type="first" r:id="rId271"/>
      <w:footerReference w:type="first" r:id="rId272"/>
      <w:pgSz w:w="11906" w:h="16838"/>
      <w:pgMar w:top="1187" w:right="1133" w:bottom="1140" w:left="1138" w:header="720" w:footer="725"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9D0949" w:rsidRDefault="009D0949">
      <w:pPr>
        <w:spacing w:after="0" w:line="240" w:lineRule="auto"/>
      </w:pPr>
      <w:r>
        <w:separator/>
      </w:r>
    </w:p>
  </w:endnote>
  <w:endnote w:type="continuationSeparator" w:id="0">
    <w:p w:rsidR="009D0949" w:rsidRDefault="009D094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Verdana">
    <w:panose1 w:val="020B0604030504040204"/>
    <w:charset w:val="00"/>
    <w:family w:val="swiss"/>
    <w:pitch w:val="variable"/>
    <w:sig w:usb0="A00006FF" w:usb1="4000205B" w:usb2="00000010" w:usb3="00000000" w:csb0="0000019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8309B" w:rsidRDefault="009D0949">
    <w:pPr>
      <w:spacing w:after="0" w:line="259" w:lineRule="auto"/>
      <w:ind w:left="0" w:right="26" w:firstLine="0"/>
      <w:jc w:val="right"/>
    </w:pPr>
    <w:r>
      <w:fldChar w:fldCharType="begin"/>
    </w:r>
    <w:r>
      <w:instrText xml:space="preserve"> PAGE   \* MERGEFORMAT </w:instrText>
    </w:r>
    <w:r>
      <w:fldChar w:fldCharType="separate"/>
    </w:r>
    <w:r>
      <w:rPr>
        <w:sz w:val="22"/>
      </w:rPr>
      <w:t>2</w:t>
    </w:r>
    <w:r>
      <w:rPr>
        <w:sz w:val="22"/>
      </w:rPr>
      <w:fldChar w:fldCharType="end"/>
    </w:r>
    <w:r>
      <w:rPr>
        <w:sz w:val="22"/>
      </w:rPr>
      <w:t xml:space="preserve"> </w:t>
    </w: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8309B" w:rsidRDefault="009D0949">
    <w:pPr>
      <w:spacing w:after="0" w:line="259" w:lineRule="auto"/>
      <w:ind w:left="0" w:right="26" w:firstLine="0"/>
      <w:jc w:val="right"/>
    </w:pPr>
    <w:r>
      <w:fldChar w:fldCharType="begin"/>
    </w:r>
    <w:r>
      <w:instrText xml:space="preserve"> PAGE   \* MERGEFORMAT </w:instrText>
    </w:r>
    <w:r>
      <w:fldChar w:fldCharType="separate"/>
    </w:r>
    <w:r w:rsidR="00F6181F" w:rsidRPr="00F6181F">
      <w:rPr>
        <w:noProof/>
        <w:sz w:val="22"/>
      </w:rPr>
      <w:t>10</w:t>
    </w:r>
    <w:r>
      <w:rPr>
        <w:sz w:val="22"/>
      </w:rPr>
      <w:fldChar w:fldCharType="end"/>
    </w:r>
    <w:r>
      <w:rPr>
        <w:sz w:val="22"/>
      </w:rPr>
      <w:t xml:space="preserve"> </w:t>
    </w: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8309B" w:rsidRDefault="00E8309B">
    <w:pPr>
      <w:spacing w:after="160" w:line="259" w:lineRule="auto"/>
      <w:ind w:left="0" w:right="0" w:firstLine="0"/>
      <w:jc w:val="left"/>
    </w:pPr>
  </w:p>
</w:ftr>
</file>

<file path=word/footer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8309B" w:rsidRDefault="009D0949">
    <w:pPr>
      <w:spacing w:after="0" w:line="259" w:lineRule="auto"/>
      <w:ind w:left="0" w:right="-50" w:firstLine="0"/>
      <w:jc w:val="right"/>
    </w:pPr>
    <w:r>
      <w:fldChar w:fldCharType="begin"/>
    </w:r>
    <w:r>
      <w:instrText xml:space="preserve"> PAGE   \* MERGEFORMAT </w:instrText>
    </w:r>
    <w:r>
      <w:fldChar w:fldCharType="separate"/>
    </w:r>
    <w:r>
      <w:rPr>
        <w:sz w:val="22"/>
      </w:rPr>
      <w:t>188</w:t>
    </w:r>
    <w:r>
      <w:rPr>
        <w:sz w:val="22"/>
      </w:rPr>
      <w:fldChar w:fldCharType="end"/>
    </w:r>
    <w:r>
      <w:rPr>
        <w:sz w:val="22"/>
      </w:rPr>
      <w:t xml:space="preserve"> </w:t>
    </w:r>
  </w:p>
</w:ftr>
</file>

<file path=word/footer5.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8309B" w:rsidRDefault="009D0949">
    <w:pPr>
      <w:spacing w:after="0" w:line="259" w:lineRule="auto"/>
      <w:ind w:left="0" w:right="-50" w:firstLine="0"/>
      <w:jc w:val="right"/>
    </w:pPr>
    <w:r>
      <w:fldChar w:fldCharType="begin"/>
    </w:r>
    <w:r>
      <w:instrText xml:space="preserve"> PAGE   \* MERGEFORMAT </w:instrText>
    </w:r>
    <w:r>
      <w:fldChar w:fldCharType="separate"/>
    </w:r>
    <w:r>
      <w:rPr>
        <w:sz w:val="22"/>
      </w:rPr>
      <w:t>188</w:t>
    </w:r>
    <w:r>
      <w:rPr>
        <w:sz w:val="22"/>
      </w:rPr>
      <w:fldChar w:fldCharType="end"/>
    </w:r>
    <w:r>
      <w:rPr>
        <w:sz w:val="22"/>
      </w:rPr>
      <w:t xml:space="preserve"> </w:t>
    </w:r>
  </w:p>
</w:ftr>
</file>

<file path=word/footer6.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8309B" w:rsidRDefault="00E8309B">
    <w:pPr>
      <w:spacing w:after="160" w:line="259" w:lineRule="auto"/>
      <w:ind w:left="0" w:right="0" w:firstLine="0"/>
      <w:jc w:val="left"/>
    </w:pPr>
  </w:p>
</w:ftr>
</file>

<file path=word/footer7.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8309B" w:rsidRDefault="009D0949">
    <w:pPr>
      <w:spacing w:after="0" w:line="259" w:lineRule="auto"/>
      <w:ind w:left="0" w:right="-1202" w:firstLine="0"/>
      <w:jc w:val="right"/>
    </w:pPr>
    <w:r>
      <w:fldChar w:fldCharType="begin"/>
    </w:r>
    <w:r>
      <w:instrText xml:space="preserve"> PAGE   \* MERGEFORMAT </w:instrText>
    </w:r>
    <w:r>
      <w:fldChar w:fldCharType="separate"/>
    </w:r>
    <w:r>
      <w:rPr>
        <w:sz w:val="22"/>
      </w:rPr>
      <w:t>2</w:t>
    </w:r>
    <w:r>
      <w:rPr>
        <w:sz w:val="22"/>
      </w:rPr>
      <w:fldChar w:fldCharType="end"/>
    </w:r>
    <w:r>
      <w:rPr>
        <w:sz w:val="22"/>
      </w:rPr>
      <w:t xml:space="preserve"> </w:t>
    </w:r>
  </w:p>
</w:ftr>
</file>

<file path=word/footer8.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8309B" w:rsidRDefault="009D0949">
    <w:pPr>
      <w:spacing w:after="0" w:line="259" w:lineRule="auto"/>
      <w:ind w:left="0" w:right="-1202" w:firstLine="0"/>
      <w:jc w:val="right"/>
    </w:pPr>
    <w:r>
      <w:fldChar w:fldCharType="begin"/>
    </w:r>
    <w:r>
      <w:instrText xml:space="preserve"> PAGE   \* MERGEFORMAT </w:instrText>
    </w:r>
    <w:r>
      <w:fldChar w:fldCharType="separate"/>
    </w:r>
    <w:r>
      <w:rPr>
        <w:sz w:val="22"/>
      </w:rPr>
      <w:t>2</w:t>
    </w:r>
    <w:r>
      <w:rPr>
        <w:sz w:val="22"/>
      </w:rPr>
      <w:fldChar w:fldCharType="end"/>
    </w:r>
    <w:r>
      <w:rPr>
        <w:sz w:val="22"/>
      </w:rPr>
      <w:t xml:space="preserve"> </w:t>
    </w:r>
  </w:p>
</w:ftr>
</file>

<file path=word/footer9.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8309B" w:rsidRDefault="00E8309B">
    <w:pPr>
      <w:spacing w:after="160" w:line="259" w:lineRule="auto"/>
      <w:ind w:left="0" w:right="0" w:firstLine="0"/>
      <w:jc w:val="left"/>
    </w:pPr>
  </w:p>
</w:ftr>
</file>

<file path=word/footer10.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8309B" w:rsidRDefault="009D0949">
    <w:pPr>
      <w:spacing w:after="0" w:line="259" w:lineRule="auto"/>
      <w:ind w:left="0" w:right="-5039" w:firstLine="0"/>
      <w:jc w:val="right"/>
    </w:pPr>
    <w:r>
      <w:fldChar w:fldCharType="begin"/>
    </w:r>
    <w:r>
      <w:instrText xml:space="preserve"> PAGE   \* MERGEFORMAT </w:instrText>
    </w:r>
    <w:r>
      <w:fldChar w:fldCharType="separate"/>
    </w:r>
    <w:r>
      <w:rPr>
        <w:sz w:val="22"/>
      </w:rPr>
      <w:t>188</w:t>
    </w:r>
    <w:r>
      <w:rPr>
        <w:sz w:val="22"/>
      </w:rPr>
      <w:fldChar w:fldCharType="end"/>
    </w:r>
    <w:r>
      <w:rPr>
        <w:sz w:val="22"/>
      </w:rPr>
      <w:t xml:space="preserve"> </w:t>
    </w:r>
  </w:p>
</w:ftr>
</file>

<file path=word/footer1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8309B" w:rsidRDefault="009D0949">
    <w:pPr>
      <w:spacing w:after="0" w:line="259" w:lineRule="auto"/>
      <w:ind w:left="0" w:right="-5039" w:firstLine="0"/>
      <w:jc w:val="right"/>
    </w:pPr>
    <w:r>
      <w:fldChar w:fldCharType="begin"/>
    </w:r>
    <w:r>
      <w:instrText xml:space="preserve"> PAGE   \* MERGEFORMAT </w:instrText>
    </w:r>
    <w:r>
      <w:fldChar w:fldCharType="separate"/>
    </w:r>
    <w:r>
      <w:rPr>
        <w:sz w:val="22"/>
      </w:rPr>
      <w:t>188</w:t>
    </w:r>
    <w:r>
      <w:rPr>
        <w:sz w:val="22"/>
      </w:rPr>
      <w:fldChar w:fldCharType="end"/>
    </w:r>
    <w:r>
      <w:rPr>
        <w:sz w:val="22"/>
      </w:rPr>
      <w:t xml:space="preserve"> </w:t>
    </w:r>
  </w:p>
</w:ftr>
</file>

<file path=word/footer1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8309B" w:rsidRDefault="00E8309B">
    <w:pPr>
      <w:spacing w:after="160" w:line="259" w:lineRule="auto"/>
      <w:ind w:left="0" w:right="0" w:firstLine="0"/>
      <w:jc w:val="left"/>
    </w:pPr>
  </w:p>
</w:ftr>
</file>

<file path=word/footer1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8309B" w:rsidRDefault="009D0949">
    <w:pPr>
      <w:spacing w:after="0" w:line="259" w:lineRule="auto"/>
      <w:ind w:left="0" w:right="-1" w:firstLine="0"/>
      <w:jc w:val="right"/>
    </w:pPr>
    <w:r>
      <w:fldChar w:fldCharType="begin"/>
    </w:r>
    <w:r>
      <w:instrText xml:space="preserve"> PAGE   \* MERGEFORMAT </w:instrText>
    </w:r>
    <w:r>
      <w:fldChar w:fldCharType="separate"/>
    </w:r>
    <w:r>
      <w:rPr>
        <w:sz w:val="22"/>
      </w:rPr>
      <w:t>2</w:t>
    </w:r>
    <w:r>
      <w:rPr>
        <w:sz w:val="22"/>
      </w:rPr>
      <w:fldChar w:fldCharType="end"/>
    </w:r>
    <w:r>
      <w:rPr>
        <w:sz w:val="22"/>
      </w:rPr>
      <w:t xml:space="preserve"> </w:t>
    </w:r>
  </w:p>
</w:ftr>
</file>

<file path=word/footer1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8309B" w:rsidRDefault="009D0949">
    <w:pPr>
      <w:spacing w:after="0" w:line="259" w:lineRule="auto"/>
      <w:ind w:left="0" w:right="-1" w:firstLine="0"/>
      <w:jc w:val="right"/>
    </w:pPr>
    <w:r>
      <w:fldChar w:fldCharType="begin"/>
    </w:r>
    <w:r>
      <w:instrText xml:space="preserve"> PAGE   \* MERGEFORMAT </w:instrText>
    </w:r>
    <w:r>
      <w:fldChar w:fldCharType="separate"/>
    </w:r>
    <w:r>
      <w:rPr>
        <w:sz w:val="22"/>
      </w:rPr>
      <w:t>2</w:t>
    </w:r>
    <w:r>
      <w:rPr>
        <w:sz w:val="22"/>
      </w:rPr>
      <w:fldChar w:fldCharType="end"/>
    </w:r>
    <w:r>
      <w:rPr>
        <w:sz w:val="22"/>
      </w:rPr>
      <w:t xml:space="preserve"> </w:t>
    </w:r>
  </w:p>
</w:ftr>
</file>

<file path=word/footer15.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8309B" w:rsidRDefault="00E8309B">
    <w:pPr>
      <w:spacing w:after="160" w:line="259" w:lineRule="auto"/>
      <w:ind w:left="0" w:right="0" w:firstLine="0"/>
      <w:jc w:val="left"/>
    </w:pPr>
  </w:p>
</w:ftr>
</file>

<file path=word/footer16.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8309B" w:rsidRDefault="009D0949">
    <w:pPr>
      <w:spacing w:after="0" w:line="259" w:lineRule="auto"/>
      <w:ind w:left="0" w:right="1" w:firstLine="0"/>
      <w:jc w:val="right"/>
    </w:pPr>
    <w:r>
      <w:fldChar w:fldCharType="begin"/>
    </w:r>
    <w:r>
      <w:instrText xml:space="preserve"> PAGE   \* MERGEFORMAT </w:instrText>
    </w:r>
    <w:r>
      <w:fldChar w:fldCharType="separate"/>
    </w:r>
    <w:r>
      <w:rPr>
        <w:sz w:val="22"/>
      </w:rPr>
      <w:t>2</w:t>
    </w:r>
    <w:r>
      <w:rPr>
        <w:sz w:val="22"/>
      </w:rPr>
      <w:fldChar w:fldCharType="end"/>
    </w:r>
    <w:r>
      <w:rPr>
        <w:sz w:val="22"/>
      </w:rPr>
      <w:t xml:space="preserve"> </w:t>
    </w:r>
  </w:p>
</w:ftr>
</file>

<file path=word/footer17.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8309B" w:rsidRDefault="009D0949">
    <w:pPr>
      <w:spacing w:after="0" w:line="259" w:lineRule="auto"/>
      <w:ind w:left="0" w:right="1" w:firstLine="0"/>
      <w:jc w:val="right"/>
    </w:pPr>
    <w:r>
      <w:fldChar w:fldCharType="begin"/>
    </w:r>
    <w:r>
      <w:instrText xml:space="preserve"> PAGE   \* MERGEFORMAT </w:instrText>
    </w:r>
    <w:r>
      <w:fldChar w:fldCharType="separate"/>
    </w:r>
    <w:r>
      <w:rPr>
        <w:sz w:val="22"/>
      </w:rPr>
      <w:t>2</w:t>
    </w:r>
    <w:r>
      <w:rPr>
        <w:sz w:val="22"/>
      </w:rPr>
      <w:fldChar w:fldCharType="end"/>
    </w:r>
    <w:r>
      <w:rPr>
        <w:sz w:val="22"/>
      </w:rPr>
      <w:t xml:space="preserve"> </w:t>
    </w:r>
  </w:p>
</w:ftr>
</file>

<file path=word/footer18.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8309B" w:rsidRDefault="009D0949">
    <w:pPr>
      <w:spacing w:after="0" w:line="259" w:lineRule="auto"/>
      <w:ind w:left="0" w:right="1" w:firstLine="0"/>
      <w:jc w:val="right"/>
    </w:pPr>
    <w:r>
      <w:fldChar w:fldCharType="begin"/>
    </w:r>
    <w:r>
      <w:instrText xml:space="preserve"> PAGE   \* MERGEFORMAT </w:instrText>
    </w:r>
    <w:r>
      <w:fldChar w:fldCharType="separate"/>
    </w:r>
    <w:r>
      <w:rPr>
        <w:sz w:val="22"/>
      </w:rPr>
      <w:t>2</w:t>
    </w:r>
    <w:r>
      <w:rPr>
        <w:sz w:val="22"/>
      </w:rPr>
      <w:fldChar w:fldCharType="end"/>
    </w:r>
    <w:r>
      <w:rPr>
        <w:sz w:val="22"/>
      </w:rPr>
      <w:t xml:space="preserve"> </w:t>
    </w:r>
  </w:p>
</w:ftr>
</file>

<file path=word/footer19.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8309B" w:rsidRDefault="009D0949">
    <w:pPr>
      <w:spacing w:after="0" w:line="259" w:lineRule="auto"/>
      <w:ind w:left="0" w:right="0" w:firstLine="0"/>
      <w:jc w:val="right"/>
    </w:pPr>
    <w:r>
      <w:fldChar w:fldCharType="begin"/>
    </w:r>
    <w:r>
      <w:instrText xml:space="preserve"> PAGE   \* MERGEFORMAT </w:instrText>
    </w:r>
    <w:r>
      <w:fldChar w:fldCharType="separate"/>
    </w:r>
    <w:r>
      <w:rPr>
        <w:sz w:val="22"/>
      </w:rPr>
      <w:t>2</w:t>
    </w:r>
    <w:r>
      <w:rPr>
        <w:sz w:val="22"/>
      </w:rPr>
      <w:fldChar w:fldCharType="end"/>
    </w:r>
    <w:r>
      <w:rPr>
        <w:sz w:val="22"/>
      </w:rPr>
      <w:t xml:space="preserve"> </w:t>
    </w:r>
  </w:p>
</w:ftr>
</file>

<file path=word/footer20.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8309B" w:rsidRDefault="009D0949">
    <w:pPr>
      <w:spacing w:after="0" w:line="259" w:lineRule="auto"/>
      <w:ind w:left="0" w:right="0" w:firstLine="0"/>
      <w:jc w:val="right"/>
    </w:pPr>
    <w:r>
      <w:fldChar w:fldCharType="begin"/>
    </w:r>
    <w:r>
      <w:instrText xml:space="preserve"> PAGE   \* MERGEFORMAT </w:instrText>
    </w:r>
    <w:r>
      <w:fldChar w:fldCharType="separate"/>
    </w:r>
    <w:r>
      <w:rPr>
        <w:sz w:val="22"/>
      </w:rPr>
      <w:t>2</w:t>
    </w:r>
    <w:r>
      <w:rPr>
        <w:sz w:val="22"/>
      </w:rPr>
      <w:fldChar w:fldCharType="end"/>
    </w:r>
    <w:r>
      <w:rPr>
        <w:sz w:val="22"/>
      </w:rPr>
      <w:t xml:space="preserve"> </w:t>
    </w:r>
  </w:p>
</w:ftr>
</file>

<file path=word/footer2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8309B" w:rsidRDefault="009D0949">
    <w:pPr>
      <w:spacing w:after="0" w:line="259" w:lineRule="auto"/>
      <w:ind w:left="0" w:right="0" w:firstLine="0"/>
      <w:jc w:val="right"/>
    </w:pPr>
    <w:r>
      <w:fldChar w:fldCharType="begin"/>
    </w:r>
    <w:r>
      <w:instrText xml:space="preserve"> PAGE   \* MERGEFORMAT </w:instrText>
    </w:r>
    <w:r>
      <w:fldChar w:fldCharType="separate"/>
    </w:r>
    <w:r>
      <w:rPr>
        <w:sz w:val="22"/>
      </w:rPr>
      <w:t>2</w:t>
    </w:r>
    <w:r>
      <w:rPr>
        <w:sz w:val="22"/>
      </w:rPr>
      <w:fldChar w:fldCharType="end"/>
    </w:r>
    <w:r>
      <w:rPr>
        <w:sz w:val="22"/>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9D0949" w:rsidRDefault="009D0949">
      <w:pPr>
        <w:spacing w:after="30" w:line="259" w:lineRule="auto"/>
        <w:ind w:left="0" w:right="0" w:firstLine="0"/>
        <w:jc w:val="left"/>
      </w:pPr>
      <w:r>
        <w:separator/>
      </w:r>
    </w:p>
  </w:footnote>
  <w:footnote w:type="continuationSeparator" w:id="0">
    <w:p w:rsidR="009D0949" w:rsidRDefault="009D0949">
      <w:pPr>
        <w:spacing w:after="30" w:line="259" w:lineRule="auto"/>
        <w:ind w:left="0" w:right="0" w:firstLine="0"/>
        <w:jc w:val="left"/>
      </w:pPr>
      <w:r>
        <w:continuationSeparator/>
      </w:r>
    </w:p>
  </w:footnote>
  <w:footnote w:id="1">
    <w:p w:rsidR="00E8309B" w:rsidRDefault="009D0949">
      <w:pPr>
        <w:pStyle w:val="footnotedescription"/>
        <w:spacing w:after="30"/>
      </w:pPr>
      <w:r>
        <w:rPr>
          <w:rStyle w:val="footnotemark"/>
        </w:rPr>
        <w:footnoteRef/>
      </w:r>
      <w:r>
        <w:t xml:space="preserve"> </w:t>
      </w:r>
      <w:r>
        <w:rPr>
          <w:sz w:val="18"/>
        </w:rPr>
        <w:t xml:space="preserve">Више о реформи система плата у јавном сектору у насловима:4.3. ФИСКАЛНЕ ПРЕОЈЕКЦИЈЕ У ПЕРИОДУ 2021-2023. </w:t>
      </w:r>
    </w:p>
    <w:p w:rsidR="00E8309B" w:rsidRDefault="009D0949">
      <w:pPr>
        <w:pStyle w:val="footnotedescription"/>
      </w:pPr>
      <w:r>
        <w:rPr>
          <w:sz w:val="18"/>
        </w:rPr>
        <w:t>ГОДИНЕ стр.61 и 4.7. КВАЛИТЕТ ЈАВНИХ ФИНАНСИЈА, на странама 77 и 78.</w:t>
      </w:r>
      <w:r>
        <w:rPr>
          <w:sz w:val="20"/>
        </w:rPr>
        <w:t xml:space="preserve"> </w:t>
      </w:r>
    </w:p>
  </w:footnote>
  <w:footnote w:id="2">
    <w:p w:rsidR="00E8309B" w:rsidRDefault="009D0949">
      <w:pPr>
        <w:pStyle w:val="footnotedescription"/>
        <w:spacing w:line="284" w:lineRule="auto"/>
        <w:jc w:val="both"/>
      </w:pPr>
      <w:r>
        <w:rPr>
          <w:rStyle w:val="footnotemark"/>
        </w:rPr>
        <w:footnoteRef/>
      </w:r>
      <w:r>
        <w:t xml:space="preserve"> </w:t>
      </w:r>
      <w:r>
        <w:rPr>
          <w:sz w:val="18"/>
        </w:rPr>
        <w:t>Више о капиталним инвестицијама у насловима 4.2 ИЗВРШЕЊЕ БУЏЕТА У 2020. ГОДИНИ</w:t>
      </w:r>
      <w:r>
        <w:rPr>
          <w:sz w:val="18"/>
        </w:rPr>
        <w:t xml:space="preserve"> стр.54 и 4.3. ФИСКАЛНЕ ПРЕОЈЕКЦИЈЕ У ПЕРИОДУ 2021-2023. ГОДИНЕ, стр 61 и 62. </w:t>
      </w:r>
    </w:p>
  </w:footnote>
  <w:footnote w:id="3">
    <w:p w:rsidR="00E8309B" w:rsidRDefault="009D0949">
      <w:pPr>
        <w:pStyle w:val="footnotedescription"/>
        <w:spacing w:line="301" w:lineRule="auto"/>
        <w:jc w:val="both"/>
      </w:pPr>
      <w:r>
        <w:rPr>
          <w:rStyle w:val="footnotemark"/>
        </w:rPr>
        <w:footnoteRef/>
      </w:r>
      <w:r>
        <w:t xml:space="preserve"> </w:t>
      </w:r>
      <w:r>
        <w:rPr>
          <w:sz w:val="18"/>
        </w:rPr>
        <w:t xml:space="preserve">Детаљно о реформама јавних и државних предузећа у наслову 4.6 АНАЛИЗА ОСЕТЉИВОСТИ И ПОРЕЂЕЊЕ СА ПРЕТХОДНИМ ПРОГРАМОМ стр.71-72. </w:t>
      </w:r>
    </w:p>
  </w:footnote>
  <w:footnote w:id="4">
    <w:p w:rsidR="00E8309B" w:rsidRDefault="009D0949">
      <w:pPr>
        <w:pStyle w:val="footnotedescription"/>
        <w:spacing w:line="273" w:lineRule="auto"/>
        <w:ind w:right="27"/>
        <w:jc w:val="both"/>
      </w:pPr>
      <w:r>
        <w:rPr>
          <w:rStyle w:val="footnotemark"/>
        </w:rPr>
        <w:footnoteRef/>
      </w:r>
      <w:r>
        <w:t xml:space="preserve"> </w:t>
      </w:r>
      <w:r>
        <w:rPr>
          <w:sz w:val="18"/>
        </w:rPr>
        <w:t xml:space="preserve">Детаљно о подршци привреди и посебно МСПП у </w:t>
      </w:r>
      <w:r>
        <w:rPr>
          <w:sz w:val="18"/>
        </w:rPr>
        <w:t>циљу ублажавања економских последица Ковид-19 у насловима: 3.2. ТЕКУЋА ЕКОНОМСКА КРЕТАЊА И ИЗГЛЕДИ ЗА 2020. ГОДИНУ на стр.33, 35; 4.2 ИЗВРШЕЊЕ БУЏЕТА У 2020. ГОДИНИ стр 47 и 48 и 4.6 АНАЛИЗА ОСЕТЉИВОСТИ И ПОРЕЂЕЊЕ СА ПРЕТХОДНИМ ПРОГРАМОМ стр.74.</w:t>
      </w:r>
      <w:r>
        <w:rPr>
          <w:sz w:val="20"/>
        </w:rPr>
        <w:t xml:space="preserve"> </w:t>
      </w:r>
    </w:p>
  </w:footnote>
  <w:footnote w:id="5">
    <w:p w:rsidR="00E8309B" w:rsidRDefault="009D0949">
      <w:pPr>
        <w:pStyle w:val="footnotedescription"/>
        <w:spacing w:after="14"/>
      </w:pPr>
      <w:r>
        <w:rPr>
          <w:rStyle w:val="footnotemark"/>
        </w:rPr>
        <w:footnoteRef/>
      </w:r>
      <w:r>
        <w:t xml:space="preserve"> Са стањ</w:t>
      </w:r>
      <w:r>
        <w:t xml:space="preserve">ем у јуну 2020. </w:t>
      </w:r>
    </w:p>
  </w:footnote>
  <w:footnote w:id="6">
    <w:p w:rsidR="00E8309B" w:rsidRDefault="009D0949">
      <w:pPr>
        <w:pStyle w:val="footnotedescription"/>
        <w:spacing w:line="298" w:lineRule="auto"/>
        <w:ind w:right="18"/>
      </w:pPr>
      <w:r>
        <w:rPr>
          <w:rStyle w:val="footnotemark"/>
        </w:rPr>
        <w:footnoteRef/>
      </w:r>
      <w:r>
        <w:t xml:space="preserve"> Обрачунато по курсу динара према евру, швајцарском франку и долару на дан 30. септембра 2014. (тзв. програмски курс који се користи за потребе праћења аранжмана с ММФ-ом) узимајући у обзир валутну структуру потраживања по основу кредита.</w:t>
      </w:r>
      <w:r>
        <w:t xml:space="preserve"> </w:t>
      </w:r>
    </w:p>
  </w:footnote>
  <w:footnote w:id="7">
    <w:p w:rsidR="00E8309B" w:rsidRDefault="009D0949">
      <w:pPr>
        <w:pStyle w:val="footnotedescription"/>
        <w:spacing w:line="276" w:lineRule="auto"/>
        <w:jc w:val="both"/>
      </w:pPr>
      <w:r>
        <w:rPr>
          <w:rStyle w:val="footnotemark"/>
        </w:rPr>
        <w:footnoteRef/>
      </w:r>
      <w:r>
        <w:t xml:space="preserve"> У складу са </w:t>
      </w:r>
      <w:r>
        <w:rPr>
          <w:i/>
        </w:rPr>
        <w:t>Уредбом о утврђивању гарантне шеме као меру подршке привреди за ублажавање последица пандемије болести Ковид-19 изазване вирусом SARS-CoV-2</w:t>
      </w:r>
      <w:r>
        <w:t xml:space="preserve">, „Службени гласник РС”, бр. 57/20. </w:t>
      </w:r>
    </w:p>
  </w:footnote>
  <w:footnote w:id="8">
    <w:p w:rsidR="00E8309B" w:rsidRDefault="009D0949">
      <w:pPr>
        <w:pStyle w:val="footnotedescription"/>
      </w:pPr>
      <w:r>
        <w:rPr>
          <w:rStyle w:val="footnotemark"/>
        </w:rPr>
        <w:footnoteRef/>
      </w:r>
      <w:r>
        <w:t xml:space="preserve"> Последњи расположив податак је за 30.9.2020. године </w:t>
      </w:r>
    </w:p>
  </w:footnote>
  <w:footnote w:id="9">
    <w:p w:rsidR="00E8309B" w:rsidRDefault="009D0949">
      <w:pPr>
        <w:pStyle w:val="footnotedescription"/>
      </w:pPr>
      <w:r>
        <w:rPr>
          <w:rStyle w:val="footnotemark"/>
        </w:rPr>
        <w:footnoteRef/>
      </w:r>
      <w:r>
        <w:t xml:space="preserve"> </w:t>
      </w:r>
      <w:r>
        <w:t xml:space="preserve">Обрачунато на основу података из извештаја NPL 3 које банке достављају НБС. </w:t>
      </w:r>
    </w:p>
  </w:footnote>
  <w:footnote w:id="10">
    <w:p w:rsidR="00E8309B" w:rsidRDefault="009D0949">
      <w:pPr>
        <w:pStyle w:val="footnotedescription"/>
      </w:pPr>
      <w:r>
        <w:rPr>
          <w:rStyle w:val="footnotemark"/>
        </w:rPr>
        <w:footnoteRef/>
      </w:r>
      <w:r>
        <w:t xml:space="preserve"> У односу 80:20. </w:t>
      </w:r>
    </w:p>
  </w:footnote>
  <w:footnote w:id="11">
    <w:p w:rsidR="00E8309B" w:rsidRDefault="009D0949">
      <w:pPr>
        <w:pStyle w:val="footnotedescription"/>
        <w:spacing w:line="271" w:lineRule="auto"/>
        <w:jc w:val="both"/>
      </w:pPr>
      <w:r>
        <w:rPr>
          <w:rStyle w:val="footnotemark"/>
        </w:rPr>
        <w:footnoteRef/>
      </w:r>
      <w:r>
        <w:t xml:space="preserve"> Детаљнији опис коришћене методологије и резултата могу се пронаћи у Фискалној стратегији за 2013. годину са пројекцијама за 2014. и 2015. годину или путем лин</w:t>
      </w:r>
      <w:r>
        <w:t>ка</w:t>
      </w:r>
      <w:hyperlink r:id="rId1">
        <w:r>
          <w:t xml:space="preserve"> </w:t>
        </w:r>
      </w:hyperlink>
      <w:hyperlink r:id="rId2">
        <w:r>
          <w:rPr>
            <w:color w:val="44546A"/>
            <w:u w:val="single" w:color="44546A"/>
          </w:rPr>
          <w:t>http://www.mfin.gov.rs/pages/article.php?id=8626</w:t>
        </w:r>
      </w:hyperlink>
      <w:hyperlink r:id="rId3">
        <w:r>
          <w:t xml:space="preserve"> </w:t>
        </w:r>
      </w:hyperlink>
    </w:p>
  </w:footnote>
  <w:footnote w:id="12">
    <w:p w:rsidR="00E8309B" w:rsidRDefault="009D0949">
      <w:pPr>
        <w:pStyle w:val="footnotedescription"/>
        <w:spacing w:after="12"/>
      </w:pPr>
      <w:r>
        <w:rPr>
          <w:rStyle w:val="footnotemark"/>
        </w:rPr>
        <w:footnoteRef/>
      </w:r>
      <w:r>
        <w:t xml:space="preserve"> </w:t>
      </w:r>
      <w:hyperlink r:id="rId4">
        <w:r>
          <w:rPr>
            <w:color w:val="0563C1"/>
            <w:u w:val="single" w:color="0563C1"/>
          </w:rPr>
          <w:t>http://www.obnova.gov.rs/uploads/useruploads/Documents/Kancelarija</w:t>
        </w:r>
      </w:hyperlink>
      <w:hyperlink r:id="rId5">
        <w:r>
          <w:rPr>
            <w:color w:val="0563C1"/>
            <w:u w:val="single" w:color="0563C1"/>
          </w:rPr>
          <w:t>-</w:t>
        </w:r>
      </w:hyperlink>
      <w:hyperlink r:id="rId6">
        <w:r>
          <w:rPr>
            <w:color w:val="0563C1"/>
            <w:u w:val="single" w:color="0563C1"/>
          </w:rPr>
          <w:t>za</w:t>
        </w:r>
      </w:hyperlink>
      <w:hyperlink r:id="rId7">
        <w:r>
          <w:rPr>
            <w:color w:val="0563C1"/>
            <w:u w:val="single" w:color="0563C1"/>
          </w:rPr>
          <w:t>-</w:t>
        </w:r>
      </w:hyperlink>
      <w:hyperlink r:id="rId8">
        <w:r>
          <w:rPr>
            <w:color w:val="0563C1"/>
            <w:u w:val="single" w:color="0563C1"/>
          </w:rPr>
          <w:t>pomoc</w:t>
        </w:r>
      </w:hyperlink>
      <w:hyperlink r:id="rId9">
        <w:r>
          <w:rPr>
            <w:color w:val="0563C1"/>
            <w:u w:val="single" w:color="0563C1"/>
          </w:rPr>
          <w:t>-</w:t>
        </w:r>
      </w:hyperlink>
      <w:hyperlink r:id="rId10">
        <w:r>
          <w:rPr>
            <w:color w:val="0563C1"/>
            <w:u w:val="single" w:color="0563C1"/>
          </w:rPr>
          <w:t>poplavljenih</w:t>
        </w:r>
      </w:hyperlink>
      <w:hyperlink r:id="rId11">
        <w:r>
          <w:rPr>
            <w:color w:val="0563C1"/>
            <w:u w:val="single" w:color="0563C1"/>
          </w:rPr>
          <w:t>-</w:t>
        </w:r>
      </w:hyperlink>
      <w:hyperlink r:id="rId12">
        <w:r>
          <w:rPr>
            <w:color w:val="0563C1"/>
            <w:u w:val="single" w:color="0563C1"/>
          </w:rPr>
          <w:t>podrucja</w:t>
        </w:r>
      </w:hyperlink>
      <w:hyperlink r:id="rId13">
        <w:r>
          <w:rPr>
            <w:color w:val="0563C1"/>
            <w:u w:val="single" w:color="0563C1"/>
          </w:rPr>
          <w:t>-</w:t>
        </w:r>
      </w:hyperlink>
      <w:hyperlink r:id="rId14">
        <w:r>
          <w:rPr>
            <w:color w:val="0563C1"/>
            <w:u w:val="single" w:color="0563C1"/>
          </w:rPr>
          <w:t>infograf</w:t>
        </w:r>
      </w:hyperlink>
      <w:hyperlink r:id="rId15">
        <w:r>
          <w:rPr>
            <w:color w:val="0563C1"/>
            <w:u w:val="single" w:color="0563C1"/>
          </w:rPr>
          <w:t>-</w:t>
        </w:r>
      </w:hyperlink>
      <w:hyperlink r:id="rId16">
        <w:r>
          <w:rPr>
            <w:color w:val="0563C1"/>
            <w:u w:val="single" w:color="0563C1"/>
          </w:rPr>
          <w:t>15</w:t>
        </w:r>
      </w:hyperlink>
      <w:hyperlink r:id="rId17">
        <w:r>
          <w:rPr>
            <w:color w:val="0563C1"/>
            <w:u w:val="single" w:color="0563C1"/>
          </w:rPr>
          <w:t>-</w:t>
        </w:r>
      </w:hyperlink>
      <w:hyperlink r:id="rId18">
        <w:r>
          <w:rPr>
            <w:color w:val="0563C1"/>
            <w:u w:val="single" w:color="0563C1"/>
          </w:rPr>
          <w:t>04</w:t>
        </w:r>
      </w:hyperlink>
      <w:hyperlink r:id="rId19">
        <w:r>
          <w:rPr>
            <w:color w:val="0563C1"/>
            <w:u w:val="single" w:color="0563C1"/>
          </w:rPr>
          <w:t>-</w:t>
        </w:r>
      </w:hyperlink>
      <w:hyperlink r:id="rId20">
        <w:r>
          <w:rPr>
            <w:color w:val="0563C1"/>
            <w:u w:val="single" w:color="0563C1"/>
          </w:rPr>
          <w:t>2016</w:t>
        </w:r>
      </w:hyperlink>
      <w:hyperlink r:id="rId21">
        <w:r>
          <w:rPr>
            <w:color w:val="0563C1"/>
            <w:u w:val="single" w:color="0563C1"/>
          </w:rPr>
          <w:t>-</w:t>
        </w:r>
      </w:hyperlink>
      <w:hyperlink r:id="rId22">
        <w:r>
          <w:rPr>
            <w:color w:val="0563C1"/>
            <w:u w:val="single" w:color="0563C1"/>
          </w:rPr>
          <w:t>srb.pdf</w:t>
        </w:r>
      </w:hyperlink>
      <w:hyperlink r:id="rId23">
        <w:r>
          <w:rPr>
            <w:color w:val="0563C1"/>
          </w:rPr>
          <w:t xml:space="preserve"> </w:t>
        </w:r>
      </w:hyperlink>
    </w:p>
  </w:footnote>
  <w:footnote w:id="13">
    <w:p w:rsidR="00E8309B" w:rsidRDefault="009D0949">
      <w:pPr>
        <w:pStyle w:val="footnotedescription"/>
        <w:spacing w:line="265" w:lineRule="auto"/>
        <w:ind w:right="24"/>
        <w:jc w:val="both"/>
      </w:pPr>
      <w:r>
        <w:rPr>
          <w:rStyle w:val="footnotemark"/>
        </w:rPr>
        <w:footnoteRef/>
      </w:r>
      <w:r>
        <w:t xml:space="preserve"> </w:t>
      </w:r>
      <w:r>
        <w:t>Дефиниција дуга, према критеријумима из Мастрихта, између осталог, различито третира издате гаранције, у односу на дефиницију јавног дуга према домаћем законодавству. У јавни дуг (дуг опште државе) улазе, према критеријумима из Мастрихта, само активиране г</w:t>
      </w:r>
      <w:r>
        <w:t xml:space="preserve">аранције. Домаће законодавство, по овом питању има конзервативнији приступ и све издате гаранције укључује у јавни дуг. </w:t>
      </w:r>
    </w:p>
  </w:footnote>
  <w:footnote w:id="14">
    <w:p w:rsidR="00E8309B" w:rsidRDefault="009D0949">
      <w:pPr>
        <w:pStyle w:val="footnotedescription"/>
        <w:spacing w:after="3" w:line="267" w:lineRule="auto"/>
        <w:ind w:right="26"/>
        <w:jc w:val="both"/>
      </w:pPr>
      <w:r>
        <w:rPr>
          <w:rStyle w:val="footnotemark"/>
        </w:rPr>
        <w:footnoteRef/>
      </w:r>
      <w:r>
        <w:t xml:space="preserve"> Отплата по основу гаранција из републичког буџета је у расходе укључена по готовинској основи. Међународни стандарди, који се заснива</w:t>
      </w:r>
      <w:r>
        <w:t xml:space="preserve">ју на обрачунској основи, у расходе укључују цео износ преосталог дуга, у моменту активирања гаранције, док се сама отплата дуга по том основу третира као финансијска трансакција. </w:t>
      </w:r>
    </w:p>
  </w:footnote>
  <w:footnote w:id="15">
    <w:p w:rsidR="00E8309B" w:rsidRDefault="009D0949">
      <w:pPr>
        <w:pStyle w:val="footnotedescription"/>
        <w:spacing w:line="265" w:lineRule="auto"/>
        <w:ind w:right="22"/>
        <w:jc w:val="both"/>
      </w:pPr>
      <w:r>
        <w:rPr>
          <w:rStyle w:val="footnotemark"/>
        </w:rPr>
        <w:footnoteRef/>
      </w:r>
      <w:r>
        <w:t xml:space="preserve"> Део расхода по основу отплате по гаранцијама за ЈП „Путеви Србијеˮ не укљ</w:t>
      </w:r>
      <w:r>
        <w:t>учује се у расходе буџета, јер је ово предузеће део сектора опште државе, те су расходи који су финансирани гарантованим кредитима били део расхода опште државе у моменту трошења средстава, док се сама отплата третира као финансијска трансакција („испод цр</w:t>
      </w:r>
      <w:r>
        <w:t xml:space="preserve">теˮ). </w:t>
      </w:r>
    </w:p>
  </w:footnote>
  <w:footnote w:id="16">
    <w:p w:rsidR="00E8309B" w:rsidRDefault="009D0949">
      <w:pPr>
        <w:pStyle w:val="footnotedescription"/>
        <w:spacing w:line="302" w:lineRule="auto"/>
        <w:jc w:val="both"/>
      </w:pPr>
      <w:r>
        <w:rPr>
          <w:rStyle w:val="footnotemark"/>
        </w:rPr>
        <w:footnoteRef/>
      </w:r>
      <w:r>
        <w:t xml:space="preserve"> Заштићени депоненти су: физичка лица, предузетници, микро, мала и средња правна лица, након искључења предвиђеним Законом о осигурању депозита. </w:t>
      </w:r>
    </w:p>
  </w:footnote>
  <w:footnote w:id="17">
    <w:p w:rsidR="00E8309B" w:rsidRDefault="009D0949">
      <w:pPr>
        <w:pStyle w:val="footnotedescription"/>
        <w:spacing w:line="296" w:lineRule="auto"/>
      </w:pPr>
      <w:r>
        <w:rPr>
          <w:rStyle w:val="footnotemark"/>
        </w:rPr>
        <w:footnoteRef/>
      </w:r>
      <w:r>
        <w:t xml:space="preserve"> </w:t>
      </w:r>
      <w:r>
        <w:t xml:space="preserve">Обухваћени су расходи на контима: новчане казне и пенали по решењу судова и судских тела и накнада штете за повреде или штету нанету од стране државних органа. </w:t>
      </w:r>
    </w:p>
  </w:footnote>
  <w:footnote w:id="18">
    <w:p w:rsidR="00E8309B" w:rsidRDefault="009D0949">
      <w:pPr>
        <w:pStyle w:val="footnotedescription"/>
        <w:spacing w:after="28"/>
      </w:pPr>
      <w:r>
        <w:rPr>
          <w:rStyle w:val="footnotemark"/>
        </w:rPr>
        <w:footnoteRef/>
      </w:r>
      <w:r>
        <w:t xml:space="preserve"> . године </w:t>
      </w:r>
    </w:p>
    <w:p w:rsidR="00E8309B" w:rsidRDefault="009D0949">
      <w:pPr>
        <w:pStyle w:val="footnotedescription"/>
      </w:pPr>
      <w:r>
        <w:t xml:space="preserve">   ЕРП ОЦЕНА ЕК - </w:t>
      </w:r>
      <w:r>
        <w:t>Програм економских реформи Србије - Процена Комисије</w:t>
      </w:r>
      <w:r>
        <w:rPr>
          <w:sz w:val="18"/>
        </w:rPr>
        <w:t xml:space="preserve"> </w:t>
      </w:r>
    </w:p>
  </w:footnote>
  <w:footnote w:id="19">
    <w:p w:rsidR="00E8309B" w:rsidRDefault="009D0949">
      <w:pPr>
        <w:pStyle w:val="footnotedescription"/>
        <w:spacing w:after="17"/>
      </w:pPr>
      <w:r>
        <w:rPr>
          <w:rStyle w:val="footnotemark"/>
        </w:rPr>
        <w:footnoteRef/>
      </w:r>
      <w:r>
        <w:t xml:space="preserve"> </w:t>
      </w:r>
      <w:r>
        <w:rPr>
          <w:sz w:val="18"/>
        </w:rPr>
        <w:t xml:space="preserve">ПР - Република Србија Извештај за 2020. годину и Република Србија Извештај за 2019. годину </w:t>
      </w:r>
    </w:p>
    <w:p w:rsidR="00E8309B" w:rsidRDefault="009D0949">
      <w:pPr>
        <w:pStyle w:val="footnotedescription"/>
      </w:pPr>
      <w:r>
        <w:rPr>
          <w:sz w:val="18"/>
        </w:rPr>
        <w:t xml:space="preserve"> </w:t>
      </w:r>
      <w:r>
        <w:rPr>
          <w:sz w:val="18"/>
        </w:rPr>
        <w:t xml:space="preserve">  </w:t>
      </w:r>
      <w:r>
        <w:t xml:space="preserve">ЕКОФИН - Препоруке Савета ЕУ за економска и финансијска питања за Западни Балкан и Турску (П1 – препорука 1) из 2018, 2019 и </w:t>
      </w:r>
    </w:p>
  </w:footnote>
  <w:footnote w:id="20">
    <w:p w:rsidR="00E8309B" w:rsidRDefault="009D0949">
      <w:pPr>
        <w:pStyle w:val="footnotedescription"/>
        <w:spacing w:after="19"/>
      </w:pPr>
      <w:r>
        <w:rPr>
          <w:rStyle w:val="footnotemark"/>
        </w:rPr>
        <w:footnoteRef/>
      </w:r>
      <w:r>
        <w:t xml:space="preserve"> Препорука ЕКОФИН Савета из 2019. године. </w:t>
      </w:r>
    </w:p>
  </w:footnote>
  <w:footnote w:id="21">
    <w:p w:rsidR="00E8309B" w:rsidRDefault="009D0949">
      <w:pPr>
        <w:pStyle w:val="footnotedescription"/>
      </w:pPr>
      <w:r>
        <w:rPr>
          <w:rStyle w:val="footnotemark"/>
        </w:rPr>
        <w:footnoteRef/>
      </w:r>
      <w:r>
        <w:t xml:space="preserve"> Препорука ЕКОФИН Савета из 2019. године. </w:t>
      </w:r>
    </w:p>
  </w:footnote>
  <w:footnote w:id="22">
    <w:p w:rsidR="00E8309B" w:rsidRDefault="009D0949">
      <w:pPr>
        <w:pStyle w:val="footnotedescription"/>
      </w:pPr>
      <w:r>
        <w:rPr>
          <w:rStyle w:val="footnotemark"/>
        </w:rPr>
        <w:footnoteRef/>
      </w:r>
      <w:r>
        <w:t xml:space="preserve"> Препорука ЕКОФИН Савета из 2019. годин</w:t>
      </w:r>
      <w:r>
        <w:t xml:space="preserve">е. </w:t>
      </w:r>
    </w:p>
  </w:footnote>
  <w:footnote w:id="23">
    <w:p w:rsidR="00E8309B" w:rsidRDefault="009D0949">
      <w:pPr>
        <w:pStyle w:val="footnotedescription"/>
        <w:spacing w:after="33"/>
      </w:pPr>
      <w:r>
        <w:rPr>
          <w:rStyle w:val="footnotemark"/>
        </w:rPr>
        <w:footnoteRef/>
      </w:r>
      <w:r>
        <w:t xml:space="preserve"> EBRD је начелно сагласна, у наредном периодусе очекује и формално усвајање одлуке.</w:t>
      </w:r>
      <w:r>
        <w:rPr>
          <w:rFonts w:ascii="Calibri" w:eastAsia="Calibri" w:hAnsi="Calibri" w:cs="Calibri"/>
        </w:rPr>
        <w:t xml:space="preserve"> </w:t>
      </w:r>
    </w:p>
    <w:p w:rsidR="00E8309B" w:rsidRDefault="009D0949">
      <w:pPr>
        <w:pStyle w:val="footnotedescription"/>
      </w:pPr>
      <w:r>
        <w:rPr>
          <w:rFonts w:ascii="Calibri" w:eastAsia="Calibri" w:hAnsi="Calibri" w:cs="Calibri"/>
          <w:sz w:val="20"/>
        </w:rPr>
        <w:t xml:space="preserve"> </w:t>
      </w:r>
    </w:p>
  </w:footnote>
  <w:footnote w:id="24">
    <w:p w:rsidR="00E8309B" w:rsidRDefault="009D0949">
      <w:pPr>
        <w:pStyle w:val="footnotedescription"/>
        <w:spacing w:line="271" w:lineRule="auto"/>
        <w:ind w:right="135"/>
        <w:jc w:val="both"/>
      </w:pPr>
      <w:r>
        <w:rPr>
          <w:rStyle w:val="footnotemark"/>
        </w:rPr>
        <w:footnoteRef/>
      </w:r>
      <w:r>
        <w:t xml:space="preserve"> </w:t>
      </w:r>
      <w:r>
        <w:rPr>
          <w:sz w:val="18"/>
        </w:rPr>
        <w:t xml:space="preserve">Под пољопривредном делатношћу подразумевају се делатности из сектора Пољопривреда, шумарство и рибарство, као и </w:t>
      </w:r>
      <w:r>
        <w:rPr>
          <w:sz w:val="18"/>
        </w:rPr>
        <w:t>оне из сектора Делатност домаћинства као послодавца које се односе на послове у пољопривреди.</w:t>
      </w:r>
      <w:r>
        <w:rPr>
          <w:rFonts w:ascii="Calibri" w:eastAsia="Calibri" w:hAnsi="Calibri" w:cs="Calibri"/>
          <w:sz w:val="20"/>
        </w:rPr>
        <w:t xml:space="preserve"> </w:t>
      </w:r>
      <w:r>
        <w:rPr>
          <w:vertAlign w:val="superscript"/>
        </w:rPr>
        <w:t>27</w:t>
      </w:r>
      <w:r>
        <w:t xml:space="preserve"> РСЗ, Анкета о радној снази, III квартал 2020.  </w:t>
      </w:r>
    </w:p>
  </w:footnote>
  <w:footnote w:id="25">
    <w:p w:rsidR="00E8309B" w:rsidRDefault="009D0949">
      <w:pPr>
        <w:pStyle w:val="footnotedescription"/>
        <w:spacing w:line="273" w:lineRule="auto"/>
      </w:pPr>
      <w:r>
        <w:rPr>
          <w:rStyle w:val="footnotemark"/>
        </w:rPr>
        <w:footnoteRef/>
      </w:r>
      <w:r>
        <w:t xml:space="preserve"> </w:t>
      </w:r>
      <w:hyperlink r:id="rId24">
        <w:r>
          <w:rPr>
            <w:color w:val="0563C1"/>
            <w:u w:val="single" w:color="0563C1"/>
          </w:rPr>
          <w:t>https://pijaca.minpolj.gov.rs/</w:t>
        </w:r>
      </w:hyperlink>
      <w:hyperlink r:id="rId25">
        <w:r>
          <w:t xml:space="preserve"> </w:t>
        </w:r>
      </w:hyperlink>
      <w:r>
        <w:rPr>
          <w:vertAlign w:val="superscript"/>
        </w:rPr>
        <w:t>29</w:t>
      </w:r>
      <w:r>
        <w:t xml:space="preserve"> WB Enabling the Business of Agriculture 2019, Подаци у овој студији су актуелни на дан 30. јун 2018. године и не одражавају промене после овог датума</w:t>
      </w:r>
      <w:hyperlink r:id="rId26">
        <w:r>
          <w:t>.</w:t>
        </w:r>
      </w:hyperlink>
      <w:hyperlink r:id="rId27">
        <w:r>
          <w:t xml:space="preserve"> </w:t>
        </w:r>
      </w:hyperlink>
      <w:hyperlink r:id="rId28">
        <w:r>
          <w:rPr>
            <w:color w:val="0563C1"/>
            <w:u w:val="single" w:color="0563C1"/>
          </w:rPr>
          <w:t>https://openknowledge.worldbank.org/bitstream/handle/10986/31804/9781464813870.pdf?sequence=7&amp;isAllowed=y</w:t>
        </w:r>
      </w:hyperlink>
      <w:hyperlink r:id="rId29">
        <w:r>
          <w:t xml:space="preserve"> </w:t>
        </w:r>
      </w:hyperlink>
    </w:p>
  </w:footnote>
  <w:footnote w:id="26">
    <w:p w:rsidR="00E8309B" w:rsidRDefault="009D0949">
      <w:pPr>
        <w:pStyle w:val="footnotedescription"/>
        <w:spacing w:line="254" w:lineRule="auto"/>
        <w:ind w:right="1485"/>
      </w:pPr>
      <w:r>
        <w:rPr>
          <w:rStyle w:val="footnotemark"/>
        </w:rPr>
        <w:footnoteRef/>
      </w:r>
      <w:r>
        <w:t xml:space="preserve"> РСЗ Анкета о структури пољопривредних газдинстава, 2018.</w:t>
      </w:r>
      <w:hyperlink r:id="rId30">
        <w:r>
          <w:t xml:space="preserve"> </w:t>
        </w:r>
      </w:hyperlink>
      <w:hyperlink r:id="rId31">
        <w:r>
          <w:rPr>
            <w:color w:val="0563C1"/>
            <w:u w:val="single" w:color="0563C1"/>
          </w:rPr>
          <w:t>https://publikacije.stat.gov.rs/</w:t>
        </w:r>
        <w:r>
          <w:rPr>
            <w:color w:val="0563C1"/>
            <w:u w:val="single" w:color="0563C1"/>
          </w:rPr>
          <w:t>G2019/Pdf/G20196002.pdf</w:t>
        </w:r>
      </w:hyperlink>
      <w:hyperlink r:id="rId32">
        <w:r>
          <w:t xml:space="preserve">  </w:t>
        </w:r>
      </w:hyperlink>
      <w:r>
        <w:rPr>
          <w:vertAlign w:val="superscript"/>
        </w:rPr>
        <w:t>31</w:t>
      </w:r>
      <w:r>
        <w:t xml:space="preserve"> Извор</w:t>
      </w:r>
      <w:hyperlink r:id="rId33">
        <w:r>
          <w:t xml:space="preserve">: </w:t>
        </w:r>
      </w:hyperlink>
      <w:hyperlink r:id="rId34">
        <w:r>
          <w:rPr>
            <w:color w:val="0563C1"/>
            <w:u w:val="single" w:color="0563C1"/>
          </w:rPr>
          <w:t>https://naled.rs/htdocs/Files/01428/Komasacija</w:t>
        </w:r>
      </w:hyperlink>
      <w:hyperlink r:id="rId35">
        <w:r>
          <w:rPr>
            <w:color w:val="0563C1"/>
            <w:u w:val="single" w:color="0563C1"/>
          </w:rPr>
          <w:t>-</w:t>
        </w:r>
      </w:hyperlink>
      <w:hyperlink r:id="rId36">
        <w:r>
          <w:rPr>
            <w:color w:val="0563C1"/>
            <w:u w:val="single" w:color="0563C1"/>
          </w:rPr>
          <w:t>vodic</w:t>
        </w:r>
      </w:hyperlink>
      <w:hyperlink r:id="rId37">
        <w:r>
          <w:rPr>
            <w:color w:val="0563C1"/>
            <w:u w:val="single" w:color="0563C1"/>
          </w:rPr>
          <w:t>-</w:t>
        </w:r>
      </w:hyperlink>
      <w:hyperlink r:id="rId38">
        <w:r>
          <w:rPr>
            <w:color w:val="0563C1"/>
            <w:u w:val="single" w:color="0563C1"/>
          </w:rPr>
          <w:t>web.pdf</w:t>
        </w:r>
      </w:hyperlink>
      <w:hyperlink r:id="rId39">
        <w:r>
          <w:t xml:space="preserve"> </w:t>
        </w:r>
      </w:hyperlink>
    </w:p>
  </w:footnote>
  <w:footnote w:id="27">
    <w:p w:rsidR="00E8309B" w:rsidRDefault="009D0949">
      <w:pPr>
        <w:pStyle w:val="footnotedescription"/>
        <w:spacing w:line="282" w:lineRule="auto"/>
        <w:ind w:right="25"/>
        <w:jc w:val="both"/>
      </w:pPr>
      <w:r>
        <w:rPr>
          <w:rStyle w:val="footnotemark"/>
        </w:rPr>
        <w:footnoteRef/>
      </w:r>
      <w:r>
        <w:t xml:space="preserve"> Заврше</w:t>
      </w:r>
      <w:r>
        <w:t xml:space="preserve">ни су радови на појачаном одржавању канала - двонаменских система Речеј, Међа, Итебеј, Јанков мост I и II, на изградњи црпних станица Калоча, Јегричка и Песир и радова на подсистему Нова Црња - Житиште и Тиса - Палић, Кикинда - ЦС Мокринска II, Мали Иђош, </w:t>
      </w:r>
      <w:r>
        <w:t xml:space="preserve">као и радови на изградњи деонице канала Кула - Мали Иђош, од км 10+310 до км 15+300 на подсистему Мали Иђош и хидромелиорационог система на подручју Шапца. </w:t>
      </w:r>
    </w:p>
  </w:footnote>
  <w:footnote w:id="28">
    <w:p w:rsidR="00E8309B" w:rsidRDefault="009D0949">
      <w:pPr>
        <w:pStyle w:val="footnotedescription"/>
        <w:spacing w:after="22"/>
      </w:pPr>
      <w:r>
        <w:rPr>
          <w:rStyle w:val="footnotemark"/>
        </w:rPr>
        <w:footnoteRef/>
      </w:r>
      <w:r>
        <w:t xml:space="preserve"> Закон о буџету Републике Србије за 2020. годину („Сл. гласник РС“, бр. 84/2019, 60/2020). </w:t>
      </w:r>
    </w:p>
  </w:footnote>
  <w:footnote w:id="29">
    <w:p w:rsidR="00E8309B" w:rsidRDefault="009D0949">
      <w:pPr>
        <w:pStyle w:val="footnotedescription"/>
      </w:pPr>
      <w:r>
        <w:rPr>
          <w:rStyle w:val="footnotemark"/>
        </w:rPr>
        <w:footnoteRef/>
      </w:r>
      <w:r>
        <w:t xml:space="preserve"> („Сл</w:t>
      </w:r>
      <w:r>
        <w:t xml:space="preserve">. гласник РС“, бр. 1/2020, 13/2020, 27/2020, 52/2020, 75/2020, 106/2020, 118/2020, 124/2020). </w:t>
      </w:r>
    </w:p>
  </w:footnote>
  <w:footnote w:id="30">
    <w:p w:rsidR="00E8309B" w:rsidRDefault="009D0949">
      <w:pPr>
        <w:pStyle w:val="footnotedescription"/>
      </w:pPr>
      <w:r>
        <w:rPr>
          <w:rStyle w:val="footnotemark"/>
        </w:rPr>
        <w:footnoteRef/>
      </w:r>
      <w:r>
        <w:t xml:space="preserve"> </w:t>
      </w:r>
      <w:hyperlink r:id="rId40">
        <w:r>
          <w:rPr>
            <w:color w:val="0563C1"/>
            <w:u w:val="single" w:color="0563C1"/>
          </w:rPr>
          <w:t>https://www.trezor.gov.rs/f</w:t>
        </w:r>
        <w:r>
          <w:rPr>
            <w:color w:val="0563C1"/>
            <w:u w:val="single" w:color="0563C1"/>
          </w:rPr>
          <w:t>iles/services/rpg/statistika/Broj%20registrovanih%20poljoprivrednih%20gazdinstava.pdf</w:t>
        </w:r>
      </w:hyperlink>
      <w:hyperlink r:id="rId41">
        <w:r>
          <w:t xml:space="preserve">  </w:t>
        </w:r>
      </w:hyperlink>
    </w:p>
  </w:footnote>
  <w:footnote w:id="31">
    <w:p w:rsidR="00E8309B" w:rsidRDefault="009D0949">
      <w:pPr>
        <w:pStyle w:val="footnotedescription"/>
        <w:spacing w:line="290" w:lineRule="auto"/>
      </w:pPr>
      <w:r>
        <w:rPr>
          <w:rStyle w:val="footnotemark"/>
        </w:rPr>
        <w:footnoteRef/>
      </w:r>
      <w:r>
        <w:t xml:space="preserve"> </w:t>
      </w:r>
      <w:r>
        <w:rPr>
          <w:i/>
        </w:rPr>
        <w:t>Disruption</w:t>
      </w:r>
      <w:r>
        <w:t xml:space="preserve"> - прекид, ремећење. Про</w:t>
      </w:r>
      <w:r>
        <w:t xml:space="preserve">цес којим производ или услуга започиње као једноставна апликација на дну тржишта и пење се на горе док не потисне конкуренцију. </w:t>
      </w:r>
    </w:p>
  </w:footnote>
  <w:footnote w:id="32">
    <w:p w:rsidR="00E8309B" w:rsidRDefault="009D0949">
      <w:pPr>
        <w:pStyle w:val="footnotedescription"/>
      </w:pPr>
      <w:r>
        <w:rPr>
          <w:rStyle w:val="footnotemark"/>
        </w:rPr>
        <w:footnoteRef/>
      </w:r>
      <w:r>
        <w:t xml:space="preserve"> </w:t>
      </w:r>
      <w:hyperlink r:id="rId42">
        <w:r>
          <w:rPr>
            <w:color w:val="0563C1"/>
            <w:u w:val="single" w:color="0563C1"/>
          </w:rPr>
          <w:t>https://preduzetnistvo.gov.rs/</w:t>
        </w:r>
      </w:hyperlink>
      <w:hyperlink r:id="rId43">
        <w:r>
          <w:t xml:space="preserve"> </w:t>
        </w:r>
      </w:hyperlink>
    </w:p>
  </w:footnote>
  <w:footnote w:id="33">
    <w:p w:rsidR="00E8309B" w:rsidRDefault="009D0949">
      <w:pPr>
        <w:pStyle w:val="footnotedescription"/>
        <w:spacing w:line="272" w:lineRule="auto"/>
        <w:ind w:right="27"/>
        <w:jc w:val="both"/>
      </w:pPr>
      <w:r>
        <w:rPr>
          <w:rStyle w:val="footnotemark"/>
        </w:rPr>
        <w:footnoteRef/>
      </w:r>
      <w:r>
        <w:t xml:space="preserve"> Према истраживању НАЛЕД-а из 2018. године, просечно трајање пројеката комасације износи 50 месеци, изузев у пилот пројектима у којим су реализовани за краће време, али чији је поступак пријема елабората комасације и обнове катастра непокретности б</w:t>
      </w:r>
      <w:r>
        <w:t>ио дужи. Резултати истраживања су доступни на</w:t>
      </w:r>
      <w:hyperlink r:id="rId44">
        <w:r>
          <w:t xml:space="preserve">: </w:t>
        </w:r>
      </w:hyperlink>
      <w:hyperlink r:id="rId45">
        <w:r>
          <w:rPr>
            <w:color w:val="0563C1"/>
            <w:u w:val="single" w:color="0563C1"/>
          </w:rPr>
          <w:t>https://naled.rs/htdocs/Files/01428/Komasacija</w:t>
        </w:r>
      </w:hyperlink>
      <w:hyperlink r:id="rId46">
        <w:r>
          <w:rPr>
            <w:color w:val="0563C1"/>
            <w:u w:val="single" w:color="0563C1"/>
          </w:rPr>
          <w:t>-</w:t>
        </w:r>
      </w:hyperlink>
      <w:hyperlink r:id="rId47">
        <w:r>
          <w:rPr>
            <w:color w:val="0563C1"/>
            <w:u w:val="single" w:color="0563C1"/>
          </w:rPr>
          <w:t>vodic</w:t>
        </w:r>
      </w:hyperlink>
      <w:hyperlink r:id="rId48">
        <w:r>
          <w:rPr>
            <w:color w:val="0563C1"/>
            <w:u w:val="single" w:color="0563C1"/>
          </w:rPr>
          <w:t>-</w:t>
        </w:r>
      </w:hyperlink>
      <w:hyperlink r:id="rId49">
        <w:r>
          <w:rPr>
            <w:color w:val="0563C1"/>
            <w:u w:val="single" w:color="0563C1"/>
          </w:rPr>
          <w:t>web.pdf</w:t>
        </w:r>
      </w:hyperlink>
      <w:hyperlink r:id="rId50">
        <w:r>
          <w:t>.</w:t>
        </w:r>
      </w:hyperlink>
      <w:hyperlink r:id="rId51">
        <w:r>
          <w:t xml:space="preserve"> </w:t>
        </w:r>
      </w:hyperlink>
    </w:p>
  </w:footnote>
  <w:footnote w:id="34">
    <w:p w:rsidR="00E8309B" w:rsidRDefault="009D0949">
      <w:pPr>
        <w:pStyle w:val="footnotedescription"/>
        <w:spacing w:line="296" w:lineRule="auto"/>
      </w:pPr>
      <w:r>
        <w:rPr>
          <w:rStyle w:val="footnotemark"/>
        </w:rPr>
        <w:footnoteRef/>
      </w:r>
      <w:r>
        <w:t xml:space="preserve"> </w:t>
      </w:r>
      <w:r>
        <w:t xml:space="preserve">ЕРП софтвер представља софтвер за интегрално управљање пословањем у реалном времену, на начин да кроз интеграцију свих аспеката пословања у један систем омогућава доношење оптималних пословних одлука. </w:t>
      </w:r>
    </w:p>
  </w:footnote>
  <w:footnote w:id="35">
    <w:p w:rsidR="00E8309B" w:rsidRDefault="009D0949">
      <w:pPr>
        <w:pStyle w:val="footnotedescription"/>
        <w:spacing w:line="296" w:lineRule="auto"/>
        <w:jc w:val="both"/>
      </w:pPr>
      <w:r>
        <w:rPr>
          <w:rStyle w:val="footnotemark"/>
        </w:rPr>
        <w:footnoteRef/>
      </w:r>
      <w:r>
        <w:t xml:space="preserve"> Истраживање је резултат рада организација Global Lan</w:t>
      </w:r>
      <w:r>
        <w:t xml:space="preserve">d Alliance и института Overseas Development Institute, уз подршку Одељења за међународни развој Владе Уједињеног Краљевства и мреже експерата Omidyar. </w:t>
      </w:r>
    </w:p>
  </w:footnote>
  <w:footnote w:id="36">
    <w:p w:rsidR="00E8309B" w:rsidRDefault="009D0949">
      <w:pPr>
        <w:pStyle w:val="footnotedescription"/>
        <w:spacing w:after="24"/>
      </w:pPr>
      <w:r>
        <w:rPr>
          <w:rStyle w:val="footnotemark"/>
        </w:rPr>
        <w:footnoteRef/>
      </w:r>
      <w:r>
        <w:t xml:space="preserve"> Податак о учешћу административних трошкова у БДП за 2020. годину биће познат крајем 2021. године. </w:t>
      </w:r>
    </w:p>
  </w:footnote>
  <w:footnote w:id="37">
    <w:p w:rsidR="00E8309B" w:rsidRDefault="009D0949">
      <w:pPr>
        <w:pStyle w:val="footnotedescription"/>
        <w:spacing w:line="289" w:lineRule="auto"/>
        <w:jc w:val="both"/>
      </w:pPr>
      <w:r>
        <w:rPr>
          <w:rStyle w:val="footnotemark"/>
        </w:rPr>
        <w:footnoteRef/>
      </w:r>
      <w:r>
        <w:t xml:space="preserve"> П</w:t>
      </w:r>
      <w:r>
        <w:t xml:space="preserve">репорука 4. ЕКОФИН Савета из маја 2019. године: „Усвојити посебне законе о алтернативним инвестиционим фондовима (investment vehicles).“ </w:t>
      </w:r>
    </w:p>
  </w:footnote>
  <w:footnote w:id="38">
    <w:p w:rsidR="00E8309B" w:rsidRDefault="009D0949">
      <w:pPr>
        <w:pStyle w:val="footnotedescription"/>
        <w:spacing w:after="32"/>
      </w:pPr>
      <w:r>
        <w:rPr>
          <w:rStyle w:val="footnotemark"/>
        </w:rPr>
        <w:footnoteRef/>
      </w:r>
      <w:r>
        <w:t xml:space="preserve"> Извор: НБС </w:t>
      </w:r>
    </w:p>
  </w:footnote>
  <w:footnote w:id="39">
    <w:p w:rsidR="00E8309B" w:rsidRDefault="009D0949">
      <w:pPr>
        <w:pStyle w:val="footnotedescription"/>
      </w:pPr>
      <w:r>
        <w:rPr>
          <w:rStyle w:val="footnotemark"/>
        </w:rPr>
        <w:footnoteRef/>
      </w:r>
      <w:r>
        <w:t xml:space="preserve"> Извештај о реализацији Националног програма за сузбијање сиве економије у 2019. години. </w:t>
      </w:r>
    </w:p>
  </w:footnote>
  <w:footnote w:id="40">
    <w:p w:rsidR="00E8309B" w:rsidRDefault="009D0949">
      <w:pPr>
        <w:pStyle w:val="footnotedescription"/>
      </w:pPr>
      <w:r>
        <w:rPr>
          <w:rStyle w:val="footnotemark"/>
        </w:rPr>
        <w:footnoteRef/>
      </w:r>
      <w:r>
        <w:t xml:space="preserve"> Сви процење</w:t>
      </w:r>
      <w:r>
        <w:t>ни трошкови се односе на базну 2020. годину.</w:t>
      </w:r>
      <w:r>
        <w:rPr>
          <w:rFonts w:ascii="Calibri" w:eastAsia="Calibri" w:hAnsi="Calibri" w:cs="Calibri"/>
        </w:rPr>
        <w:t xml:space="preserve"> </w:t>
      </w:r>
    </w:p>
  </w:footnote>
  <w:footnote w:id="41">
    <w:p w:rsidR="00E8309B" w:rsidRDefault="009D0949">
      <w:pPr>
        <w:pStyle w:val="footnotedescription"/>
        <w:spacing w:line="293" w:lineRule="auto"/>
        <w:jc w:val="both"/>
      </w:pPr>
      <w:r>
        <w:rPr>
          <w:rStyle w:val="footnotemark"/>
        </w:rPr>
        <w:footnoteRef/>
      </w:r>
      <w:r>
        <w:t xml:space="preserve"> Стратегија је припремана током три године, према методологији најбољих пракси земаља чланица ЕУ, а уз подршку Обједињеног истраживачког центра Европске комисије (енгл. </w:t>
      </w:r>
      <w:r>
        <w:rPr>
          <w:i/>
        </w:rPr>
        <w:t>Joint Research Centre</w:t>
      </w:r>
      <w:r>
        <w:t xml:space="preserve">). </w:t>
      </w:r>
    </w:p>
  </w:footnote>
  <w:footnote w:id="42">
    <w:p w:rsidR="00E8309B" w:rsidRDefault="009D0949">
      <w:pPr>
        <w:pStyle w:val="footnotedescription"/>
        <w:spacing w:after="3"/>
      </w:pPr>
      <w:r>
        <w:rPr>
          <w:rStyle w:val="footnotemark"/>
        </w:rPr>
        <w:footnoteRef/>
      </w:r>
      <w:r>
        <w:t xml:space="preserve"> </w:t>
      </w:r>
      <w:r>
        <w:t xml:space="preserve">Уз подршку Европске уније и Светске банке. </w:t>
      </w:r>
    </w:p>
  </w:footnote>
  <w:footnote w:id="43">
    <w:p w:rsidR="00E8309B" w:rsidRDefault="009D0949">
      <w:pPr>
        <w:pStyle w:val="footnotedescription"/>
      </w:pPr>
      <w:r>
        <w:rPr>
          <w:rStyle w:val="footnotemark"/>
        </w:rPr>
        <w:footnoteRef/>
      </w:r>
      <w:r>
        <w:t xml:space="preserve"> </w:t>
      </w:r>
      <w:hyperlink r:id="rId52">
        <w:r>
          <w:rPr>
            <w:color w:val="0563C1"/>
            <w:u w:val="single" w:color="0563C1"/>
          </w:rPr>
          <w:t>https://webgate.ec.europa.eu/dashboard/sense/ap</w:t>
        </w:r>
        <w:r>
          <w:rPr>
            <w:color w:val="0563C1"/>
            <w:u w:val="single" w:color="0563C1"/>
          </w:rPr>
          <w:t>p/a976d168</w:t>
        </w:r>
      </w:hyperlink>
      <w:hyperlink r:id="rId53">
        <w:r>
          <w:rPr>
            <w:color w:val="0563C1"/>
            <w:u w:val="single" w:color="0563C1"/>
          </w:rPr>
          <w:t>-</w:t>
        </w:r>
      </w:hyperlink>
      <w:hyperlink r:id="rId54">
        <w:r>
          <w:rPr>
            <w:color w:val="0563C1"/>
            <w:u w:val="single" w:color="0563C1"/>
          </w:rPr>
          <w:t>2023</w:t>
        </w:r>
      </w:hyperlink>
      <w:hyperlink r:id="rId55">
        <w:r>
          <w:rPr>
            <w:color w:val="0563C1"/>
            <w:u w:val="single" w:color="0563C1"/>
          </w:rPr>
          <w:t>-</w:t>
        </w:r>
      </w:hyperlink>
      <w:hyperlink r:id="rId56">
        <w:r>
          <w:rPr>
            <w:color w:val="0563C1"/>
            <w:u w:val="single" w:color="0563C1"/>
          </w:rPr>
          <w:t>41d8</w:t>
        </w:r>
      </w:hyperlink>
      <w:hyperlink r:id="rId57">
        <w:r>
          <w:rPr>
            <w:color w:val="0563C1"/>
            <w:u w:val="single" w:color="0563C1"/>
          </w:rPr>
          <w:t>-</w:t>
        </w:r>
      </w:hyperlink>
      <w:hyperlink r:id="rId58">
        <w:r>
          <w:rPr>
            <w:color w:val="0563C1"/>
            <w:u w:val="single" w:color="0563C1"/>
          </w:rPr>
          <w:t>acec</w:t>
        </w:r>
      </w:hyperlink>
      <w:hyperlink r:id="rId59">
        <w:r>
          <w:rPr>
            <w:color w:val="0563C1"/>
            <w:u w:val="single" w:color="0563C1"/>
          </w:rPr>
          <w:t>-</w:t>
        </w:r>
      </w:hyperlink>
      <w:hyperlink r:id="rId60">
        <w:r>
          <w:rPr>
            <w:color w:val="0563C1"/>
            <w:u w:val="single" w:color="0563C1"/>
          </w:rPr>
          <w:t>e77640154726/sheet/0c8af38b</w:t>
        </w:r>
      </w:hyperlink>
      <w:hyperlink r:id="rId61">
        <w:r>
          <w:rPr>
            <w:color w:val="0563C1"/>
            <w:u w:val="single" w:color="0563C1"/>
          </w:rPr>
          <w:t>-</w:t>
        </w:r>
      </w:hyperlink>
      <w:hyperlink r:id="rId62">
        <w:r>
          <w:rPr>
            <w:color w:val="0563C1"/>
            <w:u w:val="single" w:color="0563C1"/>
          </w:rPr>
          <w:t>b73c</w:t>
        </w:r>
      </w:hyperlink>
      <w:hyperlink r:id="rId63">
        <w:r>
          <w:rPr>
            <w:color w:val="0563C1"/>
            <w:u w:val="single" w:color="0563C1"/>
          </w:rPr>
          <w:t>-</w:t>
        </w:r>
      </w:hyperlink>
      <w:hyperlink r:id="rId64">
        <w:r>
          <w:rPr>
            <w:color w:val="0563C1"/>
            <w:u w:val="single" w:color="0563C1"/>
          </w:rPr>
          <w:t>4da2</w:t>
        </w:r>
      </w:hyperlink>
      <w:hyperlink r:id="rId65">
        <w:r>
          <w:rPr>
            <w:color w:val="0563C1"/>
            <w:u w:val="single" w:color="0563C1"/>
          </w:rPr>
          <w:t>-</w:t>
        </w:r>
      </w:hyperlink>
      <w:hyperlink r:id="rId66">
        <w:r>
          <w:rPr>
            <w:color w:val="0563C1"/>
            <w:u w:val="single" w:color="0563C1"/>
          </w:rPr>
          <w:t>ba41</w:t>
        </w:r>
      </w:hyperlink>
      <w:hyperlink r:id="rId67">
        <w:r>
          <w:rPr>
            <w:color w:val="0563C1"/>
            <w:u w:val="single" w:color="0563C1"/>
          </w:rPr>
          <w:t>-</w:t>
        </w:r>
      </w:hyperlink>
    </w:p>
  </w:footnote>
  <w:footnote w:id="44">
    <w:p w:rsidR="00E8309B" w:rsidRDefault="009D0949">
      <w:pPr>
        <w:pStyle w:val="footnotedescription"/>
        <w:spacing w:after="6"/>
      </w:pPr>
      <w:r>
        <w:rPr>
          <w:rStyle w:val="footnotemark"/>
        </w:rPr>
        <w:footnoteRef/>
      </w:r>
      <w:r>
        <w:t xml:space="preserve"> </w:t>
      </w:r>
      <w:hyperlink r:id="rId68">
        <w:r>
          <w:rPr>
            <w:color w:val="0563C1"/>
            <w:u w:val="single" w:color="0563C1"/>
          </w:rPr>
          <w:t>ea34ab7ac4/state/analysis</w:t>
        </w:r>
      </w:hyperlink>
      <w:hyperlink r:id="rId69">
        <w:r>
          <w:t xml:space="preserve"> </w:t>
        </w:r>
      </w:hyperlink>
    </w:p>
  </w:footnote>
  <w:footnote w:id="45">
    <w:p w:rsidR="00E8309B" w:rsidRDefault="009D0949">
      <w:pPr>
        <w:pStyle w:val="footnotedescription"/>
        <w:spacing w:line="284" w:lineRule="auto"/>
        <w:jc w:val="both"/>
      </w:pPr>
      <w:r>
        <w:rPr>
          <w:rStyle w:val="footnotemark"/>
        </w:rPr>
        <w:footnoteRef/>
      </w:r>
      <w:r>
        <w:t xml:space="preserve"> Србија је једина</w:t>
      </w:r>
      <w:r>
        <w:t xml:space="preserve"> земља у региону која се нашла у извештају најреномираније светске истраживачке агенције за стартап екосистеме, Стартап Џином (</w:t>
      </w:r>
      <w:r>
        <w:rPr>
          <w:i/>
        </w:rPr>
        <w:t>Startup Genome</w:t>
      </w:r>
      <w:r>
        <w:t xml:space="preserve">) из Сан Франциска. </w:t>
      </w:r>
    </w:p>
  </w:footnote>
  <w:footnote w:id="46">
    <w:p w:rsidR="00E8309B" w:rsidRDefault="009D0949">
      <w:pPr>
        <w:pStyle w:val="footnotedescription"/>
        <w:spacing w:after="19"/>
      </w:pPr>
      <w:r>
        <w:rPr>
          <w:rStyle w:val="footnotemark"/>
        </w:rPr>
        <w:footnoteRef/>
      </w:r>
      <w:r>
        <w:t xml:space="preserve"> </w:t>
      </w:r>
      <w:hyperlink r:id="rId70">
        <w:r>
          <w:rPr>
            <w:color w:val="0563C1"/>
            <w:u w:val="single" w:color="0563C1"/>
          </w:rPr>
          <w:t>https://startupgenome.com/repo</w:t>
        </w:r>
        <w:r>
          <w:rPr>
            <w:color w:val="0563C1"/>
            <w:u w:val="single" w:color="0563C1"/>
          </w:rPr>
          <w:t>rts/gser2020</w:t>
        </w:r>
      </w:hyperlink>
      <w:hyperlink r:id="rId71">
        <w:r>
          <w:t xml:space="preserve"> </w:t>
        </w:r>
      </w:hyperlink>
    </w:p>
  </w:footnote>
  <w:footnote w:id="47">
    <w:p w:rsidR="00E8309B" w:rsidRDefault="009D0949">
      <w:pPr>
        <w:pStyle w:val="footnotedescription"/>
        <w:spacing w:after="7"/>
      </w:pPr>
      <w:r>
        <w:rPr>
          <w:rStyle w:val="footnotemark"/>
        </w:rPr>
        <w:footnoteRef/>
      </w:r>
      <w:r>
        <w:t xml:space="preserve"> Извор: РЗС, обрачун РСЈП </w:t>
      </w:r>
    </w:p>
  </w:footnote>
  <w:footnote w:id="48">
    <w:p w:rsidR="00E8309B" w:rsidRDefault="009D0949">
      <w:pPr>
        <w:pStyle w:val="footnotedescription"/>
        <w:spacing w:line="285" w:lineRule="auto"/>
        <w:ind w:right="2225"/>
      </w:pPr>
      <w:r>
        <w:rPr>
          <w:rStyle w:val="footnotemark"/>
        </w:rPr>
        <w:footnoteRef/>
      </w:r>
      <w:r>
        <w:t xml:space="preserve"> Извор: Евростат</w:t>
      </w:r>
      <w:hyperlink r:id="rId72">
        <w:r>
          <w:t xml:space="preserve">, </w:t>
        </w:r>
      </w:hyperlink>
      <w:hyperlink r:id="rId73">
        <w:r>
          <w:rPr>
            <w:color w:val="0563C1"/>
            <w:u w:val="single" w:color="0563C1"/>
          </w:rPr>
          <w:t>https://appsso.eurostat.ec.europa.eu/nui/submitViewTableAction.do</w:t>
        </w:r>
      </w:hyperlink>
      <w:hyperlink r:id="rId74">
        <w:r>
          <w:t xml:space="preserve"> </w:t>
        </w:r>
      </w:hyperlink>
      <w:r>
        <w:rPr>
          <w:vertAlign w:val="superscript"/>
        </w:rPr>
        <w:t>53</w:t>
      </w:r>
      <w:r>
        <w:t xml:space="preserve"> Завод за интелектуалну својину, Стратегија паметне специјализациј</w:t>
      </w:r>
      <w:r>
        <w:t xml:space="preserve">е у РС за период од 2020-2027. године. </w:t>
      </w:r>
    </w:p>
  </w:footnote>
  <w:footnote w:id="49">
    <w:p w:rsidR="00E8309B" w:rsidRDefault="009D0949">
      <w:pPr>
        <w:pStyle w:val="footnotedescription"/>
        <w:spacing w:line="296" w:lineRule="auto"/>
        <w:jc w:val="both"/>
      </w:pPr>
      <w:r>
        <w:rPr>
          <w:rStyle w:val="footnotemark"/>
        </w:rPr>
        <w:footnoteRef/>
      </w:r>
      <w:r>
        <w:t xml:space="preserve"> Приоритет је дат оним решењима за која је процењено да могу створити најрелевантнији, најбржи и стратешки важан одговор на конкретне проблеме. Развој лекова и вакцина нису били предмет овог јавног позива. </w:t>
      </w:r>
    </w:p>
  </w:footnote>
  <w:footnote w:id="50">
    <w:p w:rsidR="00E8309B" w:rsidRDefault="009D0949">
      <w:pPr>
        <w:pStyle w:val="footnotedescription"/>
        <w:spacing w:after="5" w:line="270" w:lineRule="auto"/>
        <w:ind w:right="28"/>
        <w:jc w:val="both"/>
      </w:pPr>
      <w:r>
        <w:rPr>
          <w:rStyle w:val="footnotemark"/>
        </w:rPr>
        <w:footnoteRef/>
      </w:r>
      <w:r>
        <w:t xml:space="preserve"> Програ</w:t>
      </w:r>
      <w:r>
        <w:t>м подржава примењена научна истраживања, креирање интердисциплинарних и мултидисциплинарних тимова у оквиру три групације научних области: (био)медицинске науке, (био)медицинско инжењерство и информационе технологије, и економска, социолошка, психолошка ис</w:t>
      </w:r>
      <w:r>
        <w:t xml:space="preserve">траживања и управљање сложеним системима. </w:t>
      </w:r>
    </w:p>
  </w:footnote>
  <w:footnote w:id="51">
    <w:p w:rsidR="00E8309B" w:rsidRDefault="009D0949">
      <w:pPr>
        <w:pStyle w:val="footnotedescription"/>
        <w:spacing w:line="288" w:lineRule="auto"/>
        <w:jc w:val="both"/>
      </w:pPr>
      <w:r>
        <w:rPr>
          <w:rStyle w:val="footnotemark"/>
        </w:rPr>
        <w:footnoteRef/>
      </w:r>
      <w:r>
        <w:t xml:space="preserve"> Према подацима НБС извоз ИКТ услуга износио је 1.422 милиона евра у 2019. години, а суфицит у размени ИКТ услуга од скоро 802 милиона евра. Извоз ИКТ услуга представља око 20% укупног извоза. </w:t>
      </w:r>
    </w:p>
  </w:footnote>
  <w:footnote w:id="52">
    <w:p w:rsidR="00E8309B" w:rsidRDefault="009D0949">
      <w:pPr>
        <w:pStyle w:val="footnotedescription"/>
        <w:spacing w:after="4"/>
      </w:pPr>
      <w:r>
        <w:rPr>
          <w:rStyle w:val="footnotemark"/>
        </w:rPr>
        <w:footnoteRef/>
      </w:r>
      <w:r>
        <w:t xml:space="preserve"> Подаци за други </w:t>
      </w:r>
      <w:r>
        <w:t xml:space="preserve">квартал 2020, РЗС </w:t>
      </w:r>
    </w:p>
  </w:footnote>
  <w:footnote w:id="53">
    <w:p w:rsidR="00E8309B" w:rsidRDefault="009D0949">
      <w:pPr>
        <w:pStyle w:val="footnotedescription"/>
        <w:spacing w:after="13"/>
      </w:pPr>
      <w:r>
        <w:rPr>
          <w:rStyle w:val="footnotemark"/>
        </w:rPr>
        <w:footnoteRef/>
      </w:r>
      <w:r>
        <w:t xml:space="preserve"> Network Readiness Index 2019</w:t>
      </w:r>
      <w:hyperlink r:id="rId75" w:anchor="complete-ranking">
        <w:r>
          <w:t xml:space="preserve">, </w:t>
        </w:r>
      </w:hyperlink>
      <w:hyperlink r:id="rId76" w:anchor="complete-ranking">
        <w:r>
          <w:rPr>
            <w:color w:val="0563C1"/>
            <w:u w:val="single" w:color="0563C1"/>
          </w:rPr>
          <w:t>https://network</w:t>
        </w:r>
        <w:r>
          <w:rPr>
            <w:color w:val="0563C1"/>
            <w:u w:val="single" w:color="0563C1"/>
          </w:rPr>
          <w:t>readinessindex.org/nri</w:t>
        </w:r>
      </w:hyperlink>
      <w:hyperlink r:id="rId77" w:anchor="complete-ranking">
        <w:r>
          <w:rPr>
            <w:color w:val="0563C1"/>
            <w:u w:val="single" w:color="0563C1"/>
          </w:rPr>
          <w:t>-</w:t>
        </w:r>
      </w:hyperlink>
      <w:hyperlink r:id="rId78" w:anchor="complete-ranking">
        <w:r>
          <w:rPr>
            <w:color w:val="0563C1"/>
            <w:u w:val="single" w:color="0563C1"/>
          </w:rPr>
          <w:t>2019</w:t>
        </w:r>
      </w:hyperlink>
      <w:hyperlink r:id="rId79" w:anchor="complete-ranking">
        <w:r>
          <w:rPr>
            <w:color w:val="0563C1"/>
            <w:u w:val="single" w:color="0563C1"/>
          </w:rPr>
          <w:t>-</w:t>
        </w:r>
      </w:hyperlink>
      <w:hyperlink r:id="rId80" w:anchor="complete-ranking">
        <w:r>
          <w:rPr>
            <w:color w:val="0563C1"/>
            <w:u w:val="single" w:color="0563C1"/>
          </w:rPr>
          <w:t>countries/#complete</w:t>
        </w:r>
      </w:hyperlink>
      <w:hyperlink r:id="rId81" w:anchor="complete-ranking">
        <w:r>
          <w:rPr>
            <w:color w:val="0563C1"/>
            <w:u w:val="single" w:color="0563C1"/>
          </w:rPr>
          <w:t>-</w:t>
        </w:r>
      </w:hyperlink>
      <w:hyperlink r:id="rId82" w:anchor="complete-ranking">
        <w:r>
          <w:rPr>
            <w:color w:val="0563C1"/>
            <w:u w:val="single" w:color="0563C1"/>
          </w:rPr>
          <w:t>ranking</w:t>
        </w:r>
      </w:hyperlink>
      <w:hyperlink r:id="rId83" w:anchor="complete-ranking">
        <w:r>
          <w:t xml:space="preserve"> </w:t>
        </w:r>
      </w:hyperlink>
    </w:p>
  </w:footnote>
  <w:footnote w:id="54">
    <w:p w:rsidR="00E8309B" w:rsidRDefault="009D0949">
      <w:pPr>
        <w:pStyle w:val="footnotedescription"/>
      </w:pPr>
      <w:r>
        <w:rPr>
          <w:rStyle w:val="footnotemark"/>
        </w:rPr>
        <w:footnoteRef/>
      </w:r>
      <w:r>
        <w:t xml:space="preserve"> Извор: РАТЕЛ, Преглед тржишта телекомуникација и поштанских услуга у Републици Србији у 2019. години (допуна) </w:t>
      </w:r>
    </w:p>
  </w:footnote>
  <w:footnote w:id="55">
    <w:p w:rsidR="00E8309B" w:rsidRDefault="009D0949">
      <w:pPr>
        <w:pStyle w:val="footnotedescription"/>
        <w:spacing w:line="275" w:lineRule="auto"/>
        <w:ind w:right="1958"/>
        <w:jc w:val="both"/>
      </w:pPr>
      <w:r>
        <w:rPr>
          <w:rStyle w:val="footnotemark"/>
        </w:rPr>
        <w:footnoteRef/>
      </w:r>
      <w:r>
        <w:t xml:space="preserve"> За реализацију пројекта „Изградња широкопојасне ИКТ у руралним пределима Републике Србије – Фаза 1”. </w:t>
      </w:r>
      <w:r>
        <w:rPr>
          <w:vertAlign w:val="superscript"/>
        </w:rPr>
        <w:t>61</w:t>
      </w:r>
      <w:r>
        <w:t xml:space="preserve"> </w:t>
      </w:r>
      <w:r>
        <w:t xml:space="preserve">Извор: РАТЕЛ, Преглед тржишта електронских комуникација за други квартал 2020. </w:t>
      </w:r>
    </w:p>
  </w:footnote>
  <w:footnote w:id="56">
    <w:p w:rsidR="00E8309B" w:rsidRDefault="009D0949">
      <w:pPr>
        <w:pStyle w:val="footnotedescription"/>
      </w:pPr>
      <w:r>
        <w:rPr>
          <w:rStyle w:val="footnotemark"/>
        </w:rPr>
        <w:footnoteRef/>
      </w:r>
      <w:r>
        <w:t xml:space="preserve"> Извор: Спољнотрговинска робна размена, РЗС. </w:t>
      </w:r>
    </w:p>
  </w:footnote>
  <w:footnote w:id="57">
    <w:p w:rsidR="00E8309B" w:rsidRDefault="009D0949">
      <w:pPr>
        <w:pStyle w:val="footnotedescription"/>
        <w:spacing w:line="273" w:lineRule="auto"/>
        <w:ind w:right="26"/>
        <w:jc w:val="both"/>
      </w:pPr>
      <w:r>
        <w:rPr>
          <w:rStyle w:val="footnotemark"/>
        </w:rPr>
        <w:footnoteRef/>
      </w:r>
      <w:r>
        <w:t xml:space="preserve"> Институције партнери су Дирекција за мере и драгоцене метале (ДМДМ), Институт за стандардизацију Србије (ИСС) и Акредитационо т</w:t>
      </w:r>
      <w:r>
        <w:t>ело Србије (АТС) и планирано је да из својих буџета за 2022. и 2023. годину учествују са по максимум 20.000 евра по години, дакле укупно до 120,000 евра.</w:t>
      </w:r>
      <w:r>
        <w:rPr>
          <w:rFonts w:ascii="Calibri" w:eastAsia="Calibri" w:hAnsi="Calibri" w:cs="Calibri"/>
        </w:rPr>
        <w:t xml:space="preserve"> </w:t>
      </w:r>
    </w:p>
  </w:footnote>
  <w:footnote w:id="58">
    <w:p w:rsidR="00E8309B" w:rsidRDefault="009D0949">
      <w:pPr>
        <w:pStyle w:val="footnotedescription"/>
        <w:spacing w:after="20"/>
      </w:pPr>
      <w:r>
        <w:rPr>
          <w:rStyle w:val="footnotemark"/>
        </w:rPr>
        <w:footnoteRef/>
      </w:r>
      <w:r>
        <w:t xml:space="preserve"> Стопа обухвата основним образовањем износила 97% у 2018. години. </w:t>
      </w:r>
    </w:p>
  </w:footnote>
  <w:footnote w:id="59">
    <w:p w:rsidR="00E8309B" w:rsidRDefault="009D0949">
      <w:pPr>
        <w:pStyle w:val="footnotedescription"/>
        <w:spacing w:line="272" w:lineRule="auto"/>
        <w:ind w:right="30"/>
        <w:jc w:val="both"/>
      </w:pPr>
      <w:r>
        <w:rPr>
          <w:rStyle w:val="footnotemark"/>
        </w:rPr>
        <w:footnoteRef/>
      </w:r>
      <w:r>
        <w:t xml:space="preserve"> </w:t>
      </w:r>
      <w:r>
        <w:t xml:space="preserve">Тестирање у читању, математици и науци, као и у финансијској писмености и глобалним компетенцијама. </w:t>
      </w:r>
      <w:r>
        <w:rPr>
          <w:vertAlign w:val="superscript"/>
        </w:rPr>
        <w:t>66</w:t>
      </w:r>
      <w:r>
        <w:t xml:space="preserve"> Процењени утицај Ковида-19 на образовање и одговори појединих држава (Редовни економски извештај за Западни Балкан), World Bank, 2020. </w:t>
      </w:r>
    </w:p>
  </w:footnote>
  <w:footnote w:id="60">
    <w:p w:rsidR="00E8309B" w:rsidRDefault="009D0949">
      <w:pPr>
        <w:pStyle w:val="footnotedescription"/>
        <w:spacing w:line="266" w:lineRule="auto"/>
        <w:ind w:right="23"/>
        <w:jc w:val="both"/>
      </w:pPr>
      <w:r>
        <w:rPr>
          <w:rStyle w:val="footnotemark"/>
        </w:rPr>
        <w:footnoteRef/>
      </w:r>
      <w:r>
        <w:t xml:space="preserve"> Преко 50% млади</w:t>
      </w:r>
      <w:r>
        <w:t xml:space="preserve">х на тржишту рада са средњом стручном спремом радило је на пословима који не одговарају њиховој области формалног образовања. Извор: Анализа понуде и потражње на тржишту рада младих са средњом стручном спремом у периоду 2011–2015. Лазар Живковић. </w:t>
      </w:r>
    </w:p>
  </w:footnote>
  <w:footnote w:id="61">
    <w:p w:rsidR="00E8309B" w:rsidRDefault="009D0949">
      <w:pPr>
        <w:pStyle w:val="footnotedescription"/>
        <w:spacing w:after="3"/>
      </w:pPr>
      <w:r>
        <w:rPr>
          <w:rStyle w:val="footnotemark"/>
        </w:rPr>
        <w:footnoteRef/>
      </w:r>
      <w:r>
        <w:t xml:space="preserve"> Извор:</w:t>
      </w:r>
      <w:r>
        <w:t xml:space="preserve"> Eurostat</w:t>
      </w:r>
      <w:hyperlink r:id="rId84">
        <w:r>
          <w:t xml:space="preserve">, </w:t>
        </w:r>
      </w:hyperlink>
      <w:hyperlink r:id="rId85">
        <w:r>
          <w:rPr>
            <w:color w:val="0563C1"/>
            <w:u w:val="single" w:color="0563C1"/>
          </w:rPr>
          <w:t>https://appsso.eurostat.ec.europa.eu/nui/show.do?da</w:t>
        </w:r>
        <w:r>
          <w:rPr>
            <w:color w:val="0563C1"/>
            <w:u w:val="single" w:color="0563C1"/>
          </w:rPr>
          <w:t>taset=trng_lfse_01&amp;lang=en</w:t>
        </w:r>
      </w:hyperlink>
      <w:hyperlink r:id="rId86">
        <w:r>
          <w:t xml:space="preserve"> </w:t>
        </w:r>
      </w:hyperlink>
    </w:p>
  </w:footnote>
  <w:footnote w:id="62">
    <w:p w:rsidR="00E8309B" w:rsidRDefault="009D0949">
      <w:pPr>
        <w:pStyle w:val="footnotedescription"/>
      </w:pPr>
      <w:r>
        <w:rPr>
          <w:rStyle w:val="footnotemark"/>
        </w:rPr>
        <w:footnoteRef/>
      </w:r>
      <w:r>
        <w:t xml:space="preserve"> Извор: Агенција за квалификациј</w:t>
      </w:r>
      <w:hyperlink r:id="rId87">
        <w:r>
          <w:t xml:space="preserve">е </w:t>
        </w:r>
      </w:hyperlink>
      <w:hyperlink r:id="rId88">
        <w:r>
          <w:rPr>
            <w:color w:val="0563C1"/>
            <w:u w:val="single" w:color="0563C1"/>
          </w:rPr>
          <w:t>http://azk.gov.rs/?page_id=75150</w:t>
        </w:r>
      </w:hyperlink>
      <w:hyperlink r:id="rId89">
        <w:r>
          <w:t xml:space="preserve"> </w:t>
        </w:r>
      </w:hyperlink>
    </w:p>
  </w:footnote>
  <w:footnote w:id="63">
    <w:p w:rsidR="00E8309B" w:rsidRDefault="009D0949">
      <w:pPr>
        <w:pStyle w:val="footnotedescription"/>
        <w:spacing w:after="111"/>
      </w:pPr>
      <w:r>
        <w:rPr>
          <w:rStyle w:val="footnotemark"/>
        </w:rPr>
        <w:footnoteRef/>
      </w:r>
      <w:r>
        <w:t xml:space="preserve"> </w:t>
      </w:r>
      <w:hyperlink r:id="rId90">
        <w:r>
          <w:rPr>
            <w:color w:val="0563C1"/>
            <w:u w:val="single" w:color="0563C1"/>
          </w:rPr>
          <w:t>https://europa.eu/europass/en/reports</w:t>
        </w:r>
      </w:hyperlink>
      <w:hyperlink r:id="rId91">
        <w:r>
          <w:rPr>
            <w:color w:val="0563C1"/>
            <w:u w:val="single" w:color="0563C1"/>
          </w:rPr>
          <w:t>-</w:t>
        </w:r>
      </w:hyperlink>
      <w:hyperlink r:id="rId92">
        <w:r>
          <w:rPr>
            <w:color w:val="0563C1"/>
            <w:u w:val="single" w:color="0563C1"/>
          </w:rPr>
          <w:t>referencing</w:t>
        </w:r>
      </w:hyperlink>
      <w:hyperlink r:id="rId93">
        <w:r>
          <w:rPr>
            <w:color w:val="0563C1"/>
            <w:u w:val="single" w:color="0563C1"/>
          </w:rPr>
          <w:t>-</w:t>
        </w:r>
      </w:hyperlink>
      <w:hyperlink r:id="rId94">
        <w:r>
          <w:rPr>
            <w:color w:val="0563C1"/>
            <w:u w:val="single" w:color="0563C1"/>
          </w:rPr>
          <w:t>national</w:t>
        </w:r>
      </w:hyperlink>
      <w:hyperlink r:id="rId95">
        <w:r>
          <w:rPr>
            <w:color w:val="0563C1"/>
            <w:u w:val="single" w:color="0563C1"/>
          </w:rPr>
          <w:t>-</w:t>
        </w:r>
      </w:hyperlink>
      <w:hyperlink r:id="rId96">
        <w:r>
          <w:rPr>
            <w:color w:val="0563C1"/>
            <w:u w:val="single" w:color="0563C1"/>
          </w:rPr>
          <w:t>qualifications</w:t>
        </w:r>
      </w:hyperlink>
      <w:hyperlink r:id="rId97">
        <w:r>
          <w:rPr>
            <w:color w:val="0563C1"/>
            <w:u w:val="single" w:color="0563C1"/>
          </w:rPr>
          <w:t>-</w:t>
        </w:r>
      </w:hyperlink>
      <w:hyperlink r:id="rId98">
        <w:r>
          <w:rPr>
            <w:color w:val="0563C1"/>
            <w:u w:val="single" w:color="0563C1"/>
          </w:rPr>
          <w:t>frameworks</w:t>
        </w:r>
      </w:hyperlink>
      <w:hyperlink r:id="rId99">
        <w:r>
          <w:rPr>
            <w:color w:val="0563C1"/>
            <w:u w:val="single" w:color="0563C1"/>
          </w:rPr>
          <w:t>-</w:t>
        </w:r>
      </w:hyperlink>
      <w:hyperlink r:id="rId100">
        <w:r>
          <w:rPr>
            <w:color w:val="0563C1"/>
            <w:u w:val="single" w:color="0563C1"/>
          </w:rPr>
          <w:t>eqf</w:t>
        </w:r>
      </w:hyperlink>
      <w:hyperlink r:id="rId101">
        <w:r>
          <w:t xml:space="preserve"> </w:t>
        </w:r>
      </w:hyperlink>
    </w:p>
  </w:footnote>
  <w:footnote w:id="64">
    <w:p w:rsidR="00E8309B" w:rsidRDefault="009D0949">
      <w:pPr>
        <w:pStyle w:val="footnotedescription"/>
      </w:pPr>
      <w:r>
        <w:rPr>
          <w:rStyle w:val="footnotemark"/>
        </w:rPr>
        <w:footnoteRef/>
      </w:r>
      <w:r>
        <w:t xml:space="preserve"> Извор</w:t>
      </w:r>
      <w:hyperlink r:id="rId102">
        <w:r>
          <w:t xml:space="preserve">: </w:t>
        </w:r>
      </w:hyperlink>
      <w:hyperlink r:id="rId103">
        <w:r>
          <w:rPr>
            <w:color w:val="0563C1"/>
            <w:u w:val="single" w:color="0563C1"/>
          </w:rPr>
          <w:t>https://www.mfin.gov.rs/wp</w:t>
        </w:r>
      </w:hyperlink>
      <w:hyperlink r:id="rId104">
        <w:r>
          <w:rPr>
            <w:color w:val="0563C1"/>
            <w:u w:val="single" w:color="0563C1"/>
          </w:rPr>
          <w:t>-</w:t>
        </w:r>
      </w:hyperlink>
      <w:hyperlink r:id="rId105">
        <w:r>
          <w:rPr>
            <w:color w:val="0563C1"/>
            <w:u w:val="single" w:color="0563C1"/>
          </w:rPr>
          <w:t>content/uploads/2019/09/Vodic</w:t>
        </w:r>
      </w:hyperlink>
      <w:hyperlink r:id="rId106">
        <w:r>
          <w:rPr>
            <w:color w:val="0563C1"/>
            <w:u w:val="single" w:color="0563C1"/>
          </w:rPr>
          <w:t>-</w:t>
        </w:r>
      </w:hyperlink>
      <w:hyperlink r:id="rId107">
        <w:r>
          <w:rPr>
            <w:color w:val="0563C1"/>
            <w:u w:val="single" w:color="0563C1"/>
          </w:rPr>
          <w:t>kroz</w:t>
        </w:r>
      </w:hyperlink>
      <w:hyperlink r:id="rId108">
        <w:r>
          <w:rPr>
            <w:color w:val="0563C1"/>
            <w:u w:val="single" w:color="0563C1"/>
          </w:rPr>
          <w:t>-</w:t>
        </w:r>
      </w:hyperlink>
      <w:hyperlink r:id="rId109">
        <w:r>
          <w:rPr>
            <w:color w:val="0563C1"/>
            <w:u w:val="single" w:color="0563C1"/>
          </w:rPr>
          <w:t>gradjanski</w:t>
        </w:r>
      </w:hyperlink>
      <w:hyperlink r:id="rId110">
        <w:r>
          <w:rPr>
            <w:color w:val="0563C1"/>
            <w:u w:val="single" w:color="0563C1"/>
          </w:rPr>
          <w:t>-</w:t>
        </w:r>
      </w:hyperlink>
      <w:hyperlink r:id="rId111">
        <w:r>
          <w:rPr>
            <w:color w:val="0563C1"/>
            <w:u w:val="single" w:color="0563C1"/>
          </w:rPr>
          <w:t>budzet.pdf</w:t>
        </w:r>
      </w:hyperlink>
      <w:hyperlink r:id="rId112">
        <w:r>
          <w:t xml:space="preserve"> </w:t>
        </w:r>
      </w:hyperlink>
    </w:p>
  </w:footnote>
  <w:footnote w:id="65">
    <w:p w:rsidR="00E8309B" w:rsidRDefault="009D0949">
      <w:pPr>
        <w:pStyle w:val="footnotedescription"/>
      </w:pPr>
      <w:r>
        <w:rPr>
          <w:rStyle w:val="footnotemark"/>
        </w:rPr>
        <w:footnoteRef/>
      </w:r>
      <w:r>
        <w:t xml:space="preserve"> Извор: ЕТФ (2017). Digital Skills and Online Learning in Serbia.</w:t>
      </w:r>
      <w:r>
        <w:t xml:space="preserve"> Digital Factsheet October 2017. </w:t>
      </w:r>
    </w:p>
  </w:footnote>
  <w:footnote w:id="66">
    <w:p w:rsidR="00E8309B" w:rsidRDefault="009D0949">
      <w:pPr>
        <w:pStyle w:val="footnotedescription"/>
        <w:spacing w:after="16"/>
      </w:pPr>
      <w:r>
        <w:rPr>
          <w:rStyle w:val="footnotemark"/>
        </w:rPr>
        <w:footnoteRef/>
      </w:r>
      <w:r>
        <w:t xml:space="preserve"> Извор: Анкета о радној снази (АРС), РЗС </w:t>
      </w:r>
    </w:p>
  </w:footnote>
  <w:footnote w:id="67">
    <w:p w:rsidR="00E8309B" w:rsidRDefault="009D0949">
      <w:pPr>
        <w:pStyle w:val="footnotedescription"/>
      </w:pPr>
      <w:r>
        <w:rPr>
          <w:rStyle w:val="footnotemark"/>
        </w:rPr>
        <w:footnoteRef/>
      </w:r>
      <w:r>
        <w:t xml:space="preserve"> Почетак примене Закона о поједностављеном радном ангажовању на сезонским пословима у одређеним делатностима. </w:t>
      </w:r>
    </w:p>
  </w:footnote>
  <w:footnote w:id="68">
    <w:p w:rsidR="00E8309B" w:rsidRDefault="009D0949">
      <w:pPr>
        <w:pStyle w:val="footnotedescription"/>
        <w:spacing w:after="27"/>
      </w:pPr>
      <w:r>
        <w:rPr>
          <w:rStyle w:val="footnotemark"/>
        </w:rPr>
        <w:footnoteRef/>
      </w:r>
      <w:r>
        <w:t xml:space="preserve"> NEET - Youth not in employment, education or training. </w:t>
      </w:r>
    </w:p>
  </w:footnote>
  <w:footnote w:id="69">
    <w:p w:rsidR="00E8309B" w:rsidRDefault="009D0949">
      <w:pPr>
        <w:pStyle w:val="footnotedescription"/>
        <w:spacing w:line="281" w:lineRule="auto"/>
        <w:jc w:val="both"/>
      </w:pPr>
      <w:r>
        <w:rPr>
          <w:rStyle w:val="footnotemark"/>
        </w:rPr>
        <w:footnoteRef/>
      </w:r>
      <w:r>
        <w:t xml:space="preserve"> </w:t>
      </w:r>
      <w:r>
        <w:t xml:space="preserve">Медијална нето зарада за октобар 2020. године износила је око 46 хиљада РСД (395 евра), што значи да је 50% запослених остварило зараду до наведеног износа. </w:t>
      </w:r>
    </w:p>
  </w:footnote>
  <w:footnote w:id="70">
    <w:p w:rsidR="00E8309B" w:rsidRDefault="009D0949">
      <w:pPr>
        <w:pStyle w:val="footnotedescription"/>
        <w:spacing w:after="30"/>
      </w:pPr>
      <w:r>
        <w:rPr>
          <w:rStyle w:val="footnotemark"/>
        </w:rPr>
        <w:footnoteRef/>
      </w:r>
      <w:r>
        <w:t xml:space="preserve"> Извор: Истраживање о регистрованој запослености, РЗС. </w:t>
      </w:r>
    </w:p>
  </w:footnote>
  <w:footnote w:id="71">
    <w:p w:rsidR="00E8309B" w:rsidRDefault="009D0949">
      <w:pPr>
        <w:pStyle w:val="footnotedescription"/>
        <w:spacing w:line="280" w:lineRule="auto"/>
        <w:ind w:right="23"/>
        <w:jc w:val="both"/>
      </w:pPr>
      <w:r>
        <w:rPr>
          <w:rStyle w:val="footnotemark"/>
        </w:rPr>
        <w:footnoteRef/>
      </w:r>
      <w:r>
        <w:t xml:space="preserve"> За подршку привреди и становништву ради</w:t>
      </w:r>
      <w:r>
        <w:t xml:space="preserve"> смањивања негативних ефеката проузрокованих пандемијом Ковид-19 издвојено је укупно 690,3 милијарди РСД (12,5% БДП). Поред мера пореске политике и директне подршке привредним субјектима, укључене су и мере за очување ликвидности приватног сектора и остале</w:t>
      </w:r>
      <w:r>
        <w:t xml:space="preserve"> мере (мораторијум на исплату дивиденци, као и фискални подстицај - исплата 100 евра свим пунолетним грађанима). </w:t>
      </w:r>
    </w:p>
  </w:footnote>
  <w:footnote w:id="72">
    <w:p w:rsidR="00E8309B" w:rsidRDefault="009D0949">
      <w:pPr>
        <w:pStyle w:val="footnotedescription"/>
        <w:ind w:right="24"/>
        <w:jc w:val="both"/>
      </w:pPr>
      <w:r>
        <w:rPr>
          <w:rStyle w:val="footnotemark"/>
        </w:rPr>
        <w:footnoteRef/>
      </w:r>
      <w:r>
        <w:t xml:space="preserve"> HDI је сачињен од стране УНДП-ада би се задовољила потреба за социјалним индикатором који не прати искључиво економске параметре, већ наглаш</w:t>
      </w:r>
      <w:r>
        <w:t xml:space="preserve">ава друге социјалне аспекте који су кључни за квалитет живота појединца. Има три компоненте: 1) Дугачак и здрав живот (мерен очекиваним годинама живота на рођењу); 2) Знање (мерено очекиваним и медијалним годинама образовања); 3) Пристојни стандард живота </w:t>
      </w:r>
      <w:r>
        <w:t xml:space="preserve">(мерен бруто националним дохотком по глави становника – БНД per capita). Скала индекса се налази у распону од 0 (најгори резултат) до 1 (најбољи резултат). </w:t>
      </w:r>
    </w:p>
  </w:footnote>
  <w:footnote w:id="73">
    <w:p w:rsidR="00E8309B" w:rsidRDefault="009D0949">
      <w:pPr>
        <w:pStyle w:val="footnotedescription"/>
        <w:spacing w:after="16" w:line="272" w:lineRule="auto"/>
        <w:ind w:right="3056"/>
      </w:pPr>
      <w:r>
        <w:rPr>
          <w:rStyle w:val="footnotemark"/>
        </w:rPr>
        <w:footnoteRef/>
      </w:r>
      <w:r>
        <w:t xml:space="preserve"> Подаци су за 2018. годину. Извор</w:t>
      </w:r>
      <w:hyperlink r:id="rId113">
        <w:r>
          <w:t xml:space="preserve">: </w:t>
        </w:r>
      </w:hyperlink>
      <w:hyperlink r:id="rId114">
        <w:r>
          <w:rPr>
            <w:color w:val="0563C1"/>
            <w:u w:val="single" w:color="0563C1"/>
          </w:rPr>
          <w:t>http://hdr.undp.org/en/content/human</w:t>
        </w:r>
      </w:hyperlink>
      <w:hyperlink r:id="rId115">
        <w:r>
          <w:rPr>
            <w:color w:val="0563C1"/>
            <w:u w:val="single" w:color="0563C1"/>
          </w:rPr>
          <w:t>-</w:t>
        </w:r>
      </w:hyperlink>
      <w:hyperlink r:id="rId116">
        <w:r>
          <w:rPr>
            <w:color w:val="0563C1"/>
            <w:u w:val="single" w:color="0563C1"/>
          </w:rPr>
          <w:t>development</w:t>
        </w:r>
      </w:hyperlink>
      <w:hyperlink r:id="rId117">
        <w:r>
          <w:rPr>
            <w:color w:val="0563C1"/>
            <w:u w:val="single" w:color="0563C1"/>
          </w:rPr>
          <w:t>-</w:t>
        </w:r>
      </w:hyperlink>
      <w:hyperlink r:id="rId118">
        <w:r>
          <w:rPr>
            <w:color w:val="0563C1"/>
            <w:u w:val="single" w:color="0563C1"/>
          </w:rPr>
          <w:t>index</w:t>
        </w:r>
      </w:hyperlink>
      <w:hyperlink r:id="rId119">
        <w:r>
          <w:rPr>
            <w:color w:val="0563C1"/>
            <w:u w:val="single" w:color="0563C1"/>
          </w:rPr>
          <w:t>-</w:t>
        </w:r>
      </w:hyperlink>
      <w:hyperlink r:id="rId120">
        <w:r>
          <w:rPr>
            <w:color w:val="0563C1"/>
            <w:u w:val="single" w:color="0563C1"/>
          </w:rPr>
          <w:t>hdi</w:t>
        </w:r>
      </w:hyperlink>
      <w:hyperlink r:id="rId121">
        <w:r>
          <w:t xml:space="preserve"> </w:t>
        </w:r>
      </w:hyperlink>
      <w:r>
        <w:rPr>
          <w:vertAlign w:val="superscript"/>
        </w:rPr>
        <w:t>81</w:t>
      </w:r>
      <w:r>
        <w:t xml:space="preserve"> Проценат лица чији је еквивалентни приход мањи од релативне линије </w:t>
      </w:r>
      <w:r>
        <w:t xml:space="preserve">сиромаштва. </w:t>
      </w:r>
    </w:p>
  </w:footnote>
  <w:footnote w:id="74">
    <w:p w:rsidR="00E8309B" w:rsidRDefault="009D0949">
      <w:pPr>
        <w:pStyle w:val="footnotedescription"/>
        <w:spacing w:after="3" w:line="270" w:lineRule="auto"/>
        <w:ind w:right="2227"/>
      </w:pPr>
      <w:r>
        <w:rPr>
          <w:rStyle w:val="footnotemark"/>
        </w:rPr>
        <w:footnoteRef/>
      </w:r>
      <w:r>
        <w:t xml:space="preserve"> Извор: Анкета о приходима и условима живота (The Surveyon Incomeand Living Conditions – SILC), РЗС. </w:t>
      </w:r>
      <w:r>
        <w:rPr>
          <w:vertAlign w:val="superscript"/>
        </w:rPr>
        <w:t>83</w:t>
      </w:r>
      <w:r>
        <w:t xml:space="preserve"> Извор: Анкета о приходима и условима живота 2019. (The Survey on Income and Living Conditions – SILC). </w:t>
      </w:r>
      <w:r>
        <w:rPr>
          <w:vertAlign w:val="superscript"/>
        </w:rPr>
        <w:t>84</w:t>
      </w:r>
      <w:r>
        <w:t xml:space="preserve"> Извор</w:t>
      </w:r>
      <w:hyperlink r:id="rId122">
        <w:r>
          <w:t xml:space="preserve">: </w:t>
        </w:r>
      </w:hyperlink>
      <w:hyperlink r:id="rId123">
        <w:r>
          <w:rPr>
            <w:color w:val="0563C1"/>
            <w:u w:val="single" w:color="0563C1"/>
          </w:rPr>
          <w:t>https://ec.europa.eu/eurostat/tgm/table.do?tab=tabl</w:t>
        </w:r>
        <w:r>
          <w:rPr>
            <w:color w:val="0563C1"/>
            <w:u w:val="single" w:color="0563C1"/>
          </w:rPr>
          <w:t>e&amp;init=1&amp;language=en&amp;pcode=tessi190&amp;plugin=1</w:t>
        </w:r>
      </w:hyperlink>
      <w:hyperlink r:id="rId124">
        <w:r>
          <w:t xml:space="preserve"> </w:t>
        </w:r>
      </w:hyperlink>
    </w:p>
  </w:footnote>
  <w:footnote w:id="75">
    <w:p w:rsidR="00E8309B" w:rsidRDefault="009D0949">
      <w:pPr>
        <w:pStyle w:val="footnotedescription"/>
        <w:spacing w:after="21"/>
      </w:pPr>
      <w:r>
        <w:rPr>
          <w:rStyle w:val="footnotemark"/>
        </w:rPr>
        <w:footnoteRef/>
      </w:r>
      <w:r>
        <w:t xml:space="preserve"> Извор: Eurostat, по методологији Европског система интегрисаних статистичких података о социј</w:t>
      </w:r>
      <w:r>
        <w:t xml:space="preserve">алној заштити / ESSPROS. </w:t>
      </w:r>
    </w:p>
  </w:footnote>
  <w:footnote w:id="76">
    <w:p w:rsidR="00E8309B" w:rsidRDefault="009D0949">
      <w:pPr>
        <w:pStyle w:val="footnotedescription"/>
        <w:spacing w:after="5"/>
      </w:pPr>
      <w:r>
        <w:rPr>
          <w:rStyle w:val="footnotemark"/>
        </w:rPr>
        <w:footnoteRef/>
      </w:r>
      <w:r>
        <w:t xml:space="preserve"> Румунија 14,4%; Бугарска 16,9%; Мађарска 17,7% (2018). </w:t>
      </w:r>
    </w:p>
  </w:footnote>
  <w:footnote w:id="77">
    <w:p w:rsidR="00E8309B" w:rsidRDefault="009D0949">
      <w:pPr>
        <w:pStyle w:val="footnotedescription"/>
        <w:spacing w:after="3"/>
      </w:pPr>
      <w:r>
        <w:rPr>
          <w:rStyle w:val="footnotemark"/>
        </w:rPr>
        <w:footnoteRef/>
      </w:r>
      <w:r>
        <w:t xml:space="preserve"> Извор: Eurosta</w:t>
      </w:r>
      <w:hyperlink r:id="rId125">
        <w:r>
          <w:t xml:space="preserve">t </w:t>
        </w:r>
      </w:hyperlink>
      <w:hyperlink r:id="rId126">
        <w:r>
          <w:rPr>
            <w:color w:val="0563C1"/>
            <w:u w:val="single" w:color="0563C1"/>
          </w:rPr>
          <w:t>https://appsso.eurostat.ec.europa.eu/nui/show.do?dataset=spr_exp_sum&amp;lang=en</w:t>
        </w:r>
      </w:hyperlink>
      <w:hyperlink r:id="rId127">
        <w:r>
          <w:t xml:space="preserve"> </w:t>
        </w:r>
      </w:hyperlink>
    </w:p>
  </w:footnote>
  <w:footnote w:id="78">
    <w:p w:rsidR="00E8309B" w:rsidRDefault="009D0949">
      <w:pPr>
        <w:pStyle w:val="footnotedescription"/>
      </w:pPr>
      <w:r>
        <w:rPr>
          <w:rStyle w:val="footnotemark"/>
        </w:rPr>
        <w:footnoteRef/>
      </w:r>
      <w:r>
        <w:t xml:space="preserve"> Извор: Министарство финансиј</w:t>
      </w:r>
      <w:hyperlink r:id="rId128">
        <w:r>
          <w:t xml:space="preserve">а </w:t>
        </w:r>
      </w:hyperlink>
      <w:hyperlink r:id="rId129">
        <w:r>
          <w:rPr>
            <w:color w:val="0563C1"/>
            <w:u w:val="single" w:color="0563C1"/>
          </w:rPr>
          <w:t>https://www.mfin.gov.rs/dokumenti/makr</w:t>
        </w:r>
        <w:r>
          <w:rPr>
            <w:color w:val="0563C1"/>
            <w:u w:val="single" w:color="0563C1"/>
          </w:rPr>
          <w:t>oekonomski</w:t>
        </w:r>
      </w:hyperlink>
      <w:hyperlink r:id="rId130">
        <w:r>
          <w:rPr>
            <w:color w:val="0563C1"/>
            <w:u w:val="single" w:color="0563C1"/>
          </w:rPr>
          <w:t>-</w:t>
        </w:r>
      </w:hyperlink>
      <w:hyperlink r:id="rId131">
        <w:r>
          <w:rPr>
            <w:color w:val="0563C1"/>
            <w:u w:val="single" w:color="0563C1"/>
          </w:rPr>
          <w:t>i</w:t>
        </w:r>
      </w:hyperlink>
      <w:hyperlink r:id="rId132">
        <w:r>
          <w:rPr>
            <w:color w:val="0563C1"/>
            <w:u w:val="single" w:color="0563C1"/>
          </w:rPr>
          <w:t>-</w:t>
        </w:r>
      </w:hyperlink>
      <w:hyperlink r:id="rId133">
        <w:r>
          <w:rPr>
            <w:color w:val="0563C1"/>
            <w:u w:val="single" w:color="0563C1"/>
          </w:rPr>
          <w:t>fiskalni</w:t>
        </w:r>
      </w:hyperlink>
      <w:hyperlink r:id="rId134">
        <w:r>
          <w:rPr>
            <w:color w:val="0563C1"/>
            <w:u w:val="single" w:color="0563C1"/>
          </w:rPr>
          <w:t>-</w:t>
        </w:r>
      </w:hyperlink>
      <w:hyperlink r:id="rId135">
        <w:r>
          <w:rPr>
            <w:color w:val="0563C1"/>
            <w:u w:val="single" w:color="0563C1"/>
          </w:rPr>
          <w:t>podaci/</w:t>
        </w:r>
      </w:hyperlink>
      <w:hyperlink r:id="rId136">
        <w:r>
          <w:t xml:space="preserve"> </w:t>
        </w:r>
      </w:hyperlink>
    </w:p>
  </w:footnote>
  <w:footnote w:id="79">
    <w:p w:rsidR="00E8309B" w:rsidRDefault="009D0949">
      <w:pPr>
        <w:pStyle w:val="footnotedescription"/>
        <w:spacing w:line="292" w:lineRule="auto"/>
        <w:ind w:right="24"/>
        <w:jc w:val="both"/>
      </w:pPr>
      <w:r>
        <w:rPr>
          <w:rStyle w:val="footnotemark"/>
        </w:rPr>
        <w:footnoteRef/>
      </w:r>
      <w:r>
        <w:t xml:space="preserve"> Индекс родне равноправности представља мерни инструмент Европске уније који мери родну равноправност на скали од 1 (потпуна не</w:t>
      </w:r>
      <w:r>
        <w:t xml:space="preserve">равноправност) до 100 (потпуна равноправност) кроз шест домена: знање, рад, новац, здравље, време и моћ, као и два под-домена: насиље и унакрсне неједнакости. </w:t>
      </w:r>
    </w:p>
  </w:footnote>
  <w:footnote w:id="80">
    <w:p w:rsidR="00E8309B" w:rsidRDefault="009D0949">
      <w:pPr>
        <w:pStyle w:val="footnotedescription"/>
        <w:spacing w:after="5" w:line="286" w:lineRule="auto"/>
        <w:ind w:right="5278"/>
      </w:pPr>
      <w:r>
        <w:rPr>
          <w:rStyle w:val="footnotemark"/>
        </w:rPr>
        <w:footnoteRef/>
      </w:r>
      <w:r>
        <w:t xml:space="preserve"> Израчунат је за 2016. а резултати објављени у 2018. години. </w:t>
      </w:r>
      <w:r>
        <w:rPr>
          <w:vertAlign w:val="superscript"/>
        </w:rPr>
        <w:t>91</w:t>
      </w:r>
      <w:r>
        <w:t xml:space="preserve"> Односи се на 2015. годину. </w:t>
      </w:r>
    </w:p>
  </w:footnote>
  <w:footnote w:id="81">
    <w:p w:rsidR="00E8309B" w:rsidRDefault="009D0949">
      <w:pPr>
        <w:pStyle w:val="footnotedescription"/>
        <w:spacing w:line="295" w:lineRule="auto"/>
        <w:jc w:val="both"/>
      </w:pPr>
      <w:r>
        <w:rPr>
          <w:rStyle w:val="footnotemark"/>
        </w:rPr>
        <w:footnoteRef/>
      </w:r>
      <w:r>
        <w:t xml:space="preserve"> П</w:t>
      </w:r>
      <w:r>
        <w:t xml:space="preserve">рема другом Индексу родне равноправности Србија је боље позиционирана од седам земаља ЕУ: Кипра, Чешке, Хрватске, Румуније, Словачке, Мађарске и Грчке. </w:t>
      </w:r>
    </w:p>
  </w:footnote>
  <w:footnote w:id="82">
    <w:p w:rsidR="00E8309B" w:rsidRDefault="009D0949">
      <w:pPr>
        <w:pStyle w:val="footnotedescription"/>
        <w:spacing w:after="13" w:line="257" w:lineRule="auto"/>
        <w:ind w:right="22"/>
        <w:jc w:val="both"/>
      </w:pPr>
      <w:r>
        <w:rPr>
          <w:rStyle w:val="footnotemark"/>
        </w:rPr>
        <w:footnoteRef/>
      </w:r>
      <w:r>
        <w:t xml:space="preserve"> GHSI представља процену могућности глобалне здравствене заштите у 195 земаља. Настао је кроз пројекат</w:t>
      </w:r>
      <w:r>
        <w:t xml:space="preserve"> Иницијативе за нуклеарну претњу и Џон Хопкинсовог (Johns Hopkins) Центра за здравствену сигурност. Индекс се креће у распону од 0 (најгори резултат) до 100 (најбољи резултат). Састоји се од 6 категорија: 1) Превенција; 2) Уочавање и извештавање; 3) Брз од</w:t>
      </w:r>
      <w:r>
        <w:t xml:space="preserve">говор; 4) Здравствени систем; 5) Усаглашавање са међународним нормама; 6) Ризик околине. </w:t>
      </w:r>
    </w:p>
  </w:footnote>
  <w:footnote w:id="83">
    <w:p w:rsidR="00E8309B" w:rsidRDefault="009D0949">
      <w:pPr>
        <w:pStyle w:val="footnotedescription"/>
        <w:spacing w:line="292" w:lineRule="auto"/>
        <w:jc w:val="both"/>
      </w:pPr>
      <w:r>
        <w:rPr>
          <w:rStyle w:val="footnotemark"/>
        </w:rPr>
        <w:footnoteRef/>
      </w:r>
      <w:r>
        <w:t xml:space="preserve"> Превенција 48,8 (просек 34,8); Детекција и извештавање 46,2 (просек 41,9); Брз одговор 55,1 (просек 38,4); Здравствени систем 56,6 (просек 26,4); Сагласност са инте</w:t>
      </w:r>
      <w:r>
        <w:t xml:space="preserve">рнационалним нормама 49,7 (просек 48,5); Ризик околине 59,2 (просек 55,0). </w:t>
      </w:r>
    </w:p>
  </w:footnote>
  <w:footnote w:id="84">
    <w:p w:rsidR="00E8309B" w:rsidRDefault="009D0949">
      <w:pPr>
        <w:pStyle w:val="footnotedescription"/>
        <w:spacing w:after="22"/>
      </w:pPr>
      <w:r>
        <w:rPr>
          <w:rStyle w:val="footnotemark"/>
        </w:rPr>
        <w:footnoteRef/>
      </w:r>
      <w:r>
        <w:t xml:space="preserve"> Извор</w:t>
      </w:r>
      <w:hyperlink r:id="rId137">
        <w:r>
          <w:t xml:space="preserve">: </w:t>
        </w:r>
      </w:hyperlink>
      <w:hyperlink r:id="rId138">
        <w:r>
          <w:rPr>
            <w:color w:val="0563C1"/>
            <w:u w:val="single" w:color="0563C1"/>
          </w:rPr>
          <w:t>https:/</w:t>
        </w:r>
        <w:r>
          <w:rPr>
            <w:color w:val="0563C1"/>
            <w:u w:val="single" w:color="0563C1"/>
          </w:rPr>
          <w:t>/www.ghsindex.org/wp</w:t>
        </w:r>
      </w:hyperlink>
      <w:hyperlink r:id="rId139">
        <w:r>
          <w:rPr>
            <w:color w:val="0563C1"/>
            <w:u w:val="single" w:color="0563C1"/>
          </w:rPr>
          <w:t>-</w:t>
        </w:r>
      </w:hyperlink>
      <w:hyperlink r:id="rId140">
        <w:r>
          <w:rPr>
            <w:color w:val="0563C1"/>
            <w:u w:val="single" w:color="0563C1"/>
          </w:rPr>
          <w:t>content/uploads/2019/08/Serbia.pdf</w:t>
        </w:r>
      </w:hyperlink>
      <w:hyperlink r:id="rId141">
        <w:r>
          <w:t xml:space="preserve"> </w:t>
        </w:r>
      </w:hyperlink>
    </w:p>
  </w:footnote>
  <w:footnote w:id="85">
    <w:p w:rsidR="00E8309B" w:rsidRDefault="009D0949">
      <w:pPr>
        <w:pStyle w:val="footnotedescription"/>
        <w:spacing w:line="286" w:lineRule="auto"/>
        <w:ind w:right="30"/>
        <w:jc w:val="both"/>
      </w:pPr>
      <w:r>
        <w:rPr>
          <w:rStyle w:val="footnotemark"/>
        </w:rPr>
        <w:footnoteRef/>
      </w:r>
      <w:r>
        <w:t xml:space="preserve"> Извор: Здравствено-статистички годишњак Републике Србије2018, Институт за јавно здравље Србије „Др Милан Јовановић Батут“ </w:t>
      </w:r>
      <w:r>
        <w:rPr>
          <w:vertAlign w:val="superscript"/>
        </w:rPr>
        <w:t>97</w:t>
      </w:r>
      <w:r>
        <w:t xml:space="preserve"> 25 завода за јавно здравље, 4 клиничка центра, 4 клиничко-болничка центра, 34 спец</w:t>
      </w:r>
      <w:r>
        <w:t xml:space="preserve">ијалне болнице, 41 општа болница, 7 клиника, 158 домова здравља, 22 завода, 16 института, 35 апотека и 4 војне здравствене установе </w:t>
      </w:r>
    </w:p>
  </w:footnote>
  <w:footnote w:id="86">
    <w:p w:rsidR="00E8309B" w:rsidRDefault="009D0949">
      <w:pPr>
        <w:pStyle w:val="footnotedescription"/>
        <w:spacing w:line="271" w:lineRule="auto"/>
        <w:ind w:right="2353"/>
      </w:pPr>
      <w:r>
        <w:rPr>
          <w:rStyle w:val="footnotemark"/>
        </w:rPr>
        <w:footnoteRef/>
      </w:r>
      <w:r>
        <w:t xml:space="preserve"> Извор: Институт за јавно здравље Србије „Др Милан Јовановић Батут“, Национални здравствени рачуни </w:t>
      </w:r>
      <w:r>
        <w:rPr>
          <w:vertAlign w:val="superscript"/>
        </w:rPr>
        <w:t>99</w:t>
      </w:r>
      <w:r>
        <w:t xml:space="preserve"> </w:t>
      </w:r>
      <w:r>
        <w:t>Извор: Eurostat, Medicaltechnology</w:t>
      </w:r>
      <w:hyperlink r:id="rId142">
        <w:r>
          <w:rPr>
            <w:color w:val="0563C1"/>
            <w:u w:val="single" w:color="0563C1"/>
          </w:rPr>
          <w:t>https://appsso.eurostat.ec.europa.eu/nui/submitViewTableAction.do</w:t>
        </w:r>
      </w:hyperlink>
      <w:hyperlink r:id="rId143">
        <w:r>
          <w:t xml:space="preserve"> </w:t>
        </w:r>
      </w:hyperlink>
      <w:r>
        <w:rPr>
          <w:vertAlign w:val="superscript"/>
        </w:rPr>
        <w:t>100</w:t>
      </w:r>
      <w:r>
        <w:t xml:space="preserve"> Половина сертфиката се издаје за неки рад викендом који лекари обављају у БиХ и Црној Гори. </w:t>
      </w:r>
    </w:p>
  </w:footnote>
  <w:footnote w:id="87">
    <w:p w:rsidR="00E8309B" w:rsidRDefault="009D0949">
      <w:pPr>
        <w:pStyle w:val="footnotedescription"/>
        <w:spacing w:after="18" w:line="273" w:lineRule="auto"/>
        <w:ind w:right="4376"/>
      </w:pPr>
      <w:r>
        <w:rPr>
          <w:rStyle w:val="footnotemark"/>
        </w:rPr>
        <w:footnoteRef/>
      </w:r>
      <w:r>
        <w:t xml:space="preserve"> </w:t>
      </w:r>
      <w:hyperlink r:id="rId144">
        <w:r>
          <w:rPr>
            <w:color w:val="0563C1"/>
            <w:u w:val="single" w:color="0563C1"/>
          </w:rPr>
          <w:t>http://rfzo.rs/index.php/osiguranalica/listecekanja/lc</w:t>
        </w:r>
      </w:hyperlink>
      <w:hyperlink r:id="rId145">
        <w:r>
          <w:rPr>
            <w:color w:val="0563C1"/>
            <w:u w:val="single" w:color="0563C1"/>
          </w:rPr>
          <w:t>-</w:t>
        </w:r>
      </w:hyperlink>
      <w:hyperlink r:id="rId146">
        <w:r>
          <w:rPr>
            <w:color w:val="0563C1"/>
            <w:u w:val="single" w:color="0563C1"/>
          </w:rPr>
          <w:t>dnevni</w:t>
        </w:r>
      </w:hyperlink>
      <w:hyperlink r:id="rId147">
        <w:r>
          <w:rPr>
            <w:color w:val="0563C1"/>
            <w:u w:val="single" w:color="0563C1"/>
          </w:rPr>
          <w:t>-</w:t>
        </w:r>
      </w:hyperlink>
      <w:hyperlink r:id="rId148">
        <w:r>
          <w:rPr>
            <w:color w:val="0563C1"/>
            <w:u w:val="single" w:color="0563C1"/>
          </w:rPr>
          <w:t>presek</w:t>
        </w:r>
      </w:hyperlink>
      <w:hyperlink r:id="rId149">
        <w:r>
          <w:t xml:space="preserve"> </w:t>
        </w:r>
      </w:hyperlink>
      <w:r>
        <w:rPr>
          <w:vertAlign w:val="superscript"/>
        </w:rPr>
        <w:t>102</w:t>
      </w:r>
      <w:r>
        <w:t xml:space="preserve"> Као што су на пример хала 2 Београдског сајма и Штарк </w:t>
      </w:r>
      <w:r>
        <w:t xml:space="preserve">арена у Београду. </w:t>
      </w:r>
    </w:p>
  </w:footnote>
  <w:footnote w:id="88">
    <w:p w:rsidR="00E8309B" w:rsidRDefault="009D0949">
      <w:pPr>
        <w:pStyle w:val="footnotedescription"/>
        <w:spacing w:after="4" w:line="293" w:lineRule="auto"/>
        <w:ind w:right="18"/>
      </w:pPr>
      <w:r>
        <w:rPr>
          <w:rStyle w:val="footnotemark"/>
        </w:rPr>
        <w:footnoteRef/>
      </w:r>
      <w:r>
        <w:t xml:space="preserve"> Информациони систем Ковид-19 води Институт за јавно здравље „Др Милан Јовановић Батут“ уз подршку Канцеларије за информационе технологије и електронску управу и Републичког фонда за здравствено осигурање. </w:t>
      </w:r>
    </w:p>
  </w:footnote>
  <w:footnote w:id="89">
    <w:p w:rsidR="00E8309B" w:rsidRDefault="009D0949">
      <w:pPr>
        <w:pStyle w:val="footnotedescription"/>
      </w:pPr>
      <w:r>
        <w:rPr>
          <w:rStyle w:val="footnotemark"/>
        </w:rPr>
        <w:footnoteRef/>
      </w:r>
      <w:r>
        <w:t xml:space="preserve"> Сарадња Канцеларије за инфо</w:t>
      </w:r>
      <w:r>
        <w:t>рмационе технологије и електронску управу и Института за трансфузију крви.</w:t>
      </w:r>
      <w:r>
        <w:rPr>
          <w:sz w:val="20"/>
        </w:rPr>
        <w:t xml:space="preserve"> </w:t>
      </w:r>
    </w:p>
  </w:footnote>
  <w:footnote w:id="90">
    <w:p w:rsidR="00E8309B" w:rsidRDefault="009D0949">
      <w:pPr>
        <w:pStyle w:val="footnotedescription"/>
        <w:spacing w:line="297" w:lineRule="auto"/>
      </w:pPr>
      <w:r>
        <w:rPr>
          <w:rStyle w:val="footnotemark"/>
        </w:rPr>
        <w:footnoteRef/>
      </w:r>
      <w:r>
        <w:t xml:space="preserve"> </w:t>
      </w:r>
      <w:r>
        <w:rPr>
          <w:sz w:val="20"/>
        </w:rPr>
        <w:t xml:space="preserve">Коментари су дати у сажетом облику због дужине приспелих прилога. Одговоре су припремили представници Радне групе за израду и праћење ЕРП. </w:t>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8309B" w:rsidRDefault="00E8309B">
    <w:pPr>
      <w:spacing w:after="160" w:line="259" w:lineRule="auto"/>
      <w:ind w:left="0" w:right="0" w:firstLine="0"/>
      <w:jc w:val="left"/>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8309B" w:rsidRDefault="00E8309B">
    <w:pPr>
      <w:spacing w:after="160" w:line="259" w:lineRule="auto"/>
      <w:ind w:left="0" w:right="0" w:firstLine="0"/>
      <w:jc w:val="left"/>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8309B" w:rsidRDefault="00E8309B">
    <w:pPr>
      <w:spacing w:after="160" w:line="259" w:lineRule="auto"/>
      <w:ind w:left="0" w:right="0" w:firstLine="0"/>
      <w:jc w:val="left"/>
    </w:pPr>
  </w:p>
</w:hdr>
</file>

<file path=word/header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8309B" w:rsidRDefault="00E8309B">
    <w:pPr>
      <w:spacing w:after="160" w:line="259" w:lineRule="auto"/>
      <w:ind w:left="0" w:right="0" w:firstLine="0"/>
      <w:jc w:val="left"/>
    </w:pPr>
  </w:p>
</w:hdr>
</file>

<file path=word/header5.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8309B" w:rsidRDefault="00E8309B">
    <w:pPr>
      <w:spacing w:after="160" w:line="259" w:lineRule="auto"/>
      <w:ind w:left="0" w:right="0" w:firstLine="0"/>
      <w:jc w:val="left"/>
    </w:pPr>
  </w:p>
</w:hdr>
</file>

<file path=word/header6.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8309B" w:rsidRDefault="00E8309B">
    <w:pPr>
      <w:spacing w:after="160" w:line="259" w:lineRule="auto"/>
      <w:ind w:left="0" w:right="0" w:firstLine="0"/>
      <w:jc w:val="left"/>
    </w:pPr>
  </w:p>
</w:hdr>
</file>

<file path=word/header7.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8309B" w:rsidRDefault="00E8309B">
    <w:pPr>
      <w:spacing w:after="160" w:line="259" w:lineRule="auto"/>
      <w:ind w:left="0" w:right="0" w:firstLine="0"/>
      <w:jc w:val="left"/>
    </w:pPr>
  </w:p>
</w:hdr>
</file>

<file path=word/header8.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8309B" w:rsidRDefault="00E8309B">
    <w:pPr>
      <w:spacing w:after="160" w:line="259" w:lineRule="auto"/>
      <w:ind w:left="0" w:right="0" w:firstLine="0"/>
      <w:jc w:val="left"/>
    </w:pPr>
  </w:p>
</w:hdr>
</file>

<file path=word/header9.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8309B" w:rsidRDefault="00E8309B">
    <w:pPr>
      <w:spacing w:after="160" w:line="259" w:lineRule="auto"/>
      <w:ind w:left="0" w:right="0" w:firstLine="0"/>
      <w:jc w:val="left"/>
    </w:pPr>
  </w:p>
</w:hdr>
</file>

<file path=word/header10.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8309B" w:rsidRDefault="00E8309B">
    <w:pPr>
      <w:spacing w:after="160" w:line="259" w:lineRule="auto"/>
      <w:ind w:left="0" w:right="0" w:firstLine="0"/>
      <w:jc w:val="left"/>
    </w:pPr>
  </w:p>
</w:hdr>
</file>

<file path=word/header1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8309B" w:rsidRDefault="00E8309B">
    <w:pPr>
      <w:spacing w:after="160" w:line="259" w:lineRule="auto"/>
      <w:ind w:left="0" w:right="0" w:firstLine="0"/>
      <w:jc w:val="left"/>
    </w:pPr>
  </w:p>
</w:hdr>
</file>

<file path=word/header1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8309B" w:rsidRDefault="00E8309B">
    <w:pPr>
      <w:spacing w:after="160" w:line="259" w:lineRule="auto"/>
      <w:ind w:left="0" w:right="0" w:firstLine="0"/>
      <w:jc w:val="left"/>
    </w:pPr>
  </w:p>
</w:hdr>
</file>

<file path=word/header1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8309B" w:rsidRDefault="00E8309B">
    <w:pPr>
      <w:spacing w:after="160" w:line="259" w:lineRule="auto"/>
      <w:ind w:left="0" w:right="0" w:firstLine="0"/>
      <w:jc w:val="left"/>
    </w:pPr>
  </w:p>
</w:hdr>
</file>

<file path=word/header1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8309B" w:rsidRDefault="00E8309B">
    <w:pPr>
      <w:spacing w:after="160" w:line="259" w:lineRule="auto"/>
      <w:ind w:left="0" w:right="0" w:firstLine="0"/>
      <w:jc w:val="left"/>
    </w:pPr>
  </w:p>
</w:hdr>
</file>

<file path=word/header15.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8309B" w:rsidRDefault="00E8309B">
    <w:pPr>
      <w:spacing w:after="160" w:line="259" w:lineRule="auto"/>
      <w:ind w:left="0" w:right="0" w:firstLine="0"/>
      <w:jc w:val="left"/>
    </w:pPr>
  </w:p>
</w:hdr>
</file>

<file path=word/header16.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8309B" w:rsidRDefault="009D0949">
    <w:pPr>
      <w:tabs>
        <w:tab w:val="center" w:pos="696"/>
      </w:tabs>
      <w:spacing w:after="0" w:line="259" w:lineRule="auto"/>
      <w:ind w:left="0" w:right="0" w:firstLine="0"/>
      <w:jc w:val="left"/>
    </w:pPr>
    <w:r>
      <w:rPr>
        <w:b/>
      </w:rPr>
      <w:t xml:space="preserve">СР </w:t>
    </w:r>
    <w:r>
      <w:rPr>
        <w:b/>
      </w:rPr>
      <w:tab/>
      <w:t xml:space="preserve"> </w:t>
    </w:r>
  </w:p>
</w:hdr>
</file>

<file path=word/header17.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8309B" w:rsidRDefault="009D0949">
    <w:pPr>
      <w:tabs>
        <w:tab w:val="center" w:pos="696"/>
      </w:tabs>
      <w:spacing w:after="0" w:line="259" w:lineRule="auto"/>
      <w:ind w:left="0" w:right="0" w:firstLine="0"/>
      <w:jc w:val="left"/>
    </w:pPr>
    <w:r>
      <w:rPr>
        <w:b/>
      </w:rPr>
      <w:t xml:space="preserve">СР </w:t>
    </w:r>
    <w:r>
      <w:rPr>
        <w:b/>
      </w:rPr>
      <w:tab/>
      <w:t xml:space="preserve"> </w:t>
    </w:r>
  </w:p>
</w:hdr>
</file>

<file path=word/header18.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8309B" w:rsidRDefault="009D0949">
    <w:pPr>
      <w:tabs>
        <w:tab w:val="center" w:pos="696"/>
      </w:tabs>
      <w:spacing w:after="0" w:line="259" w:lineRule="auto"/>
      <w:ind w:left="0" w:right="0" w:firstLine="0"/>
      <w:jc w:val="left"/>
    </w:pPr>
    <w:r>
      <w:rPr>
        <w:b/>
      </w:rPr>
      <w:t xml:space="preserve">СР </w:t>
    </w:r>
    <w:r>
      <w:rPr>
        <w:b/>
      </w:rPr>
      <w:tab/>
      <w:t xml:space="preserve"> </w:t>
    </w:r>
  </w:p>
</w:hdr>
</file>

<file path=word/header19.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8309B" w:rsidRDefault="00E8309B">
    <w:pPr>
      <w:spacing w:after="160" w:line="259" w:lineRule="auto"/>
      <w:ind w:left="0" w:right="0" w:firstLine="0"/>
      <w:jc w:val="left"/>
    </w:pPr>
  </w:p>
</w:hdr>
</file>

<file path=word/header20.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8309B" w:rsidRDefault="00E8309B">
    <w:pPr>
      <w:spacing w:after="160" w:line="259" w:lineRule="auto"/>
      <w:ind w:left="0" w:right="0" w:firstLine="0"/>
      <w:jc w:val="left"/>
    </w:pPr>
  </w:p>
</w:hdr>
</file>

<file path=word/header2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8309B" w:rsidRDefault="00E8309B">
    <w:pPr>
      <w:spacing w:after="160" w:line="259" w:lineRule="auto"/>
      <w:ind w:left="0" w:right="0" w:firstLine="0"/>
      <w:jc w:val="left"/>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7C42A4"/>
    <w:multiLevelType w:val="hybridMultilevel"/>
    <w:tmpl w:val="7B307572"/>
    <w:lvl w:ilvl="0" w:tplc="31168F18">
      <w:start w:val="1"/>
      <w:numFmt w:val="bullet"/>
      <w:lvlText w:val="-"/>
      <w:lvlJc w:val="left"/>
      <w:pPr>
        <w:ind w:left="2"/>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2FF05F84">
      <w:start w:val="1"/>
      <w:numFmt w:val="bullet"/>
      <w:lvlText w:val="o"/>
      <w:lvlJc w:val="left"/>
      <w:pPr>
        <w:ind w:left="1189"/>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BB1467D2">
      <w:start w:val="1"/>
      <w:numFmt w:val="bullet"/>
      <w:lvlText w:val="▪"/>
      <w:lvlJc w:val="left"/>
      <w:pPr>
        <w:ind w:left="1909"/>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4996550E">
      <w:start w:val="1"/>
      <w:numFmt w:val="bullet"/>
      <w:lvlText w:val="•"/>
      <w:lvlJc w:val="left"/>
      <w:pPr>
        <w:ind w:left="2629"/>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55C61448">
      <w:start w:val="1"/>
      <w:numFmt w:val="bullet"/>
      <w:lvlText w:val="o"/>
      <w:lvlJc w:val="left"/>
      <w:pPr>
        <w:ind w:left="3349"/>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92A0906C">
      <w:start w:val="1"/>
      <w:numFmt w:val="bullet"/>
      <w:lvlText w:val="▪"/>
      <w:lvlJc w:val="left"/>
      <w:pPr>
        <w:ind w:left="4069"/>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FF5875BE">
      <w:start w:val="1"/>
      <w:numFmt w:val="bullet"/>
      <w:lvlText w:val="•"/>
      <w:lvlJc w:val="left"/>
      <w:pPr>
        <w:ind w:left="4789"/>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94F86752">
      <w:start w:val="1"/>
      <w:numFmt w:val="bullet"/>
      <w:lvlText w:val="o"/>
      <w:lvlJc w:val="left"/>
      <w:pPr>
        <w:ind w:left="5509"/>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342CF256">
      <w:start w:val="1"/>
      <w:numFmt w:val="bullet"/>
      <w:lvlText w:val="▪"/>
      <w:lvlJc w:val="left"/>
      <w:pPr>
        <w:ind w:left="6229"/>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1" w15:restartNumberingAfterBreak="0">
    <w:nsid w:val="07380E30"/>
    <w:multiLevelType w:val="hybridMultilevel"/>
    <w:tmpl w:val="CD8ABB7E"/>
    <w:lvl w:ilvl="0" w:tplc="6122D43E">
      <w:start w:val="1"/>
      <w:numFmt w:val="decimal"/>
      <w:lvlText w:val="%1."/>
      <w:lvlJc w:val="left"/>
      <w:pPr>
        <w:ind w:left="10"/>
      </w:pPr>
      <w:rPr>
        <w:rFonts w:ascii="Times New Roman" w:eastAsia="Times New Roman" w:hAnsi="Times New Roman" w:cs="Times New Roman"/>
        <w:b w:val="0"/>
        <w:i/>
        <w:iCs/>
        <w:strike w:val="0"/>
        <w:dstrike w:val="0"/>
        <w:color w:val="000000"/>
        <w:sz w:val="24"/>
        <w:szCs w:val="24"/>
        <w:u w:val="none" w:color="000000"/>
        <w:bdr w:val="none" w:sz="0" w:space="0" w:color="auto"/>
        <w:shd w:val="clear" w:color="auto" w:fill="auto"/>
        <w:vertAlign w:val="baseline"/>
      </w:rPr>
    </w:lvl>
    <w:lvl w:ilvl="1" w:tplc="053C47BE">
      <w:start w:val="1"/>
      <w:numFmt w:val="lowerLetter"/>
      <w:lvlText w:val="%2"/>
      <w:lvlJc w:val="left"/>
      <w:pPr>
        <w:ind w:left="1080"/>
      </w:pPr>
      <w:rPr>
        <w:rFonts w:ascii="Times New Roman" w:eastAsia="Times New Roman" w:hAnsi="Times New Roman" w:cs="Times New Roman"/>
        <w:b w:val="0"/>
        <w:i/>
        <w:iCs/>
        <w:strike w:val="0"/>
        <w:dstrike w:val="0"/>
        <w:color w:val="000000"/>
        <w:sz w:val="24"/>
        <w:szCs w:val="24"/>
        <w:u w:val="none" w:color="000000"/>
        <w:bdr w:val="none" w:sz="0" w:space="0" w:color="auto"/>
        <w:shd w:val="clear" w:color="auto" w:fill="auto"/>
        <w:vertAlign w:val="baseline"/>
      </w:rPr>
    </w:lvl>
    <w:lvl w:ilvl="2" w:tplc="ABEE42CE">
      <w:start w:val="1"/>
      <w:numFmt w:val="lowerRoman"/>
      <w:lvlText w:val="%3"/>
      <w:lvlJc w:val="left"/>
      <w:pPr>
        <w:ind w:left="1800"/>
      </w:pPr>
      <w:rPr>
        <w:rFonts w:ascii="Times New Roman" w:eastAsia="Times New Roman" w:hAnsi="Times New Roman" w:cs="Times New Roman"/>
        <w:b w:val="0"/>
        <w:i/>
        <w:iCs/>
        <w:strike w:val="0"/>
        <w:dstrike w:val="0"/>
        <w:color w:val="000000"/>
        <w:sz w:val="24"/>
        <w:szCs w:val="24"/>
        <w:u w:val="none" w:color="000000"/>
        <w:bdr w:val="none" w:sz="0" w:space="0" w:color="auto"/>
        <w:shd w:val="clear" w:color="auto" w:fill="auto"/>
        <w:vertAlign w:val="baseline"/>
      </w:rPr>
    </w:lvl>
    <w:lvl w:ilvl="3" w:tplc="3C944860">
      <w:start w:val="1"/>
      <w:numFmt w:val="decimal"/>
      <w:lvlText w:val="%4"/>
      <w:lvlJc w:val="left"/>
      <w:pPr>
        <w:ind w:left="2520"/>
      </w:pPr>
      <w:rPr>
        <w:rFonts w:ascii="Times New Roman" w:eastAsia="Times New Roman" w:hAnsi="Times New Roman" w:cs="Times New Roman"/>
        <w:b w:val="0"/>
        <w:i/>
        <w:iCs/>
        <w:strike w:val="0"/>
        <w:dstrike w:val="0"/>
        <w:color w:val="000000"/>
        <w:sz w:val="24"/>
        <w:szCs w:val="24"/>
        <w:u w:val="none" w:color="000000"/>
        <w:bdr w:val="none" w:sz="0" w:space="0" w:color="auto"/>
        <w:shd w:val="clear" w:color="auto" w:fill="auto"/>
        <w:vertAlign w:val="baseline"/>
      </w:rPr>
    </w:lvl>
    <w:lvl w:ilvl="4" w:tplc="D7BE528C">
      <w:start w:val="1"/>
      <w:numFmt w:val="lowerLetter"/>
      <w:lvlText w:val="%5"/>
      <w:lvlJc w:val="left"/>
      <w:pPr>
        <w:ind w:left="3240"/>
      </w:pPr>
      <w:rPr>
        <w:rFonts w:ascii="Times New Roman" w:eastAsia="Times New Roman" w:hAnsi="Times New Roman" w:cs="Times New Roman"/>
        <w:b w:val="0"/>
        <w:i/>
        <w:iCs/>
        <w:strike w:val="0"/>
        <w:dstrike w:val="0"/>
        <w:color w:val="000000"/>
        <w:sz w:val="24"/>
        <w:szCs w:val="24"/>
        <w:u w:val="none" w:color="000000"/>
        <w:bdr w:val="none" w:sz="0" w:space="0" w:color="auto"/>
        <w:shd w:val="clear" w:color="auto" w:fill="auto"/>
        <w:vertAlign w:val="baseline"/>
      </w:rPr>
    </w:lvl>
    <w:lvl w:ilvl="5" w:tplc="5A5CFF1E">
      <w:start w:val="1"/>
      <w:numFmt w:val="lowerRoman"/>
      <w:lvlText w:val="%6"/>
      <w:lvlJc w:val="left"/>
      <w:pPr>
        <w:ind w:left="3960"/>
      </w:pPr>
      <w:rPr>
        <w:rFonts w:ascii="Times New Roman" w:eastAsia="Times New Roman" w:hAnsi="Times New Roman" w:cs="Times New Roman"/>
        <w:b w:val="0"/>
        <w:i/>
        <w:iCs/>
        <w:strike w:val="0"/>
        <w:dstrike w:val="0"/>
        <w:color w:val="000000"/>
        <w:sz w:val="24"/>
        <w:szCs w:val="24"/>
        <w:u w:val="none" w:color="000000"/>
        <w:bdr w:val="none" w:sz="0" w:space="0" w:color="auto"/>
        <w:shd w:val="clear" w:color="auto" w:fill="auto"/>
        <w:vertAlign w:val="baseline"/>
      </w:rPr>
    </w:lvl>
    <w:lvl w:ilvl="6" w:tplc="DD5CC746">
      <w:start w:val="1"/>
      <w:numFmt w:val="decimal"/>
      <w:lvlText w:val="%7"/>
      <w:lvlJc w:val="left"/>
      <w:pPr>
        <w:ind w:left="4680"/>
      </w:pPr>
      <w:rPr>
        <w:rFonts w:ascii="Times New Roman" w:eastAsia="Times New Roman" w:hAnsi="Times New Roman" w:cs="Times New Roman"/>
        <w:b w:val="0"/>
        <w:i/>
        <w:iCs/>
        <w:strike w:val="0"/>
        <w:dstrike w:val="0"/>
        <w:color w:val="000000"/>
        <w:sz w:val="24"/>
        <w:szCs w:val="24"/>
        <w:u w:val="none" w:color="000000"/>
        <w:bdr w:val="none" w:sz="0" w:space="0" w:color="auto"/>
        <w:shd w:val="clear" w:color="auto" w:fill="auto"/>
        <w:vertAlign w:val="baseline"/>
      </w:rPr>
    </w:lvl>
    <w:lvl w:ilvl="7" w:tplc="867259FE">
      <w:start w:val="1"/>
      <w:numFmt w:val="lowerLetter"/>
      <w:lvlText w:val="%8"/>
      <w:lvlJc w:val="left"/>
      <w:pPr>
        <w:ind w:left="5400"/>
      </w:pPr>
      <w:rPr>
        <w:rFonts w:ascii="Times New Roman" w:eastAsia="Times New Roman" w:hAnsi="Times New Roman" w:cs="Times New Roman"/>
        <w:b w:val="0"/>
        <w:i/>
        <w:iCs/>
        <w:strike w:val="0"/>
        <w:dstrike w:val="0"/>
        <w:color w:val="000000"/>
        <w:sz w:val="24"/>
        <w:szCs w:val="24"/>
        <w:u w:val="none" w:color="000000"/>
        <w:bdr w:val="none" w:sz="0" w:space="0" w:color="auto"/>
        <w:shd w:val="clear" w:color="auto" w:fill="auto"/>
        <w:vertAlign w:val="baseline"/>
      </w:rPr>
    </w:lvl>
    <w:lvl w:ilvl="8" w:tplc="EC12330C">
      <w:start w:val="1"/>
      <w:numFmt w:val="lowerRoman"/>
      <w:lvlText w:val="%9"/>
      <w:lvlJc w:val="left"/>
      <w:pPr>
        <w:ind w:left="6120"/>
      </w:pPr>
      <w:rPr>
        <w:rFonts w:ascii="Times New Roman" w:eastAsia="Times New Roman" w:hAnsi="Times New Roman" w:cs="Times New Roman"/>
        <w:b w:val="0"/>
        <w:i/>
        <w:iCs/>
        <w:strike w:val="0"/>
        <w:dstrike w:val="0"/>
        <w:color w:val="000000"/>
        <w:sz w:val="24"/>
        <w:szCs w:val="24"/>
        <w:u w:val="none" w:color="000000"/>
        <w:bdr w:val="none" w:sz="0" w:space="0" w:color="auto"/>
        <w:shd w:val="clear" w:color="auto" w:fill="auto"/>
        <w:vertAlign w:val="baseline"/>
      </w:rPr>
    </w:lvl>
  </w:abstractNum>
  <w:abstractNum w:abstractNumId="2" w15:restartNumberingAfterBreak="0">
    <w:nsid w:val="08071E90"/>
    <w:multiLevelType w:val="hybridMultilevel"/>
    <w:tmpl w:val="78780AE6"/>
    <w:lvl w:ilvl="0" w:tplc="6DB4F124">
      <w:start w:val="5"/>
      <w:numFmt w:val="decimal"/>
      <w:lvlText w:val="%1."/>
      <w:lvlJc w:val="left"/>
      <w:pPr>
        <w:ind w:left="36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1" w:tplc="B9940B0C">
      <w:start w:val="1"/>
      <w:numFmt w:val="lowerLetter"/>
      <w:lvlText w:val="%2"/>
      <w:lvlJc w:val="left"/>
      <w:pPr>
        <w:ind w:left="108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2" w:tplc="34F0608E">
      <w:start w:val="1"/>
      <w:numFmt w:val="lowerRoman"/>
      <w:lvlText w:val="%3"/>
      <w:lvlJc w:val="left"/>
      <w:pPr>
        <w:ind w:left="180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3" w:tplc="A08C96CA">
      <w:start w:val="1"/>
      <w:numFmt w:val="decimal"/>
      <w:lvlText w:val="%4"/>
      <w:lvlJc w:val="left"/>
      <w:pPr>
        <w:ind w:left="252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4" w:tplc="60FACD40">
      <w:start w:val="1"/>
      <w:numFmt w:val="lowerLetter"/>
      <w:lvlText w:val="%5"/>
      <w:lvlJc w:val="left"/>
      <w:pPr>
        <w:ind w:left="324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5" w:tplc="956CE55A">
      <w:start w:val="1"/>
      <w:numFmt w:val="lowerRoman"/>
      <w:lvlText w:val="%6"/>
      <w:lvlJc w:val="left"/>
      <w:pPr>
        <w:ind w:left="396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6" w:tplc="5AD863B4">
      <w:start w:val="1"/>
      <w:numFmt w:val="decimal"/>
      <w:lvlText w:val="%7"/>
      <w:lvlJc w:val="left"/>
      <w:pPr>
        <w:ind w:left="468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7" w:tplc="68F4F8B2">
      <w:start w:val="1"/>
      <w:numFmt w:val="lowerLetter"/>
      <w:lvlText w:val="%8"/>
      <w:lvlJc w:val="left"/>
      <w:pPr>
        <w:ind w:left="540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8" w:tplc="5F6E66EA">
      <w:start w:val="1"/>
      <w:numFmt w:val="lowerRoman"/>
      <w:lvlText w:val="%9"/>
      <w:lvlJc w:val="left"/>
      <w:pPr>
        <w:ind w:left="612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abstractNum>
  <w:abstractNum w:abstractNumId="3" w15:restartNumberingAfterBreak="0">
    <w:nsid w:val="0C7647ED"/>
    <w:multiLevelType w:val="hybridMultilevel"/>
    <w:tmpl w:val="25DCB746"/>
    <w:lvl w:ilvl="0" w:tplc="8FF2BE18">
      <w:start w:val="1"/>
      <w:numFmt w:val="bullet"/>
      <w:lvlText w:val="-"/>
      <w:lvlJc w:val="left"/>
      <w:pPr>
        <w:ind w:left="7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4FD27B96">
      <w:start w:val="1"/>
      <w:numFmt w:val="bullet"/>
      <w:lvlText w:val="o"/>
      <w:lvlJc w:val="left"/>
      <w:pPr>
        <w:ind w:left="14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A8B83704">
      <w:start w:val="1"/>
      <w:numFmt w:val="bullet"/>
      <w:lvlText w:val="▪"/>
      <w:lvlJc w:val="left"/>
      <w:pPr>
        <w:ind w:left="21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0422EDB2">
      <w:start w:val="1"/>
      <w:numFmt w:val="bullet"/>
      <w:lvlText w:val="•"/>
      <w:lvlJc w:val="left"/>
      <w:pPr>
        <w:ind w:left="28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730616C2">
      <w:start w:val="1"/>
      <w:numFmt w:val="bullet"/>
      <w:lvlText w:val="o"/>
      <w:lvlJc w:val="left"/>
      <w:pPr>
        <w:ind w:left="36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6B1C7D94">
      <w:start w:val="1"/>
      <w:numFmt w:val="bullet"/>
      <w:lvlText w:val="▪"/>
      <w:lvlJc w:val="left"/>
      <w:pPr>
        <w:ind w:left="43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0756B02A">
      <w:start w:val="1"/>
      <w:numFmt w:val="bullet"/>
      <w:lvlText w:val="•"/>
      <w:lvlJc w:val="left"/>
      <w:pPr>
        <w:ind w:left="50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B452646E">
      <w:start w:val="1"/>
      <w:numFmt w:val="bullet"/>
      <w:lvlText w:val="o"/>
      <w:lvlJc w:val="left"/>
      <w:pPr>
        <w:ind w:left="57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46885AC8">
      <w:start w:val="1"/>
      <w:numFmt w:val="bullet"/>
      <w:lvlText w:val="▪"/>
      <w:lvlJc w:val="left"/>
      <w:pPr>
        <w:ind w:left="64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4" w15:restartNumberingAfterBreak="0">
    <w:nsid w:val="0F5E2DC4"/>
    <w:multiLevelType w:val="hybridMultilevel"/>
    <w:tmpl w:val="DC3A1B6E"/>
    <w:lvl w:ilvl="0" w:tplc="8DFEBFEE">
      <w:start w:val="1"/>
      <w:numFmt w:val="decimal"/>
      <w:lvlText w:val="%1."/>
      <w:lvlJc w:val="left"/>
      <w:pPr>
        <w:ind w:left="36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1" w:tplc="AE1253C6">
      <w:start w:val="1"/>
      <w:numFmt w:val="lowerLetter"/>
      <w:lvlText w:val="%2"/>
      <w:lvlJc w:val="left"/>
      <w:pPr>
        <w:ind w:left="108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2" w:tplc="29840A68">
      <w:start w:val="1"/>
      <w:numFmt w:val="lowerRoman"/>
      <w:lvlText w:val="%3"/>
      <w:lvlJc w:val="left"/>
      <w:pPr>
        <w:ind w:left="180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3" w:tplc="840E9B74">
      <w:start w:val="1"/>
      <w:numFmt w:val="decimal"/>
      <w:lvlText w:val="%4"/>
      <w:lvlJc w:val="left"/>
      <w:pPr>
        <w:ind w:left="252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4" w:tplc="4754D38C">
      <w:start w:val="1"/>
      <w:numFmt w:val="lowerLetter"/>
      <w:lvlText w:val="%5"/>
      <w:lvlJc w:val="left"/>
      <w:pPr>
        <w:ind w:left="324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5" w:tplc="248C50D8">
      <w:start w:val="1"/>
      <w:numFmt w:val="lowerRoman"/>
      <w:lvlText w:val="%6"/>
      <w:lvlJc w:val="left"/>
      <w:pPr>
        <w:ind w:left="396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6" w:tplc="EAA41276">
      <w:start w:val="1"/>
      <w:numFmt w:val="decimal"/>
      <w:lvlText w:val="%7"/>
      <w:lvlJc w:val="left"/>
      <w:pPr>
        <w:ind w:left="468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7" w:tplc="ADC29914">
      <w:start w:val="1"/>
      <w:numFmt w:val="lowerLetter"/>
      <w:lvlText w:val="%8"/>
      <w:lvlJc w:val="left"/>
      <w:pPr>
        <w:ind w:left="540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8" w:tplc="1EC6EF82">
      <w:start w:val="1"/>
      <w:numFmt w:val="lowerRoman"/>
      <w:lvlText w:val="%9"/>
      <w:lvlJc w:val="left"/>
      <w:pPr>
        <w:ind w:left="612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abstractNum>
  <w:abstractNum w:abstractNumId="5" w15:restartNumberingAfterBreak="0">
    <w:nsid w:val="11A1788F"/>
    <w:multiLevelType w:val="hybridMultilevel"/>
    <w:tmpl w:val="AC7E1342"/>
    <w:lvl w:ilvl="0" w:tplc="073AA1CC">
      <w:start w:val="1"/>
      <w:numFmt w:val="decimal"/>
      <w:lvlText w:val="%1."/>
      <w:lvlJc w:val="left"/>
      <w:pPr>
        <w:ind w:left="427"/>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1" w:tplc="A990775C">
      <w:start w:val="1"/>
      <w:numFmt w:val="lowerLetter"/>
      <w:lvlText w:val="%2"/>
      <w:lvlJc w:val="left"/>
      <w:pPr>
        <w:ind w:left="108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2" w:tplc="AA7CF8CC">
      <w:start w:val="1"/>
      <w:numFmt w:val="lowerRoman"/>
      <w:lvlText w:val="%3"/>
      <w:lvlJc w:val="left"/>
      <w:pPr>
        <w:ind w:left="180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3" w:tplc="5936FB0A">
      <w:start w:val="1"/>
      <w:numFmt w:val="decimal"/>
      <w:lvlText w:val="%4"/>
      <w:lvlJc w:val="left"/>
      <w:pPr>
        <w:ind w:left="252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4" w:tplc="6DB6476C">
      <w:start w:val="1"/>
      <w:numFmt w:val="lowerLetter"/>
      <w:lvlText w:val="%5"/>
      <w:lvlJc w:val="left"/>
      <w:pPr>
        <w:ind w:left="324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5" w:tplc="68948062">
      <w:start w:val="1"/>
      <w:numFmt w:val="lowerRoman"/>
      <w:lvlText w:val="%6"/>
      <w:lvlJc w:val="left"/>
      <w:pPr>
        <w:ind w:left="396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6" w:tplc="AA76F394">
      <w:start w:val="1"/>
      <w:numFmt w:val="decimal"/>
      <w:lvlText w:val="%7"/>
      <w:lvlJc w:val="left"/>
      <w:pPr>
        <w:ind w:left="468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7" w:tplc="336400E6">
      <w:start w:val="1"/>
      <w:numFmt w:val="lowerLetter"/>
      <w:lvlText w:val="%8"/>
      <w:lvlJc w:val="left"/>
      <w:pPr>
        <w:ind w:left="540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8" w:tplc="C9766358">
      <w:start w:val="1"/>
      <w:numFmt w:val="lowerRoman"/>
      <w:lvlText w:val="%9"/>
      <w:lvlJc w:val="left"/>
      <w:pPr>
        <w:ind w:left="612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abstractNum>
  <w:abstractNum w:abstractNumId="6" w15:restartNumberingAfterBreak="0">
    <w:nsid w:val="16C941D5"/>
    <w:multiLevelType w:val="hybridMultilevel"/>
    <w:tmpl w:val="732CC0B2"/>
    <w:lvl w:ilvl="0" w:tplc="223806D8">
      <w:start w:val="4"/>
      <w:numFmt w:val="decimal"/>
      <w:lvlText w:val="%1."/>
      <w:lvlJc w:val="left"/>
      <w:pPr>
        <w:ind w:left="427"/>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1" w:tplc="0A667004">
      <w:start w:val="1"/>
      <w:numFmt w:val="lowerLetter"/>
      <w:lvlText w:val="%2"/>
      <w:lvlJc w:val="left"/>
      <w:pPr>
        <w:ind w:left="108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2" w:tplc="EBF0FDAA">
      <w:start w:val="1"/>
      <w:numFmt w:val="lowerRoman"/>
      <w:lvlText w:val="%3"/>
      <w:lvlJc w:val="left"/>
      <w:pPr>
        <w:ind w:left="180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3" w:tplc="086ED078">
      <w:start w:val="1"/>
      <w:numFmt w:val="decimal"/>
      <w:lvlText w:val="%4"/>
      <w:lvlJc w:val="left"/>
      <w:pPr>
        <w:ind w:left="252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4" w:tplc="1DC21B42">
      <w:start w:val="1"/>
      <w:numFmt w:val="lowerLetter"/>
      <w:lvlText w:val="%5"/>
      <w:lvlJc w:val="left"/>
      <w:pPr>
        <w:ind w:left="324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5" w:tplc="1EE6BD1A">
      <w:start w:val="1"/>
      <w:numFmt w:val="lowerRoman"/>
      <w:lvlText w:val="%6"/>
      <w:lvlJc w:val="left"/>
      <w:pPr>
        <w:ind w:left="396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6" w:tplc="0B6A337E">
      <w:start w:val="1"/>
      <w:numFmt w:val="decimal"/>
      <w:lvlText w:val="%7"/>
      <w:lvlJc w:val="left"/>
      <w:pPr>
        <w:ind w:left="468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7" w:tplc="E09EBAEA">
      <w:start w:val="1"/>
      <w:numFmt w:val="lowerLetter"/>
      <w:lvlText w:val="%8"/>
      <w:lvlJc w:val="left"/>
      <w:pPr>
        <w:ind w:left="540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8" w:tplc="168EACF8">
      <w:start w:val="1"/>
      <w:numFmt w:val="lowerRoman"/>
      <w:lvlText w:val="%9"/>
      <w:lvlJc w:val="left"/>
      <w:pPr>
        <w:ind w:left="612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abstractNum>
  <w:abstractNum w:abstractNumId="7" w15:restartNumberingAfterBreak="0">
    <w:nsid w:val="178B6E8D"/>
    <w:multiLevelType w:val="hybridMultilevel"/>
    <w:tmpl w:val="B986BF40"/>
    <w:lvl w:ilvl="0" w:tplc="92E00426">
      <w:start w:val="7"/>
      <w:numFmt w:val="decimal"/>
      <w:lvlText w:val="%1."/>
      <w:lvlJc w:val="left"/>
      <w:pPr>
        <w:ind w:left="36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1" w:tplc="9AE270E0">
      <w:start w:val="1"/>
      <w:numFmt w:val="lowerLetter"/>
      <w:lvlText w:val="%2"/>
      <w:lvlJc w:val="left"/>
      <w:pPr>
        <w:ind w:left="108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2" w:tplc="A4BC2BAE">
      <w:start w:val="1"/>
      <w:numFmt w:val="lowerRoman"/>
      <w:lvlText w:val="%3"/>
      <w:lvlJc w:val="left"/>
      <w:pPr>
        <w:ind w:left="180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3" w:tplc="1FCE8DBE">
      <w:start w:val="1"/>
      <w:numFmt w:val="decimal"/>
      <w:lvlText w:val="%4"/>
      <w:lvlJc w:val="left"/>
      <w:pPr>
        <w:ind w:left="252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4" w:tplc="541E693C">
      <w:start w:val="1"/>
      <w:numFmt w:val="lowerLetter"/>
      <w:lvlText w:val="%5"/>
      <w:lvlJc w:val="left"/>
      <w:pPr>
        <w:ind w:left="324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5" w:tplc="86807F4C">
      <w:start w:val="1"/>
      <w:numFmt w:val="lowerRoman"/>
      <w:lvlText w:val="%6"/>
      <w:lvlJc w:val="left"/>
      <w:pPr>
        <w:ind w:left="396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6" w:tplc="F8C662A8">
      <w:start w:val="1"/>
      <w:numFmt w:val="decimal"/>
      <w:lvlText w:val="%7"/>
      <w:lvlJc w:val="left"/>
      <w:pPr>
        <w:ind w:left="468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7" w:tplc="3B102328">
      <w:start w:val="1"/>
      <w:numFmt w:val="lowerLetter"/>
      <w:lvlText w:val="%8"/>
      <w:lvlJc w:val="left"/>
      <w:pPr>
        <w:ind w:left="540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8" w:tplc="19DC8AB4">
      <w:start w:val="1"/>
      <w:numFmt w:val="lowerRoman"/>
      <w:lvlText w:val="%9"/>
      <w:lvlJc w:val="left"/>
      <w:pPr>
        <w:ind w:left="612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abstractNum>
  <w:abstractNum w:abstractNumId="8" w15:restartNumberingAfterBreak="0">
    <w:nsid w:val="1793276E"/>
    <w:multiLevelType w:val="hybridMultilevel"/>
    <w:tmpl w:val="9D10F1EC"/>
    <w:lvl w:ilvl="0" w:tplc="7C2AC0F2">
      <w:start w:val="4"/>
      <w:numFmt w:val="decimal"/>
      <w:lvlText w:val="%1."/>
      <w:lvlJc w:val="left"/>
      <w:pPr>
        <w:ind w:left="427"/>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1" w:tplc="A8A43B54">
      <w:start w:val="1"/>
      <w:numFmt w:val="lowerLetter"/>
      <w:lvlText w:val="%2"/>
      <w:lvlJc w:val="left"/>
      <w:pPr>
        <w:ind w:left="108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2" w:tplc="767E6190">
      <w:start w:val="1"/>
      <w:numFmt w:val="lowerRoman"/>
      <w:lvlText w:val="%3"/>
      <w:lvlJc w:val="left"/>
      <w:pPr>
        <w:ind w:left="180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3" w:tplc="2B10499A">
      <w:start w:val="1"/>
      <w:numFmt w:val="decimal"/>
      <w:lvlText w:val="%4"/>
      <w:lvlJc w:val="left"/>
      <w:pPr>
        <w:ind w:left="252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4" w:tplc="040A6712">
      <w:start w:val="1"/>
      <w:numFmt w:val="lowerLetter"/>
      <w:lvlText w:val="%5"/>
      <w:lvlJc w:val="left"/>
      <w:pPr>
        <w:ind w:left="324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5" w:tplc="87F2B6A4">
      <w:start w:val="1"/>
      <w:numFmt w:val="lowerRoman"/>
      <w:lvlText w:val="%6"/>
      <w:lvlJc w:val="left"/>
      <w:pPr>
        <w:ind w:left="396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6" w:tplc="68002A84">
      <w:start w:val="1"/>
      <w:numFmt w:val="decimal"/>
      <w:lvlText w:val="%7"/>
      <w:lvlJc w:val="left"/>
      <w:pPr>
        <w:ind w:left="468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7" w:tplc="713228C0">
      <w:start w:val="1"/>
      <w:numFmt w:val="lowerLetter"/>
      <w:lvlText w:val="%8"/>
      <w:lvlJc w:val="left"/>
      <w:pPr>
        <w:ind w:left="540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8" w:tplc="D26E5710">
      <w:start w:val="1"/>
      <w:numFmt w:val="lowerRoman"/>
      <w:lvlText w:val="%9"/>
      <w:lvlJc w:val="left"/>
      <w:pPr>
        <w:ind w:left="612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abstractNum>
  <w:abstractNum w:abstractNumId="9" w15:restartNumberingAfterBreak="0">
    <w:nsid w:val="19CF5ACD"/>
    <w:multiLevelType w:val="hybridMultilevel"/>
    <w:tmpl w:val="84345FF6"/>
    <w:lvl w:ilvl="0" w:tplc="C4325BD2">
      <w:start w:val="1"/>
      <w:numFmt w:val="decimal"/>
      <w:lvlText w:val="[%1]"/>
      <w:lvlJc w:val="left"/>
      <w:pPr>
        <w:ind w:left="350"/>
      </w:pPr>
      <w:rPr>
        <w:rFonts w:ascii="Times New Roman" w:eastAsia="Times New Roman" w:hAnsi="Times New Roman" w:cs="Times New Roman"/>
        <w:b w:val="0"/>
        <w:i w:val="0"/>
        <w:strike w:val="0"/>
        <w:dstrike w:val="0"/>
        <w:color w:val="000000"/>
        <w:sz w:val="16"/>
        <w:szCs w:val="16"/>
        <w:u w:val="none" w:color="000000"/>
        <w:bdr w:val="none" w:sz="0" w:space="0" w:color="auto"/>
        <w:shd w:val="clear" w:color="auto" w:fill="auto"/>
        <w:vertAlign w:val="baseline"/>
      </w:rPr>
    </w:lvl>
    <w:lvl w:ilvl="1" w:tplc="EE500E16">
      <w:start w:val="1"/>
      <w:numFmt w:val="lowerLetter"/>
      <w:lvlText w:val="%2"/>
      <w:lvlJc w:val="left"/>
      <w:pPr>
        <w:ind w:left="1188"/>
      </w:pPr>
      <w:rPr>
        <w:rFonts w:ascii="Times New Roman" w:eastAsia="Times New Roman" w:hAnsi="Times New Roman" w:cs="Times New Roman"/>
        <w:b w:val="0"/>
        <w:i w:val="0"/>
        <w:strike w:val="0"/>
        <w:dstrike w:val="0"/>
        <w:color w:val="000000"/>
        <w:sz w:val="16"/>
        <w:szCs w:val="16"/>
        <w:u w:val="none" w:color="000000"/>
        <w:bdr w:val="none" w:sz="0" w:space="0" w:color="auto"/>
        <w:shd w:val="clear" w:color="auto" w:fill="auto"/>
        <w:vertAlign w:val="baseline"/>
      </w:rPr>
    </w:lvl>
    <w:lvl w:ilvl="2" w:tplc="D44C188E">
      <w:start w:val="1"/>
      <w:numFmt w:val="lowerRoman"/>
      <w:lvlText w:val="%3"/>
      <w:lvlJc w:val="left"/>
      <w:pPr>
        <w:ind w:left="1908"/>
      </w:pPr>
      <w:rPr>
        <w:rFonts w:ascii="Times New Roman" w:eastAsia="Times New Roman" w:hAnsi="Times New Roman" w:cs="Times New Roman"/>
        <w:b w:val="0"/>
        <w:i w:val="0"/>
        <w:strike w:val="0"/>
        <w:dstrike w:val="0"/>
        <w:color w:val="000000"/>
        <w:sz w:val="16"/>
        <w:szCs w:val="16"/>
        <w:u w:val="none" w:color="000000"/>
        <w:bdr w:val="none" w:sz="0" w:space="0" w:color="auto"/>
        <w:shd w:val="clear" w:color="auto" w:fill="auto"/>
        <w:vertAlign w:val="baseline"/>
      </w:rPr>
    </w:lvl>
    <w:lvl w:ilvl="3" w:tplc="62247D18">
      <w:start w:val="1"/>
      <w:numFmt w:val="decimal"/>
      <w:lvlText w:val="%4"/>
      <w:lvlJc w:val="left"/>
      <w:pPr>
        <w:ind w:left="2628"/>
      </w:pPr>
      <w:rPr>
        <w:rFonts w:ascii="Times New Roman" w:eastAsia="Times New Roman" w:hAnsi="Times New Roman" w:cs="Times New Roman"/>
        <w:b w:val="0"/>
        <w:i w:val="0"/>
        <w:strike w:val="0"/>
        <w:dstrike w:val="0"/>
        <w:color w:val="000000"/>
        <w:sz w:val="16"/>
        <w:szCs w:val="16"/>
        <w:u w:val="none" w:color="000000"/>
        <w:bdr w:val="none" w:sz="0" w:space="0" w:color="auto"/>
        <w:shd w:val="clear" w:color="auto" w:fill="auto"/>
        <w:vertAlign w:val="baseline"/>
      </w:rPr>
    </w:lvl>
    <w:lvl w:ilvl="4" w:tplc="8ACE63C0">
      <w:start w:val="1"/>
      <w:numFmt w:val="lowerLetter"/>
      <w:lvlText w:val="%5"/>
      <w:lvlJc w:val="left"/>
      <w:pPr>
        <w:ind w:left="3348"/>
      </w:pPr>
      <w:rPr>
        <w:rFonts w:ascii="Times New Roman" w:eastAsia="Times New Roman" w:hAnsi="Times New Roman" w:cs="Times New Roman"/>
        <w:b w:val="0"/>
        <w:i w:val="0"/>
        <w:strike w:val="0"/>
        <w:dstrike w:val="0"/>
        <w:color w:val="000000"/>
        <w:sz w:val="16"/>
        <w:szCs w:val="16"/>
        <w:u w:val="none" w:color="000000"/>
        <w:bdr w:val="none" w:sz="0" w:space="0" w:color="auto"/>
        <w:shd w:val="clear" w:color="auto" w:fill="auto"/>
        <w:vertAlign w:val="baseline"/>
      </w:rPr>
    </w:lvl>
    <w:lvl w:ilvl="5" w:tplc="32B80582">
      <w:start w:val="1"/>
      <w:numFmt w:val="lowerRoman"/>
      <w:lvlText w:val="%6"/>
      <w:lvlJc w:val="left"/>
      <w:pPr>
        <w:ind w:left="4068"/>
      </w:pPr>
      <w:rPr>
        <w:rFonts w:ascii="Times New Roman" w:eastAsia="Times New Roman" w:hAnsi="Times New Roman" w:cs="Times New Roman"/>
        <w:b w:val="0"/>
        <w:i w:val="0"/>
        <w:strike w:val="0"/>
        <w:dstrike w:val="0"/>
        <w:color w:val="000000"/>
        <w:sz w:val="16"/>
        <w:szCs w:val="16"/>
        <w:u w:val="none" w:color="000000"/>
        <w:bdr w:val="none" w:sz="0" w:space="0" w:color="auto"/>
        <w:shd w:val="clear" w:color="auto" w:fill="auto"/>
        <w:vertAlign w:val="baseline"/>
      </w:rPr>
    </w:lvl>
    <w:lvl w:ilvl="6" w:tplc="B6C2E0D2">
      <w:start w:val="1"/>
      <w:numFmt w:val="decimal"/>
      <w:lvlText w:val="%7"/>
      <w:lvlJc w:val="left"/>
      <w:pPr>
        <w:ind w:left="4788"/>
      </w:pPr>
      <w:rPr>
        <w:rFonts w:ascii="Times New Roman" w:eastAsia="Times New Roman" w:hAnsi="Times New Roman" w:cs="Times New Roman"/>
        <w:b w:val="0"/>
        <w:i w:val="0"/>
        <w:strike w:val="0"/>
        <w:dstrike w:val="0"/>
        <w:color w:val="000000"/>
        <w:sz w:val="16"/>
        <w:szCs w:val="16"/>
        <w:u w:val="none" w:color="000000"/>
        <w:bdr w:val="none" w:sz="0" w:space="0" w:color="auto"/>
        <w:shd w:val="clear" w:color="auto" w:fill="auto"/>
        <w:vertAlign w:val="baseline"/>
      </w:rPr>
    </w:lvl>
    <w:lvl w:ilvl="7" w:tplc="57E8F734">
      <w:start w:val="1"/>
      <w:numFmt w:val="lowerLetter"/>
      <w:lvlText w:val="%8"/>
      <w:lvlJc w:val="left"/>
      <w:pPr>
        <w:ind w:left="5508"/>
      </w:pPr>
      <w:rPr>
        <w:rFonts w:ascii="Times New Roman" w:eastAsia="Times New Roman" w:hAnsi="Times New Roman" w:cs="Times New Roman"/>
        <w:b w:val="0"/>
        <w:i w:val="0"/>
        <w:strike w:val="0"/>
        <w:dstrike w:val="0"/>
        <w:color w:val="000000"/>
        <w:sz w:val="16"/>
        <w:szCs w:val="16"/>
        <w:u w:val="none" w:color="000000"/>
        <w:bdr w:val="none" w:sz="0" w:space="0" w:color="auto"/>
        <w:shd w:val="clear" w:color="auto" w:fill="auto"/>
        <w:vertAlign w:val="baseline"/>
      </w:rPr>
    </w:lvl>
    <w:lvl w:ilvl="8" w:tplc="29143E8A">
      <w:start w:val="1"/>
      <w:numFmt w:val="lowerRoman"/>
      <w:lvlText w:val="%9"/>
      <w:lvlJc w:val="left"/>
      <w:pPr>
        <w:ind w:left="6228"/>
      </w:pPr>
      <w:rPr>
        <w:rFonts w:ascii="Times New Roman" w:eastAsia="Times New Roman" w:hAnsi="Times New Roman" w:cs="Times New Roman"/>
        <w:b w:val="0"/>
        <w:i w:val="0"/>
        <w:strike w:val="0"/>
        <w:dstrike w:val="0"/>
        <w:color w:val="000000"/>
        <w:sz w:val="16"/>
        <w:szCs w:val="16"/>
        <w:u w:val="none" w:color="000000"/>
        <w:bdr w:val="none" w:sz="0" w:space="0" w:color="auto"/>
        <w:shd w:val="clear" w:color="auto" w:fill="auto"/>
        <w:vertAlign w:val="baseline"/>
      </w:rPr>
    </w:lvl>
  </w:abstractNum>
  <w:abstractNum w:abstractNumId="10" w15:restartNumberingAfterBreak="0">
    <w:nsid w:val="1A816E14"/>
    <w:multiLevelType w:val="hybridMultilevel"/>
    <w:tmpl w:val="684A61D0"/>
    <w:lvl w:ilvl="0" w:tplc="BFB0408A">
      <w:start w:val="2"/>
      <w:numFmt w:val="decimal"/>
      <w:lvlText w:val="%1."/>
      <w:lvlJc w:val="left"/>
      <w:pPr>
        <w:ind w:left="36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1" w:tplc="3EDE49FA">
      <w:start w:val="1"/>
      <w:numFmt w:val="lowerLetter"/>
      <w:lvlText w:val="%2"/>
      <w:lvlJc w:val="left"/>
      <w:pPr>
        <w:ind w:left="108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2" w:tplc="78B08F38">
      <w:start w:val="1"/>
      <w:numFmt w:val="lowerRoman"/>
      <w:lvlText w:val="%3"/>
      <w:lvlJc w:val="left"/>
      <w:pPr>
        <w:ind w:left="180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3" w:tplc="D918F0F0">
      <w:start w:val="1"/>
      <w:numFmt w:val="decimal"/>
      <w:lvlText w:val="%4"/>
      <w:lvlJc w:val="left"/>
      <w:pPr>
        <w:ind w:left="252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4" w:tplc="CBC8539E">
      <w:start w:val="1"/>
      <w:numFmt w:val="lowerLetter"/>
      <w:lvlText w:val="%5"/>
      <w:lvlJc w:val="left"/>
      <w:pPr>
        <w:ind w:left="324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5" w:tplc="363AB35E">
      <w:start w:val="1"/>
      <w:numFmt w:val="lowerRoman"/>
      <w:lvlText w:val="%6"/>
      <w:lvlJc w:val="left"/>
      <w:pPr>
        <w:ind w:left="396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6" w:tplc="B7326CF6">
      <w:start w:val="1"/>
      <w:numFmt w:val="decimal"/>
      <w:lvlText w:val="%7"/>
      <w:lvlJc w:val="left"/>
      <w:pPr>
        <w:ind w:left="468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7" w:tplc="715E8C48">
      <w:start w:val="1"/>
      <w:numFmt w:val="lowerLetter"/>
      <w:lvlText w:val="%8"/>
      <w:lvlJc w:val="left"/>
      <w:pPr>
        <w:ind w:left="540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8" w:tplc="28AEF33C">
      <w:start w:val="1"/>
      <w:numFmt w:val="lowerRoman"/>
      <w:lvlText w:val="%9"/>
      <w:lvlJc w:val="left"/>
      <w:pPr>
        <w:ind w:left="612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abstractNum>
  <w:abstractNum w:abstractNumId="11" w15:restartNumberingAfterBreak="0">
    <w:nsid w:val="1A821730"/>
    <w:multiLevelType w:val="hybridMultilevel"/>
    <w:tmpl w:val="6D3897D0"/>
    <w:lvl w:ilvl="0" w:tplc="950C7128">
      <w:start w:val="1"/>
      <w:numFmt w:val="decimal"/>
      <w:lvlText w:val="%1."/>
      <w:lvlJc w:val="left"/>
      <w:pPr>
        <w:ind w:left="427"/>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1" w:tplc="6C36BA2A">
      <w:start w:val="1"/>
      <w:numFmt w:val="lowerLetter"/>
      <w:lvlText w:val="%2"/>
      <w:lvlJc w:val="left"/>
      <w:pPr>
        <w:ind w:left="108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2" w:tplc="8466B9F6">
      <w:start w:val="1"/>
      <w:numFmt w:val="lowerRoman"/>
      <w:lvlText w:val="%3"/>
      <w:lvlJc w:val="left"/>
      <w:pPr>
        <w:ind w:left="180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3" w:tplc="92CABEAA">
      <w:start w:val="1"/>
      <w:numFmt w:val="decimal"/>
      <w:lvlText w:val="%4"/>
      <w:lvlJc w:val="left"/>
      <w:pPr>
        <w:ind w:left="252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4" w:tplc="0708189C">
      <w:start w:val="1"/>
      <w:numFmt w:val="lowerLetter"/>
      <w:lvlText w:val="%5"/>
      <w:lvlJc w:val="left"/>
      <w:pPr>
        <w:ind w:left="324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5" w:tplc="7ABC1AE0">
      <w:start w:val="1"/>
      <w:numFmt w:val="lowerRoman"/>
      <w:lvlText w:val="%6"/>
      <w:lvlJc w:val="left"/>
      <w:pPr>
        <w:ind w:left="396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6" w:tplc="738A0576">
      <w:start w:val="1"/>
      <w:numFmt w:val="decimal"/>
      <w:lvlText w:val="%7"/>
      <w:lvlJc w:val="left"/>
      <w:pPr>
        <w:ind w:left="468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7" w:tplc="D1A89A8C">
      <w:start w:val="1"/>
      <w:numFmt w:val="lowerLetter"/>
      <w:lvlText w:val="%8"/>
      <w:lvlJc w:val="left"/>
      <w:pPr>
        <w:ind w:left="540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8" w:tplc="7A24312A">
      <w:start w:val="1"/>
      <w:numFmt w:val="lowerRoman"/>
      <w:lvlText w:val="%9"/>
      <w:lvlJc w:val="left"/>
      <w:pPr>
        <w:ind w:left="612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abstractNum>
  <w:abstractNum w:abstractNumId="12" w15:restartNumberingAfterBreak="0">
    <w:nsid w:val="1CBA4853"/>
    <w:multiLevelType w:val="hybridMultilevel"/>
    <w:tmpl w:val="B2DC3854"/>
    <w:lvl w:ilvl="0" w:tplc="5CB63572">
      <w:start w:val="1"/>
      <w:numFmt w:val="bullet"/>
      <w:lvlText w:val="-"/>
      <w:lvlJc w:val="left"/>
      <w:pPr>
        <w:ind w:left="13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CE0AF90E">
      <w:start w:val="1"/>
      <w:numFmt w:val="bullet"/>
      <w:lvlText w:val="o"/>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3F62EE36">
      <w:start w:val="1"/>
      <w:numFmt w:val="bullet"/>
      <w:lvlText w:val="▪"/>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442CDFA6">
      <w:start w:val="1"/>
      <w:numFmt w:val="bullet"/>
      <w:lvlText w:val="•"/>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7E90F578">
      <w:start w:val="1"/>
      <w:numFmt w:val="bullet"/>
      <w:lvlText w:val="o"/>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94B8BF72">
      <w:start w:val="1"/>
      <w:numFmt w:val="bullet"/>
      <w:lvlText w:val="▪"/>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FE3A9F2A">
      <w:start w:val="1"/>
      <w:numFmt w:val="bullet"/>
      <w:lvlText w:val="•"/>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850CBFA4">
      <w:start w:val="1"/>
      <w:numFmt w:val="bullet"/>
      <w:lvlText w:val="o"/>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AE2C6180">
      <w:start w:val="1"/>
      <w:numFmt w:val="bullet"/>
      <w:lvlText w:val="▪"/>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3" w15:restartNumberingAfterBreak="0">
    <w:nsid w:val="1FEF42DD"/>
    <w:multiLevelType w:val="hybridMultilevel"/>
    <w:tmpl w:val="91D87914"/>
    <w:lvl w:ilvl="0" w:tplc="81BEE838">
      <w:start w:val="1"/>
      <w:numFmt w:val="bullet"/>
      <w:lvlText w:val="-"/>
      <w:lvlJc w:val="left"/>
      <w:pPr>
        <w:ind w:left="13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4CA83420">
      <w:start w:val="1"/>
      <w:numFmt w:val="bullet"/>
      <w:lvlText w:val="o"/>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16D2FF68">
      <w:start w:val="1"/>
      <w:numFmt w:val="bullet"/>
      <w:lvlText w:val="▪"/>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CC26443C">
      <w:start w:val="1"/>
      <w:numFmt w:val="bullet"/>
      <w:lvlText w:val="•"/>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16980BF8">
      <w:start w:val="1"/>
      <w:numFmt w:val="bullet"/>
      <w:lvlText w:val="o"/>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660C3F76">
      <w:start w:val="1"/>
      <w:numFmt w:val="bullet"/>
      <w:lvlText w:val="▪"/>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002C0872">
      <w:start w:val="1"/>
      <w:numFmt w:val="bullet"/>
      <w:lvlText w:val="•"/>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3C504A56">
      <w:start w:val="1"/>
      <w:numFmt w:val="bullet"/>
      <w:lvlText w:val="o"/>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3ECEEA7C">
      <w:start w:val="1"/>
      <w:numFmt w:val="bullet"/>
      <w:lvlText w:val="▪"/>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4" w15:restartNumberingAfterBreak="0">
    <w:nsid w:val="200067B4"/>
    <w:multiLevelType w:val="hybridMultilevel"/>
    <w:tmpl w:val="73005EC6"/>
    <w:lvl w:ilvl="0" w:tplc="63E00D5C">
      <w:start w:val="1"/>
      <w:numFmt w:val="decimal"/>
      <w:lvlText w:val="%1."/>
      <w:lvlJc w:val="left"/>
      <w:pPr>
        <w:ind w:left="427"/>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1" w:tplc="081C55DC">
      <w:start w:val="1"/>
      <w:numFmt w:val="lowerLetter"/>
      <w:lvlText w:val="%2"/>
      <w:lvlJc w:val="left"/>
      <w:pPr>
        <w:ind w:left="108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2" w:tplc="37229614">
      <w:start w:val="1"/>
      <w:numFmt w:val="lowerRoman"/>
      <w:lvlText w:val="%3"/>
      <w:lvlJc w:val="left"/>
      <w:pPr>
        <w:ind w:left="180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3" w:tplc="09FE9CCC">
      <w:start w:val="1"/>
      <w:numFmt w:val="decimal"/>
      <w:lvlText w:val="%4"/>
      <w:lvlJc w:val="left"/>
      <w:pPr>
        <w:ind w:left="252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4" w:tplc="A4E8FB88">
      <w:start w:val="1"/>
      <w:numFmt w:val="lowerLetter"/>
      <w:lvlText w:val="%5"/>
      <w:lvlJc w:val="left"/>
      <w:pPr>
        <w:ind w:left="324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5" w:tplc="156C32FC">
      <w:start w:val="1"/>
      <w:numFmt w:val="lowerRoman"/>
      <w:lvlText w:val="%6"/>
      <w:lvlJc w:val="left"/>
      <w:pPr>
        <w:ind w:left="396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6" w:tplc="76808A64">
      <w:start w:val="1"/>
      <w:numFmt w:val="decimal"/>
      <w:lvlText w:val="%7"/>
      <w:lvlJc w:val="left"/>
      <w:pPr>
        <w:ind w:left="468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7" w:tplc="898EA254">
      <w:start w:val="1"/>
      <w:numFmt w:val="lowerLetter"/>
      <w:lvlText w:val="%8"/>
      <w:lvlJc w:val="left"/>
      <w:pPr>
        <w:ind w:left="540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8" w:tplc="0BBED0E6">
      <w:start w:val="1"/>
      <w:numFmt w:val="lowerRoman"/>
      <w:lvlText w:val="%9"/>
      <w:lvlJc w:val="left"/>
      <w:pPr>
        <w:ind w:left="612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abstractNum>
  <w:abstractNum w:abstractNumId="15" w15:restartNumberingAfterBreak="0">
    <w:nsid w:val="23E24F39"/>
    <w:multiLevelType w:val="hybridMultilevel"/>
    <w:tmpl w:val="0BA403A6"/>
    <w:lvl w:ilvl="0" w:tplc="59D84D56">
      <w:start w:val="1"/>
      <w:numFmt w:val="decimal"/>
      <w:lvlText w:val="%1."/>
      <w:lvlJc w:val="left"/>
      <w:pPr>
        <w:ind w:left="36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1" w:tplc="6186E4B4">
      <w:start w:val="1"/>
      <w:numFmt w:val="lowerLetter"/>
      <w:lvlText w:val="%2"/>
      <w:lvlJc w:val="left"/>
      <w:pPr>
        <w:ind w:left="108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2" w:tplc="54CEDF8A">
      <w:start w:val="1"/>
      <w:numFmt w:val="lowerRoman"/>
      <w:lvlText w:val="%3"/>
      <w:lvlJc w:val="left"/>
      <w:pPr>
        <w:ind w:left="180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3" w:tplc="3CD2A9C8">
      <w:start w:val="1"/>
      <w:numFmt w:val="decimal"/>
      <w:lvlText w:val="%4"/>
      <w:lvlJc w:val="left"/>
      <w:pPr>
        <w:ind w:left="252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4" w:tplc="11CE5FD6">
      <w:start w:val="1"/>
      <w:numFmt w:val="lowerLetter"/>
      <w:lvlText w:val="%5"/>
      <w:lvlJc w:val="left"/>
      <w:pPr>
        <w:ind w:left="324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5" w:tplc="0C92BFDE">
      <w:start w:val="1"/>
      <w:numFmt w:val="lowerRoman"/>
      <w:lvlText w:val="%6"/>
      <w:lvlJc w:val="left"/>
      <w:pPr>
        <w:ind w:left="396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6" w:tplc="27A43D9A">
      <w:start w:val="1"/>
      <w:numFmt w:val="decimal"/>
      <w:lvlText w:val="%7"/>
      <w:lvlJc w:val="left"/>
      <w:pPr>
        <w:ind w:left="468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7" w:tplc="CA047BAC">
      <w:start w:val="1"/>
      <w:numFmt w:val="lowerLetter"/>
      <w:lvlText w:val="%8"/>
      <w:lvlJc w:val="left"/>
      <w:pPr>
        <w:ind w:left="540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8" w:tplc="D50E2FB8">
      <w:start w:val="1"/>
      <w:numFmt w:val="lowerRoman"/>
      <w:lvlText w:val="%9"/>
      <w:lvlJc w:val="left"/>
      <w:pPr>
        <w:ind w:left="612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abstractNum>
  <w:abstractNum w:abstractNumId="16" w15:restartNumberingAfterBreak="0">
    <w:nsid w:val="250C0053"/>
    <w:multiLevelType w:val="hybridMultilevel"/>
    <w:tmpl w:val="603EBF1C"/>
    <w:lvl w:ilvl="0" w:tplc="29AE5CF4">
      <w:start w:val="2020"/>
      <w:numFmt w:val="decimal"/>
      <w:lvlText w:val="%1."/>
      <w:lvlJc w:val="left"/>
      <w:pPr>
        <w:ind w:left="2"/>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59F691C8">
      <w:start w:val="1"/>
      <w:numFmt w:val="lowerLetter"/>
      <w:lvlText w:val="%2"/>
      <w:lvlJc w:val="left"/>
      <w:pPr>
        <w:ind w:left="1189"/>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1A0CB960">
      <w:start w:val="1"/>
      <w:numFmt w:val="lowerRoman"/>
      <w:lvlText w:val="%3"/>
      <w:lvlJc w:val="left"/>
      <w:pPr>
        <w:ind w:left="1909"/>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2098B078">
      <w:start w:val="1"/>
      <w:numFmt w:val="decimal"/>
      <w:lvlText w:val="%4"/>
      <w:lvlJc w:val="left"/>
      <w:pPr>
        <w:ind w:left="2629"/>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673E2F6C">
      <w:start w:val="1"/>
      <w:numFmt w:val="lowerLetter"/>
      <w:lvlText w:val="%5"/>
      <w:lvlJc w:val="left"/>
      <w:pPr>
        <w:ind w:left="3349"/>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D0BC60A0">
      <w:start w:val="1"/>
      <w:numFmt w:val="lowerRoman"/>
      <w:lvlText w:val="%6"/>
      <w:lvlJc w:val="left"/>
      <w:pPr>
        <w:ind w:left="4069"/>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663CAA3C">
      <w:start w:val="1"/>
      <w:numFmt w:val="decimal"/>
      <w:lvlText w:val="%7"/>
      <w:lvlJc w:val="left"/>
      <w:pPr>
        <w:ind w:left="4789"/>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4EC2C0D2">
      <w:start w:val="1"/>
      <w:numFmt w:val="lowerLetter"/>
      <w:lvlText w:val="%8"/>
      <w:lvlJc w:val="left"/>
      <w:pPr>
        <w:ind w:left="5509"/>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E1366A06">
      <w:start w:val="1"/>
      <w:numFmt w:val="lowerRoman"/>
      <w:lvlText w:val="%9"/>
      <w:lvlJc w:val="left"/>
      <w:pPr>
        <w:ind w:left="6229"/>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17" w15:restartNumberingAfterBreak="0">
    <w:nsid w:val="267815F2"/>
    <w:multiLevelType w:val="hybridMultilevel"/>
    <w:tmpl w:val="4CDAD156"/>
    <w:lvl w:ilvl="0" w:tplc="6234D5A8">
      <w:start w:val="4"/>
      <w:numFmt w:val="decimal"/>
      <w:lvlText w:val="%1."/>
      <w:lvlJc w:val="left"/>
      <w:pPr>
        <w:ind w:left="427"/>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1" w:tplc="30B2ACA8">
      <w:start w:val="1"/>
      <w:numFmt w:val="lowerLetter"/>
      <w:lvlText w:val="%2"/>
      <w:lvlJc w:val="left"/>
      <w:pPr>
        <w:ind w:left="108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2" w:tplc="41BC5338">
      <w:start w:val="1"/>
      <w:numFmt w:val="lowerRoman"/>
      <w:lvlText w:val="%3"/>
      <w:lvlJc w:val="left"/>
      <w:pPr>
        <w:ind w:left="180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3" w:tplc="ECD07874">
      <w:start w:val="1"/>
      <w:numFmt w:val="decimal"/>
      <w:lvlText w:val="%4"/>
      <w:lvlJc w:val="left"/>
      <w:pPr>
        <w:ind w:left="252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4" w:tplc="78C6AEF4">
      <w:start w:val="1"/>
      <w:numFmt w:val="lowerLetter"/>
      <w:lvlText w:val="%5"/>
      <w:lvlJc w:val="left"/>
      <w:pPr>
        <w:ind w:left="324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5" w:tplc="5F12C29A">
      <w:start w:val="1"/>
      <w:numFmt w:val="lowerRoman"/>
      <w:lvlText w:val="%6"/>
      <w:lvlJc w:val="left"/>
      <w:pPr>
        <w:ind w:left="396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6" w:tplc="13085C10">
      <w:start w:val="1"/>
      <w:numFmt w:val="decimal"/>
      <w:lvlText w:val="%7"/>
      <w:lvlJc w:val="left"/>
      <w:pPr>
        <w:ind w:left="468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7" w:tplc="56DA58EE">
      <w:start w:val="1"/>
      <w:numFmt w:val="lowerLetter"/>
      <w:lvlText w:val="%8"/>
      <w:lvlJc w:val="left"/>
      <w:pPr>
        <w:ind w:left="540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8" w:tplc="2DB03480">
      <w:start w:val="1"/>
      <w:numFmt w:val="lowerRoman"/>
      <w:lvlText w:val="%9"/>
      <w:lvlJc w:val="left"/>
      <w:pPr>
        <w:ind w:left="612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abstractNum>
  <w:abstractNum w:abstractNumId="18" w15:restartNumberingAfterBreak="0">
    <w:nsid w:val="2B02330D"/>
    <w:multiLevelType w:val="hybridMultilevel"/>
    <w:tmpl w:val="5158FC3C"/>
    <w:lvl w:ilvl="0" w:tplc="26D2CB44">
      <w:start w:val="2"/>
      <w:numFmt w:val="decimal"/>
      <w:lvlText w:val="%1."/>
      <w:lvlJc w:val="left"/>
      <w:pPr>
        <w:ind w:left="427"/>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1" w:tplc="81FE8E08">
      <w:start w:val="1"/>
      <w:numFmt w:val="lowerLetter"/>
      <w:lvlText w:val="%2"/>
      <w:lvlJc w:val="left"/>
      <w:pPr>
        <w:ind w:left="108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2" w:tplc="2C90F09A">
      <w:start w:val="1"/>
      <w:numFmt w:val="lowerRoman"/>
      <w:lvlText w:val="%3"/>
      <w:lvlJc w:val="left"/>
      <w:pPr>
        <w:ind w:left="180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3" w:tplc="DAB6FFCE">
      <w:start w:val="1"/>
      <w:numFmt w:val="decimal"/>
      <w:lvlText w:val="%4"/>
      <w:lvlJc w:val="left"/>
      <w:pPr>
        <w:ind w:left="252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4" w:tplc="37842CC4">
      <w:start w:val="1"/>
      <w:numFmt w:val="lowerLetter"/>
      <w:lvlText w:val="%5"/>
      <w:lvlJc w:val="left"/>
      <w:pPr>
        <w:ind w:left="324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5" w:tplc="D9E6D854">
      <w:start w:val="1"/>
      <w:numFmt w:val="lowerRoman"/>
      <w:lvlText w:val="%6"/>
      <w:lvlJc w:val="left"/>
      <w:pPr>
        <w:ind w:left="396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6" w:tplc="86C0FF0E">
      <w:start w:val="1"/>
      <w:numFmt w:val="decimal"/>
      <w:lvlText w:val="%7"/>
      <w:lvlJc w:val="left"/>
      <w:pPr>
        <w:ind w:left="468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7" w:tplc="83A4A4A2">
      <w:start w:val="1"/>
      <w:numFmt w:val="lowerLetter"/>
      <w:lvlText w:val="%8"/>
      <w:lvlJc w:val="left"/>
      <w:pPr>
        <w:ind w:left="540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8" w:tplc="7AB25D2E">
      <w:start w:val="1"/>
      <w:numFmt w:val="lowerRoman"/>
      <w:lvlText w:val="%9"/>
      <w:lvlJc w:val="left"/>
      <w:pPr>
        <w:ind w:left="612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abstractNum>
  <w:abstractNum w:abstractNumId="19" w15:restartNumberingAfterBreak="0">
    <w:nsid w:val="2B2726C8"/>
    <w:multiLevelType w:val="multilevel"/>
    <w:tmpl w:val="042436E0"/>
    <w:lvl w:ilvl="0">
      <w:start w:val="1"/>
      <w:numFmt w:val="decimal"/>
      <w:pStyle w:val="Heading1"/>
      <w:lvlText w:val="%1."/>
      <w:lvlJc w:val="left"/>
      <w:pPr>
        <w:ind w:left="0"/>
      </w:pPr>
      <w:rPr>
        <w:rFonts w:ascii="Times New Roman" w:eastAsia="Times New Roman" w:hAnsi="Times New Roman" w:cs="Times New Roman"/>
        <w:b/>
        <w:bCs/>
        <w:i w:val="0"/>
        <w:strike w:val="0"/>
        <w:dstrike w:val="0"/>
        <w:color w:val="000000"/>
        <w:sz w:val="26"/>
        <w:szCs w:val="26"/>
        <w:u w:val="none" w:color="000000"/>
        <w:bdr w:val="none" w:sz="0" w:space="0" w:color="auto"/>
        <w:shd w:val="clear" w:color="auto" w:fill="auto"/>
        <w:vertAlign w:val="baseline"/>
      </w:rPr>
    </w:lvl>
    <w:lvl w:ilvl="1">
      <w:start w:val="1"/>
      <w:numFmt w:val="decimal"/>
      <w:pStyle w:val="Heading2"/>
      <w:lvlText w:val="%1.%2."/>
      <w:lvlJc w:val="left"/>
      <w:pPr>
        <w:ind w:left="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2">
      <w:start w:val="1"/>
      <w:numFmt w:val="lowerRoman"/>
      <w:lvlText w:val="%3"/>
      <w:lvlJc w:val="left"/>
      <w:pPr>
        <w:ind w:left="108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3">
      <w:start w:val="1"/>
      <w:numFmt w:val="decimal"/>
      <w:lvlText w:val="%4"/>
      <w:lvlJc w:val="left"/>
      <w:pPr>
        <w:ind w:left="180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4">
      <w:start w:val="1"/>
      <w:numFmt w:val="lowerLetter"/>
      <w:lvlText w:val="%5"/>
      <w:lvlJc w:val="left"/>
      <w:pPr>
        <w:ind w:left="252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5">
      <w:start w:val="1"/>
      <w:numFmt w:val="lowerRoman"/>
      <w:lvlText w:val="%6"/>
      <w:lvlJc w:val="left"/>
      <w:pPr>
        <w:ind w:left="324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6">
      <w:start w:val="1"/>
      <w:numFmt w:val="decimal"/>
      <w:lvlText w:val="%7"/>
      <w:lvlJc w:val="left"/>
      <w:pPr>
        <w:ind w:left="396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7">
      <w:start w:val="1"/>
      <w:numFmt w:val="lowerLetter"/>
      <w:lvlText w:val="%8"/>
      <w:lvlJc w:val="left"/>
      <w:pPr>
        <w:ind w:left="468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8">
      <w:start w:val="1"/>
      <w:numFmt w:val="lowerRoman"/>
      <w:lvlText w:val="%9"/>
      <w:lvlJc w:val="left"/>
      <w:pPr>
        <w:ind w:left="540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abstractNum>
  <w:abstractNum w:abstractNumId="20" w15:restartNumberingAfterBreak="0">
    <w:nsid w:val="2ED26EAB"/>
    <w:multiLevelType w:val="hybridMultilevel"/>
    <w:tmpl w:val="A9465472"/>
    <w:lvl w:ilvl="0" w:tplc="F2541080">
      <w:start w:val="2021"/>
      <w:numFmt w:val="decimal"/>
      <w:lvlText w:val="%1"/>
      <w:lvlJc w:val="left"/>
      <w:pPr>
        <w:ind w:left="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42785024">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C9F66746">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3EA46E6C">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9B0C8BFE">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2970FD18">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3DBA8998">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2B4428DC">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E834A482">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1" w15:restartNumberingAfterBreak="0">
    <w:nsid w:val="2EEB2648"/>
    <w:multiLevelType w:val="hybridMultilevel"/>
    <w:tmpl w:val="7F2A1184"/>
    <w:lvl w:ilvl="0" w:tplc="3AB8F056">
      <w:start w:val="4"/>
      <w:numFmt w:val="decimal"/>
      <w:lvlText w:val="%1."/>
      <w:lvlJc w:val="left"/>
      <w:pPr>
        <w:ind w:left="427"/>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1" w:tplc="AA1446E2">
      <w:start w:val="1"/>
      <w:numFmt w:val="lowerLetter"/>
      <w:lvlText w:val="%2"/>
      <w:lvlJc w:val="left"/>
      <w:pPr>
        <w:ind w:left="108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2" w:tplc="D2C6A84E">
      <w:start w:val="1"/>
      <w:numFmt w:val="lowerRoman"/>
      <w:lvlText w:val="%3"/>
      <w:lvlJc w:val="left"/>
      <w:pPr>
        <w:ind w:left="180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3" w:tplc="4E86DDAC">
      <w:start w:val="1"/>
      <w:numFmt w:val="decimal"/>
      <w:lvlText w:val="%4"/>
      <w:lvlJc w:val="left"/>
      <w:pPr>
        <w:ind w:left="252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4" w:tplc="C074A074">
      <w:start w:val="1"/>
      <w:numFmt w:val="lowerLetter"/>
      <w:lvlText w:val="%5"/>
      <w:lvlJc w:val="left"/>
      <w:pPr>
        <w:ind w:left="324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5" w:tplc="228A7F34">
      <w:start w:val="1"/>
      <w:numFmt w:val="lowerRoman"/>
      <w:lvlText w:val="%6"/>
      <w:lvlJc w:val="left"/>
      <w:pPr>
        <w:ind w:left="396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6" w:tplc="67D0EFF4">
      <w:start w:val="1"/>
      <w:numFmt w:val="decimal"/>
      <w:lvlText w:val="%7"/>
      <w:lvlJc w:val="left"/>
      <w:pPr>
        <w:ind w:left="468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7" w:tplc="26061B18">
      <w:start w:val="1"/>
      <w:numFmt w:val="lowerLetter"/>
      <w:lvlText w:val="%8"/>
      <w:lvlJc w:val="left"/>
      <w:pPr>
        <w:ind w:left="540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8" w:tplc="D1182A56">
      <w:start w:val="1"/>
      <w:numFmt w:val="lowerRoman"/>
      <w:lvlText w:val="%9"/>
      <w:lvlJc w:val="left"/>
      <w:pPr>
        <w:ind w:left="612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abstractNum>
  <w:abstractNum w:abstractNumId="22" w15:restartNumberingAfterBreak="0">
    <w:nsid w:val="359C655B"/>
    <w:multiLevelType w:val="hybridMultilevel"/>
    <w:tmpl w:val="62C6B1EE"/>
    <w:lvl w:ilvl="0" w:tplc="9BDCD28E">
      <w:start w:val="2"/>
      <w:numFmt w:val="decimal"/>
      <w:lvlText w:val="%1."/>
      <w:lvlJc w:val="left"/>
      <w:pPr>
        <w:ind w:left="36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1" w:tplc="07E4068A">
      <w:start w:val="1"/>
      <w:numFmt w:val="lowerLetter"/>
      <w:lvlText w:val="%2"/>
      <w:lvlJc w:val="left"/>
      <w:pPr>
        <w:ind w:left="108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2" w:tplc="2814E436">
      <w:start w:val="1"/>
      <w:numFmt w:val="lowerRoman"/>
      <w:lvlText w:val="%3"/>
      <w:lvlJc w:val="left"/>
      <w:pPr>
        <w:ind w:left="180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3" w:tplc="76924368">
      <w:start w:val="1"/>
      <w:numFmt w:val="decimal"/>
      <w:lvlText w:val="%4"/>
      <w:lvlJc w:val="left"/>
      <w:pPr>
        <w:ind w:left="252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4" w:tplc="44D861B6">
      <w:start w:val="1"/>
      <w:numFmt w:val="lowerLetter"/>
      <w:lvlText w:val="%5"/>
      <w:lvlJc w:val="left"/>
      <w:pPr>
        <w:ind w:left="324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5" w:tplc="1AB274C4">
      <w:start w:val="1"/>
      <w:numFmt w:val="lowerRoman"/>
      <w:lvlText w:val="%6"/>
      <w:lvlJc w:val="left"/>
      <w:pPr>
        <w:ind w:left="396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6" w:tplc="E188A39A">
      <w:start w:val="1"/>
      <w:numFmt w:val="decimal"/>
      <w:lvlText w:val="%7"/>
      <w:lvlJc w:val="left"/>
      <w:pPr>
        <w:ind w:left="468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7" w:tplc="E5708656">
      <w:start w:val="1"/>
      <w:numFmt w:val="lowerLetter"/>
      <w:lvlText w:val="%8"/>
      <w:lvlJc w:val="left"/>
      <w:pPr>
        <w:ind w:left="540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8" w:tplc="0A8E3E5A">
      <w:start w:val="1"/>
      <w:numFmt w:val="lowerRoman"/>
      <w:lvlText w:val="%9"/>
      <w:lvlJc w:val="left"/>
      <w:pPr>
        <w:ind w:left="612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abstractNum>
  <w:abstractNum w:abstractNumId="23" w15:restartNumberingAfterBreak="0">
    <w:nsid w:val="3A260145"/>
    <w:multiLevelType w:val="hybridMultilevel"/>
    <w:tmpl w:val="C29EC8F2"/>
    <w:lvl w:ilvl="0" w:tplc="6DA00052">
      <w:start w:val="1"/>
      <w:numFmt w:val="decimal"/>
      <w:lvlText w:val="[%1]"/>
      <w:lvlJc w:val="left"/>
      <w:pPr>
        <w:ind w:left="228"/>
      </w:pPr>
      <w:rPr>
        <w:rFonts w:ascii="Times New Roman" w:eastAsia="Times New Roman" w:hAnsi="Times New Roman" w:cs="Times New Roman"/>
        <w:b w:val="0"/>
        <w:i w:val="0"/>
        <w:strike w:val="0"/>
        <w:dstrike w:val="0"/>
        <w:color w:val="000000"/>
        <w:sz w:val="16"/>
        <w:szCs w:val="16"/>
        <w:u w:val="none" w:color="000000"/>
        <w:bdr w:val="none" w:sz="0" w:space="0" w:color="auto"/>
        <w:shd w:val="clear" w:color="auto" w:fill="auto"/>
        <w:vertAlign w:val="baseline"/>
      </w:rPr>
    </w:lvl>
    <w:lvl w:ilvl="1" w:tplc="AB4AD8BA">
      <w:start w:val="1"/>
      <w:numFmt w:val="lowerLetter"/>
      <w:lvlText w:val="%2"/>
      <w:lvlJc w:val="left"/>
      <w:pPr>
        <w:ind w:left="1212"/>
      </w:pPr>
      <w:rPr>
        <w:rFonts w:ascii="Times New Roman" w:eastAsia="Times New Roman" w:hAnsi="Times New Roman" w:cs="Times New Roman"/>
        <w:b w:val="0"/>
        <w:i w:val="0"/>
        <w:strike w:val="0"/>
        <w:dstrike w:val="0"/>
        <w:color w:val="000000"/>
        <w:sz w:val="16"/>
        <w:szCs w:val="16"/>
        <w:u w:val="none" w:color="000000"/>
        <w:bdr w:val="none" w:sz="0" w:space="0" w:color="auto"/>
        <w:shd w:val="clear" w:color="auto" w:fill="auto"/>
        <w:vertAlign w:val="baseline"/>
      </w:rPr>
    </w:lvl>
    <w:lvl w:ilvl="2" w:tplc="F81E3812">
      <w:start w:val="1"/>
      <w:numFmt w:val="lowerRoman"/>
      <w:lvlText w:val="%3"/>
      <w:lvlJc w:val="left"/>
      <w:pPr>
        <w:ind w:left="1932"/>
      </w:pPr>
      <w:rPr>
        <w:rFonts w:ascii="Times New Roman" w:eastAsia="Times New Roman" w:hAnsi="Times New Roman" w:cs="Times New Roman"/>
        <w:b w:val="0"/>
        <w:i w:val="0"/>
        <w:strike w:val="0"/>
        <w:dstrike w:val="0"/>
        <w:color w:val="000000"/>
        <w:sz w:val="16"/>
        <w:szCs w:val="16"/>
        <w:u w:val="none" w:color="000000"/>
        <w:bdr w:val="none" w:sz="0" w:space="0" w:color="auto"/>
        <w:shd w:val="clear" w:color="auto" w:fill="auto"/>
        <w:vertAlign w:val="baseline"/>
      </w:rPr>
    </w:lvl>
    <w:lvl w:ilvl="3" w:tplc="5ECAFB2A">
      <w:start w:val="1"/>
      <w:numFmt w:val="decimal"/>
      <w:lvlText w:val="%4"/>
      <w:lvlJc w:val="left"/>
      <w:pPr>
        <w:ind w:left="2652"/>
      </w:pPr>
      <w:rPr>
        <w:rFonts w:ascii="Times New Roman" w:eastAsia="Times New Roman" w:hAnsi="Times New Roman" w:cs="Times New Roman"/>
        <w:b w:val="0"/>
        <w:i w:val="0"/>
        <w:strike w:val="0"/>
        <w:dstrike w:val="0"/>
        <w:color w:val="000000"/>
        <w:sz w:val="16"/>
        <w:szCs w:val="16"/>
        <w:u w:val="none" w:color="000000"/>
        <w:bdr w:val="none" w:sz="0" w:space="0" w:color="auto"/>
        <w:shd w:val="clear" w:color="auto" w:fill="auto"/>
        <w:vertAlign w:val="baseline"/>
      </w:rPr>
    </w:lvl>
    <w:lvl w:ilvl="4" w:tplc="21DC502E">
      <w:start w:val="1"/>
      <w:numFmt w:val="lowerLetter"/>
      <w:lvlText w:val="%5"/>
      <w:lvlJc w:val="left"/>
      <w:pPr>
        <w:ind w:left="3372"/>
      </w:pPr>
      <w:rPr>
        <w:rFonts w:ascii="Times New Roman" w:eastAsia="Times New Roman" w:hAnsi="Times New Roman" w:cs="Times New Roman"/>
        <w:b w:val="0"/>
        <w:i w:val="0"/>
        <w:strike w:val="0"/>
        <w:dstrike w:val="0"/>
        <w:color w:val="000000"/>
        <w:sz w:val="16"/>
        <w:szCs w:val="16"/>
        <w:u w:val="none" w:color="000000"/>
        <w:bdr w:val="none" w:sz="0" w:space="0" w:color="auto"/>
        <w:shd w:val="clear" w:color="auto" w:fill="auto"/>
        <w:vertAlign w:val="baseline"/>
      </w:rPr>
    </w:lvl>
    <w:lvl w:ilvl="5" w:tplc="65AC0A08">
      <w:start w:val="1"/>
      <w:numFmt w:val="lowerRoman"/>
      <w:lvlText w:val="%6"/>
      <w:lvlJc w:val="left"/>
      <w:pPr>
        <w:ind w:left="4092"/>
      </w:pPr>
      <w:rPr>
        <w:rFonts w:ascii="Times New Roman" w:eastAsia="Times New Roman" w:hAnsi="Times New Roman" w:cs="Times New Roman"/>
        <w:b w:val="0"/>
        <w:i w:val="0"/>
        <w:strike w:val="0"/>
        <w:dstrike w:val="0"/>
        <w:color w:val="000000"/>
        <w:sz w:val="16"/>
        <w:szCs w:val="16"/>
        <w:u w:val="none" w:color="000000"/>
        <w:bdr w:val="none" w:sz="0" w:space="0" w:color="auto"/>
        <w:shd w:val="clear" w:color="auto" w:fill="auto"/>
        <w:vertAlign w:val="baseline"/>
      </w:rPr>
    </w:lvl>
    <w:lvl w:ilvl="6" w:tplc="1EEA76F0">
      <w:start w:val="1"/>
      <w:numFmt w:val="decimal"/>
      <w:lvlText w:val="%7"/>
      <w:lvlJc w:val="left"/>
      <w:pPr>
        <w:ind w:left="4812"/>
      </w:pPr>
      <w:rPr>
        <w:rFonts w:ascii="Times New Roman" w:eastAsia="Times New Roman" w:hAnsi="Times New Roman" w:cs="Times New Roman"/>
        <w:b w:val="0"/>
        <w:i w:val="0"/>
        <w:strike w:val="0"/>
        <w:dstrike w:val="0"/>
        <w:color w:val="000000"/>
        <w:sz w:val="16"/>
        <w:szCs w:val="16"/>
        <w:u w:val="none" w:color="000000"/>
        <w:bdr w:val="none" w:sz="0" w:space="0" w:color="auto"/>
        <w:shd w:val="clear" w:color="auto" w:fill="auto"/>
        <w:vertAlign w:val="baseline"/>
      </w:rPr>
    </w:lvl>
    <w:lvl w:ilvl="7" w:tplc="6A7C9EE4">
      <w:start w:val="1"/>
      <w:numFmt w:val="lowerLetter"/>
      <w:lvlText w:val="%8"/>
      <w:lvlJc w:val="left"/>
      <w:pPr>
        <w:ind w:left="5532"/>
      </w:pPr>
      <w:rPr>
        <w:rFonts w:ascii="Times New Roman" w:eastAsia="Times New Roman" w:hAnsi="Times New Roman" w:cs="Times New Roman"/>
        <w:b w:val="0"/>
        <w:i w:val="0"/>
        <w:strike w:val="0"/>
        <w:dstrike w:val="0"/>
        <w:color w:val="000000"/>
        <w:sz w:val="16"/>
        <w:szCs w:val="16"/>
        <w:u w:val="none" w:color="000000"/>
        <w:bdr w:val="none" w:sz="0" w:space="0" w:color="auto"/>
        <w:shd w:val="clear" w:color="auto" w:fill="auto"/>
        <w:vertAlign w:val="baseline"/>
      </w:rPr>
    </w:lvl>
    <w:lvl w:ilvl="8" w:tplc="32069BCA">
      <w:start w:val="1"/>
      <w:numFmt w:val="lowerRoman"/>
      <w:lvlText w:val="%9"/>
      <w:lvlJc w:val="left"/>
      <w:pPr>
        <w:ind w:left="6252"/>
      </w:pPr>
      <w:rPr>
        <w:rFonts w:ascii="Times New Roman" w:eastAsia="Times New Roman" w:hAnsi="Times New Roman" w:cs="Times New Roman"/>
        <w:b w:val="0"/>
        <w:i w:val="0"/>
        <w:strike w:val="0"/>
        <w:dstrike w:val="0"/>
        <w:color w:val="000000"/>
        <w:sz w:val="16"/>
        <w:szCs w:val="16"/>
        <w:u w:val="none" w:color="000000"/>
        <w:bdr w:val="none" w:sz="0" w:space="0" w:color="auto"/>
        <w:shd w:val="clear" w:color="auto" w:fill="auto"/>
        <w:vertAlign w:val="baseline"/>
      </w:rPr>
    </w:lvl>
  </w:abstractNum>
  <w:abstractNum w:abstractNumId="24" w15:restartNumberingAfterBreak="0">
    <w:nsid w:val="3B840684"/>
    <w:multiLevelType w:val="hybridMultilevel"/>
    <w:tmpl w:val="41780652"/>
    <w:lvl w:ilvl="0" w:tplc="C33EB172">
      <w:start w:val="1"/>
      <w:numFmt w:val="decimal"/>
      <w:lvlText w:val="%1."/>
      <w:lvlJc w:val="left"/>
      <w:pPr>
        <w:ind w:left="36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1" w:tplc="CDFCEDE6">
      <w:start w:val="1"/>
      <w:numFmt w:val="lowerLetter"/>
      <w:lvlText w:val="%2"/>
      <w:lvlJc w:val="left"/>
      <w:pPr>
        <w:ind w:left="108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2" w:tplc="4D287D08">
      <w:start w:val="1"/>
      <w:numFmt w:val="lowerRoman"/>
      <w:lvlText w:val="%3"/>
      <w:lvlJc w:val="left"/>
      <w:pPr>
        <w:ind w:left="180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3" w:tplc="428074FE">
      <w:start w:val="1"/>
      <w:numFmt w:val="decimal"/>
      <w:lvlText w:val="%4"/>
      <w:lvlJc w:val="left"/>
      <w:pPr>
        <w:ind w:left="252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4" w:tplc="9A8442B2">
      <w:start w:val="1"/>
      <w:numFmt w:val="lowerLetter"/>
      <w:lvlText w:val="%5"/>
      <w:lvlJc w:val="left"/>
      <w:pPr>
        <w:ind w:left="324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5" w:tplc="2CFC0748">
      <w:start w:val="1"/>
      <w:numFmt w:val="lowerRoman"/>
      <w:lvlText w:val="%6"/>
      <w:lvlJc w:val="left"/>
      <w:pPr>
        <w:ind w:left="396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6" w:tplc="A3E6438E">
      <w:start w:val="1"/>
      <w:numFmt w:val="decimal"/>
      <w:lvlText w:val="%7"/>
      <w:lvlJc w:val="left"/>
      <w:pPr>
        <w:ind w:left="468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7" w:tplc="264C96A6">
      <w:start w:val="1"/>
      <w:numFmt w:val="lowerLetter"/>
      <w:lvlText w:val="%8"/>
      <w:lvlJc w:val="left"/>
      <w:pPr>
        <w:ind w:left="540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8" w:tplc="DC1E11C0">
      <w:start w:val="1"/>
      <w:numFmt w:val="lowerRoman"/>
      <w:lvlText w:val="%9"/>
      <w:lvlJc w:val="left"/>
      <w:pPr>
        <w:ind w:left="612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abstractNum>
  <w:abstractNum w:abstractNumId="25" w15:restartNumberingAfterBreak="0">
    <w:nsid w:val="3C32063A"/>
    <w:multiLevelType w:val="multilevel"/>
    <w:tmpl w:val="1318FB6C"/>
    <w:lvl w:ilvl="0">
      <w:start w:val="1"/>
      <w:numFmt w:val="decimal"/>
      <w:lvlText w:val="%1."/>
      <w:lvlJc w:val="left"/>
      <w:pPr>
        <w:ind w:left="221"/>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start w:val="1"/>
      <w:numFmt w:val="decimal"/>
      <w:lvlText w:val="%1.%2."/>
      <w:lvlJc w:val="left"/>
      <w:pPr>
        <w:ind w:left="536"/>
      </w:pPr>
      <w:rPr>
        <w:rFonts w:ascii="Cambria" w:eastAsia="Cambria" w:hAnsi="Cambria" w:cs="Cambria"/>
        <w:b w:val="0"/>
        <w:i w:val="0"/>
        <w:strike w:val="0"/>
        <w:dstrike w:val="0"/>
        <w:color w:val="000000"/>
        <w:sz w:val="20"/>
        <w:szCs w:val="20"/>
        <w:u w:val="none" w:color="000000"/>
        <w:bdr w:val="none" w:sz="0" w:space="0" w:color="auto"/>
        <w:shd w:val="clear" w:color="auto" w:fill="auto"/>
        <w:vertAlign w:val="baseline"/>
      </w:rPr>
    </w:lvl>
    <w:lvl w:ilvl="2">
      <w:start w:val="1"/>
      <w:numFmt w:val="decimal"/>
      <w:lvlText w:val="%1.%2.%3."/>
      <w:lvlJc w:val="left"/>
      <w:pPr>
        <w:ind w:left="887"/>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D9D9D9"/>
        <w:vertAlign w:val="baseline"/>
      </w:rPr>
    </w:lvl>
    <w:lvl w:ilvl="3">
      <w:start w:val="1"/>
      <w:numFmt w:val="decimal"/>
      <w:lvlText w:val="%4"/>
      <w:lvlJc w:val="left"/>
      <w:pPr>
        <w:ind w:left="1481"/>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D9D9D9"/>
        <w:vertAlign w:val="baseline"/>
      </w:rPr>
    </w:lvl>
    <w:lvl w:ilvl="4">
      <w:start w:val="1"/>
      <w:numFmt w:val="lowerLetter"/>
      <w:lvlText w:val="%5"/>
      <w:lvlJc w:val="left"/>
      <w:pPr>
        <w:ind w:left="2201"/>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D9D9D9"/>
        <w:vertAlign w:val="baseline"/>
      </w:rPr>
    </w:lvl>
    <w:lvl w:ilvl="5">
      <w:start w:val="1"/>
      <w:numFmt w:val="lowerRoman"/>
      <w:lvlText w:val="%6"/>
      <w:lvlJc w:val="left"/>
      <w:pPr>
        <w:ind w:left="2921"/>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D9D9D9"/>
        <w:vertAlign w:val="baseline"/>
      </w:rPr>
    </w:lvl>
    <w:lvl w:ilvl="6">
      <w:start w:val="1"/>
      <w:numFmt w:val="decimal"/>
      <w:lvlText w:val="%7"/>
      <w:lvlJc w:val="left"/>
      <w:pPr>
        <w:ind w:left="3641"/>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D9D9D9"/>
        <w:vertAlign w:val="baseline"/>
      </w:rPr>
    </w:lvl>
    <w:lvl w:ilvl="7">
      <w:start w:val="1"/>
      <w:numFmt w:val="lowerLetter"/>
      <w:lvlText w:val="%8"/>
      <w:lvlJc w:val="left"/>
      <w:pPr>
        <w:ind w:left="4361"/>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D9D9D9"/>
        <w:vertAlign w:val="baseline"/>
      </w:rPr>
    </w:lvl>
    <w:lvl w:ilvl="8">
      <w:start w:val="1"/>
      <w:numFmt w:val="lowerRoman"/>
      <w:lvlText w:val="%9"/>
      <w:lvlJc w:val="left"/>
      <w:pPr>
        <w:ind w:left="5081"/>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D9D9D9"/>
        <w:vertAlign w:val="baseline"/>
      </w:rPr>
    </w:lvl>
  </w:abstractNum>
  <w:abstractNum w:abstractNumId="26" w15:restartNumberingAfterBreak="0">
    <w:nsid w:val="3C555400"/>
    <w:multiLevelType w:val="hybridMultilevel"/>
    <w:tmpl w:val="98C6480A"/>
    <w:lvl w:ilvl="0" w:tplc="24CAB612">
      <w:start w:val="5"/>
      <w:numFmt w:val="decimal"/>
      <w:lvlText w:val="%1."/>
      <w:lvlJc w:val="left"/>
      <w:pPr>
        <w:ind w:left="36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1" w:tplc="4558CE3E">
      <w:start w:val="1"/>
      <w:numFmt w:val="lowerLetter"/>
      <w:lvlText w:val="%2"/>
      <w:lvlJc w:val="left"/>
      <w:pPr>
        <w:ind w:left="108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2" w:tplc="CE8ED10C">
      <w:start w:val="1"/>
      <w:numFmt w:val="lowerRoman"/>
      <w:lvlText w:val="%3"/>
      <w:lvlJc w:val="left"/>
      <w:pPr>
        <w:ind w:left="180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3" w:tplc="65805008">
      <w:start w:val="1"/>
      <w:numFmt w:val="decimal"/>
      <w:lvlText w:val="%4"/>
      <w:lvlJc w:val="left"/>
      <w:pPr>
        <w:ind w:left="252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4" w:tplc="9E3A94A2">
      <w:start w:val="1"/>
      <w:numFmt w:val="lowerLetter"/>
      <w:lvlText w:val="%5"/>
      <w:lvlJc w:val="left"/>
      <w:pPr>
        <w:ind w:left="324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5" w:tplc="A98E3F2C">
      <w:start w:val="1"/>
      <w:numFmt w:val="lowerRoman"/>
      <w:lvlText w:val="%6"/>
      <w:lvlJc w:val="left"/>
      <w:pPr>
        <w:ind w:left="396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6" w:tplc="F88219C6">
      <w:start w:val="1"/>
      <w:numFmt w:val="decimal"/>
      <w:lvlText w:val="%7"/>
      <w:lvlJc w:val="left"/>
      <w:pPr>
        <w:ind w:left="468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7" w:tplc="0A84D7C4">
      <w:start w:val="1"/>
      <w:numFmt w:val="lowerLetter"/>
      <w:lvlText w:val="%8"/>
      <w:lvlJc w:val="left"/>
      <w:pPr>
        <w:ind w:left="540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8" w:tplc="34CE53D0">
      <w:start w:val="1"/>
      <w:numFmt w:val="lowerRoman"/>
      <w:lvlText w:val="%9"/>
      <w:lvlJc w:val="left"/>
      <w:pPr>
        <w:ind w:left="612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abstractNum>
  <w:abstractNum w:abstractNumId="27" w15:restartNumberingAfterBreak="0">
    <w:nsid w:val="3D8D078F"/>
    <w:multiLevelType w:val="hybridMultilevel"/>
    <w:tmpl w:val="4BCC5D42"/>
    <w:lvl w:ilvl="0" w:tplc="1638BCE0">
      <w:start w:val="4"/>
      <w:numFmt w:val="decimal"/>
      <w:lvlText w:val="%1."/>
      <w:lvlJc w:val="left"/>
      <w:pPr>
        <w:ind w:left="427"/>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1" w:tplc="9432DA28">
      <w:start w:val="1"/>
      <w:numFmt w:val="lowerLetter"/>
      <w:lvlText w:val="%2"/>
      <w:lvlJc w:val="left"/>
      <w:pPr>
        <w:ind w:left="108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2" w:tplc="AC9674EC">
      <w:start w:val="1"/>
      <w:numFmt w:val="lowerRoman"/>
      <w:lvlText w:val="%3"/>
      <w:lvlJc w:val="left"/>
      <w:pPr>
        <w:ind w:left="180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3" w:tplc="11E6068E">
      <w:start w:val="1"/>
      <w:numFmt w:val="decimal"/>
      <w:lvlText w:val="%4"/>
      <w:lvlJc w:val="left"/>
      <w:pPr>
        <w:ind w:left="252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4" w:tplc="BD0CED04">
      <w:start w:val="1"/>
      <w:numFmt w:val="lowerLetter"/>
      <w:lvlText w:val="%5"/>
      <w:lvlJc w:val="left"/>
      <w:pPr>
        <w:ind w:left="324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5" w:tplc="636A51C0">
      <w:start w:val="1"/>
      <w:numFmt w:val="lowerRoman"/>
      <w:lvlText w:val="%6"/>
      <w:lvlJc w:val="left"/>
      <w:pPr>
        <w:ind w:left="396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6" w:tplc="BEFE9150">
      <w:start w:val="1"/>
      <w:numFmt w:val="decimal"/>
      <w:lvlText w:val="%7"/>
      <w:lvlJc w:val="left"/>
      <w:pPr>
        <w:ind w:left="468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7" w:tplc="48B470B0">
      <w:start w:val="1"/>
      <w:numFmt w:val="lowerLetter"/>
      <w:lvlText w:val="%8"/>
      <w:lvlJc w:val="left"/>
      <w:pPr>
        <w:ind w:left="540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8" w:tplc="AFBAEDBE">
      <w:start w:val="1"/>
      <w:numFmt w:val="lowerRoman"/>
      <w:lvlText w:val="%9"/>
      <w:lvlJc w:val="left"/>
      <w:pPr>
        <w:ind w:left="612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abstractNum>
  <w:abstractNum w:abstractNumId="28" w15:restartNumberingAfterBreak="0">
    <w:nsid w:val="42336465"/>
    <w:multiLevelType w:val="hybridMultilevel"/>
    <w:tmpl w:val="6A5CB224"/>
    <w:lvl w:ilvl="0" w:tplc="9E86E918">
      <w:start w:val="4"/>
      <w:numFmt w:val="decimal"/>
      <w:lvlText w:val="%1."/>
      <w:lvlJc w:val="left"/>
      <w:pPr>
        <w:ind w:left="427"/>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1" w:tplc="E6029C70">
      <w:start w:val="1"/>
      <w:numFmt w:val="lowerLetter"/>
      <w:lvlText w:val="%2"/>
      <w:lvlJc w:val="left"/>
      <w:pPr>
        <w:ind w:left="108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2" w:tplc="E076AE04">
      <w:start w:val="1"/>
      <w:numFmt w:val="lowerRoman"/>
      <w:lvlText w:val="%3"/>
      <w:lvlJc w:val="left"/>
      <w:pPr>
        <w:ind w:left="180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3" w:tplc="850C845A">
      <w:start w:val="1"/>
      <w:numFmt w:val="decimal"/>
      <w:lvlText w:val="%4"/>
      <w:lvlJc w:val="left"/>
      <w:pPr>
        <w:ind w:left="252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4" w:tplc="19845672">
      <w:start w:val="1"/>
      <w:numFmt w:val="lowerLetter"/>
      <w:lvlText w:val="%5"/>
      <w:lvlJc w:val="left"/>
      <w:pPr>
        <w:ind w:left="324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5" w:tplc="C94E6780">
      <w:start w:val="1"/>
      <w:numFmt w:val="lowerRoman"/>
      <w:lvlText w:val="%6"/>
      <w:lvlJc w:val="left"/>
      <w:pPr>
        <w:ind w:left="396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6" w:tplc="21B45964">
      <w:start w:val="1"/>
      <w:numFmt w:val="decimal"/>
      <w:lvlText w:val="%7"/>
      <w:lvlJc w:val="left"/>
      <w:pPr>
        <w:ind w:left="468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7" w:tplc="CA048D36">
      <w:start w:val="1"/>
      <w:numFmt w:val="lowerLetter"/>
      <w:lvlText w:val="%8"/>
      <w:lvlJc w:val="left"/>
      <w:pPr>
        <w:ind w:left="540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8" w:tplc="F192ED8E">
      <w:start w:val="1"/>
      <w:numFmt w:val="lowerRoman"/>
      <w:lvlText w:val="%9"/>
      <w:lvlJc w:val="left"/>
      <w:pPr>
        <w:ind w:left="612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abstractNum>
  <w:abstractNum w:abstractNumId="29" w15:restartNumberingAfterBreak="0">
    <w:nsid w:val="42742E09"/>
    <w:multiLevelType w:val="hybridMultilevel"/>
    <w:tmpl w:val="8D6030E6"/>
    <w:lvl w:ilvl="0" w:tplc="34A2A44C">
      <w:start w:val="1"/>
      <w:numFmt w:val="bullet"/>
      <w:lvlText w:val="-"/>
      <w:lvlJc w:val="left"/>
      <w:pPr>
        <w:ind w:left="360"/>
      </w:pPr>
      <w:rPr>
        <w:rFonts w:ascii="Verdana" w:eastAsia="Verdana" w:hAnsi="Verdana" w:cs="Verdana"/>
        <w:b w:val="0"/>
        <w:i w:val="0"/>
        <w:strike w:val="0"/>
        <w:dstrike w:val="0"/>
        <w:color w:val="000000"/>
        <w:sz w:val="24"/>
        <w:szCs w:val="24"/>
        <w:u w:val="none" w:color="000000"/>
        <w:bdr w:val="none" w:sz="0" w:space="0" w:color="auto"/>
        <w:shd w:val="clear" w:color="auto" w:fill="auto"/>
        <w:vertAlign w:val="baseline"/>
      </w:rPr>
    </w:lvl>
    <w:lvl w:ilvl="1" w:tplc="631462A8">
      <w:start w:val="1"/>
      <w:numFmt w:val="bullet"/>
      <w:lvlText w:val="o"/>
      <w:lvlJc w:val="left"/>
      <w:pPr>
        <w:ind w:left="1080"/>
      </w:pPr>
      <w:rPr>
        <w:rFonts w:ascii="Verdana" w:eastAsia="Verdana" w:hAnsi="Verdana" w:cs="Verdana"/>
        <w:b w:val="0"/>
        <w:i w:val="0"/>
        <w:strike w:val="0"/>
        <w:dstrike w:val="0"/>
        <w:color w:val="000000"/>
        <w:sz w:val="24"/>
        <w:szCs w:val="24"/>
        <w:u w:val="none" w:color="000000"/>
        <w:bdr w:val="none" w:sz="0" w:space="0" w:color="auto"/>
        <w:shd w:val="clear" w:color="auto" w:fill="auto"/>
        <w:vertAlign w:val="baseline"/>
      </w:rPr>
    </w:lvl>
    <w:lvl w:ilvl="2" w:tplc="2C82E560">
      <w:start w:val="1"/>
      <w:numFmt w:val="bullet"/>
      <w:lvlText w:val="▪"/>
      <w:lvlJc w:val="left"/>
      <w:pPr>
        <w:ind w:left="1800"/>
      </w:pPr>
      <w:rPr>
        <w:rFonts w:ascii="Verdana" w:eastAsia="Verdana" w:hAnsi="Verdana" w:cs="Verdana"/>
        <w:b w:val="0"/>
        <w:i w:val="0"/>
        <w:strike w:val="0"/>
        <w:dstrike w:val="0"/>
        <w:color w:val="000000"/>
        <w:sz w:val="24"/>
        <w:szCs w:val="24"/>
        <w:u w:val="none" w:color="000000"/>
        <w:bdr w:val="none" w:sz="0" w:space="0" w:color="auto"/>
        <w:shd w:val="clear" w:color="auto" w:fill="auto"/>
        <w:vertAlign w:val="baseline"/>
      </w:rPr>
    </w:lvl>
    <w:lvl w:ilvl="3" w:tplc="2376AA1E">
      <w:start w:val="1"/>
      <w:numFmt w:val="bullet"/>
      <w:lvlText w:val="•"/>
      <w:lvlJc w:val="left"/>
      <w:pPr>
        <w:ind w:left="2520"/>
      </w:pPr>
      <w:rPr>
        <w:rFonts w:ascii="Verdana" w:eastAsia="Verdana" w:hAnsi="Verdana" w:cs="Verdana"/>
        <w:b w:val="0"/>
        <w:i w:val="0"/>
        <w:strike w:val="0"/>
        <w:dstrike w:val="0"/>
        <w:color w:val="000000"/>
        <w:sz w:val="24"/>
        <w:szCs w:val="24"/>
        <w:u w:val="none" w:color="000000"/>
        <w:bdr w:val="none" w:sz="0" w:space="0" w:color="auto"/>
        <w:shd w:val="clear" w:color="auto" w:fill="auto"/>
        <w:vertAlign w:val="baseline"/>
      </w:rPr>
    </w:lvl>
    <w:lvl w:ilvl="4" w:tplc="B01CA8DE">
      <w:start w:val="1"/>
      <w:numFmt w:val="bullet"/>
      <w:lvlText w:val="o"/>
      <w:lvlJc w:val="left"/>
      <w:pPr>
        <w:ind w:left="3240"/>
      </w:pPr>
      <w:rPr>
        <w:rFonts w:ascii="Verdana" w:eastAsia="Verdana" w:hAnsi="Verdana" w:cs="Verdana"/>
        <w:b w:val="0"/>
        <w:i w:val="0"/>
        <w:strike w:val="0"/>
        <w:dstrike w:val="0"/>
        <w:color w:val="000000"/>
        <w:sz w:val="24"/>
        <w:szCs w:val="24"/>
        <w:u w:val="none" w:color="000000"/>
        <w:bdr w:val="none" w:sz="0" w:space="0" w:color="auto"/>
        <w:shd w:val="clear" w:color="auto" w:fill="auto"/>
        <w:vertAlign w:val="baseline"/>
      </w:rPr>
    </w:lvl>
    <w:lvl w:ilvl="5" w:tplc="C7B85C56">
      <w:start w:val="1"/>
      <w:numFmt w:val="bullet"/>
      <w:lvlText w:val="▪"/>
      <w:lvlJc w:val="left"/>
      <w:pPr>
        <w:ind w:left="3960"/>
      </w:pPr>
      <w:rPr>
        <w:rFonts w:ascii="Verdana" w:eastAsia="Verdana" w:hAnsi="Verdana" w:cs="Verdana"/>
        <w:b w:val="0"/>
        <w:i w:val="0"/>
        <w:strike w:val="0"/>
        <w:dstrike w:val="0"/>
        <w:color w:val="000000"/>
        <w:sz w:val="24"/>
        <w:szCs w:val="24"/>
        <w:u w:val="none" w:color="000000"/>
        <w:bdr w:val="none" w:sz="0" w:space="0" w:color="auto"/>
        <w:shd w:val="clear" w:color="auto" w:fill="auto"/>
        <w:vertAlign w:val="baseline"/>
      </w:rPr>
    </w:lvl>
    <w:lvl w:ilvl="6" w:tplc="C09E0016">
      <w:start w:val="1"/>
      <w:numFmt w:val="bullet"/>
      <w:lvlText w:val="•"/>
      <w:lvlJc w:val="left"/>
      <w:pPr>
        <w:ind w:left="4680"/>
      </w:pPr>
      <w:rPr>
        <w:rFonts w:ascii="Verdana" w:eastAsia="Verdana" w:hAnsi="Verdana" w:cs="Verdana"/>
        <w:b w:val="0"/>
        <w:i w:val="0"/>
        <w:strike w:val="0"/>
        <w:dstrike w:val="0"/>
        <w:color w:val="000000"/>
        <w:sz w:val="24"/>
        <w:szCs w:val="24"/>
        <w:u w:val="none" w:color="000000"/>
        <w:bdr w:val="none" w:sz="0" w:space="0" w:color="auto"/>
        <w:shd w:val="clear" w:color="auto" w:fill="auto"/>
        <w:vertAlign w:val="baseline"/>
      </w:rPr>
    </w:lvl>
    <w:lvl w:ilvl="7" w:tplc="844A6AA2">
      <w:start w:val="1"/>
      <w:numFmt w:val="bullet"/>
      <w:lvlText w:val="o"/>
      <w:lvlJc w:val="left"/>
      <w:pPr>
        <w:ind w:left="5400"/>
      </w:pPr>
      <w:rPr>
        <w:rFonts w:ascii="Verdana" w:eastAsia="Verdana" w:hAnsi="Verdana" w:cs="Verdana"/>
        <w:b w:val="0"/>
        <w:i w:val="0"/>
        <w:strike w:val="0"/>
        <w:dstrike w:val="0"/>
        <w:color w:val="000000"/>
        <w:sz w:val="24"/>
        <w:szCs w:val="24"/>
        <w:u w:val="none" w:color="000000"/>
        <w:bdr w:val="none" w:sz="0" w:space="0" w:color="auto"/>
        <w:shd w:val="clear" w:color="auto" w:fill="auto"/>
        <w:vertAlign w:val="baseline"/>
      </w:rPr>
    </w:lvl>
    <w:lvl w:ilvl="8" w:tplc="4F36538A">
      <w:start w:val="1"/>
      <w:numFmt w:val="bullet"/>
      <w:lvlText w:val="▪"/>
      <w:lvlJc w:val="left"/>
      <w:pPr>
        <w:ind w:left="6120"/>
      </w:pPr>
      <w:rPr>
        <w:rFonts w:ascii="Verdana" w:eastAsia="Verdana" w:hAnsi="Verdana" w:cs="Verdana"/>
        <w:b w:val="0"/>
        <w:i w:val="0"/>
        <w:strike w:val="0"/>
        <w:dstrike w:val="0"/>
        <w:color w:val="000000"/>
        <w:sz w:val="24"/>
        <w:szCs w:val="24"/>
        <w:u w:val="none" w:color="000000"/>
        <w:bdr w:val="none" w:sz="0" w:space="0" w:color="auto"/>
        <w:shd w:val="clear" w:color="auto" w:fill="auto"/>
        <w:vertAlign w:val="baseline"/>
      </w:rPr>
    </w:lvl>
  </w:abstractNum>
  <w:abstractNum w:abstractNumId="30" w15:restartNumberingAfterBreak="0">
    <w:nsid w:val="435672CD"/>
    <w:multiLevelType w:val="hybridMultilevel"/>
    <w:tmpl w:val="F7CC00DC"/>
    <w:lvl w:ilvl="0" w:tplc="65281A94">
      <w:start w:val="7"/>
      <w:numFmt w:val="decimal"/>
      <w:lvlText w:val="%1."/>
      <w:lvlJc w:val="left"/>
      <w:pPr>
        <w:ind w:left="427"/>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1" w:tplc="282C71C8">
      <w:start w:val="1"/>
      <w:numFmt w:val="lowerLetter"/>
      <w:lvlText w:val="%2"/>
      <w:lvlJc w:val="left"/>
      <w:pPr>
        <w:ind w:left="108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2" w:tplc="70D06DFC">
      <w:start w:val="1"/>
      <w:numFmt w:val="lowerRoman"/>
      <w:lvlText w:val="%3"/>
      <w:lvlJc w:val="left"/>
      <w:pPr>
        <w:ind w:left="180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3" w:tplc="C1C8C5CC">
      <w:start w:val="1"/>
      <w:numFmt w:val="decimal"/>
      <w:lvlText w:val="%4"/>
      <w:lvlJc w:val="left"/>
      <w:pPr>
        <w:ind w:left="252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4" w:tplc="B45263A6">
      <w:start w:val="1"/>
      <w:numFmt w:val="lowerLetter"/>
      <w:lvlText w:val="%5"/>
      <w:lvlJc w:val="left"/>
      <w:pPr>
        <w:ind w:left="324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5" w:tplc="680ACA42">
      <w:start w:val="1"/>
      <w:numFmt w:val="lowerRoman"/>
      <w:lvlText w:val="%6"/>
      <w:lvlJc w:val="left"/>
      <w:pPr>
        <w:ind w:left="396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6" w:tplc="E5268BFC">
      <w:start w:val="1"/>
      <w:numFmt w:val="decimal"/>
      <w:lvlText w:val="%7"/>
      <w:lvlJc w:val="left"/>
      <w:pPr>
        <w:ind w:left="468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7" w:tplc="A7AE2F56">
      <w:start w:val="1"/>
      <w:numFmt w:val="lowerLetter"/>
      <w:lvlText w:val="%8"/>
      <w:lvlJc w:val="left"/>
      <w:pPr>
        <w:ind w:left="540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8" w:tplc="69322402">
      <w:start w:val="1"/>
      <w:numFmt w:val="lowerRoman"/>
      <w:lvlText w:val="%9"/>
      <w:lvlJc w:val="left"/>
      <w:pPr>
        <w:ind w:left="612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abstractNum>
  <w:abstractNum w:abstractNumId="31" w15:restartNumberingAfterBreak="0">
    <w:nsid w:val="44332004"/>
    <w:multiLevelType w:val="hybridMultilevel"/>
    <w:tmpl w:val="E5F8098A"/>
    <w:lvl w:ilvl="0" w:tplc="699C035C">
      <w:start w:val="1"/>
      <w:numFmt w:val="decimal"/>
      <w:lvlText w:val="%1."/>
      <w:lvlJc w:val="left"/>
      <w:pPr>
        <w:ind w:left="427"/>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1" w:tplc="2D9E8352">
      <w:start w:val="1"/>
      <w:numFmt w:val="lowerLetter"/>
      <w:lvlText w:val="%2"/>
      <w:lvlJc w:val="left"/>
      <w:pPr>
        <w:ind w:left="108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2" w:tplc="750E34D4">
      <w:start w:val="1"/>
      <w:numFmt w:val="lowerRoman"/>
      <w:lvlText w:val="%3"/>
      <w:lvlJc w:val="left"/>
      <w:pPr>
        <w:ind w:left="180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3" w:tplc="097E6774">
      <w:start w:val="1"/>
      <w:numFmt w:val="decimal"/>
      <w:lvlText w:val="%4"/>
      <w:lvlJc w:val="left"/>
      <w:pPr>
        <w:ind w:left="252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4" w:tplc="4C385AC6">
      <w:start w:val="1"/>
      <w:numFmt w:val="lowerLetter"/>
      <w:lvlText w:val="%5"/>
      <w:lvlJc w:val="left"/>
      <w:pPr>
        <w:ind w:left="324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5" w:tplc="B296BE1C">
      <w:start w:val="1"/>
      <w:numFmt w:val="lowerRoman"/>
      <w:lvlText w:val="%6"/>
      <w:lvlJc w:val="left"/>
      <w:pPr>
        <w:ind w:left="396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6" w:tplc="B1E41686">
      <w:start w:val="1"/>
      <w:numFmt w:val="decimal"/>
      <w:lvlText w:val="%7"/>
      <w:lvlJc w:val="left"/>
      <w:pPr>
        <w:ind w:left="468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7" w:tplc="671E70F0">
      <w:start w:val="1"/>
      <w:numFmt w:val="lowerLetter"/>
      <w:lvlText w:val="%8"/>
      <w:lvlJc w:val="left"/>
      <w:pPr>
        <w:ind w:left="540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8" w:tplc="33C45DF8">
      <w:start w:val="1"/>
      <w:numFmt w:val="lowerRoman"/>
      <w:lvlText w:val="%9"/>
      <w:lvlJc w:val="left"/>
      <w:pPr>
        <w:ind w:left="612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abstractNum>
  <w:abstractNum w:abstractNumId="32" w15:restartNumberingAfterBreak="0">
    <w:nsid w:val="44BF1E5D"/>
    <w:multiLevelType w:val="hybridMultilevel"/>
    <w:tmpl w:val="3CC0145A"/>
    <w:lvl w:ilvl="0" w:tplc="390AB1CE">
      <w:start w:val="4"/>
      <w:numFmt w:val="decimal"/>
      <w:lvlText w:val="%1."/>
      <w:lvlJc w:val="left"/>
      <w:pPr>
        <w:ind w:left="36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1" w:tplc="E268734C">
      <w:start w:val="1"/>
      <w:numFmt w:val="lowerLetter"/>
      <w:lvlText w:val="%2"/>
      <w:lvlJc w:val="left"/>
      <w:pPr>
        <w:ind w:left="108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2" w:tplc="C3A40BCE">
      <w:start w:val="1"/>
      <w:numFmt w:val="lowerRoman"/>
      <w:lvlText w:val="%3"/>
      <w:lvlJc w:val="left"/>
      <w:pPr>
        <w:ind w:left="180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3" w:tplc="47AAC5C2">
      <w:start w:val="1"/>
      <w:numFmt w:val="decimal"/>
      <w:lvlText w:val="%4"/>
      <w:lvlJc w:val="left"/>
      <w:pPr>
        <w:ind w:left="252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4" w:tplc="55505464">
      <w:start w:val="1"/>
      <w:numFmt w:val="lowerLetter"/>
      <w:lvlText w:val="%5"/>
      <w:lvlJc w:val="left"/>
      <w:pPr>
        <w:ind w:left="324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5" w:tplc="0B24A794">
      <w:start w:val="1"/>
      <w:numFmt w:val="lowerRoman"/>
      <w:lvlText w:val="%6"/>
      <w:lvlJc w:val="left"/>
      <w:pPr>
        <w:ind w:left="396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6" w:tplc="75FCBACA">
      <w:start w:val="1"/>
      <w:numFmt w:val="decimal"/>
      <w:lvlText w:val="%7"/>
      <w:lvlJc w:val="left"/>
      <w:pPr>
        <w:ind w:left="468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7" w:tplc="81260EE4">
      <w:start w:val="1"/>
      <w:numFmt w:val="lowerLetter"/>
      <w:lvlText w:val="%8"/>
      <w:lvlJc w:val="left"/>
      <w:pPr>
        <w:ind w:left="540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8" w:tplc="7DAA8514">
      <w:start w:val="1"/>
      <w:numFmt w:val="lowerRoman"/>
      <w:lvlText w:val="%9"/>
      <w:lvlJc w:val="left"/>
      <w:pPr>
        <w:ind w:left="612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abstractNum>
  <w:abstractNum w:abstractNumId="33" w15:restartNumberingAfterBreak="0">
    <w:nsid w:val="4726323A"/>
    <w:multiLevelType w:val="hybridMultilevel"/>
    <w:tmpl w:val="0E645D8C"/>
    <w:lvl w:ilvl="0" w:tplc="251871DA">
      <w:start w:val="7"/>
      <w:numFmt w:val="decimal"/>
      <w:lvlText w:val="%1."/>
      <w:lvlJc w:val="left"/>
      <w:pPr>
        <w:ind w:left="203"/>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2926245A">
      <w:start w:val="1"/>
      <w:numFmt w:val="lowerLetter"/>
      <w:lvlText w:val="%2"/>
      <w:lvlJc w:val="left"/>
      <w:pPr>
        <w:ind w:left="119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117064CC">
      <w:start w:val="1"/>
      <w:numFmt w:val="lowerRoman"/>
      <w:lvlText w:val="%3"/>
      <w:lvlJc w:val="left"/>
      <w:pPr>
        <w:ind w:left="191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760E5D6E">
      <w:start w:val="1"/>
      <w:numFmt w:val="decimal"/>
      <w:lvlText w:val="%4"/>
      <w:lvlJc w:val="left"/>
      <w:pPr>
        <w:ind w:left="263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E132F150">
      <w:start w:val="1"/>
      <w:numFmt w:val="lowerLetter"/>
      <w:lvlText w:val="%5"/>
      <w:lvlJc w:val="left"/>
      <w:pPr>
        <w:ind w:left="335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238E5664">
      <w:start w:val="1"/>
      <w:numFmt w:val="lowerRoman"/>
      <w:lvlText w:val="%6"/>
      <w:lvlJc w:val="left"/>
      <w:pPr>
        <w:ind w:left="407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A964DB86">
      <w:start w:val="1"/>
      <w:numFmt w:val="decimal"/>
      <w:lvlText w:val="%7"/>
      <w:lvlJc w:val="left"/>
      <w:pPr>
        <w:ind w:left="479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2484313C">
      <w:start w:val="1"/>
      <w:numFmt w:val="lowerLetter"/>
      <w:lvlText w:val="%8"/>
      <w:lvlJc w:val="left"/>
      <w:pPr>
        <w:ind w:left="551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471C603C">
      <w:start w:val="1"/>
      <w:numFmt w:val="lowerRoman"/>
      <w:lvlText w:val="%9"/>
      <w:lvlJc w:val="left"/>
      <w:pPr>
        <w:ind w:left="623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34" w15:restartNumberingAfterBreak="0">
    <w:nsid w:val="490172A8"/>
    <w:multiLevelType w:val="hybridMultilevel"/>
    <w:tmpl w:val="D96218E8"/>
    <w:lvl w:ilvl="0" w:tplc="E508E0C0">
      <w:start w:val="7"/>
      <w:numFmt w:val="decimal"/>
      <w:lvlText w:val="%1."/>
      <w:lvlJc w:val="left"/>
      <w:pPr>
        <w:ind w:left="427"/>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1" w:tplc="C6C61892">
      <w:start w:val="1"/>
      <w:numFmt w:val="lowerLetter"/>
      <w:lvlText w:val="%2"/>
      <w:lvlJc w:val="left"/>
      <w:pPr>
        <w:ind w:left="108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2" w:tplc="F6363AFA">
      <w:start w:val="1"/>
      <w:numFmt w:val="lowerRoman"/>
      <w:lvlText w:val="%3"/>
      <w:lvlJc w:val="left"/>
      <w:pPr>
        <w:ind w:left="180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3" w:tplc="D6E6CB5C">
      <w:start w:val="1"/>
      <w:numFmt w:val="decimal"/>
      <w:lvlText w:val="%4"/>
      <w:lvlJc w:val="left"/>
      <w:pPr>
        <w:ind w:left="252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4" w:tplc="3B967E18">
      <w:start w:val="1"/>
      <w:numFmt w:val="lowerLetter"/>
      <w:lvlText w:val="%5"/>
      <w:lvlJc w:val="left"/>
      <w:pPr>
        <w:ind w:left="324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5" w:tplc="CEA89CA8">
      <w:start w:val="1"/>
      <w:numFmt w:val="lowerRoman"/>
      <w:lvlText w:val="%6"/>
      <w:lvlJc w:val="left"/>
      <w:pPr>
        <w:ind w:left="396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6" w:tplc="8864D83C">
      <w:start w:val="1"/>
      <w:numFmt w:val="decimal"/>
      <w:lvlText w:val="%7"/>
      <w:lvlJc w:val="left"/>
      <w:pPr>
        <w:ind w:left="468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7" w:tplc="22BE4002">
      <w:start w:val="1"/>
      <w:numFmt w:val="lowerLetter"/>
      <w:lvlText w:val="%8"/>
      <w:lvlJc w:val="left"/>
      <w:pPr>
        <w:ind w:left="540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8" w:tplc="FF400112">
      <w:start w:val="1"/>
      <w:numFmt w:val="lowerRoman"/>
      <w:lvlText w:val="%9"/>
      <w:lvlJc w:val="left"/>
      <w:pPr>
        <w:ind w:left="612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abstractNum>
  <w:abstractNum w:abstractNumId="35" w15:restartNumberingAfterBreak="0">
    <w:nsid w:val="49DD57AD"/>
    <w:multiLevelType w:val="hybridMultilevel"/>
    <w:tmpl w:val="AE6023A4"/>
    <w:lvl w:ilvl="0" w:tplc="D012DF7C">
      <w:start w:val="1"/>
      <w:numFmt w:val="decimal"/>
      <w:lvlText w:val="%1."/>
      <w:lvlJc w:val="left"/>
      <w:pPr>
        <w:ind w:left="36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1" w:tplc="19B480C6">
      <w:start w:val="1"/>
      <w:numFmt w:val="bullet"/>
      <w:lvlText w:val="-"/>
      <w:lvlJc w:val="left"/>
      <w:pPr>
        <w:ind w:left="85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BABC5B02">
      <w:start w:val="1"/>
      <w:numFmt w:val="bullet"/>
      <w:lvlText w:val="▪"/>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B68EDA24">
      <w:start w:val="1"/>
      <w:numFmt w:val="bullet"/>
      <w:lvlText w:val="•"/>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279E590E">
      <w:start w:val="1"/>
      <w:numFmt w:val="bullet"/>
      <w:lvlText w:val="o"/>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C5E69944">
      <w:start w:val="1"/>
      <w:numFmt w:val="bullet"/>
      <w:lvlText w:val="▪"/>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4ACCF652">
      <w:start w:val="1"/>
      <w:numFmt w:val="bullet"/>
      <w:lvlText w:val="•"/>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3CCA8748">
      <w:start w:val="1"/>
      <w:numFmt w:val="bullet"/>
      <w:lvlText w:val="o"/>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6292E49A">
      <w:start w:val="1"/>
      <w:numFmt w:val="bullet"/>
      <w:lvlText w:val="▪"/>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36" w15:restartNumberingAfterBreak="0">
    <w:nsid w:val="4B721557"/>
    <w:multiLevelType w:val="hybridMultilevel"/>
    <w:tmpl w:val="A4ACF3AC"/>
    <w:lvl w:ilvl="0" w:tplc="D77C6B6A">
      <w:start w:val="19"/>
      <w:numFmt w:val="decimal"/>
      <w:lvlText w:val="%1"/>
      <w:lvlJc w:val="left"/>
      <w:pPr>
        <w:ind w:left="142"/>
      </w:pPr>
      <w:rPr>
        <w:rFonts w:ascii="Times New Roman" w:eastAsia="Times New Roman" w:hAnsi="Times New Roman" w:cs="Times New Roman"/>
        <w:b w:val="0"/>
        <w:i w:val="0"/>
        <w:strike w:val="0"/>
        <w:dstrike w:val="0"/>
        <w:color w:val="000000"/>
        <w:sz w:val="16"/>
        <w:szCs w:val="16"/>
        <w:u w:val="none" w:color="000000"/>
        <w:bdr w:val="none" w:sz="0" w:space="0" w:color="auto"/>
        <w:shd w:val="clear" w:color="auto" w:fill="auto"/>
        <w:vertAlign w:val="superscript"/>
      </w:rPr>
    </w:lvl>
    <w:lvl w:ilvl="1" w:tplc="2B360D44">
      <w:start w:val="1"/>
      <w:numFmt w:val="lowerLetter"/>
      <w:lvlText w:val="%2"/>
      <w:lvlJc w:val="left"/>
      <w:pPr>
        <w:ind w:left="1080"/>
      </w:pPr>
      <w:rPr>
        <w:rFonts w:ascii="Times New Roman" w:eastAsia="Times New Roman" w:hAnsi="Times New Roman" w:cs="Times New Roman"/>
        <w:b w:val="0"/>
        <w:i w:val="0"/>
        <w:strike w:val="0"/>
        <w:dstrike w:val="0"/>
        <w:color w:val="000000"/>
        <w:sz w:val="16"/>
        <w:szCs w:val="16"/>
        <w:u w:val="none" w:color="000000"/>
        <w:bdr w:val="none" w:sz="0" w:space="0" w:color="auto"/>
        <w:shd w:val="clear" w:color="auto" w:fill="auto"/>
        <w:vertAlign w:val="superscript"/>
      </w:rPr>
    </w:lvl>
    <w:lvl w:ilvl="2" w:tplc="2DBC0296">
      <w:start w:val="1"/>
      <w:numFmt w:val="lowerRoman"/>
      <w:lvlText w:val="%3"/>
      <w:lvlJc w:val="left"/>
      <w:pPr>
        <w:ind w:left="1800"/>
      </w:pPr>
      <w:rPr>
        <w:rFonts w:ascii="Times New Roman" w:eastAsia="Times New Roman" w:hAnsi="Times New Roman" w:cs="Times New Roman"/>
        <w:b w:val="0"/>
        <w:i w:val="0"/>
        <w:strike w:val="0"/>
        <w:dstrike w:val="0"/>
        <w:color w:val="000000"/>
        <w:sz w:val="16"/>
        <w:szCs w:val="16"/>
        <w:u w:val="none" w:color="000000"/>
        <w:bdr w:val="none" w:sz="0" w:space="0" w:color="auto"/>
        <w:shd w:val="clear" w:color="auto" w:fill="auto"/>
        <w:vertAlign w:val="superscript"/>
      </w:rPr>
    </w:lvl>
    <w:lvl w:ilvl="3" w:tplc="A8DEC178">
      <w:start w:val="1"/>
      <w:numFmt w:val="decimal"/>
      <w:lvlText w:val="%4"/>
      <w:lvlJc w:val="left"/>
      <w:pPr>
        <w:ind w:left="2520"/>
      </w:pPr>
      <w:rPr>
        <w:rFonts w:ascii="Times New Roman" w:eastAsia="Times New Roman" w:hAnsi="Times New Roman" w:cs="Times New Roman"/>
        <w:b w:val="0"/>
        <w:i w:val="0"/>
        <w:strike w:val="0"/>
        <w:dstrike w:val="0"/>
        <w:color w:val="000000"/>
        <w:sz w:val="16"/>
        <w:szCs w:val="16"/>
        <w:u w:val="none" w:color="000000"/>
        <w:bdr w:val="none" w:sz="0" w:space="0" w:color="auto"/>
        <w:shd w:val="clear" w:color="auto" w:fill="auto"/>
        <w:vertAlign w:val="superscript"/>
      </w:rPr>
    </w:lvl>
    <w:lvl w:ilvl="4" w:tplc="B1E881B8">
      <w:start w:val="1"/>
      <w:numFmt w:val="lowerLetter"/>
      <w:lvlText w:val="%5"/>
      <w:lvlJc w:val="left"/>
      <w:pPr>
        <w:ind w:left="3240"/>
      </w:pPr>
      <w:rPr>
        <w:rFonts w:ascii="Times New Roman" w:eastAsia="Times New Roman" w:hAnsi="Times New Roman" w:cs="Times New Roman"/>
        <w:b w:val="0"/>
        <w:i w:val="0"/>
        <w:strike w:val="0"/>
        <w:dstrike w:val="0"/>
        <w:color w:val="000000"/>
        <w:sz w:val="16"/>
        <w:szCs w:val="16"/>
        <w:u w:val="none" w:color="000000"/>
        <w:bdr w:val="none" w:sz="0" w:space="0" w:color="auto"/>
        <w:shd w:val="clear" w:color="auto" w:fill="auto"/>
        <w:vertAlign w:val="superscript"/>
      </w:rPr>
    </w:lvl>
    <w:lvl w:ilvl="5" w:tplc="CD248542">
      <w:start w:val="1"/>
      <w:numFmt w:val="lowerRoman"/>
      <w:lvlText w:val="%6"/>
      <w:lvlJc w:val="left"/>
      <w:pPr>
        <w:ind w:left="3960"/>
      </w:pPr>
      <w:rPr>
        <w:rFonts w:ascii="Times New Roman" w:eastAsia="Times New Roman" w:hAnsi="Times New Roman" w:cs="Times New Roman"/>
        <w:b w:val="0"/>
        <w:i w:val="0"/>
        <w:strike w:val="0"/>
        <w:dstrike w:val="0"/>
        <w:color w:val="000000"/>
        <w:sz w:val="16"/>
        <w:szCs w:val="16"/>
        <w:u w:val="none" w:color="000000"/>
        <w:bdr w:val="none" w:sz="0" w:space="0" w:color="auto"/>
        <w:shd w:val="clear" w:color="auto" w:fill="auto"/>
        <w:vertAlign w:val="superscript"/>
      </w:rPr>
    </w:lvl>
    <w:lvl w:ilvl="6" w:tplc="C16CD7D0">
      <w:start w:val="1"/>
      <w:numFmt w:val="decimal"/>
      <w:lvlText w:val="%7"/>
      <w:lvlJc w:val="left"/>
      <w:pPr>
        <w:ind w:left="4680"/>
      </w:pPr>
      <w:rPr>
        <w:rFonts w:ascii="Times New Roman" w:eastAsia="Times New Roman" w:hAnsi="Times New Roman" w:cs="Times New Roman"/>
        <w:b w:val="0"/>
        <w:i w:val="0"/>
        <w:strike w:val="0"/>
        <w:dstrike w:val="0"/>
        <w:color w:val="000000"/>
        <w:sz w:val="16"/>
        <w:szCs w:val="16"/>
        <w:u w:val="none" w:color="000000"/>
        <w:bdr w:val="none" w:sz="0" w:space="0" w:color="auto"/>
        <w:shd w:val="clear" w:color="auto" w:fill="auto"/>
        <w:vertAlign w:val="superscript"/>
      </w:rPr>
    </w:lvl>
    <w:lvl w:ilvl="7" w:tplc="D22EA40C">
      <w:start w:val="1"/>
      <w:numFmt w:val="lowerLetter"/>
      <w:lvlText w:val="%8"/>
      <w:lvlJc w:val="left"/>
      <w:pPr>
        <w:ind w:left="5400"/>
      </w:pPr>
      <w:rPr>
        <w:rFonts w:ascii="Times New Roman" w:eastAsia="Times New Roman" w:hAnsi="Times New Roman" w:cs="Times New Roman"/>
        <w:b w:val="0"/>
        <w:i w:val="0"/>
        <w:strike w:val="0"/>
        <w:dstrike w:val="0"/>
        <w:color w:val="000000"/>
        <w:sz w:val="16"/>
        <w:szCs w:val="16"/>
        <w:u w:val="none" w:color="000000"/>
        <w:bdr w:val="none" w:sz="0" w:space="0" w:color="auto"/>
        <w:shd w:val="clear" w:color="auto" w:fill="auto"/>
        <w:vertAlign w:val="superscript"/>
      </w:rPr>
    </w:lvl>
    <w:lvl w:ilvl="8" w:tplc="FBC41AD4">
      <w:start w:val="1"/>
      <w:numFmt w:val="lowerRoman"/>
      <w:lvlText w:val="%9"/>
      <w:lvlJc w:val="left"/>
      <w:pPr>
        <w:ind w:left="6120"/>
      </w:pPr>
      <w:rPr>
        <w:rFonts w:ascii="Times New Roman" w:eastAsia="Times New Roman" w:hAnsi="Times New Roman" w:cs="Times New Roman"/>
        <w:b w:val="0"/>
        <w:i w:val="0"/>
        <w:strike w:val="0"/>
        <w:dstrike w:val="0"/>
        <w:color w:val="000000"/>
        <w:sz w:val="16"/>
        <w:szCs w:val="16"/>
        <w:u w:val="none" w:color="000000"/>
        <w:bdr w:val="none" w:sz="0" w:space="0" w:color="auto"/>
        <w:shd w:val="clear" w:color="auto" w:fill="auto"/>
        <w:vertAlign w:val="superscript"/>
      </w:rPr>
    </w:lvl>
  </w:abstractNum>
  <w:abstractNum w:abstractNumId="37" w15:restartNumberingAfterBreak="0">
    <w:nsid w:val="4DB73855"/>
    <w:multiLevelType w:val="hybridMultilevel"/>
    <w:tmpl w:val="AFE8C48A"/>
    <w:lvl w:ilvl="0" w:tplc="7438E614">
      <w:start w:val="4"/>
      <w:numFmt w:val="decimal"/>
      <w:lvlText w:val="%1."/>
      <w:lvlJc w:val="left"/>
      <w:pPr>
        <w:ind w:left="36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1" w:tplc="0E5AD846">
      <w:start w:val="1"/>
      <w:numFmt w:val="lowerLetter"/>
      <w:lvlText w:val="%2"/>
      <w:lvlJc w:val="left"/>
      <w:pPr>
        <w:ind w:left="108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2" w:tplc="7B0E2E4E">
      <w:start w:val="1"/>
      <w:numFmt w:val="lowerRoman"/>
      <w:lvlText w:val="%3"/>
      <w:lvlJc w:val="left"/>
      <w:pPr>
        <w:ind w:left="180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3" w:tplc="AF96A58C">
      <w:start w:val="1"/>
      <w:numFmt w:val="decimal"/>
      <w:lvlText w:val="%4"/>
      <w:lvlJc w:val="left"/>
      <w:pPr>
        <w:ind w:left="252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4" w:tplc="77DCD482">
      <w:start w:val="1"/>
      <w:numFmt w:val="lowerLetter"/>
      <w:lvlText w:val="%5"/>
      <w:lvlJc w:val="left"/>
      <w:pPr>
        <w:ind w:left="324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5" w:tplc="3BB01FA4">
      <w:start w:val="1"/>
      <w:numFmt w:val="lowerRoman"/>
      <w:lvlText w:val="%6"/>
      <w:lvlJc w:val="left"/>
      <w:pPr>
        <w:ind w:left="396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6" w:tplc="573E4F22">
      <w:start w:val="1"/>
      <w:numFmt w:val="decimal"/>
      <w:lvlText w:val="%7"/>
      <w:lvlJc w:val="left"/>
      <w:pPr>
        <w:ind w:left="468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7" w:tplc="48C8A516">
      <w:start w:val="1"/>
      <w:numFmt w:val="lowerLetter"/>
      <w:lvlText w:val="%8"/>
      <w:lvlJc w:val="left"/>
      <w:pPr>
        <w:ind w:left="540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8" w:tplc="F0CA0804">
      <w:start w:val="1"/>
      <w:numFmt w:val="lowerRoman"/>
      <w:lvlText w:val="%9"/>
      <w:lvlJc w:val="left"/>
      <w:pPr>
        <w:ind w:left="612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abstractNum>
  <w:abstractNum w:abstractNumId="38" w15:restartNumberingAfterBreak="0">
    <w:nsid w:val="4E4A4411"/>
    <w:multiLevelType w:val="hybridMultilevel"/>
    <w:tmpl w:val="E3DAA498"/>
    <w:lvl w:ilvl="0" w:tplc="0EF41D56">
      <w:start w:val="4"/>
      <w:numFmt w:val="decimal"/>
      <w:lvlText w:val="%1."/>
      <w:lvlJc w:val="left"/>
      <w:pPr>
        <w:ind w:left="36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1" w:tplc="C3423B58">
      <w:start w:val="1"/>
      <w:numFmt w:val="lowerLetter"/>
      <w:lvlText w:val="%2"/>
      <w:lvlJc w:val="left"/>
      <w:pPr>
        <w:ind w:left="108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2" w:tplc="27740264">
      <w:start w:val="1"/>
      <w:numFmt w:val="lowerRoman"/>
      <w:lvlText w:val="%3"/>
      <w:lvlJc w:val="left"/>
      <w:pPr>
        <w:ind w:left="180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3" w:tplc="F1EC8BC8">
      <w:start w:val="1"/>
      <w:numFmt w:val="decimal"/>
      <w:lvlText w:val="%4"/>
      <w:lvlJc w:val="left"/>
      <w:pPr>
        <w:ind w:left="252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4" w:tplc="00CAA300">
      <w:start w:val="1"/>
      <w:numFmt w:val="lowerLetter"/>
      <w:lvlText w:val="%5"/>
      <w:lvlJc w:val="left"/>
      <w:pPr>
        <w:ind w:left="324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5" w:tplc="E782F48A">
      <w:start w:val="1"/>
      <w:numFmt w:val="lowerRoman"/>
      <w:lvlText w:val="%6"/>
      <w:lvlJc w:val="left"/>
      <w:pPr>
        <w:ind w:left="396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6" w:tplc="EB3276EC">
      <w:start w:val="1"/>
      <w:numFmt w:val="decimal"/>
      <w:lvlText w:val="%7"/>
      <w:lvlJc w:val="left"/>
      <w:pPr>
        <w:ind w:left="468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7" w:tplc="CD04A9A6">
      <w:start w:val="1"/>
      <w:numFmt w:val="lowerLetter"/>
      <w:lvlText w:val="%8"/>
      <w:lvlJc w:val="left"/>
      <w:pPr>
        <w:ind w:left="540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8" w:tplc="E1FE640E">
      <w:start w:val="1"/>
      <w:numFmt w:val="lowerRoman"/>
      <w:lvlText w:val="%9"/>
      <w:lvlJc w:val="left"/>
      <w:pPr>
        <w:ind w:left="612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abstractNum>
  <w:abstractNum w:abstractNumId="39" w15:restartNumberingAfterBreak="0">
    <w:nsid w:val="4E4C011F"/>
    <w:multiLevelType w:val="hybridMultilevel"/>
    <w:tmpl w:val="43D00F28"/>
    <w:lvl w:ilvl="0" w:tplc="CFA69726">
      <w:start w:val="1"/>
      <w:numFmt w:val="decimal"/>
      <w:lvlText w:val="%1."/>
      <w:lvlJc w:val="left"/>
      <w:pPr>
        <w:ind w:left="427"/>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1" w:tplc="0FE4D8DC">
      <w:start w:val="1"/>
      <w:numFmt w:val="lowerLetter"/>
      <w:lvlText w:val="%2"/>
      <w:lvlJc w:val="left"/>
      <w:pPr>
        <w:ind w:left="108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2" w:tplc="EC867402">
      <w:start w:val="1"/>
      <w:numFmt w:val="lowerRoman"/>
      <w:lvlText w:val="%3"/>
      <w:lvlJc w:val="left"/>
      <w:pPr>
        <w:ind w:left="180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3" w:tplc="EBD4ED6E">
      <w:start w:val="1"/>
      <w:numFmt w:val="decimal"/>
      <w:lvlText w:val="%4"/>
      <w:lvlJc w:val="left"/>
      <w:pPr>
        <w:ind w:left="252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4" w:tplc="55C86FAA">
      <w:start w:val="1"/>
      <w:numFmt w:val="lowerLetter"/>
      <w:lvlText w:val="%5"/>
      <w:lvlJc w:val="left"/>
      <w:pPr>
        <w:ind w:left="324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5" w:tplc="373EAAE0">
      <w:start w:val="1"/>
      <w:numFmt w:val="lowerRoman"/>
      <w:lvlText w:val="%6"/>
      <w:lvlJc w:val="left"/>
      <w:pPr>
        <w:ind w:left="396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6" w:tplc="CCB27436">
      <w:start w:val="1"/>
      <w:numFmt w:val="decimal"/>
      <w:lvlText w:val="%7"/>
      <w:lvlJc w:val="left"/>
      <w:pPr>
        <w:ind w:left="468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7" w:tplc="DBBEA4EE">
      <w:start w:val="1"/>
      <w:numFmt w:val="lowerLetter"/>
      <w:lvlText w:val="%8"/>
      <w:lvlJc w:val="left"/>
      <w:pPr>
        <w:ind w:left="540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8" w:tplc="E33C1E0E">
      <w:start w:val="1"/>
      <w:numFmt w:val="lowerRoman"/>
      <w:lvlText w:val="%9"/>
      <w:lvlJc w:val="left"/>
      <w:pPr>
        <w:ind w:left="612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abstractNum>
  <w:abstractNum w:abstractNumId="40" w15:restartNumberingAfterBreak="0">
    <w:nsid w:val="5524141C"/>
    <w:multiLevelType w:val="hybridMultilevel"/>
    <w:tmpl w:val="34945A48"/>
    <w:lvl w:ilvl="0" w:tplc="EEBC64E4">
      <w:start w:val="2"/>
      <w:numFmt w:val="decimal"/>
      <w:lvlText w:val="%1."/>
      <w:lvlJc w:val="left"/>
      <w:pPr>
        <w:ind w:left="36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1" w:tplc="F9CA3C74">
      <w:start w:val="1"/>
      <w:numFmt w:val="lowerLetter"/>
      <w:lvlText w:val="%2"/>
      <w:lvlJc w:val="left"/>
      <w:pPr>
        <w:ind w:left="108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2" w:tplc="AF828E7E">
      <w:start w:val="1"/>
      <w:numFmt w:val="lowerRoman"/>
      <w:lvlText w:val="%3"/>
      <w:lvlJc w:val="left"/>
      <w:pPr>
        <w:ind w:left="180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3" w:tplc="0A5CDDA6">
      <w:start w:val="1"/>
      <w:numFmt w:val="decimal"/>
      <w:lvlText w:val="%4"/>
      <w:lvlJc w:val="left"/>
      <w:pPr>
        <w:ind w:left="252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4" w:tplc="B9C08C90">
      <w:start w:val="1"/>
      <w:numFmt w:val="lowerLetter"/>
      <w:lvlText w:val="%5"/>
      <w:lvlJc w:val="left"/>
      <w:pPr>
        <w:ind w:left="324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5" w:tplc="FDE031D8">
      <w:start w:val="1"/>
      <w:numFmt w:val="lowerRoman"/>
      <w:lvlText w:val="%6"/>
      <w:lvlJc w:val="left"/>
      <w:pPr>
        <w:ind w:left="396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6" w:tplc="795C205E">
      <w:start w:val="1"/>
      <w:numFmt w:val="decimal"/>
      <w:lvlText w:val="%7"/>
      <w:lvlJc w:val="left"/>
      <w:pPr>
        <w:ind w:left="468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7" w:tplc="238C0B1C">
      <w:start w:val="1"/>
      <w:numFmt w:val="lowerLetter"/>
      <w:lvlText w:val="%8"/>
      <w:lvlJc w:val="left"/>
      <w:pPr>
        <w:ind w:left="540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8" w:tplc="9F10BD42">
      <w:start w:val="1"/>
      <w:numFmt w:val="lowerRoman"/>
      <w:lvlText w:val="%9"/>
      <w:lvlJc w:val="left"/>
      <w:pPr>
        <w:ind w:left="612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abstractNum>
  <w:abstractNum w:abstractNumId="41" w15:restartNumberingAfterBreak="0">
    <w:nsid w:val="55BB4089"/>
    <w:multiLevelType w:val="hybridMultilevel"/>
    <w:tmpl w:val="19623D24"/>
    <w:lvl w:ilvl="0" w:tplc="DB26E896">
      <w:start w:val="2"/>
      <w:numFmt w:val="decimal"/>
      <w:lvlText w:val="%1."/>
      <w:lvlJc w:val="left"/>
      <w:pPr>
        <w:ind w:left="427"/>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1" w:tplc="6BFE76A4">
      <w:start w:val="1"/>
      <w:numFmt w:val="lowerLetter"/>
      <w:lvlText w:val="%2"/>
      <w:lvlJc w:val="left"/>
      <w:pPr>
        <w:ind w:left="108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2" w:tplc="D65411A6">
      <w:start w:val="1"/>
      <w:numFmt w:val="lowerRoman"/>
      <w:lvlText w:val="%3"/>
      <w:lvlJc w:val="left"/>
      <w:pPr>
        <w:ind w:left="180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3" w:tplc="590EDF7C">
      <w:start w:val="1"/>
      <w:numFmt w:val="decimal"/>
      <w:lvlText w:val="%4"/>
      <w:lvlJc w:val="left"/>
      <w:pPr>
        <w:ind w:left="252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4" w:tplc="57EA354A">
      <w:start w:val="1"/>
      <w:numFmt w:val="lowerLetter"/>
      <w:lvlText w:val="%5"/>
      <w:lvlJc w:val="left"/>
      <w:pPr>
        <w:ind w:left="324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5" w:tplc="B7723A34">
      <w:start w:val="1"/>
      <w:numFmt w:val="lowerRoman"/>
      <w:lvlText w:val="%6"/>
      <w:lvlJc w:val="left"/>
      <w:pPr>
        <w:ind w:left="396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6" w:tplc="2856E216">
      <w:start w:val="1"/>
      <w:numFmt w:val="decimal"/>
      <w:lvlText w:val="%7"/>
      <w:lvlJc w:val="left"/>
      <w:pPr>
        <w:ind w:left="468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7" w:tplc="17C663F4">
      <w:start w:val="1"/>
      <w:numFmt w:val="lowerLetter"/>
      <w:lvlText w:val="%8"/>
      <w:lvlJc w:val="left"/>
      <w:pPr>
        <w:ind w:left="540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8" w:tplc="148208B0">
      <w:start w:val="1"/>
      <w:numFmt w:val="lowerRoman"/>
      <w:lvlText w:val="%9"/>
      <w:lvlJc w:val="left"/>
      <w:pPr>
        <w:ind w:left="612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abstractNum>
  <w:abstractNum w:abstractNumId="42" w15:restartNumberingAfterBreak="0">
    <w:nsid w:val="55CD5298"/>
    <w:multiLevelType w:val="hybridMultilevel"/>
    <w:tmpl w:val="CA3CE9C2"/>
    <w:lvl w:ilvl="0" w:tplc="6F56D4AE">
      <w:start w:val="1"/>
      <w:numFmt w:val="decimal"/>
      <w:lvlText w:val="[%1]"/>
      <w:lvlJc w:val="left"/>
      <w:pPr>
        <w:ind w:left="379"/>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B3BA9A98">
      <w:start w:val="1"/>
      <w:numFmt w:val="lowerLetter"/>
      <w:lvlText w:val="%2"/>
      <w:lvlJc w:val="left"/>
      <w:pPr>
        <w:ind w:left="118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558C3612">
      <w:start w:val="1"/>
      <w:numFmt w:val="lowerRoman"/>
      <w:lvlText w:val="%3"/>
      <w:lvlJc w:val="left"/>
      <w:pPr>
        <w:ind w:left="190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AF0C144E">
      <w:start w:val="1"/>
      <w:numFmt w:val="decimal"/>
      <w:lvlText w:val="%4"/>
      <w:lvlJc w:val="left"/>
      <w:pPr>
        <w:ind w:left="262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79F646E8">
      <w:start w:val="1"/>
      <w:numFmt w:val="lowerLetter"/>
      <w:lvlText w:val="%5"/>
      <w:lvlJc w:val="left"/>
      <w:pPr>
        <w:ind w:left="334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C2AA975A">
      <w:start w:val="1"/>
      <w:numFmt w:val="lowerRoman"/>
      <w:lvlText w:val="%6"/>
      <w:lvlJc w:val="left"/>
      <w:pPr>
        <w:ind w:left="406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E7C4F47C">
      <w:start w:val="1"/>
      <w:numFmt w:val="decimal"/>
      <w:lvlText w:val="%7"/>
      <w:lvlJc w:val="left"/>
      <w:pPr>
        <w:ind w:left="478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FA2AD680">
      <w:start w:val="1"/>
      <w:numFmt w:val="lowerLetter"/>
      <w:lvlText w:val="%8"/>
      <w:lvlJc w:val="left"/>
      <w:pPr>
        <w:ind w:left="550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8682C3B0">
      <w:start w:val="1"/>
      <w:numFmt w:val="lowerRoman"/>
      <w:lvlText w:val="%9"/>
      <w:lvlJc w:val="left"/>
      <w:pPr>
        <w:ind w:left="622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43" w15:restartNumberingAfterBreak="0">
    <w:nsid w:val="563B6B17"/>
    <w:multiLevelType w:val="hybridMultilevel"/>
    <w:tmpl w:val="59E2975A"/>
    <w:lvl w:ilvl="0" w:tplc="DCF05CA8">
      <w:start w:val="7"/>
      <w:numFmt w:val="decimal"/>
      <w:lvlText w:val="%1."/>
      <w:lvlJc w:val="left"/>
      <w:pPr>
        <w:ind w:left="36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1" w:tplc="13646B84">
      <w:start w:val="1"/>
      <w:numFmt w:val="lowerLetter"/>
      <w:lvlText w:val="%2"/>
      <w:lvlJc w:val="left"/>
      <w:pPr>
        <w:ind w:left="108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2" w:tplc="030C212A">
      <w:start w:val="1"/>
      <w:numFmt w:val="lowerRoman"/>
      <w:lvlText w:val="%3"/>
      <w:lvlJc w:val="left"/>
      <w:pPr>
        <w:ind w:left="180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3" w:tplc="9EE8BA76">
      <w:start w:val="1"/>
      <w:numFmt w:val="decimal"/>
      <w:lvlText w:val="%4"/>
      <w:lvlJc w:val="left"/>
      <w:pPr>
        <w:ind w:left="252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4" w:tplc="E1343F34">
      <w:start w:val="1"/>
      <w:numFmt w:val="lowerLetter"/>
      <w:lvlText w:val="%5"/>
      <w:lvlJc w:val="left"/>
      <w:pPr>
        <w:ind w:left="324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5" w:tplc="43A46B78">
      <w:start w:val="1"/>
      <w:numFmt w:val="lowerRoman"/>
      <w:lvlText w:val="%6"/>
      <w:lvlJc w:val="left"/>
      <w:pPr>
        <w:ind w:left="396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6" w:tplc="4F946CCA">
      <w:start w:val="1"/>
      <w:numFmt w:val="decimal"/>
      <w:lvlText w:val="%7"/>
      <w:lvlJc w:val="left"/>
      <w:pPr>
        <w:ind w:left="468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7" w:tplc="0F384856">
      <w:start w:val="1"/>
      <w:numFmt w:val="lowerLetter"/>
      <w:lvlText w:val="%8"/>
      <w:lvlJc w:val="left"/>
      <w:pPr>
        <w:ind w:left="540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8" w:tplc="968AD6BA">
      <w:start w:val="1"/>
      <w:numFmt w:val="lowerRoman"/>
      <w:lvlText w:val="%9"/>
      <w:lvlJc w:val="left"/>
      <w:pPr>
        <w:ind w:left="612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abstractNum>
  <w:abstractNum w:abstractNumId="44" w15:restartNumberingAfterBreak="0">
    <w:nsid w:val="56E00F0E"/>
    <w:multiLevelType w:val="hybridMultilevel"/>
    <w:tmpl w:val="8C865AE6"/>
    <w:lvl w:ilvl="0" w:tplc="A9489C3E">
      <w:start w:val="7"/>
      <w:numFmt w:val="decimal"/>
      <w:lvlText w:val="%1."/>
      <w:lvlJc w:val="left"/>
      <w:pPr>
        <w:ind w:left="427"/>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1" w:tplc="A7108E24">
      <w:start w:val="1"/>
      <w:numFmt w:val="lowerLetter"/>
      <w:lvlText w:val="%2"/>
      <w:lvlJc w:val="left"/>
      <w:pPr>
        <w:ind w:left="108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2" w:tplc="7AF81FCA">
      <w:start w:val="1"/>
      <w:numFmt w:val="lowerRoman"/>
      <w:lvlText w:val="%3"/>
      <w:lvlJc w:val="left"/>
      <w:pPr>
        <w:ind w:left="180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3" w:tplc="EE2CAFB2">
      <w:start w:val="1"/>
      <w:numFmt w:val="decimal"/>
      <w:lvlText w:val="%4"/>
      <w:lvlJc w:val="left"/>
      <w:pPr>
        <w:ind w:left="252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4" w:tplc="BFEC407E">
      <w:start w:val="1"/>
      <w:numFmt w:val="lowerLetter"/>
      <w:lvlText w:val="%5"/>
      <w:lvlJc w:val="left"/>
      <w:pPr>
        <w:ind w:left="324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5" w:tplc="95E28E1E">
      <w:start w:val="1"/>
      <w:numFmt w:val="lowerRoman"/>
      <w:lvlText w:val="%6"/>
      <w:lvlJc w:val="left"/>
      <w:pPr>
        <w:ind w:left="396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6" w:tplc="A2484B28">
      <w:start w:val="1"/>
      <w:numFmt w:val="decimal"/>
      <w:lvlText w:val="%7"/>
      <w:lvlJc w:val="left"/>
      <w:pPr>
        <w:ind w:left="468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7" w:tplc="AD6EDDDC">
      <w:start w:val="1"/>
      <w:numFmt w:val="lowerLetter"/>
      <w:lvlText w:val="%8"/>
      <w:lvlJc w:val="left"/>
      <w:pPr>
        <w:ind w:left="540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8" w:tplc="CA66554A">
      <w:start w:val="1"/>
      <w:numFmt w:val="lowerRoman"/>
      <w:lvlText w:val="%9"/>
      <w:lvlJc w:val="left"/>
      <w:pPr>
        <w:ind w:left="612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abstractNum>
  <w:abstractNum w:abstractNumId="45" w15:restartNumberingAfterBreak="0">
    <w:nsid w:val="5AFB0DE9"/>
    <w:multiLevelType w:val="hybridMultilevel"/>
    <w:tmpl w:val="9020B58A"/>
    <w:lvl w:ilvl="0" w:tplc="FFCE354E">
      <w:start w:val="7"/>
      <w:numFmt w:val="decimal"/>
      <w:lvlText w:val="%1."/>
      <w:lvlJc w:val="left"/>
      <w:pPr>
        <w:ind w:left="36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1" w:tplc="6706E806">
      <w:start w:val="1"/>
      <w:numFmt w:val="lowerLetter"/>
      <w:lvlText w:val="%2"/>
      <w:lvlJc w:val="left"/>
      <w:pPr>
        <w:ind w:left="108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2" w:tplc="DC009898">
      <w:start w:val="1"/>
      <w:numFmt w:val="lowerRoman"/>
      <w:lvlText w:val="%3"/>
      <w:lvlJc w:val="left"/>
      <w:pPr>
        <w:ind w:left="180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3" w:tplc="ABDEE868">
      <w:start w:val="1"/>
      <w:numFmt w:val="decimal"/>
      <w:lvlText w:val="%4"/>
      <w:lvlJc w:val="left"/>
      <w:pPr>
        <w:ind w:left="252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4" w:tplc="7AB63614">
      <w:start w:val="1"/>
      <w:numFmt w:val="lowerLetter"/>
      <w:lvlText w:val="%5"/>
      <w:lvlJc w:val="left"/>
      <w:pPr>
        <w:ind w:left="324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5" w:tplc="E4BA76DE">
      <w:start w:val="1"/>
      <w:numFmt w:val="lowerRoman"/>
      <w:lvlText w:val="%6"/>
      <w:lvlJc w:val="left"/>
      <w:pPr>
        <w:ind w:left="396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6" w:tplc="9DCAC944">
      <w:start w:val="1"/>
      <w:numFmt w:val="decimal"/>
      <w:lvlText w:val="%7"/>
      <w:lvlJc w:val="left"/>
      <w:pPr>
        <w:ind w:left="468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7" w:tplc="EDD2592A">
      <w:start w:val="1"/>
      <w:numFmt w:val="lowerLetter"/>
      <w:lvlText w:val="%8"/>
      <w:lvlJc w:val="left"/>
      <w:pPr>
        <w:ind w:left="540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8" w:tplc="3B964EC0">
      <w:start w:val="1"/>
      <w:numFmt w:val="lowerRoman"/>
      <w:lvlText w:val="%9"/>
      <w:lvlJc w:val="left"/>
      <w:pPr>
        <w:ind w:left="612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abstractNum>
  <w:abstractNum w:abstractNumId="46" w15:restartNumberingAfterBreak="0">
    <w:nsid w:val="5C347ED5"/>
    <w:multiLevelType w:val="hybridMultilevel"/>
    <w:tmpl w:val="054A3D7A"/>
    <w:lvl w:ilvl="0" w:tplc="BFA2593E">
      <w:start w:val="1"/>
      <w:numFmt w:val="decimal"/>
      <w:lvlText w:val="[%1]"/>
      <w:lvlJc w:val="left"/>
      <w:pPr>
        <w:ind w:left="38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0E60DF9A">
      <w:start w:val="1"/>
      <w:numFmt w:val="lowerLetter"/>
      <w:lvlText w:val="%2"/>
      <w:lvlJc w:val="left"/>
      <w:pPr>
        <w:ind w:left="10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B79AFE44">
      <w:start w:val="1"/>
      <w:numFmt w:val="lowerRoman"/>
      <w:lvlText w:val="%3"/>
      <w:lvlJc w:val="left"/>
      <w:pPr>
        <w:ind w:left="180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3134DCEE">
      <w:start w:val="1"/>
      <w:numFmt w:val="decimal"/>
      <w:lvlText w:val="%4"/>
      <w:lvlJc w:val="left"/>
      <w:pPr>
        <w:ind w:left="252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2952ABB4">
      <w:start w:val="1"/>
      <w:numFmt w:val="lowerLetter"/>
      <w:lvlText w:val="%5"/>
      <w:lvlJc w:val="left"/>
      <w:pPr>
        <w:ind w:left="324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BA20CECC">
      <w:start w:val="1"/>
      <w:numFmt w:val="lowerRoman"/>
      <w:lvlText w:val="%6"/>
      <w:lvlJc w:val="left"/>
      <w:pPr>
        <w:ind w:left="39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E110D44C">
      <w:start w:val="1"/>
      <w:numFmt w:val="decimal"/>
      <w:lvlText w:val="%7"/>
      <w:lvlJc w:val="left"/>
      <w:pPr>
        <w:ind w:left="46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E07A289E">
      <w:start w:val="1"/>
      <w:numFmt w:val="lowerLetter"/>
      <w:lvlText w:val="%8"/>
      <w:lvlJc w:val="left"/>
      <w:pPr>
        <w:ind w:left="540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98965792">
      <w:start w:val="1"/>
      <w:numFmt w:val="lowerRoman"/>
      <w:lvlText w:val="%9"/>
      <w:lvlJc w:val="left"/>
      <w:pPr>
        <w:ind w:left="612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47" w15:restartNumberingAfterBreak="0">
    <w:nsid w:val="5F313374"/>
    <w:multiLevelType w:val="hybridMultilevel"/>
    <w:tmpl w:val="299E056A"/>
    <w:lvl w:ilvl="0" w:tplc="2B78DDCC">
      <w:start w:val="7"/>
      <w:numFmt w:val="decimal"/>
      <w:lvlText w:val="%1."/>
      <w:lvlJc w:val="left"/>
      <w:pPr>
        <w:ind w:left="427"/>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1" w:tplc="585E8FA6">
      <w:start w:val="1"/>
      <w:numFmt w:val="lowerLetter"/>
      <w:lvlText w:val="%2"/>
      <w:lvlJc w:val="left"/>
      <w:pPr>
        <w:ind w:left="108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2" w:tplc="3D56849C">
      <w:start w:val="1"/>
      <w:numFmt w:val="lowerRoman"/>
      <w:lvlText w:val="%3"/>
      <w:lvlJc w:val="left"/>
      <w:pPr>
        <w:ind w:left="180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3" w:tplc="DBCCD5A0">
      <w:start w:val="1"/>
      <w:numFmt w:val="decimal"/>
      <w:lvlText w:val="%4"/>
      <w:lvlJc w:val="left"/>
      <w:pPr>
        <w:ind w:left="252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4" w:tplc="D22C7D7E">
      <w:start w:val="1"/>
      <w:numFmt w:val="lowerLetter"/>
      <w:lvlText w:val="%5"/>
      <w:lvlJc w:val="left"/>
      <w:pPr>
        <w:ind w:left="324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5" w:tplc="D7C6826A">
      <w:start w:val="1"/>
      <w:numFmt w:val="lowerRoman"/>
      <w:lvlText w:val="%6"/>
      <w:lvlJc w:val="left"/>
      <w:pPr>
        <w:ind w:left="396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6" w:tplc="C504C9C2">
      <w:start w:val="1"/>
      <w:numFmt w:val="decimal"/>
      <w:lvlText w:val="%7"/>
      <w:lvlJc w:val="left"/>
      <w:pPr>
        <w:ind w:left="468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7" w:tplc="C23E4FD0">
      <w:start w:val="1"/>
      <w:numFmt w:val="lowerLetter"/>
      <w:lvlText w:val="%8"/>
      <w:lvlJc w:val="left"/>
      <w:pPr>
        <w:ind w:left="540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8" w:tplc="5A5AAB28">
      <w:start w:val="1"/>
      <w:numFmt w:val="lowerRoman"/>
      <w:lvlText w:val="%9"/>
      <w:lvlJc w:val="left"/>
      <w:pPr>
        <w:ind w:left="612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abstractNum>
  <w:abstractNum w:abstractNumId="48" w15:restartNumberingAfterBreak="0">
    <w:nsid w:val="5F96357F"/>
    <w:multiLevelType w:val="hybridMultilevel"/>
    <w:tmpl w:val="13EA517E"/>
    <w:lvl w:ilvl="0" w:tplc="CB4E0E96">
      <w:start w:val="1"/>
      <w:numFmt w:val="decimal"/>
      <w:lvlText w:val="%1."/>
      <w:lvlJc w:val="left"/>
      <w:pPr>
        <w:ind w:left="36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1" w:tplc="0B9CE394">
      <w:start w:val="1"/>
      <w:numFmt w:val="lowerLetter"/>
      <w:lvlText w:val="%2"/>
      <w:lvlJc w:val="left"/>
      <w:pPr>
        <w:ind w:left="108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2" w:tplc="5AFA7F08">
      <w:start w:val="1"/>
      <w:numFmt w:val="lowerRoman"/>
      <w:lvlText w:val="%3"/>
      <w:lvlJc w:val="left"/>
      <w:pPr>
        <w:ind w:left="180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3" w:tplc="DA38407C">
      <w:start w:val="1"/>
      <w:numFmt w:val="decimal"/>
      <w:lvlText w:val="%4"/>
      <w:lvlJc w:val="left"/>
      <w:pPr>
        <w:ind w:left="252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4" w:tplc="66506F7E">
      <w:start w:val="1"/>
      <w:numFmt w:val="lowerLetter"/>
      <w:lvlText w:val="%5"/>
      <w:lvlJc w:val="left"/>
      <w:pPr>
        <w:ind w:left="324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5" w:tplc="9F2490CC">
      <w:start w:val="1"/>
      <w:numFmt w:val="lowerRoman"/>
      <w:lvlText w:val="%6"/>
      <w:lvlJc w:val="left"/>
      <w:pPr>
        <w:ind w:left="396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6" w:tplc="69F2F930">
      <w:start w:val="1"/>
      <w:numFmt w:val="decimal"/>
      <w:lvlText w:val="%7"/>
      <w:lvlJc w:val="left"/>
      <w:pPr>
        <w:ind w:left="468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7" w:tplc="4D6A38CA">
      <w:start w:val="1"/>
      <w:numFmt w:val="lowerLetter"/>
      <w:lvlText w:val="%8"/>
      <w:lvlJc w:val="left"/>
      <w:pPr>
        <w:ind w:left="540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8" w:tplc="FDC87B16">
      <w:start w:val="1"/>
      <w:numFmt w:val="lowerRoman"/>
      <w:lvlText w:val="%9"/>
      <w:lvlJc w:val="left"/>
      <w:pPr>
        <w:ind w:left="612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abstractNum>
  <w:abstractNum w:abstractNumId="49" w15:restartNumberingAfterBreak="0">
    <w:nsid w:val="63AA2BA5"/>
    <w:multiLevelType w:val="hybridMultilevel"/>
    <w:tmpl w:val="342CE4E0"/>
    <w:lvl w:ilvl="0" w:tplc="00480226">
      <w:start w:val="1"/>
      <w:numFmt w:val="decimal"/>
      <w:lvlText w:val="%1."/>
      <w:lvlJc w:val="left"/>
      <w:pPr>
        <w:ind w:left="427"/>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1" w:tplc="CC5432DA">
      <w:start w:val="1"/>
      <w:numFmt w:val="lowerLetter"/>
      <w:lvlText w:val="%2"/>
      <w:lvlJc w:val="left"/>
      <w:pPr>
        <w:ind w:left="108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2" w:tplc="2F50781A">
      <w:start w:val="1"/>
      <w:numFmt w:val="lowerRoman"/>
      <w:lvlText w:val="%3"/>
      <w:lvlJc w:val="left"/>
      <w:pPr>
        <w:ind w:left="180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3" w:tplc="02420FEC">
      <w:start w:val="1"/>
      <w:numFmt w:val="decimal"/>
      <w:lvlText w:val="%4"/>
      <w:lvlJc w:val="left"/>
      <w:pPr>
        <w:ind w:left="252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4" w:tplc="52B0AF3C">
      <w:start w:val="1"/>
      <w:numFmt w:val="lowerLetter"/>
      <w:lvlText w:val="%5"/>
      <w:lvlJc w:val="left"/>
      <w:pPr>
        <w:ind w:left="324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5" w:tplc="186C5144">
      <w:start w:val="1"/>
      <w:numFmt w:val="lowerRoman"/>
      <w:lvlText w:val="%6"/>
      <w:lvlJc w:val="left"/>
      <w:pPr>
        <w:ind w:left="396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6" w:tplc="F040694A">
      <w:start w:val="1"/>
      <w:numFmt w:val="decimal"/>
      <w:lvlText w:val="%7"/>
      <w:lvlJc w:val="left"/>
      <w:pPr>
        <w:ind w:left="468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7" w:tplc="C546A568">
      <w:start w:val="1"/>
      <w:numFmt w:val="lowerLetter"/>
      <w:lvlText w:val="%8"/>
      <w:lvlJc w:val="left"/>
      <w:pPr>
        <w:ind w:left="540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8" w:tplc="376E0474">
      <w:start w:val="1"/>
      <w:numFmt w:val="lowerRoman"/>
      <w:lvlText w:val="%9"/>
      <w:lvlJc w:val="left"/>
      <w:pPr>
        <w:ind w:left="612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abstractNum>
  <w:abstractNum w:abstractNumId="50" w15:restartNumberingAfterBreak="0">
    <w:nsid w:val="65746F94"/>
    <w:multiLevelType w:val="hybridMultilevel"/>
    <w:tmpl w:val="7F34890A"/>
    <w:lvl w:ilvl="0" w:tplc="BD981FF0">
      <w:start w:val="1"/>
      <w:numFmt w:val="decimal"/>
      <w:lvlText w:val="[%1]"/>
      <w:lvlJc w:val="left"/>
      <w:pPr>
        <w:ind w:left="38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B7F02952">
      <w:start w:val="1"/>
      <w:numFmt w:val="lowerLetter"/>
      <w:lvlText w:val="%2"/>
      <w:lvlJc w:val="left"/>
      <w:pPr>
        <w:ind w:left="10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89E0EBC4">
      <w:start w:val="1"/>
      <w:numFmt w:val="lowerRoman"/>
      <w:lvlText w:val="%3"/>
      <w:lvlJc w:val="left"/>
      <w:pPr>
        <w:ind w:left="180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52D8C016">
      <w:start w:val="1"/>
      <w:numFmt w:val="decimal"/>
      <w:lvlText w:val="%4"/>
      <w:lvlJc w:val="left"/>
      <w:pPr>
        <w:ind w:left="252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B7109244">
      <w:start w:val="1"/>
      <w:numFmt w:val="lowerLetter"/>
      <w:lvlText w:val="%5"/>
      <w:lvlJc w:val="left"/>
      <w:pPr>
        <w:ind w:left="324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D936AAD0">
      <w:start w:val="1"/>
      <w:numFmt w:val="lowerRoman"/>
      <w:lvlText w:val="%6"/>
      <w:lvlJc w:val="left"/>
      <w:pPr>
        <w:ind w:left="39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81A28CA6">
      <w:start w:val="1"/>
      <w:numFmt w:val="decimal"/>
      <w:lvlText w:val="%7"/>
      <w:lvlJc w:val="left"/>
      <w:pPr>
        <w:ind w:left="46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282A332A">
      <w:start w:val="1"/>
      <w:numFmt w:val="lowerLetter"/>
      <w:lvlText w:val="%8"/>
      <w:lvlJc w:val="left"/>
      <w:pPr>
        <w:ind w:left="540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231A25CE">
      <w:start w:val="1"/>
      <w:numFmt w:val="lowerRoman"/>
      <w:lvlText w:val="%9"/>
      <w:lvlJc w:val="left"/>
      <w:pPr>
        <w:ind w:left="612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51" w15:restartNumberingAfterBreak="0">
    <w:nsid w:val="66337348"/>
    <w:multiLevelType w:val="hybridMultilevel"/>
    <w:tmpl w:val="C6B8F634"/>
    <w:lvl w:ilvl="0" w:tplc="D11A61AC">
      <w:start w:val="2"/>
      <w:numFmt w:val="decimal"/>
      <w:lvlText w:val="%1."/>
      <w:lvlJc w:val="left"/>
      <w:pPr>
        <w:ind w:left="36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1" w:tplc="7A7A1D06">
      <w:start w:val="1"/>
      <w:numFmt w:val="lowerLetter"/>
      <w:lvlText w:val="%2"/>
      <w:lvlJc w:val="left"/>
      <w:pPr>
        <w:ind w:left="108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2" w:tplc="C3C61C36">
      <w:start w:val="1"/>
      <w:numFmt w:val="lowerRoman"/>
      <w:lvlText w:val="%3"/>
      <w:lvlJc w:val="left"/>
      <w:pPr>
        <w:ind w:left="180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3" w:tplc="88D4C3F4">
      <w:start w:val="1"/>
      <w:numFmt w:val="decimal"/>
      <w:lvlText w:val="%4"/>
      <w:lvlJc w:val="left"/>
      <w:pPr>
        <w:ind w:left="252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4" w:tplc="0FA0D068">
      <w:start w:val="1"/>
      <w:numFmt w:val="lowerLetter"/>
      <w:lvlText w:val="%5"/>
      <w:lvlJc w:val="left"/>
      <w:pPr>
        <w:ind w:left="324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5" w:tplc="D9843B0E">
      <w:start w:val="1"/>
      <w:numFmt w:val="lowerRoman"/>
      <w:lvlText w:val="%6"/>
      <w:lvlJc w:val="left"/>
      <w:pPr>
        <w:ind w:left="396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6" w:tplc="17C2E880">
      <w:start w:val="1"/>
      <w:numFmt w:val="decimal"/>
      <w:lvlText w:val="%7"/>
      <w:lvlJc w:val="left"/>
      <w:pPr>
        <w:ind w:left="468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7" w:tplc="34DAFA64">
      <w:start w:val="1"/>
      <w:numFmt w:val="lowerLetter"/>
      <w:lvlText w:val="%8"/>
      <w:lvlJc w:val="left"/>
      <w:pPr>
        <w:ind w:left="540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8" w:tplc="55C82FE0">
      <w:start w:val="1"/>
      <w:numFmt w:val="lowerRoman"/>
      <w:lvlText w:val="%9"/>
      <w:lvlJc w:val="left"/>
      <w:pPr>
        <w:ind w:left="612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abstractNum>
  <w:abstractNum w:abstractNumId="52" w15:restartNumberingAfterBreak="0">
    <w:nsid w:val="69505FFA"/>
    <w:multiLevelType w:val="hybridMultilevel"/>
    <w:tmpl w:val="AA22642E"/>
    <w:lvl w:ilvl="0" w:tplc="A6385B7C">
      <w:start w:val="1"/>
      <w:numFmt w:val="bullet"/>
      <w:lvlText w:val="-"/>
      <w:lvlJc w:val="left"/>
      <w:pPr>
        <w:ind w:left="362"/>
      </w:pPr>
      <w:rPr>
        <w:rFonts w:ascii="Verdana" w:eastAsia="Verdana" w:hAnsi="Verdana" w:cs="Verdana"/>
        <w:b w:val="0"/>
        <w:i w:val="0"/>
        <w:strike w:val="0"/>
        <w:dstrike w:val="0"/>
        <w:color w:val="000000"/>
        <w:sz w:val="22"/>
        <w:szCs w:val="22"/>
        <w:u w:val="none" w:color="000000"/>
        <w:bdr w:val="none" w:sz="0" w:space="0" w:color="auto"/>
        <w:shd w:val="clear" w:color="auto" w:fill="auto"/>
        <w:vertAlign w:val="baseline"/>
      </w:rPr>
    </w:lvl>
    <w:lvl w:ilvl="1" w:tplc="281AECAA">
      <w:start w:val="1"/>
      <w:numFmt w:val="bullet"/>
      <w:lvlText w:val="o"/>
      <w:lvlJc w:val="left"/>
      <w:pPr>
        <w:ind w:left="1190"/>
      </w:pPr>
      <w:rPr>
        <w:rFonts w:ascii="Verdana" w:eastAsia="Verdana" w:hAnsi="Verdana" w:cs="Verdana"/>
        <w:b w:val="0"/>
        <w:i w:val="0"/>
        <w:strike w:val="0"/>
        <w:dstrike w:val="0"/>
        <w:color w:val="000000"/>
        <w:sz w:val="22"/>
        <w:szCs w:val="22"/>
        <w:u w:val="none" w:color="000000"/>
        <w:bdr w:val="none" w:sz="0" w:space="0" w:color="auto"/>
        <w:shd w:val="clear" w:color="auto" w:fill="auto"/>
        <w:vertAlign w:val="baseline"/>
      </w:rPr>
    </w:lvl>
    <w:lvl w:ilvl="2" w:tplc="DDE8BCC0">
      <w:start w:val="1"/>
      <w:numFmt w:val="bullet"/>
      <w:lvlText w:val="▪"/>
      <w:lvlJc w:val="left"/>
      <w:pPr>
        <w:ind w:left="1910"/>
      </w:pPr>
      <w:rPr>
        <w:rFonts w:ascii="Verdana" w:eastAsia="Verdana" w:hAnsi="Verdana" w:cs="Verdana"/>
        <w:b w:val="0"/>
        <w:i w:val="0"/>
        <w:strike w:val="0"/>
        <w:dstrike w:val="0"/>
        <w:color w:val="000000"/>
        <w:sz w:val="22"/>
        <w:szCs w:val="22"/>
        <w:u w:val="none" w:color="000000"/>
        <w:bdr w:val="none" w:sz="0" w:space="0" w:color="auto"/>
        <w:shd w:val="clear" w:color="auto" w:fill="auto"/>
        <w:vertAlign w:val="baseline"/>
      </w:rPr>
    </w:lvl>
    <w:lvl w:ilvl="3" w:tplc="98A6AB18">
      <w:start w:val="1"/>
      <w:numFmt w:val="bullet"/>
      <w:lvlText w:val="•"/>
      <w:lvlJc w:val="left"/>
      <w:pPr>
        <w:ind w:left="2630"/>
      </w:pPr>
      <w:rPr>
        <w:rFonts w:ascii="Verdana" w:eastAsia="Verdana" w:hAnsi="Verdana" w:cs="Verdana"/>
        <w:b w:val="0"/>
        <w:i w:val="0"/>
        <w:strike w:val="0"/>
        <w:dstrike w:val="0"/>
        <w:color w:val="000000"/>
        <w:sz w:val="22"/>
        <w:szCs w:val="22"/>
        <w:u w:val="none" w:color="000000"/>
        <w:bdr w:val="none" w:sz="0" w:space="0" w:color="auto"/>
        <w:shd w:val="clear" w:color="auto" w:fill="auto"/>
        <w:vertAlign w:val="baseline"/>
      </w:rPr>
    </w:lvl>
    <w:lvl w:ilvl="4" w:tplc="63842586">
      <w:start w:val="1"/>
      <w:numFmt w:val="bullet"/>
      <w:lvlText w:val="o"/>
      <w:lvlJc w:val="left"/>
      <w:pPr>
        <w:ind w:left="3350"/>
      </w:pPr>
      <w:rPr>
        <w:rFonts w:ascii="Verdana" w:eastAsia="Verdana" w:hAnsi="Verdana" w:cs="Verdana"/>
        <w:b w:val="0"/>
        <w:i w:val="0"/>
        <w:strike w:val="0"/>
        <w:dstrike w:val="0"/>
        <w:color w:val="000000"/>
        <w:sz w:val="22"/>
        <w:szCs w:val="22"/>
        <w:u w:val="none" w:color="000000"/>
        <w:bdr w:val="none" w:sz="0" w:space="0" w:color="auto"/>
        <w:shd w:val="clear" w:color="auto" w:fill="auto"/>
        <w:vertAlign w:val="baseline"/>
      </w:rPr>
    </w:lvl>
    <w:lvl w:ilvl="5" w:tplc="DAB28556">
      <w:start w:val="1"/>
      <w:numFmt w:val="bullet"/>
      <w:lvlText w:val="▪"/>
      <w:lvlJc w:val="left"/>
      <w:pPr>
        <w:ind w:left="4070"/>
      </w:pPr>
      <w:rPr>
        <w:rFonts w:ascii="Verdana" w:eastAsia="Verdana" w:hAnsi="Verdana" w:cs="Verdana"/>
        <w:b w:val="0"/>
        <w:i w:val="0"/>
        <w:strike w:val="0"/>
        <w:dstrike w:val="0"/>
        <w:color w:val="000000"/>
        <w:sz w:val="22"/>
        <w:szCs w:val="22"/>
        <w:u w:val="none" w:color="000000"/>
        <w:bdr w:val="none" w:sz="0" w:space="0" w:color="auto"/>
        <w:shd w:val="clear" w:color="auto" w:fill="auto"/>
        <w:vertAlign w:val="baseline"/>
      </w:rPr>
    </w:lvl>
    <w:lvl w:ilvl="6" w:tplc="BC326276">
      <w:start w:val="1"/>
      <w:numFmt w:val="bullet"/>
      <w:lvlText w:val="•"/>
      <w:lvlJc w:val="left"/>
      <w:pPr>
        <w:ind w:left="4790"/>
      </w:pPr>
      <w:rPr>
        <w:rFonts w:ascii="Verdana" w:eastAsia="Verdana" w:hAnsi="Verdana" w:cs="Verdana"/>
        <w:b w:val="0"/>
        <w:i w:val="0"/>
        <w:strike w:val="0"/>
        <w:dstrike w:val="0"/>
        <w:color w:val="000000"/>
        <w:sz w:val="22"/>
        <w:szCs w:val="22"/>
        <w:u w:val="none" w:color="000000"/>
        <w:bdr w:val="none" w:sz="0" w:space="0" w:color="auto"/>
        <w:shd w:val="clear" w:color="auto" w:fill="auto"/>
        <w:vertAlign w:val="baseline"/>
      </w:rPr>
    </w:lvl>
    <w:lvl w:ilvl="7" w:tplc="B0E616D4">
      <w:start w:val="1"/>
      <w:numFmt w:val="bullet"/>
      <w:lvlText w:val="o"/>
      <w:lvlJc w:val="left"/>
      <w:pPr>
        <w:ind w:left="5510"/>
      </w:pPr>
      <w:rPr>
        <w:rFonts w:ascii="Verdana" w:eastAsia="Verdana" w:hAnsi="Verdana" w:cs="Verdana"/>
        <w:b w:val="0"/>
        <w:i w:val="0"/>
        <w:strike w:val="0"/>
        <w:dstrike w:val="0"/>
        <w:color w:val="000000"/>
        <w:sz w:val="22"/>
        <w:szCs w:val="22"/>
        <w:u w:val="none" w:color="000000"/>
        <w:bdr w:val="none" w:sz="0" w:space="0" w:color="auto"/>
        <w:shd w:val="clear" w:color="auto" w:fill="auto"/>
        <w:vertAlign w:val="baseline"/>
      </w:rPr>
    </w:lvl>
    <w:lvl w:ilvl="8" w:tplc="10340CEA">
      <w:start w:val="1"/>
      <w:numFmt w:val="bullet"/>
      <w:lvlText w:val="▪"/>
      <w:lvlJc w:val="left"/>
      <w:pPr>
        <w:ind w:left="6230"/>
      </w:pPr>
      <w:rPr>
        <w:rFonts w:ascii="Verdana" w:eastAsia="Verdana" w:hAnsi="Verdana" w:cs="Verdana"/>
        <w:b w:val="0"/>
        <w:i w:val="0"/>
        <w:strike w:val="0"/>
        <w:dstrike w:val="0"/>
        <w:color w:val="000000"/>
        <w:sz w:val="22"/>
        <w:szCs w:val="22"/>
        <w:u w:val="none" w:color="000000"/>
        <w:bdr w:val="none" w:sz="0" w:space="0" w:color="auto"/>
        <w:shd w:val="clear" w:color="auto" w:fill="auto"/>
        <w:vertAlign w:val="baseline"/>
      </w:rPr>
    </w:lvl>
  </w:abstractNum>
  <w:abstractNum w:abstractNumId="53" w15:restartNumberingAfterBreak="0">
    <w:nsid w:val="696E7CB2"/>
    <w:multiLevelType w:val="hybridMultilevel"/>
    <w:tmpl w:val="3B8A8EA8"/>
    <w:lvl w:ilvl="0" w:tplc="3148EE30">
      <w:start w:val="1"/>
      <w:numFmt w:val="decimal"/>
      <w:lvlText w:val="[%1]"/>
      <w:lvlJc w:val="left"/>
      <w:pPr>
        <w:ind w:left="376"/>
      </w:pPr>
      <w:rPr>
        <w:rFonts w:ascii="Times New Roman" w:eastAsia="Times New Roman" w:hAnsi="Times New Roman" w:cs="Times New Roman"/>
        <w:b w:val="0"/>
        <w:i w:val="0"/>
        <w:strike w:val="0"/>
        <w:dstrike w:val="0"/>
        <w:color w:val="000000"/>
        <w:sz w:val="16"/>
        <w:szCs w:val="16"/>
        <w:u w:val="none" w:color="000000"/>
        <w:bdr w:val="none" w:sz="0" w:space="0" w:color="auto"/>
        <w:shd w:val="clear" w:color="auto" w:fill="auto"/>
        <w:vertAlign w:val="baseline"/>
      </w:rPr>
    </w:lvl>
    <w:lvl w:ilvl="1" w:tplc="6538AA98">
      <w:start w:val="1"/>
      <w:numFmt w:val="lowerLetter"/>
      <w:lvlText w:val="%2"/>
      <w:lvlJc w:val="left"/>
      <w:pPr>
        <w:ind w:left="1188"/>
      </w:pPr>
      <w:rPr>
        <w:rFonts w:ascii="Times New Roman" w:eastAsia="Times New Roman" w:hAnsi="Times New Roman" w:cs="Times New Roman"/>
        <w:b w:val="0"/>
        <w:i w:val="0"/>
        <w:strike w:val="0"/>
        <w:dstrike w:val="0"/>
        <w:color w:val="000000"/>
        <w:sz w:val="16"/>
        <w:szCs w:val="16"/>
        <w:u w:val="none" w:color="000000"/>
        <w:bdr w:val="none" w:sz="0" w:space="0" w:color="auto"/>
        <w:shd w:val="clear" w:color="auto" w:fill="auto"/>
        <w:vertAlign w:val="baseline"/>
      </w:rPr>
    </w:lvl>
    <w:lvl w:ilvl="2" w:tplc="316097DA">
      <w:start w:val="1"/>
      <w:numFmt w:val="lowerRoman"/>
      <w:lvlText w:val="%3"/>
      <w:lvlJc w:val="left"/>
      <w:pPr>
        <w:ind w:left="1908"/>
      </w:pPr>
      <w:rPr>
        <w:rFonts w:ascii="Times New Roman" w:eastAsia="Times New Roman" w:hAnsi="Times New Roman" w:cs="Times New Roman"/>
        <w:b w:val="0"/>
        <w:i w:val="0"/>
        <w:strike w:val="0"/>
        <w:dstrike w:val="0"/>
        <w:color w:val="000000"/>
        <w:sz w:val="16"/>
        <w:szCs w:val="16"/>
        <w:u w:val="none" w:color="000000"/>
        <w:bdr w:val="none" w:sz="0" w:space="0" w:color="auto"/>
        <w:shd w:val="clear" w:color="auto" w:fill="auto"/>
        <w:vertAlign w:val="baseline"/>
      </w:rPr>
    </w:lvl>
    <w:lvl w:ilvl="3" w:tplc="FA72A0BE">
      <w:start w:val="1"/>
      <w:numFmt w:val="decimal"/>
      <w:lvlText w:val="%4"/>
      <w:lvlJc w:val="left"/>
      <w:pPr>
        <w:ind w:left="2628"/>
      </w:pPr>
      <w:rPr>
        <w:rFonts w:ascii="Times New Roman" w:eastAsia="Times New Roman" w:hAnsi="Times New Roman" w:cs="Times New Roman"/>
        <w:b w:val="0"/>
        <w:i w:val="0"/>
        <w:strike w:val="0"/>
        <w:dstrike w:val="0"/>
        <w:color w:val="000000"/>
        <w:sz w:val="16"/>
        <w:szCs w:val="16"/>
        <w:u w:val="none" w:color="000000"/>
        <w:bdr w:val="none" w:sz="0" w:space="0" w:color="auto"/>
        <w:shd w:val="clear" w:color="auto" w:fill="auto"/>
        <w:vertAlign w:val="baseline"/>
      </w:rPr>
    </w:lvl>
    <w:lvl w:ilvl="4" w:tplc="2E7CC814">
      <w:start w:val="1"/>
      <w:numFmt w:val="lowerLetter"/>
      <w:lvlText w:val="%5"/>
      <w:lvlJc w:val="left"/>
      <w:pPr>
        <w:ind w:left="3348"/>
      </w:pPr>
      <w:rPr>
        <w:rFonts w:ascii="Times New Roman" w:eastAsia="Times New Roman" w:hAnsi="Times New Roman" w:cs="Times New Roman"/>
        <w:b w:val="0"/>
        <w:i w:val="0"/>
        <w:strike w:val="0"/>
        <w:dstrike w:val="0"/>
        <w:color w:val="000000"/>
        <w:sz w:val="16"/>
        <w:szCs w:val="16"/>
        <w:u w:val="none" w:color="000000"/>
        <w:bdr w:val="none" w:sz="0" w:space="0" w:color="auto"/>
        <w:shd w:val="clear" w:color="auto" w:fill="auto"/>
        <w:vertAlign w:val="baseline"/>
      </w:rPr>
    </w:lvl>
    <w:lvl w:ilvl="5" w:tplc="2B7EEA2E">
      <w:start w:val="1"/>
      <w:numFmt w:val="lowerRoman"/>
      <w:lvlText w:val="%6"/>
      <w:lvlJc w:val="left"/>
      <w:pPr>
        <w:ind w:left="4068"/>
      </w:pPr>
      <w:rPr>
        <w:rFonts w:ascii="Times New Roman" w:eastAsia="Times New Roman" w:hAnsi="Times New Roman" w:cs="Times New Roman"/>
        <w:b w:val="0"/>
        <w:i w:val="0"/>
        <w:strike w:val="0"/>
        <w:dstrike w:val="0"/>
        <w:color w:val="000000"/>
        <w:sz w:val="16"/>
        <w:szCs w:val="16"/>
        <w:u w:val="none" w:color="000000"/>
        <w:bdr w:val="none" w:sz="0" w:space="0" w:color="auto"/>
        <w:shd w:val="clear" w:color="auto" w:fill="auto"/>
        <w:vertAlign w:val="baseline"/>
      </w:rPr>
    </w:lvl>
    <w:lvl w:ilvl="6" w:tplc="A37C4322">
      <w:start w:val="1"/>
      <w:numFmt w:val="decimal"/>
      <w:lvlText w:val="%7"/>
      <w:lvlJc w:val="left"/>
      <w:pPr>
        <w:ind w:left="4788"/>
      </w:pPr>
      <w:rPr>
        <w:rFonts w:ascii="Times New Roman" w:eastAsia="Times New Roman" w:hAnsi="Times New Roman" w:cs="Times New Roman"/>
        <w:b w:val="0"/>
        <w:i w:val="0"/>
        <w:strike w:val="0"/>
        <w:dstrike w:val="0"/>
        <w:color w:val="000000"/>
        <w:sz w:val="16"/>
        <w:szCs w:val="16"/>
        <w:u w:val="none" w:color="000000"/>
        <w:bdr w:val="none" w:sz="0" w:space="0" w:color="auto"/>
        <w:shd w:val="clear" w:color="auto" w:fill="auto"/>
        <w:vertAlign w:val="baseline"/>
      </w:rPr>
    </w:lvl>
    <w:lvl w:ilvl="7" w:tplc="C78270C2">
      <w:start w:val="1"/>
      <w:numFmt w:val="lowerLetter"/>
      <w:lvlText w:val="%8"/>
      <w:lvlJc w:val="left"/>
      <w:pPr>
        <w:ind w:left="5508"/>
      </w:pPr>
      <w:rPr>
        <w:rFonts w:ascii="Times New Roman" w:eastAsia="Times New Roman" w:hAnsi="Times New Roman" w:cs="Times New Roman"/>
        <w:b w:val="0"/>
        <w:i w:val="0"/>
        <w:strike w:val="0"/>
        <w:dstrike w:val="0"/>
        <w:color w:val="000000"/>
        <w:sz w:val="16"/>
        <w:szCs w:val="16"/>
        <w:u w:val="none" w:color="000000"/>
        <w:bdr w:val="none" w:sz="0" w:space="0" w:color="auto"/>
        <w:shd w:val="clear" w:color="auto" w:fill="auto"/>
        <w:vertAlign w:val="baseline"/>
      </w:rPr>
    </w:lvl>
    <w:lvl w:ilvl="8" w:tplc="1F5434AA">
      <w:start w:val="1"/>
      <w:numFmt w:val="lowerRoman"/>
      <w:lvlText w:val="%9"/>
      <w:lvlJc w:val="left"/>
      <w:pPr>
        <w:ind w:left="6228"/>
      </w:pPr>
      <w:rPr>
        <w:rFonts w:ascii="Times New Roman" w:eastAsia="Times New Roman" w:hAnsi="Times New Roman" w:cs="Times New Roman"/>
        <w:b w:val="0"/>
        <w:i w:val="0"/>
        <w:strike w:val="0"/>
        <w:dstrike w:val="0"/>
        <w:color w:val="000000"/>
        <w:sz w:val="16"/>
        <w:szCs w:val="16"/>
        <w:u w:val="none" w:color="000000"/>
        <w:bdr w:val="none" w:sz="0" w:space="0" w:color="auto"/>
        <w:shd w:val="clear" w:color="auto" w:fill="auto"/>
        <w:vertAlign w:val="baseline"/>
      </w:rPr>
    </w:lvl>
  </w:abstractNum>
  <w:abstractNum w:abstractNumId="54" w15:restartNumberingAfterBreak="0">
    <w:nsid w:val="6BBD0B76"/>
    <w:multiLevelType w:val="hybridMultilevel"/>
    <w:tmpl w:val="9B58F8F8"/>
    <w:lvl w:ilvl="0" w:tplc="EF088410">
      <w:start w:val="1"/>
      <w:numFmt w:val="bullet"/>
      <w:lvlText w:val=""/>
      <w:lvlJc w:val="left"/>
      <w:pPr>
        <w:ind w:left="18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1" w:tplc="C00C0976">
      <w:start w:val="1"/>
      <w:numFmt w:val="bullet"/>
      <w:lvlText w:val="o"/>
      <w:lvlJc w:val="left"/>
      <w:pPr>
        <w:ind w:left="108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2" w:tplc="6FAA2EF0">
      <w:start w:val="1"/>
      <w:numFmt w:val="bullet"/>
      <w:lvlText w:val="▪"/>
      <w:lvlJc w:val="left"/>
      <w:pPr>
        <w:ind w:left="180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3" w:tplc="0AF4A492">
      <w:start w:val="1"/>
      <w:numFmt w:val="bullet"/>
      <w:lvlText w:val="•"/>
      <w:lvlJc w:val="left"/>
      <w:pPr>
        <w:ind w:left="252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4" w:tplc="28DAB512">
      <w:start w:val="1"/>
      <w:numFmt w:val="bullet"/>
      <w:lvlText w:val="o"/>
      <w:lvlJc w:val="left"/>
      <w:pPr>
        <w:ind w:left="324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5" w:tplc="F008F70A">
      <w:start w:val="1"/>
      <w:numFmt w:val="bullet"/>
      <w:lvlText w:val="▪"/>
      <w:lvlJc w:val="left"/>
      <w:pPr>
        <w:ind w:left="396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6" w:tplc="BFBACF72">
      <w:start w:val="1"/>
      <w:numFmt w:val="bullet"/>
      <w:lvlText w:val="•"/>
      <w:lvlJc w:val="left"/>
      <w:pPr>
        <w:ind w:left="468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7" w:tplc="FAFAD9AC">
      <w:start w:val="1"/>
      <w:numFmt w:val="bullet"/>
      <w:lvlText w:val="o"/>
      <w:lvlJc w:val="left"/>
      <w:pPr>
        <w:ind w:left="540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8" w:tplc="3A4CEC9A">
      <w:start w:val="1"/>
      <w:numFmt w:val="bullet"/>
      <w:lvlText w:val="▪"/>
      <w:lvlJc w:val="left"/>
      <w:pPr>
        <w:ind w:left="612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abstractNum>
  <w:abstractNum w:abstractNumId="55" w15:restartNumberingAfterBreak="0">
    <w:nsid w:val="6E157CE7"/>
    <w:multiLevelType w:val="hybridMultilevel"/>
    <w:tmpl w:val="0FCEAF00"/>
    <w:lvl w:ilvl="0" w:tplc="06D46278">
      <w:start w:val="1"/>
      <w:numFmt w:val="decimal"/>
      <w:lvlText w:val="%1."/>
      <w:lvlJc w:val="left"/>
      <w:pPr>
        <w:ind w:left="427"/>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1" w:tplc="33EC6684">
      <w:start w:val="1"/>
      <w:numFmt w:val="lowerLetter"/>
      <w:lvlText w:val="%2"/>
      <w:lvlJc w:val="left"/>
      <w:pPr>
        <w:ind w:left="108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2" w:tplc="6E645CE8">
      <w:start w:val="1"/>
      <w:numFmt w:val="lowerRoman"/>
      <w:lvlText w:val="%3"/>
      <w:lvlJc w:val="left"/>
      <w:pPr>
        <w:ind w:left="180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3" w:tplc="AF96A012">
      <w:start w:val="1"/>
      <w:numFmt w:val="decimal"/>
      <w:lvlText w:val="%4"/>
      <w:lvlJc w:val="left"/>
      <w:pPr>
        <w:ind w:left="252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4" w:tplc="6EC634C2">
      <w:start w:val="1"/>
      <w:numFmt w:val="lowerLetter"/>
      <w:lvlText w:val="%5"/>
      <w:lvlJc w:val="left"/>
      <w:pPr>
        <w:ind w:left="324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5" w:tplc="6370326A">
      <w:start w:val="1"/>
      <w:numFmt w:val="lowerRoman"/>
      <w:lvlText w:val="%6"/>
      <w:lvlJc w:val="left"/>
      <w:pPr>
        <w:ind w:left="396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6" w:tplc="9D82FB18">
      <w:start w:val="1"/>
      <w:numFmt w:val="decimal"/>
      <w:lvlText w:val="%7"/>
      <w:lvlJc w:val="left"/>
      <w:pPr>
        <w:ind w:left="468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7" w:tplc="89DADCE2">
      <w:start w:val="1"/>
      <w:numFmt w:val="lowerLetter"/>
      <w:lvlText w:val="%8"/>
      <w:lvlJc w:val="left"/>
      <w:pPr>
        <w:ind w:left="540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8" w:tplc="4E7093F8">
      <w:start w:val="1"/>
      <w:numFmt w:val="lowerRoman"/>
      <w:lvlText w:val="%9"/>
      <w:lvlJc w:val="left"/>
      <w:pPr>
        <w:ind w:left="612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abstractNum>
  <w:abstractNum w:abstractNumId="56" w15:restartNumberingAfterBreak="0">
    <w:nsid w:val="6F10093A"/>
    <w:multiLevelType w:val="hybridMultilevel"/>
    <w:tmpl w:val="5054F9BC"/>
    <w:lvl w:ilvl="0" w:tplc="625CD8FC">
      <w:start w:val="3"/>
      <w:numFmt w:val="decimal"/>
      <w:lvlText w:val="%1."/>
      <w:lvlJc w:val="left"/>
      <w:pPr>
        <w:ind w:left="10"/>
      </w:pPr>
      <w:rPr>
        <w:rFonts w:ascii="Times New Roman" w:eastAsia="Times New Roman" w:hAnsi="Times New Roman" w:cs="Times New Roman"/>
        <w:b w:val="0"/>
        <w:i/>
        <w:iCs/>
        <w:strike w:val="0"/>
        <w:dstrike w:val="0"/>
        <w:color w:val="000000"/>
        <w:sz w:val="24"/>
        <w:szCs w:val="24"/>
        <w:u w:val="none" w:color="000000"/>
        <w:bdr w:val="none" w:sz="0" w:space="0" w:color="auto"/>
        <w:shd w:val="clear" w:color="auto" w:fill="auto"/>
        <w:vertAlign w:val="baseline"/>
      </w:rPr>
    </w:lvl>
    <w:lvl w:ilvl="1" w:tplc="CA64E950">
      <w:start w:val="1"/>
      <w:numFmt w:val="bullet"/>
      <w:lvlText w:val="-"/>
      <w:lvlJc w:val="left"/>
      <w:pPr>
        <w:ind w:left="720"/>
      </w:pPr>
      <w:rPr>
        <w:rFonts w:ascii="Verdana" w:eastAsia="Verdana" w:hAnsi="Verdana" w:cs="Verdana"/>
        <w:b w:val="0"/>
        <w:i w:val="0"/>
        <w:strike w:val="0"/>
        <w:dstrike w:val="0"/>
        <w:color w:val="000000"/>
        <w:sz w:val="24"/>
        <w:szCs w:val="24"/>
        <w:u w:val="none" w:color="000000"/>
        <w:bdr w:val="none" w:sz="0" w:space="0" w:color="auto"/>
        <w:shd w:val="clear" w:color="auto" w:fill="auto"/>
        <w:vertAlign w:val="baseline"/>
      </w:rPr>
    </w:lvl>
    <w:lvl w:ilvl="2" w:tplc="4B0C6EAC">
      <w:start w:val="1"/>
      <w:numFmt w:val="bullet"/>
      <w:lvlText w:val="▪"/>
      <w:lvlJc w:val="left"/>
      <w:pPr>
        <w:ind w:left="1440"/>
      </w:pPr>
      <w:rPr>
        <w:rFonts w:ascii="Verdana" w:eastAsia="Verdana" w:hAnsi="Verdana" w:cs="Verdana"/>
        <w:b w:val="0"/>
        <w:i w:val="0"/>
        <w:strike w:val="0"/>
        <w:dstrike w:val="0"/>
        <w:color w:val="000000"/>
        <w:sz w:val="24"/>
        <w:szCs w:val="24"/>
        <w:u w:val="none" w:color="000000"/>
        <w:bdr w:val="none" w:sz="0" w:space="0" w:color="auto"/>
        <w:shd w:val="clear" w:color="auto" w:fill="auto"/>
        <w:vertAlign w:val="baseline"/>
      </w:rPr>
    </w:lvl>
    <w:lvl w:ilvl="3" w:tplc="3C40C8F8">
      <w:start w:val="1"/>
      <w:numFmt w:val="bullet"/>
      <w:lvlText w:val="•"/>
      <w:lvlJc w:val="left"/>
      <w:pPr>
        <w:ind w:left="2160"/>
      </w:pPr>
      <w:rPr>
        <w:rFonts w:ascii="Verdana" w:eastAsia="Verdana" w:hAnsi="Verdana" w:cs="Verdana"/>
        <w:b w:val="0"/>
        <w:i w:val="0"/>
        <w:strike w:val="0"/>
        <w:dstrike w:val="0"/>
        <w:color w:val="000000"/>
        <w:sz w:val="24"/>
        <w:szCs w:val="24"/>
        <w:u w:val="none" w:color="000000"/>
        <w:bdr w:val="none" w:sz="0" w:space="0" w:color="auto"/>
        <w:shd w:val="clear" w:color="auto" w:fill="auto"/>
        <w:vertAlign w:val="baseline"/>
      </w:rPr>
    </w:lvl>
    <w:lvl w:ilvl="4" w:tplc="8EF61416">
      <w:start w:val="1"/>
      <w:numFmt w:val="bullet"/>
      <w:lvlText w:val="o"/>
      <w:lvlJc w:val="left"/>
      <w:pPr>
        <w:ind w:left="2880"/>
      </w:pPr>
      <w:rPr>
        <w:rFonts w:ascii="Verdana" w:eastAsia="Verdana" w:hAnsi="Verdana" w:cs="Verdana"/>
        <w:b w:val="0"/>
        <w:i w:val="0"/>
        <w:strike w:val="0"/>
        <w:dstrike w:val="0"/>
        <w:color w:val="000000"/>
        <w:sz w:val="24"/>
        <w:szCs w:val="24"/>
        <w:u w:val="none" w:color="000000"/>
        <w:bdr w:val="none" w:sz="0" w:space="0" w:color="auto"/>
        <w:shd w:val="clear" w:color="auto" w:fill="auto"/>
        <w:vertAlign w:val="baseline"/>
      </w:rPr>
    </w:lvl>
    <w:lvl w:ilvl="5" w:tplc="D326E7F8">
      <w:start w:val="1"/>
      <w:numFmt w:val="bullet"/>
      <w:lvlText w:val="▪"/>
      <w:lvlJc w:val="left"/>
      <w:pPr>
        <w:ind w:left="3600"/>
      </w:pPr>
      <w:rPr>
        <w:rFonts w:ascii="Verdana" w:eastAsia="Verdana" w:hAnsi="Verdana" w:cs="Verdana"/>
        <w:b w:val="0"/>
        <w:i w:val="0"/>
        <w:strike w:val="0"/>
        <w:dstrike w:val="0"/>
        <w:color w:val="000000"/>
        <w:sz w:val="24"/>
        <w:szCs w:val="24"/>
        <w:u w:val="none" w:color="000000"/>
        <w:bdr w:val="none" w:sz="0" w:space="0" w:color="auto"/>
        <w:shd w:val="clear" w:color="auto" w:fill="auto"/>
        <w:vertAlign w:val="baseline"/>
      </w:rPr>
    </w:lvl>
    <w:lvl w:ilvl="6" w:tplc="C5A2951E">
      <w:start w:val="1"/>
      <w:numFmt w:val="bullet"/>
      <w:lvlText w:val="•"/>
      <w:lvlJc w:val="left"/>
      <w:pPr>
        <w:ind w:left="4320"/>
      </w:pPr>
      <w:rPr>
        <w:rFonts w:ascii="Verdana" w:eastAsia="Verdana" w:hAnsi="Verdana" w:cs="Verdana"/>
        <w:b w:val="0"/>
        <w:i w:val="0"/>
        <w:strike w:val="0"/>
        <w:dstrike w:val="0"/>
        <w:color w:val="000000"/>
        <w:sz w:val="24"/>
        <w:szCs w:val="24"/>
        <w:u w:val="none" w:color="000000"/>
        <w:bdr w:val="none" w:sz="0" w:space="0" w:color="auto"/>
        <w:shd w:val="clear" w:color="auto" w:fill="auto"/>
        <w:vertAlign w:val="baseline"/>
      </w:rPr>
    </w:lvl>
    <w:lvl w:ilvl="7" w:tplc="07C42404">
      <w:start w:val="1"/>
      <w:numFmt w:val="bullet"/>
      <w:lvlText w:val="o"/>
      <w:lvlJc w:val="left"/>
      <w:pPr>
        <w:ind w:left="5040"/>
      </w:pPr>
      <w:rPr>
        <w:rFonts w:ascii="Verdana" w:eastAsia="Verdana" w:hAnsi="Verdana" w:cs="Verdana"/>
        <w:b w:val="0"/>
        <w:i w:val="0"/>
        <w:strike w:val="0"/>
        <w:dstrike w:val="0"/>
        <w:color w:val="000000"/>
        <w:sz w:val="24"/>
        <w:szCs w:val="24"/>
        <w:u w:val="none" w:color="000000"/>
        <w:bdr w:val="none" w:sz="0" w:space="0" w:color="auto"/>
        <w:shd w:val="clear" w:color="auto" w:fill="auto"/>
        <w:vertAlign w:val="baseline"/>
      </w:rPr>
    </w:lvl>
    <w:lvl w:ilvl="8" w:tplc="0ED68760">
      <w:start w:val="1"/>
      <w:numFmt w:val="bullet"/>
      <w:lvlText w:val="▪"/>
      <w:lvlJc w:val="left"/>
      <w:pPr>
        <w:ind w:left="5760"/>
      </w:pPr>
      <w:rPr>
        <w:rFonts w:ascii="Verdana" w:eastAsia="Verdana" w:hAnsi="Verdana" w:cs="Verdana"/>
        <w:b w:val="0"/>
        <w:i w:val="0"/>
        <w:strike w:val="0"/>
        <w:dstrike w:val="0"/>
        <w:color w:val="000000"/>
        <w:sz w:val="24"/>
        <w:szCs w:val="24"/>
        <w:u w:val="none" w:color="000000"/>
        <w:bdr w:val="none" w:sz="0" w:space="0" w:color="auto"/>
        <w:shd w:val="clear" w:color="auto" w:fill="auto"/>
        <w:vertAlign w:val="baseline"/>
      </w:rPr>
    </w:lvl>
  </w:abstractNum>
  <w:abstractNum w:abstractNumId="57" w15:restartNumberingAfterBreak="0">
    <w:nsid w:val="75EE05FE"/>
    <w:multiLevelType w:val="hybridMultilevel"/>
    <w:tmpl w:val="489A91DA"/>
    <w:lvl w:ilvl="0" w:tplc="F2E28078">
      <w:start w:val="1"/>
      <w:numFmt w:val="decimal"/>
      <w:lvlText w:val="%1."/>
      <w:lvlJc w:val="left"/>
      <w:pPr>
        <w:ind w:left="36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1" w:tplc="243681AA">
      <w:start w:val="1"/>
      <w:numFmt w:val="lowerLetter"/>
      <w:lvlText w:val="%2"/>
      <w:lvlJc w:val="left"/>
      <w:pPr>
        <w:ind w:left="108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2" w:tplc="C6C4C3C4">
      <w:start w:val="1"/>
      <w:numFmt w:val="lowerRoman"/>
      <w:lvlText w:val="%3"/>
      <w:lvlJc w:val="left"/>
      <w:pPr>
        <w:ind w:left="180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3" w:tplc="D2C09240">
      <w:start w:val="1"/>
      <w:numFmt w:val="decimal"/>
      <w:lvlText w:val="%4"/>
      <w:lvlJc w:val="left"/>
      <w:pPr>
        <w:ind w:left="252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4" w:tplc="1DC0900C">
      <w:start w:val="1"/>
      <w:numFmt w:val="lowerLetter"/>
      <w:lvlText w:val="%5"/>
      <w:lvlJc w:val="left"/>
      <w:pPr>
        <w:ind w:left="324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5" w:tplc="ABFEE1D6">
      <w:start w:val="1"/>
      <w:numFmt w:val="lowerRoman"/>
      <w:lvlText w:val="%6"/>
      <w:lvlJc w:val="left"/>
      <w:pPr>
        <w:ind w:left="396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6" w:tplc="70C21D50">
      <w:start w:val="1"/>
      <w:numFmt w:val="decimal"/>
      <w:lvlText w:val="%7"/>
      <w:lvlJc w:val="left"/>
      <w:pPr>
        <w:ind w:left="468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7" w:tplc="FE662480">
      <w:start w:val="1"/>
      <w:numFmt w:val="lowerLetter"/>
      <w:lvlText w:val="%8"/>
      <w:lvlJc w:val="left"/>
      <w:pPr>
        <w:ind w:left="540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8" w:tplc="BA2A8D70">
      <w:start w:val="1"/>
      <w:numFmt w:val="lowerRoman"/>
      <w:lvlText w:val="%9"/>
      <w:lvlJc w:val="left"/>
      <w:pPr>
        <w:ind w:left="612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abstractNum>
  <w:abstractNum w:abstractNumId="58" w15:restartNumberingAfterBreak="0">
    <w:nsid w:val="75F16844"/>
    <w:multiLevelType w:val="hybridMultilevel"/>
    <w:tmpl w:val="A38CD7C4"/>
    <w:lvl w:ilvl="0" w:tplc="FAB8021E">
      <w:start w:val="1"/>
      <w:numFmt w:val="bullet"/>
      <w:lvlText w:val="-"/>
      <w:lvlJc w:val="left"/>
      <w:pPr>
        <w:ind w:left="41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908256E0">
      <w:start w:val="1"/>
      <w:numFmt w:val="bullet"/>
      <w:lvlText w:val="o"/>
      <w:lvlJc w:val="left"/>
      <w:pPr>
        <w:ind w:left="130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5D46C240">
      <w:start w:val="1"/>
      <w:numFmt w:val="bullet"/>
      <w:lvlText w:val="▪"/>
      <w:lvlJc w:val="left"/>
      <w:pPr>
        <w:ind w:left="202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A2307DEE">
      <w:start w:val="1"/>
      <w:numFmt w:val="bullet"/>
      <w:lvlText w:val="•"/>
      <w:lvlJc w:val="left"/>
      <w:pPr>
        <w:ind w:left="274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81B21878">
      <w:start w:val="1"/>
      <w:numFmt w:val="bullet"/>
      <w:lvlText w:val="o"/>
      <w:lvlJc w:val="left"/>
      <w:pPr>
        <w:ind w:left="346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20A0174A">
      <w:start w:val="1"/>
      <w:numFmt w:val="bullet"/>
      <w:lvlText w:val="▪"/>
      <w:lvlJc w:val="left"/>
      <w:pPr>
        <w:ind w:left="418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DB166266">
      <w:start w:val="1"/>
      <w:numFmt w:val="bullet"/>
      <w:lvlText w:val="•"/>
      <w:lvlJc w:val="left"/>
      <w:pPr>
        <w:ind w:left="490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60004312">
      <w:start w:val="1"/>
      <w:numFmt w:val="bullet"/>
      <w:lvlText w:val="o"/>
      <w:lvlJc w:val="left"/>
      <w:pPr>
        <w:ind w:left="562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7B26C2A4">
      <w:start w:val="1"/>
      <w:numFmt w:val="bullet"/>
      <w:lvlText w:val="▪"/>
      <w:lvlJc w:val="left"/>
      <w:pPr>
        <w:ind w:left="634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59" w15:restartNumberingAfterBreak="0">
    <w:nsid w:val="78760F6A"/>
    <w:multiLevelType w:val="hybridMultilevel"/>
    <w:tmpl w:val="33FCD39C"/>
    <w:lvl w:ilvl="0" w:tplc="B99AFA66">
      <w:start w:val="7"/>
      <w:numFmt w:val="decimal"/>
      <w:lvlText w:val="%1."/>
      <w:lvlJc w:val="left"/>
      <w:pPr>
        <w:ind w:left="36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1" w:tplc="A2A4E9D8">
      <w:start w:val="1"/>
      <w:numFmt w:val="lowerLetter"/>
      <w:lvlText w:val="%2"/>
      <w:lvlJc w:val="left"/>
      <w:pPr>
        <w:ind w:left="108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2" w:tplc="CB983BFA">
      <w:start w:val="1"/>
      <w:numFmt w:val="lowerRoman"/>
      <w:lvlText w:val="%3"/>
      <w:lvlJc w:val="left"/>
      <w:pPr>
        <w:ind w:left="180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3" w:tplc="320AFAB8">
      <w:start w:val="1"/>
      <w:numFmt w:val="decimal"/>
      <w:lvlText w:val="%4"/>
      <w:lvlJc w:val="left"/>
      <w:pPr>
        <w:ind w:left="252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4" w:tplc="01987E0E">
      <w:start w:val="1"/>
      <w:numFmt w:val="lowerLetter"/>
      <w:lvlText w:val="%5"/>
      <w:lvlJc w:val="left"/>
      <w:pPr>
        <w:ind w:left="324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5" w:tplc="7B54D0F6">
      <w:start w:val="1"/>
      <w:numFmt w:val="lowerRoman"/>
      <w:lvlText w:val="%6"/>
      <w:lvlJc w:val="left"/>
      <w:pPr>
        <w:ind w:left="396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6" w:tplc="FF843260">
      <w:start w:val="1"/>
      <w:numFmt w:val="decimal"/>
      <w:lvlText w:val="%7"/>
      <w:lvlJc w:val="left"/>
      <w:pPr>
        <w:ind w:left="468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7" w:tplc="0952F804">
      <w:start w:val="1"/>
      <w:numFmt w:val="lowerLetter"/>
      <w:lvlText w:val="%8"/>
      <w:lvlJc w:val="left"/>
      <w:pPr>
        <w:ind w:left="540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8" w:tplc="625E1158">
      <w:start w:val="1"/>
      <w:numFmt w:val="lowerRoman"/>
      <w:lvlText w:val="%9"/>
      <w:lvlJc w:val="left"/>
      <w:pPr>
        <w:ind w:left="612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abstractNum>
  <w:abstractNum w:abstractNumId="60" w15:restartNumberingAfterBreak="0">
    <w:nsid w:val="78EF32C0"/>
    <w:multiLevelType w:val="hybridMultilevel"/>
    <w:tmpl w:val="746CB27A"/>
    <w:lvl w:ilvl="0" w:tplc="646C1CD0">
      <w:start w:val="1"/>
      <w:numFmt w:val="decimal"/>
      <w:lvlText w:val="%1."/>
      <w:lvlJc w:val="left"/>
      <w:pPr>
        <w:ind w:left="427"/>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1" w:tplc="D8EA4144">
      <w:start w:val="1"/>
      <w:numFmt w:val="lowerLetter"/>
      <w:lvlText w:val="%2"/>
      <w:lvlJc w:val="left"/>
      <w:pPr>
        <w:ind w:left="108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2" w:tplc="48B23950">
      <w:start w:val="1"/>
      <w:numFmt w:val="lowerRoman"/>
      <w:lvlText w:val="%3"/>
      <w:lvlJc w:val="left"/>
      <w:pPr>
        <w:ind w:left="180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3" w:tplc="FA7E7772">
      <w:start w:val="1"/>
      <w:numFmt w:val="decimal"/>
      <w:lvlText w:val="%4"/>
      <w:lvlJc w:val="left"/>
      <w:pPr>
        <w:ind w:left="252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4" w:tplc="AC582540">
      <w:start w:val="1"/>
      <w:numFmt w:val="lowerLetter"/>
      <w:lvlText w:val="%5"/>
      <w:lvlJc w:val="left"/>
      <w:pPr>
        <w:ind w:left="324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5" w:tplc="7E32C484">
      <w:start w:val="1"/>
      <w:numFmt w:val="lowerRoman"/>
      <w:lvlText w:val="%6"/>
      <w:lvlJc w:val="left"/>
      <w:pPr>
        <w:ind w:left="396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6" w:tplc="73F025DE">
      <w:start w:val="1"/>
      <w:numFmt w:val="decimal"/>
      <w:lvlText w:val="%7"/>
      <w:lvlJc w:val="left"/>
      <w:pPr>
        <w:ind w:left="468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7" w:tplc="1FD8F63A">
      <w:start w:val="1"/>
      <w:numFmt w:val="lowerLetter"/>
      <w:lvlText w:val="%8"/>
      <w:lvlJc w:val="left"/>
      <w:pPr>
        <w:ind w:left="540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8" w:tplc="A404DA5A">
      <w:start w:val="1"/>
      <w:numFmt w:val="lowerRoman"/>
      <w:lvlText w:val="%9"/>
      <w:lvlJc w:val="left"/>
      <w:pPr>
        <w:ind w:left="612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abstractNum>
  <w:abstractNum w:abstractNumId="61" w15:restartNumberingAfterBreak="0">
    <w:nsid w:val="79DB2B90"/>
    <w:multiLevelType w:val="hybridMultilevel"/>
    <w:tmpl w:val="E1F2BE3C"/>
    <w:lvl w:ilvl="0" w:tplc="86CEFB00">
      <w:start w:val="1"/>
      <w:numFmt w:val="bullet"/>
      <w:lvlText w:val=""/>
      <w:lvlJc w:val="left"/>
      <w:pPr>
        <w:ind w:left="514"/>
      </w:pPr>
      <w:rPr>
        <w:rFonts w:ascii="Wingdings" w:eastAsia="Wingdings" w:hAnsi="Wingdings" w:cs="Wingdings"/>
        <w:b w:val="0"/>
        <w:i w:val="0"/>
        <w:strike w:val="0"/>
        <w:dstrike w:val="0"/>
        <w:color w:val="44546A"/>
        <w:sz w:val="24"/>
        <w:szCs w:val="24"/>
        <w:u w:val="none" w:color="000000"/>
        <w:bdr w:val="none" w:sz="0" w:space="0" w:color="auto"/>
        <w:shd w:val="clear" w:color="auto" w:fill="auto"/>
        <w:vertAlign w:val="baseline"/>
      </w:rPr>
    </w:lvl>
    <w:lvl w:ilvl="1" w:tplc="BD9C8CD2">
      <w:start w:val="1"/>
      <w:numFmt w:val="bullet"/>
      <w:lvlText w:val="o"/>
      <w:lvlJc w:val="left"/>
      <w:pPr>
        <w:ind w:left="1295"/>
      </w:pPr>
      <w:rPr>
        <w:rFonts w:ascii="Wingdings" w:eastAsia="Wingdings" w:hAnsi="Wingdings" w:cs="Wingdings"/>
        <w:b w:val="0"/>
        <w:i w:val="0"/>
        <w:strike w:val="0"/>
        <w:dstrike w:val="0"/>
        <w:color w:val="44546A"/>
        <w:sz w:val="24"/>
        <w:szCs w:val="24"/>
        <w:u w:val="none" w:color="000000"/>
        <w:bdr w:val="none" w:sz="0" w:space="0" w:color="auto"/>
        <w:shd w:val="clear" w:color="auto" w:fill="auto"/>
        <w:vertAlign w:val="baseline"/>
      </w:rPr>
    </w:lvl>
    <w:lvl w:ilvl="2" w:tplc="F056AD5A">
      <w:start w:val="1"/>
      <w:numFmt w:val="bullet"/>
      <w:lvlText w:val="▪"/>
      <w:lvlJc w:val="left"/>
      <w:pPr>
        <w:ind w:left="2015"/>
      </w:pPr>
      <w:rPr>
        <w:rFonts w:ascii="Wingdings" w:eastAsia="Wingdings" w:hAnsi="Wingdings" w:cs="Wingdings"/>
        <w:b w:val="0"/>
        <w:i w:val="0"/>
        <w:strike w:val="0"/>
        <w:dstrike w:val="0"/>
        <w:color w:val="44546A"/>
        <w:sz w:val="24"/>
        <w:szCs w:val="24"/>
        <w:u w:val="none" w:color="000000"/>
        <w:bdr w:val="none" w:sz="0" w:space="0" w:color="auto"/>
        <w:shd w:val="clear" w:color="auto" w:fill="auto"/>
        <w:vertAlign w:val="baseline"/>
      </w:rPr>
    </w:lvl>
    <w:lvl w:ilvl="3" w:tplc="E9C84958">
      <w:start w:val="1"/>
      <w:numFmt w:val="bullet"/>
      <w:lvlText w:val="•"/>
      <w:lvlJc w:val="left"/>
      <w:pPr>
        <w:ind w:left="2735"/>
      </w:pPr>
      <w:rPr>
        <w:rFonts w:ascii="Wingdings" w:eastAsia="Wingdings" w:hAnsi="Wingdings" w:cs="Wingdings"/>
        <w:b w:val="0"/>
        <w:i w:val="0"/>
        <w:strike w:val="0"/>
        <w:dstrike w:val="0"/>
        <w:color w:val="44546A"/>
        <w:sz w:val="24"/>
        <w:szCs w:val="24"/>
        <w:u w:val="none" w:color="000000"/>
        <w:bdr w:val="none" w:sz="0" w:space="0" w:color="auto"/>
        <w:shd w:val="clear" w:color="auto" w:fill="auto"/>
        <w:vertAlign w:val="baseline"/>
      </w:rPr>
    </w:lvl>
    <w:lvl w:ilvl="4" w:tplc="4A809DC2">
      <w:start w:val="1"/>
      <w:numFmt w:val="bullet"/>
      <w:lvlText w:val="o"/>
      <w:lvlJc w:val="left"/>
      <w:pPr>
        <w:ind w:left="3455"/>
      </w:pPr>
      <w:rPr>
        <w:rFonts w:ascii="Wingdings" w:eastAsia="Wingdings" w:hAnsi="Wingdings" w:cs="Wingdings"/>
        <w:b w:val="0"/>
        <w:i w:val="0"/>
        <w:strike w:val="0"/>
        <w:dstrike w:val="0"/>
        <w:color w:val="44546A"/>
        <w:sz w:val="24"/>
        <w:szCs w:val="24"/>
        <w:u w:val="none" w:color="000000"/>
        <w:bdr w:val="none" w:sz="0" w:space="0" w:color="auto"/>
        <w:shd w:val="clear" w:color="auto" w:fill="auto"/>
        <w:vertAlign w:val="baseline"/>
      </w:rPr>
    </w:lvl>
    <w:lvl w:ilvl="5" w:tplc="A7727172">
      <w:start w:val="1"/>
      <w:numFmt w:val="bullet"/>
      <w:lvlText w:val="▪"/>
      <w:lvlJc w:val="left"/>
      <w:pPr>
        <w:ind w:left="4175"/>
      </w:pPr>
      <w:rPr>
        <w:rFonts w:ascii="Wingdings" w:eastAsia="Wingdings" w:hAnsi="Wingdings" w:cs="Wingdings"/>
        <w:b w:val="0"/>
        <w:i w:val="0"/>
        <w:strike w:val="0"/>
        <w:dstrike w:val="0"/>
        <w:color w:val="44546A"/>
        <w:sz w:val="24"/>
        <w:szCs w:val="24"/>
        <w:u w:val="none" w:color="000000"/>
        <w:bdr w:val="none" w:sz="0" w:space="0" w:color="auto"/>
        <w:shd w:val="clear" w:color="auto" w:fill="auto"/>
        <w:vertAlign w:val="baseline"/>
      </w:rPr>
    </w:lvl>
    <w:lvl w:ilvl="6" w:tplc="8CE811AE">
      <w:start w:val="1"/>
      <w:numFmt w:val="bullet"/>
      <w:lvlText w:val="•"/>
      <w:lvlJc w:val="left"/>
      <w:pPr>
        <w:ind w:left="4895"/>
      </w:pPr>
      <w:rPr>
        <w:rFonts w:ascii="Wingdings" w:eastAsia="Wingdings" w:hAnsi="Wingdings" w:cs="Wingdings"/>
        <w:b w:val="0"/>
        <w:i w:val="0"/>
        <w:strike w:val="0"/>
        <w:dstrike w:val="0"/>
        <w:color w:val="44546A"/>
        <w:sz w:val="24"/>
        <w:szCs w:val="24"/>
        <w:u w:val="none" w:color="000000"/>
        <w:bdr w:val="none" w:sz="0" w:space="0" w:color="auto"/>
        <w:shd w:val="clear" w:color="auto" w:fill="auto"/>
        <w:vertAlign w:val="baseline"/>
      </w:rPr>
    </w:lvl>
    <w:lvl w:ilvl="7" w:tplc="B02C3B44">
      <w:start w:val="1"/>
      <w:numFmt w:val="bullet"/>
      <w:lvlText w:val="o"/>
      <w:lvlJc w:val="left"/>
      <w:pPr>
        <w:ind w:left="5615"/>
      </w:pPr>
      <w:rPr>
        <w:rFonts w:ascii="Wingdings" w:eastAsia="Wingdings" w:hAnsi="Wingdings" w:cs="Wingdings"/>
        <w:b w:val="0"/>
        <w:i w:val="0"/>
        <w:strike w:val="0"/>
        <w:dstrike w:val="0"/>
        <w:color w:val="44546A"/>
        <w:sz w:val="24"/>
        <w:szCs w:val="24"/>
        <w:u w:val="none" w:color="000000"/>
        <w:bdr w:val="none" w:sz="0" w:space="0" w:color="auto"/>
        <w:shd w:val="clear" w:color="auto" w:fill="auto"/>
        <w:vertAlign w:val="baseline"/>
      </w:rPr>
    </w:lvl>
    <w:lvl w:ilvl="8" w:tplc="15223796">
      <w:start w:val="1"/>
      <w:numFmt w:val="bullet"/>
      <w:lvlText w:val="▪"/>
      <w:lvlJc w:val="left"/>
      <w:pPr>
        <w:ind w:left="6335"/>
      </w:pPr>
      <w:rPr>
        <w:rFonts w:ascii="Wingdings" w:eastAsia="Wingdings" w:hAnsi="Wingdings" w:cs="Wingdings"/>
        <w:b w:val="0"/>
        <w:i w:val="0"/>
        <w:strike w:val="0"/>
        <w:dstrike w:val="0"/>
        <w:color w:val="44546A"/>
        <w:sz w:val="24"/>
        <w:szCs w:val="24"/>
        <w:u w:val="none" w:color="000000"/>
        <w:bdr w:val="none" w:sz="0" w:space="0" w:color="auto"/>
        <w:shd w:val="clear" w:color="auto" w:fill="auto"/>
        <w:vertAlign w:val="baseline"/>
      </w:rPr>
    </w:lvl>
  </w:abstractNum>
  <w:abstractNum w:abstractNumId="62" w15:restartNumberingAfterBreak="0">
    <w:nsid w:val="7B7D3C27"/>
    <w:multiLevelType w:val="hybridMultilevel"/>
    <w:tmpl w:val="B0E0EC9E"/>
    <w:lvl w:ilvl="0" w:tplc="0A42EB56">
      <w:start w:val="1"/>
      <w:numFmt w:val="decimal"/>
      <w:lvlText w:val="[%1]"/>
      <w:lvlJc w:val="left"/>
      <w:pPr>
        <w:ind w:left="4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F11689E8">
      <w:start w:val="1"/>
      <w:numFmt w:val="lowerLetter"/>
      <w:lvlText w:val="%2"/>
      <w:lvlJc w:val="left"/>
      <w:pPr>
        <w:ind w:left="118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2FF647C8">
      <w:start w:val="1"/>
      <w:numFmt w:val="lowerRoman"/>
      <w:lvlText w:val="%3"/>
      <w:lvlJc w:val="left"/>
      <w:pPr>
        <w:ind w:left="190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34E6CC36">
      <w:start w:val="1"/>
      <w:numFmt w:val="decimal"/>
      <w:lvlText w:val="%4"/>
      <w:lvlJc w:val="left"/>
      <w:pPr>
        <w:ind w:left="262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F0D0E71C">
      <w:start w:val="1"/>
      <w:numFmt w:val="lowerLetter"/>
      <w:lvlText w:val="%5"/>
      <w:lvlJc w:val="left"/>
      <w:pPr>
        <w:ind w:left="334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DBCCA096">
      <w:start w:val="1"/>
      <w:numFmt w:val="lowerRoman"/>
      <w:lvlText w:val="%6"/>
      <w:lvlJc w:val="left"/>
      <w:pPr>
        <w:ind w:left="406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05DC4186">
      <w:start w:val="1"/>
      <w:numFmt w:val="decimal"/>
      <w:lvlText w:val="%7"/>
      <w:lvlJc w:val="left"/>
      <w:pPr>
        <w:ind w:left="478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23AE376A">
      <w:start w:val="1"/>
      <w:numFmt w:val="lowerLetter"/>
      <w:lvlText w:val="%8"/>
      <w:lvlJc w:val="left"/>
      <w:pPr>
        <w:ind w:left="550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3A820026">
      <w:start w:val="1"/>
      <w:numFmt w:val="lowerRoman"/>
      <w:lvlText w:val="%9"/>
      <w:lvlJc w:val="left"/>
      <w:pPr>
        <w:ind w:left="622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63" w15:restartNumberingAfterBreak="0">
    <w:nsid w:val="7D0E53E3"/>
    <w:multiLevelType w:val="hybridMultilevel"/>
    <w:tmpl w:val="D1B833FA"/>
    <w:lvl w:ilvl="0" w:tplc="735ACAB0">
      <w:start w:val="1"/>
      <w:numFmt w:val="decimal"/>
      <w:lvlText w:val="%1."/>
      <w:lvlJc w:val="left"/>
      <w:pPr>
        <w:ind w:left="36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1" w:tplc="531CDABA">
      <w:start w:val="1"/>
      <w:numFmt w:val="lowerLetter"/>
      <w:lvlText w:val="%2"/>
      <w:lvlJc w:val="left"/>
      <w:pPr>
        <w:ind w:left="108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2" w:tplc="B9D25704">
      <w:start w:val="1"/>
      <w:numFmt w:val="lowerRoman"/>
      <w:lvlText w:val="%3"/>
      <w:lvlJc w:val="left"/>
      <w:pPr>
        <w:ind w:left="180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3" w:tplc="A3AA4E3A">
      <w:start w:val="1"/>
      <w:numFmt w:val="decimal"/>
      <w:lvlText w:val="%4"/>
      <w:lvlJc w:val="left"/>
      <w:pPr>
        <w:ind w:left="252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4" w:tplc="6E042EA8">
      <w:start w:val="1"/>
      <w:numFmt w:val="lowerLetter"/>
      <w:lvlText w:val="%5"/>
      <w:lvlJc w:val="left"/>
      <w:pPr>
        <w:ind w:left="324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5" w:tplc="3BB84CA4">
      <w:start w:val="1"/>
      <w:numFmt w:val="lowerRoman"/>
      <w:lvlText w:val="%6"/>
      <w:lvlJc w:val="left"/>
      <w:pPr>
        <w:ind w:left="396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6" w:tplc="B588D776">
      <w:start w:val="1"/>
      <w:numFmt w:val="decimal"/>
      <w:lvlText w:val="%7"/>
      <w:lvlJc w:val="left"/>
      <w:pPr>
        <w:ind w:left="468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7" w:tplc="4B709D02">
      <w:start w:val="1"/>
      <w:numFmt w:val="lowerLetter"/>
      <w:lvlText w:val="%8"/>
      <w:lvlJc w:val="left"/>
      <w:pPr>
        <w:ind w:left="540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8" w:tplc="C3E83E58">
      <w:start w:val="1"/>
      <w:numFmt w:val="lowerRoman"/>
      <w:lvlText w:val="%9"/>
      <w:lvlJc w:val="left"/>
      <w:pPr>
        <w:ind w:left="612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abstractNum>
  <w:abstractNum w:abstractNumId="64" w15:restartNumberingAfterBreak="0">
    <w:nsid w:val="7D7305BE"/>
    <w:multiLevelType w:val="hybridMultilevel"/>
    <w:tmpl w:val="DADCD2F6"/>
    <w:lvl w:ilvl="0" w:tplc="B3A2F3B8">
      <w:start w:val="2"/>
      <w:numFmt w:val="decimal"/>
      <w:lvlText w:val="%1."/>
      <w:lvlJc w:val="left"/>
      <w:pPr>
        <w:ind w:left="427"/>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1" w:tplc="8A66E5C0">
      <w:start w:val="1"/>
      <w:numFmt w:val="lowerLetter"/>
      <w:lvlText w:val="%2"/>
      <w:lvlJc w:val="left"/>
      <w:pPr>
        <w:ind w:left="108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2" w:tplc="7EE48900">
      <w:start w:val="1"/>
      <w:numFmt w:val="lowerRoman"/>
      <w:lvlText w:val="%3"/>
      <w:lvlJc w:val="left"/>
      <w:pPr>
        <w:ind w:left="180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3" w:tplc="4FDC1D64">
      <w:start w:val="1"/>
      <w:numFmt w:val="decimal"/>
      <w:lvlText w:val="%4"/>
      <w:lvlJc w:val="left"/>
      <w:pPr>
        <w:ind w:left="252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4" w:tplc="0C7E88DA">
      <w:start w:val="1"/>
      <w:numFmt w:val="lowerLetter"/>
      <w:lvlText w:val="%5"/>
      <w:lvlJc w:val="left"/>
      <w:pPr>
        <w:ind w:left="324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5" w:tplc="9CCCE272">
      <w:start w:val="1"/>
      <w:numFmt w:val="lowerRoman"/>
      <w:lvlText w:val="%6"/>
      <w:lvlJc w:val="left"/>
      <w:pPr>
        <w:ind w:left="396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6" w:tplc="CAC8F3C8">
      <w:start w:val="1"/>
      <w:numFmt w:val="decimal"/>
      <w:lvlText w:val="%7"/>
      <w:lvlJc w:val="left"/>
      <w:pPr>
        <w:ind w:left="468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7" w:tplc="E1D6868E">
      <w:start w:val="1"/>
      <w:numFmt w:val="lowerLetter"/>
      <w:lvlText w:val="%8"/>
      <w:lvlJc w:val="left"/>
      <w:pPr>
        <w:ind w:left="540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8" w:tplc="972E687C">
      <w:start w:val="1"/>
      <w:numFmt w:val="lowerRoman"/>
      <w:lvlText w:val="%9"/>
      <w:lvlJc w:val="left"/>
      <w:pPr>
        <w:ind w:left="612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abstractNum>
  <w:num w:numId="1">
    <w:abstractNumId w:val="25"/>
  </w:num>
  <w:num w:numId="2">
    <w:abstractNumId w:val="1"/>
  </w:num>
  <w:num w:numId="3">
    <w:abstractNumId w:val="56"/>
  </w:num>
  <w:num w:numId="4">
    <w:abstractNumId w:val="61"/>
  </w:num>
  <w:num w:numId="5">
    <w:abstractNumId w:val="54"/>
  </w:num>
  <w:num w:numId="6">
    <w:abstractNumId w:val="36"/>
  </w:num>
  <w:num w:numId="7">
    <w:abstractNumId w:val="29"/>
  </w:num>
  <w:num w:numId="8">
    <w:abstractNumId w:val="18"/>
  </w:num>
  <w:num w:numId="9">
    <w:abstractNumId w:val="8"/>
  </w:num>
  <w:num w:numId="10">
    <w:abstractNumId w:val="20"/>
  </w:num>
  <w:num w:numId="11">
    <w:abstractNumId w:val="44"/>
  </w:num>
  <w:num w:numId="12">
    <w:abstractNumId w:val="31"/>
  </w:num>
  <w:num w:numId="13">
    <w:abstractNumId w:val="30"/>
  </w:num>
  <w:num w:numId="14">
    <w:abstractNumId w:val="55"/>
  </w:num>
  <w:num w:numId="15">
    <w:abstractNumId w:val="5"/>
  </w:num>
  <w:num w:numId="16">
    <w:abstractNumId w:val="34"/>
  </w:num>
  <w:num w:numId="17">
    <w:abstractNumId w:val="32"/>
  </w:num>
  <w:num w:numId="18">
    <w:abstractNumId w:val="45"/>
  </w:num>
  <w:num w:numId="19">
    <w:abstractNumId w:val="22"/>
  </w:num>
  <w:num w:numId="20">
    <w:abstractNumId w:val="35"/>
  </w:num>
  <w:num w:numId="21">
    <w:abstractNumId w:val="43"/>
  </w:num>
  <w:num w:numId="22">
    <w:abstractNumId w:val="15"/>
  </w:num>
  <w:num w:numId="23">
    <w:abstractNumId w:val="60"/>
  </w:num>
  <w:num w:numId="24">
    <w:abstractNumId w:val="17"/>
  </w:num>
  <w:num w:numId="25">
    <w:abstractNumId w:val="24"/>
  </w:num>
  <w:num w:numId="26">
    <w:abstractNumId w:val="26"/>
  </w:num>
  <w:num w:numId="27">
    <w:abstractNumId w:val="40"/>
  </w:num>
  <w:num w:numId="28">
    <w:abstractNumId w:val="7"/>
  </w:num>
  <w:num w:numId="29">
    <w:abstractNumId w:val="49"/>
  </w:num>
  <w:num w:numId="30">
    <w:abstractNumId w:val="6"/>
  </w:num>
  <w:num w:numId="31">
    <w:abstractNumId w:val="14"/>
  </w:num>
  <w:num w:numId="32">
    <w:abstractNumId w:val="28"/>
  </w:num>
  <w:num w:numId="33">
    <w:abstractNumId w:val="4"/>
  </w:num>
  <w:num w:numId="34">
    <w:abstractNumId w:val="2"/>
  </w:num>
  <w:num w:numId="35">
    <w:abstractNumId w:val="37"/>
  </w:num>
  <w:num w:numId="36">
    <w:abstractNumId w:val="63"/>
  </w:num>
  <w:num w:numId="37">
    <w:abstractNumId w:val="13"/>
  </w:num>
  <w:num w:numId="38">
    <w:abstractNumId w:val="10"/>
  </w:num>
  <w:num w:numId="39">
    <w:abstractNumId w:val="59"/>
  </w:num>
  <w:num w:numId="40">
    <w:abstractNumId w:val="51"/>
  </w:num>
  <w:num w:numId="41">
    <w:abstractNumId w:val="57"/>
  </w:num>
  <w:num w:numId="42">
    <w:abstractNumId w:val="38"/>
  </w:num>
  <w:num w:numId="43">
    <w:abstractNumId w:val="64"/>
  </w:num>
  <w:num w:numId="44">
    <w:abstractNumId w:val="47"/>
  </w:num>
  <w:num w:numId="45">
    <w:abstractNumId w:val="48"/>
  </w:num>
  <w:num w:numId="46">
    <w:abstractNumId w:val="27"/>
  </w:num>
  <w:num w:numId="47">
    <w:abstractNumId w:val="11"/>
  </w:num>
  <w:num w:numId="48">
    <w:abstractNumId w:val="21"/>
  </w:num>
  <w:num w:numId="49">
    <w:abstractNumId w:val="41"/>
  </w:num>
  <w:num w:numId="50">
    <w:abstractNumId w:val="39"/>
  </w:num>
  <w:num w:numId="51">
    <w:abstractNumId w:val="23"/>
  </w:num>
  <w:num w:numId="52">
    <w:abstractNumId w:val="9"/>
  </w:num>
  <w:num w:numId="53">
    <w:abstractNumId w:val="42"/>
  </w:num>
  <w:num w:numId="54">
    <w:abstractNumId w:val="53"/>
  </w:num>
  <w:num w:numId="55">
    <w:abstractNumId w:val="50"/>
  </w:num>
  <w:num w:numId="56">
    <w:abstractNumId w:val="46"/>
  </w:num>
  <w:num w:numId="57">
    <w:abstractNumId w:val="62"/>
  </w:num>
  <w:num w:numId="58">
    <w:abstractNumId w:val="3"/>
  </w:num>
  <w:num w:numId="59">
    <w:abstractNumId w:val="12"/>
  </w:num>
  <w:num w:numId="60">
    <w:abstractNumId w:val="52"/>
  </w:num>
  <w:num w:numId="61">
    <w:abstractNumId w:val="58"/>
  </w:num>
  <w:num w:numId="62">
    <w:abstractNumId w:val="33"/>
  </w:num>
  <w:num w:numId="63">
    <w:abstractNumId w:val="16"/>
  </w:num>
  <w:num w:numId="64">
    <w:abstractNumId w:val="0"/>
  </w:num>
  <w:num w:numId="65">
    <w:abstractNumId w:val="19"/>
  </w:num>
  <w:numIdMacAtCleanup w:val="6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8309B"/>
    <w:rsid w:val="009D0949"/>
    <w:rsid w:val="00E8309B"/>
    <w:rsid w:val="00F6181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D8906CC9-58DB-4EE4-81EC-64DC1CEEF9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43" w:line="253" w:lineRule="auto"/>
      <w:ind w:left="10" w:right="32" w:hanging="10"/>
      <w:jc w:val="both"/>
    </w:pPr>
    <w:rPr>
      <w:rFonts w:ascii="Times New Roman" w:eastAsia="Times New Roman" w:hAnsi="Times New Roman" w:cs="Times New Roman"/>
      <w:color w:val="000000"/>
      <w:sz w:val="24"/>
    </w:rPr>
  </w:style>
  <w:style w:type="paragraph" w:styleId="Heading1">
    <w:name w:val="heading 1"/>
    <w:next w:val="Normal"/>
    <w:link w:val="Heading1Char"/>
    <w:uiPriority w:val="9"/>
    <w:unhideWhenUsed/>
    <w:qFormat/>
    <w:pPr>
      <w:keepNext/>
      <w:keepLines/>
      <w:numPr>
        <w:numId w:val="65"/>
      </w:numPr>
      <w:spacing w:after="222" w:line="271" w:lineRule="auto"/>
      <w:ind w:left="10" w:hanging="10"/>
      <w:outlineLvl w:val="0"/>
    </w:pPr>
    <w:rPr>
      <w:rFonts w:ascii="Times New Roman" w:eastAsia="Times New Roman" w:hAnsi="Times New Roman" w:cs="Times New Roman"/>
      <w:b/>
      <w:color w:val="000000"/>
      <w:sz w:val="26"/>
    </w:rPr>
  </w:style>
  <w:style w:type="paragraph" w:styleId="Heading2">
    <w:name w:val="heading 2"/>
    <w:next w:val="Normal"/>
    <w:link w:val="Heading2Char"/>
    <w:uiPriority w:val="9"/>
    <w:unhideWhenUsed/>
    <w:qFormat/>
    <w:pPr>
      <w:keepNext/>
      <w:keepLines/>
      <w:numPr>
        <w:ilvl w:val="1"/>
        <w:numId w:val="65"/>
      </w:numPr>
      <w:spacing w:after="79" w:line="271" w:lineRule="auto"/>
      <w:ind w:left="10" w:right="34" w:hanging="10"/>
      <w:jc w:val="both"/>
      <w:outlineLvl w:val="1"/>
    </w:pPr>
    <w:rPr>
      <w:rFonts w:ascii="Times New Roman" w:eastAsia="Times New Roman" w:hAnsi="Times New Roman" w:cs="Times New Roman"/>
      <w:b/>
      <w:color w:val="000000"/>
      <w:sz w:val="24"/>
    </w:rPr>
  </w:style>
  <w:style w:type="paragraph" w:styleId="Heading3">
    <w:name w:val="heading 3"/>
    <w:next w:val="Normal"/>
    <w:link w:val="Heading3Char"/>
    <w:uiPriority w:val="9"/>
    <w:unhideWhenUsed/>
    <w:qFormat/>
    <w:pPr>
      <w:keepNext/>
      <w:keepLines/>
      <w:spacing w:after="0"/>
      <w:ind w:left="10" w:hanging="10"/>
      <w:outlineLvl w:val="2"/>
    </w:pPr>
    <w:rPr>
      <w:rFonts w:ascii="Times New Roman" w:eastAsia="Times New Roman" w:hAnsi="Times New Roman" w:cs="Times New Roman"/>
      <w:b/>
      <w:color w:val="000000"/>
      <w:sz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footnotedescription">
    <w:name w:val="footnote description"/>
    <w:next w:val="Normal"/>
    <w:link w:val="footnotedescriptionChar"/>
    <w:hidden/>
    <w:pPr>
      <w:spacing w:after="0"/>
    </w:pPr>
    <w:rPr>
      <w:rFonts w:ascii="Times New Roman" w:eastAsia="Times New Roman" w:hAnsi="Times New Roman" w:cs="Times New Roman"/>
      <w:color w:val="000000"/>
      <w:sz w:val="16"/>
    </w:rPr>
  </w:style>
  <w:style w:type="character" w:customStyle="1" w:styleId="footnotedescriptionChar">
    <w:name w:val="footnote description Char"/>
    <w:link w:val="footnotedescription"/>
    <w:rPr>
      <w:rFonts w:ascii="Times New Roman" w:eastAsia="Times New Roman" w:hAnsi="Times New Roman" w:cs="Times New Roman"/>
      <w:color w:val="000000"/>
      <w:sz w:val="16"/>
    </w:rPr>
  </w:style>
  <w:style w:type="character" w:customStyle="1" w:styleId="Heading1Char">
    <w:name w:val="Heading 1 Char"/>
    <w:link w:val="Heading1"/>
    <w:rPr>
      <w:rFonts w:ascii="Times New Roman" w:eastAsia="Times New Roman" w:hAnsi="Times New Roman" w:cs="Times New Roman"/>
      <w:b/>
      <w:color w:val="000000"/>
      <w:sz w:val="26"/>
    </w:rPr>
  </w:style>
  <w:style w:type="character" w:customStyle="1" w:styleId="Heading2Char">
    <w:name w:val="Heading 2 Char"/>
    <w:link w:val="Heading2"/>
    <w:rPr>
      <w:rFonts w:ascii="Times New Roman" w:eastAsia="Times New Roman" w:hAnsi="Times New Roman" w:cs="Times New Roman"/>
      <w:b/>
      <w:color w:val="000000"/>
      <w:sz w:val="24"/>
    </w:rPr>
  </w:style>
  <w:style w:type="character" w:customStyle="1" w:styleId="Heading3Char">
    <w:name w:val="Heading 3 Char"/>
    <w:link w:val="Heading3"/>
    <w:rPr>
      <w:rFonts w:ascii="Times New Roman" w:eastAsia="Times New Roman" w:hAnsi="Times New Roman" w:cs="Times New Roman"/>
      <w:b/>
      <w:color w:val="000000"/>
      <w:sz w:val="20"/>
    </w:rPr>
  </w:style>
  <w:style w:type="character" w:customStyle="1" w:styleId="footnotemark">
    <w:name w:val="footnote mark"/>
    <w:hidden/>
    <w:rPr>
      <w:rFonts w:ascii="Times New Roman" w:eastAsia="Times New Roman" w:hAnsi="Times New Roman" w:cs="Times New Roman"/>
      <w:color w:val="000000"/>
      <w:sz w:val="16"/>
      <w:vertAlign w:val="superscript"/>
    </w:rPr>
  </w:style>
  <w:style w:type="table" w:customStyle="1" w:styleId="TableGrid">
    <w:name w:val="TableGrid"/>
    <w:pPr>
      <w:spacing w:after="0" w:line="240" w:lineRule="auto"/>
    </w:p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138" Type="http://schemas.openxmlformats.org/officeDocument/2006/relationships/image" Target="media/image6.png"/><Relationship Id="rId159" Type="http://schemas.openxmlformats.org/officeDocument/2006/relationships/hyperlink" Target="https://cep.org.rs/dorucak-sa-novinarima-na-temu-erp-a-opasnost-zanemarivanja-ekonomskih-tema-u-procesu-pristupanja/" TargetMode="External"/><Relationship Id="rId170" Type="http://schemas.openxmlformats.org/officeDocument/2006/relationships/hyperlink" Target="https://cep.org.rs/dorucak-sa-novinarima-na-temu-erp-a-opasnost-zanemarivanja-ekonomskih-tema-u-procesu-pristupanja/" TargetMode="External"/><Relationship Id="rId191" Type="http://schemas.openxmlformats.org/officeDocument/2006/relationships/hyperlink" Target="https://www.srbija.gov.rs/vest/490045/preliminarna-lista-strukturnih-reformi-za-erp-stavljena-na-uvid-javnosti.php" TargetMode="External"/><Relationship Id="rId205" Type="http://schemas.openxmlformats.org/officeDocument/2006/relationships/hyperlink" Target="https://www.srbija.gov.rs/vest/490045/preliminarna-lista-strukturnih-reformi-za-erp-stavljena-na-uvid-javnosti.php" TargetMode="External"/><Relationship Id="rId226" Type="http://schemas.openxmlformats.org/officeDocument/2006/relationships/footer" Target="footer3.xml"/><Relationship Id="rId247" Type="http://schemas.openxmlformats.org/officeDocument/2006/relationships/hyperlink" Target="https://data.consilium.europa.eu/doc/document/ST-7473-2020-INIT/en/pdf" TargetMode="External"/><Relationship Id="rId268" Type="http://schemas.openxmlformats.org/officeDocument/2006/relationships/header" Target="header20.xml"/><Relationship Id="rId11" Type="http://schemas.openxmlformats.org/officeDocument/2006/relationships/image" Target="media/image1.jpg"/><Relationship Id="rId149" Type="http://schemas.openxmlformats.org/officeDocument/2006/relationships/image" Target="media/image11.jpg"/><Relationship Id="rId5" Type="http://schemas.openxmlformats.org/officeDocument/2006/relationships/footnotes" Target="footnotes.xml"/><Relationship Id="rId160" Type="http://schemas.openxmlformats.org/officeDocument/2006/relationships/hyperlink" Target="https://cep.org.rs/dorucak-sa-novinarima-na-temu-erp-a-opasnost-zanemarivanja-ekonomskih-tema-u-procesu-pristupanja/" TargetMode="External"/><Relationship Id="rId181" Type="http://schemas.openxmlformats.org/officeDocument/2006/relationships/hyperlink" Target="https://cep.org.rs/dorucak-sa-novinarima-na-temu-erp-a-opasnost-zanemarivanja-ekonomskih-tema-u-procesu-pristupanja/" TargetMode="External"/><Relationship Id="rId216" Type="http://schemas.openxmlformats.org/officeDocument/2006/relationships/hyperlink" Target="https://www.mfin.gov.rs/propisi/nacrt-programa-ekonomskih-reformi-erp-2021-2023/" TargetMode="External"/><Relationship Id="rId237" Type="http://schemas.openxmlformats.org/officeDocument/2006/relationships/header" Target="header9.xml"/><Relationship Id="rId258" Type="http://schemas.openxmlformats.org/officeDocument/2006/relationships/header" Target="header17.xml"/><Relationship Id="rId134" Type="http://schemas.openxmlformats.org/officeDocument/2006/relationships/image" Target="media/image10.jpg"/><Relationship Id="rId139" Type="http://schemas.openxmlformats.org/officeDocument/2006/relationships/image" Target="media/image7.png"/><Relationship Id="rId150" Type="http://schemas.openxmlformats.org/officeDocument/2006/relationships/image" Target="media/image12.jpg"/><Relationship Id="rId155" Type="http://schemas.openxmlformats.org/officeDocument/2006/relationships/image" Target="media/image17.jpg"/><Relationship Id="rId171" Type="http://schemas.openxmlformats.org/officeDocument/2006/relationships/hyperlink" Target="https://cep.org.rs/dorucak-sa-novinarima-na-temu-erp-a-opasnost-zanemarivanja-ekonomskih-tema-u-procesu-pristupanja/" TargetMode="External"/><Relationship Id="rId176" Type="http://schemas.openxmlformats.org/officeDocument/2006/relationships/hyperlink" Target="https://cep.org.rs/dorucak-sa-novinarima-na-temu-erp-a-opasnost-zanemarivanja-ekonomskih-tema-u-procesu-pristupanja/" TargetMode="External"/><Relationship Id="rId192" Type="http://schemas.openxmlformats.org/officeDocument/2006/relationships/hyperlink" Target="https://www.srbija.gov.rs/vest/490045/preliminarna-lista-strukturnih-reformi-za-erp-stavljena-na-uvid-javnosti.php" TargetMode="External"/><Relationship Id="rId197" Type="http://schemas.openxmlformats.org/officeDocument/2006/relationships/hyperlink" Target="https://www.srbija.gov.rs/vest/490045/preliminarna-lista-strukturnih-reformi-za-erp-stavljena-na-uvid-javnosti.php" TargetMode="External"/><Relationship Id="rId206" Type="http://schemas.openxmlformats.org/officeDocument/2006/relationships/hyperlink" Target="https://www.mfin.gov.rs/propisi/nacrt-programa-ekonomskih-reformi-erp-2021-2023/" TargetMode="External"/><Relationship Id="rId227" Type="http://schemas.openxmlformats.org/officeDocument/2006/relationships/header" Target="header4.xml"/><Relationship Id="rId201" Type="http://schemas.openxmlformats.org/officeDocument/2006/relationships/hyperlink" Target="https://www.srbija.gov.rs/vest/490045/preliminarna-lista-strukturnih-reformi-za-erp-stavljena-na-uvid-javnosti.php" TargetMode="External"/><Relationship Id="rId222" Type="http://schemas.openxmlformats.org/officeDocument/2006/relationships/header" Target="header2.xml"/><Relationship Id="rId243" Type="http://schemas.openxmlformats.org/officeDocument/2006/relationships/header" Target="header12.xml"/><Relationship Id="rId248" Type="http://schemas.openxmlformats.org/officeDocument/2006/relationships/hyperlink" Target="https://data.consilium.europa.eu/doc/document/ST-7473-2020-INIT/en/pdf" TargetMode="External"/><Relationship Id="rId264" Type="http://schemas.openxmlformats.org/officeDocument/2006/relationships/hyperlink" Target="https://finance.gov.mk/files/6%20draft%20ERP%202020%2005122019%20EN.pdf" TargetMode="External"/><Relationship Id="rId269" Type="http://schemas.openxmlformats.org/officeDocument/2006/relationships/footer" Target="footer19.xml"/><Relationship Id="rId12" Type="http://schemas.openxmlformats.org/officeDocument/2006/relationships/image" Target="media/image2.jpg"/><Relationship Id="rId140" Type="http://schemas.openxmlformats.org/officeDocument/2006/relationships/image" Target="media/image8.png"/><Relationship Id="rId145" Type="http://schemas.openxmlformats.org/officeDocument/2006/relationships/image" Target="media/image16.png"/><Relationship Id="rId161" Type="http://schemas.openxmlformats.org/officeDocument/2006/relationships/hyperlink" Target="https://cep.org.rs/dorucak-sa-novinarima-na-temu-erp-a-opasnost-zanemarivanja-ekonomskih-tema-u-procesu-pristupanja/" TargetMode="External"/><Relationship Id="rId166" Type="http://schemas.openxmlformats.org/officeDocument/2006/relationships/hyperlink" Target="https://cep.org.rs/dorucak-sa-novinarima-na-temu-erp-a-opasnost-zanemarivanja-ekonomskih-tema-u-procesu-pristupanja/" TargetMode="External"/><Relationship Id="rId182" Type="http://schemas.openxmlformats.org/officeDocument/2006/relationships/hyperlink" Target="https://cep.org.rs/dorucak-sa-novinarima-na-temu-erp-a-opasnost-zanemarivanja-ekonomskih-tema-u-procesu-pristupanja/" TargetMode="External"/><Relationship Id="rId187" Type="http://schemas.openxmlformats.org/officeDocument/2006/relationships/hyperlink" Target="https://www.srbija.gov.rs/vest/490045/preliminarna-lista-strukturnih-reformi-za-erp-stavljena-na-uvid-javnosti.php" TargetMode="External"/><Relationship Id="rId217" Type="http://schemas.openxmlformats.org/officeDocument/2006/relationships/hyperlink" Target="https://www.mfin.gov.rs/propisi/nacrt-programa-ekonomskih-reformi-erp-2021-2023/" TargetMode="External"/><Relationship Id="rId1" Type="http://schemas.openxmlformats.org/officeDocument/2006/relationships/numbering" Target="numbering.xml"/><Relationship Id="rId6" Type="http://schemas.openxmlformats.org/officeDocument/2006/relationships/endnotes" Target="endnotes.xml"/><Relationship Id="rId212" Type="http://schemas.openxmlformats.org/officeDocument/2006/relationships/hyperlink" Target="https://www.mfin.gov.rs/propisi/nacrt-programa-ekonomskih-reformi-erp-2021-2023/" TargetMode="External"/><Relationship Id="rId233" Type="http://schemas.openxmlformats.org/officeDocument/2006/relationships/header" Target="header7.xml"/><Relationship Id="rId238" Type="http://schemas.openxmlformats.org/officeDocument/2006/relationships/footer" Target="footer9.xml"/><Relationship Id="rId254" Type="http://schemas.openxmlformats.org/officeDocument/2006/relationships/footer" Target="footer14.xml"/><Relationship Id="rId259" Type="http://schemas.openxmlformats.org/officeDocument/2006/relationships/footer" Target="footer16.xml"/><Relationship Id="rId270" Type="http://schemas.openxmlformats.org/officeDocument/2006/relationships/footer" Target="footer20.xml"/><Relationship Id="rId135" Type="http://schemas.openxmlformats.org/officeDocument/2006/relationships/image" Target="media/image3.jpg"/><Relationship Id="rId151" Type="http://schemas.openxmlformats.org/officeDocument/2006/relationships/image" Target="media/image13.jpg"/><Relationship Id="rId156" Type="http://schemas.openxmlformats.org/officeDocument/2006/relationships/image" Target="media/image18.png"/><Relationship Id="rId177" Type="http://schemas.openxmlformats.org/officeDocument/2006/relationships/hyperlink" Target="https://cep.org.rs/dorucak-sa-novinarima-na-temu-erp-a-opasnost-zanemarivanja-ekonomskih-tema-u-procesu-pristupanja/" TargetMode="External"/><Relationship Id="rId198" Type="http://schemas.openxmlformats.org/officeDocument/2006/relationships/hyperlink" Target="https://www.srbija.gov.rs/vest/490045/preliminarna-lista-strukturnih-reformi-za-erp-stavljena-na-uvid-javnosti.php" TargetMode="External"/><Relationship Id="rId172" Type="http://schemas.openxmlformats.org/officeDocument/2006/relationships/hyperlink" Target="https://cep.org.rs/dorucak-sa-novinarima-na-temu-erp-a-opasnost-zanemarivanja-ekonomskih-tema-u-procesu-pristupanja/" TargetMode="External"/><Relationship Id="rId193" Type="http://schemas.openxmlformats.org/officeDocument/2006/relationships/hyperlink" Target="https://www.srbija.gov.rs/vest/490045/preliminarna-lista-strukturnih-reformi-za-erp-stavljena-na-uvid-javnosti.php" TargetMode="External"/><Relationship Id="rId202" Type="http://schemas.openxmlformats.org/officeDocument/2006/relationships/hyperlink" Target="https://www.srbija.gov.rs/vest/490045/preliminarna-lista-strukturnih-reformi-za-erp-stavljena-na-uvid-javnosti.php" TargetMode="External"/><Relationship Id="rId207" Type="http://schemas.openxmlformats.org/officeDocument/2006/relationships/hyperlink" Target="https://www.mfin.gov.rs/propisi/nacrt-programa-ekonomskih-reformi-erp-2021-2023/" TargetMode="External"/><Relationship Id="rId223" Type="http://schemas.openxmlformats.org/officeDocument/2006/relationships/footer" Target="footer1.xml"/><Relationship Id="rId228" Type="http://schemas.openxmlformats.org/officeDocument/2006/relationships/header" Target="header5.xml"/><Relationship Id="rId244" Type="http://schemas.openxmlformats.org/officeDocument/2006/relationships/footer" Target="footer12.xml"/><Relationship Id="rId249" Type="http://schemas.openxmlformats.org/officeDocument/2006/relationships/hyperlink" Target="https://www.oecd.org/south-east-europe/programme/ERP_Prioritisation_Tool.pdf" TargetMode="External"/><Relationship Id="rId260" Type="http://schemas.openxmlformats.org/officeDocument/2006/relationships/footer" Target="footer17.xml"/><Relationship Id="rId265" Type="http://schemas.openxmlformats.org/officeDocument/2006/relationships/hyperlink" Target="https://ec.europa.eu/neighbourhood-enlargement/sites/near/files/communication_on_wb_economic_and_investment_plan_october_2020_en.pdf" TargetMode="External"/><Relationship Id="rId141" Type="http://schemas.openxmlformats.org/officeDocument/2006/relationships/image" Target="media/image15.png"/><Relationship Id="rId146" Type="http://schemas.openxmlformats.org/officeDocument/2006/relationships/image" Target="media/image70.png"/><Relationship Id="rId167" Type="http://schemas.openxmlformats.org/officeDocument/2006/relationships/hyperlink" Target="https://cep.org.rs/dorucak-sa-novinarima-na-temu-erp-a-opasnost-zanemarivanja-ekonomskih-tema-u-procesu-pristupanja/" TargetMode="External"/><Relationship Id="rId188" Type="http://schemas.openxmlformats.org/officeDocument/2006/relationships/hyperlink" Target="https://www.srbija.gov.rs/vest/490045/preliminarna-lista-strukturnih-reformi-za-erp-stavljena-na-uvid-javnosti.php" TargetMode="External"/><Relationship Id="rId7" Type="http://schemas.openxmlformats.org/officeDocument/2006/relationships/hyperlink" Target="https://www.nbs.rs/internet/english/30/Memorandum_Dinarisation_Strategy_2018.pdf" TargetMode="External"/><Relationship Id="rId162" Type="http://schemas.openxmlformats.org/officeDocument/2006/relationships/hyperlink" Target="https://cep.org.rs/dorucak-sa-novinarima-na-temu-erp-a-opasnost-zanemarivanja-ekonomskih-tema-u-procesu-pristupanja/" TargetMode="External"/><Relationship Id="rId183" Type="http://schemas.openxmlformats.org/officeDocument/2006/relationships/hyperlink" Target="https://cep.org.rs/dorucak-sa-novinarima-na-temu-erp-a-opasnost-zanemarivanja-ekonomskih-tema-u-procesu-pristupanja/" TargetMode="External"/><Relationship Id="rId213" Type="http://schemas.openxmlformats.org/officeDocument/2006/relationships/hyperlink" Target="https://www.mfin.gov.rs/propisi/nacrt-programa-ekonomskih-reformi-erp-2021-2023/" TargetMode="External"/><Relationship Id="rId218" Type="http://schemas.openxmlformats.org/officeDocument/2006/relationships/hyperlink" Target="https://www.mfin.gov.rs/propisi/nacrt-programa-ekonomskih-reformi-erp-2021-2023/" TargetMode="External"/><Relationship Id="rId234" Type="http://schemas.openxmlformats.org/officeDocument/2006/relationships/header" Target="header8.xml"/><Relationship Id="rId239" Type="http://schemas.openxmlformats.org/officeDocument/2006/relationships/header" Target="header10.xml"/><Relationship Id="rId2" Type="http://schemas.openxmlformats.org/officeDocument/2006/relationships/styles" Target="styles.xml"/><Relationship Id="rId250" Type="http://schemas.openxmlformats.org/officeDocument/2006/relationships/hyperlink" Target="https://www.oecd.org/south-east-europe/programme/ERP_Prioritisation_Tool.pdf" TargetMode="External"/><Relationship Id="rId255" Type="http://schemas.openxmlformats.org/officeDocument/2006/relationships/header" Target="header15.xml"/><Relationship Id="rId271" Type="http://schemas.openxmlformats.org/officeDocument/2006/relationships/header" Target="header21.xml"/><Relationship Id="rId136" Type="http://schemas.openxmlformats.org/officeDocument/2006/relationships/image" Target="media/image4.jpg"/><Relationship Id="rId157" Type="http://schemas.openxmlformats.org/officeDocument/2006/relationships/hyperlink" Target="https://cep.org.rs/dorucak-sa-novinarima-na-temu-erp-a-opasnost-zanemarivanja-ekonomskih-tema-u-procesu-pristupanja/" TargetMode="External"/><Relationship Id="rId178" Type="http://schemas.openxmlformats.org/officeDocument/2006/relationships/hyperlink" Target="https://cep.org.rs/dorucak-sa-novinarima-na-temu-erp-a-opasnost-zanemarivanja-ekonomskih-tema-u-procesu-pristupanja/" TargetMode="External"/><Relationship Id="rId152" Type="http://schemas.openxmlformats.org/officeDocument/2006/relationships/image" Target="media/image14.jpg"/><Relationship Id="rId173" Type="http://schemas.openxmlformats.org/officeDocument/2006/relationships/hyperlink" Target="https://cep.org.rs/dorucak-sa-novinarima-na-temu-erp-a-opasnost-zanemarivanja-ekonomskih-tema-u-procesu-pristupanja/" TargetMode="External"/><Relationship Id="rId194" Type="http://schemas.openxmlformats.org/officeDocument/2006/relationships/hyperlink" Target="https://www.srbija.gov.rs/vest/490045/preliminarna-lista-strukturnih-reformi-za-erp-stavljena-na-uvid-javnosti.php" TargetMode="External"/><Relationship Id="rId199" Type="http://schemas.openxmlformats.org/officeDocument/2006/relationships/hyperlink" Target="https://www.srbija.gov.rs/vest/490045/preliminarna-lista-strukturnih-reformi-za-erp-stavljena-na-uvid-javnosti.php" TargetMode="External"/><Relationship Id="rId203" Type="http://schemas.openxmlformats.org/officeDocument/2006/relationships/hyperlink" Target="https://www.srbija.gov.rs/vest/490045/preliminarna-lista-strukturnih-reformi-za-erp-stavljena-na-uvid-javnosti.php" TargetMode="External"/><Relationship Id="rId208" Type="http://schemas.openxmlformats.org/officeDocument/2006/relationships/hyperlink" Target="https://www.mfin.gov.rs/propisi/nacrt-programa-ekonomskih-reformi-erp-2021-2023/" TargetMode="External"/><Relationship Id="rId229" Type="http://schemas.openxmlformats.org/officeDocument/2006/relationships/footer" Target="footer4.xml"/><Relationship Id="rId224" Type="http://schemas.openxmlformats.org/officeDocument/2006/relationships/footer" Target="footer2.xml"/><Relationship Id="rId240" Type="http://schemas.openxmlformats.org/officeDocument/2006/relationships/header" Target="header11.xml"/><Relationship Id="rId245" Type="http://schemas.openxmlformats.org/officeDocument/2006/relationships/hyperlink" Target="https://data.consilium.europa.eu/doc/document/ST-7473-2020-INIT/en/pdf" TargetMode="External"/><Relationship Id="rId261" Type="http://schemas.openxmlformats.org/officeDocument/2006/relationships/header" Target="header18.xml"/><Relationship Id="rId266" Type="http://schemas.openxmlformats.org/officeDocument/2006/relationships/hyperlink" Target="https://ec.europa.eu/neighbourhood-enlargement/sites/near/files/communication_on_wb_economic_and_investment_plan_october_2020_en.pdf" TargetMode="External"/><Relationship Id="rId147" Type="http://schemas.openxmlformats.org/officeDocument/2006/relationships/hyperlink" Target="http://www.mfin.gov.rs/pages/issue.php?id=8382" TargetMode="External"/><Relationship Id="rId168" Type="http://schemas.openxmlformats.org/officeDocument/2006/relationships/hyperlink" Target="https://cep.org.rs/dorucak-sa-novinarima-na-temu-erp-a-opasnost-zanemarivanja-ekonomskih-tema-u-procesu-pristupanja/" TargetMode="External"/><Relationship Id="rId8" Type="http://schemas.openxmlformats.org/officeDocument/2006/relationships/hyperlink" Target="https://www.nbs.rs/internet/english/30/Memorandum_Dinarisation_Strategy_2018.pdf" TargetMode="External"/><Relationship Id="rId142" Type="http://schemas.openxmlformats.org/officeDocument/2006/relationships/image" Target="media/image60.png"/><Relationship Id="rId163" Type="http://schemas.openxmlformats.org/officeDocument/2006/relationships/hyperlink" Target="https://cep.org.rs/dorucak-sa-novinarima-na-temu-erp-a-opasnost-zanemarivanja-ekonomskih-tema-u-procesu-pristupanja/" TargetMode="External"/><Relationship Id="rId184" Type="http://schemas.openxmlformats.org/officeDocument/2006/relationships/hyperlink" Target="https://cep.org.rs/dorucak-sa-novinarima-na-temu-erp-a-opasnost-zanemarivanja-ekonomskih-tema-u-procesu-pristupanja/" TargetMode="External"/><Relationship Id="rId189" Type="http://schemas.openxmlformats.org/officeDocument/2006/relationships/hyperlink" Target="https://www.srbija.gov.rs/vest/490045/preliminarna-lista-strukturnih-reformi-za-erp-stavljena-na-uvid-javnosti.php" TargetMode="External"/><Relationship Id="rId219" Type="http://schemas.openxmlformats.org/officeDocument/2006/relationships/hyperlink" Target="https://www.mfin.gov.rs/propisi/nacrt-programa-ekonomskih-reformi-erp-2021-2023/" TargetMode="External"/><Relationship Id="rId3" Type="http://schemas.openxmlformats.org/officeDocument/2006/relationships/settings" Target="settings.xml"/><Relationship Id="rId214" Type="http://schemas.openxmlformats.org/officeDocument/2006/relationships/hyperlink" Target="https://www.mfin.gov.rs/propisi/nacrt-programa-ekonomskih-reformi-erp-2021-2023/" TargetMode="External"/><Relationship Id="rId230" Type="http://schemas.openxmlformats.org/officeDocument/2006/relationships/footer" Target="footer5.xml"/><Relationship Id="rId235" Type="http://schemas.openxmlformats.org/officeDocument/2006/relationships/footer" Target="footer7.xml"/><Relationship Id="rId251" Type="http://schemas.openxmlformats.org/officeDocument/2006/relationships/header" Target="header13.xml"/><Relationship Id="rId256" Type="http://schemas.openxmlformats.org/officeDocument/2006/relationships/footer" Target="footer15.xml"/><Relationship Id="rId137" Type="http://schemas.openxmlformats.org/officeDocument/2006/relationships/image" Target="media/image5.jpg"/><Relationship Id="rId158" Type="http://schemas.openxmlformats.org/officeDocument/2006/relationships/hyperlink" Target="https://cep.org.rs/dorucak-sa-novinarima-na-temu-erp-a-opasnost-zanemarivanja-ekonomskih-tema-u-procesu-pristupanja/" TargetMode="External"/><Relationship Id="rId272" Type="http://schemas.openxmlformats.org/officeDocument/2006/relationships/footer" Target="footer21.xml"/><Relationship Id="rId153" Type="http://schemas.openxmlformats.org/officeDocument/2006/relationships/image" Target="media/image15.jpg"/><Relationship Id="rId174" Type="http://schemas.openxmlformats.org/officeDocument/2006/relationships/hyperlink" Target="https://cep.org.rs/dorucak-sa-novinarima-na-temu-erp-a-opasnost-zanemarivanja-ekonomskih-tema-u-procesu-pristupanja/" TargetMode="External"/><Relationship Id="rId179" Type="http://schemas.openxmlformats.org/officeDocument/2006/relationships/hyperlink" Target="https://cep.org.rs/dorucak-sa-novinarima-na-temu-erp-a-opasnost-zanemarivanja-ekonomskih-tema-u-procesu-pristupanja/" TargetMode="External"/><Relationship Id="rId195" Type="http://schemas.openxmlformats.org/officeDocument/2006/relationships/hyperlink" Target="https://www.srbija.gov.rs/vest/490045/preliminarna-lista-strukturnih-reformi-za-erp-stavljena-na-uvid-javnosti.php" TargetMode="External"/><Relationship Id="rId209" Type="http://schemas.openxmlformats.org/officeDocument/2006/relationships/hyperlink" Target="https://www.mfin.gov.rs/propisi/nacrt-programa-ekonomskih-reformi-erp-2021-2023/" TargetMode="External"/><Relationship Id="rId190" Type="http://schemas.openxmlformats.org/officeDocument/2006/relationships/hyperlink" Target="https://www.srbija.gov.rs/vest/490045/preliminarna-lista-strukturnih-reformi-za-erp-stavljena-na-uvid-javnosti.php" TargetMode="External"/><Relationship Id="rId204" Type="http://schemas.openxmlformats.org/officeDocument/2006/relationships/hyperlink" Target="https://www.srbija.gov.rs/vest/490045/preliminarna-lista-strukturnih-reformi-za-erp-stavljena-na-uvid-javnosti.php" TargetMode="External"/><Relationship Id="rId220" Type="http://schemas.openxmlformats.org/officeDocument/2006/relationships/hyperlink" Target="https://www.mfin.gov.rs/propisi/nacrt-programa-ekonomskih-reformi-erp-2021-2023/" TargetMode="External"/><Relationship Id="rId225" Type="http://schemas.openxmlformats.org/officeDocument/2006/relationships/header" Target="header3.xml"/><Relationship Id="rId241" Type="http://schemas.openxmlformats.org/officeDocument/2006/relationships/footer" Target="footer10.xml"/><Relationship Id="rId246" Type="http://schemas.openxmlformats.org/officeDocument/2006/relationships/hyperlink" Target="https://data.consilium.europa.eu/doc/document/ST-7473-2020-INIT/en/pdf" TargetMode="External"/><Relationship Id="rId267" Type="http://schemas.openxmlformats.org/officeDocument/2006/relationships/header" Target="header19.xml"/><Relationship Id="rId262" Type="http://schemas.openxmlformats.org/officeDocument/2006/relationships/footer" Target="footer18.xml"/><Relationship Id="rId10" Type="http://schemas.openxmlformats.org/officeDocument/2006/relationships/hyperlink" Target="https://www.nbs.rs/internet/english/30/Memorandum_Dinarisation_Strategy_2018.pdf" TargetMode="External"/><Relationship Id="rId143" Type="http://schemas.openxmlformats.org/officeDocument/2006/relationships/image" Target="media/image9.png"/><Relationship Id="rId148" Type="http://schemas.openxmlformats.org/officeDocument/2006/relationships/hyperlink" Target="http://www.mfin.gov.rs/pages/issue.php?id=8382" TargetMode="External"/><Relationship Id="rId164" Type="http://schemas.openxmlformats.org/officeDocument/2006/relationships/hyperlink" Target="https://cep.org.rs/dorucak-sa-novinarima-na-temu-erp-a-opasnost-zanemarivanja-ekonomskih-tema-u-procesu-pristupanja/" TargetMode="External"/><Relationship Id="rId169" Type="http://schemas.openxmlformats.org/officeDocument/2006/relationships/hyperlink" Target="https://cep.org.rs/dorucak-sa-novinarima-na-temu-erp-a-opasnost-zanemarivanja-ekonomskih-tema-u-procesu-pristupanja/" TargetMode="External"/><Relationship Id="rId185" Type="http://schemas.openxmlformats.org/officeDocument/2006/relationships/hyperlink" Target="https://www.srbija.gov.rs/vest/490045/preliminarna-lista-strukturnih-reformi-za-erp-stavljena-na-uvid-javnosti.php" TargetMode="External"/><Relationship Id="rId4" Type="http://schemas.openxmlformats.org/officeDocument/2006/relationships/webSettings" Target="webSettings.xml"/><Relationship Id="rId9" Type="http://schemas.openxmlformats.org/officeDocument/2006/relationships/hyperlink" Target="https://www.nbs.rs/internet/english/30/Memorandum_Dinarisation_Strategy_2018.pdf" TargetMode="External"/><Relationship Id="rId180" Type="http://schemas.openxmlformats.org/officeDocument/2006/relationships/hyperlink" Target="https://cep.org.rs/dorucak-sa-novinarima-na-temu-erp-a-opasnost-zanemarivanja-ekonomskih-tema-u-procesu-pristupanja/" TargetMode="External"/><Relationship Id="rId210" Type="http://schemas.openxmlformats.org/officeDocument/2006/relationships/hyperlink" Target="https://www.mfin.gov.rs/propisi/nacrt-programa-ekonomskih-reformi-erp-2021-2023/" TargetMode="External"/><Relationship Id="rId215" Type="http://schemas.openxmlformats.org/officeDocument/2006/relationships/hyperlink" Target="https://www.mfin.gov.rs/propisi/nacrt-programa-ekonomskih-reformi-erp-2021-2023/" TargetMode="External"/><Relationship Id="rId236" Type="http://schemas.openxmlformats.org/officeDocument/2006/relationships/footer" Target="footer8.xml"/><Relationship Id="rId257" Type="http://schemas.openxmlformats.org/officeDocument/2006/relationships/header" Target="header16.xml"/><Relationship Id="rId231" Type="http://schemas.openxmlformats.org/officeDocument/2006/relationships/header" Target="header6.xml"/><Relationship Id="rId252" Type="http://schemas.openxmlformats.org/officeDocument/2006/relationships/header" Target="header14.xml"/><Relationship Id="rId273" Type="http://schemas.openxmlformats.org/officeDocument/2006/relationships/fontTable" Target="fontTable.xml"/><Relationship Id="rId133" Type="http://schemas.openxmlformats.org/officeDocument/2006/relationships/image" Target="media/image0.jpg"/><Relationship Id="rId154" Type="http://schemas.openxmlformats.org/officeDocument/2006/relationships/image" Target="media/image16.jpg"/><Relationship Id="rId175" Type="http://schemas.openxmlformats.org/officeDocument/2006/relationships/hyperlink" Target="https://cep.org.rs/dorucak-sa-novinarima-na-temu-erp-a-opasnost-zanemarivanja-ekonomskih-tema-u-procesu-pristupanja/" TargetMode="External"/><Relationship Id="rId196" Type="http://schemas.openxmlformats.org/officeDocument/2006/relationships/hyperlink" Target="https://www.srbija.gov.rs/vest/490045/preliminarna-lista-strukturnih-reformi-za-erp-stavljena-na-uvid-javnosti.php" TargetMode="External"/><Relationship Id="rId200" Type="http://schemas.openxmlformats.org/officeDocument/2006/relationships/hyperlink" Target="https://www.srbija.gov.rs/vest/490045/preliminarna-lista-strukturnih-reformi-za-erp-stavljena-na-uvid-javnosti.php" TargetMode="External"/><Relationship Id="rId221" Type="http://schemas.openxmlformats.org/officeDocument/2006/relationships/header" Target="header1.xml"/><Relationship Id="rId242" Type="http://schemas.openxmlformats.org/officeDocument/2006/relationships/footer" Target="footer11.xml"/><Relationship Id="rId263" Type="http://schemas.openxmlformats.org/officeDocument/2006/relationships/hyperlink" Target="https://finance.gov.mk/files/6%20draft%20ERP%202020%2005122019%20EN.pdf" TargetMode="External"/><Relationship Id="rId144" Type="http://schemas.openxmlformats.org/officeDocument/2006/relationships/image" Target="media/image10.png"/><Relationship Id="rId165" Type="http://schemas.openxmlformats.org/officeDocument/2006/relationships/hyperlink" Target="https://cep.org.rs/dorucak-sa-novinarima-na-temu-erp-a-opasnost-zanemarivanja-ekonomskih-tema-u-procesu-pristupanja/" TargetMode="External"/><Relationship Id="rId186" Type="http://schemas.openxmlformats.org/officeDocument/2006/relationships/hyperlink" Target="https://www.srbija.gov.rs/vest/490045/preliminarna-lista-strukturnih-reformi-za-erp-stavljena-na-uvid-javnosti.php" TargetMode="External"/><Relationship Id="rId211" Type="http://schemas.openxmlformats.org/officeDocument/2006/relationships/hyperlink" Target="https://www.mfin.gov.rs/propisi/nacrt-programa-ekonomskih-reformi-erp-2021-2023/" TargetMode="External"/><Relationship Id="rId232" Type="http://schemas.openxmlformats.org/officeDocument/2006/relationships/footer" Target="footer6.xml"/><Relationship Id="rId253" Type="http://schemas.openxmlformats.org/officeDocument/2006/relationships/footer" Target="footer13.xml"/><Relationship Id="rId274" Type="http://schemas.openxmlformats.org/officeDocument/2006/relationships/theme" Target="theme/theme1.xml"/></Relationships>
</file>

<file path=word/_rels/footnotes.xml.rels><?xml version="1.0" encoding="UTF-8" standalone="yes"?>
<Relationships xmlns="http://schemas.openxmlformats.org/package/2006/relationships"><Relationship Id="rId117" Type="http://schemas.openxmlformats.org/officeDocument/2006/relationships/hyperlink" Target="http://hdr.undp.org/en/content/human-development-index-hdi" TargetMode="External"/><Relationship Id="rId21" Type="http://schemas.openxmlformats.org/officeDocument/2006/relationships/hyperlink" Target="http://www.obnova.gov.rs/uploads/useruploads/Documents/Kancelarija-za-pomoc-poplavljenih-podrucja-infograf-15-04-2016-srb.pdf" TargetMode="External"/><Relationship Id="rId42" Type="http://schemas.openxmlformats.org/officeDocument/2006/relationships/hyperlink" Target="https://preduzetnistvo.gov.rs/" TargetMode="External"/><Relationship Id="rId63" Type="http://schemas.openxmlformats.org/officeDocument/2006/relationships/hyperlink" Target="https://webgate.ec.europa.eu/dashboard/sense/app/a976d168-2023-41d8-acec-e77640154726/sheet/0c8af38b-b73c-4da2-ba41-73ea34ab7ac4/state/analysis" TargetMode="External"/><Relationship Id="rId84" Type="http://schemas.openxmlformats.org/officeDocument/2006/relationships/hyperlink" Target="https://appsso.eurostat.ec.europa.eu/nui/show.do?dataset=trng_lfse_01&amp;lang=en" TargetMode="External"/><Relationship Id="rId138" Type="http://schemas.openxmlformats.org/officeDocument/2006/relationships/hyperlink" Target="https://www.ghsindex.org/wp-content/uploads/2019/08/Serbia.pdf" TargetMode="External"/><Relationship Id="rId107" Type="http://schemas.openxmlformats.org/officeDocument/2006/relationships/hyperlink" Target="https://www.mfin.gov.rs/wp-content/uploads/2019/09/Vodic-kroz-gradjanski-budzet.pdf" TargetMode="External"/><Relationship Id="rId11" Type="http://schemas.openxmlformats.org/officeDocument/2006/relationships/hyperlink" Target="http://www.obnova.gov.rs/uploads/useruploads/Documents/Kancelarija-za-pomoc-poplavljenih-podrucja-infograf-15-04-2016-srb.pdf" TargetMode="External"/><Relationship Id="rId32" Type="http://schemas.openxmlformats.org/officeDocument/2006/relationships/hyperlink" Target="https://publikacije.stat.gov.rs/G2019/Pdf/G20196002.pdf" TargetMode="External"/><Relationship Id="rId53" Type="http://schemas.openxmlformats.org/officeDocument/2006/relationships/hyperlink" Target="https://webgate.ec.europa.eu/dashboard/sense/app/a976d168-2023-41d8-acec-e77640154726/sheet/0c8af38b-b73c-4da2-ba41-73ea34ab7ac4/state/analysis" TargetMode="External"/><Relationship Id="rId74" Type="http://schemas.openxmlformats.org/officeDocument/2006/relationships/hyperlink" Target="https://appsso.eurostat.ec.europa.eu/nui/submitViewTableAction.do" TargetMode="External"/><Relationship Id="rId128" Type="http://schemas.openxmlformats.org/officeDocument/2006/relationships/hyperlink" Target="https://www.mfin.gov.rs/dokumenti/makroekonomski-i-fiskalni-podaci/" TargetMode="External"/><Relationship Id="rId149" Type="http://schemas.openxmlformats.org/officeDocument/2006/relationships/hyperlink" Target="http://rfzo.rs/index.php/osiguranalica/listecekanja/lc-dnevni-presek" TargetMode="External"/><Relationship Id="rId5" Type="http://schemas.openxmlformats.org/officeDocument/2006/relationships/hyperlink" Target="http://www.obnova.gov.rs/uploads/useruploads/Documents/Kancelarija-za-pomoc-poplavljenih-podrucja-infograf-15-04-2016-srb.pdf" TargetMode="External"/><Relationship Id="rId95" Type="http://schemas.openxmlformats.org/officeDocument/2006/relationships/hyperlink" Target="https://europa.eu/europass/en/reports-referencing-national-qualifications-frameworks-eqf" TargetMode="External"/><Relationship Id="rId22" Type="http://schemas.openxmlformats.org/officeDocument/2006/relationships/hyperlink" Target="http://www.obnova.gov.rs/uploads/useruploads/Documents/Kancelarija-za-pomoc-poplavljenih-podrucja-infograf-15-04-2016-srb.pdf" TargetMode="External"/><Relationship Id="rId27" Type="http://schemas.openxmlformats.org/officeDocument/2006/relationships/hyperlink" Target="https://openknowledge.worldbank.org/bitstream/handle/10986/31804/9781464813870.pdf?sequence=7&amp;isAllowed=y" TargetMode="External"/><Relationship Id="rId43" Type="http://schemas.openxmlformats.org/officeDocument/2006/relationships/hyperlink" Target="https://preduzetnistvo.gov.rs/" TargetMode="External"/><Relationship Id="rId48" Type="http://schemas.openxmlformats.org/officeDocument/2006/relationships/hyperlink" Target="https://naled.rs/htdocs/Files/01428/Komasacija-vodic-web.pdf" TargetMode="External"/><Relationship Id="rId64" Type="http://schemas.openxmlformats.org/officeDocument/2006/relationships/hyperlink" Target="https://webgate.ec.europa.eu/dashboard/sense/app/a976d168-2023-41d8-acec-e77640154726/sheet/0c8af38b-b73c-4da2-ba41-73ea34ab7ac4/state/analysis" TargetMode="External"/><Relationship Id="rId69" Type="http://schemas.openxmlformats.org/officeDocument/2006/relationships/hyperlink" Target="https://webgate.ec.europa.eu/dashboard/sense/app/a976d168-2023-41d8-acec-e77640154726/sheet/0c8af38b-b73c-4da2-ba41-73ea34ab7ac4/state/analysis" TargetMode="External"/><Relationship Id="rId113" Type="http://schemas.openxmlformats.org/officeDocument/2006/relationships/hyperlink" Target="http://hdr.undp.org/en/content/human-development-index-hdi" TargetMode="External"/><Relationship Id="rId118" Type="http://schemas.openxmlformats.org/officeDocument/2006/relationships/hyperlink" Target="http://hdr.undp.org/en/content/human-development-index-hdi" TargetMode="External"/><Relationship Id="rId134" Type="http://schemas.openxmlformats.org/officeDocument/2006/relationships/hyperlink" Target="https://www.mfin.gov.rs/dokumenti/makroekonomski-i-fiskalni-podaci/" TargetMode="External"/><Relationship Id="rId139" Type="http://schemas.openxmlformats.org/officeDocument/2006/relationships/hyperlink" Target="https://www.ghsindex.org/wp-content/uploads/2019/08/Serbia.pdf" TargetMode="External"/><Relationship Id="rId80" Type="http://schemas.openxmlformats.org/officeDocument/2006/relationships/hyperlink" Target="https://networkreadinessindex.org/nri-2019-countries/" TargetMode="External"/><Relationship Id="rId85" Type="http://schemas.openxmlformats.org/officeDocument/2006/relationships/hyperlink" Target="https://appsso.eurostat.ec.europa.eu/nui/show.do?dataset=trng_lfse_01&amp;lang=en" TargetMode="External"/><Relationship Id="rId12" Type="http://schemas.openxmlformats.org/officeDocument/2006/relationships/hyperlink" Target="http://www.obnova.gov.rs/uploads/useruploads/Documents/Kancelarija-za-pomoc-poplavljenih-podrucja-infograf-15-04-2016-srb.pdf" TargetMode="External"/><Relationship Id="rId17" Type="http://schemas.openxmlformats.org/officeDocument/2006/relationships/hyperlink" Target="http://www.obnova.gov.rs/uploads/useruploads/Documents/Kancelarija-za-pomoc-poplavljenih-podrucja-infograf-15-04-2016-srb.pdf" TargetMode="External"/><Relationship Id="rId33" Type="http://schemas.openxmlformats.org/officeDocument/2006/relationships/hyperlink" Target="https://naled.rs/htdocs/Files/01428/Komasacija-vodic-web.pdf" TargetMode="External"/><Relationship Id="rId38" Type="http://schemas.openxmlformats.org/officeDocument/2006/relationships/hyperlink" Target="https://naled.rs/htdocs/Files/01428/Komasacija-vodic-web.pdf" TargetMode="External"/><Relationship Id="rId59" Type="http://schemas.openxmlformats.org/officeDocument/2006/relationships/hyperlink" Target="https://webgate.ec.europa.eu/dashboard/sense/app/a976d168-2023-41d8-acec-e77640154726/sheet/0c8af38b-b73c-4da2-ba41-73ea34ab7ac4/state/analysis" TargetMode="External"/><Relationship Id="rId103" Type="http://schemas.openxmlformats.org/officeDocument/2006/relationships/hyperlink" Target="https://www.mfin.gov.rs/wp-content/uploads/2019/09/Vodic-kroz-gradjanski-budzet.pdf" TargetMode="External"/><Relationship Id="rId108" Type="http://schemas.openxmlformats.org/officeDocument/2006/relationships/hyperlink" Target="https://www.mfin.gov.rs/wp-content/uploads/2019/09/Vodic-kroz-gradjanski-budzet.pdf" TargetMode="External"/><Relationship Id="rId124" Type="http://schemas.openxmlformats.org/officeDocument/2006/relationships/hyperlink" Target="https://ec.europa.eu/eurostat/tgm/table.do?tab=table&amp;init=1&amp;language=en&amp;pcode=tessi190&amp;plugin=1" TargetMode="External"/><Relationship Id="rId129" Type="http://schemas.openxmlformats.org/officeDocument/2006/relationships/hyperlink" Target="https://www.mfin.gov.rs/dokumenti/makroekonomski-i-fiskalni-podaci/" TargetMode="External"/><Relationship Id="rId54" Type="http://schemas.openxmlformats.org/officeDocument/2006/relationships/hyperlink" Target="https://webgate.ec.europa.eu/dashboard/sense/app/a976d168-2023-41d8-acec-e77640154726/sheet/0c8af38b-b73c-4da2-ba41-73ea34ab7ac4/state/analysis" TargetMode="External"/><Relationship Id="rId70" Type="http://schemas.openxmlformats.org/officeDocument/2006/relationships/hyperlink" Target="https://startupgenome.com/reports/gser2020" TargetMode="External"/><Relationship Id="rId75" Type="http://schemas.openxmlformats.org/officeDocument/2006/relationships/hyperlink" Target="https://networkreadinessindex.org/nri-2019-countries/" TargetMode="External"/><Relationship Id="rId91" Type="http://schemas.openxmlformats.org/officeDocument/2006/relationships/hyperlink" Target="https://europa.eu/europass/en/reports-referencing-national-qualifications-frameworks-eqf" TargetMode="External"/><Relationship Id="rId96" Type="http://schemas.openxmlformats.org/officeDocument/2006/relationships/hyperlink" Target="https://europa.eu/europass/en/reports-referencing-national-qualifications-frameworks-eqf" TargetMode="External"/><Relationship Id="rId140" Type="http://schemas.openxmlformats.org/officeDocument/2006/relationships/hyperlink" Target="https://www.ghsindex.org/wp-content/uploads/2019/08/Serbia.pdf" TargetMode="External"/><Relationship Id="rId145" Type="http://schemas.openxmlformats.org/officeDocument/2006/relationships/hyperlink" Target="http://rfzo.rs/index.php/osiguranalica/listecekanja/lc-dnevni-presek" TargetMode="External"/><Relationship Id="rId1" Type="http://schemas.openxmlformats.org/officeDocument/2006/relationships/hyperlink" Target="http://www.mfin.gov.rs/pages/article.php?id=8626" TargetMode="External"/><Relationship Id="rId6" Type="http://schemas.openxmlformats.org/officeDocument/2006/relationships/hyperlink" Target="http://www.obnova.gov.rs/uploads/useruploads/Documents/Kancelarija-za-pomoc-poplavljenih-podrucja-infograf-15-04-2016-srb.pdf" TargetMode="External"/><Relationship Id="rId23" Type="http://schemas.openxmlformats.org/officeDocument/2006/relationships/hyperlink" Target="http://www.obnova.gov.rs/uploads/useruploads/Documents/Kancelarija-za-pomoc-poplavljenih-podrucja-infograf-15-04-2016-srb.pdf" TargetMode="External"/><Relationship Id="rId28" Type="http://schemas.openxmlformats.org/officeDocument/2006/relationships/hyperlink" Target="https://openknowledge.worldbank.org/bitstream/handle/10986/31804/9781464813870.pdf?sequence=7&amp;isAllowed=y" TargetMode="External"/><Relationship Id="rId49" Type="http://schemas.openxmlformats.org/officeDocument/2006/relationships/hyperlink" Target="https://naled.rs/htdocs/Files/01428/Komasacija-vodic-web.pdf" TargetMode="External"/><Relationship Id="rId114" Type="http://schemas.openxmlformats.org/officeDocument/2006/relationships/hyperlink" Target="http://hdr.undp.org/en/content/human-development-index-hdi" TargetMode="External"/><Relationship Id="rId119" Type="http://schemas.openxmlformats.org/officeDocument/2006/relationships/hyperlink" Target="http://hdr.undp.org/en/content/human-development-index-hdi" TargetMode="External"/><Relationship Id="rId44" Type="http://schemas.openxmlformats.org/officeDocument/2006/relationships/hyperlink" Target="https://naled.rs/htdocs/Files/01428/Komasacija-vodic-web.pdf" TargetMode="External"/><Relationship Id="rId60" Type="http://schemas.openxmlformats.org/officeDocument/2006/relationships/hyperlink" Target="https://webgate.ec.europa.eu/dashboard/sense/app/a976d168-2023-41d8-acec-e77640154726/sheet/0c8af38b-b73c-4da2-ba41-73ea34ab7ac4/state/analysis" TargetMode="External"/><Relationship Id="rId65" Type="http://schemas.openxmlformats.org/officeDocument/2006/relationships/hyperlink" Target="https://webgate.ec.europa.eu/dashboard/sense/app/a976d168-2023-41d8-acec-e77640154726/sheet/0c8af38b-b73c-4da2-ba41-73ea34ab7ac4/state/analysis" TargetMode="External"/><Relationship Id="rId81" Type="http://schemas.openxmlformats.org/officeDocument/2006/relationships/hyperlink" Target="https://networkreadinessindex.org/nri-2019-countries/" TargetMode="External"/><Relationship Id="rId86" Type="http://schemas.openxmlformats.org/officeDocument/2006/relationships/hyperlink" Target="https://appsso.eurostat.ec.europa.eu/nui/show.do?dataset=trng_lfse_01&amp;lang=en" TargetMode="External"/><Relationship Id="rId130" Type="http://schemas.openxmlformats.org/officeDocument/2006/relationships/hyperlink" Target="https://www.mfin.gov.rs/dokumenti/makroekonomski-i-fiskalni-podaci/" TargetMode="External"/><Relationship Id="rId135" Type="http://schemas.openxmlformats.org/officeDocument/2006/relationships/hyperlink" Target="https://www.mfin.gov.rs/dokumenti/makroekonomski-i-fiskalni-podaci/" TargetMode="External"/><Relationship Id="rId13" Type="http://schemas.openxmlformats.org/officeDocument/2006/relationships/hyperlink" Target="http://www.obnova.gov.rs/uploads/useruploads/Documents/Kancelarija-za-pomoc-poplavljenih-podrucja-infograf-15-04-2016-srb.pdf" TargetMode="External"/><Relationship Id="rId18" Type="http://schemas.openxmlformats.org/officeDocument/2006/relationships/hyperlink" Target="http://www.obnova.gov.rs/uploads/useruploads/Documents/Kancelarija-za-pomoc-poplavljenih-podrucja-infograf-15-04-2016-srb.pdf" TargetMode="External"/><Relationship Id="rId39" Type="http://schemas.openxmlformats.org/officeDocument/2006/relationships/hyperlink" Target="https://naled.rs/htdocs/Files/01428/Komasacija-vodic-web.pdf" TargetMode="External"/><Relationship Id="rId109" Type="http://schemas.openxmlformats.org/officeDocument/2006/relationships/hyperlink" Target="https://www.mfin.gov.rs/wp-content/uploads/2019/09/Vodic-kroz-gradjanski-budzet.pdf" TargetMode="External"/><Relationship Id="rId34" Type="http://schemas.openxmlformats.org/officeDocument/2006/relationships/hyperlink" Target="https://naled.rs/htdocs/Files/01428/Komasacija-vodic-web.pdf" TargetMode="External"/><Relationship Id="rId50" Type="http://schemas.openxmlformats.org/officeDocument/2006/relationships/hyperlink" Target="https://naled.rs/htdocs/Files/01428/Komasacija-vodic-web.pdf" TargetMode="External"/><Relationship Id="rId55" Type="http://schemas.openxmlformats.org/officeDocument/2006/relationships/hyperlink" Target="https://webgate.ec.europa.eu/dashboard/sense/app/a976d168-2023-41d8-acec-e77640154726/sheet/0c8af38b-b73c-4da2-ba41-73ea34ab7ac4/state/analysis" TargetMode="External"/><Relationship Id="rId76" Type="http://schemas.openxmlformats.org/officeDocument/2006/relationships/hyperlink" Target="https://networkreadinessindex.org/nri-2019-countries/" TargetMode="External"/><Relationship Id="rId97" Type="http://schemas.openxmlformats.org/officeDocument/2006/relationships/hyperlink" Target="https://europa.eu/europass/en/reports-referencing-national-qualifications-frameworks-eqf" TargetMode="External"/><Relationship Id="rId104" Type="http://schemas.openxmlformats.org/officeDocument/2006/relationships/hyperlink" Target="https://www.mfin.gov.rs/wp-content/uploads/2019/09/Vodic-kroz-gradjanski-budzet.pdf" TargetMode="External"/><Relationship Id="rId120" Type="http://schemas.openxmlformats.org/officeDocument/2006/relationships/hyperlink" Target="http://hdr.undp.org/en/content/human-development-index-hdi" TargetMode="External"/><Relationship Id="rId125" Type="http://schemas.openxmlformats.org/officeDocument/2006/relationships/hyperlink" Target="https://appsso.eurostat.ec.europa.eu/nui/show.do?dataset=spr_exp_sum&amp;lang=en" TargetMode="External"/><Relationship Id="rId141" Type="http://schemas.openxmlformats.org/officeDocument/2006/relationships/hyperlink" Target="https://www.ghsindex.org/wp-content/uploads/2019/08/Serbia.pdf" TargetMode="External"/><Relationship Id="rId146" Type="http://schemas.openxmlformats.org/officeDocument/2006/relationships/hyperlink" Target="http://rfzo.rs/index.php/osiguranalica/listecekanja/lc-dnevni-presek" TargetMode="External"/><Relationship Id="rId7" Type="http://schemas.openxmlformats.org/officeDocument/2006/relationships/hyperlink" Target="http://www.obnova.gov.rs/uploads/useruploads/Documents/Kancelarija-za-pomoc-poplavljenih-podrucja-infograf-15-04-2016-srb.pdf" TargetMode="External"/><Relationship Id="rId71" Type="http://schemas.openxmlformats.org/officeDocument/2006/relationships/hyperlink" Target="https://startupgenome.com/reports/gser2020" TargetMode="External"/><Relationship Id="rId92" Type="http://schemas.openxmlformats.org/officeDocument/2006/relationships/hyperlink" Target="https://europa.eu/europass/en/reports-referencing-national-qualifications-frameworks-eqf" TargetMode="External"/><Relationship Id="rId2" Type="http://schemas.openxmlformats.org/officeDocument/2006/relationships/hyperlink" Target="http://www.mfin.gov.rs/pages/article.php?id=8626" TargetMode="External"/><Relationship Id="rId29" Type="http://schemas.openxmlformats.org/officeDocument/2006/relationships/hyperlink" Target="https://openknowledge.worldbank.org/bitstream/handle/10986/31804/9781464813870.pdf?sequence=7&amp;isAllowed=y" TargetMode="External"/><Relationship Id="rId24" Type="http://schemas.openxmlformats.org/officeDocument/2006/relationships/hyperlink" Target="https://pijaca.minpolj.gov.rs/" TargetMode="External"/><Relationship Id="rId40" Type="http://schemas.openxmlformats.org/officeDocument/2006/relationships/hyperlink" Target="https://www.trezor.gov.rs/files/services/rpg/statistika/Broj%20registrovanih%20poljoprivrednih%20gazdinstava.pdf" TargetMode="External"/><Relationship Id="rId45" Type="http://schemas.openxmlformats.org/officeDocument/2006/relationships/hyperlink" Target="https://naled.rs/htdocs/Files/01428/Komasacija-vodic-web.pdf" TargetMode="External"/><Relationship Id="rId66" Type="http://schemas.openxmlformats.org/officeDocument/2006/relationships/hyperlink" Target="https://webgate.ec.europa.eu/dashboard/sense/app/a976d168-2023-41d8-acec-e77640154726/sheet/0c8af38b-b73c-4da2-ba41-73ea34ab7ac4/state/analysis" TargetMode="External"/><Relationship Id="rId87" Type="http://schemas.openxmlformats.org/officeDocument/2006/relationships/hyperlink" Target="http://azk.gov.rs/?page_id=75150" TargetMode="External"/><Relationship Id="rId110" Type="http://schemas.openxmlformats.org/officeDocument/2006/relationships/hyperlink" Target="https://www.mfin.gov.rs/wp-content/uploads/2019/09/Vodic-kroz-gradjanski-budzet.pdf" TargetMode="External"/><Relationship Id="rId115" Type="http://schemas.openxmlformats.org/officeDocument/2006/relationships/hyperlink" Target="http://hdr.undp.org/en/content/human-development-index-hdi" TargetMode="External"/><Relationship Id="rId131" Type="http://schemas.openxmlformats.org/officeDocument/2006/relationships/hyperlink" Target="https://www.mfin.gov.rs/dokumenti/makroekonomski-i-fiskalni-podaci/" TargetMode="External"/><Relationship Id="rId136" Type="http://schemas.openxmlformats.org/officeDocument/2006/relationships/hyperlink" Target="https://www.mfin.gov.rs/dokumenti/makroekonomski-i-fiskalni-podaci/" TargetMode="External"/><Relationship Id="rId61" Type="http://schemas.openxmlformats.org/officeDocument/2006/relationships/hyperlink" Target="https://webgate.ec.europa.eu/dashboard/sense/app/a976d168-2023-41d8-acec-e77640154726/sheet/0c8af38b-b73c-4da2-ba41-73ea34ab7ac4/state/analysis" TargetMode="External"/><Relationship Id="rId82" Type="http://schemas.openxmlformats.org/officeDocument/2006/relationships/hyperlink" Target="https://networkreadinessindex.org/nri-2019-countries/" TargetMode="External"/><Relationship Id="rId19" Type="http://schemas.openxmlformats.org/officeDocument/2006/relationships/hyperlink" Target="http://www.obnova.gov.rs/uploads/useruploads/Documents/Kancelarija-za-pomoc-poplavljenih-podrucja-infograf-15-04-2016-srb.pdf" TargetMode="External"/><Relationship Id="rId14" Type="http://schemas.openxmlformats.org/officeDocument/2006/relationships/hyperlink" Target="http://www.obnova.gov.rs/uploads/useruploads/Documents/Kancelarija-za-pomoc-poplavljenih-podrucja-infograf-15-04-2016-srb.pdf" TargetMode="External"/><Relationship Id="rId30" Type="http://schemas.openxmlformats.org/officeDocument/2006/relationships/hyperlink" Target="https://publikacije.stat.gov.rs/G2019/Pdf/G20196002.pdf" TargetMode="External"/><Relationship Id="rId35" Type="http://schemas.openxmlformats.org/officeDocument/2006/relationships/hyperlink" Target="https://naled.rs/htdocs/Files/01428/Komasacija-vodic-web.pdf" TargetMode="External"/><Relationship Id="rId56" Type="http://schemas.openxmlformats.org/officeDocument/2006/relationships/hyperlink" Target="https://webgate.ec.europa.eu/dashboard/sense/app/a976d168-2023-41d8-acec-e77640154726/sheet/0c8af38b-b73c-4da2-ba41-73ea34ab7ac4/state/analysis" TargetMode="External"/><Relationship Id="rId77" Type="http://schemas.openxmlformats.org/officeDocument/2006/relationships/hyperlink" Target="https://networkreadinessindex.org/nri-2019-countries/" TargetMode="External"/><Relationship Id="rId100" Type="http://schemas.openxmlformats.org/officeDocument/2006/relationships/hyperlink" Target="https://europa.eu/europass/en/reports-referencing-national-qualifications-frameworks-eqf" TargetMode="External"/><Relationship Id="rId105" Type="http://schemas.openxmlformats.org/officeDocument/2006/relationships/hyperlink" Target="https://www.mfin.gov.rs/wp-content/uploads/2019/09/Vodic-kroz-gradjanski-budzet.pdf" TargetMode="External"/><Relationship Id="rId126" Type="http://schemas.openxmlformats.org/officeDocument/2006/relationships/hyperlink" Target="https://appsso.eurostat.ec.europa.eu/nui/show.do?dataset=spr_exp_sum&amp;lang=en" TargetMode="External"/><Relationship Id="rId147" Type="http://schemas.openxmlformats.org/officeDocument/2006/relationships/hyperlink" Target="http://rfzo.rs/index.php/osiguranalica/listecekanja/lc-dnevni-presek" TargetMode="External"/><Relationship Id="rId8" Type="http://schemas.openxmlformats.org/officeDocument/2006/relationships/hyperlink" Target="http://www.obnova.gov.rs/uploads/useruploads/Documents/Kancelarija-za-pomoc-poplavljenih-podrucja-infograf-15-04-2016-srb.pdf" TargetMode="External"/><Relationship Id="rId51" Type="http://schemas.openxmlformats.org/officeDocument/2006/relationships/hyperlink" Target="https://naled.rs/htdocs/Files/01428/Komasacija-vodic-web.pdf" TargetMode="External"/><Relationship Id="rId72" Type="http://schemas.openxmlformats.org/officeDocument/2006/relationships/hyperlink" Target="https://appsso.eurostat.ec.europa.eu/nui/submitViewTableAction.do" TargetMode="External"/><Relationship Id="rId93" Type="http://schemas.openxmlformats.org/officeDocument/2006/relationships/hyperlink" Target="https://europa.eu/europass/en/reports-referencing-national-qualifications-frameworks-eqf" TargetMode="External"/><Relationship Id="rId98" Type="http://schemas.openxmlformats.org/officeDocument/2006/relationships/hyperlink" Target="https://europa.eu/europass/en/reports-referencing-national-qualifications-frameworks-eqf" TargetMode="External"/><Relationship Id="rId121" Type="http://schemas.openxmlformats.org/officeDocument/2006/relationships/hyperlink" Target="http://hdr.undp.org/en/content/human-development-index-hdi" TargetMode="External"/><Relationship Id="rId142" Type="http://schemas.openxmlformats.org/officeDocument/2006/relationships/hyperlink" Target="https://appsso.eurostat.ec.europa.eu/nui/submitViewTableAction.do" TargetMode="External"/><Relationship Id="rId3" Type="http://schemas.openxmlformats.org/officeDocument/2006/relationships/hyperlink" Target="http://www.mfin.gov.rs/pages/article.php?id=8626" TargetMode="External"/><Relationship Id="rId25" Type="http://schemas.openxmlformats.org/officeDocument/2006/relationships/hyperlink" Target="https://pijaca.minpolj.gov.rs/" TargetMode="External"/><Relationship Id="rId46" Type="http://schemas.openxmlformats.org/officeDocument/2006/relationships/hyperlink" Target="https://naled.rs/htdocs/Files/01428/Komasacija-vodic-web.pdf" TargetMode="External"/><Relationship Id="rId67" Type="http://schemas.openxmlformats.org/officeDocument/2006/relationships/hyperlink" Target="https://webgate.ec.europa.eu/dashboard/sense/app/a976d168-2023-41d8-acec-e77640154726/sheet/0c8af38b-b73c-4da2-ba41-73ea34ab7ac4/state/analysis" TargetMode="External"/><Relationship Id="rId116" Type="http://schemas.openxmlformats.org/officeDocument/2006/relationships/hyperlink" Target="http://hdr.undp.org/en/content/human-development-index-hdi" TargetMode="External"/><Relationship Id="rId137" Type="http://schemas.openxmlformats.org/officeDocument/2006/relationships/hyperlink" Target="https://www.ghsindex.org/wp-content/uploads/2019/08/Serbia.pdf" TargetMode="External"/><Relationship Id="rId20" Type="http://schemas.openxmlformats.org/officeDocument/2006/relationships/hyperlink" Target="http://www.obnova.gov.rs/uploads/useruploads/Documents/Kancelarija-za-pomoc-poplavljenih-podrucja-infograf-15-04-2016-srb.pdf" TargetMode="External"/><Relationship Id="rId41" Type="http://schemas.openxmlformats.org/officeDocument/2006/relationships/hyperlink" Target="https://www.trezor.gov.rs/files/services/rpg/statistika/Broj%20registrovanih%20poljoprivrednih%20gazdinstava.pdf" TargetMode="External"/><Relationship Id="rId62" Type="http://schemas.openxmlformats.org/officeDocument/2006/relationships/hyperlink" Target="https://webgate.ec.europa.eu/dashboard/sense/app/a976d168-2023-41d8-acec-e77640154726/sheet/0c8af38b-b73c-4da2-ba41-73ea34ab7ac4/state/analysis" TargetMode="External"/><Relationship Id="rId83" Type="http://schemas.openxmlformats.org/officeDocument/2006/relationships/hyperlink" Target="https://networkreadinessindex.org/nri-2019-countries/" TargetMode="External"/><Relationship Id="rId88" Type="http://schemas.openxmlformats.org/officeDocument/2006/relationships/hyperlink" Target="http://azk.gov.rs/?page_id=75150" TargetMode="External"/><Relationship Id="rId111" Type="http://schemas.openxmlformats.org/officeDocument/2006/relationships/hyperlink" Target="https://www.mfin.gov.rs/wp-content/uploads/2019/09/Vodic-kroz-gradjanski-budzet.pdf" TargetMode="External"/><Relationship Id="rId132" Type="http://schemas.openxmlformats.org/officeDocument/2006/relationships/hyperlink" Target="https://www.mfin.gov.rs/dokumenti/makroekonomski-i-fiskalni-podaci/" TargetMode="External"/><Relationship Id="rId15" Type="http://schemas.openxmlformats.org/officeDocument/2006/relationships/hyperlink" Target="http://www.obnova.gov.rs/uploads/useruploads/Documents/Kancelarija-za-pomoc-poplavljenih-podrucja-infograf-15-04-2016-srb.pdf" TargetMode="External"/><Relationship Id="rId36" Type="http://schemas.openxmlformats.org/officeDocument/2006/relationships/hyperlink" Target="https://naled.rs/htdocs/Files/01428/Komasacija-vodic-web.pdf" TargetMode="External"/><Relationship Id="rId57" Type="http://schemas.openxmlformats.org/officeDocument/2006/relationships/hyperlink" Target="https://webgate.ec.europa.eu/dashboard/sense/app/a976d168-2023-41d8-acec-e77640154726/sheet/0c8af38b-b73c-4da2-ba41-73ea34ab7ac4/state/analysis" TargetMode="External"/><Relationship Id="rId106" Type="http://schemas.openxmlformats.org/officeDocument/2006/relationships/hyperlink" Target="https://www.mfin.gov.rs/wp-content/uploads/2019/09/Vodic-kroz-gradjanski-budzet.pdf" TargetMode="External"/><Relationship Id="rId127" Type="http://schemas.openxmlformats.org/officeDocument/2006/relationships/hyperlink" Target="https://appsso.eurostat.ec.europa.eu/nui/show.do?dataset=spr_exp_sum&amp;lang=en" TargetMode="External"/><Relationship Id="rId10" Type="http://schemas.openxmlformats.org/officeDocument/2006/relationships/hyperlink" Target="http://www.obnova.gov.rs/uploads/useruploads/Documents/Kancelarija-za-pomoc-poplavljenih-podrucja-infograf-15-04-2016-srb.pdf" TargetMode="External"/><Relationship Id="rId31" Type="http://schemas.openxmlformats.org/officeDocument/2006/relationships/hyperlink" Target="https://publikacije.stat.gov.rs/G2019/Pdf/G20196002.pdf" TargetMode="External"/><Relationship Id="rId52" Type="http://schemas.openxmlformats.org/officeDocument/2006/relationships/hyperlink" Target="https://webgate.ec.europa.eu/dashboard/sense/app/a976d168-2023-41d8-acec-e77640154726/sheet/0c8af38b-b73c-4da2-ba41-73ea34ab7ac4/state/analysis" TargetMode="External"/><Relationship Id="rId73" Type="http://schemas.openxmlformats.org/officeDocument/2006/relationships/hyperlink" Target="https://appsso.eurostat.ec.europa.eu/nui/submitViewTableAction.do" TargetMode="External"/><Relationship Id="rId78" Type="http://schemas.openxmlformats.org/officeDocument/2006/relationships/hyperlink" Target="https://networkreadinessindex.org/nri-2019-countries/" TargetMode="External"/><Relationship Id="rId94" Type="http://schemas.openxmlformats.org/officeDocument/2006/relationships/hyperlink" Target="https://europa.eu/europass/en/reports-referencing-national-qualifications-frameworks-eqf" TargetMode="External"/><Relationship Id="rId99" Type="http://schemas.openxmlformats.org/officeDocument/2006/relationships/hyperlink" Target="https://europa.eu/europass/en/reports-referencing-national-qualifications-frameworks-eqf" TargetMode="External"/><Relationship Id="rId101" Type="http://schemas.openxmlformats.org/officeDocument/2006/relationships/hyperlink" Target="https://europa.eu/europass/en/reports-referencing-national-qualifications-frameworks-eqf" TargetMode="External"/><Relationship Id="rId122" Type="http://schemas.openxmlformats.org/officeDocument/2006/relationships/hyperlink" Target="https://ec.europa.eu/eurostat/tgm/table.do?tab=table&amp;init=1&amp;language=en&amp;pcode=tessi190&amp;plugin=1" TargetMode="External"/><Relationship Id="rId143" Type="http://schemas.openxmlformats.org/officeDocument/2006/relationships/hyperlink" Target="https://appsso.eurostat.ec.europa.eu/nui/submitViewTableAction.do" TargetMode="External"/><Relationship Id="rId148" Type="http://schemas.openxmlformats.org/officeDocument/2006/relationships/hyperlink" Target="http://rfzo.rs/index.php/osiguranalica/listecekanja/lc-dnevni-presek" TargetMode="External"/><Relationship Id="rId4" Type="http://schemas.openxmlformats.org/officeDocument/2006/relationships/hyperlink" Target="http://www.obnova.gov.rs/uploads/useruploads/Documents/Kancelarija-za-pomoc-poplavljenih-podrucja-infograf-15-04-2016-srb.pdf" TargetMode="External"/><Relationship Id="rId9" Type="http://schemas.openxmlformats.org/officeDocument/2006/relationships/hyperlink" Target="http://www.obnova.gov.rs/uploads/useruploads/Documents/Kancelarija-za-pomoc-poplavljenih-podrucja-infograf-15-04-2016-srb.pdf" TargetMode="External"/><Relationship Id="rId26" Type="http://schemas.openxmlformats.org/officeDocument/2006/relationships/hyperlink" Target="https://openknowledge.worldbank.org/bitstream/handle/10986/31804/9781464813870.pdf?sequence=7&amp;isAllowed=y" TargetMode="External"/><Relationship Id="rId47" Type="http://schemas.openxmlformats.org/officeDocument/2006/relationships/hyperlink" Target="https://naled.rs/htdocs/Files/01428/Komasacija-vodic-web.pdf" TargetMode="External"/><Relationship Id="rId68" Type="http://schemas.openxmlformats.org/officeDocument/2006/relationships/hyperlink" Target="https://webgate.ec.europa.eu/dashboard/sense/app/a976d168-2023-41d8-acec-e77640154726/sheet/0c8af38b-b73c-4da2-ba41-73ea34ab7ac4/state/analysis" TargetMode="External"/><Relationship Id="rId89" Type="http://schemas.openxmlformats.org/officeDocument/2006/relationships/hyperlink" Target="http://azk.gov.rs/?page_id=75150" TargetMode="External"/><Relationship Id="rId112" Type="http://schemas.openxmlformats.org/officeDocument/2006/relationships/hyperlink" Target="https://www.mfin.gov.rs/wp-content/uploads/2019/09/Vodic-kroz-gradjanski-budzet.pdf" TargetMode="External"/><Relationship Id="rId133" Type="http://schemas.openxmlformats.org/officeDocument/2006/relationships/hyperlink" Target="https://www.mfin.gov.rs/dokumenti/makroekonomski-i-fiskalni-podaci/" TargetMode="External"/><Relationship Id="rId16" Type="http://schemas.openxmlformats.org/officeDocument/2006/relationships/hyperlink" Target="http://www.obnova.gov.rs/uploads/useruploads/Documents/Kancelarija-za-pomoc-poplavljenih-podrucja-infograf-15-04-2016-srb.pdf" TargetMode="External"/><Relationship Id="rId37" Type="http://schemas.openxmlformats.org/officeDocument/2006/relationships/hyperlink" Target="https://naled.rs/htdocs/Files/01428/Komasacija-vodic-web.pdf" TargetMode="External"/><Relationship Id="rId58" Type="http://schemas.openxmlformats.org/officeDocument/2006/relationships/hyperlink" Target="https://webgate.ec.europa.eu/dashboard/sense/app/a976d168-2023-41d8-acec-e77640154726/sheet/0c8af38b-b73c-4da2-ba41-73ea34ab7ac4/state/analysis" TargetMode="External"/><Relationship Id="rId79" Type="http://schemas.openxmlformats.org/officeDocument/2006/relationships/hyperlink" Target="https://networkreadinessindex.org/nri-2019-countries/" TargetMode="External"/><Relationship Id="rId102" Type="http://schemas.openxmlformats.org/officeDocument/2006/relationships/hyperlink" Target="https://www.mfin.gov.rs/wp-content/uploads/2019/09/Vodic-kroz-gradjanski-budzet.pdf" TargetMode="External"/><Relationship Id="rId123" Type="http://schemas.openxmlformats.org/officeDocument/2006/relationships/hyperlink" Target="https://ec.europa.eu/eurostat/tgm/table.do?tab=table&amp;init=1&amp;language=en&amp;pcode=tessi190&amp;plugin=1" TargetMode="External"/><Relationship Id="rId144" Type="http://schemas.openxmlformats.org/officeDocument/2006/relationships/hyperlink" Target="http://rfzo.rs/index.php/osiguranalica/listecekanja/lc-dnevni-presek" TargetMode="External"/><Relationship Id="rId90" Type="http://schemas.openxmlformats.org/officeDocument/2006/relationships/hyperlink" Target="https://europa.eu/europass/en/reports-referencing-national-qualifications-frameworks-eq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140</Pages>
  <Words>124475</Words>
  <Characters>709512</Characters>
  <Application>Microsoft Office Word</Application>
  <DocSecurity>0</DocSecurity>
  <Lines>5912</Lines>
  <Paragraphs>1664</Paragraphs>
  <ScaleCrop>false</ScaleCrop>
  <Company/>
  <LinksUpToDate>false</LinksUpToDate>
  <CharactersWithSpaces>832323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Milica Vjetrovic</dc:creator>
  <cp:keywords/>
  <cp:lastModifiedBy>Bojana Rakić</cp:lastModifiedBy>
  <cp:revision>2</cp:revision>
  <dcterms:created xsi:type="dcterms:W3CDTF">2022-07-07T08:05:00Z</dcterms:created>
  <dcterms:modified xsi:type="dcterms:W3CDTF">2022-07-07T08:05:00Z</dcterms:modified>
</cp:coreProperties>
</file>